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7871B" w14:textId="62DDAAD5" w:rsidR="00EF1F98" w:rsidRPr="00A87961" w:rsidRDefault="00504075" w:rsidP="00B1336A">
      <w:pPr>
        <w:spacing w:line="480" w:lineRule="auto"/>
        <w:rPr>
          <w:rFonts w:ascii="Calibri" w:hAnsi="Calibri" w:cs="Arial"/>
          <w:sz w:val="22"/>
          <w:szCs w:val="22"/>
        </w:rPr>
      </w:pPr>
      <w:r w:rsidRPr="00A87961">
        <w:rPr>
          <w:rFonts w:cs="Times New Roman"/>
          <w:b/>
          <w:bCs/>
          <w:color w:val="000000" w:themeColor="text1"/>
        </w:rPr>
        <w:t xml:space="preserve">Systematic Review of the </w:t>
      </w:r>
      <w:r w:rsidR="00EF1F98" w:rsidRPr="00A87961">
        <w:rPr>
          <w:rFonts w:cs="Times New Roman"/>
          <w:b/>
          <w:bCs/>
          <w:color w:val="000000" w:themeColor="text1"/>
        </w:rPr>
        <w:t xml:space="preserve">Impact of Cannabinoids on Neurobehavioral Outcomes in Preclinical Models of Traumatic and Nontraumatic Spinal Cord Injury </w:t>
      </w:r>
    </w:p>
    <w:p w14:paraId="12848A62" w14:textId="77777777" w:rsidR="005803D0" w:rsidRPr="00A87961" w:rsidRDefault="005803D0" w:rsidP="00B1336A">
      <w:pPr>
        <w:pStyle w:val="Body"/>
        <w:contextualSpacing/>
        <w:rPr>
          <w:rFonts w:ascii="Times New Roman" w:hAnsi="Times New Roman" w:cs="Times New Roman"/>
          <w:b/>
          <w:bCs/>
          <w:color w:val="000000" w:themeColor="text1"/>
          <w:sz w:val="24"/>
        </w:rPr>
      </w:pPr>
    </w:p>
    <w:p w14:paraId="36C92380" w14:textId="426595BD" w:rsidR="00463180" w:rsidRPr="00A87961" w:rsidRDefault="00EF1F98" w:rsidP="0011737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 xml:space="preserve">Faheem </w:t>
      </w:r>
      <w:r w:rsidR="0011737C" w:rsidRPr="00A87961">
        <w:rPr>
          <w:rFonts w:ascii="Times New Roman" w:hAnsi="Times New Roman" w:cs="Times New Roman"/>
          <w:color w:val="000000" w:themeColor="text1"/>
          <w:sz w:val="24"/>
          <w:lang w:val="en-GB"/>
        </w:rPr>
        <w:t xml:space="preserve">I. </w:t>
      </w:r>
      <w:r w:rsidRPr="00A87961">
        <w:rPr>
          <w:rFonts w:ascii="Times New Roman" w:hAnsi="Times New Roman" w:cs="Times New Roman"/>
          <w:color w:val="000000" w:themeColor="text1"/>
          <w:sz w:val="24"/>
          <w:lang w:val="en-GB"/>
        </w:rPr>
        <w:t>Bhatti BA</w:t>
      </w:r>
      <w:r w:rsidRPr="00A87961">
        <w:rPr>
          <w:rFonts w:ascii="Times New Roman" w:hAnsi="Times New Roman" w:cs="Times New Roman"/>
          <w:color w:val="000000" w:themeColor="text1"/>
          <w:sz w:val="24"/>
          <w:vertAlign w:val="superscript"/>
          <w:lang w:val="en-GB"/>
        </w:rPr>
        <w:t>1</w:t>
      </w:r>
      <w:r w:rsidRPr="00A87961">
        <w:rPr>
          <w:rFonts w:ascii="Times New Roman" w:hAnsi="Times New Roman" w:cs="Times New Roman"/>
          <w:color w:val="000000" w:themeColor="text1"/>
          <w:sz w:val="24"/>
          <w:lang w:val="en-GB"/>
        </w:rPr>
        <w:t xml:space="preserve">, </w:t>
      </w:r>
      <w:r w:rsidR="00EA33F1" w:rsidRPr="00A87961">
        <w:rPr>
          <w:rFonts w:ascii="Times New Roman" w:hAnsi="Times New Roman" w:cs="Times New Roman"/>
          <w:color w:val="000000" w:themeColor="text1"/>
          <w:sz w:val="24"/>
          <w:lang w:val="en-GB"/>
        </w:rPr>
        <w:t xml:space="preserve">Oliver D. </w:t>
      </w:r>
      <w:proofErr w:type="spellStart"/>
      <w:r w:rsidR="00EA33F1" w:rsidRPr="00A87961">
        <w:rPr>
          <w:rFonts w:ascii="Times New Roman" w:hAnsi="Times New Roman" w:cs="Times New Roman"/>
          <w:color w:val="000000" w:themeColor="text1"/>
          <w:sz w:val="24"/>
          <w:lang w:val="en-GB"/>
        </w:rPr>
        <w:t>Mowforth</w:t>
      </w:r>
      <w:proofErr w:type="spellEnd"/>
      <w:r w:rsidR="00EA33F1" w:rsidRPr="00A87961">
        <w:rPr>
          <w:rFonts w:ascii="Times New Roman" w:hAnsi="Times New Roman" w:cs="Times New Roman"/>
          <w:color w:val="000000" w:themeColor="text1"/>
          <w:sz w:val="24"/>
          <w:lang w:val="en-GB"/>
        </w:rPr>
        <w:t xml:space="preserve"> BA MB BChir</w:t>
      </w:r>
      <w:r w:rsidR="00EA33F1" w:rsidRPr="00A87961">
        <w:rPr>
          <w:rFonts w:ascii="Times New Roman" w:hAnsi="Times New Roman" w:cs="Times New Roman"/>
          <w:color w:val="000000" w:themeColor="text1"/>
          <w:sz w:val="24"/>
          <w:vertAlign w:val="superscript"/>
          <w:lang w:val="en-GB"/>
        </w:rPr>
        <w:t>1</w:t>
      </w:r>
      <w:r w:rsidR="00EA33F1" w:rsidRPr="00A87961">
        <w:rPr>
          <w:rFonts w:ascii="Times New Roman" w:hAnsi="Times New Roman" w:cs="Times New Roman"/>
          <w:color w:val="000000" w:themeColor="text1"/>
          <w:sz w:val="24"/>
          <w:lang w:val="en-GB"/>
        </w:rPr>
        <w:t>,</w:t>
      </w:r>
      <w:r w:rsidR="00960929" w:rsidRPr="00A87961">
        <w:rPr>
          <w:rFonts w:ascii="Times New Roman" w:hAnsi="Times New Roman" w:cs="Times New Roman"/>
          <w:color w:val="000000" w:themeColor="text1"/>
          <w:sz w:val="24"/>
          <w:lang w:val="en-GB"/>
        </w:rPr>
        <w:t xml:space="preserve"> </w:t>
      </w:r>
      <w:r w:rsidRPr="00A87961">
        <w:rPr>
          <w:rFonts w:ascii="Times New Roman" w:hAnsi="Times New Roman" w:cs="Times New Roman"/>
          <w:color w:val="000000" w:themeColor="text1"/>
          <w:sz w:val="24"/>
          <w:lang w:val="en-GB"/>
        </w:rPr>
        <w:t>Max B. Butler BSc BA</w:t>
      </w:r>
      <w:r w:rsidRPr="00A87961">
        <w:rPr>
          <w:rFonts w:ascii="Times New Roman" w:hAnsi="Times New Roman" w:cs="Times New Roman"/>
          <w:color w:val="000000" w:themeColor="text1"/>
          <w:sz w:val="24"/>
          <w:vertAlign w:val="superscript"/>
          <w:lang w:val="en-GB"/>
        </w:rPr>
        <w:t>1</w:t>
      </w:r>
      <w:r w:rsidRPr="00A87961">
        <w:rPr>
          <w:rFonts w:ascii="Times New Roman" w:hAnsi="Times New Roman" w:cs="Times New Roman"/>
          <w:color w:val="000000" w:themeColor="text1"/>
          <w:sz w:val="24"/>
          <w:lang w:val="en-GB"/>
        </w:rPr>
        <w:t>,</w:t>
      </w:r>
      <w:r w:rsidR="00960929" w:rsidRPr="00A87961">
        <w:rPr>
          <w:rFonts w:ascii="Times New Roman" w:hAnsi="Times New Roman" w:cs="Times New Roman"/>
          <w:color w:val="000000" w:themeColor="text1"/>
          <w:sz w:val="24"/>
          <w:lang w:val="en-GB"/>
        </w:rPr>
        <w:t xml:space="preserve"> </w:t>
      </w:r>
      <w:proofErr w:type="spellStart"/>
      <w:r w:rsidRPr="00A87961">
        <w:rPr>
          <w:rFonts w:ascii="Times New Roman" w:hAnsi="Times New Roman" w:cs="Times New Roman"/>
          <w:color w:val="000000" w:themeColor="text1"/>
          <w:sz w:val="24"/>
          <w:lang w:val="en-GB"/>
        </w:rPr>
        <w:t>Aniqah</w:t>
      </w:r>
      <w:proofErr w:type="spellEnd"/>
      <w:r w:rsidRPr="00A87961">
        <w:rPr>
          <w:rFonts w:ascii="Times New Roman" w:hAnsi="Times New Roman" w:cs="Times New Roman"/>
          <w:color w:val="000000" w:themeColor="text1"/>
          <w:sz w:val="24"/>
          <w:lang w:val="en-GB"/>
        </w:rPr>
        <w:t xml:space="preserve"> </w:t>
      </w:r>
      <w:r w:rsidR="0011737C" w:rsidRPr="00A87961">
        <w:rPr>
          <w:rFonts w:ascii="Times New Roman" w:hAnsi="Times New Roman" w:cs="Times New Roman"/>
          <w:color w:val="000000" w:themeColor="text1"/>
          <w:sz w:val="24"/>
          <w:lang w:val="en-GB"/>
        </w:rPr>
        <w:t xml:space="preserve">I. </w:t>
      </w:r>
      <w:r w:rsidRPr="00A87961">
        <w:rPr>
          <w:rFonts w:ascii="Times New Roman" w:hAnsi="Times New Roman" w:cs="Times New Roman"/>
          <w:color w:val="000000" w:themeColor="text1"/>
          <w:sz w:val="24"/>
          <w:lang w:val="en-GB"/>
        </w:rPr>
        <w:t>Bhatti BA</w:t>
      </w:r>
      <w:r w:rsidRPr="00A87961">
        <w:rPr>
          <w:rFonts w:ascii="Times New Roman" w:hAnsi="Times New Roman" w:cs="Times New Roman"/>
          <w:color w:val="000000" w:themeColor="text1"/>
          <w:sz w:val="24"/>
          <w:vertAlign w:val="superscript"/>
          <w:lang w:val="en-GB"/>
        </w:rPr>
        <w:t>1</w:t>
      </w:r>
      <w:r w:rsidRPr="00A87961">
        <w:rPr>
          <w:rFonts w:ascii="Times New Roman" w:hAnsi="Times New Roman" w:cs="Times New Roman"/>
          <w:color w:val="000000" w:themeColor="text1"/>
          <w:sz w:val="24"/>
          <w:lang w:val="en-GB"/>
        </w:rPr>
        <w:t xml:space="preserve">, </w:t>
      </w:r>
      <w:r w:rsidR="00463180" w:rsidRPr="00A87961">
        <w:rPr>
          <w:rFonts w:ascii="Times New Roman" w:hAnsi="Times New Roman" w:cs="Times New Roman"/>
          <w:color w:val="000000" w:themeColor="text1"/>
          <w:sz w:val="24"/>
          <w:lang w:val="en-GB"/>
        </w:rPr>
        <w:t xml:space="preserve">Sylva </w:t>
      </w:r>
      <w:proofErr w:type="spellStart"/>
      <w:r w:rsidR="00463180" w:rsidRPr="00A87961">
        <w:rPr>
          <w:rFonts w:ascii="Times New Roman" w:hAnsi="Times New Roman" w:cs="Times New Roman"/>
          <w:color w:val="000000" w:themeColor="text1"/>
          <w:sz w:val="24"/>
          <w:lang w:val="en-GB"/>
        </w:rPr>
        <w:t>Adeeko</w:t>
      </w:r>
      <w:proofErr w:type="spellEnd"/>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xml:space="preserve">, </w:t>
      </w:r>
      <w:proofErr w:type="spellStart"/>
      <w:r w:rsidR="00463180" w:rsidRPr="00A87961">
        <w:rPr>
          <w:rFonts w:ascii="Times New Roman" w:hAnsi="Times New Roman" w:cs="Times New Roman"/>
          <w:color w:val="000000" w:themeColor="text1"/>
          <w:sz w:val="24"/>
          <w:lang w:val="en-GB"/>
        </w:rPr>
        <w:t>Melika</w:t>
      </w:r>
      <w:proofErr w:type="spellEnd"/>
      <w:r w:rsidR="00463180" w:rsidRPr="00A87961">
        <w:rPr>
          <w:rFonts w:ascii="Times New Roman" w:hAnsi="Times New Roman" w:cs="Times New Roman"/>
          <w:color w:val="000000" w:themeColor="text1"/>
          <w:sz w:val="24"/>
          <w:lang w:val="en-GB"/>
        </w:rPr>
        <w:t xml:space="preserve"> </w:t>
      </w:r>
      <w:proofErr w:type="spellStart"/>
      <w:r w:rsidR="00463180" w:rsidRPr="00A87961">
        <w:rPr>
          <w:rFonts w:ascii="Times New Roman" w:hAnsi="Times New Roman" w:cs="Times New Roman"/>
          <w:color w:val="000000" w:themeColor="text1"/>
          <w:sz w:val="24"/>
          <w:lang w:val="en-GB"/>
        </w:rPr>
        <w:t>Akhbari</w:t>
      </w:r>
      <w:proofErr w:type="spellEnd"/>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Rory Dilworth</w:t>
      </w:r>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xml:space="preserve">, Ben </w:t>
      </w:r>
      <w:proofErr w:type="spellStart"/>
      <w:r w:rsidR="00463180" w:rsidRPr="00A87961">
        <w:rPr>
          <w:rFonts w:ascii="Times New Roman" w:hAnsi="Times New Roman" w:cs="Times New Roman"/>
          <w:color w:val="000000" w:themeColor="text1"/>
          <w:sz w:val="24"/>
          <w:lang w:val="en-GB"/>
        </w:rPr>
        <w:t>Grodzinski</w:t>
      </w:r>
      <w:proofErr w:type="spellEnd"/>
      <w:r w:rsidR="00463180" w:rsidRPr="00A87961">
        <w:rPr>
          <w:rFonts w:ascii="Times New Roman" w:hAnsi="Times New Roman" w:cs="Times New Roman"/>
          <w:color w:val="000000" w:themeColor="text1"/>
          <w:sz w:val="24"/>
          <w:lang w:val="en-GB"/>
        </w:rPr>
        <w:t xml:space="preserve"> BA</w:t>
      </w:r>
      <w:r w:rsidR="00463180" w:rsidRPr="00A87961">
        <w:rPr>
          <w:rFonts w:ascii="Times New Roman" w:hAnsi="Times New Roman" w:cs="Times New Roman"/>
          <w:color w:val="000000" w:themeColor="text1"/>
          <w:sz w:val="24"/>
          <w:vertAlign w:val="superscript"/>
          <w:lang w:val="en-GB"/>
        </w:rPr>
        <w:t>1</w:t>
      </w:r>
      <w:r w:rsidR="00463180" w:rsidRPr="00A87961">
        <w:rPr>
          <w:rFonts w:ascii="Times New Roman" w:hAnsi="Times New Roman" w:cs="Times New Roman"/>
          <w:color w:val="000000" w:themeColor="text1"/>
          <w:sz w:val="24"/>
          <w:lang w:val="en-GB"/>
        </w:rPr>
        <w:t xml:space="preserve">, </w:t>
      </w:r>
      <w:proofErr w:type="spellStart"/>
      <w:r w:rsidR="00463180" w:rsidRPr="00A87961">
        <w:rPr>
          <w:rFonts w:ascii="Times New Roman" w:hAnsi="Times New Roman" w:cs="Times New Roman"/>
          <w:color w:val="000000" w:themeColor="text1"/>
          <w:sz w:val="24"/>
          <w:lang w:val="en-GB"/>
        </w:rPr>
        <w:t>Temidayo</w:t>
      </w:r>
      <w:proofErr w:type="spellEnd"/>
      <w:r w:rsidR="00463180" w:rsidRPr="00A87961">
        <w:rPr>
          <w:rFonts w:ascii="Times New Roman" w:hAnsi="Times New Roman" w:cs="Times New Roman"/>
          <w:color w:val="000000" w:themeColor="text1"/>
          <w:sz w:val="24"/>
          <w:lang w:val="en-GB"/>
        </w:rPr>
        <w:t xml:space="preserve"> </w:t>
      </w:r>
      <w:proofErr w:type="spellStart"/>
      <w:r w:rsidR="00463180" w:rsidRPr="00A87961">
        <w:rPr>
          <w:rFonts w:ascii="Times New Roman" w:hAnsi="Times New Roman" w:cs="Times New Roman"/>
          <w:color w:val="000000" w:themeColor="text1"/>
          <w:sz w:val="24"/>
          <w:lang w:val="en-GB"/>
        </w:rPr>
        <w:t>Osunronbi</w:t>
      </w:r>
      <w:proofErr w:type="spellEnd"/>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xml:space="preserve">, Luke </w:t>
      </w:r>
      <w:proofErr w:type="spellStart"/>
      <w:r w:rsidR="00463180" w:rsidRPr="00A87961">
        <w:rPr>
          <w:rFonts w:ascii="Times New Roman" w:hAnsi="Times New Roman" w:cs="Times New Roman"/>
          <w:color w:val="000000" w:themeColor="text1"/>
          <w:sz w:val="24"/>
          <w:lang w:val="en-GB"/>
        </w:rPr>
        <w:t>Ottewell</w:t>
      </w:r>
      <w:proofErr w:type="spellEnd"/>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xml:space="preserve">, </w:t>
      </w:r>
      <w:r w:rsidRPr="00A87961">
        <w:rPr>
          <w:rFonts w:ascii="Times New Roman" w:hAnsi="Times New Roman" w:cs="Times New Roman"/>
          <w:color w:val="000000" w:themeColor="text1"/>
          <w:sz w:val="24"/>
          <w:lang w:val="en-GB"/>
        </w:rPr>
        <w:t xml:space="preserve">Jye Quan </w:t>
      </w:r>
      <w:proofErr w:type="spellStart"/>
      <w:r w:rsidRPr="00A87961">
        <w:rPr>
          <w:rFonts w:ascii="Times New Roman" w:hAnsi="Times New Roman" w:cs="Times New Roman"/>
          <w:color w:val="000000" w:themeColor="text1"/>
          <w:sz w:val="24"/>
          <w:lang w:val="en-GB"/>
        </w:rPr>
        <w:t>Te</w:t>
      </w:r>
      <w:r w:rsidR="004A7529" w:rsidRPr="00A87961">
        <w:rPr>
          <w:rFonts w:ascii="Times New Roman" w:hAnsi="Times New Roman" w:cs="Times New Roman"/>
          <w:color w:val="000000" w:themeColor="text1"/>
          <w:sz w:val="24"/>
          <w:lang w:val="en-GB"/>
        </w:rPr>
        <w:t>h</w:t>
      </w:r>
      <w:proofErr w:type="spellEnd"/>
      <w:r w:rsidRPr="00A87961">
        <w:rPr>
          <w:rFonts w:ascii="Times New Roman" w:hAnsi="Times New Roman" w:cs="Times New Roman"/>
          <w:color w:val="000000" w:themeColor="text1"/>
          <w:sz w:val="24"/>
          <w:lang w:val="en-GB"/>
        </w:rPr>
        <w:t xml:space="preserve"> BA</w:t>
      </w:r>
      <w:r w:rsidRPr="00A87961">
        <w:rPr>
          <w:rFonts w:ascii="Times New Roman" w:hAnsi="Times New Roman" w:cs="Times New Roman"/>
          <w:color w:val="000000" w:themeColor="text1"/>
          <w:sz w:val="24"/>
          <w:vertAlign w:val="superscript"/>
          <w:lang w:val="en-GB"/>
        </w:rPr>
        <w:t>1</w:t>
      </w:r>
      <w:r w:rsidRPr="00A87961">
        <w:rPr>
          <w:rFonts w:ascii="Times New Roman" w:hAnsi="Times New Roman" w:cs="Times New Roman"/>
          <w:color w:val="000000" w:themeColor="text1"/>
          <w:sz w:val="24"/>
          <w:lang w:val="en-GB"/>
        </w:rPr>
        <w:t xml:space="preserve">, </w:t>
      </w:r>
      <w:r w:rsidR="00463180" w:rsidRPr="00A87961">
        <w:rPr>
          <w:rFonts w:ascii="Times New Roman" w:hAnsi="Times New Roman" w:cs="Times New Roman"/>
          <w:color w:val="000000" w:themeColor="text1"/>
          <w:sz w:val="24"/>
          <w:lang w:val="en-GB"/>
        </w:rPr>
        <w:t>Sophie Robinson</w:t>
      </w:r>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w:t>
      </w:r>
      <w:r w:rsidR="0011737C" w:rsidRPr="00A87961">
        <w:rPr>
          <w:rFonts w:ascii="Times New Roman" w:hAnsi="Times New Roman" w:cs="Times New Roman"/>
          <w:color w:val="000000" w:themeColor="text1"/>
          <w:vertAlign w:val="superscript"/>
        </w:rPr>
        <w:t xml:space="preserve"> </w:t>
      </w:r>
      <w:r w:rsidR="00463180" w:rsidRPr="00A87961">
        <w:rPr>
          <w:rFonts w:ascii="Times New Roman" w:hAnsi="Times New Roman" w:cs="Times New Roman"/>
          <w:color w:val="000000" w:themeColor="text1"/>
          <w:sz w:val="24"/>
          <w:lang w:val="en-GB"/>
        </w:rPr>
        <w:t>Gayathri Suresh</w:t>
      </w:r>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rPr>
        <w:t xml:space="preserve">, </w:t>
      </w:r>
      <w:proofErr w:type="spellStart"/>
      <w:r w:rsidR="00463180" w:rsidRPr="00A87961">
        <w:rPr>
          <w:rFonts w:ascii="Times New Roman" w:hAnsi="Times New Roman" w:cs="Times New Roman"/>
          <w:color w:val="000000" w:themeColor="text1"/>
          <w:sz w:val="24"/>
          <w:lang w:val="en-GB"/>
        </w:rPr>
        <w:t>Unaiza</w:t>
      </w:r>
      <w:proofErr w:type="spellEnd"/>
      <w:r w:rsidR="00463180" w:rsidRPr="00A87961">
        <w:rPr>
          <w:rFonts w:ascii="Times New Roman" w:hAnsi="Times New Roman" w:cs="Times New Roman"/>
          <w:color w:val="000000" w:themeColor="text1"/>
          <w:sz w:val="24"/>
          <w:lang w:val="en-GB"/>
        </w:rPr>
        <w:t xml:space="preserve"> </w:t>
      </w:r>
      <w:proofErr w:type="spellStart"/>
      <w:r w:rsidR="00463180" w:rsidRPr="00A87961">
        <w:rPr>
          <w:rFonts w:ascii="Times New Roman" w:hAnsi="Times New Roman" w:cs="Times New Roman"/>
          <w:color w:val="000000" w:themeColor="text1"/>
          <w:sz w:val="24"/>
          <w:lang w:val="en-GB"/>
        </w:rPr>
        <w:t>Waheed</w:t>
      </w:r>
      <w:proofErr w:type="spellEnd"/>
      <w:r w:rsidR="00D42063" w:rsidRPr="00A87961">
        <w:rPr>
          <w:rFonts w:ascii="Times New Roman" w:hAnsi="Times New Roman" w:cs="Times New Roman"/>
          <w:color w:val="000000" w:themeColor="text1"/>
          <w:vertAlign w:val="superscript"/>
        </w:rPr>
        <w:t>2</w:t>
      </w:r>
      <w:r w:rsidR="00463180" w:rsidRPr="00A87961">
        <w:rPr>
          <w:rFonts w:ascii="Times New Roman" w:hAnsi="Times New Roman" w:cs="Times New Roman"/>
          <w:color w:val="000000" w:themeColor="text1"/>
          <w:sz w:val="24"/>
          <w:lang w:val="en-GB"/>
        </w:rPr>
        <w:t xml:space="preserve">, </w:t>
      </w:r>
      <w:r w:rsidRPr="00A87961">
        <w:rPr>
          <w:rFonts w:ascii="Times New Roman" w:hAnsi="Times New Roman" w:cs="Times New Roman"/>
          <w:color w:val="000000" w:themeColor="text1"/>
          <w:sz w:val="24"/>
          <w:lang w:val="en-GB"/>
        </w:rPr>
        <w:t>Benn Walker</w:t>
      </w:r>
      <w:r w:rsidR="00D42063" w:rsidRPr="00A87961">
        <w:rPr>
          <w:rFonts w:ascii="Times New Roman" w:hAnsi="Times New Roman" w:cs="Times New Roman"/>
          <w:color w:val="000000" w:themeColor="text1"/>
          <w:vertAlign w:val="superscript"/>
        </w:rPr>
        <w:t>2</w:t>
      </w:r>
      <w:r w:rsidRPr="00A87961">
        <w:rPr>
          <w:rFonts w:ascii="Times New Roman" w:hAnsi="Times New Roman" w:cs="Times New Roman"/>
          <w:color w:val="000000" w:themeColor="text1"/>
          <w:sz w:val="24"/>
          <w:lang w:val="en-GB"/>
        </w:rPr>
        <w:t xml:space="preserve">, </w:t>
      </w:r>
      <w:r w:rsidRPr="00A87961">
        <w:rPr>
          <w:rFonts w:ascii="Times New Roman" w:hAnsi="Times New Roman" w:cs="Times New Roman"/>
          <w:color w:val="000000" w:themeColor="text1"/>
          <w:sz w:val="24"/>
        </w:rPr>
        <w:t>Isla Kuhn</w:t>
      </w:r>
      <w:r w:rsidR="00D42063" w:rsidRPr="00A87961">
        <w:rPr>
          <w:rFonts w:ascii="Times New Roman" w:hAnsi="Times New Roman" w:cs="Times New Roman"/>
          <w:color w:val="000000" w:themeColor="text1"/>
          <w:sz w:val="24"/>
          <w:vertAlign w:val="superscript"/>
        </w:rPr>
        <w:t>3</w:t>
      </w:r>
      <w:r w:rsidRPr="00A87961">
        <w:rPr>
          <w:rFonts w:ascii="Times New Roman" w:hAnsi="Times New Roman" w:cs="Times New Roman"/>
          <w:color w:val="000000" w:themeColor="text1"/>
          <w:sz w:val="24"/>
        </w:rPr>
        <w:t>,</w:t>
      </w:r>
      <w:r w:rsidR="00E456B9" w:rsidRPr="00A87961">
        <w:rPr>
          <w:rFonts w:ascii="Times New Roman" w:hAnsi="Times New Roman" w:cs="Times New Roman"/>
          <w:color w:val="000000" w:themeColor="text1"/>
          <w:sz w:val="24"/>
        </w:rPr>
        <w:t xml:space="preserve"> </w:t>
      </w:r>
      <w:r w:rsidR="004B394C" w:rsidRPr="00A87961">
        <w:rPr>
          <w:rFonts w:ascii="Times New Roman" w:hAnsi="Times New Roman" w:cs="Times New Roman"/>
          <w:color w:val="000000" w:themeColor="text1"/>
          <w:sz w:val="24"/>
        </w:rPr>
        <w:t>Lara Smith</w:t>
      </w:r>
      <w:r w:rsidR="00D42063" w:rsidRPr="00A87961">
        <w:rPr>
          <w:rFonts w:ascii="Times New Roman" w:hAnsi="Times New Roman" w:cs="Times New Roman"/>
          <w:color w:val="000000" w:themeColor="text1"/>
          <w:sz w:val="24"/>
          <w:vertAlign w:val="superscript"/>
        </w:rPr>
        <w:t>2</w:t>
      </w:r>
      <w:r w:rsidR="004B394C" w:rsidRPr="00A87961">
        <w:rPr>
          <w:rFonts w:ascii="Times New Roman" w:hAnsi="Times New Roman" w:cs="Times New Roman"/>
          <w:color w:val="000000" w:themeColor="text1"/>
          <w:sz w:val="24"/>
        </w:rPr>
        <w:t xml:space="preserve">, </w:t>
      </w:r>
      <w:r w:rsidR="00E456B9" w:rsidRPr="00A87961">
        <w:rPr>
          <w:rFonts w:ascii="Times New Roman" w:hAnsi="Times New Roman" w:cs="Times New Roman"/>
          <w:color w:val="000000" w:themeColor="text1"/>
          <w:sz w:val="24"/>
        </w:rPr>
        <w:t xml:space="preserve">Richard D Bartlett BSc </w:t>
      </w:r>
      <w:r w:rsidR="00792D23">
        <w:rPr>
          <w:rFonts w:ascii="Times New Roman" w:hAnsi="Times New Roman" w:cs="Times New Roman"/>
          <w:color w:val="000000" w:themeColor="text1"/>
          <w:sz w:val="24"/>
        </w:rPr>
        <w:t xml:space="preserve">MBBS </w:t>
      </w:r>
      <w:r w:rsidR="00E456B9" w:rsidRPr="00A87961">
        <w:rPr>
          <w:rFonts w:ascii="Times New Roman" w:hAnsi="Times New Roman" w:cs="Times New Roman"/>
          <w:color w:val="000000" w:themeColor="text1"/>
          <w:sz w:val="24"/>
        </w:rPr>
        <w:t>PhD FHEA</w:t>
      </w:r>
      <w:r w:rsidR="00E456B9" w:rsidRPr="00A87961">
        <w:rPr>
          <w:rFonts w:ascii="Times New Roman" w:hAnsi="Times New Roman" w:cs="Times New Roman"/>
          <w:color w:val="000000" w:themeColor="text1"/>
          <w:vertAlign w:val="superscript"/>
        </w:rPr>
        <w:t>1</w:t>
      </w:r>
      <w:r w:rsidR="00E456B9" w:rsidRPr="00A87961">
        <w:rPr>
          <w:rFonts w:ascii="Times New Roman" w:hAnsi="Times New Roman" w:cs="Times New Roman"/>
          <w:color w:val="000000" w:themeColor="text1"/>
          <w:sz w:val="24"/>
        </w:rPr>
        <w:t xml:space="preserve">, </w:t>
      </w:r>
      <w:r w:rsidRPr="00A87961">
        <w:rPr>
          <w:rFonts w:ascii="Times New Roman" w:hAnsi="Times New Roman" w:cs="Times New Roman"/>
          <w:color w:val="000000" w:themeColor="text1"/>
          <w:sz w:val="24"/>
          <w:lang w:val="en-GB"/>
        </w:rPr>
        <w:t>Benjamin M. Davies BSc MRCS</w:t>
      </w:r>
      <w:r w:rsidRPr="00A87961">
        <w:rPr>
          <w:rFonts w:ascii="Times New Roman" w:hAnsi="Times New Roman" w:cs="Times New Roman"/>
          <w:color w:val="000000" w:themeColor="text1"/>
          <w:vertAlign w:val="superscript"/>
        </w:rPr>
        <w:t>1</w:t>
      </w:r>
      <w:r w:rsidR="00E456B9" w:rsidRPr="00A87961">
        <w:rPr>
          <w:rFonts w:ascii="Times New Roman" w:hAnsi="Times New Roman" w:cs="Times New Roman"/>
          <w:color w:val="000000" w:themeColor="text1"/>
        </w:rPr>
        <w:t xml:space="preserve">, </w:t>
      </w:r>
      <w:r w:rsidRPr="00A87961">
        <w:rPr>
          <w:rFonts w:ascii="Times New Roman" w:hAnsi="Times New Roman" w:cs="Times New Roman"/>
          <w:color w:val="000000" w:themeColor="text1"/>
          <w:sz w:val="24"/>
          <w:szCs w:val="28"/>
        </w:rPr>
        <w:t>M</w:t>
      </w:r>
      <w:r w:rsidRPr="00A87961">
        <w:rPr>
          <w:rFonts w:ascii="Times New Roman" w:hAnsi="Times New Roman" w:cs="Times New Roman"/>
          <w:color w:val="000000" w:themeColor="text1"/>
          <w:sz w:val="24"/>
          <w:lang w:val="en-GB"/>
        </w:rPr>
        <w:t>ark R.N. Kotter MD MPhil PhD</w:t>
      </w:r>
      <w:r w:rsidRPr="00A87961">
        <w:rPr>
          <w:rFonts w:ascii="Times New Roman" w:hAnsi="Times New Roman" w:cs="Times New Roman"/>
          <w:color w:val="000000" w:themeColor="text1"/>
          <w:sz w:val="24"/>
          <w:vertAlign w:val="superscript"/>
          <w:lang w:val="en-GB"/>
        </w:rPr>
        <w:t>1</w:t>
      </w:r>
    </w:p>
    <w:p w14:paraId="1AD6157C" w14:textId="534C09B3" w:rsidR="00EF1F98" w:rsidRPr="00A87961" w:rsidRDefault="00EF1F98" w:rsidP="0011737C">
      <w:pPr>
        <w:pStyle w:val="ListParagraph"/>
        <w:numPr>
          <w:ilvl w:val="0"/>
          <w:numId w:val="1"/>
        </w:numPr>
        <w:spacing w:after="160" w:line="480" w:lineRule="auto"/>
        <w:rPr>
          <w:rFonts w:cs="Times New Roman"/>
          <w:color w:val="000000" w:themeColor="text1"/>
          <w:sz w:val="21"/>
          <w:szCs w:val="21"/>
        </w:rPr>
      </w:pPr>
      <w:r w:rsidRPr="00A87961">
        <w:rPr>
          <w:rFonts w:cs="Times New Roman"/>
          <w:color w:val="000000" w:themeColor="text1"/>
          <w:sz w:val="21"/>
          <w:szCs w:val="21"/>
        </w:rPr>
        <w:t>Division of Neurosurgery, Department of Clinical Neurosciences, University of Cambridge, Cambridge, UK</w:t>
      </w:r>
    </w:p>
    <w:p w14:paraId="271CF4CA" w14:textId="69B1E50A" w:rsidR="00D42063" w:rsidRPr="00A87961" w:rsidRDefault="00D42063" w:rsidP="0011737C">
      <w:pPr>
        <w:pStyle w:val="ListParagraph"/>
        <w:numPr>
          <w:ilvl w:val="0"/>
          <w:numId w:val="1"/>
        </w:numPr>
        <w:spacing w:after="160" w:line="480" w:lineRule="auto"/>
        <w:rPr>
          <w:rFonts w:cs="Times New Roman"/>
          <w:color w:val="000000" w:themeColor="text1"/>
          <w:sz w:val="21"/>
          <w:szCs w:val="21"/>
        </w:rPr>
      </w:pPr>
      <w:r w:rsidRPr="00A87961">
        <w:rPr>
          <w:rFonts w:cs="Times New Roman"/>
          <w:color w:val="000000" w:themeColor="text1"/>
          <w:sz w:val="21"/>
          <w:szCs w:val="21"/>
        </w:rPr>
        <w:t>Myelopathy.org, Cambridge, UK</w:t>
      </w:r>
    </w:p>
    <w:p w14:paraId="2202E58E" w14:textId="249D1B2C" w:rsidR="00EF1F98" w:rsidRPr="00A87961" w:rsidRDefault="00EF1F98" w:rsidP="0011737C">
      <w:pPr>
        <w:pStyle w:val="ListParagraph"/>
        <w:numPr>
          <w:ilvl w:val="0"/>
          <w:numId w:val="1"/>
        </w:numPr>
        <w:spacing w:after="160" w:line="480" w:lineRule="auto"/>
        <w:rPr>
          <w:rFonts w:cs="Times New Roman"/>
          <w:color w:val="000000" w:themeColor="text1"/>
          <w:sz w:val="21"/>
          <w:szCs w:val="21"/>
        </w:rPr>
      </w:pPr>
      <w:r w:rsidRPr="00A87961">
        <w:rPr>
          <w:rFonts w:cs="Times New Roman"/>
          <w:color w:val="000000" w:themeColor="text1"/>
          <w:sz w:val="21"/>
          <w:szCs w:val="21"/>
        </w:rPr>
        <w:t>Cambridge University Medical Library, Cambridge, UK</w:t>
      </w:r>
    </w:p>
    <w:p w14:paraId="39544827" w14:textId="77777777" w:rsidR="0011737C" w:rsidRPr="00A87961" w:rsidRDefault="0011737C" w:rsidP="0011737C">
      <w:pPr>
        <w:spacing w:after="160" w:line="480" w:lineRule="auto"/>
        <w:rPr>
          <w:rFonts w:cs="Times New Roman"/>
          <w:color w:val="000000" w:themeColor="text1"/>
          <w:sz w:val="21"/>
          <w:szCs w:val="21"/>
        </w:rPr>
      </w:pPr>
    </w:p>
    <w:p w14:paraId="55B4415D" w14:textId="77777777" w:rsidR="00EF1F98" w:rsidRPr="00A87961" w:rsidRDefault="00EF1F98" w:rsidP="0011737C">
      <w:pPr>
        <w:spacing w:line="480" w:lineRule="auto"/>
        <w:rPr>
          <w:rFonts w:cs="Times New Roman"/>
          <w:b/>
          <w:color w:val="000000" w:themeColor="text1"/>
          <w:sz w:val="22"/>
          <w:szCs w:val="22"/>
        </w:rPr>
      </w:pPr>
      <w:r w:rsidRPr="00A87961">
        <w:rPr>
          <w:rFonts w:cs="Times New Roman"/>
          <w:b/>
          <w:color w:val="000000" w:themeColor="text1"/>
          <w:sz w:val="22"/>
          <w:szCs w:val="22"/>
        </w:rPr>
        <w:t>Corresponding author</w:t>
      </w:r>
    </w:p>
    <w:p w14:paraId="7F3C601A"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Dr Benjamin Davies</w:t>
      </w:r>
    </w:p>
    <w:p w14:paraId="4A3FC50C"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Division of Neurosurgery</w:t>
      </w:r>
    </w:p>
    <w:p w14:paraId="0B774417"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Department of Clinical Neurosciences</w:t>
      </w:r>
    </w:p>
    <w:p w14:paraId="797BDAF4"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University of Cambridge</w:t>
      </w:r>
    </w:p>
    <w:p w14:paraId="1F8BB01D"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CB2 0SZ</w:t>
      </w:r>
      <w:r w:rsidRPr="00A87961">
        <w:rPr>
          <w:rFonts w:cs="Times New Roman"/>
          <w:color w:val="000000" w:themeColor="text1"/>
          <w:sz w:val="22"/>
          <w:szCs w:val="22"/>
        </w:rPr>
        <w:tab/>
      </w:r>
    </w:p>
    <w:p w14:paraId="4CF00A8C" w14:textId="77777777" w:rsidR="00EF1F98" w:rsidRPr="00A87961" w:rsidRDefault="00EF1F98" w:rsidP="0011737C">
      <w:pPr>
        <w:spacing w:line="480" w:lineRule="auto"/>
        <w:rPr>
          <w:rFonts w:cs="Times New Roman"/>
          <w:color w:val="000000" w:themeColor="text1"/>
          <w:sz w:val="22"/>
          <w:szCs w:val="22"/>
        </w:rPr>
      </w:pPr>
      <w:r w:rsidRPr="00A87961">
        <w:rPr>
          <w:rStyle w:val="Hyperlink"/>
          <w:color w:val="000000" w:themeColor="text1"/>
          <w:sz w:val="22"/>
          <w:szCs w:val="22"/>
        </w:rPr>
        <w:t xml:space="preserve">Email: </w:t>
      </w:r>
      <w:r w:rsidRPr="00A87961">
        <w:rPr>
          <w:rFonts w:cs="Times New Roman"/>
          <w:sz w:val="22"/>
          <w:szCs w:val="22"/>
        </w:rPr>
        <w:t>Benjamin.davies4@nhs.net</w:t>
      </w:r>
      <w:r w:rsidRPr="00A87961">
        <w:rPr>
          <w:rStyle w:val="Hyperlink"/>
          <w:color w:val="000000" w:themeColor="text1"/>
          <w:sz w:val="22"/>
          <w:szCs w:val="22"/>
        </w:rPr>
        <w:t xml:space="preserve"> </w:t>
      </w:r>
    </w:p>
    <w:p w14:paraId="2FD177AC" w14:textId="77777777" w:rsidR="00EF1F98"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Telephone: +44 1223 763366</w:t>
      </w:r>
    </w:p>
    <w:p w14:paraId="2F20ED24" w14:textId="7C752B90" w:rsidR="00EA33F1" w:rsidRPr="00A87961" w:rsidRDefault="00EF1F98" w:rsidP="0011737C">
      <w:pPr>
        <w:spacing w:line="480" w:lineRule="auto"/>
        <w:rPr>
          <w:rFonts w:cs="Times New Roman"/>
          <w:color w:val="000000" w:themeColor="text1"/>
          <w:sz w:val="22"/>
          <w:szCs w:val="22"/>
        </w:rPr>
      </w:pPr>
      <w:r w:rsidRPr="00A87961">
        <w:rPr>
          <w:rFonts w:cs="Times New Roman"/>
          <w:color w:val="000000" w:themeColor="text1"/>
          <w:sz w:val="22"/>
          <w:szCs w:val="22"/>
        </w:rPr>
        <w:t>Fax: +44 1223 763350</w:t>
      </w:r>
    </w:p>
    <w:p w14:paraId="7BE5B9B1" w14:textId="77777777" w:rsidR="0011737C" w:rsidRPr="00A87961" w:rsidRDefault="0011737C">
      <w:pPr>
        <w:spacing w:line="240" w:lineRule="auto"/>
        <w:rPr>
          <w:rFonts w:cs="Times New Roman"/>
          <w:b/>
          <w:bCs/>
          <w:color w:val="000000" w:themeColor="text1"/>
        </w:rPr>
      </w:pPr>
      <w:r w:rsidRPr="00A87961">
        <w:rPr>
          <w:rFonts w:cs="Times New Roman"/>
          <w:b/>
          <w:bCs/>
          <w:color w:val="000000" w:themeColor="text1"/>
        </w:rPr>
        <w:br w:type="page"/>
      </w:r>
    </w:p>
    <w:p w14:paraId="53B14BDF" w14:textId="5368F0AB" w:rsidR="00EF1F98" w:rsidRPr="00A87961" w:rsidRDefault="0011737C" w:rsidP="0011737C">
      <w:pPr>
        <w:spacing w:line="480" w:lineRule="auto"/>
        <w:rPr>
          <w:rFonts w:cs="Times New Roman"/>
          <w:b/>
          <w:bCs/>
          <w:color w:val="000000" w:themeColor="text1"/>
        </w:rPr>
      </w:pPr>
      <w:r w:rsidRPr="00A87961">
        <w:rPr>
          <w:rFonts w:cs="Times New Roman"/>
          <w:b/>
          <w:bCs/>
          <w:color w:val="000000" w:themeColor="text1"/>
        </w:rPr>
        <w:lastRenderedPageBreak/>
        <w:t xml:space="preserve">Structured </w:t>
      </w:r>
      <w:r w:rsidR="00200308" w:rsidRPr="00A87961">
        <w:rPr>
          <w:rFonts w:cs="Times New Roman"/>
          <w:b/>
          <w:bCs/>
          <w:color w:val="000000" w:themeColor="text1"/>
        </w:rPr>
        <w:t>Abstract</w:t>
      </w:r>
    </w:p>
    <w:p w14:paraId="2837F1DD" w14:textId="77777777" w:rsidR="00504075" w:rsidRPr="00A87961" w:rsidRDefault="00504075" w:rsidP="0011737C">
      <w:pPr>
        <w:spacing w:line="480" w:lineRule="auto"/>
        <w:rPr>
          <w:rFonts w:cs="Times New Roman"/>
          <w:color w:val="000000" w:themeColor="text1"/>
          <w:sz w:val="22"/>
          <w:szCs w:val="22"/>
        </w:rPr>
      </w:pPr>
    </w:p>
    <w:p w14:paraId="012D5CD8" w14:textId="37354EE2" w:rsidR="00504075" w:rsidRPr="00A87961" w:rsidRDefault="00504075" w:rsidP="0011737C">
      <w:pPr>
        <w:spacing w:line="480" w:lineRule="auto"/>
        <w:rPr>
          <w:rFonts w:cs="Times New Roman"/>
          <w:b/>
          <w:bCs/>
        </w:rPr>
      </w:pPr>
      <w:r w:rsidRPr="00A87961">
        <w:rPr>
          <w:rFonts w:cs="Times New Roman"/>
          <w:b/>
          <w:bCs/>
        </w:rPr>
        <w:t>Study design</w:t>
      </w:r>
    </w:p>
    <w:p w14:paraId="6FC70FD6" w14:textId="42B768C6" w:rsidR="00504075" w:rsidRPr="00A87961" w:rsidRDefault="00504075" w:rsidP="0011737C">
      <w:pPr>
        <w:spacing w:line="480" w:lineRule="auto"/>
        <w:rPr>
          <w:rFonts w:cs="Times New Roman"/>
        </w:rPr>
      </w:pPr>
      <w:r w:rsidRPr="00A87961">
        <w:rPr>
          <w:rFonts w:cs="Times New Roman"/>
        </w:rPr>
        <w:t>Systematic Review</w:t>
      </w:r>
    </w:p>
    <w:p w14:paraId="294ED097" w14:textId="77777777" w:rsidR="00504075" w:rsidRPr="00A87961" w:rsidRDefault="00504075" w:rsidP="0011737C">
      <w:pPr>
        <w:spacing w:line="480" w:lineRule="auto"/>
        <w:rPr>
          <w:rFonts w:cs="Times New Roman"/>
          <w:b/>
          <w:bCs/>
        </w:rPr>
      </w:pPr>
    </w:p>
    <w:p w14:paraId="698FE964" w14:textId="4D4C8598" w:rsidR="00EF1F98" w:rsidRPr="00A87961" w:rsidRDefault="00EF1F98" w:rsidP="0011737C">
      <w:pPr>
        <w:spacing w:line="480" w:lineRule="auto"/>
        <w:rPr>
          <w:rFonts w:cs="Times New Roman"/>
          <w:b/>
          <w:bCs/>
        </w:rPr>
      </w:pPr>
      <w:r w:rsidRPr="00A87961">
        <w:rPr>
          <w:rFonts w:cs="Times New Roman"/>
          <w:b/>
          <w:bCs/>
        </w:rPr>
        <w:t>Objective</w:t>
      </w:r>
      <w:r w:rsidR="00504075" w:rsidRPr="00A87961">
        <w:rPr>
          <w:rFonts w:cs="Times New Roman"/>
          <w:b/>
          <w:bCs/>
        </w:rPr>
        <w:t>s</w:t>
      </w:r>
    </w:p>
    <w:p w14:paraId="50F9862E" w14:textId="76B509D4" w:rsidR="00EF1F98" w:rsidRPr="00A87961" w:rsidRDefault="002F183B" w:rsidP="0011737C">
      <w:pPr>
        <w:spacing w:line="480" w:lineRule="auto"/>
        <w:rPr>
          <w:rFonts w:cs="Times New Roman"/>
        </w:rPr>
      </w:pPr>
      <w:r w:rsidRPr="00A87961">
        <w:rPr>
          <w:rFonts w:cs="Times New Roman"/>
        </w:rPr>
        <w:t>T</w:t>
      </w:r>
      <w:r w:rsidR="00E456B9" w:rsidRPr="00A87961">
        <w:rPr>
          <w:rFonts w:cs="Times New Roman"/>
        </w:rPr>
        <w:t xml:space="preserve">o </w:t>
      </w:r>
      <w:r w:rsidR="00EF1F98" w:rsidRPr="00A87961">
        <w:rPr>
          <w:rFonts w:cs="Times New Roman"/>
        </w:rPr>
        <w:t xml:space="preserve">evaluate the impact of cannabinoids on </w:t>
      </w:r>
      <w:r w:rsidR="00C51A75" w:rsidRPr="00A87961">
        <w:rPr>
          <w:rFonts w:cs="Times New Roman"/>
        </w:rPr>
        <w:t>neurobehavioral</w:t>
      </w:r>
      <w:r w:rsidR="00EF1F98" w:rsidRPr="00A87961">
        <w:rPr>
          <w:rFonts w:cs="Times New Roman"/>
        </w:rPr>
        <w:t xml:space="preserve"> outcomes in preclinical models of nontraumatic and traumatic </w:t>
      </w:r>
      <w:r w:rsidR="00B12B84" w:rsidRPr="00A87961">
        <w:rPr>
          <w:rFonts w:cs="Times New Roman"/>
        </w:rPr>
        <w:t>spinal cord injury (</w:t>
      </w:r>
      <w:r w:rsidR="00EF1F98" w:rsidRPr="00A87961">
        <w:rPr>
          <w:rFonts w:cs="Times New Roman"/>
        </w:rPr>
        <w:t>SCI</w:t>
      </w:r>
      <w:r w:rsidR="00B12B84" w:rsidRPr="00A87961">
        <w:rPr>
          <w:rFonts w:cs="Times New Roman"/>
        </w:rPr>
        <w:t>)</w:t>
      </w:r>
      <w:r w:rsidR="00463180" w:rsidRPr="00A87961">
        <w:rPr>
          <w:rFonts w:cs="Times New Roman"/>
        </w:rPr>
        <w:t>, with the aim of determining suitability for clinical trials in</w:t>
      </w:r>
      <w:r w:rsidR="00081442" w:rsidRPr="00A87961">
        <w:rPr>
          <w:rFonts w:cs="Times New Roman"/>
        </w:rPr>
        <w:t>volving SCI patients</w:t>
      </w:r>
      <w:r w:rsidR="00463180" w:rsidRPr="00A87961">
        <w:rPr>
          <w:rFonts w:cs="Times New Roman"/>
        </w:rPr>
        <w:t>.</w:t>
      </w:r>
    </w:p>
    <w:p w14:paraId="0F9D7F49" w14:textId="77777777" w:rsidR="00EF1F98" w:rsidRPr="00A87961" w:rsidRDefault="00EF1F98" w:rsidP="0011737C">
      <w:pPr>
        <w:spacing w:line="480" w:lineRule="auto"/>
        <w:rPr>
          <w:rFonts w:cs="Times New Roman"/>
          <w:b/>
          <w:bCs/>
        </w:rPr>
      </w:pPr>
      <w:r w:rsidRPr="00A87961">
        <w:rPr>
          <w:rFonts w:cs="Times New Roman"/>
        </w:rPr>
        <w:br/>
      </w:r>
      <w:r w:rsidRPr="00A87961">
        <w:rPr>
          <w:rFonts w:cs="Times New Roman"/>
          <w:b/>
          <w:bCs/>
        </w:rPr>
        <w:t>Methods</w:t>
      </w:r>
    </w:p>
    <w:p w14:paraId="2828CE91" w14:textId="0F476BA4" w:rsidR="00EF1F98" w:rsidRPr="00A87961" w:rsidRDefault="00EF1F98" w:rsidP="0011737C">
      <w:pPr>
        <w:spacing w:line="480" w:lineRule="auto"/>
      </w:pPr>
      <w:r w:rsidRPr="00A87961">
        <w:rPr>
          <w:rFonts w:cs="Times New Roman"/>
        </w:rPr>
        <w:t xml:space="preserve">A systematic search was performed </w:t>
      </w:r>
      <w:r w:rsidR="00200308" w:rsidRPr="00A87961">
        <w:rPr>
          <w:rFonts w:cs="Times New Roman"/>
        </w:rPr>
        <w:t xml:space="preserve">in </w:t>
      </w:r>
      <w:r w:rsidRPr="00A87961">
        <w:rPr>
          <w:rFonts w:cs="Times New Roman"/>
        </w:rPr>
        <w:t xml:space="preserve">MEDLINE and </w:t>
      </w:r>
      <w:r w:rsidR="00200308" w:rsidRPr="00A87961">
        <w:rPr>
          <w:rFonts w:cs="Times New Roman"/>
        </w:rPr>
        <w:t xml:space="preserve">Embase </w:t>
      </w:r>
      <w:r w:rsidRPr="00A87961">
        <w:rPr>
          <w:rFonts w:cs="Times New Roman"/>
        </w:rPr>
        <w:t>databases</w:t>
      </w:r>
      <w:r w:rsidR="00200308" w:rsidRPr="00A87961">
        <w:rPr>
          <w:rFonts w:cs="Times New Roman"/>
        </w:rPr>
        <w:t>, following registration with PROPSERO (CRD42019149671).</w:t>
      </w:r>
      <w:r w:rsidRPr="00A87961">
        <w:rPr>
          <w:rFonts w:cs="Times New Roman"/>
        </w:rPr>
        <w:t xml:space="preserve"> </w:t>
      </w:r>
      <w:r w:rsidRPr="00A87961">
        <w:t>Studies evaluat</w:t>
      </w:r>
      <w:r w:rsidR="00200308" w:rsidRPr="00A87961">
        <w:t xml:space="preserve">ing </w:t>
      </w:r>
      <w:r w:rsidRPr="00A87961">
        <w:t>the impact of cannabinoids (agonists or antagonists) on neurobehavioral outcomes in preclinical models of nontraumatic and traumatic SCI</w:t>
      </w:r>
      <w:r w:rsidR="00200308" w:rsidRPr="00A87961">
        <w:t xml:space="preserve"> were included</w:t>
      </w:r>
      <w:r w:rsidRPr="00A87961">
        <w:t xml:space="preserve">. Data extracted from relevant studies, </w:t>
      </w:r>
      <w:r w:rsidR="00200308" w:rsidRPr="00A87961">
        <w:t>included</w:t>
      </w:r>
      <w:r w:rsidRPr="00A87961">
        <w:t xml:space="preserve"> sample characteristics, injury model,</w:t>
      </w:r>
      <w:r w:rsidR="00200308" w:rsidRPr="00A87961">
        <w:t xml:space="preserve"> </w:t>
      </w:r>
      <w:proofErr w:type="spellStart"/>
      <w:r w:rsidRPr="00A87961">
        <w:t>neurobehavioural</w:t>
      </w:r>
      <w:proofErr w:type="spellEnd"/>
      <w:r w:rsidRPr="00A87961">
        <w:t xml:space="preserve"> </w:t>
      </w:r>
      <w:r w:rsidR="00200308" w:rsidRPr="00A87961">
        <w:t xml:space="preserve">outcomes assessed </w:t>
      </w:r>
      <w:r w:rsidRPr="00A87961">
        <w:t xml:space="preserve">and </w:t>
      </w:r>
      <w:r w:rsidR="00200308" w:rsidRPr="00A87961">
        <w:t>study results</w:t>
      </w:r>
      <w:r w:rsidRPr="00A87961">
        <w:t xml:space="preserve">. </w:t>
      </w:r>
      <w:r w:rsidRPr="00A87961">
        <w:rPr>
          <w:rFonts w:cs="Times New Roman"/>
        </w:rPr>
        <w:t>PRISMA guidelines</w:t>
      </w:r>
      <w:r w:rsidR="00200308" w:rsidRPr="00A87961">
        <w:rPr>
          <w:rFonts w:cs="Times New Roman"/>
        </w:rPr>
        <w:t xml:space="preserve"> were followed and </w:t>
      </w:r>
      <w:r w:rsidRPr="00A87961">
        <w:t>the SYRCLE checklist was used</w:t>
      </w:r>
      <w:r w:rsidR="00200308" w:rsidRPr="00A87961">
        <w:t xml:space="preserve"> to assess risk of bias.</w:t>
      </w:r>
    </w:p>
    <w:p w14:paraId="4089493F" w14:textId="77777777" w:rsidR="00EF1F98" w:rsidRPr="00A87961" w:rsidRDefault="00EF1F98" w:rsidP="0011737C">
      <w:pPr>
        <w:spacing w:line="480" w:lineRule="auto"/>
        <w:rPr>
          <w:rFonts w:cs="Times New Roman"/>
          <w:b/>
          <w:bCs/>
        </w:rPr>
      </w:pPr>
    </w:p>
    <w:p w14:paraId="6DCBD50B" w14:textId="77777777" w:rsidR="00EF1F98" w:rsidRPr="00A87961" w:rsidRDefault="00EF1F98" w:rsidP="0011737C">
      <w:pPr>
        <w:spacing w:line="480" w:lineRule="auto"/>
        <w:rPr>
          <w:rFonts w:cs="Times New Roman"/>
          <w:b/>
          <w:bCs/>
        </w:rPr>
      </w:pPr>
      <w:r w:rsidRPr="00A87961">
        <w:rPr>
          <w:rFonts w:cs="Times New Roman"/>
          <w:b/>
          <w:bCs/>
        </w:rPr>
        <w:t xml:space="preserve">Results </w:t>
      </w:r>
    </w:p>
    <w:p w14:paraId="3FB8FB0F" w14:textId="3F4698E3" w:rsidR="00EF1F98" w:rsidRPr="00A87961" w:rsidRDefault="00EF1F98" w:rsidP="0011737C">
      <w:pPr>
        <w:spacing w:line="480" w:lineRule="auto"/>
        <w:rPr>
          <w:rFonts w:cs="Times New Roman"/>
          <w:strike/>
          <w:color w:val="000000" w:themeColor="text1"/>
        </w:rPr>
      </w:pPr>
      <w:r w:rsidRPr="00A87961">
        <w:rPr>
          <w:rFonts w:cs="Times New Roman"/>
        </w:rPr>
        <w:t xml:space="preserve">The search </w:t>
      </w:r>
      <w:r w:rsidR="00200308" w:rsidRPr="00A87961">
        <w:rPr>
          <w:rFonts w:cs="Times New Roman"/>
        </w:rPr>
        <w:t xml:space="preserve">returned </w:t>
      </w:r>
      <w:r w:rsidR="00EC2D0A" w:rsidRPr="00A87961">
        <w:rPr>
          <w:rFonts w:cs="Times New Roman"/>
        </w:rPr>
        <w:t>8714</w:t>
      </w:r>
      <w:r w:rsidRPr="00A87961">
        <w:rPr>
          <w:rFonts w:cs="Times New Roman"/>
        </w:rPr>
        <w:t xml:space="preserve"> </w:t>
      </w:r>
      <w:r w:rsidR="00932692" w:rsidRPr="00A87961">
        <w:rPr>
          <w:rFonts w:cs="Times New Roman"/>
        </w:rPr>
        <w:t>studies</w:t>
      </w:r>
      <w:r w:rsidR="00200308" w:rsidRPr="00A87961">
        <w:rPr>
          <w:rFonts w:cs="Times New Roman"/>
        </w:rPr>
        <w:t xml:space="preserve">, </w:t>
      </w:r>
      <w:r w:rsidR="00FF1D42" w:rsidRPr="00A87961">
        <w:rPr>
          <w:rFonts w:cs="Times New Roman"/>
        </w:rPr>
        <w:t>19</w:t>
      </w:r>
      <w:r w:rsidRPr="00A87961">
        <w:rPr>
          <w:rFonts w:cs="Times New Roman"/>
        </w:rPr>
        <w:t xml:space="preserve"> </w:t>
      </w:r>
      <w:r w:rsidR="00200308" w:rsidRPr="00A87961">
        <w:rPr>
          <w:rFonts w:cs="Times New Roman"/>
        </w:rPr>
        <w:t xml:space="preserve">of which met our </w:t>
      </w:r>
      <w:r w:rsidRPr="00A87961">
        <w:rPr>
          <w:rFonts w:cs="Times New Roman"/>
        </w:rPr>
        <w:t xml:space="preserve">inclusion criteria. </w:t>
      </w:r>
      <w:r w:rsidRPr="00A87961">
        <w:rPr>
          <w:rFonts w:cs="Times New Roman"/>
          <w:color w:val="000000" w:themeColor="text1"/>
        </w:rPr>
        <w:t>Sample sizes ranged from</w:t>
      </w:r>
      <w:r w:rsidR="00C21D31" w:rsidRPr="00A87961">
        <w:rPr>
          <w:rFonts w:cs="Times New Roman"/>
          <w:color w:val="000000" w:themeColor="text1"/>
        </w:rPr>
        <w:t xml:space="preserve"> 23 to</w:t>
      </w:r>
      <w:r w:rsidRPr="00A87961">
        <w:rPr>
          <w:rFonts w:cs="Times New Roman"/>
          <w:color w:val="000000" w:themeColor="text1"/>
        </w:rPr>
        <w:t xml:space="preserve"> </w:t>
      </w:r>
      <w:r w:rsidR="00CD721B" w:rsidRPr="00A87961">
        <w:rPr>
          <w:rFonts w:cs="Times New Roman"/>
          <w:color w:val="000000" w:themeColor="text1"/>
        </w:rPr>
        <w:t xml:space="preserve">390 </w:t>
      </w:r>
      <w:r w:rsidR="00C21D31" w:rsidRPr="00A87961">
        <w:rPr>
          <w:rFonts w:cs="Times New Roman"/>
          <w:color w:val="000000" w:themeColor="text1"/>
        </w:rPr>
        <w:t>animals</w:t>
      </w:r>
      <w:r w:rsidRPr="00A87961">
        <w:rPr>
          <w:rFonts w:cs="Times New Roman"/>
          <w:color w:val="000000" w:themeColor="text1"/>
        </w:rPr>
        <w:t xml:space="preserve">. </w:t>
      </w:r>
      <w:r w:rsidR="00437D5E" w:rsidRPr="00A87961">
        <w:rPr>
          <w:rFonts w:cs="Times New Roman"/>
          <w:color w:val="000000" w:themeColor="text1"/>
        </w:rPr>
        <w:t xml:space="preserve">WIN 55,212-2 (n=6) and AM 630 (n=8) were the most used cannabinoid receptor agonist and antagonist respectively. Acute </w:t>
      </w:r>
      <w:r w:rsidR="00463180" w:rsidRPr="00A87961">
        <w:rPr>
          <w:rFonts w:cs="Times New Roman"/>
          <w:color w:val="000000" w:themeColor="text1"/>
        </w:rPr>
        <w:t>SCI</w:t>
      </w:r>
      <w:r w:rsidRPr="00A87961">
        <w:rPr>
          <w:rFonts w:cs="Times New Roman"/>
          <w:color w:val="000000" w:themeColor="text1"/>
        </w:rPr>
        <w:t xml:space="preserve"> models</w:t>
      </w:r>
      <w:r w:rsidR="004D684B" w:rsidRPr="00A87961">
        <w:rPr>
          <w:rFonts w:cs="Times New Roman"/>
          <w:color w:val="000000" w:themeColor="text1"/>
        </w:rPr>
        <w:t xml:space="preserve"> included </w:t>
      </w:r>
      <w:r w:rsidRPr="00A87961">
        <w:rPr>
          <w:rFonts w:cs="Times New Roman"/>
          <w:color w:val="000000" w:themeColor="text1"/>
        </w:rPr>
        <w:t>traumatic</w:t>
      </w:r>
      <w:r w:rsidR="00B12B84" w:rsidRPr="00A87961">
        <w:rPr>
          <w:rFonts w:cs="Times New Roman"/>
          <w:color w:val="000000" w:themeColor="text1"/>
        </w:rPr>
        <w:t xml:space="preserve"> injury</w:t>
      </w:r>
      <w:r w:rsidRPr="00A87961">
        <w:rPr>
          <w:rFonts w:cs="Times New Roman"/>
          <w:color w:val="000000" w:themeColor="text1"/>
        </w:rPr>
        <w:t xml:space="preserve"> (n=</w:t>
      </w:r>
      <w:r w:rsidR="00CD721B" w:rsidRPr="00A87961">
        <w:rPr>
          <w:rFonts w:cs="Times New Roman"/>
          <w:color w:val="000000" w:themeColor="text1"/>
        </w:rPr>
        <w:t>16</w:t>
      </w:r>
      <w:r w:rsidRPr="00A87961">
        <w:rPr>
          <w:rFonts w:cs="Times New Roman"/>
          <w:color w:val="000000" w:themeColor="text1"/>
        </w:rPr>
        <w:t>),</w:t>
      </w:r>
      <w:r w:rsidR="00CD721B" w:rsidRPr="00A87961">
        <w:rPr>
          <w:rFonts w:cs="Times New Roman"/>
          <w:color w:val="000000" w:themeColor="text1"/>
        </w:rPr>
        <w:t xml:space="preserve"> </w:t>
      </w:r>
      <w:r w:rsidR="00CB30F6" w:rsidRPr="00A87961">
        <w:rPr>
          <w:rFonts w:cs="Times New Roman"/>
          <w:color w:val="000000" w:themeColor="text1"/>
        </w:rPr>
        <w:t xml:space="preserve">ischaemia/reperfusion injury (n=2), </w:t>
      </w:r>
      <w:r w:rsidR="00CD721B" w:rsidRPr="00A87961">
        <w:rPr>
          <w:rFonts w:cs="Times New Roman"/>
          <w:color w:val="000000" w:themeColor="text1"/>
        </w:rPr>
        <w:t>spinal cord</w:t>
      </w:r>
      <w:r w:rsidRPr="00A87961">
        <w:rPr>
          <w:rFonts w:cs="Times New Roman"/>
          <w:color w:val="000000" w:themeColor="text1"/>
        </w:rPr>
        <w:t xml:space="preserve"> </w:t>
      </w:r>
      <w:r w:rsidR="00CD721B" w:rsidRPr="00A87961">
        <w:rPr>
          <w:rFonts w:cs="Times New Roman"/>
          <w:color w:val="000000" w:themeColor="text1"/>
        </w:rPr>
        <w:t>cryoinjury (n=1)</w:t>
      </w:r>
      <w:r w:rsidR="00463180" w:rsidRPr="00A87961">
        <w:rPr>
          <w:rFonts w:cs="Times New Roman"/>
          <w:color w:val="000000" w:themeColor="text1"/>
        </w:rPr>
        <w:t xml:space="preserve"> and </w:t>
      </w:r>
      <w:r w:rsidRPr="00A87961">
        <w:rPr>
          <w:rFonts w:cs="Times New Roman"/>
          <w:color w:val="000000" w:themeColor="text1"/>
        </w:rPr>
        <w:t>spinal cord ischaemia (n=</w:t>
      </w:r>
      <w:r w:rsidR="00CD721B" w:rsidRPr="00A87961">
        <w:rPr>
          <w:rFonts w:cs="Times New Roman"/>
          <w:color w:val="000000" w:themeColor="text1"/>
        </w:rPr>
        <w:t>1</w:t>
      </w:r>
      <w:r w:rsidRPr="00A87961">
        <w:rPr>
          <w:rFonts w:cs="Times New Roman"/>
          <w:color w:val="000000" w:themeColor="text1"/>
        </w:rPr>
        <w:t>)</w:t>
      </w:r>
      <w:r w:rsidR="00CB30F6" w:rsidRPr="00A87961">
        <w:rPr>
          <w:rFonts w:cs="Times New Roman"/>
          <w:color w:val="000000" w:themeColor="text1"/>
        </w:rPr>
        <w:t xml:space="preserve">. </w:t>
      </w:r>
      <w:r w:rsidR="00437D5E" w:rsidRPr="00A87961">
        <w:rPr>
          <w:rFonts w:cs="Times New Roman"/>
          <w:color w:val="000000" w:themeColor="text1"/>
        </w:rPr>
        <w:t xml:space="preserve">Assessment tools used assessed locomotor function, </w:t>
      </w:r>
      <w:proofErr w:type="gramStart"/>
      <w:r w:rsidR="00437D5E" w:rsidRPr="00A87961">
        <w:rPr>
          <w:rFonts w:cs="Times New Roman"/>
          <w:color w:val="000000" w:themeColor="text1"/>
        </w:rPr>
        <w:t>pain</w:t>
      </w:r>
      <w:proofErr w:type="gramEnd"/>
      <w:r w:rsidR="00437D5E" w:rsidRPr="00A87961">
        <w:rPr>
          <w:rFonts w:cs="Times New Roman"/>
          <w:color w:val="000000" w:themeColor="text1"/>
        </w:rPr>
        <w:t xml:space="preserve"> and </w:t>
      </w:r>
      <w:r w:rsidR="00437D5E" w:rsidRPr="00A87961">
        <w:rPr>
          <w:rFonts w:cs="Times New Roman"/>
          <w:color w:val="000000" w:themeColor="text1"/>
        </w:rPr>
        <w:lastRenderedPageBreak/>
        <w:t>anxi</w:t>
      </w:r>
      <w:r w:rsidR="00E456B9" w:rsidRPr="00A87961">
        <w:rPr>
          <w:rFonts w:cs="Times New Roman"/>
          <w:color w:val="000000" w:themeColor="text1"/>
        </w:rPr>
        <w:t>ety</w:t>
      </w:r>
      <w:r w:rsidR="00437D5E" w:rsidRPr="00A87961">
        <w:rPr>
          <w:rFonts w:cs="Times New Roman"/>
          <w:color w:val="000000" w:themeColor="text1"/>
        </w:rPr>
        <w:t xml:space="preserve">. </w:t>
      </w:r>
      <w:r w:rsidR="00E456B9" w:rsidRPr="00A87961">
        <w:rPr>
          <w:rFonts w:cs="Times New Roman"/>
          <w:color w:val="000000" w:themeColor="text1"/>
        </w:rPr>
        <w:t>C</w:t>
      </w:r>
      <w:r w:rsidR="00CB30F6" w:rsidRPr="00A87961">
        <w:rPr>
          <w:rFonts w:cs="Times New Roman"/>
          <w:color w:val="000000" w:themeColor="text1"/>
        </w:rPr>
        <w:t xml:space="preserve">annabinoid receptor agonists </w:t>
      </w:r>
      <w:r w:rsidRPr="00A87961">
        <w:rPr>
          <w:rFonts w:cs="Times New Roman"/>
          <w:color w:val="000000" w:themeColor="text1"/>
        </w:rPr>
        <w:t>resulted in statistically significant improvement</w:t>
      </w:r>
      <w:r w:rsidR="00437D5E" w:rsidRPr="00A87961">
        <w:rPr>
          <w:rFonts w:cs="Times New Roman"/>
          <w:color w:val="000000" w:themeColor="text1"/>
        </w:rPr>
        <w:t xml:space="preserve"> </w:t>
      </w:r>
      <w:r w:rsidRPr="00A87961">
        <w:rPr>
          <w:rFonts w:cs="Times New Roman"/>
          <w:color w:val="000000" w:themeColor="text1"/>
        </w:rPr>
        <w:t>in</w:t>
      </w:r>
      <w:r w:rsidR="00437D5E" w:rsidRPr="00A87961">
        <w:rPr>
          <w:rFonts w:cs="Times New Roman"/>
          <w:color w:val="000000" w:themeColor="text1"/>
        </w:rPr>
        <w:t xml:space="preserve"> locomotor function in</w:t>
      </w:r>
      <w:r w:rsidRPr="00A87961">
        <w:rPr>
          <w:rFonts w:cs="Times New Roman"/>
          <w:color w:val="000000" w:themeColor="text1"/>
        </w:rPr>
        <w:t xml:space="preserve"> </w:t>
      </w:r>
      <w:r w:rsidR="003E51BC" w:rsidRPr="00A87961">
        <w:rPr>
          <w:rFonts w:cs="Times New Roman"/>
          <w:color w:val="000000" w:themeColor="text1"/>
        </w:rPr>
        <w:t>9</w:t>
      </w:r>
      <w:r w:rsidR="006874BF" w:rsidRPr="00A87961">
        <w:rPr>
          <w:rFonts w:cs="Times New Roman"/>
          <w:color w:val="000000" w:themeColor="text1"/>
        </w:rPr>
        <w:t xml:space="preserve"> </w:t>
      </w:r>
      <w:r w:rsidR="005803D0" w:rsidRPr="00A87961">
        <w:rPr>
          <w:rFonts w:cs="Times New Roman"/>
          <w:color w:val="000000" w:themeColor="text1"/>
        </w:rPr>
        <w:t xml:space="preserve">out </w:t>
      </w:r>
      <w:r w:rsidR="006874BF" w:rsidRPr="00A87961">
        <w:rPr>
          <w:rFonts w:cs="Times New Roman"/>
          <w:color w:val="000000" w:themeColor="text1"/>
        </w:rPr>
        <w:t xml:space="preserve">of 10 </w:t>
      </w:r>
      <w:r w:rsidR="00437D5E" w:rsidRPr="00A87961">
        <w:rPr>
          <w:rFonts w:cs="Times New Roman"/>
          <w:color w:val="000000" w:themeColor="text1"/>
        </w:rPr>
        <w:t>studies</w:t>
      </w:r>
      <w:r w:rsidR="0002245A" w:rsidRPr="00A87961">
        <w:rPr>
          <w:rFonts w:cs="Times New Roman"/>
          <w:color w:val="000000" w:themeColor="text1"/>
        </w:rPr>
        <w:t xml:space="preserve"> and </w:t>
      </w:r>
      <w:r w:rsidR="00437D5E" w:rsidRPr="00A87961">
        <w:rPr>
          <w:rFonts w:cs="Times New Roman"/>
          <w:color w:val="000000" w:themeColor="text1"/>
        </w:rPr>
        <w:t>pain outcomes</w:t>
      </w:r>
      <w:r w:rsidR="006874BF" w:rsidRPr="00A87961">
        <w:rPr>
          <w:rFonts w:cs="Times New Roman"/>
          <w:color w:val="000000" w:themeColor="text1"/>
        </w:rPr>
        <w:t xml:space="preserve"> in </w:t>
      </w:r>
      <w:r w:rsidR="00F36804" w:rsidRPr="00A87961">
        <w:rPr>
          <w:rFonts w:cs="Times New Roman"/>
          <w:color w:val="000000" w:themeColor="text1"/>
        </w:rPr>
        <w:t>6</w:t>
      </w:r>
      <w:r w:rsidR="006874BF" w:rsidRPr="00A87961">
        <w:rPr>
          <w:rFonts w:cs="Times New Roman"/>
          <w:color w:val="000000" w:themeColor="text1"/>
        </w:rPr>
        <w:t xml:space="preserve"> out of </w:t>
      </w:r>
      <w:r w:rsidR="00F36804" w:rsidRPr="00A87961">
        <w:rPr>
          <w:rFonts w:cs="Times New Roman"/>
          <w:color w:val="000000" w:themeColor="text1"/>
        </w:rPr>
        <w:t>6</w:t>
      </w:r>
      <w:r w:rsidR="006874BF" w:rsidRPr="00A87961">
        <w:rPr>
          <w:rFonts w:cs="Times New Roman"/>
          <w:color w:val="000000" w:themeColor="text1"/>
        </w:rPr>
        <w:t xml:space="preserve"> studies.</w:t>
      </w:r>
      <w:r w:rsidR="00437D5E" w:rsidRPr="00A87961">
        <w:rPr>
          <w:rFonts w:cs="Times New Roman"/>
          <w:color w:val="000000" w:themeColor="text1"/>
        </w:rPr>
        <w:t xml:space="preserve"> </w:t>
      </w:r>
    </w:p>
    <w:p w14:paraId="3684563A" w14:textId="77777777" w:rsidR="00EF1F98" w:rsidRPr="00A87961" w:rsidRDefault="00EF1F98" w:rsidP="0011737C">
      <w:pPr>
        <w:spacing w:line="480" w:lineRule="auto"/>
        <w:rPr>
          <w:rFonts w:cs="Times New Roman"/>
        </w:rPr>
      </w:pPr>
    </w:p>
    <w:p w14:paraId="0DECB881" w14:textId="77777777" w:rsidR="00EF1F98" w:rsidRPr="00A87961" w:rsidRDefault="00EF1F98" w:rsidP="0011737C">
      <w:pPr>
        <w:spacing w:line="480" w:lineRule="auto"/>
        <w:rPr>
          <w:rFonts w:cs="Times New Roman"/>
          <w:b/>
          <w:bCs/>
        </w:rPr>
      </w:pPr>
      <w:r w:rsidRPr="00A87961">
        <w:rPr>
          <w:rFonts w:cs="Times New Roman"/>
          <w:b/>
          <w:bCs/>
        </w:rPr>
        <w:t>Conclusion</w:t>
      </w:r>
    </w:p>
    <w:p w14:paraId="0336EDDF" w14:textId="01706939" w:rsidR="00CA2507" w:rsidRPr="00A87961" w:rsidRDefault="00CA2507" w:rsidP="0011737C">
      <w:pPr>
        <w:spacing w:line="480" w:lineRule="auto"/>
        <w:rPr>
          <w:rFonts w:cs="Times New Roman"/>
        </w:rPr>
      </w:pPr>
      <w:r w:rsidRPr="00A87961">
        <w:rPr>
          <w:rFonts w:cs="Times New Roman"/>
        </w:rPr>
        <w:t>Modulation of the endo-cannabinoid system has demonstrated significant improvement in both pain and locomotor function in pre-clinical SCI models</w:t>
      </w:r>
      <w:r w:rsidR="00916A15" w:rsidRPr="00A87961">
        <w:rPr>
          <w:rFonts w:cs="Times New Roman"/>
        </w:rPr>
        <w:t>;</w:t>
      </w:r>
      <w:r w:rsidR="00760387" w:rsidRPr="00A87961">
        <w:rPr>
          <w:rFonts w:cs="Times New Roman"/>
          <w:color w:val="000000" w:themeColor="text1"/>
        </w:rPr>
        <w:t xml:space="preserve"> </w:t>
      </w:r>
      <w:r w:rsidR="002F183B" w:rsidRPr="00A87961">
        <w:rPr>
          <w:rFonts w:cs="Times New Roman"/>
          <w:color w:val="000000" w:themeColor="text1"/>
        </w:rPr>
        <w:t>h</w:t>
      </w:r>
      <w:r w:rsidR="00760387" w:rsidRPr="00A87961">
        <w:rPr>
          <w:rFonts w:cs="Times New Roman"/>
          <w:color w:val="000000" w:themeColor="text1"/>
        </w:rPr>
        <w:t xml:space="preserve">owever, </w:t>
      </w:r>
      <w:r w:rsidR="00916A15" w:rsidRPr="00A87961">
        <w:rPr>
          <w:rFonts w:cs="Times New Roman"/>
          <w:color w:val="000000" w:themeColor="text1"/>
        </w:rPr>
        <w:t xml:space="preserve">the </w:t>
      </w:r>
      <w:r w:rsidR="00760387" w:rsidRPr="00A87961">
        <w:rPr>
          <w:rFonts w:cs="Times New Roman"/>
          <w:color w:val="000000" w:themeColor="text1"/>
        </w:rPr>
        <w:t xml:space="preserve">risk of bias </w:t>
      </w:r>
      <w:r w:rsidR="002F183B" w:rsidRPr="00A87961">
        <w:rPr>
          <w:rFonts w:cs="Times New Roman"/>
          <w:color w:val="000000" w:themeColor="text1"/>
        </w:rPr>
        <w:t>is</w:t>
      </w:r>
      <w:r w:rsidR="00760387" w:rsidRPr="00A87961">
        <w:rPr>
          <w:rFonts w:cs="Times New Roman"/>
          <w:color w:val="000000" w:themeColor="text1"/>
        </w:rPr>
        <w:t xml:space="preserve"> unclear in all studies. </w:t>
      </w:r>
      <w:r w:rsidRPr="00A87961">
        <w:rPr>
          <w:rFonts w:cs="Times New Roman"/>
        </w:rPr>
        <w:t>These results may help to contextualise future translational clinical trials investigating whether cannabinoids can improve pain and locomotor function in SCI</w:t>
      </w:r>
      <w:r w:rsidR="00612305">
        <w:rPr>
          <w:rFonts w:cs="Times New Roman"/>
        </w:rPr>
        <w:t xml:space="preserve"> patients</w:t>
      </w:r>
      <w:r w:rsidR="002F183B" w:rsidRPr="00A87961">
        <w:rPr>
          <w:rFonts w:cs="Times New Roman"/>
        </w:rPr>
        <w:t>.</w:t>
      </w:r>
      <w:r w:rsidRPr="00A87961">
        <w:rPr>
          <w:rFonts w:cs="Times New Roman"/>
        </w:rPr>
        <w:t xml:space="preserve"> </w:t>
      </w:r>
    </w:p>
    <w:p w14:paraId="7D5949B2" w14:textId="054681FB" w:rsidR="003E0AD7" w:rsidRPr="00A87961" w:rsidRDefault="00FF1D42" w:rsidP="0011737C">
      <w:pPr>
        <w:spacing w:line="480" w:lineRule="auto"/>
        <w:rPr>
          <w:rFonts w:cs="Times New Roman"/>
          <w:color w:val="000000" w:themeColor="text1"/>
          <w:sz w:val="22"/>
          <w:szCs w:val="22"/>
        </w:rPr>
      </w:pPr>
      <w:r w:rsidRPr="00A87961">
        <w:rPr>
          <w:rFonts w:cs="Times New Roman"/>
          <w:color w:val="000000" w:themeColor="text1"/>
          <w:sz w:val="22"/>
          <w:szCs w:val="22"/>
        </w:rPr>
        <w:br w:type="page"/>
      </w:r>
      <w:r w:rsidR="00B12B84" w:rsidRPr="00A87961">
        <w:rPr>
          <w:rFonts w:cs="Times New Roman"/>
          <w:b/>
          <w:bCs/>
        </w:rPr>
        <w:lastRenderedPageBreak/>
        <w:t>Introduction</w:t>
      </w:r>
    </w:p>
    <w:p w14:paraId="28F3C543" w14:textId="77777777" w:rsidR="003E0AD7" w:rsidRPr="00A87961" w:rsidRDefault="003E0AD7" w:rsidP="0011737C">
      <w:pPr>
        <w:spacing w:line="480" w:lineRule="auto"/>
        <w:rPr>
          <w:rFonts w:cs="Times New Roman"/>
        </w:rPr>
      </w:pPr>
    </w:p>
    <w:p w14:paraId="72E225A3" w14:textId="0990F94A" w:rsidR="00E456B9" w:rsidRPr="00A87961" w:rsidRDefault="00FE0A19" w:rsidP="0011737C">
      <w:pPr>
        <w:spacing w:line="480" w:lineRule="auto"/>
        <w:rPr>
          <w:rFonts w:cs="Times New Roman"/>
        </w:rPr>
      </w:pPr>
      <w:r w:rsidRPr="00A87961">
        <w:rPr>
          <w:rFonts w:cs="Times New Roman"/>
        </w:rPr>
        <w:t>S</w:t>
      </w:r>
      <w:r w:rsidR="00B35C66" w:rsidRPr="00A87961">
        <w:rPr>
          <w:rFonts w:cs="Times New Roman"/>
        </w:rPr>
        <w:t xml:space="preserve">pinal cord injury (SCI) </w:t>
      </w:r>
      <w:r w:rsidR="00221209" w:rsidRPr="00A87961">
        <w:rPr>
          <w:rFonts w:cs="Times New Roman"/>
        </w:rPr>
        <w:t xml:space="preserve">is a traumatic event associated with severe </w:t>
      </w:r>
      <w:r w:rsidR="00B35C66" w:rsidRPr="00A87961">
        <w:rPr>
          <w:rFonts w:cs="Times New Roman"/>
        </w:rPr>
        <w:t>disability and mortality</w:t>
      </w:r>
      <w:r w:rsidR="00221209" w:rsidRPr="00A87961">
        <w:rPr>
          <w:rFonts w:cs="Times New Roman"/>
        </w:rPr>
        <w:fldChar w:fldCharType="begin" w:fldLock="1"/>
      </w:r>
      <w:r w:rsidR="00C416DA">
        <w:rPr>
          <w:rFonts w:cs="Times New Roman"/>
        </w:rPr>
        <w:instrText>ADDIN CSL_CITATION {"citationItems":[{"id":"ITEM-1","itemData":{"PMID":"32809556","author":[{"dropping-particle":"","family":"Bennett","given":"Joe","non-dropping-particle":"","parse-names":false,"suffix":""},{"dropping-particle":"","family":"Das","given":"Joe M","non-dropping-particle":"","parse-names":false,"suffix":""},{"dropping-particle":"","family":"Emmady","given":"Prabhu D.","non-dropping-particle":"","parse-names":false,"suffix":""}],"id":"ITEM-1","issued":{"date-parts":[["2020","11","20"]]},"publisher":"StatPearls Publishing","title":"Spinal Cord Injuries","type":"article-journal"},"uris":["http://www.mendeley.com/documents/?uuid=2d0665c4-cdca-373c-b0fb-e1dc8dfcd352"]}],"mendeley":{"formattedCitation":"[1]","plainTextFormattedCitation":"[1]","previouslyFormattedCitation":"[1]"},"properties":{"noteIndex":0},"schema":"https://github.com/citation-style-language/schema/raw/master/csl-citation.json"}</w:instrText>
      </w:r>
      <w:r w:rsidR="00221209" w:rsidRPr="00A87961">
        <w:rPr>
          <w:rFonts w:cs="Times New Roman"/>
        </w:rPr>
        <w:fldChar w:fldCharType="separate"/>
      </w:r>
      <w:r w:rsidR="009B5F4E" w:rsidRPr="009B5F4E">
        <w:rPr>
          <w:rFonts w:cs="Times New Roman"/>
          <w:noProof/>
        </w:rPr>
        <w:t>[1]</w:t>
      </w:r>
      <w:r w:rsidR="00221209" w:rsidRPr="00A87961">
        <w:rPr>
          <w:rFonts w:cs="Times New Roman"/>
        </w:rPr>
        <w:fldChar w:fldCharType="end"/>
      </w:r>
      <w:r w:rsidR="001A026A" w:rsidRPr="00A87961">
        <w:rPr>
          <w:rFonts w:cs="Times New Roman"/>
        </w:rPr>
        <w:t>.</w:t>
      </w:r>
      <w:r w:rsidRPr="00A87961">
        <w:rPr>
          <w:rFonts w:cs="Times New Roman"/>
        </w:rPr>
        <w:t xml:space="preserve"> </w:t>
      </w:r>
      <w:r w:rsidR="007178F4" w:rsidRPr="00A87961">
        <w:rPr>
          <w:rFonts w:cs="Times New Roman"/>
        </w:rPr>
        <w:t>P</w:t>
      </w:r>
      <w:r w:rsidRPr="00A87961">
        <w:rPr>
          <w:rFonts w:cs="Times New Roman"/>
        </w:rPr>
        <w:t>r</w:t>
      </w:r>
      <w:r w:rsidR="00B35C66" w:rsidRPr="00A87961">
        <w:rPr>
          <w:rFonts w:cs="Times New Roman"/>
        </w:rPr>
        <w:t>evalence</w:t>
      </w:r>
      <w:r w:rsidR="00C65A9C" w:rsidRPr="00A87961">
        <w:rPr>
          <w:rFonts w:cs="Times New Roman"/>
        </w:rPr>
        <w:t xml:space="preserve"> </w:t>
      </w:r>
      <w:r w:rsidR="007178F4" w:rsidRPr="00A87961">
        <w:rPr>
          <w:rFonts w:cs="Times New Roman"/>
        </w:rPr>
        <w:t xml:space="preserve">of SCI is </w:t>
      </w:r>
      <w:r w:rsidRPr="00A87961">
        <w:rPr>
          <w:rFonts w:cs="Times New Roman"/>
        </w:rPr>
        <w:t xml:space="preserve">estimated to be </w:t>
      </w:r>
      <w:r w:rsidR="00B35C66" w:rsidRPr="00A87961">
        <w:rPr>
          <w:rFonts w:cs="Times New Roman"/>
        </w:rPr>
        <w:t xml:space="preserve">906 cases per million </w:t>
      </w:r>
      <w:r w:rsidR="00804A23" w:rsidRPr="00A87961">
        <w:rPr>
          <w:rFonts w:cs="Times New Roman"/>
        </w:rPr>
        <w:t xml:space="preserve">in the </w:t>
      </w:r>
      <w:r w:rsidRPr="00A87961">
        <w:rPr>
          <w:rFonts w:cs="Times New Roman"/>
        </w:rPr>
        <w:t xml:space="preserve">United States </w:t>
      </w:r>
      <w:r w:rsidR="00804A23" w:rsidRPr="00A87961">
        <w:rPr>
          <w:rFonts w:cs="Times New Roman"/>
        </w:rPr>
        <w:t xml:space="preserve">and incidence as high as 58 cases per million </w:t>
      </w:r>
      <w:r w:rsidR="00C65A9C" w:rsidRPr="00A87961">
        <w:rPr>
          <w:rFonts w:cs="Times New Roman"/>
        </w:rPr>
        <w:t xml:space="preserve">per year </w:t>
      </w:r>
      <w:r w:rsidR="00804A23" w:rsidRPr="00A87961">
        <w:rPr>
          <w:rFonts w:cs="Times New Roman"/>
        </w:rPr>
        <w:t>in</w:t>
      </w:r>
      <w:r w:rsidRPr="00A87961">
        <w:rPr>
          <w:rFonts w:cs="Times New Roman"/>
        </w:rPr>
        <w:t xml:space="preserve"> some European countries</w:t>
      </w:r>
      <w:r w:rsidR="00C416DA">
        <w:rPr>
          <w:rFonts w:cs="Times New Roman"/>
        </w:rPr>
        <w:fldChar w:fldCharType="begin" w:fldLock="1"/>
      </w:r>
      <w:r w:rsidR="00C416DA">
        <w:rPr>
          <w:rFonts w:cs="Times New Roman"/>
        </w:rPr>
        <w:instrText>ADDIN CSL_CITATION {"citationItems":[{"id":"ITEM-1","itemData":{"DOI":"10.1038/sj.sc.3101893","ISSN":"13624393","PMID":"16389270","abstract":"Study design: Literature survey. Objectives: To provide an overview of the literature data on incidence, prevalence and epidemiology of spinal cord injury (SCI) worldwide and to study their evolution since 1977. Setting: University Antwerp. Methods: The literature from 1995 onwards was searched on Pubmed. To include evolutionary data, we incorporated the results of three older studies. Results: Two studies gave prevalence of SCI, and 17 incidence of SCI. The published data on prevalence of SCI was insufficient to consider the range of 223-755 per million inhabitants to be representative for a worldwide estimate. Reported incidence of SCI lies between 10.4 and 83 per million inhabitants per year. One-third of patients with SCI are reported to be tetraplegic and 50% of patients with SCI to have a complete lesion. The mean age of patients sustaining their injury at is reported as 33 years old, and the sex distribution (men/women) as 3.8/1. Conclusion: There is a need for improved registration of SCI, and publication of the findings in many parts of the world. This survey pleads for uniformity in methodology. The data show that the reported incidence and prevalence have not changed substantially over the past 30 years. Data from Northern America and Europe show higher figures for incidence, but prevalence figures have remained the same. Epidemiology of SCI seems to have changed during the last decades with a higher percentage of tetraplegia and of complete lesions. If such evolution is present worldwide, how it could eventually be prevented needs to be studied. © 2006 International Spinal Cord Society. All rights reserved.","author":[{"dropping-particle":"","family":"Wyndaele","given":"M.","non-dropping-particle":"","parse-names":false,"suffix":""},{"dropping-particle":"","family":"Wyndaele","given":"J. J.","non-dropping-particle":"","parse-names":false,"suffix":""}],"container-title":"Spinal Cord","id":"ITEM-1","issue":"9","issued":{"date-parts":[["2006","9","13"]]},"page":"523-529","publisher":"Spinal Cord","title":"Incidence, prevalence and epidemiology of spinal cord injury: What learns a worldwide literature survey?","type":"article","volume":"44"},"uris":["http://www.mendeley.com/documents/?uuid=b68f14f3-d6b6-3876-a40a-ea4d9a56da7e"]},{"id":"ITEM-2","itemData":{"DOI":"10.2147/CLEP.S68889","ISSN":"11791349","PMID":"25278785","abstract":"Background: Spinal cord injury (SCI) is a traumatic event that impacts a patient’s physical, psychological, and social well-being and places substantial financial burden on health care systems. To determine the true impact of SCI, this systematic review aims to summarize literature reporting on either the incidence or prevalence of SCI.\nMethods: A systematic search was conducted using PubMed, MEDLINE, MEDLINE in process, EMBASE, Cochrane Controlled Trial Register, and Cochrane Database of Systematic Reviews to identify relevant literature published through June 2013. We sought studies that provided regional, provincial/state, or national data on the incidence of SCI or reported estimates of disease prevalence. The level of evidence of each study was rated using a scale that evaluated study design, methodology, sampling bias, and precision of estimates.\nResults: The initial search yielded 5,874 articles, 48 of which met the inclusion criteria. Forty-four studies estimated the incidence of SCI and nine reported the prevalence, with five discussing both. Of the incidence studies, 14 provided figures at a regional, ten at a state or provincial level and 21 at a national level. The prevalence of SCI was highest in the United States of America (906 per million) and lowest in the Rhone-Alpes region, France (250 per million) and Helsinki, Finland (280 per million). With respect to states and provinces in North America, the crude annual incidence of SCI was highest in Alaska (83 per million) and Mississippi (77 per million) and lowest in Alabama (29.4 per million), despite a large percentage of violence injuries (21.2%). Annual incidences were above 50 per million in the Hualien County in Taiwan (56.1 per million), the central Portugal region (58 per million), and Olmsted County in Minnesota (54.8 per million) and were lower than 20 per million in Taipei, Taiwan (14.6 per million), the Rhone-Alpes region in France (12.7 per million), Aragon, Spain (12.1 per million), Southeast Turkey (16.9 per million), and Stockholm, Sweden (19.5 per million). The highest national incidence was 49.1 per million in New Zealand, and the lowest incidences were in Fiji (10.0 per million) and Spain (8.0 per million). The majority of studies showed a high male-to-female ratio and an age of peak incidence of younger than 30 years old. Traffic accidents were typically the most common cause of SCI, followed by falls in the elderly population.\nConclusion: This review demonstrates that th…","author":[{"dropping-particle":"","family":"Singh","given":"Anoushka","non-dropping-particle":"","parse-names":false,"suffix":""},{"dropping-particle":"","family":"Tetreault","given":"Lindsay","non-dropping-particle":"","parse-names":false,"suffix":""},{"dropping-particle":"","family":"Kalsi-Ryan","given":"Suhkvinder","non-dropping-particle":"","parse-names":false,"suffix":""},{"dropping-particle":"","family":"Nouri","given":"Aria","non-dropping-particle":"","parse-names":false,"suffix":""},{"dropping-particle":"","family":"Fehlings","given":"Michael G.","non-dropping-particle":"","parse-names":false,"suffix":""}],"container-title":"Clinical Epidemiology","id":"ITEM-2","issued":{"date-parts":[["2014","9","23"]]},"page":"309-331","publisher":"Dove Medical Press Ltd","title":"Global Prevalence and incidence of traumatic spinal cord injury","type":"article","volume":"6"},"uris":["http://www.mendeley.com/documents/?uuid=baacf6e4-b88a-3eb3-a53b-25a96301e940"]}],"mendeley":{"formattedCitation":"[2,3]","plainTextFormattedCitation":"[2,3]","previouslyFormattedCitation":"[2,3]"},"properties":{"noteIndex":0},"schema":"https://github.com/citation-style-language/schema/raw/master/csl-citation.json"}</w:instrText>
      </w:r>
      <w:r w:rsidR="00C416DA">
        <w:rPr>
          <w:rFonts w:cs="Times New Roman"/>
        </w:rPr>
        <w:fldChar w:fldCharType="separate"/>
      </w:r>
      <w:r w:rsidR="00C416DA" w:rsidRPr="00C416DA">
        <w:rPr>
          <w:rFonts w:cs="Times New Roman"/>
          <w:noProof/>
        </w:rPr>
        <w:t>[2,3]</w:t>
      </w:r>
      <w:r w:rsidR="00C416DA">
        <w:rPr>
          <w:rFonts w:cs="Times New Roman"/>
        </w:rPr>
        <w:fldChar w:fldCharType="end"/>
      </w:r>
      <w:r w:rsidR="001A026A" w:rsidRPr="00A87961">
        <w:rPr>
          <w:rFonts w:cs="Times New Roman"/>
        </w:rPr>
        <w:t>.</w:t>
      </w:r>
      <w:r w:rsidR="00221209" w:rsidRPr="00A87961">
        <w:rPr>
          <w:rFonts w:cs="Times New Roman"/>
        </w:rPr>
        <w:t xml:space="preserve"> </w:t>
      </w:r>
      <w:r w:rsidR="00804A23" w:rsidRPr="00A87961">
        <w:rPr>
          <w:rFonts w:cs="Times New Roman"/>
        </w:rPr>
        <w:t xml:space="preserve">The </w:t>
      </w:r>
      <w:r w:rsidR="002D3ABD" w:rsidRPr="00A87961">
        <w:rPr>
          <w:rFonts w:cs="Times New Roman"/>
        </w:rPr>
        <w:t>consequences of SCI</w:t>
      </w:r>
      <w:r w:rsidR="001424D9" w:rsidRPr="00A87961">
        <w:rPr>
          <w:rFonts w:cs="Times New Roman"/>
        </w:rPr>
        <w:t xml:space="preserve"> </w:t>
      </w:r>
      <w:r w:rsidR="0007513C" w:rsidRPr="00A87961">
        <w:rPr>
          <w:rFonts w:cs="Times New Roman"/>
        </w:rPr>
        <w:t xml:space="preserve">encompass </w:t>
      </w:r>
      <w:r w:rsidR="002D3ABD" w:rsidRPr="00A87961">
        <w:rPr>
          <w:rFonts w:cs="Times New Roman"/>
        </w:rPr>
        <w:t xml:space="preserve">motor, sensory and autonomic </w:t>
      </w:r>
      <w:r w:rsidR="001424D9" w:rsidRPr="00A87961">
        <w:rPr>
          <w:rFonts w:cs="Times New Roman"/>
        </w:rPr>
        <w:t>domains</w:t>
      </w:r>
      <w:r w:rsidR="00656BDD" w:rsidRPr="00A87961">
        <w:rPr>
          <w:rFonts w:cs="Times New Roman"/>
        </w:rPr>
        <w:fldChar w:fldCharType="begin" w:fldLock="1"/>
      </w:r>
      <w:r w:rsidR="00C416DA">
        <w:rPr>
          <w:rFonts w:cs="Times New Roman"/>
        </w:rPr>
        <w:instrText>ADDIN CSL_CITATION {"citationItems":[{"id":"ITEM-1","itemData":{"DOI":"10.1136/bmj.k186","ISSN":"17561833","PMID":"29472200","abstract":"Degenerative cervical myelopathy OPEN ACCESS Benjamin M Davies academic clinical fellow and specialist registrar neurosurgery 1 , Oliver D Mowforth medical student, 1 , Emma K Smith specialist registrar general practice, 2 , Mark RN Kotter clinician scientist 1 and consultant neurosurgeon 1 What you need to know Consider degenerative cervical myelopathy in patients over 50 with progressive neurological symptoms, such as pain and stiffness in the neck or limbs, imbalance, numbness, loss of dexterity, frequent falls, and/or incontinence Perform a full neurological assessment as early symptoms are subtle and non-specific A magnetic resonance imaging (MRI) scan is essential to detect degenerative changes in the cervical spine and cord compression Time is Spine: Refer patients with suspected DCM promptly to a specialist for consideration of spinal surgery, as delayed diagnosis can lead to residual symptoms and functional disability A 54 year old man presents with neck stiffness for about a year. He complains of numbness in his fingers and difficulty buttoning up his shirt, which has not improved following surgery for carpal tunnel syndrome. Of late, he has experienced unsteadiness and has started to use a walking stick after sustaining falls. He sees a neurologist who identifies hyperreflexia in his arms and legs. An MRI scan shows multilevel cervical spondylosis and disc herniation causing cord compression. He is diagnosed with degenerative cervical myelopathy and referred to spinal surgery for operative decompression. What is degenerative cervical myelopathy? Degenerative cervical myelopathy (DCM), earlier referred to as cervical spondylotic myelopathy, involves spinal cord dysfunction from compression in the neck. 1 Patients report neurological symptoms such as pain and numbness in limbs, poor coordination, imbalance, and bladder problems. Owing to its mobility, the vertebral column of the neck is particularly prone to degenerative changes such as disc herniation, ligament hypertrophy or ossification, and osteophyte formation. These changes are more common with age 2 (box 1) and are often collectively termed spondylosis (fig 1). 3 Box 1: How common is it? The epidemiology of DCM is poorly understood, in part because of the difficulties in diagnosis. 3 • The prevalence of surgically treated DCM is estimated as 1.6 per 100 000 inhabitants. 4 The actual prevalence is likely to be much higher • The incidence of DCM is expected to rise with an ageing populatio…","author":[{"dropping-particle":"","family":"Davies","given":"Benjamin M.","non-dropping-particle":"","parse-names":false,"suffix":""},{"dropping-particle":"","family":"Mowforth","given":"Oliver D.","non-dropping-particle":"","parse-names":false,"suffix":""},{"dropping-particle":"","family":"Smith","given":"Emma K.","non-dropping-particle":"","parse-names":false,"suffix":""},{"dropping-particle":"","family":"Kotter","given":"Mark R.N.","non-dropping-particle":"","parse-names":false,"suffix":""}],"container-title":"BMJ (Online)","id":"ITEM-1","issued":{"date-parts":[["2018","2","22"]]},"publisher":"BMJ Publishing Group","title":"Degenerative cervical myelopathy","type":"article-journal","volume":"360"},"uris":["http://www.mendeley.com/documents/?uuid=bd0f54a0-50b4-39a9-8559-8fece0b78c9f"]}],"mendeley":{"formattedCitation":"[4]","plainTextFormattedCitation":"[4]","previouslyFormattedCitation":"[4]"},"properties":{"noteIndex":0},"schema":"https://github.com/citation-style-language/schema/raw/master/csl-citation.json"}</w:instrText>
      </w:r>
      <w:r w:rsidR="00656BDD" w:rsidRPr="00A87961">
        <w:rPr>
          <w:rFonts w:cs="Times New Roman"/>
        </w:rPr>
        <w:fldChar w:fldCharType="separate"/>
      </w:r>
      <w:r w:rsidR="009B5F4E" w:rsidRPr="009B5F4E">
        <w:rPr>
          <w:rFonts w:cs="Times New Roman"/>
          <w:noProof/>
        </w:rPr>
        <w:t>[4]</w:t>
      </w:r>
      <w:r w:rsidR="00656BDD" w:rsidRPr="00A87961">
        <w:rPr>
          <w:rFonts w:cs="Times New Roman"/>
        </w:rPr>
        <w:fldChar w:fldCharType="end"/>
      </w:r>
      <w:r w:rsidR="001A026A" w:rsidRPr="00A87961">
        <w:rPr>
          <w:rFonts w:cs="Times New Roman"/>
        </w:rPr>
        <w:t>;</w:t>
      </w:r>
      <w:r w:rsidRPr="00A87961">
        <w:rPr>
          <w:rFonts w:cs="Times New Roman"/>
        </w:rPr>
        <w:t xml:space="preserve"> </w:t>
      </w:r>
      <w:r w:rsidR="0007513C" w:rsidRPr="00A87961">
        <w:rPr>
          <w:rFonts w:cs="Times New Roman"/>
        </w:rPr>
        <w:t>functional disability</w:t>
      </w:r>
      <w:r w:rsidRPr="00A87961">
        <w:rPr>
          <w:rFonts w:cs="Times New Roman"/>
        </w:rPr>
        <w:t xml:space="preserve">, reduced </w:t>
      </w:r>
      <w:r w:rsidR="00A7017A" w:rsidRPr="00A87961">
        <w:rPr>
          <w:rFonts w:cs="Times New Roman"/>
        </w:rPr>
        <w:t xml:space="preserve">quality of life </w:t>
      </w:r>
      <w:r w:rsidRPr="00A87961">
        <w:rPr>
          <w:rFonts w:cs="Times New Roman"/>
        </w:rPr>
        <w:t>and high prevalence</w:t>
      </w:r>
      <w:r w:rsidR="00A7017A" w:rsidRPr="00A87961">
        <w:rPr>
          <w:rFonts w:cs="Times New Roman"/>
        </w:rPr>
        <w:t xml:space="preserve"> of </w:t>
      </w:r>
      <w:r w:rsidRPr="00A87961">
        <w:rPr>
          <w:rFonts w:cs="Times New Roman"/>
        </w:rPr>
        <w:t>affective disorders</w:t>
      </w:r>
      <w:r w:rsidR="0007513C" w:rsidRPr="00A87961">
        <w:rPr>
          <w:rFonts w:cs="Times New Roman"/>
        </w:rPr>
        <w:t xml:space="preserve"> </w:t>
      </w:r>
      <w:r w:rsidRPr="00A87961">
        <w:rPr>
          <w:rFonts w:cs="Times New Roman"/>
        </w:rPr>
        <w:t>a</w:t>
      </w:r>
      <w:r w:rsidR="0007513C" w:rsidRPr="00A87961">
        <w:rPr>
          <w:rFonts w:cs="Times New Roman"/>
        </w:rPr>
        <w:t>re common</w:t>
      </w:r>
      <w:r w:rsidR="00A7017A" w:rsidRPr="00A87961">
        <w:rPr>
          <w:rFonts w:cs="Times New Roman"/>
        </w:rPr>
        <w:fldChar w:fldCharType="begin" w:fldLock="1"/>
      </w:r>
      <w:r w:rsidR="00C416DA">
        <w:rPr>
          <w:rFonts w:cs="Times New Roman"/>
        </w:rPr>
        <w:instrText>ADDIN CSL_CITATION {"citationItems":[{"id":"ITEM-1","itemData":{"DOI":"10.1371/journal.pone.0169623","ISSN":"19326203","PMID":"28081205","abstract":"Background Traumatic spinal cord injury (tSCI) may involve new-onset anxiety and depression post-discharge. However, long-term population-based studies have lacked access to follow-up conditions in terms of new-onset anxiety and depression. The objective of this study was to estimate the long-term risk of new-onset anxiety and depression post-discharge. Methods The Longitudinal Health Insurance Database 2000 (LHID2000) from Taiwan's National Health Insurance Research Database was used in this study. Individuals with tSCI were identified using the International Classification of Diseases, Ninth Revision, Clinical Modification (ICD-9-CM) diagnostic codes of 806 and 952 from 1999±2008. The comparison cohort (other health conditions group) was randomly selected from the LHID2000 and was 1:1 matched by age, sex, index year, and comorbidities to reduce the selection bias. All study participants were retrospectively followed for a maximum of 3 years until the end of follow-up, death, or new-onset anxiety (ICD-9-CM: 309.2±309.4) or depression (ICD-9-CM: 296.2, 296.5, 296.82, 300.4, 309.0±309.1, and 311). Persons who were issued a catastrophic illness card for tSCI were categorized as having a severe level of SCI (Injury Severity Score [ISS] ≥16). Poisson regression was used to estimate the incidence rate ratios of anxiety or depression between patients with tSCI and other health conditions. The relative risk of anxiety or depression was estimated using a Cox regression analysis, which was adjusted for potential confounding factors. Results Univariate analyses showed that the tSCI patients (n = 3556) had a 1.33 times greater incidence of new-onset anxiety or depression (95% confidence interval [CI]: 1.12±1.57) compared to the other health conditions group (n = 3556). After adjusting for potential risk factors, the tSCI patients had a significant 1.29-fold increased risk of anxiety or depression compared to the group with other health conditions (95% CI: 1.09±1.53). Individuals with tSCI, including patients who were under the age of 35, patients who were males, patients who had a low income, and patients without a Charlson Comorbidity Index score, all had a higher long-term risk of anxiety or depression than the other health conditions group (IRRs: 1.84, 1.63, 1.29, and 1.39, respectively). For all tSCI patients, those with an Injury Severity Score (ISS) ≥16 had an almost 2-fold higher risk of anxiety or depression (adjusted Hazard Ratio: 1.85; 95% CI: 1.17±2.92)…","author":[{"dropping-particle":"","family":"Lim","given":"Sher Wei","non-dropping-particle":"","parse-names":false,"suffix":""},{"dropping-particle":"","family":"Shiue","given":"Yow Ling","non-dropping-particle":"","parse-names":false,"suffix":""},{"dropping-particle":"","family":"Ho","given":"Chung Han","non-dropping-particle":"","parse-names":false,"suffix":""},{"dropping-particle":"","family":"Yu","given":"Shou Chun","non-dropping-particle":"","parse-names":false,"suffix":""},{"dropping-particle":"","family":"Kao","given":"Pei Hsin","non-dropping-particle":"","parse-names":false,"suffix":""},{"dropping-particle":"","family":"Wang","given":"Jhi Joung","non-dropping-particle":"","parse-names":false,"suffix":""},{"dropping-particle":"","family":"Kuo","given":"Jinn Rung","non-dropping-particle":"","parse-names":false,"suffix":""}],"container-title":"PLoS ONE","id":"ITEM-1","issue":"1","issued":{"date-parts":[["2017","1","1"]]},"publisher":"Public Library of Science","title":"Anxiety and Depression in Patients with Traumatic Spinal Cord Injury: A nationwide population-based cohort study","type":"article-journal","volume":"12"},"uris":["http://www.mendeley.com/documents/?uuid=b9d2aec4-3fcd-32bd-bc2b-389c66618a82"]}],"mendeley":{"formattedCitation":"[5]","plainTextFormattedCitation":"[5]","previouslyFormattedCitation":"[5]"},"properties":{"noteIndex":0},"schema":"https://github.com/citation-style-language/schema/raw/master/csl-citation.json"}</w:instrText>
      </w:r>
      <w:r w:rsidR="00A7017A" w:rsidRPr="00A87961">
        <w:rPr>
          <w:rFonts w:cs="Times New Roman"/>
        </w:rPr>
        <w:fldChar w:fldCharType="separate"/>
      </w:r>
      <w:r w:rsidR="009B5F4E" w:rsidRPr="009B5F4E">
        <w:rPr>
          <w:rFonts w:cs="Times New Roman"/>
          <w:noProof/>
        </w:rPr>
        <w:t>[5]</w:t>
      </w:r>
      <w:r w:rsidR="00A7017A" w:rsidRPr="00A87961">
        <w:rPr>
          <w:rFonts w:cs="Times New Roman"/>
        </w:rPr>
        <w:fldChar w:fldCharType="end"/>
      </w:r>
      <w:r w:rsidR="001A026A" w:rsidRPr="00A87961">
        <w:rPr>
          <w:rFonts w:cs="Times New Roman"/>
        </w:rPr>
        <w:t>.</w:t>
      </w:r>
      <w:r w:rsidR="0007513C" w:rsidRPr="00A87961" w:rsidDel="00FE0A19">
        <w:rPr>
          <w:rFonts w:cs="Times New Roman"/>
          <w:strike/>
        </w:rPr>
        <w:t xml:space="preserve"> </w:t>
      </w:r>
      <w:r w:rsidR="00A7017A" w:rsidRPr="00A87961">
        <w:rPr>
          <w:rFonts w:cs="Times New Roman"/>
        </w:rPr>
        <w:t>Chronic neuropathic pain affect</w:t>
      </w:r>
      <w:r w:rsidR="0007513C" w:rsidRPr="00A87961">
        <w:rPr>
          <w:rFonts w:cs="Times New Roman"/>
        </w:rPr>
        <w:t xml:space="preserve">s </w:t>
      </w:r>
      <w:r w:rsidR="00A7017A" w:rsidRPr="00A87961">
        <w:rPr>
          <w:rFonts w:cs="Times New Roman"/>
        </w:rPr>
        <w:t>up to 75% of</w:t>
      </w:r>
      <w:r w:rsidR="0007513C" w:rsidRPr="00A87961">
        <w:rPr>
          <w:rFonts w:cs="Times New Roman"/>
        </w:rPr>
        <w:t xml:space="preserve"> people with</w:t>
      </w:r>
      <w:r w:rsidR="00A7017A" w:rsidRPr="00A87961">
        <w:rPr>
          <w:rFonts w:cs="Times New Roman"/>
        </w:rPr>
        <w:t xml:space="preserve"> </w:t>
      </w:r>
      <w:r w:rsidR="0007513C" w:rsidRPr="00A87961">
        <w:rPr>
          <w:rFonts w:cs="Times New Roman"/>
        </w:rPr>
        <w:t>SCI</w:t>
      </w:r>
      <w:r w:rsidR="001A026A" w:rsidRPr="00A87961">
        <w:rPr>
          <w:rFonts w:cs="Times New Roman"/>
        </w:rPr>
        <w:fldChar w:fldCharType="begin" w:fldLock="1"/>
      </w:r>
      <w:r w:rsidR="00C416DA">
        <w:rPr>
          <w:rFonts w:cs="Times New Roman"/>
        </w:rPr>
        <w:instrText>ADDIN CSL_CITATION {"citationItems":[{"id":"ITEM-1","itemData":{"DOI":"10.1371/journal.pone.0169623","ISSN":"19326203","PMID":"28081205","abstract":"Background Traumatic spinal cord injury (tSCI) may involve new-onset anxiety and depression post-discharge. However, long-term population-based studies have lacked access to follow-up conditions in terms of new-onset anxiety and depression. The objective of this study was to estimate the long-term risk of new-onset anxiety and depression post-discharge. Methods The Longitudinal Health Insurance Database 2000 (LHID2000) from Taiwan's National Health Insurance Research Database was used in this study. Individuals with tSCI were identified using the International Classification of Diseases, Ninth Revision, Clinical Modification (ICD-9-CM) diagnostic codes of 806 and 952 from 1999±2008. The comparison cohort (other health conditions group) was randomly selected from the LHID2000 and was 1:1 matched by age, sex, index year, and comorbidities to reduce the selection bias. All study participants were retrospectively followed for a maximum of 3 years until the end of follow-up, death, or new-onset anxiety (ICD-9-CM: 309.2±309.4) or depression (ICD-9-CM: 296.2, 296.5, 296.82, 300.4, 309.0±309.1, and 311). Persons who were issued a catastrophic illness card for tSCI were categorized as having a severe level of SCI (Injury Severity Score [ISS] ≥16). Poisson regression was used to estimate the incidence rate ratios of anxiety or depression between patients with tSCI and other health conditions. The relative risk of anxiety or depression was estimated using a Cox regression analysis, which was adjusted for potential confounding factors. Results Univariate analyses showed that the tSCI patients (n = 3556) had a 1.33 times greater incidence of new-onset anxiety or depression (95% confidence interval [CI]: 1.12±1.57) compared to the other health conditions group (n = 3556). After adjusting for potential risk factors, the tSCI patients had a significant 1.29-fold increased risk of anxiety or depression compared to the group with other health conditions (95% CI: 1.09±1.53). Individuals with tSCI, including patients who were under the age of 35, patients who were males, patients who had a low income, and patients without a Charlson Comorbidity Index score, all had a higher long-term risk of anxiety or depression than the other health conditions group (IRRs: 1.84, 1.63, 1.29, and 1.39, respectively). For all tSCI patients, those with an Injury Severity Score (ISS) ≥16 had an almost 2-fold higher risk of anxiety or depression (adjusted Hazard Ratio: 1.85; 95% CI: 1.17±2.92)…","author":[{"dropping-particle":"","family":"Lim","given":"Sher Wei","non-dropping-particle":"","parse-names":false,"suffix":""},{"dropping-particle":"","family":"Shiue","given":"Yow Ling","non-dropping-particle":"","parse-names":false,"suffix":""},{"dropping-particle":"","family":"Ho","given":"Chung Han","non-dropping-particle":"","parse-names":false,"suffix":""},{"dropping-particle":"","family":"Yu","given":"Shou Chun","non-dropping-particle":"","parse-names":false,"suffix":""},{"dropping-particle":"","family":"Kao","given":"Pei Hsin","non-dropping-particle":"","parse-names":false,"suffix":""},{"dropping-particle":"","family":"Wang","given":"Jhi Joung","non-dropping-particle":"","parse-names":false,"suffix":""},{"dropping-particle":"","family":"Kuo","given":"Jinn Rung","non-dropping-particle":"","parse-names":false,"suffix":""}],"container-title":"PLoS ONE","id":"ITEM-1","issue":"1","issued":{"date-parts":[["2017","1","1"]]},"publisher":"Public Library of Science","title":"Anxiety and Depression in Patients with Traumatic Spinal Cord Injury: A nationwide population-based cohort study","type":"article-journal","volume":"12"},"uris":["http://www.mendeley.com/documents/?uuid=b9d2aec4-3fcd-32bd-bc2b-389c66618a82"]}],"mendeley":{"formattedCitation":"[5]","plainTextFormattedCitation":"[5]","previouslyFormattedCitation":"[5]"},"properties":{"noteIndex":0},"schema":"https://github.com/citation-style-language/schema/raw/master/csl-citation.json"}</w:instrText>
      </w:r>
      <w:r w:rsidR="001A026A" w:rsidRPr="00A87961">
        <w:rPr>
          <w:rFonts w:cs="Times New Roman"/>
        </w:rPr>
        <w:fldChar w:fldCharType="separate"/>
      </w:r>
      <w:r w:rsidR="009B5F4E" w:rsidRPr="009B5F4E">
        <w:rPr>
          <w:rFonts w:cs="Times New Roman"/>
          <w:noProof/>
        </w:rPr>
        <w:t>[5]</w:t>
      </w:r>
      <w:r w:rsidR="001A026A" w:rsidRPr="00A87961">
        <w:rPr>
          <w:rFonts w:cs="Times New Roman"/>
        </w:rPr>
        <w:fldChar w:fldCharType="end"/>
      </w:r>
      <w:r w:rsidR="001A026A" w:rsidRPr="00A87961">
        <w:rPr>
          <w:rFonts w:cs="Times New Roman"/>
        </w:rPr>
        <w:t xml:space="preserve">. </w:t>
      </w:r>
      <w:r w:rsidR="0007513C" w:rsidRPr="00A87961">
        <w:rPr>
          <w:rFonts w:cs="Times New Roman"/>
        </w:rPr>
        <w:t>B</w:t>
      </w:r>
      <w:r w:rsidR="00A7017A" w:rsidRPr="00A87961">
        <w:rPr>
          <w:rFonts w:cs="Times New Roman"/>
        </w:rPr>
        <w:t xml:space="preserve">urning </w:t>
      </w:r>
      <w:r w:rsidR="0007513C" w:rsidRPr="00A87961">
        <w:rPr>
          <w:rFonts w:cs="Times New Roman"/>
        </w:rPr>
        <w:t>and</w:t>
      </w:r>
      <w:r w:rsidR="00A7017A" w:rsidRPr="00A87961">
        <w:rPr>
          <w:rFonts w:cs="Times New Roman"/>
        </w:rPr>
        <w:t xml:space="preserve"> shooting pain </w:t>
      </w:r>
      <w:r w:rsidR="00861EE6" w:rsidRPr="00A87961">
        <w:rPr>
          <w:rFonts w:cs="Times New Roman"/>
        </w:rPr>
        <w:t>as well as</w:t>
      </w:r>
      <w:r w:rsidR="00A7017A" w:rsidRPr="00A87961">
        <w:rPr>
          <w:rFonts w:cs="Times New Roman"/>
        </w:rPr>
        <w:t xml:space="preserve"> hypersensitivity to cutaneous </w:t>
      </w:r>
      <w:r w:rsidR="0007513C" w:rsidRPr="00A87961">
        <w:rPr>
          <w:rFonts w:cs="Times New Roman"/>
        </w:rPr>
        <w:t xml:space="preserve">stimuli have </w:t>
      </w:r>
      <w:r w:rsidR="00A7017A" w:rsidRPr="00A87961">
        <w:rPr>
          <w:rFonts w:cs="Times New Roman"/>
        </w:rPr>
        <w:t>detrimental effects on rehabilitation,</w:t>
      </w:r>
      <w:r w:rsidR="0007513C" w:rsidRPr="00A87961">
        <w:rPr>
          <w:rFonts w:cs="Times New Roman"/>
        </w:rPr>
        <w:t xml:space="preserve"> mood and mental health</w:t>
      </w:r>
      <w:r w:rsidR="00A7017A" w:rsidRPr="00A87961">
        <w:rPr>
          <w:rFonts w:cs="Times New Roman"/>
        </w:rPr>
        <w:fldChar w:fldCharType="begin" w:fldLock="1"/>
      </w:r>
      <w:r w:rsidR="00C416DA">
        <w:rPr>
          <w:rFonts w:cs="Times New Roman"/>
        </w:rPr>
        <w:instrText>ADDIN CSL_CITATION {"citationItems":[{"id":"ITEM-1","itemData":{"DOI":"10.1016/S0003-9993(99)90203-4","ISSN":"00039993","PMID":"10326925","abstract":"Objectives: To determine the perceived difficulty in dealing with consequences of spinal cord injury (SCI) and to explore patterns of how these complications are perceived. Design: Postal survey. Setting: General community. Participants: Individuals with traumatic SCI (n = 430). Methods: Subjects (n = 877) were selected from The Miami Project database and were sent a questionnaire in which they were asked to rate their difficulty in dealing with 10 consequences of SCI, on a scale ranging from 0 (not hard at all) to 10 (extremely hard). Results: The questionnaire was returned by 430 individuals (49%). Five consequences (decreased ability to walk or move, decreased control of bowel, decreased control of bladder, decreased sexual function, and pain) were rated highest (means, 8.2 to 6.2). High ratings of feeling sad were associated with high ratings of most other consequences, and a cluster analysis revealed interrelationships between the ways the various consequences were perceived. Conclusions: Several consequences of SCI are frequently perceived as being very difficult to deal with. Sadness may influence how well a person deals with other consequences of SCI. The observed patterns in perceived difficulty dealing with complications of SCI need to be explored further because they are important in our understanding and treatment of the medical conditions that may follow SCI.","author":[{"dropping-particle":"","family":"Widerström-Noga","given":"Eva G.","non-dropping-particle":"","parse-names":false,"suffix":""},{"dropping-particle":"","family":"Felipe-Cuervo","given":"Ernesto","non-dropping-particle":"","parse-names":false,"suffix":""},{"dropping-particle":"","family":"Broton","given":"James G.","non-dropping-particle":"","parse-names":false,"suffix":""},{"dropping-particle":"","family":"Duncan","given":"Robert C.","non-dropping-particle":"","parse-names":false,"suffix":""},{"dropping-particle":"","family":"Yezierski","given":"Robert P.","non-dropping-particle":"","parse-names":false,"suffix":""}],"container-title":"Archives of Physical Medicine and Rehabilitation","id":"ITEM-1","issue":"5","issued":{"date-parts":[["1999"]]},"page":"580-586","publisher":"W.B. Saunders","title":"Perceived difficulty in dealing with consequences of spinal cord injury","type":"article-journal","volume":"80"},"uris":["http://www.mendeley.com/documents/?uuid=86378e1f-d72e-3e12-a168-8943e59cee30"]}],"mendeley":{"formattedCitation":"[6]","plainTextFormattedCitation":"[6]","previouslyFormattedCitation":"[6]"},"properties":{"noteIndex":0},"schema":"https://github.com/citation-style-language/schema/raw/master/csl-citation.json"}</w:instrText>
      </w:r>
      <w:r w:rsidR="00A7017A" w:rsidRPr="00A87961">
        <w:rPr>
          <w:rFonts w:cs="Times New Roman"/>
        </w:rPr>
        <w:fldChar w:fldCharType="separate"/>
      </w:r>
      <w:r w:rsidR="009B5F4E" w:rsidRPr="009B5F4E">
        <w:rPr>
          <w:rFonts w:cs="Times New Roman"/>
          <w:noProof/>
        </w:rPr>
        <w:t>[6]</w:t>
      </w:r>
      <w:r w:rsidR="00A7017A" w:rsidRPr="00A87961">
        <w:rPr>
          <w:rFonts w:cs="Times New Roman"/>
        </w:rPr>
        <w:fldChar w:fldCharType="end"/>
      </w:r>
      <w:r w:rsidR="001A026A" w:rsidRPr="00A87961">
        <w:rPr>
          <w:rFonts w:cs="Times New Roman"/>
        </w:rPr>
        <w:t>.</w:t>
      </w:r>
    </w:p>
    <w:p w14:paraId="633A6EDB" w14:textId="77777777" w:rsidR="00E456B9" w:rsidRPr="00A87961" w:rsidRDefault="00E456B9" w:rsidP="0011737C">
      <w:pPr>
        <w:spacing w:line="480" w:lineRule="auto"/>
        <w:rPr>
          <w:rFonts w:cs="Times New Roman"/>
        </w:rPr>
      </w:pPr>
    </w:p>
    <w:p w14:paraId="68CAD8B8" w14:textId="5BE01697" w:rsidR="00E456B9" w:rsidRPr="00A87961" w:rsidRDefault="00E456B9" w:rsidP="0011737C">
      <w:pPr>
        <w:spacing w:line="480" w:lineRule="auto"/>
        <w:rPr>
          <w:rFonts w:cs="Times New Roman"/>
        </w:rPr>
      </w:pPr>
      <w:r w:rsidRPr="00A87961">
        <w:rPr>
          <w:rFonts w:cs="Times New Roman"/>
        </w:rPr>
        <w:t>The classic model of SCI consists of two phases</w:t>
      </w:r>
      <w:r w:rsidRPr="00A87961">
        <w:rPr>
          <w:rFonts w:cs="Times New Roman"/>
        </w:rPr>
        <w:fldChar w:fldCharType="begin" w:fldLock="1"/>
      </w:r>
      <w:r w:rsidR="00C416DA">
        <w:rPr>
          <w:rFonts w:cs="Times New Roman"/>
        </w:rPr>
        <w:instrText>ADDIN CSL_CITATION {"citationItems":[{"id":"ITEM-1","itemData":{"PMID":"32809556","author":[{"dropping-particle":"","family":"Bennett","given":"Joe","non-dropping-particle":"","parse-names":false,"suffix":""},{"dropping-particle":"","family":"Das","given":"Joe M","non-dropping-particle":"","parse-names":false,"suffix":""},{"dropping-particle":"","family":"Emmady","given":"Prabhu D.","non-dropping-particle":"","parse-names":false,"suffix":""}],"id":"ITEM-1","issued":{"date-parts":[["2020","11","20"]]},"publisher":"StatPearls Publishing","title":"Spinal Cord Injuries","type":"article-journal"},"uris":["http://www.mendeley.com/documents/?uuid=2d0665c4-cdca-373c-b0fb-e1dc8dfcd352"]}],"mendeley":{"formattedCitation":"[1]","plainTextFormattedCitation":"[1]","previouslyFormattedCitation":"[1]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w:t>
      </w:r>
      <w:r w:rsidRPr="00A87961">
        <w:rPr>
          <w:rFonts w:cs="Times New Roman"/>
        </w:rPr>
        <w:fldChar w:fldCharType="end"/>
      </w:r>
      <w:r w:rsidR="001A026A" w:rsidRPr="00A87961">
        <w:rPr>
          <w:rFonts w:cs="Times New Roman"/>
        </w:rPr>
        <w:t>.</w:t>
      </w:r>
      <w:r w:rsidRPr="00A87961">
        <w:rPr>
          <w:rFonts w:cs="Times New Roman"/>
        </w:rPr>
        <w:t xml:space="preserve"> The first phase involves direct damage </w:t>
      </w:r>
      <w:proofErr w:type="gramStart"/>
      <w:r w:rsidRPr="00A87961">
        <w:rPr>
          <w:rFonts w:cs="Times New Roman"/>
        </w:rPr>
        <w:t>as a result of</w:t>
      </w:r>
      <w:proofErr w:type="gramEnd"/>
      <w:r w:rsidRPr="00A87961">
        <w:rPr>
          <w:rFonts w:cs="Times New Roman"/>
        </w:rPr>
        <w:t xml:space="preserve"> mechanical trauma. This causes immediate damage and then catalyses a second phase of injury driven by aberrant molecular, </w:t>
      </w:r>
      <w:proofErr w:type="gramStart"/>
      <w:r w:rsidRPr="00A87961">
        <w:rPr>
          <w:rFonts w:cs="Times New Roman"/>
        </w:rPr>
        <w:t>cellular</w:t>
      </w:r>
      <w:proofErr w:type="gramEnd"/>
      <w:r w:rsidRPr="00A87961">
        <w:rPr>
          <w:rFonts w:cs="Times New Roman"/>
        </w:rPr>
        <w:t xml:space="preserve"> and biochemical cascades. Secondary injury constitutes damage caused by ischaemia, ionic derangements, excitotoxicity, free radical damage, oedema, inflammation and apoptosis</w:t>
      </w:r>
      <w:r w:rsidR="001A026A" w:rsidRPr="00A87961">
        <w:rPr>
          <w:rFonts w:cs="Times New Roman"/>
        </w:rPr>
        <w:fldChar w:fldCharType="begin" w:fldLock="1"/>
      </w:r>
      <w:r w:rsidR="00C416DA">
        <w:rPr>
          <w:rFonts w:cs="Times New Roman"/>
        </w:rPr>
        <w:instrText>ADDIN CSL_CITATION {"citationItems":[{"id":"ITEM-1","itemData":{"DOI":"10.1016/j.nbd.2003.11.015","ISSN":"09699961","PMID":"15056450","abstract":"Spinal cord injury (SCI) is a major cause of disability, and at present, there is no universally accepted treatment. The functional decline following SCI is contributed to both direct mechanical injury and secondary pathophysiological mechanisms that are induced by the initial trauma. These mechanisms initially involve widespread haemorrhage at the site of injury and necrosis of central nervous system (CNS) cellular components. At later stages of injury, the cord is observed to display reactive gliosis. The actions of astrocytes as well as numerous other cells in this response create an environment that is highly nonpermissive to axonal regrowth. Also manifesting important effects is the immune system. The early recruitment of neutrophils and at later stages, macrophages to the site of insult cause exacerbation of injury. However, at more chronic stages, macrophages and recruited T helper cells may potentially be helpful by providing trophic support for neuronal and non-neuronal components of the injured CNS. Within this sea of injurious mechanisms, the oligodendrocytes appear to be highly vulnerable. At chronic stages of SCI, a large number of oligodendrocytes undergo apoptosis at sites that are distant to the vicinity of primary injury. This leads to denudement of axons and deterioration of their conductive abilities, which adds significantly to functional decline. By indulging into the molecular mechanisms that cause oligodendrocyte apoptosis and identifying potential targets for therapeutic intervention, the prevention of this apoptotic wave will be of tremendous value to individuals living with SCI. © 2004 Elsevier Inc. All rights reserved.","author":[{"dropping-particle":"","family":"Profyris","given":"Christos","non-dropping-particle":"","parse-names":false,"suffix":""},{"dropping-particle":"","family":"Cheema","given":"Surindar S.","non-dropping-particle":"","parse-names":false,"suffix":""},{"dropping-particle":"","family":"Zang","given":"Da Wei","non-dropping-particle":"","parse-names":false,"suffix":""},{"dropping-particle":"","family":"Azari","given":"Michael F.","non-dropping-particle":"","parse-names":false,"suffix":""},{"dropping-particle":"","family":"Boyle","given":"Kristy","non-dropping-particle":"","parse-names":false,"suffix":""},{"dropping-particle":"","family":"Petratos","given":"Steven","non-dropping-particle":"","parse-names":false,"suffix":""}],"container-title":"Neurobiology of Disease","id":"ITEM-1","issue":"3","issued":{"date-parts":[["2004","4"]]},"page":"415-436","publisher":"Neurobiol Dis","title":"Degenerative and regenerative mechanisms governing spinal cord injury","type":"article","volume":"15"},"uris":["http://www.mendeley.com/documents/?uuid=8ec91d58-4381-37d4-a10a-ab4548f7210d"]},{"id":"ITEM-2","itemData":{"DOI":"10.1097/00007632-200112151-00002","ISSN":"03622436","PMID":"11805601","abstract":"Spinal cord injury occurs through various countries throughout the world with an annual incidence of 15 to 40 cases per million, with the causes of these injuries ranging from motor vehicle accidents and community violence to recreational activities and workplace-related injuries. Survival has improved along with a greater appreciation of patterns of presentation, survival, and complications. Despite much work having been done, the only treatment to date known to ameliorate neurologic dysfunction that occurs at or below the level of neurologic injury has been intravenous methylprednisolone therapy. Much research over the past 30 to 40 years has focused on elucidating the mechanisms of spinal cord injury, with the complex pathophysiologic processes slowly being unraveled. With a greater understanding of both primary and secondary mechanisms of injury, the roles of calcium, free radicals, sodium, excitatory amino acids, vascular mediators, and apoptosis have been elucidated. This review examines the epidemiology, demographics, and pathophysiology of acute spinal cord injury.","author":[{"dropping-particle":"","family":"Sekhon","given":"Lali H.S.","non-dropping-particle":"","parse-names":false,"suffix":""},{"dropping-particle":"","family":"Fehlings","given":"Michael G.","non-dropping-particle":"","parse-names":false,"suffix":""}],"container-title":"Spine","id":"ITEM-2","issue":"24 SUPPL.","issued":{"date-parts":[["2001","12","15"]]},"publisher":"Lippincott Williams and Wilkins","title":"Epidemiology, demographics, and pathophysiology of acute spinal cord injury","type":"article","volume":"26"},"uris":["http://www.mendeley.com/documents/?uuid=c79b1ead-3020-35a1-8016-b0e24ba5ebdb"]}],"mendeley":{"formattedCitation":"[7,8]","plainTextFormattedCitation":"[7,8]","previouslyFormattedCitation":"[7,8]"},"properties":{"noteIndex":0},"schema":"https://github.com/citation-style-language/schema/raw/master/csl-citation.json"}</w:instrText>
      </w:r>
      <w:r w:rsidR="001A026A" w:rsidRPr="00A87961">
        <w:rPr>
          <w:rFonts w:cs="Times New Roman"/>
        </w:rPr>
        <w:fldChar w:fldCharType="separate"/>
      </w:r>
      <w:r w:rsidR="009B5F4E" w:rsidRPr="009B5F4E">
        <w:rPr>
          <w:rFonts w:cs="Times New Roman"/>
          <w:noProof/>
        </w:rPr>
        <w:t>[7,8]</w:t>
      </w:r>
      <w:r w:rsidR="001A026A" w:rsidRPr="00A87961">
        <w:rPr>
          <w:rFonts w:cs="Times New Roman"/>
        </w:rPr>
        <w:fldChar w:fldCharType="end"/>
      </w:r>
      <w:r w:rsidR="006C1F59" w:rsidRPr="00A87961">
        <w:rPr>
          <w:rFonts w:cs="Times New Roman"/>
        </w:rPr>
        <w:t>.</w:t>
      </w:r>
    </w:p>
    <w:p w14:paraId="48E90A72" w14:textId="77777777" w:rsidR="00E456B9" w:rsidRPr="00A87961" w:rsidRDefault="00E456B9" w:rsidP="0011737C">
      <w:pPr>
        <w:spacing w:line="480" w:lineRule="auto"/>
        <w:rPr>
          <w:rFonts w:cs="Times New Roman"/>
        </w:rPr>
      </w:pPr>
    </w:p>
    <w:p w14:paraId="2F429E11" w14:textId="2DC38A1C" w:rsidR="00E456B9" w:rsidRPr="00A87961" w:rsidRDefault="00E456B9" w:rsidP="0011737C">
      <w:pPr>
        <w:spacing w:line="480" w:lineRule="auto"/>
        <w:rPr>
          <w:rFonts w:cs="Times New Roman"/>
        </w:rPr>
      </w:pPr>
      <w:r w:rsidRPr="00A87961">
        <w:rPr>
          <w:rFonts w:cs="Times New Roman"/>
        </w:rPr>
        <w:t>Cannabinoid (CB) receptor agonists are a promising pharmacological approach</w:t>
      </w:r>
      <w:r w:rsidRPr="00A87961">
        <w:rPr>
          <w:rFonts w:cs="Times New Roman"/>
        </w:rPr>
        <w:fldChar w:fldCharType="begin" w:fldLock="1"/>
      </w:r>
      <w:r w:rsidR="00C416DA">
        <w:rPr>
          <w:rFonts w:cs="Times New Roman"/>
        </w:rPr>
        <w:instrText>ADDIN CSL_CITATION {"citationItems":[{"id":"ITEM-1","itemData":{"DOI":"10.1080/10790268.2006.11753864","ISSN":"10790268","PMID":"16739554","abstract":"Background/Objective: To determine the degree and duration of pain relief provided by specific pain treatments used by individuals with spinal cord injury (SCI) who have chronic pain. Design: Postal survey. Setting: Community. Participants: Participants were 117 individuals who had traumatic SCI, were 18 years of age or older, and reported a chronic pain problem. Main Outcome Measures: Questions assessing current or past use of 26 different pain treatments, the amount of relief each treatment provided, and the length of time that any pain relief usually lasts. Results: The medications tried most often were nonsteroidal anti-inflammatory drugs (tried by 71%) and acetaminophen (tried by 70%); these medications were still being used by more than one half of the patients who had tried them. Opioids produced the greatest degree of pain relief on average (mean 6.27 ± 3.05 [SD] on a 0-10 scale, with 0 = no relief and 10 = complete relief) but were unlikely to be continued by those who tried them. Although 38% of respondents with pain had tried gabapentin, only 17% were still using it, and average pain relief was only moderate (mean, 3.32 ± 3.03 on the 0-10 relief scale). Seventy-three percent of the respondents had tried at least 1 of 7 alternative pain treatments, and the most frequently tried were massage, marijuana, and acupuncture. The most relief was provided by massage (mean, 6.05 ± 2.47] on the 0-10 relief scale) and marijuana (mean, 6.62 ± 2.54 on the 0-10 relief scale). The relief from the various treatments, including most medications, tended to last only minutes or hours; however, pain relief from alternative treatments such as massage, acupuncture, and hypnosis was reported to last for days in 25% to 33% of those who tried these treatments. Conclusions: Many patients are not finding adequate pain relief from commonly prescribed medications. Alternative therapies should be considered as additional treatment options in this population.","author":[{"dropping-particle":"","family":"Cardenas","given":"Diana D.","non-dropping-particle":"","parse-names":false,"suffix":""},{"dropping-particle":"","family":"Jensen","given":"Mark P.","non-dropping-particle":"","parse-names":false,"suffix":""}],"container-title":"Journal of Spinal Cord Medicine","id":"ITEM-1","issue":"2","issued":{"date-parts":[["2006"]]},"page":"109-117","publisher":"American Paraplegia Society","title":"Treatments for chronic pain in persons with spinal cord injury: A survey study","type":"article-journal","volume":"29"},"uris":["http://www.mendeley.com/documents/?uuid=08907fdb-2d48-3d88-8f70-e3f8e5af80bd"]}],"mendeley":{"formattedCitation":"[9]","plainTextFormattedCitation":"[9]","previouslyFormattedCitation":"[9]"},"properties":{"noteIndex":0},"schema":"https://github.com/citation-style-language/schema/raw/master/csl-citation.json"}</w:instrText>
      </w:r>
      <w:r w:rsidRPr="00A87961">
        <w:rPr>
          <w:rFonts w:cs="Times New Roman"/>
        </w:rPr>
        <w:fldChar w:fldCharType="separate"/>
      </w:r>
      <w:r w:rsidR="009B5F4E" w:rsidRPr="009B5F4E">
        <w:rPr>
          <w:rFonts w:cs="Times New Roman"/>
          <w:noProof/>
        </w:rPr>
        <w:t>[9]</w:t>
      </w:r>
      <w:r w:rsidRPr="00A87961">
        <w:rPr>
          <w:rFonts w:cs="Times New Roman"/>
        </w:rPr>
        <w:fldChar w:fldCharType="end"/>
      </w:r>
      <w:r w:rsidRPr="00A87961">
        <w:rPr>
          <w:rFonts w:cs="Times New Roman"/>
        </w:rPr>
        <w:t>. CBs were first identified as the psychoactive constituents of marijuana</w:t>
      </w:r>
      <w:r w:rsidRPr="00A87961">
        <w:rPr>
          <w:rFonts w:cs="Times New Roman"/>
        </w:rPr>
        <w:fldChar w:fldCharType="begin" w:fldLock="1"/>
      </w:r>
      <w:r w:rsidR="00C416DA">
        <w:rPr>
          <w:rFonts w:cs="Times New Roman"/>
        </w:rPr>
        <w:instrText>ADDIN CSL_CITATION {"citationItems":[{"id":"ITEM-1","itemData":{"DOI":"http://dx.doi.org/10.1016/j.nbd.2010.02.002","ISBN":"0969-9961","abstract":"A series of pathological events secondary to spinal cord injury (SCI) contribute to the spread of the damage, which aggravates neurological deficits. Here we report that a single dose of the neuroprotective endocannabinoid 2-arachidonoyl glycerol (2-AG) administered early after SCI reduces lesion expansion, which was prevented by simultaneous blockade of both CB1 and CB2 receptors but not by blockade of either receptor alone. Treatment with 2-AG also preserves the white matter around the epicenter of the injury. Moreover, in the preserved white matter, 2-AG protects myelin from damage and reduces oligodendrocyte loss. In addition to these protective actions at the epicenter region, 2-AG also inhibits the myelin damage and delayed oligodendrocyte loss induced at 10. mm from the epicenter. Interestingly, the early protective action of 2-AG is maintained 28. days after injury, when the lesion size is still smaller and the preservation of white matter is better in 2-AG-treated animals. Therefore, our results show that 2-AG protects from the expansion of the lesion and white matter damage, which suggest that this endogenous cannabinoid may be useful as a protective treatment for acute SCI. © 2010 Elsevier Inc. ","author":[{"dropping-particle":"","family":"Arevalo-Martin","given":"A","non-dropping-particle":"","parse-names":false,"suffix":""},{"dropping-particle":"","family":"Garcia-Ovejero","given":"D","non-dropping-particle":"","parse-names":false,"suffix":""},{"dropping-particle":"","family":"Molina-Holgado","given":"E","non-dropping-particle":"","parse-names":false,"suffix":""}],"container-title":"Neurobiology of Disease ","id":"ITEM-1","issue":"2 ","issued":{"date-parts":[["2010"]]},"language":"English ","note":"Embase","page":"304-312","publisher-place":"(Arevalo-Martin, Garcia-Ovejero, Molina-Holgado) Laboratorio de Neuroinflamacion, Unidad de Neurologia Experimental, Hospital Nacional de Paraplejicos (SESCAM), 45071 Toledo, Spain  A. Arevalo-Martin, Laboratorio de Neuroinflamacion, Unidad de Neurologia ","title":"The endocannabinoid 2-arachidonoylglycerol reduces lesion expansion and white matter damage after spinal cord injury ","type":"article","volume":"38 "},"uris":["http://www.mendeley.com/documents/?uuid=ed0cf4d8-e3bb-4237-afc8-599ba2a7b7e6"]}],"mendeley":{"formattedCitation":"[10]","plainTextFormattedCitation":"[10]","previouslyFormattedCitation":"[10]"},"properties":{"noteIndex":0},"schema":"https://github.com/citation-style-language/schema/raw/master/csl-citation.json"}</w:instrText>
      </w:r>
      <w:r w:rsidRPr="00A87961">
        <w:rPr>
          <w:rFonts w:cs="Times New Roman"/>
        </w:rPr>
        <w:fldChar w:fldCharType="separate"/>
      </w:r>
      <w:r w:rsidR="009B5F4E" w:rsidRPr="009B5F4E">
        <w:rPr>
          <w:rFonts w:cs="Times New Roman"/>
          <w:noProof/>
        </w:rPr>
        <w:t>[10]</w:t>
      </w:r>
      <w:r w:rsidRPr="00A87961">
        <w:rPr>
          <w:rFonts w:cs="Times New Roman"/>
        </w:rPr>
        <w:fldChar w:fldCharType="end"/>
      </w:r>
      <w:r w:rsidRPr="00A87961">
        <w:rPr>
          <w:rFonts w:cs="Times New Roman"/>
        </w:rPr>
        <w:t>. However, an endogenous cannabinoid system also exists, consisting of two CB receptors (CB1 and CB2), natural ligands (endo-CBs) such as anandamide, and enzymes involved in endo-CB synthesis and degradation</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Following SCI, local modulation of the endo-CB system has been reported</w:t>
      </w:r>
      <w:r w:rsidR="00EA4CFC"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00EA4CFC" w:rsidRPr="00A87961">
        <w:rPr>
          <w:rFonts w:cs="Times New Roman"/>
        </w:rPr>
        <w:fldChar w:fldCharType="separate"/>
      </w:r>
      <w:r w:rsidR="009B5F4E" w:rsidRPr="009B5F4E">
        <w:rPr>
          <w:rFonts w:cs="Times New Roman"/>
          <w:noProof/>
        </w:rPr>
        <w:t>[11]</w:t>
      </w:r>
      <w:r w:rsidR="00EA4CFC" w:rsidRPr="00A87961">
        <w:rPr>
          <w:rFonts w:cs="Times New Roman"/>
        </w:rPr>
        <w:fldChar w:fldCharType="end"/>
      </w:r>
      <w:r w:rsidRPr="00A87961">
        <w:rPr>
          <w:rFonts w:cs="Times New Roman"/>
        </w:rPr>
        <w:t>. This involves increased levels of anandamide, upregulation of the synthetic enzyme, and downregulation of the degradative enzyme</w:t>
      </w:r>
      <w:r w:rsidR="00EA4CFC" w:rsidRPr="00A87961">
        <w:rPr>
          <w:rFonts w:cs="Times New Roman"/>
        </w:rPr>
        <w:t>.</w:t>
      </w:r>
      <w:r w:rsidRPr="00A87961">
        <w:rPr>
          <w:rFonts w:cs="Times New Roman"/>
        </w:rPr>
        <w:t xml:space="preserve"> Moreover, the endo-CB system has </w:t>
      </w:r>
      <w:r w:rsidRPr="00A87961">
        <w:rPr>
          <w:rFonts w:cs="Times New Roman"/>
        </w:rPr>
        <w:lastRenderedPageBreak/>
        <w:t>been shown to be important in neuroprotection and immunomodulation after SCI</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as well after cerebral ischaemia-reperfusion injury</w:t>
      </w:r>
      <w:r w:rsidRPr="00A87961">
        <w:rPr>
          <w:rFonts w:cs="Times New Roman"/>
        </w:rPr>
        <w:fldChar w:fldCharType="begin" w:fldLock="1"/>
      </w:r>
      <w:r w:rsidR="00C416DA">
        <w:rPr>
          <w:rFonts w:cs="Times New Roman"/>
        </w:rPr>
        <w:instrText>ADDIN CSL_CITATION {"citationItems":[{"id":"ITEM-1","itemData":{"DOI":"http://dx.doi.org/10.1111/j.1742-4658.2007.05975.x","ISBN":"1742-464X  1742-4658","abstract":"Endogenous levels of the endocannabinoid anandamide, and the activities of the synthesizing and hydrolyzing enzymes, i.e. N-acylphosphatidylethanolamine- hydrolyzing phospholipase D and fatty acid amide hydrolase, respectively, were determined in the cortex and the striatum of rats subjected to transient middle cerebral artery occlusion. Anandamide content was markedly increased (~ 3-fold over controls; P &lt; 0.01) in the ischemic striatum after 2 h of middle cerebral artery occlusion, but not in the cortex, and this elevation was paralleled by increased activity of N-acylphosphatidylethanolamine-hydrolyzing phospholipase D (~ 1.7-fold; P &lt; 0.01), and reduced activity (~ 0.6-fold; P &lt; 0.01) and expression (~ 0.7-fold; P &lt; 0.05) of fatty acid amide hydrolase. These effects of middle cerebral artery occlusion were further potentiated by 1 h of reperfusion, whereas anandamide binding to type 1 cannabinoid and type 1 vanilloid receptors was not affected significantly by the ischemic insult. Additionally, the cannabinoid type 1 receptor antagonist SR141716, but not the receptor agonist R-(+)-WIN55,212-2, significantly reduced (33%; P &lt; 0.05) cerebral infarct volume detected 22 h after the beginning of reperfusion. A neuroprotective intraperitoneal dose of 17beta-estradiol (0.20 mg.kg&lt;sup&gt;-1&lt;/sup&gt;) that reduced infarct size by 43% also minimized the effect of brain ischemia on the endocannabinoid system, in an estrogen receptor-dependent manner. In conclusion, we show that the endocannabinoid system is implicated in the pathophysiology of transient middle cerebral artery occlusion-induced brain damage, and that neuroprotection afforded by estrogen is coincident with a re-establishment of anandamide levels in the ischemic striatum through a mechanism that needs to be investigated further. © 2007 The Authors. ","author":[{"dropping-particle":"","family":"Amantea","given":"D","non-dropping-particle":"","parse-names":false,"suffix":""},{"dropping-particle":"","family":"Spagnuolo","given":"P","non-dropping-particle":"","parse-names":false,"suffix":""},{"dropping-particle":"","family":"Bari","given":"M","non-dropping-particle":"","parse-names":false,"suffix":""},{"dropping-particle":"","family":"Fezza","given":"F","non-dropping-particle":"","parse-names":false,"suffix":""},{"dropping-particle":"","family":"Mazzei","given":"C","non-dropping-particle":"","parse-names":false,"suffix":""},{"dropping-particle":"","family":"Tassorelli","given":"C","non-dropping-particle":"","parse-names":false,"suffix":""},{"dropping-particle":"","family":"Morrone","given":"L A","non-dropping-particle":"","parse-names":false,"suffix":""},{"dropping-particle":"","family":"Corasaniti","given":"M T","non-dropping-particle":"","parse-names":false,"suffix":""},{"dropping-particle":"","family":"Maccarrone","given":"M","non-dropping-particle":"","parse-names":false,"suffix":""},{"dropping-particle":"","family":"Bagetta","given":"G","non-dropping-particle":"","parse-names":false,"suffix":""}],"container-title":"FEBS Journal ","id":"ITEM-1","issue":"17 ","issued":{"date-parts":[["2007"]]},"language":"English ","note":"Embase","page":"4464-4475","publisher-place":"(Amantea, Spagnuolo, Mazzei, Morrone, Bagetta) Department of Pharmacobiology, University Center for the Study of Adaptive Disorder and Headache (UCADH), University of Calabria, Rende (CS), Italy (Spagnuolo, Bari, Fezza) Department of Experimental Medicine","title":"Modulation of the endocannabinoid system by focal brain ischemia in the rat is involved in neuroprotection afforded by 17beta-estradiol ","type":"article","volume":"274 "},"uris":["http://www.mendeley.com/documents/?uuid=ef2d0e66-5114-4c82-bd68-0b778a893dc8"]}],"mendeley":{"formattedCitation":"[12]","plainTextFormattedCitation":"[12]","previouslyFormattedCitation":"[12]"},"properties":{"noteIndex":0},"schema":"https://github.com/citation-style-language/schema/raw/master/csl-citation.json"}</w:instrText>
      </w:r>
      <w:r w:rsidRPr="00A87961">
        <w:rPr>
          <w:rFonts w:cs="Times New Roman"/>
        </w:rPr>
        <w:fldChar w:fldCharType="separate"/>
      </w:r>
      <w:r w:rsidR="009B5F4E" w:rsidRPr="009B5F4E">
        <w:rPr>
          <w:rFonts w:cs="Times New Roman"/>
          <w:noProof/>
        </w:rPr>
        <w:t>[12]</w:t>
      </w:r>
      <w:r w:rsidRPr="00A87961">
        <w:rPr>
          <w:rFonts w:cs="Times New Roman"/>
        </w:rPr>
        <w:fldChar w:fldCharType="end"/>
      </w:r>
      <w:r w:rsidRPr="00A87961">
        <w:rPr>
          <w:rFonts w:cs="Times New Roman"/>
        </w:rPr>
        <w:t xml:space="preserve"> and traumatic brain injury</w:t>
      </w:r>
      <w:r w:rsidRPr="00A87961">
        <w:rPr>
          <w:rFonts w:cs="Times New Roman"/>
        </w:rPr>
        <w:fldChar w:fldCharType="begin" w:fldLock="1"/>
      </w:r>
      <w:r w:rsidR="00C416DA">
        <w:rPr>
          <w:rFonts w:cs="Times New Roman"/>
        </w:rPr>
        <w:instrText>ADDIN CSL_CITATION {"citationItems":[{"id":"ITEM-1","itemData":{"DOI":"http://dx.doi.org/10.1038/35097089","ISBN":"0028-0836","abstract":"Traumatic brain injury triggers the accumulation of harmful mediators that may lead to secondary damage. Protective mechanisms to attenuate damage are also set in motion. 2-Arachidonoyl glycerol (2-AG) is an endogenous cannabinoid, identified both in the periphery and in the brain, but its physiological roles have been only partially clarified. Here we show that, after injury to the mouse brain, 2-AG may have a neuroprotective role in which the cannabinoid system is involved. After closed head injury (CHI) in mice, the level of endogenous 2-Ag was significantly elevated. We administered synthetic 2-AG to mice after CHI and found significant reduction of brain oedema, better clinical recovery, reduced infarct volume and reduced hippocampal cell death compared with controls. When 2-AG was administered together with additional inactive 2-acyl-glycerols that are normally present in the brain, functional recovery was significantly enhanced. The beneficial effect of 2-AG was dose-dependently attenuated by SR-141761A, an antagonist of the CB&lt;inf&gt;1&lt;/inf&gt; cannabinoid receptor. ","author":[{"dropping-particle":"","family":"Panikashvili","given":"D","non-dropping-particle":"","parse-names":false,"suffix":""},{"dropping-particle":"","family":"Simeonidou","given":"C","non-dropping-particle":"","parse-names":false,"suffix":""},{"dropping-particle":"","family":"Ben-Shabat","given":"S","non-dropping-particle":"","parse-names":false,"suffix":""},{"dropping-particle":"","family":"Hanus","given":"L","non-dropping-particle":"","parse-names":false,"suffix":""},{"dropping-particle":"","family":"Breuer","given":"A","non-dropping-particle":"","parse-names":false,"suffix":""},{"dropping-particle":"","family":"Mechoulam","given":"R","non-dropping-particle":"","parse-names":false,"suffix":""},{"dropping-particle":"","family":"Shohami","given":"E","non-dropping-particle":"","parse-names":false,"suffix":""}],"container-title":"Nature ","id":"ITEM-1","issue":"6855 ","issued":{"date-parts":[["2001"]]},"language":"English ","note":"Embase","page":"527-531","publisher-place":"(Panikashvili, Simeonidou, Shohami) Department of Pharmacology, Medical Faculty, Hebrew University, Jerusalem 91120, Israel (Panikashvili, Ben-Shabat, Hanus, Breuer, Mechoulam) Department of Medicinal Chemistry and Natural Products, Medical Faculty, Hebre","title":"An endogenous cannabinoid (2-AG) is neuroprotective after brain injury ","type":"article","volume":"413 "},"uris":["http://www.mendeley.com/documents/?uuid=d36ee348-d776-4523-a690-cb7bb9153e03"]}],"mendeley":{"formattedCitation":"[13]","plainTextFormattedCitation":"[13]","previouslyFormattedCitation":"[13]"},"properties":{"noteIndex":0},"schema":"https://github.com/citation-style-language/schema/raw/master/csl-citation.json"}</w:instrText>
      </w:r>
      <w:r w:rsidRPr="00A87961">
        <w:rPr>
          <w:rFonts w:cs="Times New Roman"/>
        </w:rPr>
        <w:fldChar w:fldCharType="separate"/>
      </w:r>
      <w:r w:rsidR="009B5F4E" w:rsidRPr="009B5F4E">
        <w:rPr>
          <w:rFonts w:cs="Times New Roman"/>
          <w:noProof/>
        </w:rPr>
        <w:t>[13]</w:t>
      </w:r>
      <w:r w:rsidRPr="00A87961">
        <w:rPr>
          <w:rFonts w:cs="Times New Roman"/>
        </w:rPr>
        <w:fldChar w:fldCharType="end"/>
      </w:r>
      <w:r w:rsidRPr="00A87961">
        <w:rPr>
          <w:rFonts w:cs="Times New Roman"/>
        </w:rPr>
        <w:t xml:space="preserve">. </w:t>
      </w:r>
    </w:p>
    <w:p w14:paraId="58198C62" w14:textId="2A65F20A" w:rsidR="004E6529" w:rsidRPr="00A87961" w:rsidRDefault="004E6529" w:rsidP="0011737C">
      <w:pPr>
        <w:spacing w:line="480" w:lineRule="auto"/>
        <w:rPr>
          <w:rFonts w:cs="Times New Roman"/>
        </w:rPr>
      </w:pPr>
    </w:p>
    <w:p w14:paraId="77E87374" w14:textId="11D57681" w:rsidR="00E456B9" w:rsidRPr="00A87961" w:rsidRDefault="00E456B9" w:rsidP="0011737C">
      <w:pPr>
        <w:spacing w:line="480" w:lineRule="auto"/>
        <w:rPr>
          <w:rFonts w:cs="Times New Roman"/>
        </w:rPr>
      </w:pPr>
      <w:proofErr w:type="gramStart"/>
      <w:r w:rsidRPr="00A87961">
        <w:rPr>
          <w:rFonts w:cs="Times New Roman"/>
        </w:rPr>
        <w:t>A number of</w:t>
      </w:r>
      <w:proofErr w:type="gramEnd"/>
      <w:r w:rsidRPr="00A87961">
        <w:rPr>
          <w:rFonts w:cs="Times New Roman"/>
        </w:rPr>
        <w:t xml:space="preserve"> cannabinoids have been shown to downregulate processes thought to be important in the secondary phase of SCI. For example, cannabidiol (CBD) is an exogenous cannabinoid receptor agonist currently being evaluated in a number of clinical trials for multiple medical conditions</w:t>
      </w:r>
      <w:r w:rsidRPr="00A87961">
        <w:rPr>
          <w:rFonts w:cs="Times New Roman"/>
        </w:rPr>
        <w:fldChar w:fldCharType="begin" w:fldLock="1"/>
      </w:r>
      <w:r w:rsidR="00C416DA">
        <w:rPr>
          <w:rFonts w:cs="Times New Roman"/>
        </w:rPr>
        <w:instrText>ADDIN CSL_CITATION {"citationItems":[{"id":"ITEM-1","itemData":{"DOI":"10.1186/s12888-019-2022-x","ISSN":"1471244X","PMID":"30760241","abstract":"Background: Phobic anxiety disorders are among the most prevalent psychiatric disorders and are burdensome in terms of loss of quality of life and work productivity. Evidence-based treatments are relatively successful in the majority of patients, especially exposure therapy. However, a substantial subset of patients fails to achieve or stay in remission. Preclinical and genetic research have yielded evidence that the cannabinoid system is involved in the extinction of fear, presumed to underlie the beneficial effects of exposure therapy in phobic disorders. A cannabinoid constituent that may enhance endocannabinoid signaling is cannabidiol (CBD), a non-psychoactive component of cannabis. Hence, the addition of CBD to exposure therapy is expected to strengthen effects of treatment. To determine the added benefit of CBD on exposure therapy, we conduct a randomized controlled trial, in which patients in whom previous treatment as usual has not yielded sufficient response receive either CBD or placebo preceding 8 exposure sessions in a double-blind fashion. A subsidiary aim is to explore which (combination of) clinical, behavioral and genetic profiles of patients are related to treatment response. Methods/design: This is an 8-week multicenter, randomized, double-blind, placebo-controlled trial. Seventy-two patients with social phobia or panic disorder with agoraphobia with incomplete response to earlier treatment will be included from outpatient clinics in the Netherlands. Patients are randomized to augmentation of exposure therapy with 300 mg CBD or placebo. The study medication is administered orally, 2 h preceding each of the eight 90 min exposure sessions. Measurements will take place at baseline, first administration of medication, every session, mid-treatment, last administration of medication, post-treatment and at 3 and 6 months' follow-up. The primary outcome measure is the score on the Fear Questionnaire (FQ). In addition, determinants of the expected treatment enhancing effect of CBD will be explored. Discussion: This is the first trial to investigate whether the addition of CBD to exposure therapy is effective in reducing phobic symptoms in treatment refractory patients with social phobia or panic disorder with agoraphobia. Trial registration: Netherlands Trial Register NTR5100. Registered 13 March 2015. Protocol version: issue date 17 Jan 2018, protocol amendment number 7.","author":[{"dropping-particle":"","family":"Flier","given":"Febe E.","non-dropping-particle":"Van Der","parse-names":false,"suffix":""},{"dropping-particle":"","family":"Kwee","given":"Caroline M.B.","non-dropping-particle":"","parse-names":false,"suffix":""},{"dropping-particle":"","family":"Cath","given":"Danielle C.","non-dropping-particle":"","parse-names":false,"suffix":""},{"dropping-particle":"","family":"Batelaan","given":"Neeltje M.","non-dropping-particle":"","parse-names":false,"suffix":""},{"dropping-particle":"","family":"Groenink","given":"Lucianne","non-dropping-particle":"","parse-names":false,"suffix":""},{"dropping-particle":"","family":"Duits","given":"Puck","non-dropping-particle":"","parse-names":false,"suffix":""},{"dropping-particle":"","family":"Veen","given":"Date C.","non-dropping-particle":"Van Der","parse-names":false,"suffix":""},{"dropping-particle":"","family":"Balkom","given":"Anton J.L.M.","non-dropping-particle":"Van","parse-names":false,"suffix":""},{"dropping-particle":"","family":"Baas","given":"Johanna M.P.","non-dropping-particle":"","parse-names":false,"suffix":""}],"container-title":"BMC Psychiatry","id":"ITEM-1","issue":"1","issued":{"date-parts":[["2019","2","13"]]},"page":"69","publisher":"BioMed Central Ltd.","title":"Cannabidiol enhancement of exposure therapy in treatment refractory patients with phobias: Study protocol of a randomized controlled trial","type":"article-journal","volume":"19"},"uris":["http://www.mendeley.com/documents/?uuid=f8e512d1-8a48-3d9c-ada6-0ba78447411c"]},{"id":"ITEM-2","itemData":{"URL":"http://www.isrctn.com/ISRCTN87895237","accessed":{"date-parts":[["2020","12","15"]]},"id":"ITEM-2","issued":{"date-parts":[["0"]]},"title":"ISRCTN - ISRCTN87895237: Multi-centre trial of cannabidiol (CBD) for the treatment of Parkinson's disease psychosis","type":"webpage"},"uris":["http://www.mendeley.com/documents/?uuid=b70a496b-e8db-3de9-888d-8e5dc1c6b404"]},{"id":"ITEM-3","itemData":{"URL":"https://clinicaltrials.gov/ct2/show/NCT03848832","accessed":{"date-parts":[["2020","12","15"]]},"id":"ITEM-3","issued":{"date-parts":[["0"]]},"title":"Efficacy and Safety of Cannabidiol Oral Solution (GWP42003-P, CBD-OS) in Patients With Rett Syndrome - Full Text View - ClinicalTrials.gov","type":"webpage"},"uris":["http://www.mendeley.com/documents/?uuid=e91931a3-52b6-317f-83f6-8740dc1bdbaa"]},{"id":"ITEM-4","itemData":{"URL":"https://clinicaltrials.gov/ct2/show/NCT02544763","accessed":{"date-parts":[["2020","12","15"]]},"id":"ITEM-4","issued":{"date-parts":[["0"]]},"title":"A Randomized Controlled Trial of Cannabidiol (GWP42003-P, CBD) for Seizures in Tuberous Sclerosis Complex (GWPCARE6) - Full Text View - ClinicalTrials.gov","type":"webpage"},"uris":["http://www.mendeley.com/documents/?uuid=6c51fbf9-487d-32d8-a290-3105bf3230ab"]}],"mendeley":{"formattedCitation":"[14–17]","plainTextFormattedCitation":"[14–17]","previouslyFormattedCitation":"[14–17]"},"properties":{"noteIndex":0},"schema":"https://github.com/citation-style-language/schema/raw/master/csl-citation.json"}</w:instrText>
      </w:r>
      <w:r w:rsidRPr="00A87961">
        <w:rPr>
          <w:rFonts w:cs="Times New Roman"/>
        </w:rPr>
        <w:fldChar w:fldCharType="separate"/>
      </w:r>
      <w:r w:rsidR="009B5F4E" w:rsidRPr="009B5F4E">
        <w:rPr>
          <w:rFonts w:cs="Times New Roman"/>
          <w:noProof/>
        </w:rPr>
        <w:t>[14–17]</w:t>
      </w:r>
      <w:r w:rsidRPr="00A87961">
        <w:rPr>
          <w:rFonts w:cs="Times New Roman"/>
        </w:rPr>
        <w:fldChar w:fldCharType="end"/>
      </w:r>
      <w:r w:rsidRPr="00A87961">
        <w:rPr>
          <w:rFonts w:cs="Times New Roman"/>
        </w:rPr>
        <w:t>. CBD has been shown to reduce reactive oxygen and nitrogen species production, chemokine and cytokine release, microglial and astrocyte activation, as well as T cell proliferation</w:t>
      </w:r>
      <w:r w:rsidR="001A026A" w:rsidRPr="00A87961">
        <w:rPr>
          <w:rFonts w:cs="Times New Roman"/>
        </w:rPr>
        <w:fldChar w:fldCharType="begin" w:fldLock="1"/>
      </w:r>
      <w:r w:rsidR="00C416DA">
        <w:rPr>
          <w:rFonts w:cs="Times New Roman"/>
        </w:rPr>
        <w:instrText>ADDIN CSL_CITATION {"citationItems":[{"id":"ITEM-1","itemData":{"DOI":"http://dx.doi.org/10.1016/j.freeradbiomed.2011.01.007","ISBN":"0891-5849  1873-4596","abstract":"Oxidative stress with reactive oxygen species generation is a key weapon in the arsenal of the immune system for fighting invading pathogens and initiating tissue repair. If excessive or unresolved, however, immune-related oxidative stress can initiate further increasing levels of oxidative stress that cause organ damage and dysfunction. Targeting oxidative stress in various diseases therapeutically has proven more problematic than first anticipated given the complexities and perversity of both the underlying disease and the immune response. However, growing evidence suggests that the endocannabinoid system, which includes the CB&lt;inf&gt;1&lt;/inf&gt; and CB&lt;inf&gt;2&lt;/inf&gt; G-protein-coupled receptors and their endogenous lipid ligands, may be an area that is ripe for therapeutic exploitation. In this context, the related nonpsychotropic cannabinoid cannabidiol, which may interact with the endocannabinoid system but has actions that are distinct, offers promise as a prototype for anti-inflammatory drug development. This review discusses recent studies suggesting that cannabidiol may have utility in treating a number of human diseases and disorders now known to involve activation of the immune system and associated oxidative stress, as a contributor to their etiology and progression. These include rheumatoid arthritis, types 1 and 2 diabetes, atherosclerosis, Alzheimer disease, hypertension, the metabolic syndrome, ischemia-reperfusion injury, depression, and neuropathic pain. © 2010 Elsevier Inc. All rights reserved. ","author":[{"dropping-particle":"","family":"Booz","given":"G W","non-dropping-particle":"","parse-names":false,"suffix":""}],"container-title":"Free Radical Biology and Medicine ","id":"ITEM-1","issue":"5 ","issued":{"date-parts":[["2011"]]},"language":"English ","note":"Embase","page":"1054-1061","publisher-place":"(Booz) Department of Pharmacology and Toxicology, School of Medicine, University of Mississippi Medical Center, Jackson, MS 39216, United States  G.W. Booz, Department of Pharmacology and Toxicology, School of Medicine, University of Mississippi Medical C","title":"Cannabidiol as an emergent therapeutic strategy for lessening the impact of inflammation on oxidative stress ","type":"article","volume":"51 "},"uris":["http://www.mendeley.com/documents/?uuid=d2a383a1-db09-4c6c-8e4c-98f6d4cdbba7"]},{"id":"ITEM-2","itemData":{"DOI":"https://dx.doi.org/10.1186/s12974-016-0603-x","ISBN":"1742-2094","abstract":"BACKGROUND: Our previous studies showed that the non-psychoactive cannabinoid, cannabidiol (CBD), ameliorates the clinical symptoms in mouse myelin oligodendrocyte glycoprotein (MOG)35-55-induced experimental autoimmune encephalomyelitis model of multiple sclerosis (MS) as well as decreases the memory MOG35-55-specific T cell (TMOG) proliferation and cytokine secretion including IL-17, a key autoimmune factor. The mechanisms of these activities are currently poorly understood.  METHODS: Herein, using microarray-based gene expression profiling, we describe gene networks and intracellular pathways involved in CBD-induced suppression of these activated memory TMOG cells. Encephalitogenic TMOG cells were stimulated with MOG35-55 in the presence of spleen-derived antigen presenting cells (APC) with or without CBD. mRNA of purified TMOG was then subjected to Illumina microarray analysis followed by ingenuity pathway analysis (IPA), weighted gene co-expression network analysis (WGCNA) and gene ontology (GO) elucidation of gene interactions. Results were validated using qPCR and ELISA assays.  RESULTS: Gene profiling showed that the CBD treatment suppresses the transcription of a large number of proinflammatory genes in activated TMOG. These include cytokines (Xcl1, Il3, Il12a, Il1b), cytokine receptors (Cxcr1, Ifngr1), transcription factors (Ier3, Atf3, Nr4a3, Crem), and TNF superfamily signaling molecules (Tnfsf11, Tnfsf14, Tnfrsf9, Tnfrsf18). \"IL-17 differentiation\" and \"IL-6 and IL-10-signaling\" were identified among the top processes affected by CBD. CBD increases a number of IFN-dependent transcripts (Rgs16, Mx2, Rsad2, Irf4, Ifit2, Ephx1, Ets2) known to execute anti-proliferative activities in T cells. Interestingly, certain MOG35-55 up-regulated transcripts were maintained at high levels in the presence of CBD, including transcription factors (Egr2, Egr1, Tbx21), cytokines (Csf2, Tnf, Ifng), and chemokines (Ccl3, Ccl4, Cxcl10) suggesting that CBD may promote exhaustion of memory TMOG cells. In addition, CBD enhanced the transcription of T cell co-inhibitory molecules (Btla, Lag3, Trat1, and CD69) known to interfere with T/APC interactions. Furthermore, CBD enhanced the transcription of oxidative stress modulators with potent anti-inflammatory activity that are controlled by Nfe2l2/Nrf2 (Mt1, Mt2a, Slc30a1, Hmox1).  CONCLUSIONS: Microarray-based gene expression profiling demonstrated that CBD exerts its immunoregulatory effects in activated memory TMOG c…","author":[{"dropping-particle":"","family":"Kozela","given":"E","non-dropping-particle":"","parse-names":false,"suffix":""},{"dropping-particle":"","family":"Juknat","given":"A","non-dropping-particle":"","parse-names":false,"suffix":""},{"dropping-particle":"","family":"Gao","given":"F","non-dropping-particle":"","parse-names":false,"suffix":""},{"dropping-particle":"","family":"Kaushansky","given":"N","non-dropping-particle":"","parse-names":false,"suffix":""},{"dropping-particle":"","family":"Coppola","given":"G","non-dropping-particle":"","parse-names":false,"suffix":""},{"dropping-particle":"","family":"Vogel","given":"Z","non-dropping-particle":"","parse-names":false,"suffix":""}],"container-title":"Journal of Neuroinflammation ","id":"ITEM-2","issue":"1 ","issued":{"date-parts":[["2016"]]},"language":"English ","note":"Kozela, Ewa\n\nJuknat, Ana\n\nGao, Fuying\n\nKaushansky, Nathali\n\nCoppola, Giovanni\n\nVogel, Zvi","page":"136","publisher-place":"Kozela, Ewa. The Dr Miriam and Sheldon G. Adelson Center for the Biology of Addictive Diseases, Sackler Faculty of Medicine, Tel Aviv University, Tel Aviv, 6997801, Israel. kozelae@post.tau.ac.il.  Kozela, Ewa. Department of Neurobiology, Weizmann Institu","title":"Pathways and gene networks mediating the regulatory effects of cannabidiol, a nonpsychoactive cannabinoid, in autoimmune T cells ","type":"article","volume":"13 "},"uris":["http://www.mendeley.com/documents/?uuid=58a7b2b0-ba77-4343-b4b5-78bf335a94fd"]}],"mendeley":{"formattedCitation":"[18,19]","plainTextFormattedCitation":"[18,19]","previouslyFormattedCitation":"[18,19]"},"properties":{"noteIndex":0},"schema":"https://github.com/citation-style-language/schema/raw/master/csl-citation.json"}</w:instrText>
      </w:r>
      <w:r w:rsidR="001A026A" w:rsidRPr="00A87961">
        <w:rPr>
          <w:rFonts w:cs="Times New Roman"/>
        </w:rPr>
        <w:fldChar w:fldCharType="separate"/>
      </w:r>
      <w:r w:rsidR="009B5F4E" w:rsidRPr="009B5F4E">
        <w:rPr>
          <w:rFonts w:cs="Times New Roman"/>
          <w:noProof/>
        </w:rPr>
        <w:t>[18,19]</w:t>
      </w:r>
      <w:r w:rsidR="001A026A" w:rsidRPr="00A87961">
        <w:rPr>
          <w:rFonts w:cs="Times New Roman"/>
        </w:rPr>
        <w:fldChar w:fldCharType="end"/>
      </w:r>
      <w:r w:rsidRPr="00A87961">
        <w:rPr>
          <w:rFonts w:cs="Times New Roman"/>
        </w:rPr>
        <w:t>. In addition, WIN 55,212-2, a non-selective CB receptor agonist, downregulates central nervous systems neutrophil infiltration and apoptosis in multiple sclerosis</w:t>
      </w:r>
      <w:r w:rsidRPr="00A87961">
        <w:rPr>
          <w:rFonts w:cs="Times New Roman"/>
        </w:rPr>
        <w:fldChar w:fldCharType="begin" w:fldLock="1"/>
      </w:r>
      <w:r w:rsidR="00C416DA">
        <w:rPr>
          <w:rFonts w:cs="Times New Roman"/>
        </w:rPr>
        <w:instrText>ADDIN CSL_CITATION {"citationItems":[{"id":"ITEM-1","itemData":{"DOI":"http://dx.doi.org/10.1038/sj.bjp.0707466","ISBN":"0007-1188  1476-5381","abstract":"Amongst the various demyelinating diseases that affect the central nervous system, those induced by an inflammatory response stand out because of their epidemiological relevance. The best known inflammatory-induced demyelinating disease is multiple sclerosis, but the immune response is a common pathogenic mechanism in many other less common pathologies (e.g., acute disseminated encephalomyelitis and acute necrotizing haemorrhagic encephalomyelitis). In all such cases, modulation of the immune response seems to be a logical therapeutic approach. Cannabinoids are well known immunomodulatory molecules that act through CB1 and CB2 receptors. While activation of CB1 receptors has a psychotropic effect, activation of CB2 receptors alone does not. Therefore, to bypass the ethical problems that could result from the treatment of inflammation with psychotropic molecules, considerable effort is being made to study the potential therapeutic value of activating CB2 receptors. In this review we examine the current knowledge and understanding of the utility of cannabinoids as therapeutic molecules for inflammatory-mediated demyelinating pathologies. Moreover, we discuss how CB2 receptor activation is related to the modulation of immunopathogenic states. [References: 142] ","author":[{"dropping-particle":"","family":"Arevalo-Martin","given":"A","non-dropping-particle":"","parse-names":false,"suffix":""},{"dropping-particle":"","family":"Garcia-Ovejero","given":"D","non-dropping-particle":"","parse-names":false,"suffix":""},{"dropping-particle":"","family":"Gomez","given":"O","non-dropping-particle":"","parse-names":false,"suffix":""},{"dropping-particle":"","family":"Rubio-Araiz","given":"A","non-dropping-particle":"","parse-names":false,"suffix":""},{"dropping-particle":"","family":"Navarro-Galve","given":"B","non-dropping-particle":"","parse-names":false,"suffix":""},{"dropping-particle":"","family":"Guaza","given":"C","non-dropping-particle":"","parse-names":false,"suffix":""},{"dropping-particle":"","family":"Molina-Holgado","given":"E","non-dropping-particle":"","parse-names":false,"suffix":""},{"dropping-particle":"","family":"Molina-Holgado","given":"F","non-dropping-particle":"","parse-names":false,"suffix":""}],"container-title":"British Journal of Pharmacology ","id":"ITEM-1","issue":"2 ","issued":{"date-parts":[["2008"]]},"language":"English ","note":"From Duplicate 1 (CB2 cannabinoid receptors as an emerging target for demyelinating diseases: from neuroimmune interactions to cell replacement strategies - Arevalo-Martin, A; Garcia-Ovejero, D; Gomez, O; Rubio-Araiz, A; Navarro-Galve, B; Guaza, C; Molina-Holgado, E; Molina-Holgado, F)\n\nArevalo-Martin, A\n\nGarcia-Ovejero, D\n\nGomez, O\n\nRubio-Araiz, A\n\nNavarro-Galve, B\n\nGuaza, C\n\nMolina-Holgado, E\n\nMolina-Holgado, F\n\nFrom Duplicate 2 (CB2 cannabinoid receptors as an emerging target for demyelinating diseases: From neuroimmune interactions to cell replacement strategies - Arevalo-Martin, A; Garcia-Ovejero, D; Gomez, O; Rubio-Araiz, A; Navarro-Galve, B; Guaza, C; Molina-Holgado, E; Molina-Holgado, F)\n\nEmbase","page":"216-225","publisher-place":"(Arevalo-Martin, Garcia-Ovejero, Gomez, Rubio-Araiz, Navarro-Galve, Molina-Holgado) Laboratory of Neuroinflammation, Unidad de Neurologia Experimental, Hospital Nacional de Paraplejicos (SESCAM), 45071 Toledo, Spain (Arevalo-Martin, Garcia-Ovejero, Gomez,","title":"CB2 cannabinoid receptors as an emerging target for demyelinating diseases: from neuroimmune interactions to cell replacement strategies ","type":"article","volume":"153 "},"uris":["http://www.mendeley.com/documents/?uuid=6f176dc2-d470-48e7-bcff-42f5349b8219"]}],"mendeley":{"formattedCitation":"[20]","plainTextFormattedCitation":"[20]","previouslyFormattedCitation":"[20]"},"properties":{"noteIndex":0},"schema":"https://github.com/citation-style-language/schema/raw/master/csl-citation.json"}</w:instrText>
      </w:r>
      <w:r w:rsidRPr="00A87961">
        <w:rPr>
          <w:rFonts w:cs="Times New Roman"/>
        </w:rPr>
        <w:fldChar w:fldCharType="separate"/>
      </w:r>
      <w:r w:rsidR="009B5F4E" w:rsidRPr="009B5F4E">
        <w:rPr>
          <w:rFonts w:cs="Times New Roman"/>
          <w:noProof/>
        </w:rPr>
        <w:t>[20]</w:t>
      </w:r>
      <w:r w:rsidRPr="00A87961">
        <w:rPr>
          <w:rFonts w:cs="Times New Roman"/>
        </w:rPr>
        <w:fldChar w:fldCharType="end"/>
      </w:r>
      <w:r w:rsidRPr="00A87961">
        <w:rPr>
          <w:rFonts w:cs="Times New Roman"/>
        </w:rPr>
        <w:t>, promotes neural remyelination in neonatal rats experiencing hypoxia-ischaemia</w:t>
      </w:r>
      <w:r w:rsidRPr="00A87961">
        <w:rPr>
          <w:rFonts w:cs="Times New Roman"/>
        </w:rPr>
        <w:fldChar w:fldCharType="begin" w:fldLock="1"/>
      </w:r>
      <w:r w:rsidR="00C416DA">
        <w:rPr>
          <w:rFonts w:cs="Times New Roman"/>
        </w:rPr>
        <w:instrText>ADDIN CSL_CITATION {"citationItems":[{"id":"ITEM-1","itemData":{"DOI":"http://dx.doi.org/10.1161/STROKEAHA.110.599357","ISBN":"0039-2499","abstract":"Background and Purpose- The endocannabinoid system has been involved in the modulation of neural stem cells proliferation, survival and differentiation as well as in the generation of new oligodendrocyte progenitors in the postnatal brain. The present work aims to test the effect of the synthetic Type 1 and Type 2 cannabinoid receptor agonist WIN55212-2 on these processes in the context of neonatal rat brain hypoxia-ischemia (HI). Methods- P7 Wistar rats were subjected to HI and treated either with WIN55212-2 (1 mg/kg) or vehicle twice daily for 7 days after HI and euthanized at 1, 2, 7, 14, or 28 days to explore white matter injury progression and the neurogenic response in the subventricular zone after HI. Results- Our findings reveal that WIN55212-2 promotes remyelination of the injured external capsule, increasing the number of NG2+ early oligodendrocyte progenitors 7 days after HI in this area and the number of APC+ mature oligodendrocytes in the injured striatum 14 and 28 days after HI. WIN55212-2 also increases cell proliferation and protein expression of the neuroblast marker doublecortin in the subventricular zone 7 days after neonatal HI as well as the number of newly generated neuroblasts (5-bromodeoxyuridine+/doublecortin+ cells) in the ipsilateral striatum 14 days after HI. Conclusions- Our results suggest that the activation of the endocannabinoid system promotes white and gray matter recovery after neonatal HI injury. © 2010 American Heart Association, Inc. ","author":[{"dropping-particle":"","family":"Fernandez-Lopez","given":"D","non-dropping-particle":"","parse-names":false,"suffix":""},{"dropping-particle":"","family":"Pradillo","given":"J M","non-dropping-particle":"","parse-names":false,"suffix":""},{"dropping-particle":"","family":"Garcia-Yebenes","given":"I","non-dropping-particle":"","parse-names":false,"suffix":""},{"dropping-particle":"","family":"Martinez-Orgado","given":"J A","non-dropping-particle":"","parse-names":false,"suffix":""},{"dropping-particle":"","family":"Moro","given":"M A","non-dropping-particle":"","parse-names":false,"suffix":""},{"dropping-particle":"","family":"Lizasoain","given":"I","non-dropping-particle":"","parse-names":false,"suffix":""}],"container-title":"Stroke ","id":"ITEM-1","issue":"12 ","issued":{"date-parts":[["2010"]]},"language":"English ","note":"Embase","page":"2956-2964","publisher-place":"(Fernandez-Lopez, Pradillo, Garcia-Yebenes, Moro, Lizasoain) Unidad de Investigacion Neurovascular, Departamento de Farmacologia, Universidad Complutense de Madrid, Madrid, Spain (Martinez-Orgado) Departamento de Neonatologia y Pediatria, Hospital Univers","title":"The cannabinoid WIN55212-2 promotes neural repair after neonatal hypoxia-ischemia ","type":"article","volume":"41 "},"uris":["http://www.mendeley.com/documents/?uuid=ca9c3c46-7a78-4649-83b1-1236eb3271ff"]}],"mendeley":{"formattedCitation":"[21]","plainTextFormattedCitation":"[21]","previouslyFormattedCitation":"[21]"},"properties":{"noteIndex":0},"schema":"https://github.com/citation-style-language/schema/raw/master/csl-citation.json"}</w:instrText>
      </w:r>
      <w:r w:rsidRPr="00A87961">
        <w:rPr>
          <w:rFonts w:cs="Times New Roman"/>
        </w:rPr>
        <w:fldChar w:fldCharType="separate"/>
      </w:r>
      <w:r w:rsidR="009B5F4E" w:rsidRPr="009B5F4E">
        <w:rPr>
          <w:rFonts w:cs="Times New Roman"/>
          <w:noProof/>
        </w:rPr>
        <w:t>[21]</w:t>
      </w:r>
      <w:r w:rsidRPr="00A87961">
        <w:rPr>
          <w:rFonts w:cs="Times New Roman"/>
        </w:rPr>
        <w:fldChar w:fldCharType="end"/>
      </w:r>
      <w:r w:rsidRPr="00A87961">
        <w:rPr>
          <w:rFonts w:cs="Times New Roman"/>
        </w:rPr>
        <w:t xml:space="preserve"> and relieves neuropathic pain following peripheral nerve injury in mice</w:t>
      </w:r>
      <w:r w:rsidRPr="00A87961">
        <w:rPr>
          <w:rFonts w:cs="Times New Roman"/>
        </w:rPr>
        <w:fldChar w:fldCharType="begin" w:fldLock="1"/>
      </w:r>
      <w:r w:rsidR="00C416DA">
        <w:rPr>
          <w:rFonts w:cs="Times New Roman"/>
        </w:rPr>
        <w:instrText>ADDIN CSL_CITATION {"citationItems":[{"id":"ITEM-1","itemData":{"DOI":"https://dx.doi.org/10.1016/j.neuropharm.2013.10.006","ISBN":"1873-7064","abstract":"The two most studied endocannabinoids are anandamide (AEA), principally catalyzed by fatty-acid amide hydrolase (FAAH), and 2-arachidonoyl glycerol (2-AG), mainly hydrolyzed by monoacylglycerol lipase (MGL). Inhibitors targeting these two enzymes have been described, including URB597 and URB602, respectively. Several recent studies examining the contribution of CB1 and/or CB2 receptors on the peripheral antinociceptive effects of AEA, 2-AG, URB597 and URB602 in neuropathic pain conditions using either pharmacological tools or transgenic mice separately have been reported, but the exact mechanism is still uncertain. Mechanical allodynia and thermal hyperalgesia were evaluated in 436 male C57BL/6, cnr1KO and cnr2KO mice in the presence or absence of cannabinoid CB1 (AM251) or CB2 (AM630) receptor antagonists in a mouse model of neuropathic pain. Peripheral subcutaneous injections of AEA, 2-AG, WIN55,212-2 (WIN; a CB1/CB2 synthetic agonist), URB597 and URB602 significantly decreased mechanical allodynia and thermal hyperalgesia. These effects were inhibited by both cannabinoid antagonists AM251 and AM630 for treatments with 2-AG, WIN and URB602 but only by AM251 for treatments with AEA and URB597 in C57BL/6 mice. Furthermore, the antinociceptive effects for AEA and URB597 were observed in cnr2KO mice but absent in cnr1KO mice, whereas the effects of 2-AG, WIN and URB602 were altered in both of these transgenic mice. Complementary genetic and pharmacological approaches revealed that the anti-hyperalgesic effects of 2-AG and URB602 required both CB1 and CB2 receptors, but only CB2 receptors mediated its anti-allodynic actions. The antinociceptive properties of AEA and URB597 were mediated only by CB1 receptors. ","author":[{"dropping-particle":"","family":"Desroches","given":"J","non-dropping-particle":"","parse-names":false,"suffix":""},{"dropping-particle":"","family":"Charron","given":"S","non-dropping-particle":"","parse-names":false,"suffix":""},{"dropping-particle":"","family":"Bouchard","given":"J F","non-dropping-particle":"","parse-names":false,"suffix":""},{"dropping-particle":"","family":"Beaulieu","given":"P","non-dropping-particle":"","parse-names":false,"suffix":""}],"container-title":"Neuropharmacology ","id":"ITEM-1","issued":{"date-parts":[["2014"]]},"language":"English ","note":"Desroches, Julie\n\nCharron, Sophie\n\nBouchard, Jean-Francois\n\nBeaulieu, Pierre\n\nS0028-3908(13)00480-2","page":"441-452","publisher-place":"Desroches, Julie. Department of Pharmacology, Universite de Montreal, Montreal, Quebec, Canada.  Charron, Sophie. Faculty of Medicine, School of Optometry, Universite de Montreal, Montreal, Quebec, Canada.  Bouchard, Jean-Francois. Faculty of Medicine, Sc","title":"Endocannabinoids decrease neuropathic pain-related behavior in mice through the activation of one or both peripheral CB1 and CB2 receptors ","type":"article","volume":"77 "},"uris":["http://www.mendeley.com/documents/?uuid=3c182cfc-2a01-463e-81b6-602403237ab5"]}],"mendeley":{"formattedCitation":"[22]","plainTextFormattedCitation":"[22]","previouslyFormattedCitation":"[22]"},"properties":{"noteIndex":0},"schema":"https://github.com/citation-style-language/schema/raw/master/csl-citation.json"}</w:instrText>
      </w:r>
      <w:r w:rsidRPr="00A87961">
        <w:rPr>
          <w:rFonts w:cs="Times New Roman"/>
        </w:rPr>
        <w:fldChar w:fldCharType="separate"/>
      </w:r>
      <w:r w:rsidR="009B5F4E" w:rsidRPr="009B5F4E">
        <w:rPr>
          <w:rFonts w:cs="Times New Roman"/>
          <w:noProof/>
        </w:rPr>
        <w:t>[22]</w:t>
      </w:r>
      <w:r w:rsidRPr="00A87961">
        <w:rPr>
          <w:rFonts w:cs="Times New Roman"/>
        </w:rPr>
        <w:fldChar w:fldCharType="end"/>
      </w:r>
      <w:r w:rsidRPr="00A87961">
        <w:rPr>
          <w:rFonts w:cs="Times New Roman"/>
        </w:rPr>
        <w:t xml:space="preserve">. </w:t>
      </w:r>
    </w:p>
    <w:p w14:paraId="2BA23243" w14:textId="77777777" w:rsidR="00E456B9" w:rsidRPr="00A87961" w:rsidRDefault="00E456B9" w:rsidP="0011737C">
      <w:pPr>
        <w:spacing w:line="480" w:lineRule="auto"/>
        <w:rPr>
          <w:rFonts w:cs="Times New Roman"/>
        </w:rPr>
      </w:pPr>
    </w:p>
    <w:p w14:paraId="691B5E24" w14:textId="4E46D407" w:rsidR="003855D4" w:rsidRPr="00A87961" w:rsidRDefault="00E456B9" w:rsidP="0011737C">
      <w:pPr>
        <w:spacing w:line="480" w:lineRule="auto"/>
        <w:rPr>
          <w:rFonts w:cs="Times New Roman"/>
        </w:rPr>
      </w:pPr>
      <w:r w:rsidRPr="00A87961">
        <w:rPr>
          <w:rFonts w:cs="Times New Roman"/>
        </w:rPr>
        <w:t>Given the mechanism of action of cannabinoids and the pathophysiology of SCI, there may be a therapeutic role for cannabinoids in</w:t>
      </w:r>
      <w:r w:rsidR="00EA4CFC" w:rsidRPr="00A87961">
        <w:rPr>
          <w:rFonts w:cs="Times New Roman"/>
        </w:rPr>
        <w:t xml:space="preserve"> patient</w:t>
      </w:r>
      <w:r w:rsidR="00381E1C" w:rsidRPr="00A87961">
        <w:rPr>
          <w:rFonts w:cs="Times New Roman"/>
        </w:rPr>
        <w:t>s</w:t>
      </w:r>
      <w:r w:rsidR="00EA4CFC" w:rsidRPr="00A87961">
        <w:rPr>
          <w:rFonts w:cs="Times New Roman"/>
        </w:rPr>
        <w:t xml:space="preserve"> following SCI.</w:t>
      </w:r>
      <w:r w:rsidR="00381E1C" w:rsidRPr="00A87961">
        <w:rPr>
          <w:rFonts w:cs="Times New Roman"/>
        </w:rPr>
        <w:t xml:space="preserve"> A recent systematic review of cannabinoid use in</w:t>
      </w:r>
      <w:r w:rsidR="001E6BE6" w:rsidRPr="00A87961">
        <w:rPr>
          <w:rFonts w:cs="Times New Roman"/>
        </w:rPr>
        <w:t xml:space="preserve"> human</w:t>
      </w:r>
      <w:r w:rsidR="00381E1C" w:rsidRPr="00A87961">
        <w:rPr>
          <w:rFonts w:cs="Times New Roman"/>
        </w:rPr>
        <w:t xml:space="preserve"> patients with SCI found cannabinoid receptor agonists may be associated with reductions in pain and spasticity</w:t>
      </w:r>
      <w:r w:rsidR="001E6BE6" w:rsidRPr="00A87961">
        <w:rPr>
          <w:rFonts w:cs="Times New Roman"/>
        </w:rPr>
        <w:t xml:space="preserve">, </w:t>
      </w:r>
      <w:r w:rsidR="00381E1C" w:rsidRPr="00A87961">
        <w:rPr>
          <w:rFonts w:cs="Times New Roman"/>
        </w:rPr>
        <w:t xml:space="preserve">however, the magnitude of these effects and clinical significance was </w:t>
      </w:r>
      <w:r w:rsidR="001E6BE6" w:rsidRPr="00A87961">
        <w:rPr>
          <w:rFonts w:cs="Times New Roman"/>
        </w:rPr>
        <w:t>un</w:t>
      </w:r>
      <w:r w:rsidR="00381E1C" w:rsidRPr="00A87961">
        <w:rPr>
          <w:rFonts w:cs="Times New Roman"/>
        </w:rPr>
        <w:t>clear</w:t>
      </w:r>
      <w:r w:rsidR="00381E1C" w:rsidRPr="00A87961">
        <w:rPr>
          <w:rFonts w:cs="Times New Roman"/>
        </w:rPr>
        <w:fldChar w:fldCharType="begin" w:fldLock="1"/>
      </w:r>
      <w:r w:rsidR="00C416DA">
        <w:rPr>
          <w:rFonts w:cs="Times New Roman"/>
        </w:rPr>
        <w:instrText>ADDIN CSL_CITATION {"citationItems":[{"id":"ITEM-1","itemData":{"DOI":"10.2174/1570159X18666200420085712","ISSN":"1570159X","abstract":"BACKGROUND: People with spinal cord injuries (SCI) commonly experience pain and spasticity, but limitations of current treatments have generated interest in cannabis as a possible therapy. OBJECTIVES: We conducted this systematic review to: 1) examine usage patterns and reasons for cannabinoid use, and 2) determine the treatment efficacy and safety of cannabinoid use, in people with SCI. METHODS: PubMed, Embase, Web of Science and Cumulative Index to Nursing and Allied Health Literature databases were queried for keywords related to SCI and cannabinoid. RESULTS: 7,232 studies were screened, 34 were included in this systematic review. Though 26 studies addressed cannabinoid usage, only 8 investigated its therapeutic potential on outcomes such as pain and spasticity. The most common usage method was smoking. Relief of pain, spasticity and pleasure were the most common reasons for use. Statistically significant reduction of pain and spasticity was observed with cannabinoid use in 80% and 90% of experimental studies, respectively. However, on examination of randomized control trials (RCTs) alone, effect sizes ranged from -0.82 to 0.83 for pain and -0.95 to 0.09 for spasticity. Cannabinoid use was associated with fatigue and cognitive deficits. CONCLUSIONS: Current evidence suggests cannabinoids may reduce pain and spasticity in people with SCI, but its effect magnitude and clinical significance is unclear. Existing information is lacking on optimal dosage, method of use, composition and concentration of compounds. Longterm, double-blind, RCTs, assessing a wider range of outcomes should be conducted to further understanding of the effects of cannabinoid use in people with SCI.","author":[{"dropping-particle":"","family":"Nabata","given":"Kylie J.","non-dropping-particle":"","parse-names":false,"suffix":""},{"dropping-particle":"","family":"Tse","given":"Emmanuel K.","non-dropping-particle":"","parse-names":false,"suffix":""},{"dropping-particle":"","family":"Nightingale","given":"Tom E.","non-dropping-particle":"","parse-names":false,"suffix":""},{"dropping-particle":"","family":"Lee","given":"Amanda H.X.","non-dropping-particle":"","parse-names":false,"suffix":""},{"dropping-particle":"","family":"Eng","given":"Janice J.","non-dropping-particle":"","parse-names":false,"suffix":""},{"dropping-particle":"","family":"Querée","given":"Matthew","non-dropping-particle":"","parse-names":false,"suffix":""},{"dropping-particle":"","family":"Walter","given":"Matthias","non-dropping-particle":"","parse-names":false,"suffix":""},{"dropping-particle":"V.","family":"Krassioukov","given":"Andrei","non-dropping-particle":"","parse-names":false,"suffix":""}],"container-title":"Current Neuropharmacology","id":"ITEM-1","issue":"3","issued":{"date-parts":[["2021","3","15"]]},"page":"402-432","publisher":"Bentham Science Publishers Ltd.","title":"The Therapeutic Potential and Usage Patterns of Cannabinoids in People with Spinal Cord Injuries: A Systematic Review","type":"article-journal","volume":"19"},"uris":["http://www.mendeley.com/documents/?uuid=2e80afab-5986-3c85-8606-aec386380aaf"]}],"mendeley":{"formattedCitation":"[23]","plainTextFormattedCitation":"[23]","previouslyFormattedCitation":"[23]"},"properties":{"noteIndex":0},"schema":"https://github.com/citation-style-language/schema/raw/master/csl-citation.json"}</w:instrText>
      </w:r>
      <w:r w:rsidR="00381E1C" w:rsidRPr="00A87961">
        <w:rPr>
          <w:rFonts w:cs="Times New Roman"/>
        </w:rPr>
        <w:fldChar w:fldCharType="separate"/>
      </w:r>
      <w:r w:rsidR="009B5F4E" w:rsidRPr="009B5F4E">
        <w:rPr>
          <w:rFonts w:cs="Times New Roman"/>
          <w:noProof/>
        </w:rPr>
        <w:t>[23]</w:t>
      </w:r>
      <w:r w:rsidR="00381E1C" w:rsidRPr="00A87961">
        <w:rPr>
          <w:rFonts w:cs="Times New Roman"/>
        </w:rPr>
        <w:fldChar w:fldCharType="end"/>
      </w:r>
      <w:r w:rsidR="00381E1C" w:rsidRPr="00A87961">
        <w:rPr>
          <w:rFonts w:cs="Times New Roman"/>
        </w:rPr>
        <w:t>. Furthermore, overall quality of the included studies was reported as poor</w:t>
      </w:r>
      <w:r w:rsidR="00381E1C" w:rsidRPr="00A87961">
        <w:rPr>
          <w:rFonts w:cs="Times New Roman"/>
        </w:rPr>
        <w:fldChar w:fldCharType="begin" w:fldLock="1"/>
      </w:r>
      <w:r w:rsidR="00C416DA">
        <w:rPr>
          <w:rFonts w:cs="Times New Roman"/>
        </w:rPr>
        <w:instrText>ADDIN CSL_CITATION {"citationItems":[{"id":"ITEM-1","itemData":{"DOI":"10.2174/1570159X18666200420085712","ISSN":"1570159X","abstract":"BACKGROUND: People with spinal cord injuries (SCI) commonly experience pain and spasticity, but limitations of current treatments have generated interest in cannabis as a possible therapy. OBJECTIVES: We conducted this systematic review to: 1) examine usage patterns and reasons for cannabinoid use, and 2) determine the treatment efficacy and safety of cannabinoid use, in people with SCI. METHODS: PubMed, Embase, Web of Science and Cumulative Index to Nursing and Allied Health Literature databases were queried for keywords related to SCI and cannabinoid. RESULTS: 7,232 studies were screened, 34 were included in this systematic review. Though 26 studies addressed cannabinoid usage, only 8 investigated its therapeutic potential on outcomes such as pain and spasticity. The most common usage method was smoking. Relief of pain, spasticity and pleasure were the most common reasons for use. Statistically significant reduction of pain and spasticity was observed with cannabinoid use in 80% and 90% of experimental studies, respectively. However, on examination of randomized control trials (RCTs) alone, effect sizes ranged from -0.82 to 0.83 for pain and -0.95 to 0.09 for spasticity. Cannabinoid use was associated with fatigue and cognitive deficits. CONCLUSIONS: Current evidence suggests cannabinoids may reduce pain and spasticity in people with SCI, but its effect magnitude and clinical significance is unclear. Existing information is lacking on optimal dosage, method of use, composition and concentration of compounds. Longterm, double-blind, RCTs, assessing a wider range of outcomes should be conducted to further understanding of the effects of cannabinoid use in people with SCI.","author":[{"dropping-particle":"","family":"Nabata","given":"Kylie J.","non-dropping-particle":"","parse-names":false,"suffix":""},{"dropping-particle":"","family":"Tse","given":"Emmanuel K.","non-dropping-particle":"","parse-names":false,"suffix":""},{"dropping-particle":"","family":"Nightingale","given":"Tom E.","non-dropping-particle":"","parse-names":false,"suffix":""},{"dropping-particle":"","family":"Lee","given":"Amanda H.X.","non-dropping-particle":"","parse-names":false,"suffix":""},{"dropping-particle":"","family":"Eng","given":"Janice J.","non-dropping-particle":"","parse-names":false,"suffix":""},{"dropping-particle":"","family":"Querée","given":"Matthew","non-dropping-particle":"","parse-names":false,"suffix":""},{"dropping-particle":"","family":"Walter","given":"Matthias","non-dropping-particle":"","parse-names":false,"suffix":""},{"dropping-particle":"V.","family":"Krassioukov","given":"Andrei","non-dropping-particle":"","parse-names":false,"suffix":""}],"container-title":"Current Neuropharmacology","id":"ITEM-1","issue":"3","issued":{"date-parts":[["2021","3","15"]]},"page":"402-432","publisher":"Bentham Science Publishers Ltd.","title":"The Therapeutic Potential and Usage Patterns of Cannabinoids in People with Spinal Cord Injuries: A Systematic Review","type":"article-journal","volume":"19"},"uris":["http://www.mendeley.com/documents/?uuid=2e80afab-5986-3c85-8606-aec386380aaf"]}],"mendeley":{"formattedCitation":"[23]","plainTextFormattedCitation":"[23]","previouslyFormattedCitation":"[23]"},"properties":{"noteIndex":0},"schema":"https://github.com/citation-style-language/schema/raw/master/csl-citation.json"}</w:instrText>
      </w:r>
      <w:r w:rsidR="00381E1C" w:rsidRPr="00A87961">
        <w:rPr>
          <w:rFonts w:cs="Times New Roman"/>
        </w:rPr>
        <w:fldChar w:fldCharType="separate"/>
      </w:r>
      <w:r w:rsidR="009B5F4E" w:rsidRPr="009B5F4E">
        <w:rPr>
          <w:rFonts w:cs="Times New Roman"/>
          <w:noProof/>
        </w:rPr>
        <w:t>[23]</w:t>
      </w:r>
      <w:r w:rsidR="00381E1C" w:rsidRPr="00A87961">
        <w:rPr>
          <w:rFonts w:cs="Times New Roman"/>
        </w:rPr>
        <w:fldChar w:fldCharType="end"/>
      </w:r>
      <w:r w:rsidR="00381E1C" w:rsidRPr="00A87961">
        <w:rPr>
          <w:rFonts w:cs="Times New Roman"/>
        </w:rPr>
        <w:t>. A series of reviews from the International Association for the Study of Pain (IASP) highlighted a similar lack of high-quality pre-clinical or clinical evidence for the use of cannabinoids in pain management</w:t>
      </w:r>
      <w:r w:rsidR="00E255D1" w:rsidRPr="00A87961">
        <w:rPr>
          <w:rFonts w:cs="Times New Roman"/>
        </w:rPr>
        <w:t xml:space="preserve"> specifically</w:t>
      </w:r>
      <w:r w:rsidR="00C416DA">
        <w:rPr>
          <w:rFonts w:cs="Times New Roman"/>
        </w:rPr>
        <w:fldChar w:fldCharType="begin" w:fldLock="1"/>
      </w:r>
      <w:r w:rsidR="00C416DA">
        <w:rPr>
          <w:rFonts w:cs="Times New Roman"/>
        </w:rPr>
        <w:instrText>ADDIN CSL_CITATION {"citationItems":[{"id":"ITEM-1","itemData":{"ISBN":"0000000000","abstract":"Cannabinoids, cannabis, and cannabis-based medicines (CBMs) are increasingly used to manage pain, with limited understanding of their efficacy and safety. We summarised efficacy and adverse events (AEs) of these types of drugs for treating pain using randomised controlled trials: in people of any age, with any type of pain, and for any treatment duration. Primary outcomes were 30% and 50% reduction in pain intensity, and AEs. We assessed risk of bias of included studies, and the overall quality of evidence using GRADE. Studies of ,7 and .7 days treatment duration were analysed separately. We included 36 studies (7217 participants) delivering cannabinoids (8 studies), cannabis (6 studies), andCBM(22 studies); all had high and/or uncertain risk of bias. Evidence of benefit was found for cannabis ,7 days (risk difference 0.33, 95% confidence interval 0.20-0.46; 2 trials, 231 patients, very low- quality evidence) and nabiximols .7 days (risk difference 0.06, 95% confidence interval 0.01-0.12; 6 trials, 1484 patients, very low- quality evidence). No other beneficial effects were found for other types of cannabinoids, cannabis, or CBM in our primary analyses; 81% of subgroup analyses were negative. Cannabis, nabiximols, and delta-9-tetrahydrocannabinol had more AEs than control. Studies in this field have unclear or high risk of bias, and outcomes had GRADE rating of low- or very low-quality evidence. We have little confidence in the estimates of effect. The evidence neither supports nor refutes claims of efficacy and safety for cannabinoids, cannabis, or CBM in the management of pain. Keywords: Cannabis, Cannabis-based medicine, Cannabinoids, Systematic review, Meta-analysis, Pain, Chronic pain","author":[{"dropping-particle":"","family":"Fisher","given":"Emma","non-dropping-particle":"","parse-names":false,"suffix":""},{"dropping-particle":"","family":"Moore","given":"R Andrew","non-dropping-particle":"","parse-names":false,"suffix":""},{"dropping-particle":"","family":"Fogarty","given":"Alexandra E","non-dropping-particle":"","parse-names":false,"suffix":""},{"dropping-particle":"","family":"Finn","given":"David P","non-dropping-particle":"","parse-names":false,"suffix":""},{"dropping-particle":"","family":"Finnerup","given":"Nanna B","non-dropping-particle":"","parse-names":false,"suffix":""},{"dropping-particle":"","family":"Gilron","given":"Ian","non-dropping-particle":"","parse-names":false,"suffix":""}],"container-title":"Pain","id":"ITEM-1","issue":"00","issued":{"date-parts":[["2020"]]},"title":"Medicine for Pain Management : a Systematic Review of Randomised Controlled Trials","type":"article-journal","volume":"00"},"uris":["http://www.mendeley.com/documents/?uuid=164ac07d-3e57-4921-95b1-ad885a82b42b"]},{"id":"ITEM-2","itemData":{"DOI":"10.1097/j.pain.0000000000002269","ISBN":"0000000000","ISSN":"0304-3959","abstract":"ABSTRACT We report a systematic review and meta-analysis of studies which assessed the antinociceptive efficacy of cannabinoids, cannabis-based medicines, and endocannabinoid system modulators on pain-associated behavioural outcomes in animal models of pathological or injury-related persistent pain. In April 2019, we systematically searched 3 online databases and used crowd science and machine learning to identify studies for inclusion. We calculated a standardised mean difference (SMD) effect size for each comparison and performed a random effects meta-analysis. We assessed the impact of study design characteristics and reporting of mitigations to reduce the risk of bias. We meta-analysed 374 studies in which 171 interventions were assessed for antinociceptive efficacy in rodent models of pathological or injury-related pain. Most experiments were conducted in male animals (86 %). Antinociceptive efficacy was most frequently measured by attenuation of hypersensitivity to evoked limb withdrawal. Selective CB1, CB2, non-selective cannabinoid receptor agonists (including delta-9-tetrahydrocannabinol; THC), and PPAR-alpha agonists (predominantly palmitoylethanolamide; PEA) significantly attenuated pain-associated behaviours in a broad range of inflammatory and neuropathic pain models. Fatty acid amide hydrolase (FAAH) inhibitors, monoacylglycerol lipase (MGL) inhibitors and cannabidiol (CBD) significantly attenuated pain-associated behaviours in neuropathic pain models but yielded mixed results in inflammatory pain models. The reporting of criteria to reduce the risk of bias was low, therefore the studies have an unclear risk of bias. The value of future studies could be enhanced by improving the reporting of methodological criteria, the clinical relevance of the models and behavioural assessments. Notwithstanding, the evidence supports the hypothesis of cannabinoid-induced analgesia.","author":[{"dropping-particle":"","family":"Soliman","given":"Nadia","non-dropping-particle":"","parse-names":false,"suffix":""},{"dropping-particle":"","family":"Haroutounian","given":"Simon","non-dropping-particle":"","parse-names":false,"suffix":""},{"dropping-particle":"","family":"Hohmann","given":"Andrea G.","non-dropping-particle":"","parse-names":false,"suffix":""},{"dropping-particle":"","family":"Krane","given":"Elliot","non-dropping-particle":"","parse-names":false,"suffix":""},{"dropping-particle":"","family":"Liao","given":"Jing","non-dropping-particle":"","parse-names":false,"suffix":""},{"dropping-particle":"","family":"Macleod","given":"Malcolm","non-dropping-particle":"","parse-names":false,"suffix":""},{"dropping-particle":"","family":"Segelcke","given":"Daniel","non-dropping-particle":"","parse-names":false,"suffix":""},{"dropping-particle":"","family":"Sena","given":"Christopher","non-dropping-particle":"","parse-names":false,"suffix":""},{"dropping-particle":"","family":"Thomas","given":"James","non-dropping-particle":"","parse-names":false,"suffix":""},{"dropping-particle":"","family":"Vollert","given":"Jan","non-dropping-particle":"","parse-names":false,"suffix":""},{"dropping-particle":"","family":"Wever","given":"Kimberley","non-dropping-particle":"","parse-names":false,"suffix":""},{"dropping-particle":"","family":"Alaverdyan","given":"Harutyun","non-dropping-particle":"","parse-names":false,"suffix":""},{"dropping-particle":"","family":"Barakat","given":"Ahmed","non-dropping-particle":"","parse-names":false,"suffix":""},{"dropping-particle":"","family":"Barthlow","given":"Tyler","non-dropping-particle":"","parse-names":false,"suffix":""},{"dropping-particle":"","family":"Bozer","given":"Amber L. Harris","non-dropping-particle":"","parse-names":false,"suffix":""},{"dropping-particle":"","family":"Davidson","given":"Alexander","non-dropping-particle":"","parse-names":false,"suffix":""},{"dropping-particle":"","family":"Diaz-delCastillo","given":"Marta","non-dropping-particle":"","parse-names":false,"suffix":""},{"dropping-particle":"","family":"Dolgorukova","given":"Antonina","non-dropping-particle":"","parse-names":false,"suffix":""},{"dropping-particle":"","family":"Ferdousi","given":"Mehnaz I.","non-dropping-particle":"","parse-names":false,"suffix":""},{"dropping-particle":"","family":"Healy","given":"Catherine","non-dropping-particle":"","parse-names":false,"suffix":""},{"dropping-particle":"","family":"Hong","given":"Simon","non-dropping-particle":"","parse-names":false,"suffix":""},{"dropping-particle":"","family":"Hopkins","given":"Mary","non-dropping-particle":"","parse-names":false,"suffix":""},{"dropping-particle":"","family":"James","given":"Arul","non-dropping-particle":"","parse-names":false,"suffix":""},{"dropping-particle":"","family":"Leake","given":"Hayley B.","non-dropping-particle":"","parse-names":false,"suffix":""},{"dropping-particle":"","family":"Malewicz","given":"Nathalie M.","non-dropping-particle":"","parse-names":false,"suffix":""},{"dropping-particle":"","family":"Mansfield","given":"Michael","non-dropping-particle":"","parse-names":false,"suffix":""},{"dropping-particle":"","family":"Mardon","given":"Amelia K.","non-dropping-particle":"","parse-names":false,"suffix":""},{"dropping-particle":"","family":"Mattimoe","given":"Darragh","non-dropping-particle":"","parse-names":false,"suffix":""},{"dropping-particle":"","family":"McLoone","given":"Daniel P.","non-dropping-particle":"","parse-names":false,"suffix":""},{"dropping-particle":"","family":"Noes-Holt","given":"Gith","non-dropping-particle":"","parse-names":false,"suffix":""},{"dropping-particle":"","family":"Pogatzki-Zahn","given":"Esther M.","non-dropping-particle":"","parse-names":false,"suffix":""},{"dropping-particle":"","family":"Power","given":"Emer","non-dropping-particle":"","parse-names":false,"suffix":""},{"dropping-particle":"","family":"Pradier","given":"Bruno","non-dropping-particle":"","parse-names":false,"suffix":""},{"dropping-particle":"","family":"Romanos-Sirakis","given":"Eleny","non-dropping-particle":"","parse-names":false,"suffix":""},{"dropping-particle":"","family":"Segelcke","given":"Astra","non-dropping-particle":"","parse-names":false,"suffix":""},{"dropping-particle":"","family":"Vinagre","given":"Rafael","non-dropping-particle":"","parse-names":false,"suffix":""},{"dropping-particle":"","family":"Yanes","given":"Julio A.","non-dropping-particle":"","parse-names":false,"suffix":""},{"dropping-particle":"","family":"Zhang","given":"Jingwen","non-dropping-particle":"","parse-names":false,"suffix":""},{"dropping-particle":"","family":"Zhang","given":"Xue Ying","non-dropping-particle":"","parse-names":false,"suffix":""},{"dropping-particle":"","family":"Finn","given":"David P.","non-dropping-particle":"","parse-names":false,"suffix":""},{"dropping-particle":"","family":"Rice","given":"Andrew S.C.","non-dropping-particle":"","parse-names":false,"suffix":""}],"container-title":"Pain","id":"ITEM-2","issued":{"date-parts":[["2020"]]},"page":"26-44","title":"Systematic review and meta-analysis of cannabinoids, cannabis-based medicines, and endocannabinoid system modulators tested for antinociceptive effects in animal models of injury-related or pathological persistent pain","type":"article-journal","volume":"Publish Ah"},"uris":["http://www.mendeley.com/documents/?uuid=b672f5fe-cb73-472c-8db1-a3c51ecde068"]}],"mendeley":{"formattedCitation":"[24,25]","plainTextFormattedCitation":"[24,25]","previouslyFormattedCitation":"[24,25]"},"properties":{"noteIndex":0},"schema":"https://github.com/citation-style-language/schema/raw/master/csl-citation.json"}</w:instrText>
      </w:r>
      <w:r w:rsidR="00C416DA">
        <w:rPr>
          <w:rFonts w:cs="Times New Roman"/>
        </w:rPr>
        <w:fldChar w:fldCharType="separate"/>
      </w:r>
      <w:r w:rsidR="00C416DA" w:rsidRPr="00C416DA">
        <w:rPr>
          <w:rFonts w:cs="Times New Roman"/>
          <w:noProof/>
        </w:rPr>
        <w:t>[24,25]</w:t>
      </w:r>
      <w:r w:rsidR="00C416DA">
        <w:rPr>
          <w:rFonts w:cs="Times New Roman"/>
        </w:rPr>
        <w:fldChar w:fldCharType="end"/>
      </w:r>
      <w:r w:rsidR="00381E1C" w:rsidRPr="00A87961">
        <w:rPr>
          <w:rFonts w:cs="Times New Roman"/>
        </w:rPr>
        <w:t>.</w:t>
      </w:r>
      <w:r w:rsidR="0001508F" w:rsidRPr="00A87961">
        <w:rPr>
          <w:rFonts w:cs="Times New Roman"/>
        </w:rPr>
        <w:t xml:space="preserve"> This was the basis for the IASP position statement in March 2021, which stated that the IASP do not endorse the use of cannabinoids and cannabis</w:t>
      </w:r>
      <w:r w:rsidR="001E6BE6" w:rsidRPr="00A87961">
        <w:rPr>
          <w:rFonts w:cs="Times New Roman"/>
        </w:rPr>
        <w:t>-</w:t>
      </w:r>
      <w:r w:rsidR="0001508F" w:rsidRPr="00A87961">
        <w:rPr>
          <w:rFonts w:cs="Times New Roman"/>
        </w:rPr>
        <w:t>base</w:t>
      </w:r>
      <w:r w:rsidR="007B2A5F" w:rsidRPr="00A87961">
        <w:rPr>
          <w:rFonts w:cs="Times New Roman"/>
        </w:rPr>
        <w:t>d</w:t>
      </w:r>
      <w:r w:rsidR="0001508F" w:rsidRPr="00A87961">
        <w:rPr>
          <w:rFonts w:cs="Times New Roman"/>
        </w:rPr>
        <w:t xml:space="preserve"> medicine </w:t>
      </w:r>
      <w:r w:rsidR="007B2A5F" w:rsidRPr="00A87961">
        <w:rPr>
          <w:rFonts w:cs="Times New Roman"/>
        </w:rPr>
        <w:t>in</w:t>
      </w:r>
      <w:r w:rsidR="0001508F" w:rsidRPr="00A87961">
        <w:rPr>
          <w:rFonts w:cs="Times New Roman"/>
        </w:rPr>
        <w:t xml:space="preserve"> pain management. </w:t>
      </w:r>
      <w:r w:rsidR="001E6BE6" w:rsidRPr="00A87961">
        <w:rPr>
          <w:rFonts w:cs="Times New Roman"/>
        </w:rPr>
        <w:t>Therefore</w:t>
      </w:r>
      <w:r w:rsidR="007B2A5F" w:rsidRPr="00A87961">
        <w:rPr>
          <w:rFonts w:cs="Times New Roman"/>
        </w:rPr>
        <w:t>,</w:t>
      </w:r>
      <w:r w:rsidR="0001508F" w:rsidRPr="00A87961">
        <w:rPr>
          <w:rFonts w:cs="Times New Roman"/>
        </w:rPr>
        <w:t xml:space="preserve"> whilst </w:t>
      </w:r>
      <w:r w:rsidR="0001508F" w:rsidRPr="00A87961">
        <w:rPr>
          <w:rFonts w:cs="Times New Roman"/>
        </w:rPr>
        <w:lastRenderedPageBreak/>
        <w:t>cannabinoids have showed</w:t>
      </w:r>
      <w:r w:rsidR="004D74ED" w:rsidRPr="00A87961">
        <w:rPr>
          <w:rFonts w:cs="Times New Roman"/>
        </w:rPr>
        <w:t xml:space="preserve"> clinical promise, their </w:t>
      </w:r>
      <w:r w:rsidR="007B2A5F" w:rsidRPr="00A87961">
        <w:rPr>
          <w:rFonts w:cs="Times New Roman"/>
        </w:rPr>
        <w:t xml:space="preserve">clinical </w:t>
      </w:r>
      <w:r w:rsidR="004D74ED" w:rsidRPr="00A87961">
        <w:rPr>
          <w:rFonts w:cs="Times New Roman"/>
        </w:rPr>
        <w:t>use remains limited by the strength of</w:t>
      </w:r>
      <w:r w:rsidR="00E255D1" w:rsidRPr="00A87961">
        <w:rPr>
          <w:rFonts w:cs="Times New Roman"/>
        </w:rPr>
        <w:t xml:space="preserve"> the pre-clinical and clinical</w:t>
      </w:r>
      <w:r w:rsidR="004D74ED" w:rsidRPr="00A87961">
        <w:rPr>
          <w:rFonts w:cs="Times New Roman"/>
        </w:rPr>
        <w:t xml:space="preserve"> evidence base</w:t>
      </w:r>
      <w:r w:rsidR="007B2A5F" w:rsidRPr="00A87961">
        <w:rPr>
          <w:rFonts w:cs="Times New Roman"/>
        </w:rPr>
        <w:t>.</w:t>
      </w:r>
    </w:p>
    <w:p w14:paraId="1BF1D91F" w14:textId="77777777" w:rsidR="00473578" w:rsidRPr="00A87961" w:rsidRDefault="00473578" w:rsidP="0011737C">
      <w:pPr>
        <w:spacing w:line="480" w:lineRule="auto"/>
        <w:rPr>
          <w:rFonts w:cs="Times New Roman"/>
        </w:rPr>
      </w:pPr>
    </w:p>
    <w:p w14:paraId="632EC196" w14:textId="45C40FC7" w:rsidR="00B76569" w:rsidRPr="00A87961" w:rsidRDefault="00E456B9" w:rsidP="0011737C">
      <w:pPr>
        <w:spacing w:line="480" w:lineRule="auto"/>
        <w:rPr>
          <w:rFonts w:cs="Times New Roman"/>
        </w:rPr>
      </w:pPr>
      <w:r w:rsidRPr="00A87961">
        <w:rPr>
          <w:rFonts w:cs="Times New Roman"/>
        </w:rPr>
        <w:t>This systematic review</w:t>
      </w:r>
      <w:r w:rsidR="003B4A1D" w:rsidRPr="00A87961">
        <w:rPr>
          <w:rFonts w:cs="Times New Roman"/>
        </w:rPr>
        <w:t xml:space="preserve"> </w:t>
      </w:r>
      <w:r w:rsidR="00F81939" w:rsidRPr="00A87961">
        <w:rPr>
          <w:rFonts w:cs="Times New Roman"/>
        </w:rPr>
        <w:t xml:space="preserve">aims to </w:t>
      </w:r>
      <w:r w:rsidR="00703111" w:rsidRPr="00A87961">
        <w:rPr>
          <w:rFonts w:cs="Times New Roman"/>
        </w:rPr>
        <w:t>evaluate</w:t>
      </w:r>
      <w:r w:rsidRPr="00A87961">
        <w:rPr>
          <w:rFonts w:cs="Times New Roman"/>
        </w:rPr>
        <w:t xml:space="preserve"> the impact of cannabinoids</w:t>
      </w:r>
      <w:r w:rsidR="00C822AE" w:rsidRPr="00A87961">
        <w:rPr>
          <w:rFonts w:cs="Times New Roman"/>
        </w:rPr>
        <w:t xml:space="preserve">, including cannabinoid receptor agonists, </w:t>
      </w:r>
      <w:r w:rsidR="00B76569" w:rsidRPr="00A87961">
        <w:rPr>
          <w:rFonts w:cs="Times New Roman"/>
        </w:rPr>
        <w:t>cannabinoid receptor antagonists,</w:t>
      </w:r>
      <w:r w:rsidR="00C822AE" w:rsidRPr="00A87961">
        <w:rPr>
          <w:rFonts w:cs="Times New Roman"/>
        </w:rPr>
        <w:t xml:space="preserve"> and endocannabinoid system modulators,</w:t>
      </w:r>
      <w:r w:rsidRPr="00A87961">
        <w:rPr>
          <w:rFonts w:cs="Times New Roman"/>
        </w:rPr>
        <w:t xml:space="preserve"> on</w:t>
      </w:r>
      <w:r w:rsidR="00E255D1" w:rsidRPr="00A87961">
        <w:rPr>
          <w:rFonts w:cs="Times New Roman"/>
        </w:rPr>
        <w:t xml:space="preserve"> pain but also </w:t>
      </w:r>
      <w:r w:rsidRPr="00A87961">
        <w:rPr>
          <w:rFonts w:cs="Times New Roman"/>
        </w:rPr>
        <w:t>locomotor function</w:t>
      </w:r>
      <w:r w:rsidR="00E255D1" w:rsidRPr="00A87961">
        <w:rPr>
          <w:rFonts w:cs="Times New Roman"/>
        </w:rPr>
        <w:t xml:space="preserve"> and </w:t>
      </w:r>
      <w:r w:rsidRPr="00A87961">
        <w:rPr>
          <w:rFonts w:cs="Times New Roman"/>
        </w:rPr>
        <w:t>anxiolysis in preclinical models of SCI</w:t>
      </w:r>
      <w:r w:rsidR="003855D4" w:rsidRPr="00A87961">
        <w:rPr>
          <w:rFonts w:cs="Times New Roman"/>
        </w:rPr>
        <w:t xml:space="preserve">. </w:t>
      </w:r>
      <w:r w:rsidR="00395344" w:rsidRPr="00A87961">
        <w:rPr>
          <w:rFonts w:cs="Times New Roman"/>
        </w:rPr>
        <w:t>C</w:t>
      </w:r>
      <w:r w:rsidR="003855D4" w:rsidRPr="00A87961">
        <w:rPr>
          <w:rFonts w:cs="Times New Roman"/>
        </w:rPr>
        <w:t xml:space="preserve">annabinoid agonists </w:t>
      </w:r>
      <w:r w:rsidR="00C822AE" w:rsidRPr="00A87961">
        <w:rPr>
          <w:rFonts w:cs="Times New Roman"/>
        </w:rPr>
        <w:t>are</w:t>
      </w:r>
      <w:r w:rsidR="003855D4" w:rsidRPr="00A87961">
        <w:rPr>
          <w:rFonts w:cs="Times New Roman"/>
        </w:rPr>
        <w:t xml:space="preserve"> of interest</w:t>
      </w:r>
      <w:r w:rsidR="00C822AE" w:rsidRPr="00A87961">
        <w:rPr>
          <w:rFonts w:cs="Times New Roman"/>
        </w:rPr>
        <w:t xml:space="preserve"> </w:t>
      </w:r>
      <w:r w:rsidR="004D74ED" w:rsidRPr="00A87961">
        <w:rPr>
          <w:rFonts w:cs="Times New Roman"/>
        </w:rPr>
        <w:t xml:space="preserve">firstly, </w:t>
      </w:r>
      <w:r w:rsidR="003855D4" w:rsidRPr="00A87961">
        <w:rPr>
          <w:rFonts w:cs="Times New Roman"/>
        </w:rPr>
        <w:t>due to the</w:t>
      </w:r>
      <w:r w:rsidR="00C822AE" w:rsidRPr="00A87961">
        <w:rPr>
          <w:rFonts w:cs="Times New Roman"/>
        </w:rPr>
        <w:t>ir ability to downregulate processes involved in the inflammatory phase of SCI and secondly</w:t>
      </w:r>
      <w:r w:rsidR="00B76569" w:rsidRPr="00A87961">
        <w:rPr>
          <w:rFonts w:cs="Times New Roman"/>
        </w:rPr>
        <w:t>,</w:t>
      </w:r>
      <w:r w:rsidR="00C822AE" w:rsidRPr="00A87961">
        <w:rPr>
          <w:rFonts w:cs="Times New Roman"/>
        </w:rPr>
        <w:t xml:space="preserve"> due to</w:t>
      </w:r>
      <w:r w:rsidR="00B76569" w:rsidRPr="00A87961">
        <w:rPr>
          <w:rFonts w:cs="Times New Roman"/>
        </w:rPr>
        <w:t xml:space="preserve"> reports of beneficial clinical effects following SCI</w:t>
      </w:r>
      <w:r w:rsidR="003855D4" w:rsidRPr="00A87961">
        <w:rPr>
          <w:rFonts w:cs="Times New Roman"/>
        </w:rPr>
        <w:t xml:space="preserve">. Furthermore, there exist </w:t>
      </w:r>
      <w:r w:rsidR="00B76569" w:rsidRPr="00A87961">
        <w:rPr>
          <w:rFonts w:cs="Times New Roman"/>
        </w:rPr>
        <w:t>several</w:t>
      </w:r>
      <w:r w:rsidR="003855D4" w:rsidRPr="00A87961">
        <w:rPr>
          <w:rFonts w:cs="Times New Roman"/>
        </w:rPr>
        <w:t xml:space="preserve"> cannabinoid receptor agonists licensed for clinical use, </w:t>
      </w:r>
      <w:r w:rsidR="00395344" w:rsidRPr="00A87961">
        <w:rPr>
          <w:rFonts w:cs="Times New Roman"/>
        </w:rPr>
        <w:t>and therefore</w:t>
      </w:r>
      <w:r w:rsidR="003855D4" w:rsidRPr="00A87961">
        <w:rPr>
          <w:rFonts w:cs="Times New Roman"/>
        </w:rPr>
        <w:t xml:space="preserve"> evaluating the effects of cannabinoid agonists is </w:t>
      </w:r>
      <w:r w:rsidR="004D74ED" w:rsidRPr="00A87961">
        <w:rPr>
          <w:rFonts w:cs="Times New Roman"/>
        </w:rPr>
        <w:t>important</w:t>
      </w:r>
      <w:r w:rsidR="003855D4" w:rsidRPr="00A87961">
        <w:rPr>
          <w:rFonts w:cs="Times New Roman"/>
        </w:rPr>
        <w:t xml:space="preserve"> to gauge whether these drugs could potentially be used in translational clinical trials </w:t>
      </w:r>
      <w:r w:rsidR="00395344" w:rsidRPr="00A87961">
        <w:rPr>
          <w:rFonts w:cs="Times New Roman"/>
        </w:rPr>
        <w:t xml:space="preserve">for </w:t>
      </w:r>
      <w:r w:rsidR="003855D4" w:rsidRPr="00A87961">
        <w:rPr>
          <w:rFonts w:cs="Times New Roman"/>
        </w:rPr>
        <w:t xml:space="preserve">patients who have </w:t>
      </w:r>
      <w:r w:rsidR="00395344" w:rsidRPr="00A87961">
        <w:rPr>
          <w:rFonts w:cs="Times New Roman"/>
        </w:rPr>
        <w:t>undergone</w:t>
      </w:r>
      <w:r w:rsidR="003855D4" w:rsidRPr="00A87961">
        <w:rPr>
          <w:rFonts w:cs="Times New Roman"/>
        </w:rPr>
        <w:t xml:space="preserve"> SCI. The effects of cannabinoid receptor antagonists </w:t>
      </w:r>
      <w:r w:rsidR="00B76569" w:rsidRPr="00A87961">
        <w:rPr>
          <w:rFonts w:cs="Times New Roman"/>
        </w:rPr>
        <w:t xml:space="preserve">and endocannabinoid system modulators </w:t>
      </w:r>
      <w:r w:rsidR="003855D4" w:rsidRPr="00A87961">
        <w:rPr>
          <w:rFonts w:cs="Times New Roman"/>
        </w:rPr>
        <w:t>are</w:t>
      </w:r>
      <w:r w:rsidR="007B2A5F" w:rsidRPr="00A87961">
        <w:rPr>
          <w:rFonts w:cs="Times New Roman"/>
        </w:rPr>
        <w:t xml:space="preserve"> also of </w:t>
      </w:r>
      <w:r w:rsidR="00395344" w:rsidRPr="00A87961">
        <w:rPr>
          <w:rFonts w:cs="Times New Roman"/>
        </w:rPr>
        <w:t xml:space="preserve">mechanistic </w:t>
      </w:r>
      <w:r w:rsidR="007B2A5F" w:rsidRPr="00A87961">
        <w:rPr>
          <w:rFonts w:cs="Times New Roman"/>
        </w:rPr>
        <w:t>interest</w:t>
      </w:r>
      <w:r w:rsidR="00395344" w:rsidRPr="00A87961">
        <w:rPr>
          <w:rFonts w:cs="Times New Roman"/>
        </w:rPr>
        <w:t>,</w:t>
      </w:r>
      <w:r w:rsidR="003855D4" w:rsidRPr="00A87961">
        <w:rPr>
          <w:rFonts w:cs="Times New Roman"/>
        </w:rPr>
        <w:t xml:space="preserve"> as they provide insight into the </w:t>
      </w:r>
      <w:r w:rsidR="00F81939" w:rsidRPr="00A87961">
        <w:rPr>
          <w:rFonts w:cs="Times New Roman"/>
        </w:rPr>
        <w:t>role of the</w:t>
      </w:r>
      <w:r w:rsidR="003855D4" w:rsidRPr="00A87961">
        <w:rPr>
          <w:rFonts w:cs="Times New Roman"/>
        </w:rPr>
        <w:t xml:space="preserve"> endo-cannabinoid system following SCI. </w:t>
      </w:r>
    </w:p>
    <w:p w14:paraId="73B99857" w14:textId="77777777" w:rsidR="007B2A5F" w:rsidRPr="00A87961" w:rsidRDefault="007B2A5F" w:rsidP="0011737C">
      <w:pPr>
        <w:spacing w:line="480" w:lineRule="auto"/>
        <w:rPr>
          <w:rFonts w:cs="Times New Roman"/>
        </w:rPr>
      </w:pPr>
    </w:p>
    <w:p w14:paraId="4D6A312F" w14:textId="431F0415" w:rsidR="007B2A5F" w:rsidRPr="00A87961" w:rsidRDefault="003B4A1D" w:rsidP="0011737C">
      <w:pPr>
        <w:spacing w:line="480" w:lineRule="auto"/>
        <w:rPr>
          <w:rFonts w:cs="Times New Roman"/>
        </w:rPr>
      </w:pPr>
      <w:r w:rsidRPr="00A87961">
        <w:rPr>
          <w:rFonts w:cs="Times New Roman"/>
        </w:rPr>
        <w:t>This systematic review</w:t>
      </w:r>
      <w:r w:rsidR="00E456B9" w:rsidRPr="00A87961">
        <w:rPr>
          <w:rFonts w:cs="Times New Roman"/>
        </w:rPr>
        <w:t xml:space="preserve"> </w:t>
      </w:r>
      <w:r w:rsidR="007B2A5F" w:rsidRPr="00A87961">
        <w:rPr>
          <w:rFonts w:cs="Times New Roman"/>
        </w:rPr>
        <w:t>secondarily</w:t>
      </w:r>
      <w:r w:rsidR="00B76569" w:rsidRPr="00A87961">
        <w:rPr>
          <w:rFonts w:cs="Times New Roman"/>
        </w:rPr>
        <w:t xml:space="preserve"> aims to offer discussion of the potential underlying mechanisms of action and</w:t>
      </w:r>
      <w:r w:rsidRPr="00A87961">
        <w:rPr>
          <w:rFonts w:cs="Times New Roman"/>
        </w:rPr>
        <w:t xml:space="preserve"> </w:t>
      </w:r>
      <w:r w:rsidR="00E456B9" w:rsidRPr="00A87961">
        <w:rPr>
          <w:rFonts w:cs="Times New Roman"/>
        </w:rPr>
        <w:t xml:space="preserve">the potential suitability </w:t>
      </w:r>
      <w:r w:rsidRPr="00A87961">
        <w:rPr>
          <w:rFonts w:cs="Times New Roman"/>
        </w:rPr>
        <w:t xml:space="preserve">of cannabinoids </w:t>
      </w:r>
      <w:r w:rsidR="007B2A5F" w:rsidRPr="00A87961">
        <w:rPr>
          <w:rFonts w:cs="Times New Roman"/>
        </w:rPr>
        <w:t>for</w:t>
      </w:r>
      <w:r w:rsidR="00E456B9" w:rsidRPr="00A87961">
        <w:rPr>
          <w:rFonts w:cs="Times New Roman"/>
        </w:rPr>
        <w:t xml:space="preserve"> the future clinical </w:t>
      </w:r>
      <w:r w:rsidR="007B2A5F" w:rsidRPr="00A87961">
        <w:rPr>
          <w:rFonts w:cs="Times New Roman"/>
        </w:rPr>
        <w:t>trials in</w:t>
      </w:r>
      <w:r w:rsidR="00E456B9" w:rsidRPr="00A87961">
        <w:rPr>
          <w:rFonts w:cs="Times New Roman"/>
        </w:rPr>
        <w:t xml:space="preserve"> SCI</w:t>
      </w:r>
      <w:r w:rsidR="007B2A5F" w:rsidRPr="00A87961">
        <w:rPr>
          <w:rFonts w:cs="Times New Roman"/>
        </w:rPr>
        <w:t xml:space="preserve"> patients</w:t>
      </w:r>
      <w:r w:rsidR="00B76569" w:rsidRPr="00A87961">
        <w:rPr>
          <w:rFonts w:cs="Times New Roman"/>
        </w:rPr>
        <w:t xml:space="preserve">. </w:t>
      </w:r>
      <w:r w:rsidR="00395344" w:rsidRPr="00A87961">
        <w:rPr>
          <w:rFonts w:cs="Times New Roman"/>
        </w:rPr>
        <w:t>In this review, we also explore</w:t>
      </w:r>
      <w:r w:rsidR="00D0504C" w:rsidRPr="00A87961">
        <w:rPr>
          <w:rFonts w:cs="Times New Roman"/>
        </w:rPr>
        <w:t xml:space="preserve"> whether cannabinoi</w:t>
      </w:r>
      <w:r w:rsidR="00703111" w:rsidRPr="00A87961">
        <w:rPr>
          <w:rFonts w:cs="Times New Roman"/>
        </w:rPr>
        <w:t>ds are</w:t>
      </w:r>
      <w:r w:rsidR="00D0504C" w:rsidRPr="00A87961">
        <w:rPr>
          <w:rFonts w:cs="Times New Roman"/>
        </w:rPr>
        <w:t xml:space="preserve"> associated with improvements in </w:t>
      </w:r>
      <w:proofErr w:type="spellStart"/>
      <w:r w:rsidR="00D0504C" w:rsidRPr="00A87961">
        <w:rPr>
          <w:rFonts w:cs="Times New Roman"/>
        </w:rPr>
        <w:t>neurobehavioural</w:t>
      </w:r>
      <w:proofErr w:type="spellEnd"/>
      <w:r w:rsidR="00D0504C" w:rsidRPr="00A87961">
        <w:rPr>
          <w:rFonts w:cs="Times New Roman"/>
        </w:rPr>
        <w:t xml:space="preserve"> outcomes in animal models of SCI</w:t>
      </w:r>
      <w:r w:rsidR="00703111" w:rsidRPr="00A87961">
        <w:rPr>
          <w:rFonts w:cs="Times New Roman"/>
        </w:rPr>
        <w:t xml:space="preserve"> </w:t>
      </w:r>
      <w:r w:rsidR="00700E67" w:rsidRPr="00A87961">
        <w:rPr>
          <w:rFonts w:cs="Times New Roman"/>
        </w:rPr>
        <w:t xml:space="preserve">and </w:t>
      </w:r>
      <w:r w:rsidR="00703111" w:rsidRPr="00A87961">
        <w:rPr>
          <w:rFonts w:cs="Times New Roman"/>
        </w:rPr>
        <w:t xml:space="preserve">whether there may be merit in using cannabinoids to treat the symptoms experienced by patients following SCI. </w:t>
      </w:r>
    </w:p>
    <w:p w14:paraId="0F09E50A" w14:textId="0EF704C8" w:rsidR="003855D4" w:rsidRPr="00A87961" w:rsidRDefault="003855D4" w:rsidP="0011737C">
      <w:pPr>
        <w:spacing w:line="480" w:lineRule="auto"/>
        <w:rPr>
          <w:rFonts w:cs="Times New Roman"/>
        </w:rPr>
      </w:pPr>
    </w:p>
    <w:p w14:paraId="357F3437" w14:textId="2AEF7398" w:rsidR="003855D4" w:rsidRPr="00A87961" w:rsidRDefault="004D74ED" w:rsidP="0011737C">
      <w:pPr>
        <w:spacing w:line="480" w:lineRule="auto"/>
        <w:rPr>
          <w:rFonts w:cs="Times New Roman"/>
        </w:rPr>
      </w:pPr>
      <w:r w:rsidRPr="00A87961">
        <w:rPr>
          <w:rFonts w:cs="Times New Roman"/>
        </w:rPr>
        <w:t xml:space="preserve">The </w:t>
      </w:r>
      <w:r w:rsidR="00395344" w:rsidRPr="00A87961">
        <w:rPr>
          <w:rFonts w:cs="Times New Roman"/>
        </w:rPr>
        <w:t xml:space="preserve">pressing unmet clinical </w:t>
      </w:r>
      <w:r w:rsidRPr="00A87961">
        <w:rPr>
          <w:rFonts w:cs="Times New Roman"/>
        </w:rPr>
        <w:t xml:space="preserve">need </w:t>
      </w:r>
      <w:r w:rsidR="00395344" w:rsidRPr="00A87961">
        <w:rPr>
          <w:rFonts w:cs="Times New Roman"/>
        </w:rPr>
        <w:t xml:space="preserve">and scope </w:t>
      </w:r>
      <w:r w:rsidRPr="00A87961">
        <w:rPr>
          <w:rFonts w:cs="Times New Roman"/>
        </w:rPr>
        <w:t xml:space="preserve">for this review </w:t>
      </w:r>
      <w:r w:rsidR="00395344" w:rsidRPr="00A87961">
        <w:rPr>
          <w:rFonts w:cs="Times New Roman"/>
        </w:rPr>
        <w:t>were</w:t>
      </w:r>
      <w:r w:rsidRPr="00A87961">
        <w:rPr>
          <w:rFonts w:cs="Times New Roman"/>
        </w:rPr>
        <w:t xml:space="preserve"> identified through the </w:t>
      </w:r>
      <w:proofErr w:type="spellStart"/>
      <w:r w:rsidRPr="00A87961">
        <w:rPr>
          <w:rFonts w:cs="Times New Roman"/>
        </w:rPr>
        <w:t>REsearch</w:t>
      </w:r>
      <w:proofErr w:type="spellEnd"/>
      <w:r w:rsidRPr="00A87961">
        <w:rPr>
          <w:rFonts w:cs="Times New Roman"/>
        </w:rPr>
        <w:t xml:space="preserve"> Objectives and Common Data Elements for Degenerative Cervical Myelopathy (RE-CODE DCM) initiative, an international consortium of key stakeholders in degenerative cervical myelopathy (DCM), which provided consensus on DCM research priorities</w:t>
      </w:r>
      <w:r w:rsidR="005F06BB" w:rsidRPr="00A87961">
        <w:rPr>
          <w:rFonts w:cs="Times New Roman"/>
        </w:rPr>
        <w:fldChar w:fldCharType="begin" w:fldLock="1"/>
      </w:r>
      <w:r w:rsidR="00C416DA">
        <w:rPr>
          <w:rFonts w:cs="Times New Roman"/>
        </w:rPr>
        <w:instrText>ADDIN CSL_CITATION {"citationItems":[{"id":"ITEM-1","itemData":{"DOI":"10.1177/2192568219832855","ISSN":"21925690","abstract":"Study Design: Mixed-method consensus process. Objectives: Degenerative cervical myelopathy (DCM) is a common and disabling condition that arises when mechanical stress damages the spinal cord as a result of degenerative changes in the surrounding spinal structures. RECODE-DCM (REsearch Objectives and Common Data Elements for Degenerative Cervical Myelopathy) aims to improve efficient use of health care resources within the field of DCM by using a multi-stakeholder partnership to define the DCM research priorities, to develop a minimum dataset for DCM clinical studies, and confirm a definition of DCM. Methods: This requires a multi-stakeholder partnership and multiple parallel consensus development processes. It will be conducted via 4 phases, adhering to the guidance set out by the COMET (Core Outcomes in Effectiveness Trials) and JLA (James Lind Alliance) initiatives. Phase 1 will consist of preliminary work to inform online Delphi processes (Phase 2) and a consensus meeting (Phase 3). Following the findings of the consensus meeting, a synthesis of relevant measurement instruments will be compiled and assessed as per the COSMIN (Consensus-based Standards for the Selection of Health Measurement Instruments) criteria, to allow recommendations to be made on how to measure agreed data points. Phase 4 will monitor and promote the use of eventual recommendations. Conclusions: RECODE-DCM sets out to establish for the first time an index term, minimum dataset, and research priorities together. Our aim is to reduce waste of health care resources in the future by using patient priorities to inform the scope of future DCM research activities. The consistent use of a standard dataset in DCM clinical studies, audit, and clinical surveillance will facilitate pooled analysis of future data and, ultimately, a deeper understanding of DCM.","author":[{"dropping-particle":"","family":"Davies","given":"Benjamin M.","non-dropping-particle":"","parse-names":false,"suffix":""},{"dropping-particle":"","family":"Khan","given":"Danyal Z.","non-dropping-particle":"","parse-names":false,"suffix":""},{"dropping-particle":"","family":"Mowforth","given":"Oliver D.","non-dropping-particle":"","parse-names":false,"suffix":""},{"dropping-particle":"","family":"McNair","given":"Angus G.K.","non-dropping-particle":"","parse-names":false,"suffix":""},{"dropping-particle":"","family":"Gronlund","given":"Toto","non-dropping-particle":"","parse-names":false,"suffix":""},{"dropping-particle":"","family":"Kolias","given":"Angelos G.","non-dropping-particle":"","parse-names":false,"suffix":""},{"dropping-particle":"","family":"Tetreault","given":"Lindsay","non-dropping-particle":"","parse-names":false,"suffix":""},{"dropping-particle":"","family":"Starkey","given":"Michelle L.","non-dropping-particle":"","parse-names":false,"suffix":""},{"dropping-particle":"","family":"Sadler","given":"Iwan","non-dropping-particle":"","parse-names":false,"suffix":""},{"dropping-particle":"","family":"Sarewitz","given":"Ellen","non-dropping-particle":"","parse-names":false,"suffix":""},{"dropping-particle":"","family":"Houlton","given":"Delphine","non-dropping-particle":"","parse-names":false,"suffix":""},{"dropping-particle":"","family":"Carter","given":"Julia","non-dropping-particle":"","parse-names":false,"suffix":""},{"dropping-particle":"","family":"Kalsi-Ryan","given":"Sukhvinder","non-dropping-particle":"","parse-names":false,"suffix":""},{"dropping-particle":"","family":"Aarabi","given":"Bizhan","non-dropping-particle":"","parse-names":false,"suffix":""},{"dropping-particle":"","family":"Kwon","given":"Brian K.","non-dropping-particle":"","parse-names":false,"suffix":""},{"dropping-particle":"","family":"Kurpad","given":"Shekar N.","non-dropping-particle":"","parse-names":false,"suffix":""},{"dropping-particle":"","family":"Harrop","given":"James","non-dropping-particle":"","parse-names":false,"suffix":""},{"dropping-particle":"","family":"Wilson","given":"Jefferson R.","non-dropping-particle":"","parse-names":false,"suffix":""},{"dropping-particle":"","family":"Grossman","given":"Robert","non-dropping-particle":"","parse-names":false,"suffix":""},{"dropping-particle":"","family":"Curt","given":"Armin","non-dropping-particle":"","parse-names":false,"suffix":""},{"dropping-particle":"","family":"Fehlings","given":"Michael G.","non-dropping-particle":"","parse-names":false,"suffix":""},{"dropping-particle":"","family":"Kotter","given":"Mark R.N.","non-dropping-particle":"","parse-names":false,"suffix":""}],"container-title":"Global Spine Journal","id":"ITEM-1","issue":"1_suppl","issued":{"date-parts":[["2019","5","1"]]},"page":"65S-76S","publisher":"SAGE Publications Ltd","title":"RE-CODE DCM (REsearch Objectives and Common Data Elements for Degenerative Cervical Myelopathy): A Consensus Process to Improve Research Efficiency in DCM, Through Establishment of a Standardized Dataset for Clinical Research and the Definition of the Research Priorities","type":"article-journal","volume":"9"},"uris":["http://www.mendeley.com/documents/?uuid=e69d4a57-37b4-398e-936f-0d0c759ea325"]}],"mendeley":{"formattedCitation":"[26]","plainTextFormattedCitation":"[26]","previouslyFormattedCitation":"[26]"},"properties":{"noteIndex":0},"schema":"https://github.com/citation-style-language/schema/raw/master/csl-citation.json"}</w:instrText>
      </w:r>
      <w:r w:rsidR="005F06BB" w:rsidRPr="00A87961">
        <w:rPr>
          <w:rFonts w:cs="Times New Roman"/>
        </w:rPr>
        <w:fldChar w:fldCharType="separate"/>
      </w:r>
      <w:r w:rsidR="009B5F4E" w:rsidRPr="009B5F4E">
        <w:rPr>
          <w:rFonts w:cs="Times New Roman"/>
          <w:noProof/>
        </w:rPr>
        <w:t>[26]</w:t>
      </w:r>
      <w:r w:rsidR="005F06BB" w:rsidRPr="00A87961">
        <w:rPr>
          <w:rFonts w:cs="Times New Roman"/>
        </w:rPr>
        <w:fldChar w:fldCharType="end"/>
      </w:r>
      <w:r w:rsidRPr="00A87961">
        <w:rPr>
          <w:rFonts w:cs="Times New Roman"/>
        </w:rPr>
        <w:t xml:space="preserve">.  </w:t>
      </w:r>
    </w:p>
    <w:p w14:paraId="6E5C7F55" w14:textId="77777777" w:rsidR="003855D4" w:rsidRPr="00A87961" w:rsidRDefault="003855D4" w:rsidP="0011737C">
      <w:pPr>
        <w:spacing w:line="480" w:lineRule="auto"/>
        <w:rPr>
          <w:rFonts w:cs="Times New Roman"/>
        </w:rPr>
      </w:pPr>
    </w:p>
    <w:p w14:paraId="0AE3165B" w14:textId="35968EFB" w:rsidR="00EF1F98" w:rsidRPr="00A87961" w:rsidRDefault="002B62EB" w:rsidP="0011737C">
      <w:pPr>
        <w:spacing w:line="480" w:lineRule="auto"/>
        <w:rPr>
          <w:rFonts w:cs="Times New Roman"/>
          <w:b/>
          <w:bCs/>
        </w:rPr>
      </w:pPr>
      <w:r w:rsidRPr="00A87961">
        <w:rPr>
          <w:rFonts w:cs="Times New Roman"/>
          <w:b/>
          <w:bCs/>
        </w:rPr>
        <w:t>Methods</w:t>
      </w:r>
    </w:p>
    <w:p w14:paraId="68468B3E" w14:textId="77777777" w:rsidR="00FF1D42" w:rsidRPr="00A87961" w:rsidRDefault="00FF1D42" w:rsidP="0011737C">
      <w:pPr>
        <w:spacing w:line="480" w:lineRule="auto"/>
        <w:rPr>
          <w:rFonts w:cs="Times New Roman"/>
          <w:b/>
          <w:bCs/>
        </w:rPr>
      </w:pPr>
    </w:p>
    <w:p w14:paraId="44DD4A58" w14:textId="0F249B1F" w:rsidR="00EF1F98" w:rsidRPr="00A87961" w:rsidRDefault="00EF1F98" w:rsidP="0011737C">
      <w:pPr>
        <w:spacing w:line="480" w:lineRule="auto"/>
        <w:rPr>
          <w:rFonts w:eastAsia="Times New Roman" w:cs="Times New Roman"/>
          <w:lang w:eastAsia="en-GB"/>
        </w:rPr>
      </w:pPr>
      <w:r w:rsidRPr="00A87961">
        <w:rPr>
          <w:rFonts w:eastAsia="Times New Roman" w:cs="Times New Roman"/>
          <w:lang w:eastAsia="en-GB"/>
        </w:rPr>
        <w:t>This systematic review was conducted following the Preferred Reporting Items for Systematic Reviews and Meta-Analysis (PRISMA) guidelines</w:t>
      </w:r>
      <w:r w:rsidR="003E6731" w:rsidRPr="00A87961">
        <w:rPr>
          <w:rFonts w:eastAsia="Times New Roman" w:cs="Times New Roman"/>
          <w:lang w:eastAsia="en-GB"/>
        </w:rPr>
        <w:t>.</w:t>
      </w:r>
      <w:r w:rsidRPr="00A87961">
        <w:rPr>
          <w:rFonts w:eastAsia="Times New Roman" w:cs="Times New Roman"/>
          <w:vertAlign w:val="superscript"/>
          <w:lang w:eastAsia="en-GB"/>
        </w:rPr>
        <w:fldChar w:fldCharType="begin" w:fldLock="1"/>
      </w:r>
      <w:r w:rsidR="00C416DA">
        <w:rPr>
          <w:rFonts w:eastAsia="Times New Roman" w:cs="Times New Roman"/>
          <w:vertAlign w:val="superscript"/>
          <w:lang w:eastAsia="en-GB"/>
        </w:rPr>
        <w:instrText>ADDIN CSL_CITATION {"citationItems":[{"id":"ITEM-1","itemData":{"DOI":"10.1371/journal.pmed.1000097","ISSN":"1549-1676","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G.","non-dropping-particle":"","parse-names":false,"suffix":""}],"container-title":"PLoS Medicine","id":"ITEM-1","issue":"7","issued":{"date-parts":[["2009","7","21"]]},"page":"e1000097","publisher":"Public Library of Science","title":"Preferred Reporting Items for Systematic Reviews and Meta-Analyses: The PRISMA Statement","type":"article-journal","volume":"6"},"uris":["http://www.mendeley.com/documents/?uuid=aadcc996-f177-3b99-9ef5-259ce740c7f0"]}],"mendeley":{"formattedCitation":"[27]","plainTextFormattedCitation":"[27]","previouslyFormattedCitation":"[27]"},"properties":{"noteIndex":0},"schema":"https://github.com/citation-style-language/schema/raw/master/csl-citation.json"}</w:instrText>
      </w:r>
      <w:r w:rsidRPr="00A87961">
        <w:rPr>
          <w:rFonts w:eastAsia="Times New Roman" w:cs="Times New Roman"/>
          <w:vertAlign w:val="superscript"/>
          <w:lang w:eastAsia="en-GB"/>
        </w:rPr>
        <w:fldChar w:fldCharType="separate"/>
      </w:r>
      <w:r w:rsidR="009B5F4E" w:rsidRPr="009B5F4E">
        <w:rPr>
          <w:rFonts w:eastAsia="Times New Roman" w:cs="Times New Roman"/>
          <w:noProof/>
          <w:lang w:eastAsia="en-GB"/>
        </w:rPr>
        <w:t>[27]</w:t>
      </w:r>
      <w:r w:rsidRPr="00A87961">
        <w:rPr>
          <w:rFonts w:eastAsia="Times New Roman" w:cs="Times New Roman"/>
          <w:vertAlign w:val="superscript"/>
          <w:lang w:eastAsia="en-GB"/>
        </w:rPr>
        <w:fldChar w:fldCharType="end"/>
      </w:r>
    </w:p>
    <w:p w14:paraId="7879EF07" w14:textId="77777777" w:rsidR="00EF1F98" w:rsidRPr="00A87961" w:rsidRDefault="00EF1F98" w:rsidP="0011737C">
      <w:pPr>
        <w:spacing w:line="480" w:lineRule="auto"/>
        <w:rPr>
          <w:rFonts w:cs="Times New Roman"/>
          <w:b/>
          <w:bCs/>
          <w:color w:val="FF0000"/>
        </w:rPr>
      </w:pPr>
    </w:p>
    <w:p w14:paraId="78D3D04F" w14:textId="77777777" w:rsidR="00EF1F98" w:rsidRPr="00A87961" w:rsidRDefault="00EF1F98" w:rsidP="0011737C">
      <w:pPr>
        <w:spacing w:line="480" w:lineRule="auto"/>
        <w:rPr>
          <w:rFonts w:cs="Times New Roman"/>
          <w:color w:val="000000" w:themeColor="text1"/>
        </w:rPr>
      </w:pPr>
      <w:r w:rsidRPr="00A87961">
        <w:rPr>
          <w:rFonts w:cs="Times New Roman"/>
          <w:b/>
          <w:bCs/>
          <w:color w:val="000000" w:themeColor="text1"/>
        </w:rPr>
        <w:t>Protocol and registration</w:t>
      </w:r>
    </w:p>
    <w:p w14:paraId="70EB4EC6" w14:textId="3E96BCE2" w:rsidR="00EF1F98" w:rsidRPr="00A87961" w:rsidRDefault="00EF1F98" w:rsidP="0011737C">
      <w:pPr>
        <w:spacing w:line="480" w:lineRule="auto"/>
        <w:rPr>
          <w:rFonts w:cs="Times New Roman"/>
        </w:rPr>
      </w:pPr>
      <w:r w:rsidRPr="00A87961">
        <w:rPr>
          <w:rFonts w:cs="Times New Roman"/>
        </w:rPr>
        <w:t>The protocol for this review was published on PROSPERO (an international prospective register of systematic reviews) on 3 December 2019</w:t>
      </w:r>
      <w:r w:rsidR="00F164FC" w:rsidRPr="00A87961">
        <w:rPr>
          <w:rFonts w:cs="Times New Roman"/>
        </w:rPr>
        <w:t xml:space="preserve"> (</w:t>
      </w:r>
      <w:r w:rsidRPr="00A87961">
        <w:rPr>
          <w:rFonts w:cs="Times New Roman"/>
        </w:rPr>
        <w:t>CRD42019149671</w:t>
      </w:r>
      <w:r w:rsidR="00F164FC" w:rsidRPr="00A87961">
        <w:rPr>
          <w:rFonts w:cs="Times New Roman"/>
        </w:rPr>
        <w:t>)</w:t>
      </w:r>
      <w:r w:rsidRPr="00A87961">
        <w:rPr>
          <w:rFonts w:cs="Times New Roman"/>
        </w:rPr>
        <w:t>.</w:t>
      </w:r>
    </w:p>
    <w:p w14:paraId="0E39E750" w14:textId="77777777" w:rsidR="00EF1F98" w:rsidRPr="00A87961" w:rsidRDefault="00EF1F98" w:rsidP="0011737C">
      <w:pPr>
        <w:spacing w:line="480" w:lineRule="auto"/>
        <w:rPr>
          <w:rFonts w:cs="Times New Roman"/>
          <w:b/>
          <w:bCs/>
          <w:i/>
          <w:iCs/>
        </w:rPr>
      </w:pPr>
    </w:p>
    <w:p w14:paraId="5E6B9265" w14:textId="77777777" w:rsidR="00EF1F98" w:rsidRPr="00A87961" w:rsidRDefault="00EF1F98" w:rsidP="0011737C">
      <w:pPr>
        <w:spacing w:line="480" w:lineRule="auto"/>
        <w:rPr>
          <w:rFonts w:cs="Times New Roman"/>
          <w:b/>
          <w:bCs/>
        </w:rPr>
      </w:pPr>
      <w:r w:rsidRPr="00A87961">
        <w:rPr>
          <w:rFonts w:cs="Times New Roman"/>
          <w:b/>
          <w:bCs/>
        </w:rPr>
        <w:t>Eligibility criteria</w:t>
      </w:r>
    </w:p>
    <w:p w14:paraId="5FDC1E95" w14:textId="640F6711" w:rsidR="00EF1F98" w:rsidRPr="00A87961" w:rsidRDefault="00EF1F98" w:rsidP="0011737C">
      <w:pPr>
        <w:spacing w:line="480" w:lineRule="auto"/>
        <w:rPr>
          <w:rFonts w:cs="Times New Roman"/>
        </w:rPr>
      </w:pPr>
      <w:r w:rsidRPr="00A87961">
        <w:rPr>
          <w:rFonts w:cs="Times New Roman"/>
        </w:rPr>
        <w:t xml:space="preserve">The inclusion and exclusion criteria used in this review are presented in full in </w:t>
      </w:r>
      <w:r w:rsidR="00687B55" w:rsidRPr="00A87961">
        <w:rPr>
          <w:rFonts w:cs="Times New Roman"/>
        </w:rPr>
        <w:t>the Supplementary Material</w:t>
      </w:r>
      <w:r w:rsidRPr="00A87961">
        <w:rPr>
          <w:rFonts w:cs="Times New Roman"/>
        </w:rPr>
        <w:t>.</w:t>
      </w:r>
    </w:p>
    <w:p w14:paraId="1A8E1791" w14:textId="77777777" w:rsidR="00EF1F98" w:rsidRPr="00A87961" w:rsidRDefault="00EF1F98" w:rsidP="0011737C">
      <w:pPr>
        <w:spacing w:line="480" w:lineRule="auto"/>
        <w:rPr>
          <w:rFonts w:cs="Times New Roman"/>
        </w:rPr>
      </w:pPr>
    </w:p>
    <w:p w14:paraId="582ADC8F" w14:textId="77777777" w:rsidR="00EF1F98" w:rsidRPr="00A87961" w:rsidRDefault="00EF1F98" w:rsidP="0011737C">
      <w:pPr>
        <w:spacing w:line="480" w:lineRule="auto"/>
        <w:rPr>
          <w:rFonts w:cs="Times New Roman"/>
          <w:b/>
          <w:bCs/>
          <w:i/>
          <w:iCs/>
        </w:rPr>
      </w:pPr>
      <w:r w:rsidRPr="00A87961">
        <w:rPr>
          <w:rFonts w:cs="Times New Roman"/>
          <w:b/>
          <w:bCs/>
          <w:i/>
          <w:iCs/>
        </w:rPr>
        <w:t>Population and injury model</w:t>
      </w:r>
    </w:p>
    <w:p w14:paraId="7F5C2D57" w14:textId="6F380A71" w:rsidR="00EF1F98" w:rsidRPr="00A87961" w:rsidRDefault="00EF1F98" w:rsidP="0011737C">
      <w:pPr>
        <w:spacing w:line="480" w:lineRule="auto"/>
        <w:rPr>
          <w:rFonts w:cs="Times New Roman"/>
        </w:rPr>
      </w:pPr>
      <w:r w:rsidRPr="00A87961">
        <w:rPr>
          <w:rFonts w:cs="Times New Roman"/>
        </w:rPr>
        <w:t>Th</w:t>
      </w:r>
      <w:r w:rsidR="00BE588D" w:rsidRPr="00A87961">
        <w:rPr>
          <w:rFonts w:cs="Times New Roman"/>
        </w:rPr>
        <w:t xml:space="preserve">is </w:t>
      </w:r>
      <w:r w:rsidRPr="00A87961">
        <w:rPr>
          <w:rFonts w:cs="Times New Roman"/>
        </w:rPr>
        <w:t xml:space="preserve">review </w:t>
      </w:r>
      <w:r w:rsidR="00BE588D" w:rsidRPr="00A87961">
        <w:rPr>
          <w:rFonts w:cs="Times New Roman"/>
        </w:rPr>
        <w:t>included only preclinical</w:t>
      </w:r>
      <w:r w:rsidRPr="00A87961">
        <w:rPr>
          <w:rFonts w:cs="Times New Roman"/>
        </w:rPr>
        <w:t xml:space="preserve"> animal models,</w:t>
      </w:r>
      <w:r w:rsidR="00BE588D" w:rsidRPr="00A87961">
        <w:rPr>
          <w:rFonts w:cs="Times New Roman"/>
        </w:rPr>
        <w:t xml:space="preserve"> and human studies were excluded.</w:t>
      </w:r>
      <w:r w:rsidRPr="00A87961">
        <w:rPr>
          <w:rFonts w:cs="Times New Roman"/>
        </w:rPr>
        <w:t xml:space="preserve"> SCI models such as traumatic injury, spinal cord ischaemia </w:t>
      </w:r>
      <w:r w:rsidR="00FF1D42" w:rsidRPr="00A87961">
        <w:rPr>
          <w:rFonts w:cs="Times New Roman"/>
        </w:rPr>
        <w:t xml:space="preserve">or </w:t>
      </w:r>
      <w:r w:rsidR="00BE588D" w:rsidRPr="00A87961">
        <w:rPr>
          <w:rFonts w:cs="Times New Roman"/>
        </w:rPr>
        <w:t>cryogenic</w:t>
      </w:r>
      <w:r w:rsidR="00FF1D42" w:rsidRPr="00A87961">
        <w:rPr>
          <w:rFonts w:cs="Times New Roman"/>
        </w:rPr>
        <w:t xml:space="preserve"> spinal cord injury </w:t>
      </w:r>
      <w:r w:rsidRPr="00A87961">
        <w:rPr>
          <w:rFonts w:cs="Times New Roman"/>
        </w:rPr>
        <w:t>were included</w:t>
      </w:r>
      <w:r w:rsidR="00F164FC" w:rsidRPr="00A87961">
        <w:rPr>
          <w:rFonts w:cs="Times New Roman"/>
        </w:rPr>
        <w:t>. P</w:t>
      </w:r>
      <w:r w:rsidRPr="00A87961">
        <w:rPr>
          <w:rFonts w:cs="Times New Roman"/>
        </w:rPr>
        <w:t xml:space="preserve">eripheral nerve injury or traumatic brain injury </w:t>
      </w:r>
      <w:r w:rsidR="00F164FC" w:rsidRPr="00A87961">
        <w:rPr>
          <w:rFonts w:cs="Times New Roman"/>
        </w:rPr>
        <w:t xml:space="preserve">models </w:t>
      </w:r>
      <w:r w:rsidRPr="00A87961">
        <w:rPr>
          <w:rFonts w:cs="Times New Roman"/>
        </w:rPr>
        <w:t xml:space="preserve">were excluded. </w:t>
      </w:r>
    </w:p>
    <w:p w14:paraId="0E44692E" w14:textId="77777777" w:rsidR="00EF1F98" w:rsidRPr="00A87961" w:rsidRDefault="00EF1F98" w:rsidP="0011737C">
      <w:pPr>
        <w:spacing w:line="480" w:lineRule="auto"/>
        <w:rPr>
          <w:rFonts w:cs="Times New Roman"/>
        </w:rPr>
      </w:pPr>
    </w:p>
    <w:p w14:paraId="7183C5E0" w14:textId="77777777" w:rsidR="00EF1F98" w:rsidRPr="00A87961" w:rsidRDefault="00EF1F98" w:rsidP="0011737C">
      <w:pPr>
        <w:spacing w:line="480" w:lineRule="auto"/>
        <w:rPr>
          <w:rFonts w:cs="Times New Roman"/>
          <w:b/>
          <w:bCs/>
          <w:i/>
          <w:iCs/>
        </w:rPr>
      </w:pPr>
      <w:r w:rsidRPr="00A87961">
        <w:rPr>
          <w:rFonts w:cs="Times New Roman"/>
          <w:b/>
          <w:bCs/>
          <w:i/>
          <w:iCs/>
        </w:rPr>
        <w:t>Intervention and comparison</w:t>
      </w:r>
    </w:p>
    <w:p w14:paraId="3840283D" w14:textId="6C730568" w:rsidR="00BE588D" w:rsidRPr="00A87961" w:rsidRDefault="00BE588D" w:rsidP="0011737C">
      <w:pPr>
        <w:spacing w:line="480" w:lineRule="auto"/>
        <w:rPr>
          <w:rFonts w:cs="Times New Roman"/>
        </w:rPr>
      </w:pPr>
      <w:r w:rsidRPr="00A87961">
        <w:rPr>
          <w:rFonts w:cs="Times New Roman"/>
        </w:rPr>
        <w:t>Studies were included if they used cannabinoid receptor agonists (</w:t>
      </w:r>
      <w:proofErr w:type="gramStart"/>
      <w:r w:rsidRPr="00A87961">
        <w:rPr>
          <w:rFonts w:cs="Times New Roman"/>
        </w:rPr>
        <w:t>e.g.</w:t>
      </w:r>
      <w:proofErr w:type="gramEnd"/>
      <w:r w:rsidRPr="00A87961">
        <w:rPr>
          <w:rFonts w:cs="Times New Roman"/>
        </w:rPr>
        <w:t xml:space="preserve"> WIN 55,212-2)</w:t>
      </w:r>
      <w:r w:rsidR="00F81939" w:rsidRPr="00A87961">
        <w:rPr>
          <w:rFonts w:cs="Times New Roman"/>
        </w:rPr>
        <w:t xml:space="preserve">, </w:t>
      </w:r>
      <w:r w:rsidRPr="00A87961">
        <w:rPr>
          <w:rFonts w:cs="Times New Roman"/>
        </w:rPr>
        <w:t>cannabinoid receptor antagonists (e.g. AM251 or AM630)</w:t>
      </w:r>
      <w:r w:rsidR="00F81939" w:rsidRPr="00A87961">
        <w:rPr>
          <w:rFonts w:cs="Times New Roman"/>
        </w:rPr>
        <w:t xml:space="preserve"> or endocannabinoid system modulators (e.g. acetaminophen or naloxone)</w:t>
      </w:r>
      <w:r w:rsidRPr="00A87961">
        <w:rPr>
          <w:rFonts w:cs="Times New Roman"/>
        </w:rPr>
        <w:t>, administered intravenously, intraperitoneally or intrathecally.</w:t>
      </w:r>
      <w:r w:rsidR="00F81939" w:rsidRPr="00A87961">
        <w:rPr>
          <w:rFonts w:cs="Times New Roman"/>
        </w:rPr>
        <w:t xml:space="preserve"> </w:t>
      </w:r>
      <w:r w:rsidRPr="00A87961">
        <w:rPr>
          <w:rFonts w:cs="Times New Roman"/>
        </w:rPr>
        <w:t xml:space="preserve">To be included, studies required a control treatment group and one or more </w:t>
      </w:r>
      <w:r w:rsidRPr="00A87961">
        <w:rPr>
          <w:rFonts w:cs="Times New Roman"/>
        </w:rPr>
        <w:lastRenderedPageBreak/>
        <w:t>cannabinoid treatment groups. Studies were not excluded based on drug administration parameters such as frequency or the duration of dosing.</w:t>
      </w:r>
    </w:p>
    <w:p w14:paraId="47A88307" w14:textId="77777777" w:rsidR="00EF1F98" w:rsidRPr="00A87961" w:rsidRDefault="00EF1F98" w:rsidP="0011737C">
      <w:pPr>
        <w:spacing w:line="480" w:lineRule="auto"/>
        <w:rPr>
          <w:rFonts w:cs="Times New Roman"/>
        </w:rPr>
      </w:pPr>
    </w:p>
    <w:p w14:paraId="26B784CD" w14:textId="77777777" w:rsidR="00EF1F98" w:rsidRPr="00A87961" w:rsidRDefault="00EF1F98" w:rsidP="0011737C">
      <w:pPr>
        <w:spacing w:line="480" w:lineRule="auto"/>
        <w:rPr>
          <w:rFonts w:cs="Times New Roman"/>
          <w:b/>
          <w:bCs/>
          <w:i/>
          <w:iCs/>
        </w:rPr>
      </w:pPr>
      <w:r w:rsidRPr="00A87961">
        <w:rPr>
          <w:rFonts w:cs="Times New Roman"/>
          <w:b/>
          <w:bCs/>
          <w:i/>
          <w:iCs/>
        </w:rPr>
        <w:t xml:space="preserve">Outcomes </w:t>
      </w:r>
    </w:p>
    <w:p w14:paraId="696E7D78" w14:textId="66A206E0" w:rsidR="00EF1F98" w:rsidRPr="00A87961" w:rsidRDefault="00EF1F98" w:rsidP="0011737C">
      <w:pPr>
        <w:spacing w:line="480" w:lineRule="auto"/>
        <w:rPr>
          <w:rFonts w:cs="Times New Roman"/>
        </w:rPr>
      </w:pPr>
      <w:proofErr w:type="spellStart"/>
      <w:r w:rsidRPr="00A87961">
        <w:rPr>
          <w:rFonts w:cs="Times New Roman"/>
        </w:rPr>
        <w:t>Neurobehavioural</w:t>
      </w:r>
      <w:proofErr w:type="spellEnd"/>
      <w:r w:rsidRPr="00A87961">
        <w:rPr>
          <w:rFonts w:cs="Times New Roman"/>
        </w:rPr>
        <w:t xml:space="preserve"> outcomes</w:t>
      </w:r>
      <w:r w:rsidR="00EA506F" w:rsidRPr="00A87961">
        <w:rPr>
          <w:rFonts w:cs="Times New Roman"/>
        </w:rPr>
        <w:t>, defined as outcomes of motor and/or sensory function, including pain,</w:t>
      </w:r>
      <w:r w:rsidRPr="00A87961">
        <w:rPr>
          <w:rFonts w:cs="Times New Roman"/>
        </w:rPr>
        <w:t xml:space="preserve"> </w:t>
      </w:r>
      <w:r w:rsidR="00EA506F" w:rsidRPr="00A87961">
        <w:rPr>
          <w:rFonts w:cs="Times New Roman"/>
        </w:rPr>
        <w:t>were</w:t>
      </w:r>
      <w:r w:rsidRPr="00A87961">
        <w:rPr>
          <w:rFonts w:cs="Times New Roman"/>
        </w:rPr>
        <w:t xml:space="preserve"> the </w:t>
      </w:r>
      <w:r w:rsidR="00791CE6" w:rsidRPr="00A87961">
        <w:rPr>
          <w:rFonts w:cs="Times New Roman"/>
        </w:rPr>
        <w:t xml:space="preserve">focus </w:t>
      </w:r>
      <w:r w:rsidRPr="00A87961">
        <w:rPr>
          <w:rFonts w:cs="Times New Roman"/>
        </w:rPr>
        <w:t>of this review.</w:t>
      </w:r>
      <w:r w:rsidR="00EA506F" w:rsidRPr="00A87961">
        <w:rPr>
          <w:rFonts w:cs="Times New Roman"/>
        </w:rPr>
        <w:t xml:space="preserve"> </w:t>
      </w:r>
      <w:r w:rsidRPr="00A87961">
        <w:rPr>
          <w:rFonts w:cs="Times New Roman"/>
        </w:rPr>
        <w:t>Studies</w:t>
      </w:r>
      <w:r w:rsidR="00EA506F" w:rsidRPr="00A87961">
        <w:rPr>
          <w:rFonts w:cs="Times New Roman"/>
        </w:rPr>
        <w:t xml:space="preserve"> that assessed </w:t>
      </w:r>
      <w:proofErr w:type="spellStart"/>
      <w:r w:rsidRPr="00A87961">
        <w:rPr>
          <w:rFonts w:cs="Times New Roman"/>
        </w:rPr>
        <w:t>neurobehavioural</w:t>
      </w:r>
      <w:proofErr w:type="spellEnd"/>
      <w:r w:rsidRPr="00A87961">
        <w:rPr>
          <w:rFonts w:cs="Times New Roman"/>
        </w:rPr>
        <w:t xml:space="preserve"> outcome</w:t>
      </w:r>
      <w:r w:rsidR="00EA506F" w:rsidRPr="00A87961">
        <w:rPr>
          <w:rFonts w:cs="Times New Roman"/>
        </w:rPr>
        <w:t>s using tools such as</w:t>
      </w:r>
      <w:r w:rsidRPr="00A87961">
        <w:rPr>
          <w:rFonts w:cs="Times New Roman"/>
        </w:rPr>
        <w:t xml:space="preserve"> such as </w:t>
      </w:r>
      <w:r w:rsidR="00EA506F" w:rsidRPr="00A87961">
        <w:rPr>
          <w:rFonts w:cs="Times New Roman"/>
        </w:rPr>
        <w:t xml:space="preserve">the </w:t>
      </w:r>
      <w:r w:rsidRPr="00A87961">
        <w:rPr>
          <w:rFonts w:cs="Times New Roman"/>
        </w:rPr>
        <w:t>Basso, Beattie and Bresnahan score</w:t>
      </w:r>
      <w:r w:rsidR="00EA506F" w:rsidRPr="00A87961">
        <w:rPr>
          <w:rFonts w:cs="Times New Roman"/>
        </w:rPr>
        <w:t xml:space="preserve"> for locomotor function and von Frey filaments for mechanical allodynia and hyperalgesia were included.</w:t>
      </w:r>
      <w:r w:rsidR="00516756" w:rsidRPr="00A87961">
        <w:rPr>
          <w:rFonts w:cs="Times New Roman"/>
        </w:rPr>
        <w:t xml:space="preserve"> </w:t>
      </w:r>
      <w:r w:rsidRPr="00A87961">
        <w:rPr>
          <w:rFonts w:cs="Times New Roman"/>
        </w:rPr>
        <w:t xml:space="preserve">Studies that </w:t>
      </w:r>
      <w:r w:rsidR="00791CE6" w:rsidRPr="00A87961">
        <w:rPr>
          <w:rFonts w:cs="Times New Roman"/>
        </w:rPr>
        <w:t xml:space="preserve">exclusively </w:t>
      </w:r>
      <w:r w:rsidRPr="00A87961">
        <w:rPr>
          <w:rFonts w:cs="Times New Roman"/>
        </w:rPr>
        <w:t>assessed other parameters, such as histological or autonomic outcomes, were excluded.</w:t>
      </w:r>
    </w:p>
    <w:p w14:paraId="6BF025AC" w14:textId="77777777" w:rsidR="00687B55" w:rsidRPr="00A87961" w:rsidRDefault="00687B55" w:rsidP="0011737C">
      <w:pPr>
        <w:spacing w:line="480" w:lineRule="auto"/>
        <w:rPr>
          <w:rFonts w:cs="Times New Roman"/>
          <w:b/>
          <w:bCs/>
          <w:i/>
          <w:iCs/>
        </w:rPr>
      </w:pPr>
    </w:p>
    <w:p w14:paraId="60FA288F" w14:textId="2AFDF6C1" w:rsidR="00EF1F98" w:rsidRPr="00A87961" w:rsidRDefault="00EF1F98" w:rsidP="0011737C">
      <w:pPr>
        <w:spacing w:line="480" w:lineRule="auto"/>
        <w:rPr>
          <w:rFonts w:cs="Times New Roman"/>
          <w:b/>
          <w:bCs/>
        </w:rPr>
      </w:pPr>
      <w:r w:rsidRPr="00A87961">
        <w:rPr>
          <w:rFonts w:cs="Times New Roman"/>
          <w:b/>
          <w:bCs/>
        </w:rPr>
        <w:t>Information sources</w:t>
      </w:r>
    </w:p>
    <w:p w14:paraId="77F2D122" w14:textId="7C7BC15E" w:rsidR="00EF1F98" w:rsidRPr="00A87961" w:rsidRDefault="00EF1F98" w:rsidP="0011737C">
      <w:pPr>
        <w:spacing w:line="480" w:lineRule="auto"/>
        <w:rPr>
          <w:rFonts w:cs="Times New Roman"/>
          <w:b/>
          <w:bCs/>
        </w:rPr>
      </w:pPr>
      <w:r w:rsidRPr="00A87961">
        <w:rPr>
          <w:rFonts w:cs="Times New Roman"/>
        </w:rPr>
        <w:t xml:space="preserve">To identify articles, a systematic search was performed of MEDLINE and </w:t>
      </w:r>
      <w:r w:rsidR="00B351E1" w:rsidRPr="00A87961">
        <w:rPr>
          <w:rFonts w:cs="Times New Roman"/>
        </w:rPr>
        <w:t xml:space="preserve">Embase </w:t>
      </w:r>
      <w:r w:rsidRPr="00A87961">
        <w:rPr>
          <w:rFonts w:cs="Times New Roman"/>
        </w:rPr>
        <w:t>databases on</w:t>
      </w:r>
      <w:r w:rsidR="007312DC" w:rsidRPr="00A87961">
        <w:rPr>
          <w:rFonts w:cs="Times New Roman"/>
        </w:rPr>
        <w:t xml:space="preserve"> </w:t>
      </w:r>
      <w:r w:rsidR="00861EE6" w:rsidRPr="00A87961">
        <w:rPr>
          <w:rFonts w:cs="Times New Roman"/>
        </w:rPr>
        <w:t>December 1</w:t>
      </w:r>
      <w:r w:rsidR="00EC2D0A" w:rsidRPr="00A87961">
        <w:rPr>
          <w:rFonts w:cs="Times New Roman"/>
        </w:rPr>
        <w:t>4</w:t>
      </w:r>
      <w:r w:rsidR="007312DC" w:rsidRPr="00A87961">
        <w:rPr>
          <w:rFonts w:cs="Times New Roman"/>
        </w:rPr>
        <w:t>, 20</w:t>
      </w:r>
      <w:r w:rsidR="00861EE6" w:rsidRPr="00A87961">
        <w:rPr>
          <w:rFonts w:cs="Times New Roman"/>
        </w:rPr>
        <w:t>20</w:t>
      </w:r>
      <w:r w:rsidRPr="00A87961">
        <w:rPr>
          <w:rFonts w:cs="Times New Roman"/>
        </w:rPr>
        <w:t>.</w:t>
      </w:r>
    </w:p>
    <w:p w14:paraId="394E07BA" w14:textId="77777777" w:rsidR="00EF1F98" w:rsidRPr="00A87961" w:rsidRDefault="00EF1F98" w:rsidP="0011737C">
      <w:pPr>
        <w:spacing w:line="480" w:lineRule="auto"/>
        <w:rPr>
          <w:rFonts w:cs="Times New Roman"/>
          <w:b/>
          <w:bCs/>
        </w:rPr>
      </w:pPr>
    </w:p>
    <w:p w14:paraId="018B4683" w14:textId="77777777" w:rsidR="00EF1F98" w:rsidRPr="00A87961" w:rsidRDefault="00EF1F98" w:rsidP="0011737C">
      <w:pPr>
        <w:spacing w:line="480" w:lineRule="auto"/>
        <w:rPr>
          <w:rFonts w:cs="Times New Roman"/>
          <w:b/>
          <w:bCs/>
        </w:rPr>
      </w:pPr>
      <w:r w:rsidRPr="00A87961">
        <w:rPr>
          <w:rFonts w:cs="Times New Roman"/>
          <w:b/>
          <w:bCs/>
        </w:rPr>
        <w:t xml:space="preserve">Search </w:t>
      </w:r>
    </w:p>
    <w:p w14:paraId="571CBE32" w14:textId="56B26B43" w:rsidR="00EF1F98" w:rsidRPr="00A87961" w:rsidRDefault="00EF1F98" w:rsidP="0011737C">
      <w:pPr>
        <w:spacing w:line="480" w:lineRule="auto"/>
        <w:rPr>
          <w:rFonts w:cs="Times New Roman"/>
        </w:rPr>
      </w:pPr>
      <w:r w:rsidRPr="00A87961">
        <w:rPr>
          <w:rFonts w:cs="Times New Roman"/>
        </w:rPr>
        <w:t xml:space="preserve">The search strategy was developed with the assistance of a </w:t>
      </w:r>
      <w:r w:rsidR="00B351E1" w:rsidRPr="00A87961">
        <w:rPr>
          <w:rFonts w:cs="Times New Roman"/>
        </w:rPr>
        <w:t xml:space="preserve">medical </w:t>
      </w:r>
      <w:r w:rsidRPr="00A87961">
        <w:rPr>
          <w:rFonts w:cs="Times New Roman"/>
        </w:rPr>
        <w:t xml:space="preserve">librarian at the Cambridge University Medical Library. The </w:t>
      </w:r>
      <w:r w:rsidRPr="00A87961">
        <w:rPr>
          <w:rFonts w:cs="Times New Roman"/>
          <w:color w:val="000000" w:themeColor="text1"/>
        </w:rPr>
        <w:t xml:space="preserve">terms used to search MEDLINE and </w:t>
      </w:r>
      <w:r w:rsidR="00B351E1" w:rsidRPr="00A87961">
        <w:rPr>
          <w:rFonts w:cs="Times New Roman"/>
          <w:color w:val="000000" w:themeColor="text1"/>
        </w:rPr>
        <w:t xml:space="preserve">Embase </w:t>
      </w:r>
      <w:r w:rsidRPr="00A87961">
        <w:rPr>
          <w:rFonts w:cs="Times New Roman"/>
          <w:color w:val="000000" w:themeColor="text1"/>
        </w:rPr>
        <w:t xml:space="preserve">are provided in </w:t>
      </w:r>
      <w:r w:rsidR="00C66206" w:rsidRPr="00A87961">
        <w:rPr>
          <w:rFonts w:cs="Times New Roman"/>
          <w:color w:val="000000" w:themeColor="text1"/>
        </w:rPr>
        <w:t xml:space="preserve">the </w:t>
      </w:r>
      <w:r w:rsidRPr="00A87961">
        <w:rPr>
          <w:rFonts w:cs="Times New Roman"/>
          <w:color w:val="000000" w:themeColor="text1"/>
        </w:rPr>
        <w:t xml:space="preserve">Supplementary Material. No </w:t>
      </w:r>
      <w:r w:rsidRPr="00A87961">
        <w:rPr>
          <w:rFonts w:cs="Times New Roman"/>
        </w:rPr>
        <w:t xml:space="preserve">additional search limits were applied. </w:t>
      </w:r>
    </w:p>
    <w:p w14:paraId="04B95D42" w14:textId="77777777" w:rsidR="00EF1F98" w:rsidRPr="00A87961" w:rsidRDefault="00EF1F98" w:rsidP="0011737C">
      <w:pPr>
        <w:spacing w:line="480" w:lineRule="auto"/>
        <w:rPr>
          <w:rFonts w:cs="Times New Roman"/>
          <w:b/>
          <w:bCs/>
        </w:rPr>
      </w:pPr>
    </w:p>
    <w:p w14:paraId="563B6ACB" w14:textId="77777777" w:rsidR="00EF1F98" w:rsidRPr="00A87961" w:rsidRDefault="00EF1F98" w:rsidP="0011737C">
      <w:pPr>
        <w:spacing w:line="480" w:lineRule="auto"/>
        <w:rPr>
          <w:rFonts w:cs="Times New Roman"/>
          <w:b/>
          <w:bCs/>
        </w:rPr>
      </w:pPr>
      <w:r w:rsidRPr="00A87961">
        <w:rPr>
          <w:rFonts w:cs="Times New Roman"/>
          <w:b/>
          <w:bCs/>
        </w:rPr>
        <w:t>Study selection</w:t>
      </w:r>
    </w:p>
    <w:p w14:paraId="407CC1F7" w14:textId="4A75993D" w:rsidR="00EF1F98" w:rsidRPr="00A87961" w:rsidRDefault="00EF1F98" w:rsidP="0011737C">
      <w:pPr>
        <w:spacing w:line="480" w:lineRule="auto"/>
        <w:rPr>
          <w:rFonts w:cs="Times New Roman"/>
        </w:rPr>
      </w:pPr>
      <w:r w:rsidRPr="00A87961">
        <w:rPr>
          <w:rFonts w:cs="Times New Roman"/>
        </w:rPr>
        <w:t xml:space="preserve">Duplicates were excluded in </w:t>
      </w:r>
      <w:r w:rsidR="00EA506F" w:rsidRPr="00A87961">
        <w:rPr>
          <w:rFonts w:cs="Times New Roman"/>
        </w:rPr>
        <w:t>Mendeley (Elsevier, London, UK)</w:t>
      </w:r>
      <w:r w:rsidRPr="00A87961">
        <w:rPr>
          <w:rFonts w:cs="Times New Roman"/>
        </w:rPr>
        <w:t>. The abstracts were then screened independently by 14 of the authors using Rayyan</w:t>
      </w:r>
      <w:r w:rsidR="00B351E1" w:rsidRPr="00A87961">
        <w:rPr>
          <w:rFonts w:cs="Times New Roman"/>
        </w:rPr>
        <w:t xml:space="preserve"> </w:t>
      </w:r>
      <w:r w:rsidRPr="00A87961">
        <w:rPr>
          <w:rFonts w:cs="Times New Roman"/>
        </w:rPr>
        <w:t xml:space="preserve">software. The abstracts were divided into 7 groups. Each group of abstracts was reviewed by a pair of authors. </w:t>
      </w:r>
      <w:r w:rsidRPr="00A87961">
        <w:rPr>
          <w:rFonts w:cs="Times New Roman"/>
        </w:rPr>
        <w:lastRenderedPageBreak/>
        <w:t>Disagreements were resolved through discussion between the reviewers</w:t>
      </w:r>
      <w:r w:rsidR="00B351E1" w:rsidRPr="00A87961">
        <w:rPr>
          <w:rFonts w:cs="Times New Roman"/>
        </w:rPr>
        <w:t xml:space="preserve"> until mutual agreement was reached</w:t>
      </w:r>
      <w:r w:rsidRPr="00A87961">
        <w:rPr>
          <w:rFonts w:cs="Times New Roman"/>
        </w:rPr>
        <w:t xml:space="preserve">. </w:t>
      </w:r>
    </w:p>
    <w:p w14:paraId="0D2A00DE" w14:textId="77777777" w:rsidR="00EF1F98" w:rsidRPr="00A87961" w:rsidRDefault="00EF1F98" w:rsidP="0011737C">
      <w:pPr>
        <w:spacing w:line="480" w:lineRule="auto"/>
        <w:rPr>
          <w:rFonts w:cs="Times New Roman"/>
          <w:b/>
          <w:bCs/>
        </w:rPr>
      </w:pPr>
    </w:p>
    <w:p w14:paraId="1F6FF9DA" w14:textId="3570A47A" w:rsidR="00EF1F98" w:rsidRPr="00A87961" w:rsidRDefault="00EF1F98" w:rsidP="0011737C">
      <w:pPr>
        <w:spacing w:line="480" w:lineRule="auto"/>
        <w:rPr>
          <w:rFonts w:cs="Times New Roman"/>
          <w:b/>
          <w:bCs/>
        </w:rPr>
      </w:pPr>
      <w:r w:rsidRPr="00A87961">
        <w:rPr>
          <w:rFonts w:cs="Times New Roman"/>
          <w:b/>
          <w:bCs/>
        </w:rPr>
        <w:t xml:space="preserve">Data </w:t>
      </w:r>
      <w:r w:rsidR="005F0372" w:rsidRPr="00A87961">
        <w:rPr>
          <w:rFonts w:cs="Times New Roman"/>
          <w:b/>
          <w:bCs/>
        </w:rPr>
        <w:t>Extraction</w:t>
      </w:r>
    </w:p>
    <w:p w14:paraId="04061A50" w14:textId="3D62BE8D" w:rsidR="00EF1F98" w:rsidRPr="00A87961" w:rsidRDefault="00EF1F98" w:rsidP="0011737C">
      <w:pPr>
        <w:spacing w:line="480" w:lineRule="auto"/>
        <w:rPr>
          <w:rFonts w:cs="Times New Roman"/>
        </w:rPr>
      </w:pPr>
      <w:r w:rsidRPr="00A87961">
        <w:rPr>
          <w:rFonts w:cs="Times New Roman"/>
        </w:rPr>
        <w:t xml:space="preserve">The data extracted </w:t>
      </w:r>
      <w:proofErr w:type="gramStart"/>
      <w:r w:rsidRPr="00A87961">
        <w:rPr>
          <w:rFonts w:cs="Times New Roman"/>
        </w:rPr>
        <w:t>were:</w:t>
      </w:r>
      <w:proofErr w:type="gramEnd"/>
      <w:r w:rsidRPr="00A87961">
        <w:rPr>
          <w:rFonts w:cs="Times New Roman"/>
        </w:rPr>
        <w:t xml:space="preserve"> author, year of publication, country of experiments, study characteristics (e.g. number of experimental groups, level of evidence), sample characteristics e.g. size, number of groups, species</w:t>
      </w:r>
      <w:r w:rsidR="005B524A" w:rsidRPr="00A87961">
        <w:rPr>
          <w:rFonts w:cs="Times New Roman"/>
        </w:rPr>
        <w:t>, strain</w:t>
      </w:r>
      <w:r w:rsidRPr="00A87961">
        <w:rPr>
          <w:rFonts w:cs="Times New Roman"/>
        </w:rPr>
        <w:t xml:space="preserve">, age, sex, weight, and comorbidities), intervention (including injury model and the type, dose, frequency and route of drug), the methods and results of any </w:t>
      </w:r>
      <w:proofErr w:type="spellStart"/>
      <w:r w:rsidRPr="00A87961">
        <w:rPr>
          <w:rFonts w:cs="Times New Roman"/>
        </w:rPr>
        <w:t>neurobehavioural</w:t>
      </w:r>
      <w:proofErr w:type="spellEnd"/>
      <w:r w:rsidRPr="00A87961">
        <w:rPr>
          <w:rFonts w:cs="Times New Roman"/>
        </w:rPr>
        <w:t xml:space="preserve"> assessment, a</w:t>
      </w:r>
      <w:r w:rsidR="00745CCC" w:rsidRPr="00A87961">
        <w:rPr>
          <w:rFonts w:cs="Times New Roman"/>
        </w:rPr>
        <w:t xml:space="preserve">nd </w:t>
      </w:r>
      <w:r w:rsidRPr="00A87961">
        <w:rPr>
          <w:rFonts w:cs="Times New Roman"/>
        </w:rPr>
        <w:t>the nature of any relevant statistical analysis performed.</w:t>
      </w:r>
      <w:r w:rsidR="005B524A" w:rsidRPr="00A87961">
        <w:rPr>
          <w:rFonts w:cs="Times New Roman"/>
        </w:rPr>
        <w:t xml:space="preserve"> Data extraction was performed by one of the authors (FB). </w:t>
      </w:r>
    </w:p>
    <w:p w14:paraId="792C2D79" w14:textId="607F4D41" w:rsidR="00EF1F98" w:rsidRPr="00A87961" w:rsidRDefault="00EF1F98" w:rsidP="0011737C">
      <w:pPr>
        <w:spacing w:line="480" w:lineRule="auto"/>
        <w:rPr>
          <w:rFonts w:cs="Times New Roman"/>
          <w:b/>
          <w:bCs/>
        </w:rPr>
      </w:pPr>
    </w:p>
    <w:p w14:paraId="7B5088A8" w14:textId="77777777" w:rsidR="00B726A5" w:rsidRPr="00A87961" w:rsidRDefault="00B726A5" w:rsidP="00B726A5">
      <w:pPr>
        <w:spacing w:line="480" w:lineRule="auto"/>
        <w:rPr>
          <w:rFonts w:cs="Times New Roman"/>
          <w:b/>
        </w:rPr>
      </w:pPr>
      <w:r w:rsidRPr="00A87961">
        <w:rPr>
          <w:rFonts w:cs="Times New Roman"/>
          <w:b/>
        </w:rPr>
        <w:t>Analysis and Reporting</w:t>
      </w:r>
    </w:p>
    <w:p w14:paraId="45E0F08E" w14:textId="52A3FC56" w:rsidR="00B726A5" w:rsidRPr="00A87961" w:rsidRDefault="00B726A5" w:rsidP="0011737C">
      <w:pPr>
        <w:spacing w:line="480" w:lineRule="auto"/>
        <w:rPr>
          <w:rFonts w:cs="Times New Roman"/>
          <w:bCs/>
        </w:rPr>
      </w:pPr>
      <w:r w:rsidRPr="00A87961">
        <w:rPr>
          <w:rFonts w:cs="Times New Roman"/>
          <w:bCs/>
        </w:rPr>
        <w:t>Due to the diverse range of injury models, interventions and outcomes, meta-analysis was not possible and a narrative synthesis using the Synthesis Without Meta-analysis (</w:t>
      </w:r>
      <w:proofErr w:type="spellStart"/>
      <w:r w:rsidRPr="00A87961">
        <w:rPr>
          <w:rFonts w:cs="Times New Roman"/>
          <w:bCs/>
        </w:rPr>
        <w:t>SWiM</w:t>
      </w:r>
      <w:proofErr w:type="spellEnd"/>
      <w:r w:rsidRPr="00A87961">
        <w:rPr>
          <w:rFonts w:cs="Times New Roman"/>
          <w:bCs/>
        </w:rPr>
        <w:t>) reporting guideline was conducted</w:t>
      </w:r>
      <w:r w:rsidRPr="00A87961">
        <w:rPr>
          <w:rFonts w:cs="Times New Roman"/>
          <w:bCs/>
        </w:rPr>
        <w:fldChar w:fldCharType="begin" w:fldLock="1"/>
      </w:r>
      <w:r w:rsidR="00C416DA">
        <w:rPr>
          <w:rFonts w:cs="Times New Roman"/>
          <w:bCs/>
        </w:rPr>
        <w:instrText>ADDIN CSL_CITATION {"citationItems":[{"id":"ITEM-1","itemData":{"DOI":"10.1136/bmj.l6890","ISSN":"17561833","PMID":"31948937","abstract":"In systematic reviews that lack data amenable to meta-analysis, alternative synthesis methods are commonly used, but these methods are rarely reported. This lack of transparency in the methods can cast doubt on the validity of the review findings. The Synthesis Without Meta-analysis (SWiM) guideline has been developed to guide clear reporting in reviews of interventions in which alternative synthesis methods to meta-analysis of effect estimates are used. This article describes the development of the SWiM guideline for the synthesis of quantitative data of intervention effects and presents the nine SWiM reporting items with accompanying explanations and examples.","author":[{"dropping-particle":"","family":"Campbell","given":"Mhairi","non-dropping-particle":"","parse-names":false,"suffix":""},{"dropping-particle":"","family":"McKenzie","given":"Joanne E.","non-dropping-particle":"","parse-names":false,"suffix":""},{"dropping-particle":"","family":"Sowden","given":"Amanda","non-dropping-particle":"","parse-names":false,"suffix":""},{"dropping-particle":"","family":"Katikireddi","given":"Srinivasa Vittal","non-dropping-particle":"","parse-names":false,"suffix":""},{"dropping-particle":"","family":"Brennan","given":"Sue E.","non-dropping-particle":"","parse-names":false,"suffix":""},{"dropping-particle":"","family":"Ellis","given":"Simon","non-dropping-particle":"","parse-names":false,"suffix":""},{"dropping-particle":"","family":"Hartmann-Boyce","given":"Jamie","non-dropping-particle":"","parse-names":false,"suffix":""},{"dropping-particle":"","family":"Ryan","given":"Rebecca","non-dropping-particle":"","parse-names":false,"suffix":""},{"dropping-particle":"","family":"Shepperd","given":"Sasha","non-dropping-particle":"","parse-names":false,"suffix":""},{"dropping-particle":"","family":"Thomas","given":"James","non-dropping-particle":"","parse-names":false,"suffix":""},{"dropping-particle":"","family":"Welch","given":"Vivian","non-dropping-particle":"","parse-names":false,"suffix":""},{"dropping-particle":"","family":"Thomson","given":"Hilary","non-dropping-particle":"","parse-names":false,"suffix":""}],"container-title":"The BMJ","id":"ITEM-1","issued":{"date-parts":[["2020","1","16"]]},"publisher":"BMJ Publishing Group","title":"Synthesis without meta-analysis (SWiM) in systematic reviews: Reporting guideline","type":"article-journal","volume":"368"},"uris":["http://www.mendeley.com/documents/?uuid=019c6856-86d3-3ffe-9934-d2e8f3994a2a"]}],"mendeley":{"formattedCitation":"[28]","plainTextFormattedCitation":"[28]","previouslyFormattedCitation":"[28]"},"properties":{"noteIndex":0},"schema":"https://github.com/citation-style-language/schema/raw/master/csl-citation.json"}</w:instrText>
      </w:r>
      <w:r w:rsidRPr="00A87961">
        <w:rPr>
          <w:rFonts w:cs="Times New Roman"/>
          <w:bCs/>
        </w:rPr>
        <w:fldChar w:fldCharType="separate"/>
      </w:r>
      <w:r w:rsidR="009B5F4E" w:rsidRPr="009B5F4E">
        <w:rPr>
          <w:rFonts w:cs="Times New Roman"/>
          <w:bCs/>
          <w:noProof/>
        </w:rPr>
        <w:t>[28]</w:t>
      </w:r>
      <w:r w:rsidRPr="00A87961">
        <w:rPr>
          <w:rFonts w:cs="Times New Roman"/>
          <w:bCs/>
        </w:rPr>
        <w:fldChar w:fldCharType="end"/>
      </w:r>
      <w:r w:rsidR="00C416DA">
        <w:rPr>
          <w:rFonts w:cs="Times New Roman"/>
          <w:bCs/>
        </w:rPr>
        <w:t>.</w:t>
      </w:r>
      <w:r w:rsidRPr="00A87961">
        <w:rPr>
          <w:rFonts w:cs="Times New Roman"/>
          <w:bCs/>
        </w:rPr>
        <w:t xml:space="preserve"> A checklist of adherence is provided in the Supplementary Material. Studies were primarily grouped based on outcome measures and secondarily the cannabinoid intervention used. The three broad outcome categories were motor function, pain and anxiolysis. The differences (mean/median/p values) between intervention and control groups reported by individual studies for each outcome measure was initially summarised in a table. Findings were subsequently summarised by transforming the difference measures into standardised metric-direction of effect (positive/negative/no effect) and synthesised in the form of harvest plots by vote counting based on direction of effects.  Combining p values and calculating summary statistics of intervention effect estimates was not possible. Heterogeneity in reported effects was investigated by structuring figures around the injury model, interventions, and outcomes assessed; these are provided in the </w:t>
      </w:r>
      <w:r w:rsidRPr="00A87961">
        <w:rPr>
          <w:rFonts w:cs="Times New Roman"/>
          <w:bCs/>
        </w:rPr>
        <w:lastRenderedPageBreak/>
        <w:t xml:space="preserve">Supplementary Material. </w:t>
      </w:r>
      <w:r w:rsidRPr="00A87961">
        <w:rPr>
          <w:rFonts w:cs="Times New Roman"/>
        </w:rPr>
        <w:t>The SYRCLE (Systematic Review Centre for Laboratory Animal Experimentation) tool was used to evaluate the risk of bias of the included studies</w:t>
      </w:r>
      <w:r w:rsidRPr="00A87961">
        <w:rPr>
          <w:rFonts w:cs="Times New Roman"/>
          <w:vertAlign w:val="superscript"/>
        </w:rPr>
        <w:fldChar w:fldCharType="begin" w:fldLock="1"/>
      </w:r>
      <w:r w:rsidR="00C416DA">
        <w:rPr>
          <w:rFonts w:cs="Times New Roman"/>
          <w:vertAlign w:val="superscript"/>
        </w:rPr>
        <w:instrText>ADDIN CSL_CITATION {"citationItems":[{"id":"ITEM-1","itemData":{"DOI":"10.1186/1471-2288-14-43","ISSN":"14712288","PMID":"24667063","abstract":"Background: Systematic Reviews (SRs) of experimental animal studies are not yet common practice, but awareness of the merits of conducting such SRs is steadily increasing. As animal intervention studies differ from randomized clinical trials (RCT) in many aspects, the methodology for SRs of clinical trials needs to be adapted and optimized for animal intervention studies. The Cochrane Collaboration developed a Risk of Bias (RoB) tool to establish consistency and avoid discrepancies in assessing the methodological quality of RCTs. A similar initiative is warranted in the field of animal experimentation. Methods. We provide an RoB tool for animal intervention studies (SYRCLE's RoB tool). This tool is based on the Cochrane RoB tool and has been adjusted for aspects of bias that play a specific role in animal intervention studies. To enhance transparency and applicability, we formulated signalling questions to facilitate judgment. Results: The resulting RoB tool for animal studies contains 10 entries. These entries are related to selection bias, performance bias, detection bias, attrition bias, reporting bias and other biases. Half these items are in agreement with the items in the Cochrane RoB tool. Most of the variations between the two tools are due to differences in design between RCTs and animal studies. Shortcomings in, or unfamiliarity with, specific aspects of experimental design of animal studies compared to clinical studies also play a role. Conclusions: SYRCLE's RoB tool is an adapted version of the Cochrane RoB tool. Widespread adoption and implementation of this tool will facilitate and improve critical appraisal of evidence from animal studies. This may subsequently enhance the efficiency of translating animal research into clinical practice and increase awareness of the necessity of improving the methodological quality of animal studies. © 2014 Hooijmans et al.; licensee BioMed Central Ltd.","author":[{"dropping-particle":"","family":"Hooijmans","given":"Carlijn R.","non-dropping-particle":"","parse-names":false,"suffix":""},{"dropping-particle":"","family":"Rovers","given":"Maroeska M.","non-dropping-particle":"","parse-names":false,"suffix":""},{"dropping-particle":"","family":"Vries","given":"Rob B.M.","non-dropping-particle":"De","parse-names":false,"suffix":""},{"dropping-particle":"","family":"Leenaars","given":"Marlies","non-dropping-particle":"","parse-names":false,"suffix":""},{"dropping-particle":"","family":"Ritskes-Hoitinga","given":"Merel","non-dropping-particle":"","parse-names":false,"suffix":""},{"dropping-particle":"","family":"Langendam","given":"Miranda W.","non-dropping-particle":"","parse-names":false,"suffix":""}],"container-title":"BMC Medical Research Methodology","id":"ITEM-1","issue":"1","issued":{"date-parts":[["2014","3","26"]]},"page":"43","publisher":"BioMed Central Ltd.","title":"SYRCLE's risk of bias tool for animal studies","type":"article-journal","volume":"14"},"uris":["http://www.mendeley.com/documents/?uuid=1095ac88-78ff-3e7c-9cfb-dc6e3bf2431f"]}],"mendeley":{"formattedCitation":"[29]","plainTextFormattedCitation":"[29]","previouslyFormattedCitation":"[29]"},"properties":{"noteIndex":0},"schema":"https://github.com/citation-style-language/schema/raw/master/csl-citation.json"}</w:instrText>
      </w:r>
      <w:r w:rsidRPr="00A87961">
        <w:rPr>
          <w:rFonts w:cs="Times New Roman"/>
          <w:vertAlign w:val="superscript"/>
        </w:rPr>
        <w:fldChar w:fldCharType="separate"/>
      </w:r>
      <w:r w:rsidR="009B5F4E" w:rsidRPr="009B5F4E">
        <w:rPr>
          <w:rFonts w:cs="Times New Roman"/>
          <w:noProof/>
        </w:rPr>
        <w:t>[29]</w:t>
      </w:r>
      <w:r w:rsidRPr="00A87961">
        <w:rPr>
          <w:rFonts w:cs="Times New Roman"/>
          <w:vertAlign w:val="superscript"/>
        </w:rPr>
        <w:fldChar w:fldCharType="end"/>
      </w:r>
      <w:r w:rsidRPr="00A87961">
        <w:rPr>
          <w:rFonts w:cs="Times New Roman"/>
        </w:rPr>
        <w:t xml:space="preserve">. Since risk of bias was determined to be ‘unclear’ for all the included studies, it could not be used to </w:t>
      </w:r>
      <w:r w:rsidRPr="00A87961">
        <w:rPr>
          <w:rFonts w:cs="Times New Roman"/>
          <w:bCs/>
        </w:rPr>
        <w:t xml:space="preserve">prioritise the reporting of certain findings over others, thus study findings were reported equally in the narrative synthesis. </w:t>
      </w:r>
    </w:p>
    <w:p w14:paraId="206BB81E" w14:textId="77F55CA1" w:rsidR="004B5AB3" w:rsidRPr="00A87961" w:rsidRDefault="004B5AB3" w:rsidP="0011737C">
      <w:pPr>
        <w:spacing w:line="480" w:lineRule="auto"/>
        <w:rPr>
          <w:rFonts w:cs="Times New Roman"/>
          <w:bCs/>
        </w:rPr>
      </w:pPr>
    </w:p>
    <w:p w14:paraId="700CE645" w14:textId="066AD2B0" w:rsidR="007312DC" w:rsidRPr="00A87961" w:rsidRDefault="007312DC" w:rsidP="0011737C">
      <w:pPr>
        <w:spacing w:line="480" w:lineRule="auto"/>
        <w:rPr>
          <w:rFonts w:cs="Times New Roman"/>
        </w:rPr>
      </w:pPr>
      <w:r w:rsidRPr="00A87961">
        <w:rPr>
          <w:rFonts w:cs="Times New Roman"/>
        </w:rPr>
        <w:br w:type="page"/>
      </w:r>
    </w:p>
    <w:p w14:paraId="1C5CAA0C" w14:textId="297FFBCA" w:rsidR="007312DC" w:rsidRPr="00A87961" w:rsidRDefault="00C55AB7" w:rsidP="0011737C">
      <w:pPr>
        <w:spacing w:line="480" w:lineRule="auto"/>
        <w:rPr>
          <w:rFonts w:cs="Times New Roman"/>
          <w:b/>
          <w:bCs/>
        </w:rPr>
      </w:pPr>
      <w:r w:rsidRPr="00A87961">
        <w:rPr>
          <w:rFonts w:cs="Times New Roman"/>
          <w:b/>
          <w:bCs/>
        </w:rPr>
        <w:lastRenderedPageBreak/>
        <w:t>Results</w:t>
      </w:r>
    </w:p>
    <w:p w14:paraId="1414D338" w14:textId="77777777" w:rsidR="00932692" w:rsidRPr="00A87961" w:rsidRDefault="00932692" w:rsidP="0011737C">
      <w:pPr>
        <w:spacing w:line="480" w:lineRule="auto"/>
        <w:rPr>
          <w:rFonts w:cs="Times New Roman"/>
          <w:b/>
          <w:bCs/>
        </w:rPr>
      </w:pPr>
    </w:p>
    <w:p w14:paraId="5680B919" w14:textId="0F38E0CD" w:rsidR="00EF1F98" w:rsidRPr="00A87961" w:rsidRDefault="00EF1F98" w:rsidP="0011737C">
      <w:pPr>
        <w:spacing w:line="480" w:lineRule="auto"/>
        <w:rPr>
          <w:rFonts w:cs="Times New Roman"/>
          <w:b/>
          <w:bCs/>
        </w:rPr>
      </w:pPr>
      <w:r w:rsidRPr="00A87961">
        <w:rPr>
          <w:rFonts w:cs="Times New Roman"/>
          <w:b/>
          <w:bCs/>
        </w:rPr>
        <w:t>Study selection</w:t>
      </w:r>
    </w:p>
    <w:p w14:paraId="73DB4B35" w14:textId="40FD4CC5" w:rsidR="00EF1F98" w:rsidRPr="00A87961" w:rsidRDefault="00EF1F98" w:rsidP="0011737C">
      <w:pPr>
        <w:spacing w:line="480" w:lineRule="auto"/>
        <w:rPr>
          <w:rFonts w:cs="Times New Roman"/>
          <w:color w:val="000000" w:themeColor="text1"/>
        </w:rPr>
      </w:pPr>
      <w:r w:rsidRPr="00A87961">
        <w:rPr>
          <w:rFonts w:cs="Times New Roman"/>
        </w:rPr>
        <w:t xml:space="preserve">The search generated </w:t>
      </w:r>
      <w:r w:rsidR="00EC2D0A" w:rsidRPr="00A87961">
        <w:rPr>
          <w:rFonts w:cs="Times New Roman"/>
        </w:rPr>
        <w:t>8714</w:t>
      </w:r>
      <w:r w:rsidRPr="00A87961">
        <w:rPr>
          <w:rFonts w:cs="Times New Roman"/>
        </w:rPr>
        <w:t xml:space="preserve"> results.</w:t>
      </w:r>
      <w:r w:rsidR="00344BBB" w:rsidRPr="00A87961">
        <w:rPr>
          <w:rFonts w:cs="Times New Roman"/>
        </w:rPr>
        <w:t xml:space="preserve"> </w:t>
      </w:r>
      <w:r w:rsidR="000143CA" w:rsidRPr="00A87961">
        <w:rPr>
          <w:rFonts w:cs="Times New Roman"/>
        </w:rPr>
        <w:t xml:space="preserve">A total of </w:t>
      </w:r>
      <w:r w:rsidR="00EC2D0A" w:rsidRPr="00A87961">
        <w:rPr>
          <w:rFonts w:cs="Times New Roman"/>
        </w:rPr>
        <w:t>2062</w:t>
      </w:r>
      <w:r w:rsidRPr="00A87961">
        <w:rPr>
          <w:rFonts w:cs="Times New Roman"/>
          <w:color w:val="FF0000"/>
        </w:rPr>
        <w:t xml:space="preserve"> </w:t>
      </w:r>
      <w:r w:rsidRPr="00A87961">
        <w:rPr>
          <w:rFonts w:cs="Times New Roman"/>
        </w:rPr>
        <w:t>duplicate</w:t>
      </w:r>
      <w:r w:rsidR="00344BBB" w:rsidRPr="00A87961">
        <w:rPr>
          <w:rFonts w:cs="Times New Roman"/>
        </w:rPr>
        <w:t>s</w:t>
      </w:r>
      <w:r w:rsidRPr="00A87961">
        <w:rPr>
          <w:rFonts w:cs="Times New Roman"/>
        </w:rPr>
        <w:t xml:space="preserve"> were removed using </w:t>
      </w:r>
      <w:r w:rsidR="00EC2D0A" w:rsidRPr="00A87961">
        <w:rPr>
          <w:rFonts w:cs="Times New Roman"/>
        </w:rPr>
        <w:t>Mendeley (Elsevier, London, UK)</w:t>
      </w:r>
      <w:r w:rsidRPr="00A87961">
        <w:rPr>
          <w:rFonts w:cs="Times New Roman"/>
        </w:rPr>
        <w:t>, resulting in</w:t>
      </w:r>
      <w:r w:rsidR="00344BBB" w:rsidRPr="00A87961">
        <w:rPr>
          <w:rFonts w:cs="Times New Roman"/>
        </w:rPr>
        <w:t xml:space="preserve"> 6</w:t>
      </w:r>
      <w:r w:rsidR="00EC2D0A" w:rsidRPr="00A87961">
        <w:rPr>
          <w:rFonts w:cs="Times New Roman"/>
        </w:rPr>
        <w:t>652</w:t>
      </w:r>
      <w:r w:rsidR="00344BBB" w:rsidRPr="00A87961">
        <w:rPr>
          <w:rFonts w:cs="Times New Roman"/>
        </w:rPr>
        <w:t xml:space="preserve"> </w:t>
      </w:r>
      <w:r w:rsidRPr="00A87961">
        <w:rPr>
          <w:rFonts w:cs="Times New Roman"/>
        </w:rPr>
        <w:t>unique</w:t>
      </w:r>
      <w:r w:rsidR="00861EE6" w:rsidRPr="00A87961">
        <w:rPr>
          <w:rFonts w:cs="Times New Roman"/>
        </w:rPr>
        <w:t xml:space="preserve"> studies</w:t>
      </w:r>
      <w:r w:rsidRPr="00A87961">
        <w:rPr>
          <w:rFonts w:cs="Times New Roman"/>
        </w:rPr>
        <w:t>. Following abstract screening,</w:t>
      </w:r>
      <w:r w:rsidR="00344BBB" w:rsidRPr="00A87961">
        <w:rPr>
          <w:rFonts w:cs="Times New Roman"/>
        </w:rPr>
        <w:t xml:space="preserve"> 41</w:t>
      </w:r>
      <w:r w:rsidRPr="00A87961">
        <w:rPr>
          <w:rFonts w:cs="Times New Roman"/>
        </w:rPr>
        <w:t xml:space="preserve"> </w:t>
      </w:r>
      <w:r w:rsidR="00861EE6" w:rsidRPr="00A87961">
        <w:rPr>
          <w:rFonts w:cs="Times New Roman"/>
        </w:rPr>
        <w:t>studies</w:t>
      </w:r>
      <w:r w:rsidR="000143CA" w:rsidRPr="00A87961">
        <w:rPr>
          <w:rFonts w:cs="Times New Roman"/>
        </w:rPr>
        <w:t xml:space="preserve"> </w:t>
      </w:r>
      <w:r w:rsidRPr="00A87961">
        <w:rPr>
          <w:rFonts w:cs="Times New Roman"/>
        </w:rPr>
        <w:t>were found to meet the inclusion criteria</w:t>
      </w:r>
      <w:r w:rsidR="00BE588D" w:rsidRPr="00A87961">
        <w:rPr>
          <w:rFonts w:cs="Times New Roman"/>
        </w:rPr>
        <w:t xml:space="preserve"> (</w:t>
      </w:r>
      <w:r w:rsidR="00B51CDE" w:rsidRPr="00A87961">
        <w:rPr>
          <w:rFonts w:cs="Times New Roman"/>
        </w:rPr>
        <w:t>Supplementary Material</w:t>
      </w:r>
      <w:r w:rsidR="00BE588D" w:rsidRPr="00A87961">
        <w:rPr>
          <w:rFonts w:cs="Times New Roman"/>
        </w:rPr>
        <w:t>)</w:t>
      </w:r>
      <w:r w:rsidRPr="00A87961">
        <w:rPr>
          <w:rFonts w:cs="Times New Roman"/>
        </w:rPr>
        <w:t>. On full text screening</w:t>
      </w:r>
      <w:r w:rsidR="00344BBB" w:rsidRPr="00A87961">
        <w:rPr>
          <w:rFonts w:cs="Times New Roman"/>
        </w:rPr>
        <w:t xml:space="preserve">, </w:t>
      </w:r>
      <w:r w:rsidR="00EC2D0A" w:rsidRPr="00A87961">
        <w:rPr>
          <w:rFonts w:cs="Times New Roman"/>
        </w:rPr>
        <w:t>23</w:t>
      </w:r>
      <w:r w:rsidRPr="00A87961">
        <w:rPr>
          <w:rFonts w:cs="Times New Roman"/>
          <w:color w:val="FF0000"/>
        </w:rPr>
        <w:t xml:space="preserve"> </w:t>
      </w:r>
      <w:r w:rsidRPr="00A87961">
        <w:rPr>
          <w:rFonts w:cs="Times New Roman"/>
        </w:rPr>
        <w:t xml:space="preserve">studies were excluded for the reasons outlined in </w:t>
      </w:r>
      <w:r w:rsidR="00687B55" w:rsidRPr="00A87961">
        <w:rPr>
          <w:rFonts w:cs="Times New Roman"/>
        </w:rPr>
        <w:t xml:space="preserve">the </w:t>
      </w:r>
      <w:r w:rsidRPr="00A87961">
        <w:rPr>
          <w:rFonts w:cs="Times New Roman"/>
          <w:color w:val="000000" w:themeColor="text1"/>
        </w:rPr>
        <w:t xml:space="preserve">Supplementary Material. </w:t>
      </w:r>
      <w:r w:rsidR="000143CA" w:rsidRPr="00A87961">
        <w:rPr>
          <w:rFonts w:cs="Times New Roman"/>
          <w:color w:val="000000" w:themeColor="text1"/>
        </w:rPr>
        <w:t>One</w:t>
      </w:r>
      <w:r w:rsidR="00344BBB" w:rsidRPr="00A87961">
        <w:rPr>
          <w:rFonts w:cs="Times New Roman"/>
          <w:color w:val="000000" w:themeColor="text1"/>
        </w:rPr>
        <w:t xml:space="preserve"> additional</w:t>
      </w:r>
      <w:r w:rsidRPr="00A87961">
        <w:rPr>
          <w:rFonts w:cs="Times New Roman"/>
          <w:color w:val="000000" w:themeColor="text1"/>
        </w:rPr>
        <w:t xml:space="preserve"> relevant </w:t>
      </w:r>
      <w:r w:rsidR="00861EE6" w:rsidRPr="00A87961">
        <w:rPr>
          <w:rFonts w:cs="Times New Roman"/>
          <w:color w:val="000000" w:themeColor="text1"/>
        </w:rPr>
        <w:t>study</w:t>
      </w:r>
      <w:r w:rsidRPr="00A87961">
        <w:rPr>
          <w:rFonts w:cs="Times New Roman"/>
          <w:color w:val="000000" w:themeColor="text1"/>
        </w:rPr>
        <w:t xml:space="preserve"> w</w:t>
      </w:r>
      <w:r w:rsidR="00344BBB" w:rsidRPr="00A87961">
        <w:rPr>
          <w:rFonts w:cs="Times New Roman"/>
          <w:color w:val="000000" w:themeColor="text1"/>
        </w:rPr>
        <w:t>as</w:t>
      </w:r>
      <w:r w:rsidRPr="00A87961">
        <w:rPr>
          <w:rFonts w:cs="Times New Roman"/>
          <w:color w:val="000000" w:themeColor="text1"/>
        </w:rPr>
        <w:t xml:space="preserve"> </w:t>
      </w:r>
      <w:r w:rsidR="000143CA" w:rsidRPr="00A87961">
        <w:rPr>
          <w:rFonts w:cs="Times New Roman"/>
          <w:color w:val="000000" w:themeColor="text1"/>
        </w:rPr>
        <w:t xml:space="preserve">identified </w:t>
      </w:r>
      <w:r w:rsidR="00861EE6" w:rsidRPr="00A87961">
        <w:rPr>
          <w:rFonts w:cs="Times New Roman"/>
          <w:color w:val="000000" w:themeColor="text1"/>
        </w:rPr>
        <w:t xml:space="preserve">in </w:t>
      </w:r>
      <w:r w:rsidRPr="00A87961">
        <w:rPr>
          <w:rFonts w:cs="Times New Roman"/>
          <w:color w:val="000000" w:themeColor="text1"/>
        </w:rPr>
        <w:t>the reference</w:t>
      </w:r>
      <w:r w:rsidR="000143CA" w:rsidRPr="00A87961">
        <w:rPr>
          <w:rFonts w:cs="Times New Roman"/>
          <w:color w:val="000000" w:themeColor="text1"/>
        </w:rPr>
        <w:t xml:space="preserve"> list</w:t>
      </w:r>
      <w:r w:rsidRPr="00A87961">
        <w:rPr>
          <w:rFonts w:cs="Times New Roman"/>
          <w:color w:val="000000" w:themeColor="text1"/>
        </w:rPr>
        <w:t xml:space="preserve"> of </w:t>
      </w:r>
      <w:r w:rsidR="00861EE6" w:rsidRPr="00A87961">
        <w:rPr>
          <w:rFonts w:cs="Times New Roman"/>
          <w:color w:val="000000" w:themeColor="text1"/>
        </w:rPr>
        <w:t xml:space="preserve">an </w:t>
      </w:r>
      <w:r w:rsidRPr="00A87961">
        <w:rPr>
          <w:rFonts w:cs="Times New Roman"/>
          <w:color w:val="000000" w:themeColor="text1"/>
        </w:rPr>
        <w:t xml:space="preserve">included </w:t>
      </w:r>
      <w:r w:rsidR="00861EE6" w:rsidRPr="00A87961">
        <w:rPr>
          <w:rFonts w:cs="Times New Roman"/>
          <w:color w:val="000000" w:themeColor="text1"/>
        </w:rPr>
        <w:t>study</w:t>
      </w:r>
      <w:r w:rsidRPr="00A87961">
        <w:rPr>
          <w:rFonts w:cs="Times New Roman"/>
          <w:color w:val="000000" w:themeColor="text1"/>
        </w:rPr>
        <w:t>. In total,</w:t>
      </w:r>
      <w:r w:rsidR="00344BBB" w:rsidRPr="00A87961">
        <w:rPr>
          <w:rFonts w:cs="Times New Roman"/>
          <w:color w:val="000000" w:themeColor="text1"/>
        </w:rPr>
        <w:t xml:space="preserve"> </w:t>
      </w:r>
      <w:r w:rsidR="00EC2D0A" w:rsidRPr="00A87961">
        <w:rPr>
          <w:rFonts w:cs="Times New Roman"/>
          <w:color w:val="000000" w:themeColor="text1"/>
        </w:rPr>
        <w:t>19</w:t>
      </w:r>
      <w:r w:rsidRPr="00A87961">
        <w:rPr>
          <w:rFonts w:cs="Times New Roman"/>
          <w:color w:val="000000" w:themeColor="text1"/>
        </w:rPr>
        <w:t xml:space="preserve"> </w:t>
      </w:r>
      <w:r w:rsidR="00861EE6" w:rsidRPr="00A87961">
        <w:rPr>
          <w:rFonts w:cs="Times New Roman"/>
          <w:color w:val="000000" w:themeColor="text1"/>
        </w:rPr>
        <w:t>studies</w:t>
      </w:r>
      <w:r w:rsidR="000143CA" w:rsidRPr="00A87961">
        <w:rPr>
          <w:rFonts w:cs="Times New Roman"/>
          <w:color w:val="000000" w:themeColor="text1"/>
        </w:rPr>
        <w:t xml:space="preserve"> </w:t>
      </w:r>
      <w:r w:rsidRPr="00A87961">
        <w:rPr>
          <w:rFonts w:cs="Times New Roman"/>
          <w:color w:val="000000" w:themeColor="text1"/>
        </w:rPr>
        <w:t xml:space="preserve">were included (Figure 1). </w:t>
      </w:r>
    </w:p>
    <w:p w14:paraId="18102336" w14:textId="77777777" w:rsidR="00232A1B" w:rsidRPr="00A87961" w:rsidRDefault="00232A1B" w:rsidP="0011737C">
      <w:pPr>
        <w:spacing w:line="480" w:lineRule="auto"/>
        <w:rPr>
          <w:rFonts w:cs="Times New Roman"/>
          <w:color w:val="000000" w:themeColor="text1"/>
        </w:rPr>
      </w:pPr>
    </w:p>
    <w:p w14:paraId="34C3E58E" w14:textId="7DF7CE67" w:rsidR="00232A1B" w:rsidRPr="00A87961" w:rsidRDefault="00232A1B" w:rsidP="0011737C">
      <w:pPr>
        <w:spacing w:line="480" w:lineRule="auto"/>
        <w:rPr>
          <w:rFonts w:cs="Times New Roman"/>
          <w:b/>
          <w:bCs/>
          <w:color w:val="000000" w:themeColor="text1"/>
        </w:rPr>
      </w:pPr>
      <w:r w:rsidRPr="00A87961">
        <w:rPr>
          <w:rFonts w:cs="Times New Roman"/>
          <w:b/>
          <w:bCs/>
          <w:color w:val="000000" w:themeColor="text1"/>
        </w:rPr>
        <w:t>Study Characteristics</w:t>
      </w:r>
    </w:p>
    <w:p w14:paraId="09BF98AA" w14:textId="7077B00E" w:rsidR="0099689B" w:rsidRPr="00A87961" w:rsidRDefault="002C1802" w:rsidP="0099689B">
      <w:pPr>
        <w:spacing w:line="480" w:lineRule="auto"/>
        <w:rPr>
          <w:rFonts w:cs="Times New Roman"/>
        </w:rPr>
      </w:pPr>
      <w:r w:rsidRPr="00A87961">
        <w:rPr>
          <w:rFonts w:cs="Times New Roman"/>
          <w:color w:val="000000" w:themeColor="text1"/>
        </w:rPr>
        <w:t>Of the 19 included studies,</w:t>
      </w:r>
      <w:r w:rsidR="00232A1B" w:rsidRPr="00A87961">
        <w:rPr>
          <w:rFonts w:cs="Times New Roman"/>
          <w:color w:val="000000" w:themeColor="text1"/>
        </w:rPr>
        <w:t xml:space="preserve"> </w:t>
      </w:r>
      <w:r w:rsidR="0099689B" w:rsidRPr="00A87961">
        <w:rPr>
          <w:rFonts w:cs="Times New Roman"/>
        </w:rPr>
        <w:t>13</w:t>
      </w:r>
      <w:r w:rsidRPr="00A87961">
        <w:rPr>
          <w:rFonts w:cs="Times New Roman"/>
        </w:rPr>
        <w:t xml:space="preserve"> studies used rat models of SCI</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","id":"ITEM-3","issue":"1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"},"uris":["http://www.mendeley.com/documents/?uuid=7f87b37c-91ea-4f57-ba57-fbf4e7ecb896"]},{"id":"ITEM-4","itemData":{"DOI":"http://dx.doi.org/10.1682/JRRD.2008.04.0049","ISBN":"0748-7711","abstract":"A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","id":"ITEM-4","issue":"1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"},"uris":["http://www.mendeley.com/documents/?uuid=aa2d859c-617b-414c-ac62-4ac6fcaa8184"]},{"id":"ITEM-5","itemData":{"DOI":"http://dx.doi.org/10.1016/j.neuropharm.2009.12.010","ISBN":"0028-3908","abstract":"Pre-clinical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","id":"ITEM-5","issue":"4-5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"},"uris":["http://www.mendeley.com/documents/?uuid=46f7852c-b3ee-41bf-b5cc-73d869c24a56"]},{"id":"ITEM-6","itemData":{"DOI":"http://dx.doi.org/10.1016/j.brainres.2011.07.031","ISBN":"0006-8993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","id":"ITEM-6","issued":{"date-parts":[["2011"]]},"language":"English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"},"uris":["http://www.mendeley.com/documents/?uuid=f5745367-b54b-4417-ae50-798fa20b8bce"]},{"id":"ITEM-7","itemData":{"DOI":"http://dx.doi.org/10.1002/prp2.34","ISBN":"2052-1707","abstract":"A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","id":"ITEM-7","issue":"2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"},"uris":["http://www.mendeley.com/documents/?uuid=dbbab316-c568-44c0-8b31-111000ebc672"]},{"id":"ITEM-8","itemData":{"DOI":"http://dx.doi.org/10.1016/j.jtcvs.2018.07.045","ISBN":"0022-5223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Surgery","id":"ITEM-8","issue":"2","issued":{"date-parts":[["2019"]]},"language":"English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rats","type":"article-journal","volume":"157"},"uris":["http://www.mendeley.com/documents/?uuid=ec8545b1-3dcf-4122-9f12-a3060d18b471"]},{"id":"ITEM-9","itemData":{"DOI":"http://dx.doi.org/10.1159/000484460","ISBN":"1015-8987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","id":"ITEM-9","issue":"6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"},"uris":["http://www.mendeley.com/documents/?uuid=14e43407-4105-4a2c-a695-85eb5ca04e0f"]},{"id":"ITEM-10","itemData":{"DOI":"http://dx.doi.org/10.1007/s12640-011-9273-8","ISBN":"1029-8428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","id":"ITEM-10","issue":"3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"},"uris":["http://www.mendeley.com/documents/?uuid=68339ff5-82ee-44d5-869e-57be69a68478"]},{"id":"ITEM-11","itemData":{"DOI":"http://dx.doi.org/10.1038/cddis.2014.364","ISBN":"2041-4889","abstract":"Spinal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"},"uris":["http://www.mendeley.com/documents/?uuid=b81a6af9-879e-4a1d-bea2-5ffcec4a3507"]},{"id":"ITEM-12","itemData":{"DOI":"http://dx.doi.org/10.1016/j.brainres.2017.06.020","ISBN":"0006-8993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","id":"ITEM-12","issued":{"date-parts":[["2017"]]},"language":"English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"},"uris":["http://www.mendeley.com/documents/?uuid=a3bf46ea-108b-4e74-affa-39c4f26ae608"]},{"id":"ITEM-13","itemData":{"DOI":"http://dx.doi.org/10.1016/j.jtcvs.2009.07.014","ISBN":"0022-5223","abstract":"Objective: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","id":"ITEM-13","issue":"6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[30–42]","plainTextFormattedCitation":"[30–42]","previouslyFormattedCitation":"[30–42]"},"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C416DA" w:rsidRPr="00C416DA">
        <w:rPr>
          <w:rFonts w:cs="Times New Roman"/>
          <w:noProof/>
          <w:color w:val="000000" w:themeColor="text1"/>
        </w:rPr>
        <w:t>[30–42]</w:t>
      </w:r>
      <w:r w:rsidR="0099689B" w:rsidRPr="00A87961">
        <w:rPr>
          <w:rFonts w:cs="Times New Roman"/>
          <w:color w:val="000000" w:themeColor="text1"/>
          <w:vertAlign w:val="superscript"/>
        </w:rPr>
        <w:fldChar w:fldCharType="end"/>
      </w:r>
      <w:r w:rsidRPr="00A87961">
        <w:rPr>
          <w:rFonts w:cs="Times New Roman"/>
        </w:rPr>
        <w:t xml:space="preserve"> and 6 used mice models </w:t>
      </w:r>
      <w:r w:rsidR="0099689B" w:rsidRPr="00A87961">
        <w:rPr>
          <w:rFonts w:cs="Times New Roman"/>
          <w:vertAlign w:val="superscript"/>
        </w:rPr>
        <w:fldChar w:fldCharType="begin" w:fldLock="1"/>
      </w:r>
      <w:r w:rsidR="00C416DA">
        <w:rPr>
          <w:rFonts w:cs="Times New Roman"/>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"},"uris":["http://www.mendeley.com/documents/?uuid=2cfc6621-414e-4b93-83ad-6e8ba5e71c9d"]},{"id":"ITEM-2","itemData":{"DOI":"http://dx.doi.org/10.1016/j.neulet.2015.04.016","ISBN":"0304-3940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","id":"ITEM-2","issued":{"date-parts":[["2015"]]},"language":"English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"},"uris":["http://www.mendeley.com/documents/?uuid=448c9853-5856-4896-ba0c-60c20ea72a12"]},{"id":"ITEM-3","itemData":{"DOI":"http://dx.doi.org/10.1089/neu.2016.4808","ISBN":"0897-7151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","id":"ITEM-3","issue":"18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"},"uris":["http://www.mendeley.com/documents/?uuid=67ecec48-13bc-450c-bb2e-d13a34b122b3"]},{"id":"ITEM-4","itemData":{"DOI":"http://dx.doi.org/10.1016/j.cellimm.2018.02.016","ISBN":"0008-8749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","id":"ITEM-4","issued":{"date-parts":[["2018"]]},"language":"English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"},"uris":["http://www.mendeley.com/documents/?uuid=8076948f-95f3-4063-8ed6-058483424885"]},{"id":"ITEM-5","itemData":{"DOI":"http://dx.doi.org/10.1186/1742-2094-10-20","ISBN":"1742-2094","abstract":"Background: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","id":"ITEM-5","issued":{"date-parts":[["2013"]]},"language":"English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pag"},"uris":["http://www.mendeley.com/documents/?uuid=d7100582-c9fe-4a32-b8a8-a7a32dac973f"]},{"id":"ITEM-6","itemData":{"DOI":"10.1186/1742-2094-10-91","ISSN":"17422094","abstract":"Background: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Neuroinflammation","id":"ITEM-6","issued":{"date-parts":[["2013"]]},"page":"1-11","title":"A new co-ultramicronized composite including palmitoylethanolamide and luteolin to prevent neuroinflammation in spinal cord injury","type":"article-journal","volume":"10"},"uris":["http://www.mendeley.com/documents/?uuid=83caf321-577d-4e8f-890f-e4eb0b745118"]}],"mendeley":{"formattedCitation":"[43–48]","plainTextFormattedCitation":"[43–48]","previouslyFormattedCitation":"[43–48]"},"properties":{"noteIndex":0},"schema":"https://github.com/citation-style-language/schema/raw/master/csl-citation.json"}</w:instrText>
      </w:r>
      <w:r w:rsidR="0099689B" w:rsidRPr="00A87961">
        <w:rPr>
          <w:rFonts w:cs="Times New Roman"/>
          <w:vertAlign w:val="superscript"/>
        </w:rPr>
        <w:fldChar w:fldCharType="separate"/>
      </w:r>
      <w:r w:rsidR="009B5F4E" w:rsidRPr="009B5F4E">
        <w:rPr>
          <w:rFonts w:cs="Times New Roman"/>
          <w:noProof/>
        </w:rPr>
        <w:t>[43–48]</w:t>
      </w:r>
      <w:r w:rsidR="0099689B" w:rsidRPr="00A87961">
        <w:rPr>
          <w:rFonts w:cs="Times New Roman"/>
          <w:vertAlign w:val="superscript"/>
        </w:rPr>
        <w:fldChar w:fldCharType="end"/>
      </w:r>
      <w:r w:rsidRPr="00A87961">
        <w:rPr>
          <w:rFonts w:cs="Times New Roman"/>
        </w:rPr>
        <w:t xml:space="preserve">. </w:t>
      </w:r>
      <w:r w:rsidR="0099689B" w:rsidRPr="00A87961">
        <w:rPr>
          <w:rFonts w:cs="Times New Roman"/>
        </w:rPr>
        <w:t xml:space="preserve">Sprague Dawley rats were </w:t>
      </w:r>
      <w:r w:rsidRPr="00A87961">
        <w:rPr>
          <w:rFonts w:cs="Times New Roman"/>
        </w:rPr>
        <w:t>used in</w:t>
      </w:r>
      <w:r w:rsidR="0099689B" w:rsidRPr="00A87961">
        <w:rPr>
          <w:rFonts w:cs="Times New Roman"/>
        </w:rPr>
        <w:t xml:space="preserve"> 10 studies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","id":"ITEM-4","issue":"4-5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"},"uris":["http://www.mendeley.com/documents/?uuid=46f7852c-b3ee-41bf-b5cc-73d869c24a56"]},{"id":"ITEM-5","itemData":{"DOI":"http://dx.doi.org/10.1016/j.brainres.2011.07.031","ISBN":"0006-8993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","id":"ITEM-5","issued":{"date-parts":[["2011"]]},"language":"English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"},"uris":["http://www.mendeley.com/documents/?uuid=f5745367-b54b-4417-ae50-798fa20b8bce"]},{"id":"ITEM-6","itemData":{"DOI":"http://dx.doi.org/10.1002/prp2.34","ISBN":"2052-1707","abstract":"A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","id":"ITEM-6","issue":"2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"},"uris":["http://www.mendeley.com/documents/?uuid=dbbab316-c568-44c0-8b31-111000ebc672"]},{"id":"ITEM-7","itemData":{"DOI":"http://dx.doi.org/10.1016/j.jtcvs.2018.07.045","ISBN":"0022-5223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Surgery","id":"ITEM-7","issue":"2","issued":{"date-parts":[["2019"]]},"language":"English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rats","type":"article-journal","volume":"157"},"uris":["http://www.mendeley.com/documents/?uuid=ec8545b1-3dcf-4122-9f12-a3060d18b471"]},{"id":"ITEM-8","itemData":{"DOI":"http://dx.doi.org/10.1159/000484460","ISBN":"1015-8987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","id":"ITEM-8","issue":"6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"},"uris":["http://www.mendeley.com/documents/?uuid=14e43407-4105-4a2c-a695-85eb5ca04e0f"]},{"id":"ITEM-9","itemData":{"DOI":"http://dx.doi.org/10.1016/j.brainres.2017.06.020","ISBN":"0006-8993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","id":"ITEM-9","issued":{"date-parts":[["2017"]]},"language":"English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"},"uris":["http://www.mendeley.com/documents/?uuid=a3bf46ea-108b-4e74-affa-39c4f26ae608"]},{"id":"ITEM-10","itemData":{"DOI":"http://dx.doi.org/10.1016/j.jtcvs.2009.07.014","ISBN":"0022-5223","abstract":"Objective: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","id":"ITEM-10","issue":"6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[30,33–41]","plainTextFormattedCitation":"[30,33–41]","previouslyFormattedCitation":"[30,33–41]"},"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C416DA" w:rsidRPr="00C416DA">
        <w:rPr>
          <w:rFonts w:cs="Times New Roman"/>
          <w:noProof/>
          <w:color w:val="000000" w:themeColor="text1"/>
        </w:rPr>
        <w:t>[30,33–41]</w:t>
      </w:r>
      <w:r w:rsidR="0099689B" w:rsidRPr="00A87961">
        <w:rPr>
          <w:rFonts w:cs="Times New Roman"/>
          <w:color w:val="000000" w:themeColor="text1"/>
          <w:vertAlign w:val="superscript"/>
        </w:rPr>
        <w:fldChar w:fldCharType="end"/>
      </w:r>
      <w:r w:rsidR="0099689B" w:rsidRPr="00A87961">
        <w:rPr>
          <w:rFonts w:cs="Times New Roman"/>
          <w:color w:val="000000" w:themeColor="text1"/>
          <w:vertAlign w:val="superscript"/>
        </w:rPr>
        <w:t xml:space="preserve"> </w:t>
      </w:r>
      <w:r w:rsidR="0099689B" w:rsidRPr="00A87961">
        <w:rPr>
          <w:rFonts w:cs="Times New Roman"/>
        </w:rPr>
        <w:t xml:space="preserve">and Wistar rats </w:t>
      </w:r>
      <w:r w:rsidRPr="00A87961">
        <w:rPr>
          <w:rFonts w:cs="Times New Roman"/>
        </w:rPr>
        <w:t>in</w:t>
      </w:r>
      <w:r w:rsidR="0099689B" w:rsidRPr="00A87961">
        <w:rPr>
          <w:rFonts w:cs="Times New Roman"/>
        </w:rPr>
        <w:t xml:space="preserve"> 3 studies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","id":"ITEM-2","issue":"3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"},"uris":["http://www.mendeley.com/documents/?uuid=68339ff5-82ee-44d5-869e-57be69a68478"]},{"id":"ITEM-3","itemData":{"DOI":"http://dx.doi.org/10.1038/cddis.2014.364","ISBN":"2041-4889","abstract":"Spinal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","id":"ITEM-3","issue":"9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[31,32,42]","plainTextFormattedCitation":"[31,32,42]","previouslyFormattedCitation":"[31,32,42]"},"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C416DA" w:rsidRPr="00C416DA">
        <w:rPr>
          <w:rFonts w:cs="Times New Roman"/>
          <w:noProof/>
          <w:color w:val="000000" w:themeColor="text1"/>
        </w:rPr>
        <w:t>[31,32,42]</w:t>
      </w:r>
      <w:r w:rsidR="0099689B" w:rsidRPr="00A87961">
        <w:rPr>
          <w:rFonts w:cs="Times New Roman"/>
          <w:color w:val="000000" w:themeColor="text1"/>
          <w:vertAlign w:val="superscript"/>
        </w:rPr>
        <w:fldChar w:fldCharType="end"/>
      </w:r>
      <w:r w:rsidR="0099689B" w:rsidRPr="00A87961">
        <w:rPr>
          <w:rFonts w:cs="Times New Roman"/>
        </w:rPr>
        <w:t xml:space="preserve">. With regards to strains of mice, CD1 mice were used </w:t>
      </w:r>
      <w:r w:rsidRPr="00A87961">
        <w:rPr>
          <w:rFonts w:cs="Times New Roman"/>
        </w:rPr>
        <w:t>by</w:t>
      </w:r>
      <w:r w:rsidR="0099689B" w:rsidRPr="00A87961">
        <w:rPr>
          <w:rFonts w:cs="Times New Roman"/>
        </w:rPr>
        <w:t xml:space="preserve"> 3 studies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Neuroinflammation","id":"ITEM-1","issued":{"date-parts":[["2013"]]},"page":"1-11","title":"A new co-ultramicronized composite including palmitoylethanolamide and luteolin to prevent neuroinflammation in spinal cord injury","type":"article-journal","volume":"10"},"uris":["http://www.mendeley.com/documents/?uuid=83caf321-577d-4e8f-890f-e4eb0b745118"]},{"id":"ITEM-2","itemData":{"DOI":"http://dx.doi.org/10.1089/neu.2016.4808","ISBN":"0897-7151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","id":"ITEM-2","issue":"18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"},"uris":["http://www.mendeley.com/documents/?uuid=67ecec48-13bc-450c-bb2e-d13a34b122b3"]},{"id":"ITEM-3","itemData":{"DOI":"http://dx.doi.org/10.1124/jpet.108.136903","ISBN":"0022-3565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","id":"ITEM-3","issue":"1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[43,45,48]","plainTextFormattedCitation":"[43,45,48]","previouslyFormattedCitation":"[43,45,48]"},"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9B5F4E" w:rsidRPr="009B5F4E">
        <w:rPr>
          <w:rFonts w:cs="Times New Roman"/>
          <w:noProof/>
          <w:color w:val="000000" w:themeColor="text1"/>
        </w:rPr>
        <w:t>[43,45,48]</w:t>
      </w:r>
      <w:r w:rsidR="0099689B" w:rsidRPr="00A87961">
        <w:rPr>
          <w:rFonts w:cs="Times New Roman"/>
          <w:color w:val="000000" w:themeColor="text1"/>
          <w:vertAlign w:val="superscript"/>
        </w:rPr>
        <w:fldChar w:fldCharType="end"/>
      </w:r>
      <w:r w:rsidR="0099689B" w:rsidRPr="00A87961">
        <w:rPr>
          <w:rFonts w:cs="Times New Roman"/>
        </w:rPr>
        <w:t xml:space="preserve"> while CB57BL/6J</w:t>
      </w:r>
      <w:r w:rsidR="0099689B"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0099689B" w:rsidRPr="00A87961">
        <w:rPr>
          <w:rFonts w:cs="Times New Roman"/>
          <w:vertAlign w:val="superscript"/>
        </w:rPr>
        <w:fldChar w:fldCharType="separate"/>
      </w:r>
      <w:r w:rsidR="009B5F4E" w:rsidRPr="009B5F4E">
        <w:rPr>
          <w:rFonts w:cs="Times New Roman"/>
          <w:noProof/>
        </w:rPr>
        <w:t>[44]</w:t>
      </w:r>
      <w:r w:rsidR="0099689B" w:rsidRPr="00A87961">
        <w:rPr>
          <w:rFonts w:cs="Times New Roman"/>
        </w:rPr>
        <w:fldChar w:fldCharType="end"/>
      </w:r>
      <w:r w:rsidR="0099689B" w:rsidRPr="00A87961">
        <w:rPr>
          <w:rFonts w:cs="Times New Roman"/>
        </w:rPr>
        <w:t>, CB57BL/6</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0099689B" w:rsidRPr="00A87961">
        <w:rPr>
          <w:rFonts w:cs="Times New Roman"/>
          <w:color w:val="000000" w:themeColor="text1"/>
          <w:vertAlign w:val="superscript"/>
        </w:rPr>
        <w:fldChar w:fldCharType="end"/>
      </w:r>
      <w:r w:rsidR="0099689B" w:rsidRPr="00A87961">
        <w:rPr>
          <w:rFonts w:cs="Times New Roman"/>
          <w:color w:val="000000" w:themeColor="text1"/>
          <w:vertAlign w:val="superscript"/>
        </w:rPr>
        <w:t xml:space="preserve"> </w:t>
      </w:r>
      <w:r w:rsidR="0099689B" w:rsidRPr="00A87961">
        <w:rPr>
          <w:rFonts w:cs="Times New Roman"/>
        </w:rPr>
        <w:t>and PPAR-</w:t>
      </w:r>
      <m:oMath>
        <m:r>
          <w:rPr>
            <w:rFonts w:ascii="Cambria Math" w:hAnsi="Cambria Math" w:cs="Times New Roman"/>
          </w:rPr>
          <m:t>α</m:t>
        </m:r>
      </m:oMath>
      <w:r w:rsidR="0099689B" w:rsidRPr="00A87961">
        <w:rPr>
          <w:rFonts w:cs="Times New Roman"/>
        </w:rPr>
        <w:t>KO mice with litter-mate wildtype controls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0099689B" w:rsidRPr="00A87961">
        <w:rPr>
          <w:rFonts w:cs="Times New Roman"/>
          <w:color w:val="000000" w:themeColor="text1"/>
          <w:vertAlign w:val="superscript"/>
        </w:rPr>
        <w:fldChar w:fldCharType="end"/>
      </w:r>
      <w:r w:rsidR="0099689B" w:rsidRPr="00A87961">
        <w:rPr>
          <w:rFonts w:cs="Times New Roman"/>
        </w:rPr>
        <w:t xml:space="preserve"> were each used in 1 study. Male animals were used in 16 studies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","id":"ITEM-3","issue":"1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"},"uris":["http://www.mendeley.com/documents/?uuid=2cfc6621-414e-4b93-83ad-6e8ba5e71c9d"]},{"id":"ITEM-4","itemData":{"DOI":"http://dx.doi.org/10.1016/j.expneurol.2006.09.002","ISBN":"0014-4886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","id":"ITEM-4","issue":"1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"},"uris":["http://www.mendeley.com/documents/?uuid=7f87b37c-91ea-4f57-ba57-fbf4e7ecb896"]},{"id":"ITEM-5","itemData":{"DOI":"http://dx.doi.org/10.1682/JRRD.2008.04.0049","ISBN":"0748-7711","abstract":"A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","id":"ITEM-5","issue":"1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"},"uris":["http://www.mendeley.com/documents/?uuid=aa2d859c-617b-414c-ac62-4ac6fcaa8184"]},{"id":"ITEM-6","itemData":{"DOI":"http://dx.doi.org/10.1016/j.neuropharm.2009.12.010","ISBN":"0028-3908","abstract":"Pre-clinical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","id":"ITEM-6","issue":"4-5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"},"uris":["http://www.mendeley.com/documents/?uuid=46f7852c-b3ee-41bf-b5cc-73d869c24a56"]},{"id":"ITEM-7","itemData":{"DOI":"http://dx.doi.org/10.1016/j.brainres.2011.07.031","ISBN":"0006-8993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","id":"ITEM-7","issued":{"date-parts":[["2011"]]},"language":"English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"},"uris":["http://www.mendeley.com/documents/?uuid=f5745367-b54b-4417-ae50-798fa20b8bce"]},{"id":"ITEM-8","itemData":{"DOI":"http://dx.doi.org/10.1002/prp2.34","ISBN":"2052-1707","abstract":"A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","id":"ITEM-8","issue":"2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"},"uris":["http://www.mendeley.com/documents/?uuid=dbbab316-c568-44c0-8b31-111000ebc672"]},{"id":"ITEM-9","itemData":{"DOI":"http://dx.doi.org/10.1016/j.neulet.2015.04.016","ISBN":"0304-3940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","id":"ITEM-9","issued":{"date-parts":[["2015"]]},"language":"English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"},"uris":["http://www.mendeley.com/documents/?uuid=448c9853-5856-4896-ba0c-60c20ea72a12"]},{"id":"ITEM-10","itemData":{"DOI":"http://dx.doi.org/10.1016/j.jtcvs.2018.07.045","ISBN":"0022-5223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Surgery","id":"ITEM-10","issue":"2","issued":{"date-parts":[["2019"]]},"language":"English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rats","type":"article-journal","volume":"157"},"uris":["http://www.mendeley.com/documents/?uuid=ec8545b1-3dcf-4122-9f12-a3060d18b471"]},{"id":"ITEM-11","itemData":{"DOI":"http://dx.doi.org/10.1089/neu.2016.4808","ISBN":"0897-7151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","id":"ITEM-11","issue":"18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"},"uris":["http://www.mendeley.com/documents/?uuid=67ecec48-13bc-450c-bb2e-d13a34b122b3"]},{"id":"ITEM-12","itemData":{"DOI":"http://dx.doi.org/10.1159/000484460","ISBN":"1015-8987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","id":"ITEM-12","issue":"6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"},"uris":["http://www.mendeley.com/documents/?uuid=14e43407-4105-4a2c-a695-85eb5ca04e0f"]},{"id":"ITEM-13","itemData":{"DOI":"http://dx.doi.org/10.1007/s12640-011-9273-8","ISBN":"1029-8428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","id":"ITEM-13","issue":"3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"},"uris":["http://www.mendeley.com/documents/?uuid=68339ff5-82ee-44d5-869e-57be69a68478"]},{"id":"ITEM-14","itemData":{"DOI":"http://dx.doi.org/10.1038/cddis.2014.364","ISBN":"2041-4889","abstract":"Spinal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","id":"ITEM-14","issue":"9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"},"uris":["http://www.mendeley.com/documents/?uuid=b81a6af9-879e-4a1d-bea2-5ffcec4a3507"]},{"id":"ITEM-15","itemData":{"DOI":"http://dx.doi.org/10.1016/j.brainres.2017.06.020","ISBN":"0006-8993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","id":"ITEM-15","issued":{"date-parts":[["2017"]]},"language":"English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"},"uris":["http://www.mendeley.com/documents/?uuid=a3bf46ea-108b-4e74-affa-39c4f26ae608"]},{"id":"ITEM-16","itemData":{"DOI":"http://dx.doi.org/10.1016/j.jtcvs.2009.07.014","ISBN":"0022-5223","abstract":"Objective: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","id":"ITEM-16","issue":"6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[30–45]","plainTextFormattedCitation":"[30–45]","previouslyFormattedCitation":"[30–45]"},"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C416DA" w:rsidRPr="00C416DA">
        <w:rPr>
          <w:rFonts w:cs="Times New Roman"/>
          <w:noProof/>
          <w:color w:val="000000" w:themeColor="text1"/>
        </w:rPr>
        <w:t>[30–45]</w:t>
      </w:r>
      <w:r w:rsidR="0099689B" w:rsidRPr="00A87961">
        <w:rPr>
          <w:rFonts w:cs="Times New Roman"/>
          <w:color w:val="000000" w:themeColor="text1"/>
          <w:vertAlign w:val="superscript"/>
        </w:rPr>
        <w:fldChar w:fldCharType="end"/>
      </w:r>
      <w:r w:rsidR="0099689B" w:rsidRPr="00A87961">
        <w:rPr>
          <w:rFonts w:cs="Times New Roman"/>
        </w:rPr>
        <w:t xml:space="preserve"> whilst female animals were used in 1</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0099689B" w:rsidRPr="00A87961">
        <w:rPr>
          <w:rFonts w:cs="Times New Roman"/>
          <w:color w:val="000000" w:themeColor="text1"/>
          <w:vertAlign w:val="superscript"/>
        </w:rPr>
        <w:fldChar w:fldCharType="end"/>
      </w:r>
      <w:r w:rsidR="0099689B" w:rsidRPr="00A87961">
        <w:rPr>
          <w:rFonts w:cs="Times New Roman"/>
        </w:rPr>
        <w:t>. 2 studies did not specify the sex of the animals used</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pag"},"uris":["http://www.mendeley.com/documents/?uuid=d7100582-c9fe-4a32-b8a8-a7a32dac973f"]},{"id":"ITEM-2","itemData":{"DOI":"10.1186/1742-2094-10-91","ISSN":"17422094","abstract":"Background: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Neuroinflammation","id":"ITEM-2","issued":{"date-parts":[["2013"]]},"page":"1-11","title":"A new co-ultramicronized composite including palmitoylethanolamide and luteolin to prevent neuroinflammation in spinal cord injury","type":"article-journal","volume":"10"},"uris":["http://www.mendeley.com/documents/?uuid=83caf321-577d-4e8f-890f-e4eb0b745118"]}],"mendeley":{"formattedCitation":"[47,48]","plainTextFormattedCitation":"[47,48]","previouslyFormattedCitation":"[47,48]"},"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9B5F4E" w:rsidRPr="009B5F4E">
        <w:rPr>
          <w:rFonts w:cs="Times New Roman"/>
          <w:noProof/>
          <w:color w:val="000000" w:themeColor="text1"/>
        </w:rPr>
        <w:t>[47,48]</w:t>
      </w:r>
      <w:r w:rsidR="0099689B" w:rsidRPr="00A87961">
        <w:rPr>
          <w:rFonts w:cs="Times New Roman"/>
          <w:color w:val="000000" w:themeColor="text1"/>
          <w:vertAlign w:val="superscript"/>
        </w:rPr>
        <w:fldChar w:fldCharType="end"/>
      </w:r>
      <w:r w:rsidR="0099689B" w:rsidRPr="00A87961">
        <w:rPr>
          <w:rFonts w:cs="Times New Roman"/>
        </w:rPr>
        <w:t>.</w:t>
      </w:r>
      <w:r w:rsidRPr="00A87961">
        <w:rPr>
          <w:rFonts w:cs="Times New Roman"/>
        </w:rPr>
        <w:t xml:space="preserve"> The a</w:t>
      </w:r>
      <w:r w:rsidR="0099689B" w:rsidRPr="00A87961">
        <w:rPr>
          <w:rFonts w:cs="Times New Roman"/>
        </w:rPr>
        <w:t>ge of mice and rats were not specified in 11 studies</w:t>
      </w:r>
      <w:r w:rsidR="0099689B"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"},"uris":["http://www.mendeley.com/documents/?uuid=7f87b37c-91ea-4f57-ba57-fbf4e7ecb896"]},{"id":"ITEM-2","itemData":{"DOI":"http://dx.doi.org/10.1682/JRRD.2008.04.0049","ISBN":"0748-7711","abstract":"A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","id":"ITEM-2","issue":"1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"},"uris":["http://www.mendeley.com/documents/?uuid=aa2d859c-617b-414c-ac62-4ac6fcaa8184"]},{"id":"ITEM-3","itemData":{"DOI":"http://dx.doi.org/10.1016/j.neuropharm.2009.12.010","ISBN":"0028-3908","abstract":"Pre-clinical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","id":"ITEM-3","issue":"4-5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"},"uris":["http://www.mendeley.com/documents/?uuid=46f7852c-b3ee-41bf-b5cc-73d869c24a56"]},{"id":"ITEM-4","itemData":{"DOI":"http://dx.doi.org/10.1016/j.brainres.2011.07.031","ISBN":"0006-8993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","id":"ITEM-4","issued":{"date-parts":[["2011"]]},"language":"English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"},"uris":["http://www.mendeley.com/documents/?uuid=f5745367-b54b-4417-ae50-798fa20b8bce"]},{"id":"ITEM-5","itemData":{"DOI":"http://dx.doi.org/10.1002/prp2.34","ISBN":"2052-1707","abstract":"A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","id":"ITEM-5","issue":"2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"},"uris":["http://www.mendeley.com/documents/?uuid=dbbab316-c568-44c0-8b31-111000ebc672"]},{"id":"ITEM-6","itemData":{"DOI":"http://dx.doi.org/10.1016/j.jtcvs.2018.07.045","ISBN":"0022-5223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Surgery","id":"ITEM-6","issue":"2","issued":{"date-parts":[["2019"]]},"language":"English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rats","type":"article-journal","volume":"157"},"uris":["http://www.mendeley.com/documents/?uuid=ec8545b1-3dcf-4122-9f12-a3060d18b471"]},{"id":"ITEM-7","itemData":{"DOI":"http://dx.doi.org/10.1159/000484460","ISBN":"1015-8987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","id":"ITEM-7","issue":"6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"},"uris":["http://www.mendeley.com/documents/?uuid=14e43407-4105-4a2c-a695-85eb5ca04e0f"]},{"id":"ITEM-8","itemData":{"DOI":"http://dx.doi.org/10.1007/s12640-011-9273-8","ISBN":"1029-8428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","id":"ITEM-8","issue":"3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"},"uris":["http://www.mendeley.com/documents/?uuid=68339ff5-82ee-44d5-869e-57be69a68478"]},{"id":"ITEM-9","itemData":{"DOI":"http://dx.doi.org/10.1016/j.jtcvs.2009.07.014","ISBN":"0022-5223","abstract":"Objective: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","id":"ITEM-9","issue":"6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"},"uris":["http://www.mendeley.com/documents/?uuid=a16ababa-2e03-429e-972f-bbdb2d92f2cb"]},{"id":"ITEM-10","itemData":{"DOI":"http://dx.doi.org/10.1016/j.cellimm.2018.02.016","ISBN":"0008-8749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","id":"ITEM-10","issued":{"date-parts":[["2018"]]},"language":"English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"},"uris":["http://www.mendeley.com/documents/?uuid=8076948f-95f3-4063-8ed6-058483424885"]},{"id":"ITEM-11","itemData":{"DOI":"10.1186/1742-2094-10-91","ISSN":"17422094","abstract":"Background: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Neuroinflammation","id":"ITEM-11","issued":{"date-parts":[["2013"]]},"page":"1-11","title":"A new co-ultramicronized composite including palmitoylethanolamide and luteolin to prevent neuroinflammation in spinal cord injury","type":"article-journal","volume":"10"},"uris":["http://www.mendeley.com/documents/?uuid=83caf321-577d-4e8f-890f-e4eb0b745118"]}],"mendeley":{"formattedCitation":"[34–42,46,48]","plainTextFormattedCitation":"[34–42,46,48]","previouslyFormattedCitation":"[34–42,46,48]"},"properties":{"noteIndex":0},"schema":"https://github.com/citation-style-language/schema/raw/master/csl-citation.json"}</w:instrText>
      </w:r>
      <w:r w:rsidR="0099689B" w:rsidRPr="00A87961">
        <w:rPr>
          <w:rFonts w:cs="Times New Roman"/>
          <w:color w:val="000000" w:themeColor="text1"/>
          <w:vertAlign w:val="superscript"/>
        </w:rPr>
        <w:fldChar w:fldCharType="separate"/>
      </w:r>
      <w:r w:rsidR="00C416DA" w:rsidRPr="00C416DA">
        <w:rPr>
          <w:rFonts w:cs="Times New Roman"/>
          <w:noProof/>
          <w:color w:val="000000" w:themeColor="text1"/>
        </w:rPr>
        <w:t>[34–42,46,48]</w:t>
      </w:r>
      <w:r w:rsidR="0099689B" w:rsidRPr="00A87961">
        <w:rPr>
          <w:rFonts w:cs="Times New Roman"/>
          <w:color w:val="000000" w:themeColor="text1"/>
          <w:vertAlign w:val="superscript"/>
        </w:rPr>
        <w:fldChar w:fldCharType="end"/>
      </w:r>
      <w:r w:rsidR="0099689B" w:rsidRPr="00A87961">
        <w:rPr>
          <w:rFonts w:cs="Times New Roman"/>
        </w:rPr>
        <w:t xml:space="preserve">. </w:t>
      </w:r>
      <w:r w:rsidR="00116433" w:rsidRPr="00A87961">
        <w:rPr>
          <w:rFonts w:cs="Times New Roman"/>
        </w:rPr>
        <w:t xml:space="preserve">Of the 8 studies which commented on animal age, </w:t>
      </w:r>
      <w:r w:rsidR="00E255D1" w:rsidRPr="00A87961">
        <w:rPr>
          <w:rFonts w:cs="Times New Roman"/>
        </w:rPr>
        <w:t>4 studies explicitly specified the age of the animals used</w:t>
      </w:r>
      <w:r w:rsidR="00C416DA">
        <w:rPr>
          <w:rFonts w:cs="Times New Roman"/>
          <w:vertAlign w:val="superscript"/>
        </w:rPr>
        <w:fldChar w:fldCharType="begin" w:fldLock="1"/>
      </w:r>
      <w:r w:rsidR="00C416DA">
        <w:rPr>
          <w:rFonts w:cs="Times New Roman"/>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","id":"ITEM-3","issued":{"date-parts":[["2017"]]},"language":"English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"},"uris":["http://www.mendeley.com/documents/?uuid=a3bf46ea-108b-4e74-affa-39c4f26ae608"]},{"id":"ITEM-4","itemData":{"DOI":"http://dx.doi.org/10.1186/1742-2094-10-20","ISBN":"1742-2094","abstract":"Background: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","id":"ITEM-4","issued":{"date-parts":[["2013"]]},"language":"English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[31,33,44,47]","plainTextFormattedCitation":"[31,33,44,47]"},"properties":{"noteIndex":0},"schema":"https://github.com/citation-style-language/schema/raw/master/csl-citation.json"}</w:instrText>
      </w:r>
      <w:r w:rsidR="00C416DA">
        <w:rPr>
          <w:rFonts w:cs="Times New Roman"/>
          <w:vertAlign w:val="superscript"/>
        </w:rPr>
        <w:fldChar w:fldCharType="separate"/>
      </w:r>
      <w:r w:rsidR="00C416DA" w:rsidRPr="00C416DA">
        <w:rPr>
          <w:rFonts w:cs="Times New Roman"/>
          <w:noProof/>
        </w:rPr>
        <w:t>[31,33,44,47]</w:t>
      </w:r>
      <w:r w:rsidR="00C416DA">
        <w:rPr>
          <w:rFonts w:cs="Times New Roman"/>
          <w:vertAlign w:val="superscript"/>
        </w:rPr>
        <w:fldChar w:fldCharType="end"/>
      </w:r>
      <w:r w:rsidR="00C416DA">
        <w:rPr>
          <w:rFonts w:cs="Times New Roman"/>
        </w:rPr>
        <w:t xml:space="preserve"> </w:t>
      </w:r>
      <w:r w:rsidR="00116433" w:rsidRPr="00A87961">
        <w:rPr>
          <w:rFonts w:cs="Times New Roman"/>
        </w:rPr>
        <w:t>and 4 studies stated adult animals were used</w:t>
      </w:r>
      <w:r w:rsidR="00116433"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","id":"ITEM-2","issue":"1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"},"uris":["http://www.mendeley.com/documents/?uuid=2cfc6621-414e-4b93-83ad-6e8ba5e71c9d"]},{"id":"ITEM-3","itemData":{"DOI":"http://dx.doi.org/10.1089/neu.2016.4808","ISBN":"0897-7151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","id":"ITEM-3","issue":"18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"},"uris":["http://www.mendeley.com/documents/?uuid=67ecec48-13bc-450c-bb2e-d13a34b122b3"]},{"id":"ITEM-4","itemData":{"DOI":"http://dx.doi.org/10.1038/cddis.2014.364","ISBN":"2041-4889","abstract":"Spinal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","id":"ITEM-4","issue":"9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[30,32,43,45]","plainTextFormattedCitation":"[30,32,43,45]","previouslyFormattedCitation":"[30,32,43,45]"},"properties":{"noteIndex":0},"schema":"https://github.com/citation-style-language/schema/raw/master/csl-citation.json"}</w:instrText>
      </w:r>
      <w:r w:rsidR="00116433" w:rsidRPr="00A87961">
        <w:rPr>
          <w:rFonts w:cs="Times New Roman"/>
          <w:color w:val="000000" w:themeColor="text1"/>
          <w:vertAlign w:val="superscript"/>
        </w:rPr>
        <w:fldChar w:fldCharType="separate"/>
      </w:r>
      <w:r w:rsidR="00C416DA" w:rsidRPr="00C416DA">
        <w:rPr>
          <w:rFonts w:cs="Times New Roman"/>
          <w:noProof/>
          <w:color w:val="000000" w:themeColor="text1"/>
        </w:rPr>
        <w:t>[30,32,43,45]</w:t>
      </w:r>
      <w:r w:rsidR="00116433" w:rsidRPr="00A87961">
        <w:rPr>
          <w:rFonts w:cs="Times New Roman"/>
          <w:color w:val="000000" w:themeColor="text1"/>
          <w:vertAlign w:val="superscript"/>
        </w:rPr>
        <w:fldChar w:fldCharType="end"/>
      </w:r>
      <w:r w:rsidR="00116433" w:rsidRPr="00A87961">
        <w:rPr>
          <w:rFonts w:cs="Times New Roman"/>
        </w:rPr>
        <w:t xml:space="preserve">. </w:t>
      </w:r>
      <w:r w:rsidRPr="00A87961">
        <w:rPr>
          <w:rFonts w:cs="Times New Roman"/>
        </w:rPr>
        <w:t xml:space="preserve"> </w:t>
      </w:r>
    </w:p>
    <w:p w14:paraId="2454A14C" w14:textId="2E762051" w:rsidR="008440C8" w:rsidRPr="00A87961" w:rsidRDefault="008440C8" w:rsidP="0011737C">
      <w:pPr>
        <w:spacing w:line="480" w:lineRule="auto"/>
        <w:rPr>
          <w:rFonts w:cs="Times New Roman"/>
        </w:rPr>
      </w:pPr>
    </w:p>
    <w:p w14:paraId="58AF8888" w14:textId="16975B77" w:rsidR="002C1802" w:rsidRPr="00A87961" w:rsidRDefault="008440C8" w:rsidP="0011737C">
      <w:pPr>
        <w:spacing w:line="480" w:lineRule="auto"/>
        <w:rPr>
          <w:rFonts w:cs="Times New Roman"/>
        </w:rPr>
      </w:pPr>
      <w:r w:rsidRPr="00A87961">
        <w:rPr>
          <w:rFonts w:cs="Times New Roman"/>
          <w:color w:val="000000" w:themeColor="text1"/>
        </w:rPr>
        <w:t xml:space="preserve">The different injury models used are </w:t>
      </w:r>
      <w:r w:rsidR="002465B9" w:rsidRPr="00A87961">
        <w:rPr>
          <w:rFonts w:cs="Times New Roman"/>
          <w:color w:val="000000" w:themeColor="text1"/>
        </w:rPr>
        <w:t>summarised</w:t>
      </w:r>
      <w:r w:rsidRPr="00A87961">
        <w:rPr>
          <w:rFonts w:cs="Times New Roman"/>
          <w:color w:val="000000" w:themeColor="text1"/>
        </w:rPr>
        <w:t xml:space="preserve"> in Figure </w:t>
      </w:r>
      <w:r w:rsidR="00B00BC0">
        <w:rPr>
          <w:rFonts w:cs="Times New Roman"/>
          <w:color w:val="000000" w:themeColor="text1"/>
        </w:rPr>
        <w:t>2</w:t>
      </w:r>
      <w:r w:rsidRPr="00A87961">
        <w:rPr>
          <w:rFonts w:cs="Times New Roman"/>
          <w:color w:val="000000" w:themeColor="text1"/>
        </w:rPr>
        <w:t xml:space="preserve"> and Table </w:t>
      </w:r>
      <w:r w:rsidR="00B00BC0">
        <w:rPr>
          <w:rFonts w:cs="Times New Roman"/>
          <w:color w:val="000000" w:themeColor="text1"/>
        </w:rPr>
        <w:t>1</w:t>
      </w:r>
      <w:r w:rsidRPr="00A87961">
        <w:rPr>
          <w:rFonts w:cs="Times New Roman"/>
          <w:color w:val="000000" w:themeColor="text1"/>
        </w:rPr>
        <w:t>. Compression models, involving microvascular clips (n=9)</w:t>
      </w:r>
      <w:r w:rsidRPr="00A87961">
        <w:rPr>
          <w:rFonts w:cs="Times New Roman"/>
          <w:noProof/>
          <w:color w:val="000000" w:themeColor="text1"/>
          <w:vertAlign w:val="superscript"/>
        </w:rPr>
        <w:fldChar w:fldCharType="begin" w:fldLock="1"/>
      </w:r>
      <w:r w:rsidR="00C416DA">
        <w:rPr>
          <w:rFonts w:cs="Times New Roman"/>
          <w:noProof/>
          <w:color w:val="000000" w:themeColor="text1"/>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","id":"ITEM-4","issue":"4-5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"},"uris":["http://www.mendeley.com/documents/?uuid=46f7852c-b3ee-41bf-b5cc-73d869c24a56"]},{"id":"ITEM-5","itemData":{"DOI":"http://dx.doi.org/10.1016/j.brainres.2011.07.031","ISBN":"0006-8993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","id":"ITEM-5","issued":{"date-parts":[["2011"]]},"language":"English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"},"uris":["http://www.mendeley.com/documents/?uuid=f5745367-b54b-4417-ae50-798fa20b8bce"]},{"id":"ITEM-6","itemData":{"DOI":"http://dx.doi.org/10.1002/prp2.34","ISBN":"2052-1707","abstract":"A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","id":"ITEM-6","issue":"2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"},"uris":["http://www.mendeley.com/documents/?uuid=dbbab316-c568-44c0-8b31-111000ebc672"]},{"id":"ITEM-7","itemData":{"DOI":"http://dx.doi.org/10.1089/neu.2016.4808","ISBN":"0897-7151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","id":"ITEM-7","issue":"18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"},"uris":["http://www.mendeley.com/documents/?uuid=67ecec48-13bc-450c-bb2e-d13a34b122b3"]},{"id":"ITEM-8","itemData":{"DOI":"http://dx.doi.org/10.1186/1742-2094-10-20","ISBN":"1742-2094","abstract":"Background: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","id":"ITEM-8","issued":{"date-parts":[["2013"]]},"language":"English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pag"},"uris":["http://www.mendeley.com/documents/?uuid=d7100582-c9fe-4a32-b8a8-a7a32dac973f"]},{"id":"ITEM-9","itemData":{"DOI":"10.1186/1742-2094-10-91","ISSN":"17422094","abstract":"Background: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Neuroinflammation","id":"ITEM-9","issued":{"date-parts":[["2013"]]},"page":"1-11","title":"A new co-ultramicronized composite including palmitoylethanolamide and luteolin to prevent neuroinflammation in spinal cord injury","type":"article-journal","volume":"10"},"uris":["http://www.mendeley.com/documents/?uuid=83caf321-577d-4e8f-890f-e4eb0b745118"]}],"mendeley":{"formattedCitation":"[35–39,43,45,47,48]","plainTextFormattedCitation":"[35–39,43,45,47,48]","previouslyFormattedCitation":"[35–39,43,45,47,48]"},"properties":{"noteIndex":0},"schema":"https://github.com/citation-style-language/schema/raw/master/csl-citation.json"}</w:instrText>
      </w:r>
      <w:r w:rsidRPr="00A87961">
        <w:rPr>
          <w:rFonts w:cs="Times New Roman"/>
          <w:noProof/>
          <w:color w:val="000000" w:themeColor="text1"/>
          <w:vertAlign w:val="superscript"/>
        </w:rPr>
        <w:fldChar w:fldCharType="separate"/>
      </w:r>
      <w:r w:rsidR="00C416DA" w:rsidRPr="00C416DA">
        <w:rPr>
          <w:rFonts w:cs="Times New Roman"/>
          <w:noProof/>
          <w:color w:val="000000" w:themeColor="text1"/>
        </w:rPr>
        <w:t>[35–39,43,45,47,48]</w:t>
      </w:r>
      <w:r w:rsidRPr="00A87961">
        <w:rPr>
          <w:rFonts w:cs="Times New Roman"/>
          <w:noProof/>
          <w:color w:val="000000" w:themeColor="text1"/>
          <w:vertAlign w:val="superscript"/>
        </w:rPr>
        <w:fldChar w:fldCharType="end"/>
      </w:r>
      <w:r w:rsidRPr="00A87961">
        <w:rPr>
          <w:rFonts w:cs="Times New Roman"/>
          <w:color w:val="000000" w:themeColor="text1"/>
        </w:rPr>
        <w:t xml:space="preserve"> and silicon tube insertion into the vertebral canal</w:t>
      </w:r>
      <w:r w:rsidRPr="00A87961">
        <w:rPr>
          <w:rFonts w:cs="Times New Roman"/>
          <w:noProof/>
          <w:color w:val="000000" w:themeColor="text1"/>
          <w:vertAlign w:val="superscript"/>
        </w:rPr>
        <w:fldChar w:fldCharType="begin" w:fldLock="1"/>
      </w:r>
      <w:r w:rsidR="00C416DA">
        <w:rPr>
          <w:rFonts w:cs="Times New Roman"/>
          <w:noProof/>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noProof/>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noProof/>
          <w:color w:val="000000" w:themeColor="text1"/>
          <w:vertAlign w:val="superscript"/>
        </w:rPr>
        <w:fldChar w:fldCharType="end"/>
      </w:r>
      <w:r w:rsidRPr="00A87961">
        <w:rPr>
          <w:rFonts w:cs="Times New Roman"/>
          <w:color w:val="000000" w:themeColor="text1"/>
        </w:rPr>
        <w:t xml:space="preserve">, and contusion models involving spinal cord impaction devices </w:t>
      </w:r>
      <w:r w:rsidRPr="00A87961">
        <w:rPr>
          <w:rFonts w:cs="Times New Roman"/>
          <w:color w:val="000000" w:themeColor="text1"/>
        </w:rPr>
        <w:lastRenderedPageBreak/>
        <w:t>(n=4)</w:t>
      </w:r>
      <w:r w:rsidRPr="00A87961">
        <w:rPr>
          <w:rFonts w:cs="Times New Roman"/>
          <w:noProof/>
          <w:color w:val="000000" w:themeColor="text1"/>
          <w:vertAlign w:val="superscript"/>
        </w:rPr>
        <w:fldChar w:fldCharType="begin" w:fldLock="1"/>
      </w:r>
      <w:r w:rsidR="00C416DA">
        <w:rPr>
          <w:rFonts w:cs="Times New Roman"/>
          <w:noProof/>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","id":"ITEM-2","issued":{"date-parts":[["2018"]]},"language":"English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"},"uris":["http://www.mendeley.com/documents/?uuid=8076948f-95f3-4063-8ed6-058483424885"]},{"id":"ITEM-3","itemData":{"DOI":"http://dx.doi.org/10.1016/j.brainres.2017.06.020","ISBN":"0006-8993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","id":"ITEM-3","issued":{"date-parts":[["2017"]]},"language":"English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"},"uris":["http://www.mendeley.com/documents/?uuid=a3bf46ea-108b-4e74-affa-39c4f26ae608"]},{"id":"ITEM-4","itemData":{"DOI":"http://dx.doi.org/10.1016/j.spinee.2010.08.015","ISBN":"1529-9430","abstract":"Background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","id":"ITEM-4","issue":"12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[30,31,33,46]","plainTextFormattedCitation":"[30,31,33,46]","previouslyFormattedCitation":"[30,31,33,46]"},"properties":{"noteIndex":0},"schema":"https://github.com/citation-style-language/schema/raw/master/csl-citation.json"}</w:instrText>
      </w:r>
      <w:r w:rsidRPr="00A87961">
        <w:rPr>
          <w:rFonts w:cs="Times New Roman"/>
          <w:noProof/>
          <w:color w:val="000000" w:themeColor="text1"/>
          <w:vertAlign w:val="superscript"/>
        </w:rPr>
        <w:fldChar w:fldCharType="separate"/>
      </w:r>
      <w:r w:rsidR="00C416DA" w:rsidRPr="00C416DA">
        <w:rPr>
          <w:rFonts w:cs="Times New Roman"/>
          <w:noProof/>
          <w:color w:val="000000" w:themeColor="text1"/>
        </w:rPr>
        <w:t>[30,31,33,46]</w:t>
      </w:r>
      <w:r w:rsidRPr="00A87961">
        <w:rPr>
          <w:rFonts w:cs="Times New Roman"/>
          <w:noProof/>
          <w:color w:val="000000" w:themeColor="text1"/>
          <w:vertAlign w:val="superscript"/>
        </w:rPr>
        <w:fldChar w:fldCharType="end"/>
      </w:r>
      <w:r w:rsidRPr="00A87961">
        <w:rPr>
          <w:rFonts w:cs="Times New Roman"/>
          <w:color w:val="000000" w:themeColor="text1"/>
        </w:rPr>
        <w:t xml:space="preserve"> were</w:t>
      </w:r>
      <w:r w:rsidR="002465B9" w:rsidRPr="00A87961">
        <w:rPr>
          <w:rFonts w:cs="Times New Roman"/>
          <w:color w:val="000000" w:themeColor="text1"/>
        </w:rPr>
        <w:t xml:space="preserve"> the</w:t>
      </w:r>
      <w:r w:rsidRPr="00A87961">
        <w:rPr>
          <w:rFonts w:cs="Times New Roman"/>
          <w:color w:val="000000" w:themeColor="text1"/>
        </w:rPr>
        <w:t xml:space="preserve"> </w:t>
      </w:r>
      <w:proofErr w:type="gramStart"/>
      <w:r w:rsidRPr="00A87961">
        <w:rPr>
          <w:rFonts w:cs="Times New Roman"/>
          <w:color w:val="000000" w:themeColor="text1"/>
        </w:rPr>
        <w:t>most commonly used</w:t>
      </w:r>
      <w:proofErr w:type="gramEnd"/>
      <w:r w:rsidRPr="00A87961">
        <w:rPr>
          <w:rFonts w:cs="Times New Roman"/>
          <w:color w:val="000000" w:themeColor="text1"/>
        </w:rPr>
        <w:t xml:space="preserve">. </w:t>
      </w:r>
      <w:r w:rsidR="00C416DA">
        <w:rPr>
          <w:rFonts w:cs="Times New Roman"/>
          <w:color w:val="000000" w:themeColor="text1"/>
        </w:rPr>
        <w:t>O</w:t>
      </w:r>
      <w:r w:rsidRPr="00A87961">
        <w:rPr>
          <w:rFonts w:cs="Times New Roman"/>
          <w:color w:val="000000" w:themeColor="text1"/>
        </w:rPr>
        <w:t>ther models</w:t>
      </w:r>
      <w:r w:rsidR="002465B9" w:rsidRPr="00A87961">
        <w:rPr>
          <w:rFonts w:cs="Times New Roman"/>
          <w:color w:val="000000" w:themeColor="text1"/>
        </w:rPr>
        <w:t xml:space="preserve"> used included</w:t>
      </w:r>
      <w:r w:rsidRPr="00A87961">
        <w:rPr>
          <w:rFonts w:cs="Times New Roman"/>
          <w:color w:val="000000" w:themeColor="text1"/>
        </w:rPr>
        <w:t xml:space="preserve"> spinal cord ischaemia via aortic occlusion</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[40]</w:t>
      </w:r>
      <w:r w:rsidRPr="00A87961">
        <w:rPr>
          <w:rFonts w:cs="Times New Roman"/>
          <w:color w:val="000000" w:themeColor="text1"/>
          <w:vertAlign w:val="superscript"/>
        </w:rPr>
        <w:fldChar w:fldCharType="end"/>
      </w:r>
      <w:r w:rsidRPr="00A87961">
        <w:rPr>
          <w:rFonts w:cs="Times New Roman"/>
          <w:color w:val="000000" w:themeColor="text1"/>
        </w:rPr>
        <w:t>, cryogenic injury using liquid nitrogen</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mendeley":{"formattedCitation":"[42]","plainTextFormattedCitation":"[42]","previouslyFormattedCitation":"[42]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[42]</w:t>
      </w:r>
      <w:r w:rsidRPr="00A87961">
        <w:rPr>
          <w:rFonts w:cs="Times New Roman"/>
          <w:color w:val="000000" w:themeColor="text1"/>
          <w:vertAlign w:val="superscript"/>
        </w:rPr>
        <w:fldChar w:fldCharType="end"/>
      </w:r>
      <w:r w:rsidRPr="00A87961">
        <w:rPr>
          <w:rFonts w:cs="Times New Roman"/>
          <w:color w:val="000000" w:themeColor="text1"/>
        </w:rPr>
        <w:t xml:space="preserve">, spinal cord hemisection </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ischaemia-reperfusion injury via aortic occlusion</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plainTextFormattedCitation":"[34]","previouslyFormattedCitation":"[34]"},"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[34]</w:t>
      </w:r>
      <w:r w:rsidRPr="00A87961">
        <w:rPr>
          <w:rFonts w:cs="Times New Roman"/>
          <w:color w:val="000000" w:themeColor="text1"/>
          <w:vertAlign w:val="superscript"/>
        </w:rPr>
        <w:fldChar w:fldCharType="end"/>
      </w:r>
      <w:r w:rsidRPr="00A87961">
        <w:rPr>
          <w:rFonts w:cs="Times New Roman"/>
          <w:color w:val="000000" w:themeColor="text1"/>
        </w:rPr>
        <w:t xml:space="preserve"> and ischaemia-reperfusion injury via aortic clamping</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002465B9" w:rsidRPr="00A87961">
        <w:rPr>
          <w:rFonts w:cs="Times New Roman"/>
          <w:color w:val="000000" w:themeColor="text1"/>
        </w:rPr>
        <w:t>.</w:t>
      </w:r>
      <w:r w:rsidR="00C416DA">
        <w:rPr>
          <w:rFonts w:cs="Times New Roman"/>
          <w:color w:val="000000" w:themeColor="text1"/>
        </w:rPr>
        <w:t xml:space="preserve"> </w:t>
      </w:r>
      <w:r w:rsidR="002465B9" w:rsidRPr="00A87961">
        <w:rPr>
          <w:rFonts w:cs="Times New Roman"/>
          <w:color w:val="000000" w:themeColor="text1"/>
        </w:rPr>
        <w:t xml:space="preserve">The majority of </w:t>
      </w:r>
      <w:r w:rsidR="00164645" w:rsidRPr="00A87961">
        <w:rPr>
          <w:rFonts w:cs="Times New Roman"/>
          <w:color w:val="000000" w:themeColor="text1"/>
        </w:rPr>
        <w:t xml:space="preserve">SCI models </w:t>
      </w:r>
      <w:r w:rsidR="002465B9" w:rsidRPr="00A87961">
        <w:rPr>
          <w:rFonts w:cs="Times New Roman"/>
          <w:color w:val="000000" w:themeColor="text1"/>
        </w:rPr>
        <w:t>used</w:t>
      </w:r>
      <w:r w:rsidR="00164645" w:rsidRPr="00A87961">
        <w:rPr>
          <w:rFonts w:cs="Times New Roman"/>
          <w:color w:val="000000" w:themeColor="text1"/>
        </w:rPr>
        <w:t xml:space="preserve"> thoracic</w:t>
      </w:r>
      <w:r w:rsidR="002465B9" w:rsidRPr="00A87961">
        <w:rPr>
          <w:rFonts w:cs="Times New Roman"/>
          <w:color w:val="000000" w:themeColor="text1"/>
        </w:rPr>
        <w:t xml:space="preserve"> injury </w:t>
      </w:r>
      <w:r w:rsidR="00D108B3" w:rsidRPr="00A87961">
        <w:rPr>
          <w:rFonts w:cs="Times New Roman"/>
          <w:color w:val="000000" w:themeColor="text1"/>
        </w:rPr>
        <w:t>(n=15)</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","id":"ITEM-3","issue":"1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"},"uris":["http://www.mendeley.com/documents/?uuid=2cfc6621-414e-4b93-83ad-6e8ba5e71c9d"]},{"id":"ITEM-4","itemData":{"DOI":"http://dx.doi.org/10.1016/j.expneurol.2006.09.002","ISBN":"0014-4886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","id":"ITEM-4","issue":"1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"},"uris":["http://www.mendeley.com/documents/?uuid=7f87b37c-91ea-4f57-ba57-fbf4e7ecb896"]},{"id":"ITEM-5","itemData":{"DOI":"http://dx.doi.org/10.1682/JRRD.2008.04.0049","ISBN":"0748-7711","abstract":"A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","id":"ITEM-5","issue":"1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"},"uris":["http://www.mendeley.com/documents/?uuid=aa2d859c-617b-414c-ac62-4ac6fcaa8184"]},{"id":"ITEM-6","itemData":{"DOI":"http://dx.doi.org/10.1016/j.neuropharm.2009.12.010","ISBN":"0028-3908","abstract":"Pre-clinical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","id":"ITEM-6","issue":"4-5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"},"uris":["http://www.mendeley.com/documents/?uuid=46f7852c-b3ee-41bf-b5cc-73d869c24a56"]},{"id":"ITEM-7","itemData":{"DOI":"http://dx.doi.org/10.1016/j.brainres.2011.07.031","ISBN":"0006-8993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","id":"ITEM-7","issued":{"date-parts":[["2011"]]},"language":"English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"},"uris":["http://www.mendeley.com/documents/?uuid=f5745367-b54b-4417-ae50-798fa20b8bce"]},{"id":"ITEM-8","itemData":{"DOI":"http://dx.doi.org/10.1002/prp2.34","ISBN":"2052-1707","abstract":"A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","id":"ITEM-8","issue":"2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"},"uris":["http://www.mendeley.com/documents/?uuid=dbbab316-c568-44c0-8b31-111000ebc672"]},{"id":"ITEM-9","itemData":{"DOI":"http://dx.doi.org/10.1016/j.neulet.2015.04.016","ISBN":"0304-3940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","id":"ITEM-9","issued":{"date-parts":[["2015"]]},"language":"English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"},"uris":["http://www.mendeley.com/documents/?uuid=448c9853-5856-4896-ba0c-60c20ea72a12"]},{"id":"ITEM-10","itemData":{"DOI":"http://dx.doi.org/10.1089/neu.2016.4808","ISBN":"0897-7151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","id":"ITEM-10","issue":"18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"},"uris":["http://www.mendeley.com/documents/?uuid=67ecec48-13bc-450c-bb2e-d13a34b122b3"]},{"id":"ITEM-11","itemData":{"DOI":"http://dx.doi.org/10.1007/s12640-011-9273-8","ISBN":"1029-8428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"},"uris":["http://www.mendeley.com/documents/?uuid=68339ff5-82ee-44d5-869e-57be69a68478"]},{"id":"ITEM-12","itemData":{"DOI":"http://dx.doi.org/10.1016/j.cellimm.2018.02.016","ISBN":"0008-8749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","id":"ITEM-12","issued":{"date-parts":[["2018"]]},"language":"English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"},"uris":["http://www.mendeley.com/documents/?uuid=8076948f-95f3-4063-8ed6-058483424885"]},{"id":"ITEM-13","itemData":{"DOI":"http://dx.doi.org/10.1186/1742-2094-10-20","ISBN":"1742-2094","abstract":"Background: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","id":"ITEM-13","issued":{"date-parts":[["2013"]]},"language":"English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pag"},"uris":["http://www.mendeley.com/documents/?uuid=d7100582-c9fe-4a32-b8a8-a7a32dac973f"]},{"id":"ITEM-14","itemData":{"DOI":"10.1186/1742-2094-10-91","ISSN":"17422094","abstract":"Background: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Neuroinflammation","id":"ITEM-14","issued":{"date-parts":[["2013"]]},"page":"1-11","title":"A new co-ultramicronized composite including palmitoylethanolamide and luteolin to prevent neuroinflammation in spinal cord injury","type":"article-journal","volume":"10"},"uris":["http://www.mendeley.com/documents/?uuid=83caf321-577d-4e8f-890f-e4eb0b745118"]},{"id":"ITEM-15","itemData":{"DOI":"http://dx.doi.org/10.1016/j.brainres.2017.06.020","ISBN":"0006-8993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","id":"ITEM-15","issued":{"date-parts":[["2017"]]},"language":"English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[30,31,33,35–39,42–48]","plainTextFormattedCitation":"[30,31,33,35–39,42–48]","previouslyFormattedCitation":"[30,31,33,35–39,42–48]"},"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[30,31,33,35–39,42–48]</w:t>
      </w:r>
      <w:r w:rsidR="001A026A" w:rsidRPr="00A87961">
        <w:rPr>
          <w:rFonts w:cs="Times New Roman"/>
          <w:color w:val="000000" w:themeColor="text1"/>
          <w:vertAlign w:val="superscript"/>
        </w:rPr>
        <w:fldChar w:fldCharType="end"/>
      </w:r>
      <w:r w:rsidR="00164645" w:rsidRPr="00A87961">
        <w:rPr>
          <w:rFonts w:cs="Times New Roman"/>
          <w:color w:val="000000" w:themeColor="text1"/>
        </w:rPr>
        <w:t xml:space="preserve">, </w:t>
      </w:r>
      <w:r w:rsidR="002465B9" w:rsidRPr="00A87961">
        <w:rPr>
          <w:rFonts w:cs="Times New Roman"/>
          <w:color w:val="000000" w:themeColor="text1"/>
        </w:rPr>
        <w:t xml:space="preserve">whilst one study used </w:t>
      </w:r>
      <w:r w:rsidR="00164645" w:rsidRPr="00A87961">
        <w:rPr>
          <w:rFonts w:cs="Times New Roman"/>
          <w:color w:val="000000" w:themeColor="text1"/>
        </w:rPr>
        <w:t>cervical level</w:t>
      </w:r>
      <w:r w:rsidR="00D108B3" w:rsidRPr="00A87961">
        <w:rPr>
          <w:rFonts w:cs="Times New Roman"/>
          <w:color w:val="000000" w:themeColor="text1"/>
        </w:rPr>
        <w:t xml:space="preserve"> </w:t>
      </w:r>
      <w:r w:rsidR="002465B9" w:rsidRPr="00A87961">
        <w:rPr>
          <w:rFonts w:cs="Times New Roman"/>
          <w:color w:val="000000" w:themeColor="text1"/>
        </w:rPr>
        <w:t xml:space="preserve">injury </w:t>
      </w:r>
      <w:r w:rsidR="00D108B3" w:rsidRPr="00A87961">
        <w:rPr>
          <w:rFonts w:cs="Times New Roman"/>
          <w:color w:val="000000" w:themeColor="text1"/>
        </w:rPr>
        <w:t>(n=1)</w:t>
      </w:r>
      <w:r w:rsidR="00164645"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00164645"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00164645" w:rsidRPr="00A87961">
        <w:rPr>
          <w:rFonts w:cs="Times New Roman"/>
          <w:color w:val="000000" w:themeColor="text1"/>
          <w:vertAlign w:val="superscript"/>
        </w:rPr>
        <w:fldChar w:fldCharType="end"/>
      </w:r>
      <w:r w:rsidR="00164645" w:rsidRPr="00A87961">
        <w:rPr>
          <w:rFonts w:cs="Times New Roman"/>
          <w:color w:val="000000" w:themeColor="text1"/>
        </w:rPr>
        <w:t>.</w:t>
      </w:r>
      <w:r w:rsidR="00BE588D" w:rsidRPr="00A87961">
        <w:rPr>
          <w:rFonts w:cs="Times New Roman"/>
          <w:color w:val="000000" w:themeColor="text1"/>
        </w:rPr>
        <w:t xml:space="preserve"> </w:t>
      </w:r>
    </w:p>
    <w:p w14:paraId="7D937037" w14:textId="77777777" w:rsidR="002C1802" w:rsidRPr="00A87961" w:rsidRDefault="002C1802" w:rsidP="0011737C">
      <w:pPr>
        <w:spacing w:line="480" w:lineRule="auto"/>
        <w:rPr>
          <w:rFonts w:cs="Times New Roman"/>
          <w:color w:val="000000" w:themeColor="text1"/>
        </w:rPr>
      </w:pPr>
    </w:p>
    <w:p w14:paraId="591ED35D" w14:textId="2C86A814" w:rsidR="00AD7480" w:rsidRPr="00A87961" w:rsidRDefault="00131197" w:rsidP="0011737C">
      <w:pPr>
        <w:spacing w:line="480" w:lineRule="auto"/>
        <w:rPr>
          <w:rFonts w:cs="Times New Roman"/>
          <w:color w:val="000000" w:themeColor="text1"/>
        </w:rPr>
      </w:pPr>
      <w:r w:rsidRPr="00A87961">
        <w:rPr>
          <w:rFonts w:cs="Times New Roman"/>
          <w:color w:val="000000" w:themeColor="text1"/>
        </w:rPr>
        <w:t>Eight</w:t>
      </w:r>
      <w:r w:rsidR="00930A8E" w:rsidRPr="00A87961">
        <w:rPr>
          <w:rFonts w:cs="Times New Roman"/>
          <w:color w:val="000000" w:themeColor="text1"/>
        </w:rPr>
        <w:t xml:space="preserve"> different cannabinoid receptor agonists were used as seen in Figure </w:t>
      </w:r>
      <w:r w:rsidR="00B00BC0">
        <w:rPr>
          <w:rFonts w:cs="Times New Roman"/>
          <w:color w:val="000000" w:themeColor="text1"/>
        </w:rPr>
        <w:t>3</w:t>
      </w:r>
      <w:r w:rsidR="00930A8E" w:rsidRPr="00A87961">
        <w:rPr>
          <w:rFonts w:cs="Times New Roman"/>
          <w:color w:val="000000" w:themeColor="text1"/>
        </w:rPr>
        <w:t>.</w:t>
      </w:r>
      <w:r w:rsidR="00BE588D" w:rsidRPr="00A87961">
        <w:rPr>
          <w:rFonts w:cs="Times New Roman"/>
          <w:color w:val="000000" w:themeColor="text1"/>
        </w:rPr>
        <w:t xml:space="preserve"> </w:t>
      </w:r>
      <w:r w:rsidR="00E140E7" w:rsidRPr="00A87961">
        <w:rPr>
          <w:rFonts w:cs="Times New Roman"/>
          <w:color w:val="000000" w:themeColor="text1"/>
        </w:rPr>
        <w:t>WIN 55,212-2 (n=6)</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","id":"ITEM-4","issued":{"date-parts":[["2011"]]},"language":"English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"},"uris":["http://www.mendeley.com/documents/?uuid=f5745367-b54b-4417-ae50-798fa20b8bce"]},{"id":"ITEM-5","itemData":{"DOI":"http://dx.doi.org/10.1016/j.jtcvs.2018.07.045","ISBN":"0022-5223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Surgery","id":"ITEM-5","issue":"2","issued":{"date-parts":[["2019"]]},"language":"English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rats","type":"article-journal","volume":"157"},"uris":["http://www.mendeley.com/documents/?uuid=ec8545b1-3dcf-4122-9f12-a3060d18b471"]},{"id":"ITEM-6","itemData":{"DOI":"http://dx.doi.org/10.1016/j.brainres.2017.06.020","ISBN":"0006-8993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","id":"ITEM-6","issued":{"date-parts":[["2017"]]},"language":"English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[30,33,35,36,38,40]","plainTextFormattedCitation":"[30,33,35,36,38,40]","previouslyFormattedCitation":"[30,33,35,36,38,40]"},"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C416DA" w:rsidRPr="00C416DA">
        <w:rPr>
          <w:rFonts w:cs="Times New Roman"/>
          <w:noProof/>
          <w:color w:val="000000" w:themeColor="text1"/>
        </w:rPr>
        <w:t>[30,33,35,36,38,40]</w:t>
      </w:r>
      <w:r w:rsidR="00E140E7" w:rsidRPr="00A87961">
        <w:rPr>
          <w:rFonts w:cs="Times New Roman"/>
          <w:color w:val="000000" w:themeColor="text1"/>
          <w:vertAlign w:val="superscript"/>
        </w:rPr>
        <w:fldChar w:fldCharType="end"/>
      </w:r>
      <w:r w:rsidR="00930A8E" w:rsidRPr="00A87961">
        <w:rPr>
          <w:rFonts w:cs="Times New Roman"/>
          <w:color w:val="000000" w:themeColor="text1"/>
        </w:rPr>
        <w:t xml:space="preserve"> was the most commonly used agonist. P</w:t>
      </w:r>
      <w:r w:rsidR="00E140E7" w:rsidRPr="00A87961">
        <w:rPr>
          <w:rFonts w:cs="Times New Roman"/>
          <w:color w:val="000000" w:themeColor="text1"/>
        </w:rPr>
        <w:t>almitoylethanolamide (PEA)</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"},"uris":["http://www.mendeley.com/documents/?uuid=2cfc6621-414e-4b93-83ad-6e8ba5e71c9d"]},{"id":"ITEM-2","itemData":{"DOI":"http://dx.doi.org/10.1186/1742-2094-10-20","ISBN":"1742-2094","abstract":"Background: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","id":"ITEM-2","issued":{"date-parts":[["2013"]]},"language":"English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[43,47]","plainTextFormattedCitation":"[43,47]","previouslyFormattedCitation":"[43,47]"},"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9B5F4E" w:rsidRPr="009B5F4E">
        <w:rPr>
          <w:rFonts w:cs="Times New Roman"/>
          <w:noProof/>
          <w:color w:val="000000" w:themeColor="text1"/>
        </w:rPr>
        <w:t>[43,47]</w:t>
      </w:r>
      <w:r w:rsidR="00E140E7" w:rsidRPr="00A87961">
        <w:rPr>
          <w:rFonts w:cs="Times New Roman"/>
          <w:color w:val="000000" w:themeColor="text1"/>
          <w:vertAlign w:val="superscript"/>
        </w:rPr>
        <w:fldChar w:fldCharType="end"/>
      </w:r>
      <w:r w:rsidR="00930A8E" w:rsidRPr="00A87961">
        <w:rPr>
          <w:rFonts w:cs="Times New Roman"/>
          <w:color w:val="000000" w:themeColor="text1"/>
        </w:rPr>
        <w:t xml:space="preserve"> and</w:t>
      </w:r>
      <w:r w:rsidR="00E140E7" w:rsidRPr="00A87961">
        <w:rPr>
          <w:rFonts w:cs="Times New Roman"/>
          <w:color w:val="000000" w:themeColor="text1"/>
        </w:rPr>
        <w:t xml:space="preserve"> </w:t>
      </w:r>
      <w:r w:rsidR="00BE588D" w:rsidRPr="00A87961">
        <w:rPr>
          <w:rFonts w:cs="Times New Roman"/>
          <w:color w:val="000000" w:themeColor="text1"/>
        </w:rPr>
        <w:t>cannabidiol (CBD)</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"},"uris":["http://www.mendeley.com/documents/?uuid=68339ff5-82ee-44d5-869e-57be69a68478"]},{"id":"ITEM-2","itemData":{"DOI":"http://dx.doi.org/10.1016/j.cellimm.2018.02.016","ISBN":"0008-8749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","id":"ITEM-2","issued":{"date-parts":[["2018"]]},"language":"English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[42,46]","plainTextFormattedCitation":"[42,46]","previouslyFormattedCitation":"[42,46]"},"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[42,46]</w:t>
      </w:r>
      <w:r w:rsidR="001A026A" w:rsidRPr="00A87961">
        <w:rPr>
          <w:rFonts w:cs="Times New Roman"/>
          <w:color w:val="000000" w:themeColor="text1"/>
          <w:vertAlign w:val="superscript"/>
        </w:rPr>
        <w:fldChar w:fldCharType="end"/>
      </w:r>
      <w:r w:rsidR="00930A8E" w:rsidRPr="00A87961">
        <w:rPr>
          <w:rFonts w:cs="Times New Roman"/>
          <w:color w:val="000000" w:themeColor="text1"/>
        </w:rPr>
        <w:t xml:space="preserve"> were each used in 2 studies</w:t>
      </w:r>
      <w:r w:rsidRPr="00A87961">
        <w:rPr>
          <w:rFonts w:cs="Times New Roman"/>
          <w:color w:val="000000" w:themeColor="text1"/>
        </w:rPr>
        <w:t xml:space="preserve">. </w:t>
      </w:r>
      <w:r w:rsidR="00BE588D" w:rsidRPr="00A87961">
        <w:rPr>
          <w:rFonts w:cs="Times New Roman"/>
          <w:color w:val="000000" w:themeColor="text1"/>
        </w:rPr>
        <w:t>CP 55,940</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00BE588D" w:rsidRPr="00A87961">
        <w:rPr>
          <w:rFonts w:cs="Times New Roman"/>
          <w:color w:val="000000" w:themeColor="text1"/>
        </w:rPr>
        <w:fldChar w:fldCharType="end"/>
      </w:r>
      <w:r w:rsidR="00BE588D" w:rsidRPr="00A87961">
        <w:rPr>
          <w:rFonts w:cs="Times New Roman"/>
          <w:color w:val="000000" w:themeColor="text1"/>
        </w:rPr>
        <w:t>, JWH</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00BE588D" w:rsidRPr="00A87961">
        <w:rPr>
          <w:rFonts w:cs="Times New Roman"/>
          <w:color w:val="000000" w:themeColor="text1"/>
          <w:vertAlign w:val="superscript"/>
        </w:rPr>
        <w:fldChar w:fldCharType="end"/>
      </w:r>
      <w:r w:rsidR="00BE588D" w:rsidRPr="00A87961">
        <w:rPr>
          <w:rFonts w:cs="Times New Roman"/>
          <w:color w:val="000000" w:themeColor="text1"/>
        </w:rPr>
        <w:t>, N-(2-chloroethyl)-5Z,</w:t>
      </w:r>
      <w:r w:rsidR="003E51BC" w:rsidRPr="00A87961">
        <w:rPr>
          <w:rFonts w:cs="Times New Roman"/>
          <w:color w:val="000000" w:themeColor="text1"/>
        </w:rPr>
        <w:t xml:space="preserve"> </w:t>
      </w:r>
      <w:r w:rsidR="00BE588D" w:rsidRPr="00A87961">
        <w:rPr>
          <w:rFonts w:cs="Times New Roman"/>
          <w:color w:val="000000" w:themeColor="text1"/>
        </w:rPr>
        <w:t>8Z,</w:t>
      </w:r>
      <w:r w:rsidR="003E51BC" w:rsidRPr="00A87961">
        <w:rPr>
          <w:rFonts w:cs="Times New Roman"/>
          <w:color w:val="000000" w:themeColor="text1"/>
        </w:rPr>
        <w:t xml:space="preserve"> </w:t>
      </w:r>
      <w:r w:rsidR="00BE588D" w:rsidRPr="00A87961">
        <w:rPr>
          <w:rFonts w:cs="Times New Roman"/>
          <w:color w:val="000000" w:themeColor="text1"/>
        </w:rPr>
        <w:t>11Z,</w:t>
      </w:r>
      <w:r w:rsidR="003E51BC" w:rsidRPr="00A87961">
        <w:rPr>
          <w:rFonts w:cs="Times New Roman"/>
          <w:color w:val="000000" w:themeColor="text1"/>
        </w:rPr>
        <w:t xml:space="preserve"> </w:t>
      </w:r>
      <w:r w:rsidR="00BE588D" w:rsidRPr="00A87961">
        <w:rPr>
          <w:rFonts w:cs="Times New Roman"/>
          <w:color w:val="000000" w:themeColor="text1"/>
        </w:rPr>
        <w:t>14Z-eicosatetraenamide (ACEA)</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00BE588D" w:rsidRPr="00A87961">
        <w:rPr>
          <w:rFonts w:cs="Times New Roman"/>
          <w:color w:val="000000" w:themeColor="text1"/>
          <w:vertAlign w:val="superscript"/>
        </w:rPr>
        <w:fldChar w:fldCharType="end"/>
      </w:r>
      <w:r w:rsidR="00BE588D" w:rsidRPr="00A87961">
        <w:rPr>
          <w:rFonts w:cs="Times New Roman"/>
          <w:color w:val="000000" w:themeColor="text1"/>
        </w:rPr>
        <w:t xml:space="preserve">,  </w:t>
      </w:r>
      <w:proofErr w:type="spellStart"/>
      <w:r w:rsidR="00BE588D" w:rsidRPr="00A87961">
        <w:rPr>
          <w:rFonts w:cs="Times New Roman"/>
          <w:color w:val="000000" w:themeColor="text1"/>
        </w:rPr>
        <w:t>oxazoline</w:t>
      </w:r>
      <w:proofErr w:type="spellEnd"/>
      <w:r w:rsidR="00BE588D" w:rsidRPr="00A87961">
        <w:rPr>
          <w:rFonts w:cs="Times New Roman"/>
          <w:color w:val="000000" w:themeColor="text1"/>
        </w:rPr>
        <w:t xml:space="preserve"> of </w:t>
      </w:r>
      <w:r w:rsidR="00D108B3" w:rsidRPr="00A87961">
        <w:rPr>
          <w:rFonts w:cs="Times New Roman"/>
          <w:color w:val="000000" w:themeColor="text1"/>
        </w:rPr>
        <w:t>Palmitoylethanolamide</w:t>
      </w:r>
      <w:r w:rsidR="00BE588D" w:rsidRPr="00A87961">
        <w:rPr>
          <w:rFonts w:cs="Times New Roman"/>
          <w:noProof/>
          <w:color w:val="000000" w:themeColor="text1"/>
          <w:vertAlign w:val="superscript"/>
        </w:rPr>
        <w:fldChar w:fldCharType="begin" w:fldLock="1"/>
      </w:r>
      <w:r w:rsidR="00C416DA">
        <w:rPr>
          <w:rFonts w:cs="Times New Roman"/>
          <w:noProof/>
          <w:color w:val="000000" w:themeColor="text1"/>
          <w:vertAlign w:val="superscript"/>
        </w:rPr>
        <w:instrText>ADDIN CSL_CITATION {"citationItems":[{"id":"ITEM-1","itemData":{"DOI":"http://dx.doi.org/10.1089/neu.2016.4808","ISBN":"0897-7151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mendeley":{"formattedCitation":"[45]","plainTextFormattedCitation":"[45]","previouslyFormattedCitation":"[45]"},"properties":{"noteIndex":0},"schema":"https://github.com/citation-style-language/schema/raw/master/csl-citation.json"}</w:instrText>
      </w:r>
      <w:r w:rsidR="00BE588D" w:rsidRPr="00A87961">
        <w:rPr>
          <w:rFonts w:cs="Times New Roman"/>
          <w:noProof/>
          <w:color w:val="000000" w:themeColor="text1"/>
          <w:vertAlign w:val="superscript"/>
        </w:rPr>
        <w:fldChar w:fldCharType="separate"/>
      </w:r>
      <w:r w:rsidR="009B5F4E" w:rsidRPr="009B5F4E">
        <w:rPr>
          <w:rFonts w:cs="Times New Roman"/>
          <w:noProof/>
          <w:color w:val="000000" w:themeColor="text1"/>
        </w:rPr>
        <w:t>[45]</w:t>
      </w:r>
      <w:r w:rsidR="00BE588D" w:rsidRPr="00A87961">
        <w:rPr>
          <w:rFonts w:cs="Times New Roman"/>
          <w:noProof/>
          <w:color w:val="000000" w:themeColor="text1"/>
          <w:vertAlign w:val="superscript"/>
        </w:rPr>
        <w:fldChar w:fldCharType="end"/>
      </w:r>
      <w:r w:rsidR="00E140E7" w:rsidRPr="00A87961">
        <w:rPr>
          <w:rFonts w:cs="Times New Roman"/>
          <w:color w:val="000000" w:themeColor="text1"/>
        </w:rPr>
        <w:t xml:space="preserve"> and</w:t>
      </w:r>
      <w:r w:rsidR="00B726A5" w:rsidRPr="00A87961">
        <w:rPr>
          <w:rFonts w:cs="Times New Roman"/>
          <w:color w:val="000000" w:themeColor="text1"/>
        </w:rPr>
        <w:t xml:space="preserve"> co-</w:t>
      </w:r>
      <w:proofErr w:type="spellStart"/>
      <w:r w:rsidR="00B726A5" w:rsidRPr="00A87961">
        <w:rPr>
          <w:rFonts w:cs="Times New Roman"/>
          <w:color w:val="000000" w:themeColor="text1"/>
        </w:rPr>
        <w:t>ultramicronised</w:t>
      </w:r>
      <w:proofErr w:type="spellEnd"/>
      <w:r w:rsidR="00B726A5" w:rsidRPr="00A87961">
        <w:rPr>
          <w:rFonts w:cs="Times New Roman"/>
          <w:color w:val="000000" w:themeColor="text1"/>
        </w:rPr>
        <w:t xml:space="preserve"> PEA and luteolin</w:t>
      </w:r>
      <w:r w:rsidR="00B726A5"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Neuroinflammation","id":"ITEM-1","issued":{"date-parts":[["2013"]]},"page":"1-11","title":"A new co-ultramicronized composite including palmitoylethanolamide and luteolin to prevent neuroinflammation in spinal cord injury","type":"article-journal","volume":"10"},"uris":["http://www.mendeley.com/documents/?uuid=83caf321-577d-4e8f-890f-e4eb0b745118"]}],"mendeley":{"formattedCitation":"[48]","plainTextFormattedCitation":"[48]","previouslyFormattedCitation":"[48]"},"properties":{"noteIndex":0},"schema":"https://github.com/citation-style-language/schema/raw/master/csl-citation.json"}</w:instrText>
      </w:r>
      <w:r w:rsidR="00B726A5" w:rsidRPr="00A87961">
        <w:rPr>
          <w:rFonts w:cs="Times New Roman"/>
          <w:color w:val="000000" w:themeColor="text1"/>
          <w:vertAlign w:val="superscript"/>
        </w:rPr>
        <w:fldChar w:fldCharType="separate"/>
      </w:r>
      <w:r w:rsidR="009B5F4E" w:rsidRPr="009B5F4E">
        <w:rPr>
          <w:rFonts w:cs="Times New Roman"/>
          <w:noProof/>
          <w:color w:val="000000" w:themeColor="text1"/>
        </w:rPr>
        <w:t>[48]</w:t>
      </w:r>
      <w:r w:rsidR="00B726A5" w:rsidRPr="00A87961">
        <w:rPr>
          <w:rFonts w:cs="Times New Roman"/>
          <w:color w:val="000000" w:themeColor="text1"/>
          <w:vertAlign w:val="superscript"/>
        </w:rPr>
        <w:fldChar w:fldCharType="end"/>
      </w:r>
      <w:r w:rsidRPr="00A87961">
        <w:rPr>
          <w:rFonts w:cs="Times New Roman"/>
          <w:color w:val="000000" w:themeColor="text1"/>
        </w:rPr>
        <w:t xml:space="preserve"> were each used in 1 study.</w:t>
      </w:r>
      <w:r w:rsidR="00BE588D" w:rsidRPr="00A87961">
        <w:rPr>
          <w:rFonts w:cs="Times New Roman"/>
          <w:color w:val="000000" w:themeColor="text1"/>
        </w:rPr>
        <w:t xml:space="preserve"> </w:t>
      </w:r>
      <w:r w:rsidRPr="00A87961">
        <w:rPr>
          <w:rFonts w:cs="Times New Roman"/>
          <w:color w:val="000000" w:themeColor="text1"/>
        </w:rPr>
        <w:t>Two different i</w:t>
      </w:r>
      <w:r w:rsidR="00BE588D" w:rsidRPr="00A87961">
        <w:rPr>
          <w:rFonts w:cs="Times New Roman"/>
          <w:color w:val="000000" w:themeColor="text1"/>
        </w:rPr>
        <w:t xml:space="preserve">nverse cannabinoid </w:t>
      </w:r>
      <w:r w:rsidR="00116433" w:rsidRPr="00A87961">
        <w:rPr>
          <w:rFonts w:cs="Times New Roman"/>
          <w:color w:val="000000" w:themeColor="text1"/>
        </w:rPr>
        <w:t xml:space="preserve">receptor </w:t>
      </w:r>
      <w:r w:rsidR="00BE588D" w:rsidRPr="00A87961">
        <w:rPr>
          <w:rFonts w:cs="Times New Roman"/>
          <w:color w:val="000000" w:themeColor="text1"/>
        </w:rPr>
        <w:t>agonists</w:t>
      </w:r>
      <w:r w:rsidRPr="00A87961">
        <w:rPr>
          <w:rFonts w:cs="Times New Roman"/>
          <w:color w:val="000000" w:themeColor="text1"/>
        </w:rPr>
        <w:t xml:space="preserve"> were</w:t>
      </w:r>
      <w:r w:rsidR="00BE588D" w:rsidRPr="00A87961">
        <w:rPr>
          <w:rFonts w:cs="Times New Roman"/>
          <w:color w:val="000000" w:themeColor="text1"/>
        </w:rPr>
        <w:t xml:space="preserve"> use</w:t>
      </w:r>
      <w:r w:rsidRPr="00A87961">
        <w:rPr>
          <w:rFonts w:cs="Times New Roman"/>
          <w:color w:val="000000" w:themeColor="text1"/>
        </w:rPr>
        <w:t>d:</w:t>
      </w:r>
      <w:r w:rsidR="00BE588D" w:rsidRPr="00A87961">
        <w:rPr>
          <w:rFonts w:cs="Times New Roman"/>
          <w:color w:val="000000" w:themeColor="text1"/>
        </w:rPr>
        <w:t xml:space="preserve"> rimonabant</w:t>
      </w:r>
      <w:r w:rsidR="00D108B3" w:rsidRPr="00A87961">
        <w:rPr>
          <w:rFonts w:cs="Times New Roman"/>
          <w:color w:val="000000" w:themeColor="text1"/>
        </w:rPr>
        <w:t xml:space="preserve"> (n=2)</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"},"uris":["http://www.mendeley.com/documents/?uuid=f5745367-b54b-4417-ae50-798fa20b8bce"]},{"id":"ITEM-2","itemData":{"DOI":"http://dx.doi.org/10.1002/prp2.34","ISBN":"2052-1707","abstract":"A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","id":"ITEM-2","issue":"2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[38,39]","plainTextFormattedCitation":"[38,39]","previouslyFormattedCitation":"[38,39]"},"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[38,39]</w:t>
      </w:r>
      <w:r w:rsidR="001A026A" w:rsidRPr="00A87961">
        <w:rPr>
          <w:rFonts w:cs="Times New Roman"/>
          <w:color w:val="000000" w:themeColor="text1"/>
          <w:vertAlign w:val="superscript"/>
        </w:rPr>
        <w:fldChar w:fldCharType="end"/>
      </w:r>
      <w:r w:rsidR="00BE588D" w:rsidRPr="00A87961">
        <w:rPr>
          <w:rFonts w:cs="Times New Roman"/>
          <w:color w:val="000000" w:themeColor="text1"/>
        </w:rPr>
        <w:t xml:space="preserve"> and </w:t>
      </w:r>
      <w:proofErr w:type="spellStart"/>
      <w:r w:rsidR="00BE588D" w:rsidRPr="00A87961">
        <w:rPr>
          <w:rFonts w:cs="Times New Roman"/>
          <w:color w:val="000000" w:themeColor="text1"/>
        </w:rPr>
        <w:t>hemopressin</w:t>
      </w:r>
      <w:proofErr w:type="spellEnd"/>
      <w:r w:rsidR="00D108B3" w:rsidRPr="00A87961">
        <w:rPr>
          <w:rFonts w:cs="Times New Roman"/>
          <w:color w:val="000000" w:themeColor="text1"/>
        </w:rPr>
        <w:t xml:space="preserve"> (n=1)</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00BE588D" w:rsidRPr="00A87961">
        <w:rPr>
          <w:rFonts w:cs="Times New Roman"/>
          <w:color w:val="000000" w:themeColor="text1"/>
          <w:vertAlign w:val="superscript"/>
        </w:rPr>
        <w:fldChar w:fldCharType="end"/>
      </w:r>
      <w:r w:rsidR="00BE588D" w:rsidRPr="00A87961">
        <w:rPr>
          <w:rFonts w:cs="Times New Roman"/>
          <w:color w:val="000000" w:themeColor="text1"/>
        </w:rPr>
        <w:t xml:space="preserve">. </w:t>
      </w:r>
      <w:r w:rsidRPr="00A87961">
        <w:rPr>
          <w:rFonts w:cs="Times New Roman"/>
          <w:color w:val="000000" w:themeColor="text1"/>
        </w:rPr>
        <w:t xml:space="preserve">Five cannabinoid receptor </w:t>
      </w:r>
      <w:r w:rsidR="00BE588D" w:rsidRPr="00A87961">
        <w:rPr>
          <w:rFonts w:cs="Times New Roman"/>
          <w:color w:val="000000" w:themeColor="text1"/>
        </w:rPr>
        <w:t xml:space="preserve">antagonists </w:t>
      </w:r>
      <w:r w:rsidRPr="00A87961">
        <w:rPr>
          <w:rFonts w:cs="Times New Roman"/>
          <w:color w:val="000000" w:themeColor="text1"/>
        </w:rPr>
        <w:t xml:space="preserve">were </w:t>
      </w:r>
      <w:r w:rsidR="00FC715C" w:rsidRPr="00A87961">
        <w:rPr>
          <w:rFonts w:cs="Times New Roman"/>
          <w:color w:val="000000" w:themeColor="text1"/>
        </w:rPr>
        <w:t xml:space="preserve">also </w:t>
      </w:r>
      <w:r w:rsidR="00BE588D" w:rsidRPr="00A87961">
        <w:rPr>
          <w:rFonts w:cs="Times New Roman"/>
          <w:color w:val="000000" w:themeColor="text1"/>
        </w:rPr>
        <w:t>used</w:t>
      </w:r>
      <w:r w:rsidR="00981F78" w:rsidRPr="00A87961">
        <w:rPr>
          <w:rFonts w:cs="Times New Roman"/>
          <w:color w:val="000000" w:themeColor="text1"/>
        </w:rPr>
        <w:t>, where</w:t>
      </w:r>
      <w:r w:rsidR="00BE588D" w:rsidRPr="00A87961">
        <w:rPr>
          <w:rFonts w:cs="Times New Roman"/>
          <w:color w:val="000000" w:themeColor="text1"/>
        </w:rPr>
        <w:t xml:space="preserve"> </w:t>
      </w:r>
      <w:r w:rsidR="00E140E7" w:rsidRPr="00A87961">
        <w:rPr>
          <w:rFonts w:cs="Times New Roman"/>
          <w:color w:val="000000" w:themeColor="text1"/>
        </w:rPr>
        <w:t>AM 630 (n=8)</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","id":"ITEM-3","issue":"1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"},"uris":["http://www.mendeley.com/documents/?uuid=7f87b37c-91ea-4f57-ba57-fbf4e7ecb896"]},{"id":"ITEM-4","itemData":{"DOI":"http://dx.doi.org/10.1016/j.neuropharm.2009.12.010","ISBN":"0028-3908","abstract":"Pre-clinical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","id":"ITEM-4","issue":"4-5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"},"uris":["http://www.mendeley.com/documents/?uuid=46f7852c-b3ee-41bf-b5cc-73d869c24a56"]},{"id":"ITEM-5","itemData":{"DOI":"http://dx.doi.org/10.1016/j.jtcvs.2018.07.045","ISBN":"0022-5223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Surgery","id":"ITEM-5","issue":"2","issued":{"date-parts":[["2019"]]},"language":"English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rats","type":"article-journal","volume":"157"},"uris":["http://www.mendeley.com/documents/?uuid=ec8545b1-3dcf-4122-9f12-a3060d18b471"]},{"id":"ITEM-6","itemData":{"DOI":"http://dx.doi.org/10.1159/000484460","ISBN":"1015-8987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","id":"ITEM-6","issue":"6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"},"uris":["http://www.mendeley.com/documents/?uuid=14e43407-4105-4a2c-a695-85eb5ca04e0f"]},{"id":"ITEM-7","itemData":{"DOI":"http://dx.doi.org/10.1016/j.brainres.2017.06.020","ISBN":"0006-8993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","id":"ITEM-7","issued":{"date-parts":[["2017"]]},"language":"English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"},"uris":["http://www.mendeley.com/documents/?uuid=a3bf46ea-108b-4e74-affa-39c4f26ae608"]},{"id":"ITEM-8","itemData":{"DOI":"http://dx.doi.org/10.1016/j.jtcvs.2009.07.014","ISBN":"0022-5223","abstract":"Objective: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","id":"ITEM-8","issue":"6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[30,31,33–35,37,40,41]","plainTextFormattedCitation":"[30,31,33–35,37,40,41]","previouslyFormattedCitation":"[30,31,33–35,37,40,41]"},"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C416DA" w:rsidRPr="00C416DA">
        <w:rPr>
          <w:rFonts w:cs="Times New Roman"/>
          <w:noProof/>
          <w:color w:val="000000" w:themeColor="text1"/>
        </w:rPr>
        <w:t>[30,31,33–35,37,40,41]</w:t>
      </w:r>
      <w:r w:rsidR="00E140E7" w:rsidRPr="00A87961">
        <w:rPr>
          <w:rFonts w:cs="Times New Roman"/>
          <w:color w:val="000000" w:themeColor="text1"/>
          <w:vertAlign w:val="superscript"/>
        </w:rPr>
        <w:fldChar w:fldCharType="end"/>
      </w:r>
      <w:r w:rsidRPr="00A87961">
        <w:rPr>
          <w:rFonts w:cs="Times New Roman"/>
          <w:color w:val="000000" w:themeColor="text1"/>
        </w:rPr>
        <w:t xml:space="preserve"> and </w:t>
      </w:r>
      <w:r w:rsidR="00BE588D" w:rsidRPr="00A87961">
        <w:rPr>
          <w:rFonts w:cs="Times New Roman"/>
          <w:color w:val="000000" w:themeColor="text1"/>
        </w:rPr>
        <w:t>AM 251</w:t>
      </w:r>
      <w:r w:rsidR="00D108B3" w:rsidRPr="00A87961">
        <w:rPr>
          <w:rFonts w:cs="Times New Roman"/>
          <w:color w:val="000000" w:themeColor="text1"/>
        </w:rPr>
        <w:t xml:space="preserve"> (n=7)</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","id":"ITEM-3","issue":"4-5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"},"uris":["http://www.mendeley.com/documents/?uuid=46f7852c-b3ee-41bf-b5cc-73d869c24a56"]},{"id":"ITEM-4","itemData":{"DOI":"http://dx.doi.org/10.1016/j.jtcvs.2018.07.045","ISBN":"0022-5223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Surgery","id":"ITEM-4","issue":"2","issued":{"date-parts":[["2019"]]},"language":"English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rats","type":"article-journal","volume":"157"},"uris":["http://www.mendeley.com/documents/?uuid=ec8545b1-3dcf-4122-9f12-a3060d18b471"]},{"id":"ITEM-5","itemData":{"DOI":"http://dx.doi.org/10.1159/000484460","ISBN":"1015-8987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","id":"ITEM-5","issue":"6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"},"uris":["http://www.mendeley.com/documents/?uuid=14e43407-4105-4a2c-a695-85eb5ca04e0f"]},{"id":"ITEM-6","itemData":{"DOI":"http://dx.doi.org/10.1016/j.brainres.2017.06.020","ISBN":"0006-8993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","id":"ITEM-6","issued":{"date-parts":[["2017"]]},"language":"English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"},"uris":["http://www.mendeley.com/documents/?uuid=a3bf46ea-108b-4e74-affa-39c4f26ae608"]},{"id":"ITEM-7","itemData":{"DOI":"http://dx.doi.org/10.1016/j.jtcvs.2009.07.014","ISBN":"0022-5223","abstract":"Objective: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","id":"ITEM-7","issue":"6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[30,33–35,37,40,41]","plainTextFormattedCitation":"[30,33–35,37,40,41]","previouslyFormattedCitation":"[30,33–35,37,40,41]"},"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[30,33–35,37,40,41]</w:t>
      </w:r>
      <w:r w:rsidR="001A026A" w:rsidRPr="00A87961">
        <w:rPr>
          <w:rFonts w:cs="Times New Roman"/>
          <w:color w:val="000000" w:themeColor="text1"/>
          <w:vertAlign w:val="superscript"/>
        </w:rPr>
        <w:fldChar w:fldCharType="end"/>
      </w:r>
      <w:r w:rsidRPr="00A87961">
        <w:rPr>
          <w:rFonts w:cs="Times New Roman"/>
          <w:color w:val="000000" w:themeColor="text1"/>
        </w:rPr>
        <w:t xml:space="preserve"> were the most common.</w:t>
      </w:r>
      <w:r w:rsidR="00BE588D" w:rsidRPr="00A87961">
        <w:rPr>
          <w:rFonts w:cs="Times New Roman"/>
          <w:color w:val="000000" w:themeColor="text1"/>
        </w:rPr>
        <w:t xml:space="preserve"> </w:t>
      </w:r>
      <w:r w:rsidR="00981F78" w:rsidRPr="00A87961">
        <w:rPr>
          <w:rFonts w:cs="Times New Roman"/>
          <w:color w:val="000000" w:themeColor="text1"/>
        </w:rPr>
        <w:t>O</w:t>
      </w:r>
      <w:r w:rsidR="006E0F19" w:rsidRPr="00A87961">
        <w:rPr>
          <w:rFonts w:cs="Times New Roman"/>
          <w:color w:val="000000" w:themeColor="text1"/>
        </w:rPr>
        <w:t xml:space="preserve">ther antagonists </w:t>
      </w:r>
      <w:r w:rsidR="00FC715C" w:rsidRPr="00A87961">
        <w:rPr>
          <w:rFonts w:cs="Times New Roman"/>
          <w:color w:val="000000" w:themeColor="text1"/>
        </w:rPr>
        <w:t xml:space="preserve">used </w:t>
      </w:r>
      <w:r w:rsidR="00981F78" w:rsidRPr="00A87961">
        <w:rPr>
          <w:rFonts w:cs="Times New Roman"/>
          <w:color w:val="000000" w:themeColor="text1"/>
        </w:rPr>
        <w:t>included</w:t>
      </w:r>
      <w:r w:rsidR="006E0F19" w:rsidRPr="00A87961">
        <w:rPr>
          <w:rFonts w:cs="Times New Roman"/>
          <w:color w:val="000000" w:themeColor="text1"/>
        </w:rPr>
        <w:t xml:space="preserve"> </w:t>
      </w:r>
      <w:r w:rsidR="00E140E7" w:rsidRPr="00A87961">
        <w:rPr>
          <w:rFonts w:cs="Times New Roman"/>
          <w:color w:val="000000" w:themeColor="text1"/>
        </w:rPr>
        <w:t>SR 144528 (SR 2) (n=2)</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"},"uris":["http://www.mendeley.com/documents/?uuid=dbbab316-c568-44c0-8b31-111000ebc672"]},{"id":"ITEM-2","itemData":{"DOI":"http://dx.doi.org/10.1038/cddis.2014.364","ISBN":"2041-4889","abstract":"Spinal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","id":"ITEM-2","issue":"9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[32,39]","plainTextFormattedCitation":"[32,39]","previouslyFormattedCitation":"[32,39]"},"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C416DA" w:rsidRPr="00C416DA">
        <w:rPr>
          <w:rFonts w:cs="Times New Roman"/>
          <w:noProof/>
          <w:color w:val="000000" w:themeColor="text1"/>
        </w:rPr>
        <w:t>[32,39]</w:t>
      </w:r>
      <w:r w:rsidR="00E140E7" w:rsidRPr="00A87961">
        <w:rPr>
          <w:rFonts w:cs="Times New Roman"/>
          <w:color w:val="000000" w:themeColor="text1"/>
          <w:vertAlign w:val="superscript"/>
        </w:rPr>
        <w:fldChar w:fldCharType="end"/>
      </w:r>
      <w:r w:rsidR="00E140E7" w:rsidRPr="00A87961">
        <w:rPr>
          <w:rFonts w:cs="Times New Roman"/>
          <w:color w:val="000000" w:themeColor="text1"/>
        </w:rPr>
        <w:t xml:space="preserve"> and A</w:t>
      </w:r>
      <w:r w:rsidR="00BE588D" w:rsidRPr="00A87961">
        <w:rPr>
          <w:rFonts w:cs="Times New Roman"/>
          <w:color w:val="000000" w:themeColor="text1"/>
        </w:rPr>
        <w:t>M 281</w:t>
      </w:r>
      <w:r w:rsidR="00D108B3" w:rsidRPr="00A87961">
        <w:rPr>
          <w:rFonts w:cs="Times New Roman"/>
          <w:color w:val="000000" w:themeColor="text1"/>
        </w:rPr>
        <w:t>(n=1)</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00BE588D" w:rsidRPr="00A87961">
        <w:rPr>
          <w:rFonts w:cs="Times New Roman"/>
          <w:color w:val="000000" w:themeColor="text1"/>
          <w:vertAlign w:val="superscript"/>
        </w:rPr>
        <w:fldChar w:fldCharType="end"/>
      </w:r>
      <w:r w:rsidR="006E0F19" w:rsidRPr="00A87961">
        <w:rPr>
          <w:rFonts w:cs="Times New Roman"/>
          <w:color w:val="000000" w:themeColor="text1"/>
        </w:rPr>
        <w:t>.</w:t>
      </w:r>
      <w:r w:rsidR="00BE588D" w:rsidRPr="00A87961">
        <w:rPr>
          <w:rFonts w:cs="Times New Roman"/>
          <w:color w:val="000000" w:themeColor="text1"/>
        </w:rPr>
        <w:t xml:space="preserve"> One study used</w:t>
      </w:r>
      <w:r w:rsidR="006E0F19" w:rsidRPr="00A87961">
        <w:rPr>
          <w:rFonts w:cs="Times New Roman"/>
          <w:color w:val="000000" w:themeColor="text1"/>
        </w:rPr>
        <w:t xml:space="preserve"> </w:t>
      </w:r>
      <w:r w:rsidR="00BE588D" w:rsidRPr="00A87961">
        <w:rPr>
          <w:rFonts w:cs="Times New Roman"/>
          <w:color w:val="000000" w:themeColor="text1"/>
        </w:rPr>
        <w:t>acetaminophen and naloxone</w:t>
      </w:r>
      <w:r w:rsidR="00BE588D"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00BE588D"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00BE588D" w:rsidRPr="00A87961">
        <w:rPr>
          <w:rFonts w:cs="Times New Roman"/>
          <w:color w:val="000000" w:themeColor="text1"/>
          <w:vertAlign w:val="superscript"/>
        </w:rPr>
        <w:fldChar w:fldCharType="end"/>
      </w:r>
      <w:r w:rsidR="00E140E7" w:rsidRPr="00A87961">
        <w:rPr>
          <w:rFonts w:cs="Times New Roman"/>
          <w:color w:val="000000" w:themeColor="text1"/>
        </w:rPr>
        <w:t>,</w:t>
      </w:r>
      <w:r w:rsidR="00BE588D" w:rsidRPr="00A87961">
        <w:rPr>
          <w:rFonts w:cs="Times New Roman"/>
          <w:color w:val="000000" w:themeColor="text1"/>
        </w:rPr>
        <w:t xml:space="preserve"> </w:t>
      </w:r>
      <w:r w:rsidR="00FC715C" w:rsidRPr="00A87961">
        <w:rPr>
          <w:rFonts w:cs="Times New Roman"/>
          <w:color w:val="000000" w:themeColor="text1"/>
        </w:rPr>
        <w:t xml:space="preserve">and </w:t>
      </w:r>
      <w:r w:rsidR="00BE588D" w:rsidRPr="00A87961">
        <w:rPr>
          <w:rFonts w:cs="Times New Roman"/>
          <w:color w:val="000000" w:themeColor="text1"/>
        </w:rPr>
        <w:t xml:space="preserve">both drugs have been reported to </w:t>
      </w:r>
      <w:r w:rsidR="00AD7480" w:rsidRPr="00A87961">
        <w:rPr>
          <w:rFonts w:cs="Times New Roman"/>
          <w:color w:val="000000" w:themeColor="text1"/>
        </w:rPr>
        <w:t xml:space="preserve">have effects on the </w:t>
      </w:r>
      <w:r w:rsidR="006E0F19" w:rsidRPr="00A87961">
        <w:rPr>
          <w:rFonts w:cs="Times New Roman"/>
          <w:color w:val="000000" w:themeColor="text1"/>
        </w:rPr>
        <w:t>endo</w:t>
      </w:r>
      <w:r w:rsidR="00AD7480" w:rsidRPr="00A87961">
        <w:rPr>
          <w:rFonts w:cs="Times New Roman"/>
          <w:color w:val="000000" w:themeColor="text1"/>
        </w:rPr>
        <w:t>cannabinoid system</w:t>
      </w:r>
      <w:r w:rsidR="00BE588D" w:rsidRPr="00A87961">
        <w:rPr>
          <w:rFonts w:cs="Times New Roman"/>
          <w:color w:val="000000" w:themeColor="text1"/>
        </w:rPr>
        <w:t>.</w:t>
      </w:r>
      <w:r w:rsidR="00BE588D" w:rsidRPr="00A87961">
        <w:rPr>
          <w:rFonts w:cs="Times New Roman"/>
          <w:color w:val="000000" w:themeColor="text1"/>
          <w:vertAlign w:val="superscript"/>
        </w:rPr>
        <w:t xml:space="preserve">  </w:t>
      </w:r>
      <w:r w:rsidR="002C1802" w:rsidRPr="00A87961">
        <w:rPr>
          <w:rFonts w:cs="Times New Roman"/>
          <w:color w:val="000000" w:themeColor="text1"/>
        </w:rPr>
        <w:t>Initiation of cannabinoid administration ranged from 20 minutes</w:t>
      </w:r>
      <w:r w:rsidR="002C1802"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plainTextFormattedCitation":"[30]","previouslyFormattedCitation":"[30]"},"properties":{"noteIndex":0},"schema":"https://github.com/citation-style-language/schema/raw/master/csl-citation.json"}</w:instrText>
      </w:r>
      <w:r w:rsidR="002C1802" w:rsidRPr="00A87961">
        <w:rPr>
          <w:rFonts w:cs="Times New Roman"/>
          <w:color w:val="000000" w:themeColor="text1"/>
          <w:vertAlign w:val="superscript"/>
        </w:rPr>
        <w:fldChar w:fldCharType="separate"/>
      </w:r>
      <w:r w:rsidR="009B5F4E" w:rsidRPr="009B5F4E">
        <w:rPr>
          <w:rFonts w:cs="Times New Roman"/>
          <w:noProof/>
          <w:color w:val="000000" w:themeColor="text1"/>
        </w:rPr>
        <w:t>[30]</w:t>
      </w:r>
      <w:r w:rsidR="002C1802" w:rsidRPr="00A87961">
        <w:rPr>
          <w:rFonts w:cs="Times New Roman"/>
          <w:color w:val="000000" w:themeColor="text1"/>
        </w:rPr>
        <w:fldChar w:fldCharType="end"/>
      </w:r>
      <w:r w:rsidR="002C1802" w:rsidRPr="00A87961">
        <w:rPr>
          <w:rFonts w:cs="Times New Roman"/>
          <w:color w:val="000000" w:themeColor="text1"/>
        </w:rPr>
        <w:t xml:space="preserve"> to 5 weeks</w:t>
      </w:r>
      <w:r w:rsidR="002C1802"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[35]","plainTextFormattedCitation":"[35]","previouslyFormattedCitation":"[35]"},"properties":{"noteIndex":0},"schema":"https://github.com/citation-style-language/schema/raw/master/csl-citation.json"}</w:instrText>
      </w:r>
      <w:r w:rsidR="002C1802" w:rsidRPr="00A87961">
        <w:rPr>
          <w:rFonts w:cs="Times New Roman"/>
          <w:color w:val="000000" w:themeColor="text1"/>
          <w:vertAlign w:val="superscript"/>
        </w:rPr>
        <w:fldChar w:fldCharType="separate"/>
      </w:r>
      <w:r w:rsidR="00C416DA" w:rsidRPr="00C416DA">
        <w:rPr>
          <w:rFonts w:cs="Times New Roman"/>
          <w:noProof/>
          <w:color w:val="000000" w:themeColor="text1"/>
        </w:rPr>
        <w:t>[35]</w:t>
      </w:r>
      <w:r w:rsidR="002C1802" w:rsidRPr="00A87961">
        <w:rPr>
          <w:rFonts w:cs="Times New Roman"/>
          <w:color w:val="000000" w:themeColor="text1"/>
        </w:rPr>
        <w:fldChar w:fldCharType="end"/>
      </w:r>
      <w:r w:rsidR="002C1802" w:rsidRPr="00A87961">
        <w:rPr>
          <w:rFonts w:cs="Times New Roman"/>
          <w:color w:val="000000" w:themeColor="text1"/>
        </w:rPr>
        <w:t xml:space="preserve"> </w:t>
      </w:r>
      <w:r w:rsidR="00FC715C" w:rsidRPr="00A87961">
        <w:rPr>
          <w:rFonts w:cs="Times New Roman"/>
          <w:color w:val="000000" w:themeColor="text1"/>
        </w:rPr>
        <w:t>after</w:t>
      </w:r>
      <w:r w:rsidR="002C1802" w:rsidRPr="00A87961">
        <w:rPr>
          <w:rFonts w:cs="Times New Roman"/>
          <w:color w:val="000000" w:themeColor="text1"/>
        </w:rPr>
        <w:t xml:space="preserve"> SCI. </w:t>
      </w:r>
      <w:r w:rsidR="00FC715C" w:rsidRPr="00A87961">
        <w:rPr>
          <w:rFonts w:cs="Times New Roman"/>
          <w:color w:val="000000" w:themeColor="text1"/>
        </w:rPr>
        <w:t>The d</w:t>
      </w:r>
      <w:r w:rsidR="002C1802" w:rsidRPr="00A87961">
        <w:rPr>
          <w:rFonts w:cs="Times New Roman"/>
          <w:color w:val="000000" w:themeColor="text1"/>
        </w:rPr>
        <w:t xml:space="preserve">uration of cannabinoid administration ranged from single </w:t>
      </w:r>
      <w:r w:rsidR="00FC715C" w:rsidRPr="00A87961">
        <w:rPr>
          <w:rFonts w:cs="Times New Roman"/>
          <w:color w:val="000000" w:themeColor="text1"/>
        </w:rPr>
        <w:t xml:space="preserve">one-off </w:t>
      </w:r>
      <w:r w:rsidR="002C1802" w:rsidRPr="00A87961">
        <w:rPr>
          <w:rFonts w:cs="Times New Roman"/>
          <w:color w:val="000000" w:themeColor="text1"/>
        </w:rPr>
        <w:t>doses to repeat dosing over 10 weeks</w:t>
      </w:r>
      <w:r w:rsidR="002C1802"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002C1802"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002C1802" w:rsidRPr="00A87961">
        <w:rPr>
          <w:rFonts w:cs="Times New Roman"/>
          <w:color w:val="000000" w:themeColor="text1"/>
        </w:rPr>
        <w:fldChar w:fldCharType="end"/>
      </w:r>
      <w:r w:rsidR="002C1802" w:rsidRPr="00A87961">
        <w:rPr>
          <w:rFonts w:cs="Times New Roman"/>
          <w:color w:val="000000" w:themeColor="text1"/>
        </w:rPr>
        <w:t>.</w:t>
      </w:r>
      <w:r w:rsidR="006E0F19" w:rsidRPr="00A87961">
        <w:rPr>
          <w:rFonts w:cs="Times New Roman"/>
          <w:color w:val="000000" w:themeColor="text1"/>
        </w:rPr>
        <w:t xml:space="preserve"> A </w:t>
      </w:r>
      <w:r w:rsidR="00FC715C" w:rsidRPr="00A87961">
        <w:rPr>
          <w:rFonts w:cs="Times New Roman"/>
          <w:color w:val="000000" w:themeColor="text1"/>
        </w:rPr>
        <w:t xml:space="preserve">comprehensive </w:t>
      </w:r>
      <w:r w:rsidR="006E0F19" w:rsidRPr="00A87961">
        <w:rPr>
          <w:rFonts w:cs="Times New Roman"/>
          <w:color w:val="000000" w:themeColor="text1"/>
        </w:rPr>
        <w:t>summary of the drugs used in the included studies can be found in the Supplementary Material.</w:t>
      </w:r>
    </w:p>
    <w:p w14:paraId="1A2E4812" w14:textId="77777777" w:rsidR="00AD7480" w:rsidRPr="00A87961" w:rsidRDefault="00AD7480" w:rsidP="0011737C">
      <w:pPr>
        <w:spacing w:line="480" w:lineRule="auto"/>
        <w:rPr>
          <w:rFonts w:cs="Times New Roman"/>
          <w:color w:val="000000" w:themeColor="text1"/>
        </w:rPr>
      </w:pPr>
    </w:p>
    <w:p w14:paraId="357DD842" w14:textId="28D72C16" w:rsidR="00AD7480" w:rsidRPr="00A87961" w:rsidRDefault="00D365F5" w:rsidP="0011737C">
      <w:pPr>
        <w:spacing w:line="480" w:lineRule="auto"/>
        <w:rPr>
          <w:rFonts w:cs="Times New Roman"/>
          <w:color w:val="000000" w:themeColor="text1"/>
          <w:vertAlign w:val="superscript"/>
        </w:rPr>
      </w:pPr>
      <w:r w:rsidRPr="00A87961">
        <w:rPr>
          <w:rFonts w:cs="Times New Roman"/>
          <w:color w:val="000000" w:themeColor="text1"/>
        </w:rPr>
        <w:t xml:space="preserve">Across the included studies, locomotor function was evaluated by </w:t>
      </w:r>
      <w:r w:rsidR="00A04659" w:rsidRPr="00A87961">
        <w:rPr>
          <w:rFonts w:cs="Times New Roman"/>
          <w:color w:val="000000" w:themeColor="text1"/>
        </w:rPr>
        <w:t xml:space="preserve">13 </w:t>
      </w:r>
      <w:r w:rsidRPr="00A87961">
        <w:rPr>
          <w:rFonts w:cs="Times New Roman"/>
          <w:color w:val="000000" w:themeColor="text1"/>
        </w:rPr>
        <w:t xml:space="preserve">studies, pain perception was </w:t>
      </w:r>
      <w:r w:rsidR="00AD7480" w:rsidRPr="00A87961">
        <w:rPr>
          <w:rFonts w:cs="Times New Roman"/>
          <w:color w:val="000000" w:themeColor="text1"/>
        </w:rPr>
        <w:t>evaluated</w:t>
      </w:r>
      <w:r w:rsidRPr="00A87961">
        <w:rPr>
          <w:rFonts w:cs="Times New Roman"/>
          <w:color w:val="000000" w:themeColor="text1"/>
        </w:rPr>
        <w:t xml:space="preserve"> by 8 studies and 1 study explored anxiety.</w:t>
      </w:r>
      <w:r w:rsidR="00AD7480" w:rsidRPr="00A87961">
        <w:rPr>
          <w:rFonts w:cs="Times New Roman"/>
          <w:color w:val="000000" w:themeColor="text1"/>
        </w:rPr>
        <w:t xml:space="preserve"> </w:t>
      </w:r>
      <w:r w:rsidRPr="00A87961">
        <w:rPr>
          <w:rFonts w:cs="Times New Roman"/>
          <w:color w:val="000000" w:themeColor="text1"/>
        </w:rPr>
        <w:t xml:space="preserve">8 different </w:t>
      </w:r>
      <w:r w:rsidR="00B64B56" w:rsidRPr="00A87961">
        <w:rPr>
          <w:rFonts w:cs="Times New Roman"/>
          <w:color w:val="000000" w:themeColor="text1"/>
        </w:rPr>
        <w:t>measures of locomotor function</w:t>
      </w:r>
      <w:r w:rsidR="002C1802" w:rsidRPr="00A87961">
        <w:rPr>
          <w:rFonts w:cs="Times New Roman"/>
          <w:color w:val="000000" w:themeColor="text1"/>
        </w:rPr>
        <w:t xml:space="preserve"> were used</w:t>
      </w:r>
      <w:r w:rsidR="006E0F19" w:rsidRPr="00A87961">
        <w:rPr>
          <w:rFonts w:cs="Times New Roman"/>
          <w:color w:val="000000" w:themeColor="text1"/>
        </w:rPr>
        <w:t xml:space="preserve"> </w:t>
      </w:r>
      <w:r w:rsidR="00BB2BB2" w:rsidRPr="00A87961">
        <w:rPr>
          <w:rFonts w:cs="Times New Roman"/>
          <w:color w:val="000000" w:themeColor="text1"/>
        </w:rPr>
        <w:t xml:space="preserve">(summarised in </w:t>
      </w:r>
      <w:r w:rsidR="006E0F19" w:rsidRPr="00A87961">
        <w:rPr>
          <w:rFonts w:cs="Times New Roman"/>
          <w:color w:val="000000" w:themeColor="text1"/>
        </w:rPr>
        <w:t xml:space="preserve">Figure </w:t>
      </w:r>
      <w:r w:rsidR="00B00BC0">
        <w:rPr>
          <w:rFonts w:cs="Times New Roman"/>
          <w:color w:val="000000" w:themeColor="text1"/>
        </w:rPr>
        <w:t>4</w:t>
      </w:r>
      <w:r w:rsidR="006E0F19" w:rsidRPr="00A87961">
        <w:rPr>
          <w:rFonts w:cs="Times New Roman"/>
          <w:color w:val="000000" w:themeColor="text1"/>
        </w:rPr>
        <w:t>A</w:t>
      </w:r>
      <w:r w:rsidR="00BB2BB2" w:rsidRPr="00A87961">
        <w:rPr>
          <w:rFonts w:cs="Times New Roman"/>
          <w:color w:val="000000" w:themeColor="text1"/>
        </w:rPr>
        <w:t>)</w:t>
      </w:r>
      <w:r w:rsidR="006E0F19" w:rsidRPr="00A87961">
        <w:rPr>
          <w:rFonts w:cs="Times New Roman"/>
          <w:color w:val="000000" w:themeColor="text1"/>
        </w:rPr>
        <w:t xml:space="preserve">. </w:t>
      </w:r>
      <w:r w:rsidRPr="00A87961">
        <w:rPr>
          <w:rFonts w:cs="Times New Roman"/>
          <w:color w:val="000000" w:themeColor="text1"/>
        </w:rPr>
        <w:t xml:space="preserve"> </w:t>
      </w:r>
      <w:r w:rsidR="006E0F19" w:rsidRPr="00A87961">
        <w:rPr>
          <w:rFonts w:cs="Times New Roman"/>
          <w:color w:val="000000" w:themeColor="text1"/>
        </w:rPr>
        <w:t xml:space="preserve">The most commonly used measures of </w:t>
      </w:r>
      <w:r w:rsidR="006E0F19" w:rsidRPr="00A87961">
        <w:rPr>
          <w:rFonts w:cs="Times New Roman"/>
          <w:color w:val="000000" w:themeColor="text1"/>
        </w:rPr>
        <w:lastRenderedPageBreak/>
        <w:t xml:space="preserve">locomotor function were </w:t>
      </w:r>
      <w:r w:rsidR="00E140E7" w:rsidRPr="00A87961">
        <w:rPr>
          <w:rFonts w:cs="Times New Roman"/>
          <w:color w:val="000000" w:themeColor="text1"/>
        </w:rPr>
        <w:t>Basso Mouse Scale (BMS) (n=5)</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"},"uris":["http://www.mendeley.com/documents/?uuid=448c9853-5856-4896-ba0c-60c20ea72a12"]},{"id":"ITEM-2","itemData":{"DOI":"http://dx.doi.org/10.1089/neu.2016.4808","ISBN":"0897-7151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","id":"ITEM-2","issue":"18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"},"uris":["http://www.mendeley.com/documents/?uuid=67ecec48-13bc-450c-bb2e-d13a34b122b3"]},{"id":"ITEM-3","itemData":{"DOI":"http://dx.doi.org/10.1016/j.cellimm.2018.02.016","ISBN":"0008-8749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","id":"ITEM-3","issued":{"date-parts":[["2018"]]},"language":"English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"},"uris":["http://www.mendeley.com/documents/?uuid=8076948f-95f3-4063-8ed6-058483424885"]},{"id":"ITEM-4","itemData":{"DOI":"http://dx.doi.org/10.1186/1742-2094-10-20","ISBN":"1742-2094","abstract":"Background: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","id":"ITEM-4","issued":{"date-parts":[["2013"]]},"language":"English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pag"},"uris":["http://www.mendeley.com/documents/?uuid=d7100582-c9fe-4a32-b8a8-a7a32dac973f"]},{"id":"ITEM-5","itemData":{"DOI":"10.1186/1742-2094-10-91","ISSN":"17422094","abstract":"Background: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Neuroinflammation","id":"ITEM-5","issued":{"date-parts":[["2013"]]},"page":"1-11","title":"A new co-ultramicronized composite including palmitoylethanolamide and luteolin to prevent neuroinflammation in spinal cord injury","type":"article-journal","volume":"10"},"uris":["http://www.mendeley.com/documents/?uuid=83caf321-577d-4e8f-890f-e4eb0b745118"]}],"mendeley":{"formattedCitation":"[44–48]","plainTextFormattedCitation":"[44–48]","previouslyFormattedCitation":"[44–48]"},"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9B5F4E" w:rsidRPr="009B5F4E">
        <w:rPr>
          <w:rFonts w:cs="Times New Roman"/>
          <w:noProof/>
          <w:color w:val="000000" w:themeColor="text1"/>
        </w:rPr>
        <w:t>[44–48]</w:t>
      </w:r>
      <w:r w:rsidR="00E140E7" w:rsidRPr="00A87961">
        <w:rPr>
          <w:rFonts w:cs="Times New Roman"/>
          <w:color w:val="000000" w:themeColor="text1"/>
          <w:vertAlign w:val="superscript"/>
        </w:rPr>
        <w:fldChar w:fldCharType="end"/>
      </w:r>
      <w:r w:rsidR="00E140E7" w:rsidRPr="00A87961">
        <w:rPr>
          <w:rFonts w:cs="Times New Roman"/>
          <w:color w:val="000000" w:themeColor="text1"/>
        </w:rPr>
        <w:t xml:space="preserve">, </w:t>
      </w:r>
      <w:r w:rsidR="00B64B56" w:rsidRPr="00A87961">
        <w:rPr>
          <w:rFonts w:cs="Times New Roman"/>
          <w:color w:val="000000" w:themeColor="text1"/>
        </w:rPr>
        <w:t>Basso, Beattie, Bresnahan (BBB) Locomotor score</w:t>
      </w:r>
      <w:r w:rsidR="00245283" w:rsidRPr="00A87961">
        <w:rPr>
          <w:rFonts w:cs="Times New Roman"/>
          <w:color w:val="000000" w:themeColor="text1"/>
        </w:rPr>
        <w:t xml:space="preserve"> (n=4)</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","id":"ITEM-2","issue":"3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"},"uris":["http://www.mendeley.com/documents/?uuid=68339ff5-82ee-44d5-869e-57be69a68478"]},{"id":"ITEM-3","itemData":{"DOI":"http://dx.doi.org/10.1124/jpet.108.136903","ISBN":"0022-3565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","id":"ITEM-3","issue":"1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"},"uris":["http://www.mendeley.com/documents/?uuid=2cfc6621-414e-4b93-83ad-6e8ba5e71c9d"]},{"id":"ITEM-4","itemData":{"DOI":"http://dx.doi.org/10.1016/j.brainres.2017.06.020","ISBN":"0006-8993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","id":"ITEM-4","issued":{"date-parts":[["2017"]]},"language":"English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[31,33,42,43]","plainTextFormattedCitation":"[31,33,42,43]","previouslyFormattedCitation":"[31,33,42,43]"},"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C416DA" w:rsidRPr="00C416DA">
        <w:rPr>
          <w:rFonts w:cs="Times New Roman"/>
          <w:noProof/>
          <w:color w:val="000000" w:themeColor="text1"/>
        </w:rPr>
        <w:t>[31,33,42,43]</w:t>
      </w:r>
      <w:r w:rsidR="00B64B56" w:rsidRPr="00A87961">
        <w:rPr>
          <w:rFonts w:cs="Times New Roman"/>
          <w:color w:val="000000" w:themeColor="text1"/>
          <w:vertAlign w:val="superscript"/>
        </w:rPr>
        <w:fldChar w:fldCharType="end"/>
      </w:r>
      <w:r w:rsidR="006E0F19" w:rsidRPr="00A87961">
        <w:rPr>
          <w:rFonts w:cs="Times New Roman"/>
          <w:color w:val="000000" w:themeColor="text1"/>
        </w:rPr>
        <w:t xml:space="preserve"> and</w:t>
      </w:r>
      <w:r w:rsidR="00B64B56" w:rsidRPr="00A87961">
        <w:rPr>
          <w:rFonts w:cs="Times New Roman"/>
          <w:color w:val="000000" w:themeColor="text1"/>
        </w:rPr>
        <w:t xml:space="preserve"> </w:t>
      </w:r>
      <w:r w:rsidR="00E140E7" w:rsidRPr="00A87961">
        <w:rPr>
          <w:rFonts w:cs="Times New Roman"/>
          <w:color w:val="000000" w:themeColor="text1"/>
        </w:rPr>
        <w:t>14-point motor deficit index (MDI) score (n=2)</w:t>
      </w:r>
      <w:r w:rsidR="00E140E7"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rats","type":"article-journal","volume":"157"},"uris":["http://www.mendeley.com/documents/?uuid=ec8545b1-3dcf-4122-9f12-a3060d18b471"]},{"id":"ITEM-2","itemData":{"DOI":"http://dx.doi.org/10.1016/j.jtcvs.2009.07.014","ISBN":"0022-5223","abstract":"Objective: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","id":"ITEM-2","issue":"6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[34,40]","plainTextFormattedCitation":"[34,40]","previouslyFormattedCitation":"[34,40]"},"properties":{"noteIndex":0},"schema":"https://github.com/citation-style-language/schema/raw/master/csl-citation.json"}</w:instrText>
      </w:r>
      <w:r w:rsidR="00E140E7" w:rsidRPr="00A87961">
        <w:rPr>
          <w:rFonts w:cs="Times New Roman"/>
          <w:color w:val="000000" w:themeColor="text1"/>
          <w:vertAlign w:val="superscript"/>
        </w:rPr>
        <w:fldChar w:fldCharType="separate"/>
      </w:r>
      <w:r w:rsidR="00C416DA" w:rsidRPr="00C416DA">
        <w:rPr>
          <w:rFonts w:cs="Times New Roman"/>
          <w:noProof/>
          <w:color w:val="000000" w:themeColor="text1"/>
        </w:rPr>
        <w:t>[34,40]</w:t>
      </w:r>
      <w:r w:rsidR="00E140E7" w:rsidRPr="00A87961">
        <w:rPr>
          <w:rFonts w:cs="Times New Roman"/>
          <w:color w:val="000000" w:themeColor="text1"/>
        </w:rPr>
        <w:fldChar w:fldCharType="end"/>
      </w:r>
      <w:r w:rsidR="006E0F19" w:rsidRPr="00A87961">
        <w:rPr>
          <w:rFonts w:cs="Times New Roman"/>
          <w:color w:val="000000" w:themeColor="text1"/>
        </w:rPr>
        <w:t>. B</w:t>
      </w:r>
      <w:r w:rsidR="00B64B56" w:rsidRPr="00A87961">
        <w:rPr>
          <w:rFonts w:cs="Times New Roman"/>
          <w:color w:val="000000" w:themeColor="text1"/>
        </w:rPr>
        <w:t>eam-walking test</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00B64B56" w:rsidRPr="00A87961">
        <w:rPr>
          <w:rFonts w:cs="Times New Roman"/>
          <w:color w:val="000000" w:themeColor="text1"/>
        </w:rPr>
        <w:fldChar w:fldCharType="end"/>
      </w:r>
      <w:r w:rsidR="00D108B3" w:rsidRPr="00A87961">
        <w:rPr>
          <w:rFonts w:cs="Times New Roman"/>
          <w:color w:val="000000" w:themeColor="text1"/>
        </w:rPr>
        <w:t>,</w:t>
      </w:r>
      <w:r w:rsidR="00B64B56" w:rsidRPr="00A87961">
        <w:rPr>
          <w:rFonts w:cs="Times New Roman"/>
          <w:color w:val="000000" w:themeColor="text1"/>
        </w:rPr>
        <w:t xml:space="preserve"> </w:t>
      </w:r>
      <w:proofErr w:type="spellStart"/>
      <w:r w:rsidR="00B64B56" w:rsidRPr="00A87961">
        <w:rPr>
          <w:rFonts w:cs="Times New Roman"/>
          <w:color w:val="000000" w:themeColor="text1"/>
        </w:rPr>
        <w:t>CatWalk</w:t>
      </w:r>
      <w:proofErr w:type="spellEnd"/>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00B64B56" w:rsidRPr="00A87961">
        <w:rPr>
          <w:rFonts w:cs="Times New Roman"/>
          <w:color w:val="000000" w:themeColor="text1"/>
        </w:rPr>
        <w:fldChar w:fldCharType="end"/>
      </w:r>
      <w:r w:rsidR="00B64B56" w:rsidRPr="00A87961">
        <w:rPr>
          <w:rFonts w:cs="Times New Roman"/>
          <w:color w:val="000000" w:themeColor="text1"/>
        </w:rPr>
        <w:t>, rodent rotarod</w:t>
      </w:r>
      <w:r w:rsidR="00D108B3" w:rsidRPr="00A87961">
        <w:rPr>
          <w:rFonts w:cs="Times New Roman"/>
          <w:color w:val="000000" w:themeColor="text1"/>
        </w:rPr>
        <w:t>)</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00B64B56" w:rsidRPr="00A87961">
        <w:rPr>
          <w:rFonts w:cs="Times New Roman"/>
          <w:color w:val="000000" w:themeColor="text1"/>
        </w:rPr>
        <w:fldChar w:fldCharType="end"/>
      </w:r>
      <w:r w:rsidR="00B64B56" w:rsidRPr="00A87961">
        <w:rPr>
          <w:rFonts w:cs="Times New Roman"/>
          <w:color w:val="000000" w:themeColor="text1"/>
        </w:rPr>
        <w:t>, spontaneous open field locomotor activity</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00B64B56" w:rsidRPr="00A87961">
        <w:rPr>
          <w:rFonts w:cs="Times New Roman"/>
          <w:color w:val="000000" w:themeColor="text1"/>
        </w:rPr>
        <w:fldChar w:fldCharType="end"/>
      </w:r>
      <w:r w:rsidR="00E140E7" w:rsidRPr="00A87961">
        <w:rPr>
          <w:rFonts w:cs="Times New Roman"/>
          <w:color w:val="000000" w:themeColor="text1"/>
        </w:rPr>
        <w:t xml:space="preserve"> and</w:t>
      </w:r>
      <w:r w:rsidR="00B64B56" w:rsidRPr="00A87961">
        <w:rPr>
          <w:rFonts w:cs="Times New Roman"/>
          <w:color w:val="000000" w:themeColor="text1"/>
        </w:rPr>
        <w:t xml:space="preserve"> </w:t>
      </w:r>
      <w:proofErr w:type="spellStart"/>
      <w:r w:rsidR="00B64B56" w:rsidRPr="00A87961">
        <w:rPr>
          <w:rFonts w:cs="Times New Roman"/>
          <w:color w:val="000000" w:themeColor="text1"/>
        </w:rPr>
        <w:t>Tarlov</w:t>
      </w:r>
      <w:proofErr w:type="spellEnd"/>
      <w:r w:rsidR="00B64B56" w:rsidRPr="00A87961">
        <w:rPr>
          <w:rFonts w:cs="Times New Roman"/>
          <w:color w:val="000000" w:themeColor="text1"/>
        </w:rPr>
        <w:t xml:space="preserve"> scoring system</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00B64B56" w:rsidRPr="00A87961">
        <w:rPr>
          <w:rFonts w:cs="Times New Roman"/>
          <w:color w:val="000000" w:themeColor="text1"/>
        </w:rPr>
        <w:fldChar w:fldCharType="end"/>
      </w:r>
      <w:r w:rsidR="006E0F19" w:rsidRPr="00A87961">
        <w:rPr>
          <w:rFonts w:cs="Times New Roman"/>
          <w:color w:val="000000" w:themeColor="text1"/>
        </w:rPr>
        <w:t xml:space="preserve"> were each used once.</w:t>
      </w:r>
      <w:r w:rsidR="00B64B56" w:rsidRPr="00A87961">
        <w:rPr>
          <w:rFonts w:cs="Times New Roman"/>
          <w:color w:val="000000" w:themeColor="text1"/>
        </w:rPr>
        <w:t xml:space="preserve"> </w:t>
      </w:r>
      <w:r w:rsidR="006E0F19" w:rsidRPr="00A87961">
        <w:rPr>
          <w:rFonts w:cs="Times New Roman"/>
          <w:color w:val="000000" w:themeColor="text1"/>
        </w:rPr>
        <w:t>Two</w:t>
      </w:r>
      <w:r w:rsidRPr="00A87961">
        <w:rPr>
          <w:rFonts w:cs="Times New Roman"/>
          <w:color w:val="000000" w:themeColor="text1"/>
        </w:rPr>
        <w:t xml:space="preserve"> </w:t>
      </w:r>
      <w:r w:rsidR="00B64B56" w:rsidRPr="00A87961">
        <w:rPr>
          <w:rFonts w:cs="Times New Roman"/>
          <w:color w:val="000000" w:themeColor="text1"/>
        </w:rPr>
        <w:t xml:space="preserve">measures of pain were </w:t>
      </w:r>
      <w:r w:rsidRPr="00A87961">
        <w:rPr>
          <w:rFonts w:cs="Times New Roman"/>
          <w:color w:val="000000" w:themeColor="text1"/>
        </w:rPr>
        <w:t>used</w:t>
      </w:r>
      <w:r w:rsidR="00387CD2" w:rsidRPr="00A87961">
        <w:rPr>
          <w:rFonts w:cs="Times New Roman"/>
          <w:color w:val="000000" w:themeColor="text1"/>
        </w:rPr>
        <w:t xml:space="preserve"> </w:t>
      </w:r>
      <w:r w:rsidR="00B34467" w:rsidRPr="00A87961">
        <w:rPr>
          <w:rFonts w:cs="Times New Roman"/>
          <w:color w:val="000000" w:themeColor="text1"/>
        </w:rPr>
        <w:t>(summarised</w:t>
      </w:r>
      <w:r w:rsidR="00387CD2" w:rsidRPr="00A87961">
        <w:rPr>
          <w:rFonts w:cs="Times New Roman"/>
          <w:color w:val="000000" w:themeColor="text1"/>
        </w:rPr>
        <w:t xml:space="preserve"> in Figure </w:t>
      </w:r>
      <w:r w:rsidR="00B00BC0">
        <w:rPr>
          <w:rFonts w:cs="Times New Roman"/>
          <w:color w:val="000000" w:themeColor="text1"/>
        </w:rPr>
        <w:t>4</w:t>
      </w:r>
      <w:r w:rsidR="00387CD2" w:rsidRPr="00A87961">
        <w:rPr>
          <w:rFonts w:cs="Times New Roman"/>
          <w:color w:val="000000" w:themeColor="text1"/>
        </w:rPr>
        <w:t>B</w:t>
      </w:r>
      <w:r w:rsidR="00B34467" w:rsidRPr="00A87961">
        <w:rPr>
          <w:rFonts w:cs="Times New Roman"/>
          <w:color w:val="000000" w:themeColor="text1"/>
        </w:rPr>
        <w:t>)</w:t>
      </w:r>
      <w:r w:rsidRPr="00A87961">
        <w:rPr>
          <w:rFonts w:cs="Times New Roman"/>
          <w:color w:val="000000" w:themeColor="text1"/>
        </w:rPr>
        <w:t xml:space="preserve">, namely </w:t>
      </w:r>
      <w:r w:rsidR="00AD7480" w:rsidRPr="00A87961">
        <w:rPr>
          <w:rFonts w:cs="Times New Roman"/>
          <w:color w:val="000000" w:themeColor="text1"/>
        </w:rPr>
        <w:t>the von Frey filament test</w:t>
      </w:r>
      <w:r w:rsidR="00D108B3" w:rsidRPr="00A87961">
        <w:rPr>
          <w:rFonts w:cs="Times New Roman"/>
          <w:color w:val="000000" w:themeColor="text1"/>
        </w:rPr>
        <w:t xml:space="preserve"> (n=5)</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","id":"ITEM-4","issue":"4-5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"},"uris":["http://www.mendeley.com/documents/?uuid=46f7852c-b3ee-41bf-b5cc-73d869c24a56"]},{"id":"ITEM-5","itemData":{"DOI":"http://dx.doi.org/10.1016/j.brainres.2011.07.031","ISBN":"0006-8993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","id":"ITEM-5","issued":{"date-parts":[["2011"]]},"language":"English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"},"uris":["http://www.mendeley.com/documents/?uuid=f5745367-b54b-4417-ae50-798fa20b8bce"]},{"id":"ITEM-6","itemData":{"DOI":"http://dx.doi.org/10.1002/prp2.34","ISBN":"2052-1707","abstract":"A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","id":"ITEM-6","issue":"2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[31,35–39]","plainTextFormattedCitation":"[31,35–39]","previouslyFormattedCitation":"[31,35–39]"},"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[31,35–39]</w:t>
      </w:r>
      <w:r w:rsidR="001A026A" w:rsidRPr="00A87961">
        <w:rPr>
          <w:rFonts w:cs="Times New Roman"/>
          <w:color w:val="000000" w:themeColor="text1"/>
          <w:vertAlign w:val="superscript"/>
        </w:rPr>
        <w:fldChar w:fldCharType="end"/>
      </w:r>
      <w:r w:rsidR="00B64B56" w:rsidRPr="00A87961">
        <w:rPr>
          <w:rFonts w:cs="Times New Roman"/>
          <w:color w:val="000000" w:themeColor="text1"/>
        </w:rPr>
        <w:t xml:space="preserve"> and hind paw withdrawal to thermal stimulus</w:t>
      </w:r>
      <w:r w:rsidR="00D108B3" w:rsidRPr="00A87961">
        <w:rPr>
          <w:rFonts w:cs="Times New Roman"/>
          <w:color w:val="000000" w:themeColor="text1"/>
        </w:rPr>
        <w:t xml:space="preserve"> (n=3)</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","id":"ITEM-2","issue":"12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"},"uris":["http://www.mendeley.com/documents/?uuid=61d568c6-10c5-4b77-8ca9-f48a80aa5f2a"]},{"id":"ITEM-3","itemData":{"DOI":"http://dx.doi.org/10.1016/j.cellimm.2018.02.016","ISBN":"0008-8749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","id":"ITEM-3","issued":{"date-parts":[["2018"]]},"language":"English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[30,31,46]","plainTextFormattedCitation":"[30,31,46]","previouslyFormattedCitation":"[30,31,46]"},"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9B5F4E" w:rsidRPr="009B5F4E">
        <w:rPr>
          <w:rFonts w:cs="Times New Roman"/>
          <w:noProof/>
          <w:color w:val="000000" w:themeColor="text1"/>
        </w:rPr>
        <w:t>[30,31,46]</w:t>
      </w:r>
      <w:r w:rsidR="00B64B56" w:rsidRPr="00A87961">
        <w:rPr>
          <w:rFonts w:cs="Times New Roman"/>
          <w:color w:val="000000" w:themeColor="text1"/>
        </w:rPr>
        <w:fldChar w:fldCharType="end"/>
      </w:r>
      <w:r w:rsidR="00B64B56" w:rsidRPr="00A87961">
        <w:rPr>
          <w:rFonts w:cs="Times New Roman"/>
          <w:color w:val="000000" w:themeColor="text1"/>
        </w:rPr>
        <w:t>. The elevated plus maze test</w:t>
      </w:r>
      <w:r w:rsidR="00B64B56"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00B64B56"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00B64B56" w:rsidRPr="00A87961">
        <w:rPr>
          <w:rFonts w:cs="Times New Roman"/>
          <w:color w:val="000000" w:themeColor="text1"/>
        </w:rPr>
        <w:fldChar w:fldCharType="end"/>
      </w:r>
      <w:r w:rsidR="00B64B56" w:rsidRPr="00A87961">
        <w:rPr>
          <w:rFonts w:cs="Times New Roman"/>
          <w:color w:val="000000" w:themeColor="text1"/>
        </w:rPr>
        <w:t xml:space="preserve"> was the</w:t>
      </w:r>
      <w:r w:rsidR="000301E3" w:rsidRPr="00A87961">
        <w:rPr>
          <w:rFonts w:cs="Times New Roman"/>
          <w:color w:val="000000" w:themeColor="text1"/>
        </w:rPr>
        <w:t xml:space="preserve"> sole</w:t>
      </w:r>
      <w:r w:rsidR="00B64B56" w:rsidRPr="00A87961">
        <w:rPr>
          <w:rFonts w:cs="Times New Roman"/>
          <w:color w:val="000000" w:themeColor="text1"/>
        </w:rPr>
        <w:t xml:space="preserve"> measure of anxiety</w:t>
      </w:r>
      <w:r w:rsidR="00D108B3" w:rsidRPr="00A87961">
        <w:rPr>
          <w:rFonts w:cs="Times New Roman"/>
          <w:color w:val="000000" w:themeColor="text1"/>
        </w:rPr>
        <w:t xml:space="preserve"> (n=1)</w:t>
      </w:r>
      <w:r w:rsidR="00B64B56" w:rsidRPr="00A87961">
        <w:rPr>
          <w:rFonts w:cs="Times New Roman"/>
          <w:color w:val="000000" w:themeColor="text1"/>
        </w:rPr>
        <w:t xml:space="preserve">. </w:t>
      </w:r>
      <w:r w:rsidR="002579B6" w:rsidRPr="00A87961">
        <w:rPr>
          <w:rFonts w:cs="Times New Roman"/>
          <w:color w:val="000000" w:themeColor="text1"/>
        </w:rPr>
        <w:t xml:space="preserve">No studies assessed the sedative effects of cannabinoids. </w:t>
      </w:r>
      <w:r w:rsidR="00AD7480" w:rsidRPr="00A87961">
        <w:rPr>
          <w:rFonts w:cs="Times New Roman"/>
          <w:color w:val="000000" w:themeColor="text1"/>
        </w:rPr>
        <w:t xml:space="preserve">Table </w:t>
      </w:r>
      <w:r w:rsidR="00B00BC0">
        <w:rPr>
          <w:rFonts w:cs="Times New Roman"/>
          <w:color w:val="000000" w:themeColor="text1"/>
        </w:rPr>
        <w:t>2</w:t>
      </w:r>
      <w:r w:rsidR="00AD7480" w:rsidRPr="00A87961">
        <w:rPr>
          <w:rFonts w:cs="Times New Roman"/>
          <w:color w:val="000000" w:themeColor="text1"/>
        </w:rPr>
        <w:t xml:space="preserve"> summarises </w:t>
      </w:r>
      <w:proofErr w:type="gramStart"/>
      <w:r w:rsidR="00AD7480" w:rsidRPr="00A87961">
        <w:rPr>
          <w:rFonts w:cs="Times New Roman"/>
          <w:color w:val="000000" w:themeColor="text1"/>
        </w:rPr>
        <w:t>all of</w:t>
      </w:r>
      <w:proofErr w:type="gramEnd"/>
      <w:r w:rsidR="00AD7480" w:rsidRPr="00A87961">
        <w:rPr>
          <w:rFonts w:cs="Times New Roman"/>
          <w:color w:val="000000" w:themeColor="text1"/>
        </w:rPr>
        <w:t xml:space="preserve"> the scoring systems used</w:t>
      </w:r>
      <w:r w:rsidR="00C66206" w:rsidRPr="00A87961">
        <w:rPr>
          <w:rFonts w:cs="Times New Roman"/>
          <w:color w:val="000000" w:themeColor="text1"/>
        </w:rPr>
        <w:t xml:space="preserve"> </w:t>
      </w:r>
      <w:r w:rsidR="00AD7480" w:rsidRPr="00A87961">
        <w:rPr>
          <w:rFonts w:cs="Times New Roman"/>
          <w:color w:val="000000" w:themeColor="text1"/>
        </w:rPr>
        <w:t>to evaluate outcomes. Assessment time points ranged from 30 minutes</w:t>
      </w:r>
      <w:r w:rsidR="00AD7480"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[35]","plainTextFormattedCitation":"[35]","previouslyFormattedCitation":"[35]"},"properties":{"noteIndex":0},"schema":"https://github.com/citation-style-language/schema/raw/master/csl-citation.json"}</w:instrText>
      </w:r>
      <w:r w:rsidR="00AD7480" w:rsidRPr="00A87961">
        <w:rPr>
          <w:rFonts w:cs="Times New Roman"/>
          <w:color w:val="000000" w:themeColor="text1"/>
          <w:vertAlign w:val="superscript"/>
        </w:rPr>
        <w:fldChar w:fldCharType="separate"/>
      </w:r>
      <w:r w:rsidR="00C416DA" w:rsidRPr="00C416DA">
        <w:rPr>
          <w:rFonts w:cs="Times New Roman"/>
          <w:noProof/>
          <w:color w:val="000000" w:themeColor="text1"/>
        </w:rPr>
        <w:t>[35]</w:t>
      </w:r>
      <w:r w:rsidR="00AD7480" w:rsidRPr="00A87961">
        <w:rPr>
          <w:rFonts w:cs="Times New Roman"/>
          <w:color w:val="000000" w:themeColor="text1"/>
        </w:rPr>
        <w:fldChar w:fldCharType="end"/>
      </w:r>
      <w:r w:rsidR="00AD7480" w:rsidRPr="00A87961">
        <w:rPr>
          <w:rFonts w:cs="Times New Roman"/>
          <w:color w:val="000000" w:themeColor="text1"/>
        </w:rPr>
        <w:t xml:space="preserve"> to 90 days</w:t>
      </w:r>
      <w:r w:rsidR="00AD7480"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00AD7480"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00AD7480" w:rsidRPr="00A87961">
        <w:rPr>
          <w:rFonts w:cs="Times New Roman"/>
          <w:color w:val="000000" w:themeColor="text1"/>
        </w:rPr>
        <w:fldChar w:fldCharType="end"/>
      </w:r>
      <w:r w:rsidR="00AD7480" w:rsidRPr="00A87961">
        <w:rPr>
          <w:rFonts w:cs="Times New Roman"/>
          <w:color w:val="000000" w:themeColor="text1"/>
        </w:rPr>
        <w:t xml:space="preserve"> after cannabinoid administration. Table </w:t>
      </w:r>
      <w:r w:rsidR="00B00BC0">
        <w:rPr>
          <w:rFonts w:cs="Times New Roman"/>
          <w:color w:val="000000" w:themeColor="text1"/>
        </w:rPr>
        <w:t>3</w:t>
      </w:r>
      <w:r w:rsidR="00AD7480" w:rsidRPr="00A87961">
        <w:rPr>
          <w:rFonts w:cs="Times New Roman"/>
          <w:color w:val="000000" w:themeColor="text1"/>
        </w:rPr>
        <w:t xml:space="preserve"> groups the included studies by </w:t>
      </w:r>
      <w:proofErr w:type="spellStart"/>
      <w:r w:rsidR="00AD7480" w:rsidRPr="00A87961">
        <w:rPr>
          <w:rFonts w:cs="Times New Roman"/>
          <w:color w:val="000000" w:themeColor="text1"/>
        </w:rPr>
        <w:t>neurobehavioural</w:t>
      </w:r>
      <w:proofErr w:type="spellEnd"/>
      <w:r w:rsidR="00AD7480" w:rsidRPr="00A87961">
        <w:rPr>
          <w:rFonts w:cs="Times New Roman"/>
          <w:color w:val="000000" w:themeColor="text1"/>
        </w:rPr>
        <w:t xml:space="preserve"> outcome,</w:t>
      </w:r>
      <w:r w:rsidR="00C66206" w:rsidRPr="00A87961">
        <w:rPr>
          <w:rFonts w:cs="Times New Roman"/>
          <w:color w:val="000000" w:themeColor="text1"/>
        </w:rPr>
        <w:t xml:space="preserve"> </w:t>
      </w:r>
      <w:r w:rsidR="00AD7480" w:rsidRPr="00A87961">
        <w:rPr>
          <w:rFonts w:cs="Times New Roman"/>
          <w:color w:val="000000" w:themeColor="text1"/>
        </w:rPr>
        <w:t>and summarises the sample features, injury models, interventions, assessment tools and key findings.</w:t>
      </w:r>
      <w:r w:rsidR="00EA3547" w:rsidRPr="00A87961">
        <w:rPr>
          <w:rFonts w:cs="Times New Roman"/>
          <w:color w:val="000000" w:themeColor="text1"/>
        </w:rPr>
        <w:t xml:space="preserve"> </w:t>
      </w:r>
      <w:proofErr w:type="gramStart"/>
      <w:r w:rsidR="00C445C0" w:rsidRPr="00A87961">
        <w:rPr>
          <w:rFonts w:cs="Times New Roman"/>
          <w:color w:val="000000" w:themeColor="text1"/>
        </w:rPr>
        <w:t>Figure</w:t>
      </w:r>
      <w:proofErr w:type="gramEnd"/>
      <w:r w:rsidR="0004168B" w:rsidRPr="00A87961">
        <w:rPr>
          <w:rFonts w:cs="Times New Roman"/>
          <w:color w:val="000000" w:themeColor="text1"/>
        </w:rPr>
        <w:t xml:space="preserve"> </w:t>
      </w:r>
      <w:r w:rsidR="00B00BC0">
        <w:rPr>
          <w:rFonts w:cs="Times New Roman"/>
          <w:color w:val="000000" w:themeColor="text1"/>
        </w:rPr>
        <w:t>2</w:t>
      </w:r>
      <w:r w:rsidR="0004168B" w:rsidRPr="00A87961">
        <w:rPr>
          <w:rFonts w:cs="Times New Roman"/>
          <w:color w:val="000000" w:themeColor="text1"/>
        </w:rPr>
        <w:t xml:space="preserve"> and </w:t>
      </w:r>
      <w:r w:rsidR="00B00BC0">
        <w:rPr>
          <w:rFonts w:cs="Times New Roman"/>
          <w:color w:val="000000" w:themeColor="text1"/>
        </w:rPr>
        <w:t>3</w:t>
      </w:r>
      <w:r w:rsidR="00C445C0" w:rsidRPr="00A87961">
        <w:rPr>
          <w:rFonts w:cs="Times New Roman"/>
          <w:color w:val="000000" w:themeColor="text1"/>
        </w:rPr>
        <w:t xml:space="preserve"> investigat</w:t>
      </w:r>
      <w:r w:rsidR="0004168B" w:rsidRPr="00A87961">
        <w:rPr>
          <w:rFonts w:cs="Times New Roman"/>
          <w:color w:val="000000" w:themeColor="text1"/>
        </w:rPr>
        <w:t>e</w:t>
      </w:r>
      <w:r w:rsidR="00C445C0" w:rsidRPr="00A87961">
        <w:rPr>
          <w:rFonts w:cs="Times New Roman"/>
          <w:color w:val="000000" w:themeColor="text1"/>
        </w:rPr>
        <w:t xml:space="preserve"> the effects of specific cannabinoid interventions and injury model on locomotor and pain </w:t>
      </w:r>
      <w:r w:rsidR="0004168B" w:rsidRPr="00A87961">
        <w:rPr>
          <w:rFonts w:cs="Times New Roman"/>
          <w:color w:val="000000" w:themeColor="text1"/>
        </w:rPr>
        <w:t>and highlight the</w:t>
      </w:r>
      <w:r w:rsidR="00C445C0" w:rsidRPr="00A87961">
        <w:rPr>
          <w:rFonts w:cs="Times New Roman"/>
          <w:color w:val="000000" w:themeColor="text1"/>
        </w:rPr>
        <w:t xml:space="preserve"> heterogeneity </w:t>
      </w:r>
      <w:r w:rsidR="0004168B" w:rsidRPr="00A87961">
        <w:rPr>
          <w:rFonts w:cs="Times New Roman"/>
          <w:color w:val="000000" w:themeColor="text1"/>
        </w:rPr>
        <w:t>of the included studies</w:t>
      </w:r>
      <w:r w:rsidR="00C445C0" w:rsidRPr="00A87961">
        <w:rPr>
          <w:rFonts w:cs="Times New Roman"/>
          <w:color w:val="000000" w:themeColor="text1"/>
        </w:rPr>
        <w:t xml:space="preserve">. </w:t>
      </w:r>
      <w:r w:rsidR="00B00BC0" w:rsidRPr="00A87961">
        <w:rPr>
          <w:rFonts w:cs="Times New Roman"/>
          <w:color w:val="000000" w:themeColor="text1"/>
        </w:rPr>
        <w:t xml:space="preserve">Figure </w:t>
      </w:r>
      <w:r w:rsidR="00B00BC0">
        <w:rPr>
          <w:rFonts w:cs="Times New Roman"/>
          <w:color w:val="000000" w:themeColor="text1"/>
        </w:rPr>
        <w:t>4</w:t>
      </w:r>
      <w:r w:rsidR="00B00BC0" w:rsidRPr="00A87961">
        <w:rPr>
          <w:rFonts w:cs="Times New Roman"/>
          <w:color w:val="000000" w:themeColor="text1"/>
        </w:rPr>
        <w:t xml:space="preserve"> visually represents the overall effects of cannabinoids on locomotor function and pain. </w:t>
      </w:r>
      <w:r w:rsidR="00AD7480" w:rsidRPr="00A87961">
        <w:rPr>
          <w:rFonts w:cs="Times New Roman"/>
          <w:color w:val="000000" w:themeColor="text1"/>
        </w:rPr>
        <w:t xml:space="preserve">Further information relating to individual studies can be found in </w:t>
      </w:r>
      <w:r w:rsidR="00687B55" w:rsidRPr="00A87961">
        <w:rPr>
          <w:rFonts w:cs="Times New Roman"/>
          <w:color w:val="000000" w:themeColor="text1"/>
        </w:rPr>
        <w:t xml:space="preserve">the </w:t>
      </w:r>
      <w:r w:rsidR="00AD7480" w:rsidRPr="00A87961">
        <w:rPr>
          <w:rFonts w:cs="Times New Roman"/>
          <w:color w:val="000000" w:themeColor="text1"/>
        </w:rPr>
        <w:t>Supplementary Material.</w:t>
      </w:r>
      <w:r w:rsidR="00FF2562" w:rsidRPr="00A87961">
        <w:rPr>
          <w:rFonts w:cs="Times New Roman"/>
          <w:color w:val="000000" w:themeColor="text1"/>
        </w:rPr>
        <w:t xml:space="preserve"> </w:t>
      </w:r>
    </w:p>
    <w:p w14:paraId="11B8C148" w14:textId="77DBADBC" w:rsidR="002067E8" w:rsidRPr="00A87961" w:rsidRDefault="002067E8" w:rsidP="0011737C">
      <w:pPr>
        <w:spacing w:line="480" w:lineRule="auto"/>
        <w:rPr>
          <w:rFonts w:cs="Times New Roman"/>
          <w:color w:val="000000" w:themeColor="text1"/>
        </w:rPr>
      </w:pPr>
    </w:p>
    <w:p w14:paraId="736C0A43" w14:textId="77777777" w:rsidR="002067E8" w:rsidRPr="00A87961" w:rsidRDefault="002067E8" w:rsidP="0011737C">
      <w:pPr>
        <w:spacing w:line="480" w:lineRule="auto"/>
        <w:rPr>
          <w:rFonts w:cs="Times New Roman"/>
          <w:b/>
          <w:bCs/>
        </w:rPr>
      </w:pPr>
      <w:r w:rsidRPr="00A87961">
        <w:rPr>
          <w:rFonts w:cs="Times New Roman"/>
          <w:b/>
          <w:bCs/>
          <w:color w:val="000000" w:themeColor="text1"/>
        </w:rPr>
        <w:t>Risk of Bias</w:t>
      </w:r>
    </w:p>
    <w:p w14:paraId="1BE6C05A" w14:textId="77A18A44" w:rsidR="00361E4B" w:rsidRPr="00A87961" w:rsidRDefault="00AD7480" w:rsidP="0011737C">
      <w:pPr>
        <w:spacing w:line="480" w:lineRule="auto"/>
        <w:rPr>
          <w:rFonts w:cs="Times New Roman"/>
        </w:rPr>
      </w:pPr>
      <w:r w:rsidRPr="00A87961">
        <w:rPr>
          <w:rFonts w:cs="Times New Roman"/>
        </w:rPr>
        <w:t xml:space="preserve">Allocation sequence was adequately generated and applied in 12 out of </w:t>
      </w:r>
      <w:r w:rsidR="00A5420A" w:rsidRPr="00A87961">
        <w:rPr>
          <w:rFonts w:cs="Times New Roman"/>
        </w:rPr>
        <w:t>19</w:t>
      </w:r>
      <w:r w:rsidRPr="00A87961">
        <w:rPr>
          <w:rFonts w:cs="Times New Roman"/>
        </w:rPr>
        <w:t xml:space="preserve"> studies, the remaining studies may have been randomised but did not describe their allocation sequence. </w:t>
      </w:r>
      <w:r w:rsidRPr="00A87961">
        <w:rPr>
          <w:rFonts w:cs="Times New Roman"/>
          <w:color w:val="000000" w:themeColor="text1"/>
        </w:rPr>
        <w:t xml:space="preserve">Four studies stated that group </w:t>
      </w:r>
      <w:proofErr w:type="spellStart"/>
      <w:r w:rsidRPr="00A87961">
        <w:rPr>
          <w:rFonts w:cs="Times New Roman"/>
          <w:color w:val="000000" w:themeColor="text1"/>
        </w:rPr>
        <w:t>neurobehavioural</w:t>
      </w:r>
      <w:proofErr w:type="spellEnd"/>
      <w:r w:rsidRPr="00A87961">
        <w:rPr>
          <w:rFonts w:cs="Times New Roman"/>
          <w:color w:val="000000" w:themeColor="text1"/>
        </w:rPr>
        <w:t xml:space="preserve"> characteristics were </w:t>
      </w:r>
      <w:proofErr w:type="gramStart"/>
      <w:r w:rsidRPr="00A87961">
        <w:rPr>
          <w:rFonts w:cs="Times New Roman"/>
          <w:color w:val="000000" w:themeColor="text1"/>
        </w:rPr>
        <w:t>similar to</w:t>
      </w:r>
      <w:proofErr w:type="gramEnd"/>
      <w:r w:rsidRPr="00A87961">
        <w:rPr>
          <w:rFonts w:cs="Times New Roman"/>
          <w:color w:val="000000" w:themeColor="text1"/>
        </w:rPr>
        <w:t xml:space="preserve"> baseline</w:t>
      </w:r>
      <w:r w:rsidRPr="00A87961">
        <w:rPr>
          <w:rFonts w:cs="Times New Roman"/>
        </w:rPr>
        <w:t xml:space="preserve">. No studies stated if the allocation was adequately concealed or if animals were randomly housed during the experiment. No studies stated if animals were selected at random for outcome assessment. The outcome assessor was blinded in 7 out of 19 studies; however, no studies explicitly stated that caregivers or investigators were blinded. One study stated one mouse in </w:t>
      </w:r>
      <w:r w:rsidRPr="00A87961">
        <w:rPr>
          <w:rFonts w:cs="Times New Roman"/>
        </w:rPr>
        <w:lastRenderedPageBreak/>
        <w:t>the vehicle group died but provided no further information regarding under what circumstances this occurred</w:t>
      </w:r>
      <w:r w:rsidR="00C62CF1" w:rsidRPr="00A87961">
        <w:rPr>
          <w:rFonts w:cs="Times New Roman"/>
        </w:rPr>
        <w:t>.</w:t>
      </w:r>
      <w:r w:rsidRPr="00A87961">
        <w:rPr>
          <w:rFonts w:cs="Times New Roman"/>
          <w:color w:val="FFFF00"/>
        </w:rPr>
        <w:t xml:space="preserve"> </w:t>
      </w:r>
      <w:r w:rsidR="00F50C4F" w:rsidRPr="00A87961">
        <w:rPr>
          <w:rFonts w:cs="Times New Roman"/>
          <w:color w:val="000000" w:themeColor="text1"/>
        </w:rPr>
        <w:t>A l</w:t>
      </w:r>
      <w:r w:rsidR="00680F31" w:rsidRPr="00A87961">
        <w:rPr>
          <w:rFonts w:cs="Times New Roman"/>
          <w:color w:val="000000" w:themeColor="text1"/>
        </w:rPr>
        <w:t>ack of reporting of items on the SYRCLE checklist</w:t>
      </w:r>
      <w:r w:rsidR="00A5420A" w:rsidRPr="00A87961">
        <w:rPr>
          <w:rFonts w:cs="Times New Roman"/>
          <w:color w:val="000000" w:themeColor="text1"/>
        </w:rPr>
        <w:t xml:space="preserve"> across the 19 included studies</w:t>
      </w:r>
      <w:r w:rsidR="00F50C4F" w:rsidRPr="00A87961">
        <w:rPr>
          <w:rFonts w:cs="Times New Roman"/>
          <w:color w:val="000000" w:themeColor="text1"/>
        </w:rPr>
        <w:t xml:space="preserve"> </w:t>
      </w:r>
      <w:r w:rsidR="00A5420A" w:rsidRPr="00A87961">
        <w:rPr>
          <w:rFonts w:cs="Times New Roman"/>
          <w:color w:val="000000" w:themeColor="text1"/>
        </w:rPr>
        <w:t>means</w:t>
      </w:r>
      <w:r w:rsidR="00F50C4F" w:rsidRPr="00A87961">
        <w:rPr>
          <w:rFonts w:cs="Times New Roman"/>
          <w:color w:val="000000" w:themeColor="text1"/>
        </w:rPr>
        <w:t xml:space="preserve"> that</w:t>
      </w:r>
      <w:r w:rsidR="00680F31" w:rsidRPr="00A87961">
        <w:rPr>
          <w:rFonts w:cs="Times New Roman"/>
          <w:color w:val="000000" w:themeColor="text1"/>
        </w:rPr>
        <w:t xml:space="preserve"> </w:t>
      </w:r>
      <w:r w:rsidR="00A5420A" w:rsidRPr="00A87961">
        <w:rPr>
          <w:rFonts w:cs="Times New Roman"/>
          <w:color w:val="000000" w:themeColor="text1"/>
        </w:rPr>
        <w:t>accurately determin</w:t>
      </w:r>
      <w:r w:rsidR="00DD3298" w:rsidRPr="00A87961">
        <w:rPr>
          <w:rFonts w:cs="Times New Roman"/>
          <w:color w:val="000000" w:themeColor="text1"/>
        </w:rPr>
        <w:t>ing</w:t>
      </w:r>
      <w:r w:rsidR="00A5420A" w:rsidRPr="00A87961">
        <w:rPr>
          <w:rFonts w:cs="Times New Roman"/>
          <w:color w:val="000000" w:themeColor="text1"/>
        </w:rPr>
        <w:t xml:space="preserve"> the risk of bias </w:t>
      </w:r>
      <w:r w:rsidR="00DD3298" w:rsidRPr="00A87961">
        <w:rPr>
          <w:rFonts w:cs="Times New Roman"/>
          <w:color w:val="000000" w:themeColor="text1"/>
        </w:rPr>
        <w:t>is challenging</w:t>
      </w:r>
      <w:r w:rsidR="00F50C4F" w:rsidRPr="00A87961">
        <w:rPr>
          <w:rFonts w:cs="Times New Roman"/>
          <w:color w:val="000000" w:themeColor="text1"/>
        </w:rPr>
        <w:t>. This means that</w:t>
      </w:r>
      <w:r w:rsidR="00A54E92" w:rsidRPr="00A87961">
        <w:rPr>
          <w:rFonts w:cs="Times New Roman"/>
          <w:color w:val="000000" w:themeColor="text1"/>
        </w:rPr>
        <w:t xml:space="preserve"> </w:t>
      </w:r>
      <w:r w:rsidR="00A5420A" w:rsidRPr="00A87961">
        <w:rPr>
          <w:rFonts w:cs="Times New Roman"/>
          <w:color w:val="000000" w:themeColor="text1"/>
        </w:rPr>
        <w:t xml:space="preserve">the overall risk of bias remains </w:t>
      </w:r>
      <w:proofErr w:type="gramStart"/>
      <w:r w:rsidR="00A5420A" w:rsidRPr="00A87961">
        <w:rPr>
          <w:rFonts w:cs="Times New Roman"/>
          <w:color w:val="000000" w:themeColor="text1"/>
        </w:rPr>
        <w:t>unclear</w:t>
      </w:r>
      <w:proofErr w:type="gramEnd"/>
      <w:r w:rsidR="00A5420A" w:rsidRPr="00A87961">
        <w:rPr>
          <w:rFonts w:cs="Times New Roman"/>
          <w:color w:val="000000" w:themeColor="text1"/>
        </w:rPr>
        <w:t xml:space="preserve"> and all results must be interpreted in the context of this. </w:t>
      </w:r>
      <w:r w:rsidRPr="00A87961">
        <w:rPr>
          <w:rFonts w:cs="Times New Roman"/>
        </w:rPr>
        <w:t xml:space="preserve">Full details of risk of bias assessment are provided in </w:t>
      </w:r>
      <w:r w:rsidR="00B51CDE" w:rsidRPr="00A87961">
        <w:rPr>
          <w:rFonts w:cs="Times New Roman"/>
        </w:rPr>
        <w:t xml:space="preserve">the </w:t>
      </w:r>
      <w:r w:rsidRPr="00A87961">
        <w:rPr>
          <w:rFonts w:cs="Times New Roman"/>
        </w:rPr>
        <w:t>Supplementary Materia</w:t>
      </w:r>
      <w:r w:rsidR="00932692" w:rsidRPr="00A87961">
        <w:rPr>
          <w:rFonts w:cs="Times New Roman"/>
        </w:rPr>
        <w:t>l.</w:t>
      </w:r>
      <w:r w:rsidR="002579B6" w:rsidRPr="00A87961">
        <w:rPr>
          <w:rFonts w:cs="Times New Roman"/>
        </w:rPr>
        <w:t xml:space="preserve"> </w:t>
      </w:r>
    </w:p>
    <w:p w14:paraId="207ABB98" w14:textId="77777777" w:rsidR="00932692" w:rsidRPr="00A87961" w:rsidRDefault="00932692" w:rsidP="0011737C">
      <w:pPr>
        <w:spacing w:line="480" w:lineRule="auto"/>
        <w:rPr>
          <w:rFonts w:cs="Times New Roman"/>
        </w:rPr>
      </w:pPr>
    </w:p>
    <w:p w14:paraId="28DF3D9D" w14:textId="0AA85C6C" w:rsidR="00932692" w:rsidRPr="00A87961" w:rsidRDefault="00932692" w:rsidP="00932692">
      <w:pPr>
        <w:spacing w:line="480" w:lineRule="auto"/>
        <w:rPr>
          <w:rFonts w:cs="Times New Roman"/>
          <w:b/>
          <w:bCs/>
        </w:rPr>
      </w:pPr>
      <w:r w:rsidRPr="00A87961">
        <w:rPr>
          <w:rFonts w:cs="Times New Roman"/>
          <w:b/>
          <w:bCs/>
        </w:rPr>
        <w:t xml:space="preserve">What is the impact of cannabinoids on locomotor outcomes? </w:t>
      </w:r>
    </w:p>
    <w:p w14:paraId="174B719A" w14:textId="6443D357" w:rsidR="00932692" w:rsidRPr="00A87961" w:rsidRDefault="00932692" w:rsidP="00932692">
      <w:pPr>
        <w:spacing w:line="480" w:lineRule="auto"/>
        <w:rPr>
          <w:rFonts w:cs="Times New Roman"/>
        </w:rPr>
      </w:pPr>
      <w:r w:rsidRPr="00A87961">
        <w:rPr>
          <w:rFonts w:cs="Times New Roman"/>
        </w:rPr>
        <w:t>13 studies assessed locomotor outcomes of which five assessed BMS</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"},"uris":["http://www.mendeley.com/documents/?uuid=8076948f-95f3-4063-8ed6-058483424885"]},{"id":"ITEM-2","itemData":{"DOI":"http://dx.doi.org/10.1016/j.neulet.2015.04.016","ISBN":"0304-3940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","id":"ITEM-2","issued":{"date-parts":[["2015"]]},"language":"English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"},"uris":["http://www.mendeley.com/documents/?uuid=448c9853-5856-4896-ba0c-60c20ea72a12"]},{"id":"ITEM-3","itemData":{"DOI":"http://dx.doi.org/10.1186/1742-2094-10-20","ISBN":"1742-2094","abstract":"Background: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","id":"ITEM-3","issued":{"date-parts":[["2013"]]},"language":"English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pag"},"uris":["http://www.mendeley.com/documents/?uuid=d7100582-c9fe-4a32-b8a8-a7a32dac973f"]},{"id":"ITEM-4","itemData":{"DOI":"10.1186/1742-2094-10-91","ISSN":"17422094","abstract":"Background: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Neuroinflammation","id":"ITEM-4","issued":{"date-parts":[["2013"]]},"page":"1-11","title":"A new co-ultramicronized composite including palmitoylethanolamide and luteolin to prevent neuroinflammation in spinal cord injury","type":"article-journal","volume":"10"},"uris":["http://www.mendeley.com/documents/?uuid=83caf321-577d-4e8f-890f-e4eb0b745118"]},{"id":"ITEM-5","itemData":{"DOI":"http://dx.doi.org/10.1089/neu.2016.4808","ISBN":"0897-7151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","id":"ITEM-5","issue":"18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mendeley":{"formattedCitation":"[44–48]","plainTextFormattedCitation":"[44–48]","previouslyFormattedCitation":"[44–48]"},"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9B5F4E" w:rsidRPr="009B5F4E">
        <w:rPr>
          <w:rFonts w:cs="Times New Roman"/>
          <w:noProof/>
          <w:color w:val="000000" w:themeColor="text1"/>
        </w:rPr>
        <w:t>[44–48]</w:t>
      </w:r>
      <w:r w:rsidR="001A026A" w:rsidRPr="00A87961">
        <w:rPr>
          <w:rFonts w:cs="Times New Roman"/>
          <w:color w:val="000000" w:themeColor="text1"/>
          <w:vertAlign w:val="superscript"/>
        </w:rPr>
        <w:fldChar w:fldCharType="end"/>
      </w:r>
      <w:r w:rsidRPr="00A87961">
        <w:rPr>
          <w:rFonts w:cs="Times New Roman"/>
        </w:rPr>
        <w:t>, four assessed BBB locomotor score</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"},"uris":["http://www.mendeley.com/documents/?uuid=68339ff5-82ee-44d5-869e-57be69a68478"]},{"id":"ITEM-2","itemData":{"DOI":"http://dx.doi.org/10.1371/journal.pone.0049057","ISBN":"1932-6203","abstract":"Spinal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","id":"ITEM-2","issue":"11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"},"uris":["http://www.mendeley.com/documents/?uuid=934a8c3f-4616-45ee-80ee-3dbec6614f85"]},{"id":"ITEM-3","itemData":{"DOI":"http://dx.doi.org/10.1016/j.brainres.2017.06.020","ISBN":"0006-8993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","id":"ITEM-3","issued":{"date-parts":[["2017"]]},"language":"English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"},"uris":["http://www.mendeley.com/documents/?uuid=a3bf46ea-108b-4e74-affa-39c4f26ae608"]},{"id":"ITEM-4","itemData":{"DOI":"http://dx.doi.org/10.1124/jpet.108.136903","ISBN":"0022-3565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","id":"ITEM-4","issue":"1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[31,33,42,43]","plainTextFormattedCitation":"[31,33,42,43]","previouslyFormattedCitation":"[31,33,42,43]"},"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[31,33,42,43]</w:t>
      </w:r>
      <w:r w:rsidR="001A026A" w:rsidRPr="00A87961">
        <w:rPr>
          <w:rFonts w:cs="Times New Roman"/>
          <w:color w:val="000000" w:themeColor="text1"/>
          <w:vertAlign w:val="superscript"/>
        </w:rPr>
        <w:fldChar w:fldCharType="end"/>
      </w:r>
      <w:r w:rsidRPr="00A87961">
        <w:rPr>
          <w:rFonts w:cs="Times New Roman"/>
        </w:rPr>
        <w:t>, two assessed 14-point MDI</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rats","type":"article-journal","volume":"157"},"uris":["http://www.mendeley.com/documents/?uuid=ec8545b1-3dcf-4122-9f12-a3060d18b471"]},{"id":"ITEM-2","itemData":{"DOI":"http://dx.doi.org/10.1016/j.jtcvs.2009.07.014","ISBN":"0022-5223","abstract":"Objective: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","id":"ITEM-2","issue":"6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[34,40]","plainTextFormattedCitation":"[34,40]","previouslyFormattedCitation":"[34,40]"},"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[34,40]</w:t>
      </w:r>
      <w:r w:rsidR="001A026A" w:rsidRPr="00A87961">
        <w:rPr>
          <w:rFonts w:cs="Times New Roman"/>
          <w:color w:val="000000" w:themeColor="text1"/>
          <w:vertAlign w:val="superscript"/>
        </w:rPr>
        <w:fldChar w:fldCharType="end"/>
      </w:r>
      <w:r w:rsidRPr="00A87961">
        <w:rPr>
          <w:rFonts w:cs="Times New Roman"/>
        </w:rPr>
        <w:t>. Rodent rotarod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spontaneous open field locomotor activity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beam walking</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rPr>
        <w:t xml:space="preserve">, </w:t>
      </w:r>
      <w:proofErr w:type="spellStart"/>
      <w:r w:rsidRPr="00A87961">
        <w:rPr>
          <w:rFonts w:cs="Times New Roman"/>
        </w:rPr>
        <w:t>tarlov</w:t>
      </w:r>
      <w:proofErr w:type="spellEnd"/>
      <w:r w:rsidRPr="00A87961">
        <w:rPr>
          <w:rFonts w:cs="Times New Roman"/>
        </w:rPr>
        <w:t xml:space="preserve"> score</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rPr>
        <w:t xml:space="preserve"> and </w:t>
      </w:r>
      <w:proofErr w:type="spellStart"/>
      <w:r w:rsidRPr="00A87961">
        <w:rPr>
          <w:rFonts w:cs="Times New Roman"/>
        </w:rPr>
        <w:t>catWalk</w:t>
      </w:r>
      <w:proofErr w:type="spellEnd"/>
      <w:r w:rsidRPr="00A87961">
        <w:rPr>
          <w:rFonts w:cs="Times New Roman"/>
        </w:rPr>
        <w:t xml:space="preserve"> assessment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rPr>
        <w:t xml:space="preserve"> were each used in one study. </w:t>
      </w:r>
    </w:p>
    <w:p w14:paraId="4451D1F3" w14:textId="77777777" w:rsidR="00932692" w:rsidRPr="00A87961" w:rsidRDefault="00932692" w:rsidP="00932692">
      <w:pPr>
        <w:spacing w:line="480" w:lineRule="auto"/>
        <w:rPr>
          <w:rFonts w:cs="Times New Roman"/>
        </w:rPr>
      </w:pPr>
    </w:p>
    <w:p w14:paraId="45686B47" w14:textId="46012270" w:rsidR="00932692" w:rsidRPr="00A87961" w:rsidRDefault="00932692" w:rsidP="00932692">
      <w:pPr>
        <w:spacing w:line="480" w:lineRule="auto"/>
        <w:rPr>
          <w:rFonts w:cs="Times New Roman"/>
          <w:b/>
          <w:bCs/>
          <w:i/>
          <w:iCs/>
        </w:rPr>
      </w:pPr>
      <w:r w:rsidRPr="00A87961">
        <w:rPr>
          <w:rFonts w:cs="Times New Roman"/>
          <w:b/>
          <w:bCs/>
          <w:i/>
          <w:iCs/>
        </w:rPr>
        <w:t>Basso Mouse Scale (BMS) score</w:t>
      </w:r>
    </w:p>
    <w:p w14:paraId="51E86B04" w14:textId="021BD915" w:rsidR="00932692" w:rsidRPr="00A87961" w:rsidRDefault="00932692" w:rsidP="00932692">
      <w:pPr>
        <w:spacing w:line="480" w:lineRule="auto"/>
        <w:rPr>
          <w:rFonts w:cs="Times New Roman"/>
          <w:color w:val="000000" w:themeColor="text1"/>
        </w:rPr>
      </w:pPr>
      <w:r w:rsidRPr="00A87961">
        <w:rPr>
          <w:rFonts w:cs="Times New Roman"/>
        </w:rPr>
        <w:t>Five studies assessed BMS score of which one used ACEA</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one used CBD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rPr>
        <w:t>, two used PEA</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pag"},"uris":["http://www.mendeley.com/documents/?uuid=d7100582-c9fe-4a32-b8a8-a7a32dac973f"]},{"id":"ITEM-2","itemData":{"DOI":"10.1186/1742-2094-10-91","ISSN":"17422094","abstract":"Background: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Neuroinflammation","id":"ITEM-2","issued":{"date-parts":[["2013"]]},"page":"1-11","title":"A new co-ultramicronized composite including palmitoylethanolamide and luteolin to prevent neuroinflammation in spinal cord injury","type":"article-journal","volume":"10"},"uris":["http://www.mendeley.com/documents/?uuid=83caf321-577d-4e8f-890f-e4eb0b745118"]}],"mendeley":{"formattedCitation":"[47,48]","plainTextFormattedCitation":"[47,48]","previouslyFormattedCitation":"[47,48]"},"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9B5F4E" w:rsidRPr="009B5F4E">
        <w:rPr>
          <w:rFonts w:cs="Times New Roman"/>
          <w:noProof/>
          <w:color w:val="000000" w:themeColor="text1"/>
        </w:rPr>
        <w:t>[47,48]</w:t>
      </w:r>
      <w:r w:rsidR="001A026A" w:rsidRPr="00A87961">
        <w:rPr>
          <w:rFonts w:cs="Times New Roman"/>
          <w:color w:val="000000" w:themeColor="text1"/>
          <w:vertAlign w:val="superscript"/>
        </w:rPr>
        <w:fldChar w:fldCharType="end"/>
      </w:r>
      <w:r w:rsidRPr="00A87961">
        <w:rPr>
          <w:rFonts w:cs="Times New Roman"/>
        </w:rPr>
        <w:t xml:space="preserve"> and one used PEA-OXA</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mendeley":{"formattedCitation":"[45]","plainTextFormattedCitation":"[45]","previouslyFormattedCitation":"[45]"},"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[45]</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5C5E6BB1" w14:textId="77777777" w:rsidR="00932692" w:rsidRPr="00A87961" w:rsidRDefault="00932692" w:rsidP="00932692">
      <w:pPr>
        <w:spacing w:line="480" w:lineRule="auto"/>
        <w:rPr>
          <w:rFonts w:cs="Times New Roman"/>
          <w:color w:val="000000" w:themeColor="text1"/>
        </w:rPr>
      </w:pPr>
    </w:p>
    <w:p w14:paraId="2D564D14" w14:textId="20CFB331" w:rsidR="00932692" w:rsidRPr="00A87961" w:rsidRDefault="00932692" w:rsidP="00932692">
      <w:pPr>
        <w:spacing w:line="480" w:lineRule="auto"/>
        <w:rPr>
          <w:rFonts w:cs="Times New Roman"/>
          <w:color w:val="000000" w:themeColor="text1"/>
          <w:vertAlign w:val="superscript"/>
        </w:rPr>
      </w:pPr>
      <w:r w:rsidRPr="00A87961">
        <w:rPr>
          <w:rFonts w:cs="Times New Roman"/>
        </w:rPr>
        <w:t xml:space="preserve">Hong et al. observed that ACEA treated mice had higher BMS scores at 21 days post-SCI compared to vehicle (ACEA=8±3, vehicle=5±6, </w:t>
      </w:r>
      <w:r w:rsidR="0015125F" w:rsidRPr="00A87961">
        <w:rPr>
          <w:rFonts w:cs="Times New Roman"/>
        </w:rPr>
        <w:t>p</w:t>
      </w:r>
      <w:r w:rsidRPr="00A87961">
        <w:rPr>
          <w:rFonts w:cs="Times New Roman"/>
        </w:rPr>
        <w:t>=0.02)</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By 3 weeks post-SCI most mice in both ACEA and vehicle treated groups were able to use hindlimbs to support body weight (BMS score &gt;5)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However, numerically a greater a number of mice were able to co-ordinate forelimb, hindlimb and tail function (BMS=9) in the ACEA treated group (5 of 12) compared to the vehicle treated group (0 of 11)</w:t>
      </w:r>
      <w:r w:rsidR="0015125F" w:rsidRPr="00A87961">
        <w:rPr>
          <w:rFonts w:cs="Times New Roman"/>
        </w:rPr>
        <w:t xml:space="preserve"> (p=0.02)</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rPr>
        <w:t xml:space="preserve">. </w:t>
      </w:r>
    </w:p>
    <w:p w14:paraId="62D7C1B2" w14:textId="77777777" w:rsidR="00932692" w:rsidRPr="00A87961" w:rsidRDefault="00932692" w:rsidP="00932692">
      <w:pPr>
        <w:spacing w:line="480" w:lineRule="auto"/>
        <w:rPr>
          <w:rFonts w:cs="Times New Roman"/>
          <w:color w:val="000000" w:themeColor="text1"/>
        </w:rPr>
      </w:pPr>
    </w:p>
    <w:p w14:paraId="0A2EA3CE" w14:textId="1267ACCF" w:rsidR="00932692" w:rsidRPr="00A87961" w:rsidRDefault="00932692" w:rsidP="00932692">
      <w:pPr>
        <w:spacing w:line="480" w:lineRule="auto"/>
        <w:rPr>
          <w:rFonts w:cs="Times New Roman"/>
          <w:color w:val="000000" w:themeColor="text1"/>
        </w:rPr>
      </w:pPr>
      <w:r w:rsidRPr="00A87961">
        <w:rPr>
          <w:rFonts w:cs="Times New Roman"/>
          <w:color w:val="000000" w:themeColor="text1"/>
        </w:rPr>
        <w:lastRenderedPageBreak/>
        <w:t>CBD treatment was not shown to produce a significant effect on BMS scores compared to vehicle treated mice over a period of 10 weeks post-SCI in the study by Li et al</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w:t>
      </w:r>
    </w:p>
    <w:p w14:paraId="3A4EDD05" w14:textId="77777777" w:rsidR="00932692" w:rsidRPr="00A87961" w:rsidRDefault="00932692" w:rsidP="00932692">
      <w:pPr>
        <w:spacing w:line="480" w:lineRule="auto"/>
        <w:rPr>
          <w:rFonts w:cs="Times New Roman"/>
          <w:color w:val="000000" w:themeColor="text1"/>
          <w:vertAlign w:val="superscript"/>
        </w:rPr>
      </w:pPr>
    </w:p>
    <w:p w14:paraId="3DE3C260" w14:textId="243EA580" w:rsidR="00932692" w:rsidRPr="00A87961" w:rsidRDefault="00932692" w:rsidP="00932692">
      <w:pPr>
        <w:spacing w:line="480" w:lineRule="auto"/>
        <w:rPr>
          <w:rFonts w:cs="Times New Roman"/>
          <w:color w:val="000000" w:themeColor="text1"/>
          <w:vertAlign w:val="superscript"/>
        </w:rPr>
      </w:pPr>
      <w:r w:rsidRPr="00A87961">
        <w:rPr>
          <w:rFonts w:cs="Times New Roman"/>
          <w:color w:val="000000" w:themeColor="text1"/>
        </w:rPr>
        <w:t>Of the two studies using PEA</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pag"},"uris":["http://www.mendeley.com/documents/?uuid=d7100582-c9fe-4a32-b8a8-a7a32dac973f"]},{"id":"ITEM-2","itemData":{"DOI":"10.1186/1742-2094-10-91","ISSN":"17422094","abstract":"Background: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Neuroinflammation","id":"ITEM-2","issued":{"date-parts":[["2013"]]},"page":"1-11","title":"A new co-ultramicronized composite including palmitoylethanolamide and luteolin to prevent neuroinflammation in spinal cord injury","type":"article-journal","volume":"10"},"uris":["http://www.mendeley.com/documents/?uuid=83caf321-577d-4e8f-890f-e4eb0b745118"]}],"mendeley":{"formattedCitation":"[47,48]","plainTextFormattedCitation":"[47,48]","previouslyFormattedCitation":"[47,48]"},"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9B5F4E" w:rsidRPr="009B5F4E">
        <w:rPr>
          <w:rFonts w:cs="Times New Roman"/>
          <w:noProof/>
          <w:color w:val="000000" w:themeColor="text1"/>
        </w:rPr>
        <w:t>[47,48]</w:t>
      </w:r>
      <w:r w:rsidR="001A026A" w:rsidRPr="00A87961">
        <w:rPr>
          <w:rFonts w:cs="Times New Roman"/>
          <w:color w:val="000000" w:themeColor="text1"/>
          <w:vertAlign w:val="superscript"/>
        </w:rPr>
        <w:fldChar w:fldCharType="end"/>
      </w:r>
      <w:r w:rsidRPr="00A87961">
        <w:rPr>
          <w:rFonts w:cs="Times New Roman"/>
          <w:color w:val="000000" w:themeColor="text1"/>
        </w:rPr>
        <w:t>, 1 used PEA alone and in combination with PPAR-</w:t>
      </w:r>
      <m:oMath>
        <m:r>
          <w:rPr>
            <w:rFonts w:ascii="Cambria Math" w:hAnsi="Cambria Math" w:cs="Times New Roman"/>
            <w:color w:val="000000" w:themeColor="text1"/>
          </w:rPr>
          <m:t>γ</m:t>
        </m:r>
      </m:oMath>
      <w:r w:rsidRPr="00A87961">
        <w:rPr>
          <w:rFonts w:eastAsiaTheme="minorEastAsia" w:cs="Times New Roman"/>
          <w:color w:val="000000" w:themeColor="text1"/>
        </w:rPr>
        <w:t xml:space="preserve"> and PPAR-</w:t>
      </w:r>
      <m:oMath>
        <m:r>
          <w:rPr>
            <w:rFonts w:ascii="Cambria Math" w:eastAsiaTheme="minorEastAsia" w:hAnsi="Cambria Math" w:cs="Times New Roman"/>
            <w:color w:val="000000" w:themeColor="text1"/>
          </w:rPr>
          <m:t>δ</m:t>
        </m:r>
      </m:oMath>
      <w:r w:rsidRPr="00A87961">
        <w:rPr>
          <w:rFonts w:eastAsiaTheme="minorEastAsia" w:cs="Times New Roman"/>
          <w:color w:val="000000" w:themeColor="text1"/>
        </w:rPr>
        <w:t xml:space="preserve"> antagonists GW9662 and GW0660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Pr="00A87961">
        <w:rPr>
          <w:rFonts w:cs="Times New Roman"/>
          <w:color w:val="000000" w:themeColor="text1"/>
          <w:vertAlign w:val="superscript"/>
        </w:rPr>
        <w:fldChar w:fldCharType="end"/>
      </w:r>
      <w:r w:rsidRPr="00A87961">
        <w:rPr>
          <w:rFonts w:eastAsiaTheme="minorEastAsia" w:cs="Times New Roman"/>
          <w:color w:val="000000" w:themeColor="text1"/>
        </w:rPr>
        <w:t xml:space="preserve"> in wild type (WT) and PPAR-</w:t>
      </w:r>
      <m:oMath>
        <m:r>
          <w:rPr>
            <w:rFonts w:ascii="Cambria Math" w:eastAsiaTheme="minorEastAsia" w:hAnsi="Cambria Math" w:cs="Times New Roman"/>
            <w:color w:val="000000" w:themeColor="text1"/>
          </w:rPr>
          <m:t>α</m:t>
        </m:r>
      </m:oMath>
      <w:r w:rsidRPr="00A87961">
        <w:rPr>
          <w:rFonts w:eastAsiaTheme="minorEastAsia" w:cs="Times New Roman"/>
          <w:color w:val="000000" w:themeColor="text1"/>
        </w:rPr>
        <w:t xml:space="preserve"> knock-out (PPAR-</w:t>
      </w:r>
      <m:oMath>
        <m:r>
          <w:rPr>
            <w:rFonts w:ascii="Cambria Math" w:eastAsiaTheme="minorEastAsia" w:hAnsi="Cambria Math" w:cs="Times New Roman"/>
            <w:color w:val="000000" w:themeColor="text1"/>
          </w:rPr>
          <m:t>α</m:t>
        </m:r>
      </m:oMath>
      <w:r w:rsidRPr="00A87961">
        <w:rPr>
          <w:rFonts w:eastAsiaTheme="minorEastAsia" w:cs="Times New Roman"/>
          <w:color w:val="000000" w:themeColor="text1"/>
        </w:rPr>
        <w:t>KO) mice.  The other used PEA alone, PEA associated with luteolin (flavindoid with antioxidant properties) and a co-</w:t>
      </w:r>
      <w:proofErr w:type="spellStart"/>
      <w:r w:rsidRPr="00A87961">
        <w:rPr>
          <w:rFonts w:eastAsiaTheme="minorEastAsia" w:cs="Times New Roman"/>
          <w:color w:val="000000" w:themeColor="text1"/>
        </w:rPr>
        <w:t>ultramicronised</w:t>
      </w:r>
      <w:proofErr w:type="spellEnd"/>
      <w:r w:rsidRPr="00A87961">
        <w:rPr>
          <w:rFonts w:eastAsiaTheme="minorEastAsia" w:cs="Times New Roman"/>
          <w:color w:val="000000" w:themeColor="text1"/>
        </w:rPr>
        <w:t xml:space="preserve"> composite of PEA and luteolin</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Neuroinflammation","id":"ITEM-1","issued":{"date-parts":[["2013"]]},"page":"1-11","title":"A new co-ultramicronized composite including palmitoylethanolamide and luteolin to prevent neuroinflammation in spinal cord injury","type":"article-journal","volume":"10"},"uris":["http://www.mendeley.com/documents/?uuid=83caf321-577d-4e8f-890f-e4eb0b745118"]}],"mendeley":{"formattedCitation":"[48]","plainTextFormattedCitation":"[48]","previouslyFormattedCitation":"[48]"},"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[48]</w:t>
      </w:r>
      <w:r w:rsidRPr="00A87961">
        <w:rPr>
          <w:rFonts w:cs="Times New Roman"/>
          <w:color w:val="000000" w:themeColor="text1"/>
          <w:vertAlign w:val="superscript"/>
        </w:rPr>
        <w:fldChar w:fldCharType="end"/>
      </w:r>
      <w:r w:rsidRPr="00A87961">
        <w:rPr>
          <w:rFonts w:eastAsiaTheme="minorEastAsia" w:cs="Times New Roman"/>
          <w:color w:val="000000" w:themeColor="text1"/>
        </w:rPr>
        <w:t xml:space="preserve"> in WT mice. Both studies induced SCI using microvascular clips and recorded BMS scores daily for 10 days post-SCI. Treatment of WT mice with </w:t>
      </w:r>
      <w:proofErr w:type="spellStart"/>
      <w:r w:rsidRPr="00A87961">
        <w:rPr>
          <w:rFonts w:eastAsiaTheme="minorEastAsia" w:cs="Times New Roman"/>
          <w:color w:val="000000" w:themeColor="text1"/>
        </w:rPr>
        <w:t>i.p.</w:t>
      </w:r>
      <w:proofErr w:type="spellEnd"/>
      <w:r w:rsidRPr="00A87961">
        <w:rPr>
          <w:rFonts w:eastAsiaTheme="minorEastAsia" w:cs="Times New Roman"/>
          <w:color w:val="000000" w:themeColor="text1"/>
        </w:rPr>
        <w:t xml:space="preserve"> PEA (10mg/kg) exclusively produced a significant increase in BMS scores in one study</w:t>
      </w:r>
      <w:r w:rsidR="007A4E0A" w:rsidRPr="00A87961">
        <w:rPr>
          <w:rFonts w:eastAsiaTheme="minorEastAsia" w:cs="Times New Roman"/>
          <w:color w:val="000000" w:themeColor="text1"/>
        </w:rPr>
        <w:t xml:space="preserve">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Pr="00A87961">
        <w:rPr>
          <w:rFonts w:cs="Times New Roman"/>
          <w:color w:val="000000" w:themeColor="text1"/>
          <w:vertAlign w:val="superscript"/>
        </w:rPr>
        <w:fldChar w:fldCharType="end"/>
      </w:r>
      <w:r w:rsidRPr="00A87961">
        <w:rPr>
          <w:rFonts w:cs="Times New Roman"/>
          <w:color w:val="000000" w:themeColor="text1"/>
        </w:rPr>
        <w:t>. Pre-treatment with GSK0660 or GW9662 abolished the PEA-induced increase in BMS score</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Pr="00A87961">
        <w:rPr>
          <w:rFonts w:cs="Times New Roman"/>
          <w:color w:val="000000" w:themeColor="text1"/>
          <w:vertAlign w:val="superscript"/>
        </w:rPr>
        <w:fldChar w:fldCharType="end"/>
      </w:r>
      <w:r w:rsidRPr="00A87961">
        <w:rPr>
          <w:rFonts w:cs="Times New Roman"/>
          <w:color w:val="000000" w:themeColor="text1"/>
        </w:rPr>
        <w:t xml:space="preserve">. Similarly the genetic absence of the </w:t>
      </w:r>
      <w:r w:rsidRPr="00A87961">
        <w:rPr>
          <w:rFonts w:eastAsiaTheme="minorEastAsia" w:cs="Times New Roman"/>
          <w:color w:val="000000" w:themeColor="text1"/>
        </w:rPr>
        <w:t>PPAR-</w:t>
      </w:r>
      <m:oMath>
        <m:r>
          <w:rPr>
            <w:rFonts w:ascii="Cambria Math" w:eastAsiaTheme="minorEastAsia" w:hAnsi="Cambria Math" w:cs="Times New Roman"/>
            <w:color w:val="000000" w:themeColor="text1"/>
          </w:rPr>
          <m:t>α</m:t>
        </m:r>
      </m:oMath>
      <w:r w:rsidRPr="00A87961">
        <w:rPr>
          <w:rFonts w:cs="Times New Roman"/>
          <w:color w:val="000000" w:themeColor="text1"/>
        </w:rPr>
        <w:t xml:space="preserve"> receptor blocked the effe</w:t>
      </w:r>
      <w:proofErr w:type="spellStart"/>
      <w:r w:rsidRPr="00A87961">
        <w:rPr>
          <w:rFonts w:cs="Times New Roman"/>
          <w:color w:val="000000" w:themeColor="text1"/>
        </w:rPr>
        <w:t>ct</w:t>
      </w:r>
      <w:proofErr w:type="spellEnd"/>
      <w:r w:rsidRPr="00A87961">
        <w:rPr>
          <w:rFonts w:cs="Times New Roman"/>
          <w:color w:val="000000" w:themeColor="text1"/>
        </w:rPr>
        <w:t xml:space="preserve"> of PEA treatment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Pr="00A87961">
        <w:rPr>
          <w:rFonts w:cs="Times New Roman"/>
          <w:color w:val="000000" w:themeColor="text1"/>
          <w:vertAlign w:val="superscript"/>
        </w:rPr>
        <w:fldChar w:fldCharType="end"/>
      </w:r>
      <w:r w:rsidRPr="00A87961">
        <w:rPr>
          <w:rFonts w:cs="Times New Roman"/>
          <w:color w:val="000000" w:themeColor="text1"/>
        </w:rPr>
        <w:t xml:space="preserve">. In the other study, treatment of WT mice with </w:t>
      </w:r>
      <w:proofErr w:type="spellStart"/>
      <w:r w:rsidRPr="00A87961">
        <w:rPr>
          <w:rFonts w:cs="Times New Roman"/>
          <w:color w:val="000000" w:themeColor="text1"/>
        </w:rPr>
        <w:t>i.p.</w:t>
      </w:r>
      <w:proofErr w:type="spellEnd"/>
      <w:r w:rsidRPr="00A87961">
        <w:rPr>
          <w:rFonts w:cs="Times New Roman"/>
          <w:color w:val="000000" w:themeColor="text1"/>
        </w:rPr>
        <w:t xml:space="preserve"> PEA (1mg/kg) did not produce a significant increase in BMS scores. Treatment with PEA associated with luteolin also did not improve BMS scores compared to vehicle treated control mice</w:t>
      </w:r>
      <w:r w:rsidR="007A4E0A" w:rsidRPr="00A87961">
        <w:rPr>
          <w:rFonts w:cs="Times New Roman"/>
          <w:color w:val="000000" w:themeColor="text1"/>
        </w:rPr>
        <w:t xml:space="preserve"> (p&gt;0.05)</w:t>
      </w:r>
      <w:r w:rsidRPr="00A87961">
        <w:rPr>
          <w:rFonts w:cs="Times New Roman"/>
          <w:color w:val="000000" w:themeColor="text1"/>
        </w:rPr>
        <w:t xml:space="preserve"> however, treatment with the co-</w:t>
      </w:r>
      <w:proofErr w:type="spellStart"/>
      <w:r w:rsidRPr="00A87961">
        <w:rPr>
          <w:rFonts w:cs="Times New Roman"/>
          <w:color w:val="000000" w:themeColor="text1"/>
        </w:rPr>
        <w:t>ultramicronised</w:t>
      </w:r>
      <w:proofErr w:type="spellEnd"/>
      <w:r w:rsidRPr="00A87961">
        <w:rPr>
          <w:rFonts w:cs="Times New Roman"/>
          <w:color w:val="000000" w:themeColor="text1"/>
        </w:rPr>
        <w:t xml:space="preserve"> composite of PEA and luteolin significantly reduced motor disturbance after SCI</w:t>
      </w:r>
      <w:r w:rsidR="007A4E0A" w:rsidRPr="00A87961">
        <w:rPr>
          <w:rFonts w:cs="Times New Roman"/>
          <w:color w:val="000000" w:themeColor="text1"/>
        </w:rPr>
        <w:t>(p&lt;0.01)</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Neuroinflammation","id":"ITEM-1","issued":{"date-parts":[["2013"]]},"page":"1-11","title":"A new co-ultramicronized composite including palmitoylethanolamide and luteolin to prevent neuroinflammation in spinal cord injury","type":"article-journal","volume":"10"},"uris":["http://www.mendeley.com/documents/?uuid=83caf321-577d-4e8f-890f-e4eb0b745118"]}],"mendeley":{"formattedCitation":"[48]","plainTextFormattedCitation":"[48]","previouslyFormattedCitation":"[48]"},"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[48]</w:t>
      </w:r>
      <w:r w:rsidRPr="00A87961">
        <w:rPr>
          <w:rFonts w:cs="Times New Roman"/>
          <w:color w:val="000000" w:themeColor="text1"/>
          <w:vertAlign w:val="superscript"/>
        </w:rPr>
        <w:fldChar w:fldCharType="end"/>
      </w:r>
      <w:r w:rsidRPr="00A87961">
        <w:rPr>
          <w:rFonts w:cs="Times New Roman"/>
          <w:color w:val="000000" w:themeColor="text1"/>
        </w:rPr>
        <w:t>.</w:t>
      </w:r>
    </w:p>
    <w:p w14:paraId="65A4A09C" w14:textId="77777777" w:rsidR="00932692" w:rsidRPr="00A87961" w:rsidRDefault="00932692" w:rsidP="00932692">
      <w:pPr>
        <w:spacing w:line="480" w:lineRule="auto"/>
        <w:rPr>
          <w:rFonts w:cs="Times New Roman"/>
          <w:color w:val="000000" w:themeColor="text1"/>
        </w:rPr>
      </w:pPr>
    </w:p>
    <w:p w14:paraId="77B2624D" w14:textId="3938AD57" w:rsidR="00932692" w:rsidRPr="00A87961" w:rsidRDefault="00932692" w:rsidP="00932692">
      <w:pPr>
        <w:spacing w:line="480" w:lineRule="auto"/>
        <w:rPr>
          <w:rFonts w:cs="Times New Roman"/>
          <w:color w:val="000000" w:themeColor="text1"/>
          <w:vertAlign w:val="superscript"/>
        </w:rPr>
      </w:pPr>
      <w:r w:rsidRPr="00A87961">
        <w:rPr>
          <w:rFonts w:cs="Times New Roman"/>
          <w:color w:val="000000" w:themeColor="text1"/>
        </w:rPr>
        <w:t xml:space="preserve">Using PEA-OXA, </w:t>
      </w:r>
      <w:proofErr w:type="spellStart"/>
      <w:r w:rsidRPr="00A87961">
        <w:rPr>
          <w:rFonts w:cs="Times New Roman"/>
          <w:color w:val="000000" w:themeColor="text1"/>
        </w:rPr>
        <w:t>Impellizzeri</w:t>
      </w:r>
      <w:proofErr w:type="spellEnd"/>
      <w:r w:rsidRPr="00A87961">
        <w:rPr>
          <w:rFonts w:cs="Times New Roman"/>
          <w:color w:val="000000" w:themeColor="text1"/>
        </w:rPr>
        <w:t xml:space="preserve"> et al. found treatment with 10 mg/kg significantly improved BMS scores post-SCI </w:t>
      </w:r>
      <w:r w:rsidR="00915873" w:rsidRPr="00A87961">
        <w:rPr>
          <w:rFonts w:cs="Times New Roman"/>
          <w:color w:val="000000" w:themeColor="text1"/>
        </w:rPr>
        <w:t xml:space="preserve">compared to vehicle treated mice, </w:t>
      </w:r>
      <w:r w:rsidRPr="00A87961">
        <w:rPr>
          <w:rFonts w:cs="Times New Roman"/>
          <w:color w:val="000000" w:themeColor="text1"/>
        </w:rPr>
        <w:t>and the effect was maintained until the end of the 10-day post-SCI experimental period</w:t>
      </w:r>
      <w:r w:rsidR="00915873" w:rsidRPr="00A87961">
        <w:rPr>
          <w:rFonts w:cs="Times New Roman"/>
          <w:color w:val="000000" w:themeColor="text1"/>
        </w:rPr>
        <w:t xml:space="preserve">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mendeley":{"formattedCitation":"[45]","plainTextFormattedCitation":"[45]","previouslyFormattedCitation":"[45]"},"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[45]</w:t>
      </w:r>
      <w:r w:rsidRPr="00A87961">
        <w:rPr>
          <w:rFonts w:cs="Times New Roman"/>
          <w:color w:val="000000" w:themeColor="text1"/>
          <w:vertAlign w:val="superscript"/>
        </w:rPr>
        <w:fldChar w:fldCharType="end"/>
      </w:r>
      <w:r w:rsidRPr="00A87961">
        <w:rPr>
          <w:rFonts w:cs="Times New Roman"/>
          <w:color w:val="000000" w:themeColor="text1"/>
          <w:vertAlign w:val="superscript"/>
        </w:rPr>
        <w:t xml:space="preserve"> </w:t>
      </w:r>
      <w:r w:rsidRPr="00A87961">
        <w:rPr>
          <w:rFonts w:cs="Times New Roman"/>
          <w:color w:val="000000" w:themeColor="text1"/>
        </w:rPr>
        <w:t xml:space="preserve">. </w:t>
      </w:r>
    </w:p>
    <w:p w14:paraId="117217D1" w14:textId="77777777" w:rsidR="00932692" w:rsidRPr="00A87961" w:rsidRDefault="00932692" w:rsidP="00932692">
      <w:pPr>
        <w:spacing w:line="480" w:lineRule="auto"/>
        <w:rPr>
          <w:rFonts w:cs="Times New Roman"/>
        </w:rPr>
      </w:pPr>
    </w:p>
    <w:p w14:paraId="61085982" w14:textId="77777777" w:rsidR="00932692" w:rsidRPr="00A87961" w:rsidRDefault="00932692" w:rsidP="00932692">
      <w:pPr>
        <w:spacing w:line="480" w:lineRule="auto"/>
        <w:rPr>
          <w:rFonts w:cs="Times New Roman"/>
          <w:b/>
          <w:bCs/>
          <w:i/>
          <w:iCs/>
        </w:rPr>
      </w:pPr>
      <w:r w:rsidRPr="00A87961">
        <w:rPr>
          <w:rFonts w:cs="Times New Roman"/>
          <w:b/>
          <w:bCs/>
          <w:i/>
          <w:iCs/>
        </w:rPr>
        <w:t xml:space="preserve">Basso, Beattie, </w:t>
      </w:r>
      <w:proofErr w:type="spellStart"/>
      <w:r w:rsidRPr="00A87961">
        <w:rPr>
          <w:rFonts w:cs="Times New Roman"/>
          <w:b/>
          <w:bCs/>
          <w:i/>
          <w:iCs/>
        </w:rPr>
        <w:t>Besnahan</w:t>
      </w:r>
      <w:proofErr w:type="spellEnd"/>
      <w:r w:rsidRPr="00A87961">
        <w:rPr>
          <w:rFonts w:cs="Times New Roman"/>
          <w:b/>
          <w:bCs/>
          <w:i/>
          <w:iCs/>
        </w:rPr>
        <w:t xml:space="preserve"> (BBB) Locomotor Score</w:t>
      </w:r>
    </w:p>
    <w:p w14:paraId="185EACFE" w14:textId="22DB67EE" w:rsidR="00932692" w:rsidRPr="00A87961" w:rsidRDefault="00932692" w:rsidP="00932692">
      <w:pPr>
        <w:spacing w:line="480" w:lineRule="auto"/>
        <w:rPr>
          <w:rFonts w:cs="Times New Roman"/>
          <w:color w:val="000000" w:themeColor="text1"/>
        </w:rPr>
      </w:pPr>
      <w:r w:rsidRPr="00A87961">
        <w:rPr>
          <w:rFonts w:cs="Times New Roman"/>
        </w:rPr>
        <w:lastRenderedPageBreak/>
        <w:t>Of the four studies that assessed BBB score, one used PEA</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[43]","plainTextFormattedCitation":"[43]","previouslyFormattedCitation":"[43]"},"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[43]</w:t>
      </w:r>
      <w:r w:rsidRPr="00A87961">
        <w:rPr>
          <w:rFonts w:cs="Times New Roman"/>
          <w:color w:val="000000" w:themeColor="text1"/>
          <w:vertAlign w:val="superscript"/>
        </w:rPr>
        <w:fldChar w:fldCharType="end"/>
      </w:r>
      <w:r w:rsidRPr="00A87961">
        <w:rPr>
          <w:rFonts w:cs="Times New Roman"/>
          <w:color w:val="000000" w:themeColor="text1"/>
        </w:rPr>
        <w:t>, one used WIN 55,212-2 alone and in combination with AM 251 or AM 630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[33]</w:t>
      </w:r>
      <w:r w:rsidRPr="00A87961">
        <w:rPr>
          <w:rFonts w:cs="Times New Roman"/>
          <w:color w:val="000000" w:themeColor="text1"/>
          <w:vertAlign w:val="superscript"/>
        </w:rPr>
        <w:fldChar w:fldCharType="end"/>
      </w:r>
      <w:r w:rsidRPr="00A87961">
        <w:rPr>
          <w:rFonts w:cs="Times New Roman"/>
          <w:color w:val="000000" w:themeColor="text1"/>
        </w:rPr>
        <w:t>, one used AM 251 and/or AM 630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and one used CBD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mendeley":{"formattedCitation":"[42]","plainTextFormattedCitation":"[42]","previouslyFormattedCitation":"[42]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[42]</w:t>
      </w:r>
      <w:r w:rsidRPr="00A87961">
        <w:rPr>
          <w:rFonts w:cs="Times New Roman"/>
          <w:color w:val="000000" w:themeColor="text1"/>
          <w:vertAlign w:val="superscript"/>
        </w:rPr>
        <w:fldChar w:fldCharType="end"/>
      </w:r>
      <w:r w:rsidRPr="00A87961">
        <w:rPr>
          <w:rFonts w:cs="Times New Roman"/>
          <w:color w:val="000000" w:themeColor="text1"/>
        </w:rPr>
        <w:t>.</w:t>
      </w:r>
    </w:p>
    <w:p w14:paraId="031F3ACF" w14:textId="77777777" w:rsidR="00932692" w:rsidRPr="00A87961" w:rsidRDefault="00932692" w:rsidP="00932692">
      <w:pPr>
        <w:spacing w:line="480" w:lineRule="auto"/>
        <w:rPr>
          <w:rFonts w:cs="Times New Roman"/>
          <w:color w:val="000000" w:themeColor="text1"/>
        </w:rPr>
      </w:pPr>
    </w:p>
    <w:p w14:paraId="601FC2F5" w14:textId="6CA305A5" w:rsidR="00932692" w:rsidRPr="00A87961" w:rsidRDefault="00932692" w:rsidP="00932692">
      <w:pPr>
        <w:spacing w:line="480" w:lineRule="auto"/>
        <w:rPr>
          <w:rFonts w:cs="Times New Roman"/>
          <w:color w:val="000000" w:themeColor="text1"/>
        </w:rPr>
      </w:pPr>
      <w:r w:rsidRPr="00A87961">
        <w:rPr>
          <w:rFonts w:cs="Times New Roman"/>
          <w:color w:val="000000" w:themeColor="text1"/>
        </w:rPr>
        <w:t>Genovese et al. found pre- or post-treatment with PEA significantly reduced the functional deficits induced by SCI over a 10-day period following SCI</w:t>
      </w:r>
      <w:r w:rsidR="00915873" w:rsidRPr="00A87961">
        <w:rPr>
          <w:rFonts w:cs="Times New Roman"/>
          <w:color w:val="000000" w:themeColor="text1"/>
        </w:rPr>
        <w:t xml:space="preserve"> (p&lt;0.05 compared to vehicle treated controls)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[43]","plainTextFormattedCitation":"[43]","previouslyFormattedCitation":"[43]"},"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[43]</w:t>
      </w:r>
      <w:r w:rsidRPr="00A87961">
        <w:rPr>
          <w:rFonts w:cs="Times New Roman"/>
          <w:color w:val="000000" w:themeColor="text1"/>
          <w:vertAlign w:val="superscript"/>
        </w:rPr>
        <w:fldChar w:fldCharType="end"/>
      </w:r>
      <w:r w:rsidRPr="00A87961">
        <w:rPr>
          <w:rFonts w:cs="Times New Roman"/>
          <w:color w:val="000000" w:themeColor="text1"/>
        </w:rPr>
        <w:t>. No significant difference was found between PEA administered as a pre- or post-treatment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[43]","plainTextFormattedCitation":"[43]","previouslyFormattedCitation":"[43]"},"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[43]</w:t>
      </w:r>
      <w:r w:rsidRPr="00A87961">
        <w:rPr>
          <w:rFonts w:cs="Times New Roman"/>
          <w:color w:val="000000" w:themeColor="text1"/>
          <w:vertAlign w:val="superscript"/>
        </w:rPr>
        <w:fldChar w:fldCharType="end"/>
      </w:r>
      <w:r w:rsidRPr="00A87961">
        <w:rPr>
          <w:rFonts w:cs="Times New Roman"/>
          <w:color w:val="000000" w:themeColor="text1"/>
        </w:rPr>
        <w:t>. WIN 55,212-2 was shown to promote functional recovery, measured by BBB score, following 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[33]</w:t>
      </w:r>
      <w:r w:rsidRPr="00A87961">
        <w:rPr>
          <w:rFonts w:cs="Times New Roman"/>
          <w:color w:val="000000" w:themeColor="text1"/>
          <w:vertAlign w:val="superscript"/>
        </w:rPr>
        <w:fldChar w:fldCharType="end"/>
      </w:r>
      <w:r w:rsidRPr="00A87961">
        <w:rPr>
          <w:rFonts w:cs="Times New Roman"/>
          <w:color w:val="000000" w:themeColor="text1"/>
        </w:rPr>
        <w:t>. BBB scores of WIN 55,212-2 treated animals continued to improve until 3 weeks following SCI at which point they scored more than 12, whereas BBB scores of control animals plateaued 1 week post-SCI</w:t>
      </w:r>
      <w:r w:rsidR="00915873" w:rsidRPr="00A87961">
        <w:rPr>
          <w:rFonts w:cs="Times New Roman"/>
          <w:color w:val="000000" w:themeColor="text1"/>
        </w:rPr>
        <w:t xml:space="preserve"> (p&lt;0.0001)</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[33]</w:t>
      </w:r>
      <w:r w:rsidRPr="00A87961">
        <w:rPr>
          <w:rFonts w:cs="Times New Roman"/>
          <w:color w:val="000000" w:themeColor="text1"/>
          <w:vertAlign w:val="superscript"/>
        </w:rPr>
        <w:fldChar w:fldCharType="end"/>
      </w:r>
      <w:r w:rsidRPr="00A87961">
        <w:rPr>
          <w:rFonts w:cs="Times New Roman"/>
          <w:color w:val="000000" w:themeColor="text1"/>
        </w:rPr>
        <w:t>. Significant differences were noted between WIN 55,212-2 and control treated animals from day 7 to day 28 post-SCI</w:t>
      </w:r>
      <w:r w:rsidR="00915873" w:rsidRPr="00A87961">
        <w:rPr>
          <w:rFonts w:cs="Times New Roman"/>
          <w:color w:val="000000" w:themeColor="text1"/>
        </w:rPr>
        <w:t>(p&lt;0.01 at each individual timepoint)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[33]</w:t>
      </w:r>
      <w:r w:rsidRPr="00A87961">
        <w:rPr>
          <w:rFonts w:cs="Times New Roman"/>
          <w:color w:val="000000" w:themeColor="text1"/>
          <w:vertAlign w:val="superscript"/>
        </w:rPr>
        <w:fldChar w:fldCharType="end"/>
      </w:r>
      <w:r w:rsidRPr="00A87961">
        <w:rPr>
          <w:rFonts w:cs="Times New Roman"/>
          <w:color w:val="000000" w:themeColor="text1"/>
        </w:rPr>
        <w:t>. Pre-treatment with AM 630 (CB2 R antagonist) but not AM 251 (CB1 R antagonist) reversed the improvement induced by WIN 55,212-2 treatment</w:t>
      </w:r>
      <w:r w:rsidR="00915873" w:rsidRPr="00A87961">
        <w:rPr>
          <w:rFonts w:cs="Times New Roman"/>
          <w:color w:val="000000" w:themeColor="text1"/>
        </w:rPr>
        <w:t xml:space="preserve"> (p=0.0001 and p=0.1879 </w:t>
      </w:r>
      <w:r w:rsidR="00D14944" w:rsidRPr="00A87961">
        <w:rPr>
          <w:rFonts w:cs="Times New Roman"/>
          <w:color w:val="000000" w:themeColor="text1"/>
        </w:rPr>
        <w:t>respectively</w:t>
      </w:r>
      <w:r w:rsidR="00915873" w:rsidRPr="00A87961">
        <w:rPr>
          <w:rFonts w:cs="Times New Roman"/>
          <w:color w:val="000000" w:themeColor="text1"/>
        </w:rPr>
        <w: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[33]</w:t>
      </w:r>
      <w:r w:rsidRPr="00A87961">
        <w:rPr>
          <w:rFonts w:cs="Times New Roman"/>
          <w:color w:val="000000" w:themeColor="text1"/>
          <w:vertAlign w:val="superscript"/>
        </w:rPr>
        <w:fldChar w:fldCharType="end"/>
      </w:r>
      <w:r w:rsidRPr="00A87961">
        <w:rPr>
          <w:rFonts w:cs="Times New Roman"/>
          <w:color w:val="000000" w:themeColor="text1"/>
        </w:rPr>
        <w:t xml:space="preserve">. In the study by </w:t>
      </w:r>
      <w:proofErr w:type="spellStart"/>
      <w:r w:rsidRPr="00A87961">
        <w:rPr>
          <w:rFonts w:cs="Times New Roman"/>
          <w:color w:val="000000" w:themeColor="text1"/>
        </w:rPr>
        <w:t>Kwiatkoski</w:t>
      </w:r>
      <w:proofErr w:type="spellEnd"/>
      <w:r w:rsidRPr="00A87961">
        <w:rPr>
          <w:rFonts w:cs="Times New Roman"/>
          <w:color w:val="000000" w:themeColor="text1"/>
        </w:rPr>
        <w:t xml:space="preserve"> et al. control rats and CBD treated rats both scored zero on the first day after 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mendeley":{"formattedCitation":"[42]","plainTextFormattedCitation":"[42]","previouslyFormattedCitation":"[42]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[42]</w:t>
      </w:r>
      <w:r w:rsidRPr="00A87961">
        <w:rPr>
          <w:rFonts w:cs="Times New Roman"/>
          <w:color w:val="000000" w:themeColor="text1"/>
          <w:vertAlign w:val="superscript"/>
        </w:rPr>
        <w:fldChar w:fldCharType="end"/>
      </w:r>
      <w:r w:rsidRPr="00A87961">
        <w:rPr>
          <w:rFonts w:cs="Times New Roman"/>
          <w:color w:val="000000" w:themeColor="text1"/>
        </w:rPr>
        <w:t>. However, on day 3 and 7, CBD treated rats obtained higher BBB scores compared to controls</w:t>
      </w:r>
      <w:r w:rsidR="00D14944">
        <w:rPr>
          <w:rFonts w:cs="Times New Roman"/>
          <w:color w:val="000000" w:themeColor="text1"/>
        </w:rPr>
        <w:t xml:space="preserve"> </w:t>
      </w:r>
      <w:r w:rsidR="00985CD1" w:rsidRPr="00A87961">
        <w:rPr>
          <w:rFonts w:cs="Times New Roman"/>
          <w:color w:val="000000" w:themeColor="text1"/>
        </w:rPr>
        <w:t>(Day 3, CBD treated rats median=2, vehicle treated rats median=0.5; p&lt;0.05. Day 7, CBD treated rats median=7, vehicle treated rats median=4.5;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{"citationItems":[{"id":"ITEM-1","itemData":{"DOI":"http://dx.doi.org/10.1007/s12640-011-9273-8","ISBN":"1029-8428  1476-3524","abstract":"Cannabidiol (CBD), a non-psychoactive constituent of cannabis, has been reported to induce neuroprotective effects in several experimental models of brain injury. We aimed at investigating whether this drug could also improve locomotor recovery of rats submitted to spinal cord cryoinjury. Rats were distributed into five experimental groups. Animals were submitted to laminectomy in vertebral segment T10 followed or not by application of liquid nitrogen for 5 s into the spinal cord at the same level to cause cryoinjury. The animals received injections of vehicle or CBD (20 mg/kg) immediately before, 3 h after and daily for 6 days after surgery. The Basso, Beattie, and Bresnahan motor evaluation test was used to assess motor function postlesion one day before surgery and on the first, third, and seventh postoperative days. The extent of injury was evaluated by hematoxylin-eosin histology and FosB expression. Cryogenic lesion of the spinal cord resulted in a significant motor deficit. Cannabidiol-treated rats exhibited a higher Basso, Beattie, and Bresnahan locomotor score at the end of the first week after spinal cord injury: lesion + vehicle, day 1: zero, day 7: four, and lesion + Cannabidiol 20 mg/kg, day 1: zero, day 7: seven. Moreover, at this moment there was a significant reduction in the extent of tissue injury and FosB expression in the ventral horn of the spinal cord. The present study confirmed that application of liquid nitrogen to the spinal cord induces reproducible and quantifiable spinal cord injury associated with locomotor function impairments. Cannabidiol improved locomotor functional recovery and reduced injury extent, suggesting that it could be useful in the treatment of spinal cord lesions. © Springer Science+Business Media, LLC 2011. ","author":[{"dropping-particle":"","family":"Kwiatkoski","given":"M","non-dropping-particle":"","parse-names":false,"suffix":""},{"dropping-particle":"","family":"Guimaraes","given":"F S","non-dropping-particle":"","parse-names":false,"suffix":""},{"dropping-particle":"","family":"Del-Bel","given":"E","non-dropping-particle":"","parse-names":false,"suffix":""}],"container-title":"Neurotoxicity Research ","id":"ITEM-1","issue":"3 ","issued":{"date-parts":[["2012"]]},"language":"English ","note":"Embase","page":"271-280","publisher-place":"(Kwiatkoski, Del-Bel) Department of Physiology, Faculty of Medicine of Ribeirao Preto (FMRP), Universidade de Sao Paulo, Ribeirao Preto, SP 14049-904, Brazil (Kwiatkoski, Del-Bel) Department MEF-Physiology, School of Odontology, Universidade de Sao Paulo,","title":"Cannabidiol-treated rats exhibited higher motor score after cryogenic spinal cord injury ","type":"article","volume":"21 "},"uris":["http://www.mendeley.com/documents/?uuid=68339ff5-82ee-44d5-869e-57be69a68478"]}],"mendeley":{"formattedCitation":"[42]","plainTextFormattedCitation":"[42]","previouslyFormattedCitation":"[42]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[42]</w:t>
      </w:r>
      <w:r w:rsidRPr="00A87961">
        <w:rPr>
          <w:rFonts w:cs="Times New Roman"/>
          <w:color w:val="000000" w:themeColor="text1"/>
          <w:vertAlign w:val="superscript"/>
        </w:rPr>
        <w:fldChar w:fldCharType="end"/>
      </w:r>
      <w:r w:rsidR="00915873" w:rsidRPr="00A87961">
        <w:rPr>
          <w:rFonts w:cs="Times New Roman"/>
          <w:color w:val="000000" w:themeColor="text1"/>
        </w:rPr>
        <w:t>.</w:t>
      </w:r>
      <w:r w:rsidRPr="00A87961">
        <w:rPr>
          <w:rFonts w:cs="Times New Roman"/>
          <w:color w:val="000000" w:themeColor="text1"/>
        </w:rPr>
        <w:t xml:space="preserve"> </w:t>
      </w:r>
    </w:p>
    <w:p w14:paraId="3D870DD8" w14:textId="77777777" w:rsidR="00932692" w:rsidRPr="00A87961" w:rsidRDefault="00932692" w:rsidP="00932692">
      <w:pPr>
        <w:spacing w:line="480" w:lineRule="auto"/>
        <w:rPr>
          <w:rFonts w:cs="Times New Roman"/>
          <w:color w:val="000000" w:themeColor="text1"/>
        </w:rPr>
      </w:pPr>
    </w:p>
    <w:p w14:paraId="012AE3FA" w14:textId="410B75CA" w:rsidR="00932692" w:rsidRPr="00A87961" w:rsidRDefault="00932692" w:rsidP="00932692">
      <w:pPr>
        <w:spacing w:line="480" w:lineRule="auto"/>
        <w:rPr>
          <w:rFonts w:cs="Times New Roman"/>
          <w:color w:val="000000" w:themeColor="text1"/>
        </w:rPr>
      </w:pPr>
      <w:r w:rsidRPr="00A87961">
        <w:rPr>
          <w:rFonts w:cs="Times New Roman"/>
          <w:color w:val="000000" w:themeColor="text1"/>
        </w:rPr>
        <w:t>Using the selective CB1 R and CB2 R antagonists, AM 281 and AM 630, Arevalo-Martin et al. found the no difference between the BBB scores of cannabinoid antagonist and vehicle treated mice at day 7 and 14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At day 30, 60 and 90 cannabinoid antagonist treated mice scored significantly lower that vehicle treated mice</w:t>
      </w:r>
      <w:r w:rsidR="00985CD1" w:rsidRPr="00A87961">
        <w:rPr>
          <w:rFonts w:cs="Times New Roman"/>
          <w:color w:val="000000" w:themeColor="text1"/>
        </w:rPr>
        <w:t xml:space="preserve"> (Day 30: AM630; p&lt;0.05, AM281+AM630; p&lt;0.05. Day 60: AM281; p&lt;0.05, AM630; p&lt;0.05, AM281+AM630; </w:t>
      </w:r>
      <w:r w:rsidR="00985CD1" w:rsidRPr="00A87961">
        <w:rPr>
          <w:rFonts w:cs="Times New Roman"/>
          <w:color w:val="000000" w:themeColor="text1"/>
        </w:rPr>
        <w:lastRenderedPageBreak/>
        <w:t>p&lt;0.001. Day 90: AM281; p&lt;0.05, AM630; p&lt;0.05, AM281+AM630; p&lt;0.05),</w:t>
      </w:r>
      <w:r w:rsidRPr="00A87961">
        <w:rPr>
          <w:rFonts w:cs="Times New Roman"/>
          <w:color w:val="000000" w:themeColor="text1"/>
        </w:rPr>
        <w:t xml:space="preserve"> with antagonist treated mice reaching a plateau at day 30 compared to vehicle treated mice which continued to improve until day 60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65788C64" w14:textId="77777777" w:rsidR="00932692" w:rsidRPr="00A87961" w:rsidRDefault="00932692" w:rsidP="00932692">
      <w:pPr>
        <w:spacing w:line="480" w:lineRule="auto"/>
        <w:rPr>
          <w:rFonts w:cs="Times New Roman"/>
        </w:rPr>
      </w:pPr>
    </w:p>
    <w:p w14:paraId="3596F184" w14:textId="42A848D8"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b/>
          <w:bCs/>
          <w:i/>
          <w:iCs/>
        </w:rPr>
        <w:t>14-point motor deficit index score</w:t>
      </w:r>
    </w:p>
    <w:p w14:paraId="7ABC25B9" w14:textId="15C47E49" w:rsidR="00932692" w:rsidRPr="00A87961" w:rsidRDefault="00932692" w:rsidP="00932692">
      <w:pPr>
        <w:spacing w:line="480" w:lineRule="auto"/>
        <w:rPr>
          <w:rFonts w:cs="Times New Roman"/>
          <w:color w:val="000000" w:themeColor="text1"/>
        </w:rPr>
      </w:pPr>
      <w:r w:rsidRPr="00A87961">
        <w:rPr>
          <w:rFonts w:cs="Times New Roman"/>
          <w:color w:val="000000" w:themeColor="text1"/>
        </w:rPr>
        <w:t>Two studies assessed the 14-point motor deficit (MDI) score</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rats","type":"article-journal","volume":"157"},"uris":["http://www.mendeley.com/documents/?uuid=ec8545b1-3dcf-4122-9f12-a3060d18b471"]},{"id":"ITEM-2","itemData":{"DOI":"http://dx.doi.org/10.1016/j.jtcvs.2009.07.014","ISBN":"0022-5223","abstract":"Objective: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","id":"ITEM-2","issue":"6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[34,40]","plainTextFormattedCitation":"[34,40]","previouslyFormattedCitation":"[34,40]"},"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[34,40]</w:t>
      </w:r>
      <w:r w:rsidR="001A026A" w:rsidRPr="00A87961">
        <w:rPr>
          <w:rFonts w:cs="Times New Roman"/>
          <w:color w:val="000000" w:themeColor="text1"/>
          <w:vertAlign w:val="superscript"/>
        </w:rPr>
        <w:fldChar w:fldCharType="end"/>
      </w:r>
      <w:r w:rsidRPr="00A87961">
        <w:rPr>
          <w:rFonts w:cs="Times New Roman"/>
          <w:color w:val="000000" w:themeColor="text1"/>
        </w:rPr>
        <w:t xml:space="preserve">. </w:t>
      </w:r>
      <w:proofErr w:type="spellStart"/>
      <w:r w:rsidRPr="00A87961">
        <w:rPr>
          <w:rFonts w:cs="Times New Roman"/>
          <w:color w:val="000000" w:themeColor="text1"/>
        </w:rPr>
        <w:t>Huo</w:t>
      </w:r>
      <w:proofErr w:type="spellEnd"/>
      <w:r w:rsidRPr="00A87961">
        <w:rPr>
          <w:rFonts w:cs="Times New Roman"/>
          <w:color w:val="000000" w:themeColor="text1"/>
        </w:rPr>
        <w:t xml:space="preserve"> et al. studied the effects of WIN 55,212-2 alone and alongside AM 251 or AM 630 following spinal cord ischaemia</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[40]</w:t>
      </w:r>
      <w:r w:rsidRPr="00A87961">
        <w:rPr>
          <w:rFonts w:cs="Times New Roman"/>
          <w:color w:val="000000" w:themeColor="text1"/>
          <w:vertAlign w:val="superscript"/>
        </w:rPr>
        <w:fldChar w:fldCharType="end"/>
      </w:r>
      <w:r w:rsidRPr="00A87961">
        <w:rPr>
          <w:rFonts w:cs="Times New Roman"/>
          <w:color w:val="000000" w:themeColor="text1"/>
        </w:rPr>
        <w:t xml:space="preserve">. </w:t>
      </w:r>
      <w:proofErr w:type="spellStart"/>
      <w:r w:rsidRPr="00A87961">
        <w:rPr>
          <w:rFonts w:cs="Times New Roman"/>
          <w:color w:val="000000" w:themeColor="text1"/>
        </w:rPr>
        <w:t>Su</w:t>
      </w:r>
      <w:proofErr w:type="spellEnd"/>
      <w:r w:rsidRPr="00A87961">
        <w:rPr>
          <w:rFonts w:cs="Times New Roman"/>
          <w:color w:val="000000" w:themeColor="text1"/>
        </w:rPr>
        <w:t xml:space="preserve"> et al. investigated the effects of CB1 and CB2 receptor antagonists, AM 251 and AM 630, on the ischaemic tolerance induced by remote ischaemic preconditioning (RIPC) prior to ischaemia/reperfusion injury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plainTextFormattedCitation":"[34]","previouslyFormattedCitation":"[34]"},"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[34]</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1F002312" w14:textId="77777777" w:rsidR="00932692" w:rsidRPr="00A87961" w:rsidRDefault="00932692" w:rsidP="00932692">
      <w:pPr>
        <w:spacing w:line="480" w:lineRule="auto"/>
        <w:rPr>
          <w:rFonts w:cs="Times New Roman"/>
          <w:color w:val="000000" w:themeColor="text1"/>
        </w:rPr>
      </w:pPr>
    </w:p>
    <w:p w14:paraId="634E1C90" w14:textId="5C38C520" w:rsidR="00932692" w:rsidRPr="00A87961" w:rsidRDefault="00932692" w:rsidP="00932692">
      <w:pPr>
        <w:spacing w:line="480" w:lineRule="auto"/>
        <w:rPr>
          <w:rFonts w:cs="Times New Roman"/>
          <w:color w:val="000000" w:themeColor="text1"/>
        </w:rPr>
      </w:pPr>
      <w:r w:rsidRPr="00A87961">
        <w:rPr>
          <w:rFonts w:cs="Times New Roman"/>
          <w:color w:val="000000" w:themeColor="text1"/>
        </w:rPr>
        <w:t>Following spinal cord ischaemia, WIN 55,212-2 treatment was observed to reduce the MDI score compared to control treatment</w:t>
      </w:r>
      <w:r w:rsidR="00FF27D7" w:rsidRPr="00A87961">
        <w:rPr>
          <w:rFonts w:cs="Times New Roman"/>
          <w:color w:val="000000" w:themeColor="text1"/>
        </w:rPr>
        <w:t xml:space="preserve"> (WIN 55,212-2 median=2.5, interquartile range (IQR)=1.25)</w:t>
      </w:r>
      <w:r w:rsidR="00B3105C" w:rsidRPr="00A87961">
        <w:rPr>
          <w:rFonts w:cs="Times New Roman"/>
          <w:color w:val="000000" w:themeColor="text1"/>
        </w:rPr>
        <w:t>, control median=5, IQR=2</w:t>
      </w:r>
      <w:r w:rsidR="00FF27D7" w:rsidRPr="00A87961">
        <w:rPr>
          <w:rFonts w:cs="Times New Roman"/>
          <w:color w:val="000000" w:themeColor="text1"/>
        </w:rPr>
        <w:t xml:space="preserve">; p&lt;0.05)  </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[40]</w:t>
      </w:r>
      <w:r w:rsidRPr="00A87961">
        <w:rPr>
          <w:rFonts w:cs="Times New Roman"/>
          <w:color w:val="000000" w:themeColor="text1"/>
          <w:vertAlign w:val="superscript"/>
        </w:rPr>
        <w:fldChar w:fldCharType="end"/>
      </w:r>
      <w:r w:rsidRPr="00A87961">
        <w:rPr>
          <w:rFonts w:cs="Times New Roman"/>
          <w:color w:val="000000" w:themeColor="text1"/>
        </w:rPr>
        <w:t>. This improvement was noted to be reversed by CB2 receptor antagonism with AM 630 but not by CB1 receptor antagonist with AM 251</w:t>
      </w:r>
      <w:r w:rsidR="00B3105C" w:rsidRPr="00A87961">
        <w:rPr>
          <w:rFonts w:cs="Times New Roman"/>
          <w:color w:val="000000" w:themeColor="text1"/>
        </w:rPr>
        <w:t xml:space="preserve"> (WIN 55,212-2 median=2.5, IQR=1.25, WIN 55,212-2+AM630 median=5, IQR=1.25; p&lt;0.01, WIN 55,212-2+AM251 median=2.5, IQR=1.25; p&gt;0.05)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[40]</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46AAB4E7" w14:textId="77777777" w:rsidR="00932692" w:rsidRPr="00A87961" w:rsidRDefault="00932692" w:rsidP="00932692">
      <w:pPr>
        <w:spacing w:line="480" w:lineRule="auto"/>
        <w:rPr>
          <w:rFonts w:cs="Times New Roman"/>
          <w:color w:val="000000" w:themeColor="text1"/>
        </w:rPr>
      </w:pPr>
    </w:p>
    <w:p w14:paraId="1DEACDAC" w14:textId="511DF0C2" w:rsidR="00932692" w:rsidRPr="00A87961" w:rsidRDefault="00932692" w:rsidP="00932692">
      <w:pPr>
        <w:spacing w:line="480" w:lineRule="auto"/>
        <w:rPr>
          <w:rFonts w:cs="Times New Roman"/>
          <w:color w:val="000000" w:themeColor="text1"/>
        </w:rPr>
      </w:pPr>
      <w:proofErr w:type="spellStart"/>
      <w:r w:rsidRPr="00A87961">
        <w:rPr>
          <w:rFonts w:cs="Times New Roman"/>
          <w:color w:val="000000" w:themeColor="text1"/>
        </w:rPr>
        <w:t>Su</w:t>
      </w:r>
      <w:proofErr w:type="spellEnd"/>
      <w:r w:rsidRPr="00A87961">
        <w:rPr>
          <w:rFonts w:cs="Times New Roman"/>
          <w:color w:val="000000" w:themeColor="text1"/>
        </w:rPr>
        <w:t xml:space="preserve"> et al. observed no difference between the MDI scores of rats treated with RIPC, AM 630 + RIPC, and vehicle + RIPC. The MDI scores of rats treated with RIPC was significantly lower than AM 251 + RIPC treated rats</w:t>
      </w:r>
      <w:r w:rsidR="00B3105C" w:rsidRPr="00A87961">
        <w:rPr>
          <w:rFonts w:cs="Times New Roman"/>
          <w:color w:val="000000" w:themeColor="text1"/>
        </w:rPr>
        <w:t xml:space="preserve"> (p&lt;0.05)</w:t>
      </w:r>
      <w:r w:rsidRPr="00A87961">
        <w:rPr>
          <w:rFonts w:cs="Times New Roman"/>
          <w:color w:val="000000" w:themeColor="text1"/>
        </w:rPr>
        <w:t xml:space="preserve">. No significant difference was recorded between the MDI scores of rats treated with AM251 + RIPC, AM 251, AM </w:t>
      </w:r>
      <w:proofErr w:type="gramStart"/>
      <w:r w:rsidRPr="00A87961">
        <w:rPr>
          <w:rFonts w:cs="Times New Roman"/>
          <w:color w:val="000000" w:themeColor="text1"/>
        </w:rPr>
        <w:t>630</w:t>
      </w:r>
      <w:proofErr w:type="gramEnd"/>
      <w:r w:rsidRPr="00A87961">
        <w:rPr>
          <w:rFonts w:cs="Times New Roman"/>
          <w:color w:val="000000" w:themeColor="text1"/>
        </w:rPr>
        <w:t xml:space="preserve"> or vehicle. </w:t>
      </w:r>
    </w:p>
    <w:p w14:paraId="53E10B76" w14:textId="77777777" w:rsidR="00932692" w:rsidRPr="00A87961" w:rsidRDefault="00932692" w:rsidP="00932692">
      <w:pPr>
        <w:spacing w:line="480" w:lineRule="auto"/>
        <w:rPr>
          <w:rFonts w:cs="Times New Roman"/>
          <w:color w:val="000000" w:themeColor="text1"/>
        </w:rPr>
      </w:pPr>
    </w:p>
    <w:p w14:paraId="7B818EBF" w14:textId="77777777"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b/>
          <w:bCs/>
          <w:i/>
          <w:iCs/>
        </w:rPr>
        <w:t>Rodent rotarod</w:t>
      </w:r>
    </w:p>
    <w:p w14:paraId="344E3045" w14:textId="7A6BB80E" w:rsidR="00932692" w:rsidRPr="00A87961" w:rsidRDefault="00932692" w:rsidP="00932692">
      <w:pPr>
        <w:spacing w:line="480" w:lineRule="auto"/>
        <w:rPr>
          <w:rFonts w:cs="Times New Roman"/>
          <w:color w:val="000000" w:themeColor="text1"/>
        </w:rPr>
      </w:pPr>
      <w:r w:rsidRPr="00A87961">
        <w:rPr>
          <w:rFonts w:cs="Times New Roman"/>
          <w:color w:val="000000" w:themeColor="text1"/>
        </w:rPr>
        <w:lastRenderedPageBreak/>
        <w:t>One study assessed rodent rotarod performance</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color w:val="000000" w:themeColor="text1"/>
        </w:rPr>
        <w:t>. Hong et al. found ACEA (3mg/kg/day) treatment improved rotarod function over the 21 day recovery interval compared to vehicle treatment</w:t>
      </w:r>
      <w:r w:rsidR="00B3105C" w:rsidRPr="00A87961">
        <w:rPr>
          <w:rFonts w:cs="Times New Roman"/>
          <w:color w:val="000000" w:themeColor="text1"/>
        </w:rPr>
        <w:t>(p=0.04)</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369E9CB6" w14:textId="77777777" w:rsidR="00932692" w:rsidRPr="00A87961" w:rsidRDefault="00932692" w:rsidP="00932692">
      <w:pPr>
        <w:spacing w:line="480" w:lineRule="auto"/>
        <w:rPr>
          <w:rFonts w:ascii="Myriad Pro" w:hAnsi="Myriad Pro" w:cs="Times New Roman"/>
          <w:color w:val="000000" w:themeColor="text1"/>
          <w:sz w:val="18"/>
          <w:szCs w:val="18"/>
        </w:rPr>
      </w:pPr>
    </w:p>
    <w:p w14:paraId="4ADD0127" w14:textId="6AD08ADE"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b/>
          <w:bCs/>
          <w:i/>
          <w:iCs/>
        </w:rPr>
        <w:t>Spontaneous open field locomotor activity</w:t>
      </w:r>
    </w:p>
    <w:p w14:paraId="1B8214DB" w14:textId="0B19A02D"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color w:val="000000" w:themeColor="text1"/>
        </w:rPr>
        <w:t>One study assessed open field locomotor activity of mice treated with ACEA. ACEA was not found to affect spontaneous activity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6866C74F" w14:textId="77777777" w:rsidR="00932692" w:rsidRPr="00A87961" w:rsidRDefault="00932692" w:rsidP="00932692">
      <w:pPr>
        <w:spacing w:line="480" w:lineRule="auto"/>
        <w:rPr>
          <w:rFonts w:cs="Times New Roman"/>
          <w:color w:val="000000" w:themeColor="text1"/>
        </w:rPr>
      </w:pPr>
    </w:p>
    <w:p w14:paraId="73578674" w14:textId="648C2560"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b/>
          <w:bCs/>
          <w:i/>
          <w:iCs/>
        </w:rPr>
        <w:t>Beam-walking test</w:t>
      </w:r>
      <w:r w:rsidRPr="00A87961">
        <w:rPr>
          <w:rFonts w:ascii="Myriad Pro" w:hAnsi="Myriad Pro" w:cs="Times New Roman"/>
          <w:color w:val="000000" w:themeColor="text1"/>
          <w:sz w:val="18"/>
          <w:szCs w:val="18"/>
        </w:rPr>
        <w:t xml:space="preserve"> </w:t>
      </w:r>
    </w:p>
    <w:p w14:paraId="7FCDFC1C" w14:textId="581272CD" w:rsidR="00932692" w:rsidRPr="00A87961" w:rsidRDefault="00932692" w:rsidP="00932692">
      <w:pPr>
        <w:spacing w:line="480" w:lineRule="auto"/>
        <w:rPr>
          <w:rFonts w:cs="Times New Roman"/>
          <w:color w:val="000000" w:themeColor="text1"/>
        </w:rPr>
      </w:pPr>
      <w:proofErr w:type="spellStart"/>
      <w:r w:rsidRPr="00A87961">
        <w:rPr>
          <w:rFonts w:cs="Times New Roman"/>
          <w:color w:val="000000" w:themeColor="text1"/>
        </w:rPr>
        <w:t>Latini</w:t>
      </w:r>
      <w:proofErr w:type="spellEnd"/>
      <w:r w:rsidRPr="00A87961">
        <w:rPr>
          <w:rFonts w:cs="Times New Roman"/>
          <w:color w:val="000000" w:themeColor="text1"/>
        </w:rPr>
        <w:t xml:space="preserve"> et al. found rats treated with either JWH-015, SR2, or saline after lateral cervical spinal cord hemisection all displayed uniform severe motor impairments at day 1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From day 3 post-SCI onwards, rats treated with JWH-015 had better beam-walking scores than saline</w:t>
      </w:r>
      <w:r w:rsidR="00B3105C" w:rsidRPr="00A87961">
        <w:rPr>
          <w:rFonts w:cs="Times New Roman"/>
          <w:color w:val="000000" w:themeColor="text1"/>
        </w:rPr>
        <w:t xml:space="preserve"> (p&lt;0.001)</w:t>
      </w:r>
      <w:r w:rsidRPr="00A87961">
        <w:rPr>
          <w:rFonts w:cs="Times New Roman"/>
          <w:color w:val="000000" w:themeColor="text1"/>
        </w:rPr>
        <w:t xml:space="preserve"> and SR2</w:t>
      </w:r>
      <w:r w:rsidR="00B3105C" w:rsidRPr="00A87961">
        <w:rPr>
          <w:rFonts w:cs="Times New Roman"/>
          <w:color w:val="000000" w:themeColor="text1"/>
        </w:rPr>
        <w:t xml:space="preserve"> (p&lt;0.0001)</w:t>
      </w:r>
      <w:r w:rsidRPr="00A87961">
        <w:rPr>
          <w:rFonts w:cs="Times New Roman"/>
          <w:color w:val="000000" w:themeColor="text1"/>
        </w:rPr>
        <w:t xml:space="preserve"> treated rats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No differences in score were observed between rats treated with SR2 or saline</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1C4DB4A3" w14:textId="77777777" w:rsidR="00932692" w:rsidRPr="00A87961" w:rsidRDefault="00932692" w:rsidP="00932692">
      <w:pPr>
        <w:spacing w:line="480" w:lineRule="auto"/>
        <w:rPr>
          <w:rFonts w:cs="Times New Roman"/>
          <w:color w:val="000000" w:themeColor="text1"/>
        </w:rPr>
      </w:pPr>
    </w:p>
    <w:p w14:paraId="5E4D0055" w14:textId="220626F7" w:rsidR="00932692" w:rsidRPr="00A87961" w:rsidRDefault="00932692" w:rsidP="00932692">
      <w:pPr>
        <w:spacing w:line="480" w:lineRule="auto"/>
        <w:rPr>
          <w:rFonts w:ascii="Myriad Pro" w:hAnsi="Myriad Pro" w:cs="Times New Roman"/>
          <w:color w:val="000000" w:themeColor="text1"/>
          <w:sz w:val="18"/>
          <w:szCs w:val="18"/>
        </w:rPr>
      </w:pPr>
      <w:proofErr w:type="spellStart"/>
      <w:r w:rsidRPr="00A87961">
        <w:rPr>
          <w:rFonts w:cs="Times New Roman"/>
          <w:b/>
          <w:bCs/>
          <w:i/>
          <w:iCs/>
        </w:rPr>
        <w:t>CatWalk</w:t>
      </w:r>
      <w:proofErr w:type="spellEnd"/>
    </w:p>
    <w:p w14:paraId="4B12A301" w14:textId="3BC299EC" w:rsidR="00932692" w:rsidRDefault="00932692" w:rsidP="00932692">
      <w:pPr>
        <w:spacing w:line="480" w:lineRule="auto"/>
        <w:rPr>
          <w:rFonts w:cs="Times New Roman"/>
          <w:color w:val="000000" w:themeColor="text1"/>
        </w:rPr>
      </w:pPr>
      <w:r w:rsidRPr="00A87961">
        <w:rPr>
          <w:rFonts w:cs="Times New Roman"/>
          <w:color w:val="000000" w:themeColor="text1"/>
        </w:rPr>
        <w:t xml:space="preserve">Using </w:t>
      </w:r>
      <w:proofErr w:type="spellStart"/>
      <w:r w:rsidRPr="00A87961">
        <w:rPr>
          <w:rFonts w:cs="Times New Roman"/>
          <w:color w:val="000000" w:themeColor="text1"/>
        </w:rPr>
        <w:t>CatWalk</w:t>
      </w:r>
      <w:proofErr w:type="spellEnd"/>
      <w:r w:rsidRPr="00A87961">
        <w:rPr>
          <w:rFonts w:cs="Times New Roman"/>
          <w:color w:val="000000" w:themeColor="text1"/>
        </w:rPr>
        <w:t xml:space="preserve"> video analysis, </w:t>
      </w:r>
      <w:proofErr w:type="spellStart"/>
      <w:r w:rsidRPr="00A87961">
        <w:rPr>
          <w:rFonts w:cs="Times New Roman"/>
          <w:color w:val="000000" w:themeColor="text1"/>
        </w:rPr>
        <w:t>Latini</w:t>
      </w:r>
      <w:proofErr w:type="spellEnd"/>
      <w:r w:rsidRPr="00A87961">
        <w:rPr>
          <w:rFonts w:cs="Times New Roman"/>
          <w:color w:val="000000" w:themeColor="text1"/>
        </w:rPr>
        <w:t xml:space="preserve"> et al. found rats treated with either JWH-015, SR2 or saline to all display clear deficits in all parameters on day 7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However, from day 7 to day 60 post-SCI, JWH-015 treated rats achieved significantly better print length</w:t>
      </w:r>
      <w:r w:rsidR="007E2A77" w:rsidRPr="00A87961">
        <w:rPr>
          <w:rFonts w:cs="Times New Roman"/>
          <w:color w:val="000000" w:themeColor="text1"/>
        </w:rPr>
        <w:t xml:space="preserve"> (p&lt;0.001)</w:t>
      </w:r>
      <w:r w:rsidRPr="00A87961">
        <w:rPr>
          <w:rFonts w:cs="Times New Roman"/>
          <w:color w:val="000000" w:themeColor="text1"/>
        </w:rPr>
        <w:t>, print width</w:t>
      </w:r>
      <w:r w:rsidR="007E2A77" w:rsidRPr="00A87961">
        <w:rPr>
          <w:rFonts w:cs="Times New Roman"/>
          <w:color w:val="000000" w:themeColor="text1"/>
        </w:rPr>
        <w:t xml:space="preserve"> (p&lt;0.0001)</w:t>
      </w:r>
      <w:r w:rsidRPr="00A87961">
        <w:rPr>
          <w:rFonts w:cs="Times New Roman"/>
          <w:color w:val="000000" w:themeColor="text1"/>
        </w:rPr>
        <w:t>, print area</w:t>
      </w:r>
      <w:r w:rsidR="007E2A77" w:rsidRPr="00A87961">
        <w:rPr>
          <w:rFonts w:cs="Times New Roman"/>
          <w:color w:val="000000" w:themeColor="text1"/>
        </w:rPr>
        <w:t xml:space="preserve"> (p&lt;0.001)</w:t>
      </w:r>
      <w:r w:rsidRPr="00A87961">
        <w:rPr>
          <w:rFonts w:cs="Times New Roman"/>
          <w:color w:val="000000" w:themeColor="text1"/>
        </w:rPr>
        <w:t>, regularity index</w:t>
      </w:r>
      <w:r w:rsidR="007E2A77" w:rsidRPr="00A87961">
        <w:rPr>
          <w:rFonts w:cs="Times New Roman"/>
          <w:color w:val="000000" w:themeColor="text1"/>
        </w:rPr>
        <w:t xml:space="preserve"> (p&lt;0.0001)</w:t>
      </w:r>
      <w:r w:rsidRPr="00A87961">
        <w:rPr>
          <w:rFonts w:cs="Times New Roman"/>
          <w:color w:val="000000" w:themeColor="text1"/>
        </w:rPr>
        <w:t xml:space="preserve"> and maximum contact area </w:t>
      </w:r>
      <w:r w:rsidR="007E2A77" w:rsidRPr="00A87961">
        <w:rPr>
          <w:rFonts w:cs="Times New Roman"/>
          <w:color w:val="000000" w:themeColor="text1"/>
        </w:rPr>
        <w:t>(p&lt;0.001)</w:t>
      </w:r>
      <w:r w:rsidRPr="00A87961">
        <w:rPr>
          <w:rFonts w:cs="Times New Roman"/>
          <w:color w:val="000000" w:themeColor="text1"/>
        </w:rPr>
        <w:t>than both SR2 and saline treated rats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No differences were observed between saline and SR2 treated rats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{"citationItems":[{"id":"ITEM-1","itemData":{"DOI":"http://dx.doi.org/10.1038/cddis.2014.364","ISBN":"2041-4889","abstract":"Spinal cord injury (SCI) is a devastating condition of CNS that often results in severe functional impairments for which there are no restorative therapies. As in other CNS injuries, in addition to the effects that are related to the primary site of damage, these impairments are caused by degeneration of distal regions that are connected functionally to the primary lesion site. Modulation of the endocannabinoid system (ECS) counteracts this neurodegeneration, and pharmacological modulation of type-2 cannabinoid receptor (CB2R) is a promising therapeutic target for several CNS pathologies, including SCI. This study examined the effects of CB2R modulation on the fate of axotomized rubrospinal neurons (RSNs) and functional recovery in a model of spinal cord dorsal hemisection (SCH) at the cervical level in rats. SCH induced CB2R expression, severe atrophy, and cell death in contralateral RSNs. Furthermore, SCH affected molecular changes in the apoptotic cascade in RSNs - increased cytochrome c release, apoptosome formation, and caspase-3 activity. CB2R stimulation by its selective agonist JWH-015 significantly increased the bcl-2/bax ratio, reduced cytochrome c release, delayed atrophy and degeneration, and improved spontaneous functional recovery through ERK1/2 inactivation. These findings implicate the ECS, particularly CB2R, as part of the endogenous neuroprotective response that is triggered after SCI. Thus, CB2R modulation might represent a promising therapeutic target that lacks psychotropic effects and can be used to exploit ECS-based approaches to counteract neuronal degeneration. Copyright © 2014 Macmillan Publishers Limited. All rights reserved. ","author":[{"dropping-particle":"","family":"Latini","given":"L","non-dropping-particle":"","parse-names":false,"suffix":""},{"dropping-particle":"","family":"Bisicchia","given":"E","non-dropping-particle":"","parse-names":false,"suffix":""},{"dropping-particle":"","family":"Sasso","given":"V","non-dropping-particle":"","parse-names":false,"suffix":""},{"dropping-particle":"","family":"Chiurchiu","given":"V","non-dropping-particle":"","parse-names":false,"suffix":""},{"dropping-particle":"","family":"Cavallucci","given":"V","non-dropping-particle":"","parse-names":false,"suffix":""},{"dropping-particle":"","family":"Molinari","given":"M","non-dropping-particle":"","parse-names":false,"suffix":""},{"dropping-particle":"","family":"Maccarrone","given":"M","non-dropping-particle":"","parse-names":false,"suffix":""},{"dropping-particle":"","family":"Viscomi","given":"M T","non-dropping-particle":"","parse-names":false,"suffix":""}],"container-title":"Cell Death and Disease ","id":"ITEM-1","issue":"9 ","issued":{"date-parts":[["2014"]]},"language":"English ","note":"Embase","publisher-place":"(Latini, Bisicchia, Sasso, Chiurchiu, Cavallucci, Molinari, Maccarrone, Viscomi) Santa Lucia Foundation, IRCCS 65, Via Ardeatina 354, Rome 00179, Italy (Chiurchiu) Faculty of Veterinary Medicine, University of Teramo, Teramo, Italy (Maccarrone) Center of ","title":"Cannabinoid CB2 receptor (CB2R) stimulation delays rubrospinal mitochondrial-dependent degeneration and improves functional recovery after spinal cord hemisection by ERK1/2 inactivation ","type":"article","volume":"5 "},"uris":["http://www.mendeley.com/documents/?uuid=b81a6af9-879e-4a1d-bea2-5ffcec4a3507"]}],"mendeley":{"formattedCitation":"[32]","plainTextFormattedCitation":"[32]","previouslyFormattedCitation":"[32]"},"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[32]</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3397CC6D" w14:textId="77777777" w:rsidR="00D14944" w:rsidRPr="00A87961" w:rsidRDefault="00D14944" w:rsidP="00932692">
      <w:pPr>
        <w:spacing w:line="480" w:lineRule="auto"/>
        <w:rPr>
          <w:rFonts w:cs="Times New Roman"/>
          <w:color w:val="000000" w:themeColor="text1"/>
        </w:rPr>
      </w:pPr>
    </w:p>
    <w:p w14:paraId="49D54E73" w14:textId="7B28F0F4" w:rsidR="00932692" w:rsidRPr="00D14944" w:rsidRDefault="00D14944" w:rsidP="00932692">
      <w:pPr>
        <w:spacing w:line="480" w:lineRule="auto"/>
        <w:rPr>
          <w:rFonts w:ascii="Myriad Pro" w:hAnsi="Myriad Pro" w:cs="Times New Roman"/>
          <w:color w:val="000000" w:themeColor="text1"/>
          <w:sz w:val="18"/>
          <w:szCs w:val="18"/>
        </w:rPr>
      </w:pPr>
      <w:proofErr w:type="spellStart"/>
      <w:r>
        <w:rPr>
          <w:rFonts w:cs="Times New Roman"/>
          <w:b/>
          <w:bCs/>
          <w:i/>
          <w:iCs/>
        </w:rPr>
        <w:t>Tarlov</w:t>
      </w:r>
      <w:proofErr w:type="spellEnd"/>
      <w:r>
        <w:rPr>
          <w:rFonts w:cs="Times New Roman"/>
          <w:b/>
          <w:bCs/>
          <w:i/>
          <w:iCs/>
        </w:rPr>
        <w:t xml:space="preserve"> scoring system</w:t>
      </w:r>
    </w:p>
    <w:p w14:paraId="172F5B6F" w14:textId="07A622A1" w:rsidR="00932692" w:rsidRPr="00A87961" w:rsidRDefault="00932692" w:rsidP="00932692">
      <w:pPr>
        <w:spacing w:line="480" w:lineRule="auto"/>
        <w:rPr>
          <w:rFonts w:cs="Times New Roman"/>
          <w:color w:val="000000" w:themeColor="text1"/>
        </w:rPr>
      </w:pPr>
      <w:r w:rsidRPr="00A87961">
        <w:rPr>
          <w:rFonts w:cs="Times New Roman"/>
          <w:color w:val="000000" w:themeColor="text1"/>
        </w:rPr>
        <w:lastRenderedPageBreak/>
        <w:t xml:space="preserve">One study assessed neurological function using the </w:t>
      </w:r>
      <w:proofErr w:type="spellStart"/>
      <w:r w:rsidRPr="00A87961">
        <w:rPr>
          <w:rFonts w:cs="Times New Roman"/>
          <w:color w:val="000000" w:themeColor="text1"/>
        </w:rPr>
        <w:t>Tarlov</w:t>
      </w:r>
      <w:proofErr w:type="spellEnd"/>
      <w:r w:rsidRPr="00A87961">
        <w:rPr>
          <w:rFonts w:cs="Times New Roman"/>
          <w:color w:val="000000" w:themeColor="text1"/>
        </w:rPr>
        <w:t xml:space="preserve"> scoring system</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color w:val="000000" w:themeColor="text1"/>
        </w:rPr>
        <w:t>. Jing et al. studied the effect of AM 251 and AM 630 pre-treatment on the neuroprotective effects of RIPC prior to ischaemia/reperfusion injury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color w:val="000000" w:themeColor="text1"/>
        </w:rPr>
        <w:t xml:space="preserve">. At 4 hours after reperfusion, AM 251 pre-treatment + RIPC treated rats achieved significantly lowered </w:t>
      </w:r>
      <w:proofErr w:type="spellStart"/>
      <w:r w:rsidRPr="00A87961">
        <w:rPr>
          <w:rFonts w:cs="Times New Roman"/>
          <w:color w:val="000000" w:themeColor="text1"/>
        </w:rPr>
        <w:t>Tarlov</w:t>
      </w:r>
      <w:proofErr w:type="spellEnd"/>
      <w:r w:rsidRPr="00A87961">
        <w:rPr>
          <w:rFonts w:cs="Times New Roman"/>
          <w:color w:val="000000" w:themeColor="text1"/>
        </w:rPr>
        <w:t xml:space="preserve"> scores compared to rats subject to RIPC only</w:t>
      </w:r>
      <w:r w:rsidR="007E2A77" w:rsidRPr="00A87961">
        <w:rPr>
          <w:rFonts w:cs="Times New Roman"/>
          <w:color w:val="000000" w:themeColor="text1"/>
        </w:rPr>
        <w:t xml:space="preserve">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color w:val="000000" w:themeColor="text1"/>
        </w:rPr>
        <w:t>. The scores of RIPC only, AM630 pre-treatment + RIPC, and vehicle pre-treatment + RIPC treated mice were not significantly different at this time point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color w:val="000000" w:themeColor="text1"/>
        </w:rPr>
        <w:t xml:space="preserve">. At 24 hours post-reperfusion, both AM 251 and AM 630 pre-treatment statistically abolished the neuroprotective effect of RIPC as measured by </w:t>
      </w:r>
      <w:proofErr w:type="spellStart"/>
      <w:r w:rsidRPr="00A87961">
        <w:rPr>
          <w:rFonts w:cs="Times New Roman"/>
          <w:color w:val="000000" w:themeColor="text1"/>
        </w:rPr>
        <w:t>Tarlov</w:t>
      </w:r>
      <w:proofErr w:type="spellEnd"/>
      <w:r w:rsidRPr="00A87961">
        <w:rPr>
          <w:rFonts w:cs="Times New Roman"/>
          <w:color w:val="000000" w:themeColor="text1"/>
        </w:rPr>
        <w:t xml:space="preserve"> scores</w:t>
      </w:r>
      <w:r w:rsidR="007E2A77" w:rsidRPr="00A87961">
        <w:rPr>
          <w:rFonts w:cs="Times New Roman"/>
          <w:color w:val="000000" w:themeColor="text1"/>
        </w:rPr>
        <w:t xml:space="preserve">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[41]</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0ED37A02" w14:textId="77777777" w:rsidR="00932692" w:rsidRPr="00A87961" w:rsidRDefault="00932692" w:rsidP="00932692">
      <w:pPr>
        <w:spacing w:line="480" w:lineRule="auto"/>
        <w:rPr>
          <w:rFonts w:cs="Times New Roman"/>
          <w:b/>
          <w:bCs/>
        </w:rPr>
      </w:pPr>
    </w:p>
    <w:p w14:paraId="290419E4" w14:textId="48F8F9D9" w:rsidR="00932692" w:rsidRPr="00A87961" w:rsidRDefault="00932692" w:rsidP="00932692">
      <w:pPr>
        <w:spacing w:line="480" w:lineRule="auto"/>
        <w:rPr>
          <w:rFonts w:cs="Times New Roman"/>
          <w:b/>
          <w:bCs/>
        </w:rPr>
      </w:pPr>
      <w:r w:rsidRPr="00A87961">
        <w:rPr>
          <w:rFonts w:cs="Times New Roman"/>
          <w:b/>
          <w:bCs/>
        </w:rPr>
        <w:t xml:space="preserve">What is the impact of cannabinoids on pain outcomes? </w:t>
      </w:r>
    </w:p>
    <w:p w14:paraId="1D6204FD" w14:textId="0839BF1F" w:rsidR="00932692" w:rsidRPr="00A87961" w:rsidRDefault="00932692" w:rsidP="00932692">
      <w:pPr>
        <w:spacing w:line="480" w:lineRule="auto"/>
        <w:rPr>
          <w:rFonts w:cs="Times New Roman"/>
        </w:rPr>
      </w:pPr>
      <w:r w:rsidRPr="00A87961">
        <w:rPr>
          <w:rFonts w:cs="Times New Roman"/>
        </w:rPr>
        <w:t>Eight studies assessed pain outcomes of which seven used the von Frey filament test</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","id":"ITEM-2","issued":{"date-parts":[["2018"]]},"language":"English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"},"uris":["http://www.mendeley.com/documents/?uuid=8076948f-95f3-4063-8ed6-058483424885"]},{"id":"ITEM-3","itemData":{"DOI":"http://dx.doi.org/10.1016/j.expneurol.2006.09.002","ISBN":"0014-4886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","id":"ITEM-3","issue":"1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"},"uris":["http://www.mendeley.com/documents/?uuid=7f87b37c-91ea-4f57-ba57-fbf4e7ecb896"]},{"id":"ITEM-4","itemData":{"DOI":"http://dx.doi.org/10.1682/JRRD.2008.04.0049","ISBN":"0748-7711","abstract":"A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","id":"ITEM-4","issue":"1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"},"uris":["http://www.mendeley.com/documents/?uuid=aa2d859c-617b-414c-ac62-4ac6fcaa8184"]},{"id":"ITEM-5","itemData":{"DOI":"http://dx.doi.org/10.1016/j.neuropharm.2009.12.010","ISBN":"0028-3908","abstract":"Pre-clinical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","id":"ITEM-5","issue":"4-5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"},"uris":["http://www.mendeley.com/documents/?uuid=46f7852c-b3ee-41bf-b5cc-73d869c24a56"]},{"id":"ITEM-6","itemData":{"DOI":"http://dx.doi.org/10.1016/j.brainres.2011.07.031","ISBN":"0006-8993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","id":"ITEM-6","issued":{"date-parts":[["2011"]]},"language":"English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"},"uris":["http://www.mendeley.com/documents/?uuid=f5745367-b54b-4417-ae50-798fa20b8bce"]},{"id":"ITEM-7","itemData":{"DOI":"http://dx.doi.org/10.1002/prp2.34","ISBN":"2052-1707","abstract":"A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","id":"ITEM-7","issue":"2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[31,35–39,46]","plainTextFormattedCitation":"[31,35–39,46]","previouslyFormattedCitation":"[31,35–39,46]"},"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[31,35–39,46]</w:t>
      </w:r>
      <w:r w:rsidR="001A026A" w:rsidRPr="00A87961">
        <w:rPr>
          <w:rFonts w:cs="Times New Roman"/>
          <w:color w:val="000000" w:themeColor="text1"/>
          <w:vertAlign w:val="superscript"/>
        </w:rPr>
        <w:fldChar w:fldCharType="end"/>
      </w:r>
      <w:r w:rsidRPr="00A87961">
        <w:rPr>
          <w:rFonts w:cs="Times New Roman"/>
        </w:rPr>
        <w:t xml:space="preserve"> and three assessed hind paw withdrawal thresholds</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","id":"ITEM-2","issue":"12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"},"uris":["http://www.mendeley.com/documents/?uuid=61d568c6-10c5-4b77-8ca9-f48a80aa5f2a"]},{"id":"ITEM-3","itemData":{"DOI":"http://dx.doi.org/10.1016/j.cellimm.2018.02.016","ISBN":"0008-8749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","id":"ITEM-3","issued":{"date-parts":[["2018"]]},"language":"English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[30,31,46]","plainTextFormattedCitation":"[30,31,46]","previouslyFormattedCitation":"[30,31,46]"},"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9B5F4E" w:rsidRPr="009B5F4E">
        <w:rPr>
          <w:rFonts w:cs="Times New Roman"/>
          <w:noProof/>
          <w:color w:val="000000" w:themeColor="text1"/>
        </w:rPr>
        <w:t>[30,31,46]</w:t>
      </w:r>
      <w:r w:rsidR="001A026A" w:rsidRPr="00A87961">
        <w:rPr>
          <w:rFonts w:cs="Times New Roman"/>
          <w:color w:val="000000" w:themeColor="text1"/>
          <w:vertAlign w:val="superscript"/>
        </w:rPr>
        <w:fldChar w:fldCharType="end"/>
      </w:r>
      <w:r w:rsidRPr="00A87961">
        <w:rPr>
          <w:rFonts w:cs="Times New Roman"/>
        </w:rPr>
        <w:t>.</w:t>
      </w:r>
    </w:p>
    <w:p w14:paraId="54662A7C" w14:textId="77777777" w:rsidR="00932692" w:rsidRPr="00A87961" w:rsidRDefault="00932692" w:rsidP="00932692">
      <w:pPr>
        <w:spacing w:line="480" w:lineRule="auto"/>
        <w:rPr>
          <w:rFonts w:cs="Times New Roman"/>
          <w:b/>
          <w:bCs/>
          <w:i/>
          <w:iCs/>
        </w:rPr>
      </w:pPr>
    </w:p>
    <w:p w14:paraId="2ACFDBFA" w14:textId="1AF762E5" w:rsidR="00932692" w:rsidRPr="00A87961" w:rsidRDefault="00932692" w:rsidP="00932692">
      <w:pPr>
        <w:spacing w:line="480" w:lineRule="auto"/>
        <w:rPr>
          <w:rFonts w:ascii="Myriad Pro" w:hAnsi="Myriad Pro" w:cs="Times New Roman"/>
          <w:color w:val="000000" w:themeColor="text1"/>
          <w:sz w:val="18"/>
          <w:szCs w:val="18"/>
        </w:rPr>
      </w:pPr>
      <w:r w:rsidRPr="00A87961">
        <w:rPr>
          <w:rFonts w:cs="Times New Roman"/>
          <w:b/>
          <w:bCs/>
          <w:i/>
          <w:iCs/>
          <w:color w:val="000000" w:themeColor="text1"/>
        </w:rPr>
        <w:t>Von Frey filament test</w:t>
      </w:r>
      <w:r w:rsidRPr="00A87961">
        <w:rPr>
          <w:rFonts w:ascii="Myriad Pro" w:hAnsi="Myriad Pro" w:cs="Times New Roman"/>
          <w:color w:val="000000" w:themeColor="text1"/>
          <w:sz w:val="18"/>
          <w:szCs w:val="18"/>
        </w:rPr>
        <w:t xml:space="preserve"> </w:t>
      </w:r>
    </w:p>
    <w:p w14:paraId="0336DE77" w14:textId="2F0CF9FC" w:rsidR="00932692" w:rsidRPr="00A87961" w:rsidRDefault="00932692" w:rsidP="00932692">
      <w:pPr>
        <w:spacing w:line="480" w:lineRule="auto"/>
        <w:rPr>
          <w:rFonts w:cs="Times New Roman"/>
          <w:color w:val="000000" w:themeColor="text1"/>
        </w:rPr>
      </w:pPr>
      <w:r w:rsidRPr="00A87961">
        <w:rPr>
          <w:rFonts w:cs="Times New Roman"/>
          <w:color w:val="000000" w:themeColor="text1"/>
        </w:rPr>
        <w:t>Of the seven studies assessing mechanical sensitivity using the von Frey filament test, one study used CBD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 three used WIN 55,212-2</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"},"uris":["http://www.mendeley.com/documents/?uuid=7f87b37c-91ea-4f57-ba57-fbf4e7ecb896"]},{"id":"ITEM-2","itemData":{"DOI":"http://dx.doi.org/10.1682/JRRD.2008.04.0049","ISBN":"0748-7711","abstract":"A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","id":"ITEM-2","issue":"1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"},"uris":["http://www.mendeley.com/documents/?uuid=aa2d859c-617b-414c-ac62-4ac6fcaa8184"]},{"id":"ITEM-3","itemData":{"DOI":"http://dx.doi.org/10.1016/j.brainres.2011.07.031","ISBN":"0006-8993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","id":"ITEM-3","issued":{"date-parts":[["2011"]]},"language":"English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[35,36,38]","plainTextFormattedCitation":"[35,36,38]","previouslyFormattedCitation":"[35,36,38]"},"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[35,36,38]</w:t>
      </w:r>
      <w:r w:rsidR="001A026A" w:rsidRPr="00A87961">
        <w:rPr>
          <w:rFonts w:cs="Times New Roman"/>
          <w:color w:val="000000" w:themeColor="text1"/>
          <w:vertAlign w:val="superscript"/>
        </w:rPr>
        <w:fldChar w:fldCharType="end"/>
      </w:r>
      <w:r w:rsidRPr="00A87961">
        <w:rPr>
          <w:rFonts w:cs="Times New Roman"/>
          <w:color w:val="000000" w:themeColor="text1"/>
        </w:rPr>
        <w:t>, one used CP 55,940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xml:space="preserve">, one used </w:t>
      </w:r>
      <w:proofErr w:type="spellStart"/>
      <w:r w:rsidRPr="00A87961">
        <w:rPr>
          <w:rFonts w:cs="Times New Roman"/>
          <w:color w:val="000000" w:themeColor="text1"/>
        </w:rPr>
        <w:t>hemopressin</w:t>
      </w:r>
      <w:proofErr w:type="spellEnd"/>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two used rimonabant</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"},"uris":["http://www.mendeley.com/documents/?uuid=f5745367-b54b-4417-ae50-798fa20b8bce"]},{"id":"ITEM-2","itemData":{"DOI":"http://dx.doi.org/10.1002/prp2.34","ISBN":"2052-1707","abstract":"A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","id":"ITEM-2","issue":"2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[38,39]","plainTextFormattedCitation":"[38,39]","previouslyFormattedCitation":"[38,39]"},"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[38,39]</w:t>
      </w:r>
      <w:r w:rsidR="001A026A" w:rsidRPr="00A87961">
        <w:rPr>
          <w:rFonts w:cs="Times New Roman"/>
          <w:color w:val="000000" w:themeColor="text1"/>
          <w:vertAlign w:val="superscript"/>
        </w:rPr>
        <w:fldChar w:fldCharType="end"/>
      </w:r>
      <w:r w:rsidRPr="00A87961">
        <w:rPr>
          <w:rFonts w:cs="Times New Roman"/>
          <w:color w:val="000000" w:themeColor="text1"/>
        </w:rPr>
        <w:t>, one used AM 251</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"},"uris":["http://www.mendeley.com/documents/?uuid=7f87b37c-91ea-4f57-ba57-fbf4e7ecb896"]},{"id":"ITEM-2","itemData":{"DOI":"http://dx.doi.org/10.1016/j.neuropharm.2009.12.010","ISBN":"0028-3908","abstract":"Pre-clinical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","id":"ITEM-2","issue":"4-5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[35,37]","plainTextFormattedCitation":"[35,37]","previouslyFormattedCitation":"[35,37]"},"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[35,37]</w:t>
      </w:r>
      <w:r w:rsidR="001A026A" w:rsidRPr="00A87961">
        <w:rPr>
          <w:rFonts w:cs="Times New Roman"/>
          <w:color w:val="000000" w:themeColor="text1"/>
          <w:vertAlign w:val="superscript"/>
        </w:rPr>
        <w:fldChar w:fldCharType="end"/>
      </w:r>
      <w:r w:rsidRPr="00A87961">
        <w:rPr>
          <w:rFonts w:cs="Times New Roman"/>
          <w:color w:val="000000" w:themeColor="text1"/>
        </w:rPr>
        <w:t>, one used AM 281</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three used AM 630</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","id":"ITEM-3","issue":"4-5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[31,35,37]","plainTextFormattedCitation":"[31,35,37]","previouslyFormattedCitation":"[31,35,37]"},"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[31,35,37]</w:t>
      </w:r>
      <w:r w:rsidR="001A026A" w:rsidRPr="00A87961">
        <w:rPr>
          <w:rFonts w:cs="Times New Roman"/>
          <w:color w:val="000000" w:themeColor="text1"/>
          <w:vertAlign w:val="superscript"/>
        </w:rPr>
        <w:fldChar w:fldCharType="end"/>
      </w:r>
      <w:r w:rsidRPr="00A87961">
        <w:rPr>
          <w:rFonts w:cs="Times New Roman"/>
          <w:color w:val="000000" w:themeColor="text1"/>
        </w:rPr>
        <w:t>, and one used SR 144528</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one study used acetaminophen either alone or in combination with gabapentin, memantine, morphine or tramadol</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6B012A22" w14:textId="77777777" w:rsidR="00932692" w:rsidRPr="00A87961" w:rsidRDefault="00932692" w:rsidP="00932692">
      <w:pPr>
        <w:spacing w:line="480" w:lineRule="auto"/>
        <w:rPr>
          <w:rFonts w:cs="Times New Roman"/>
          <w:color w:val="000000" w:themeColor="text1"/>
        </w:rPr>
      </w:pPr>
    </w:p>
    <w:p w14:paraId="26BA4F52" w14:textId="49E1EA2B" w:rsidR="00932692" w:rsidRPr="00A87961" w:rsidRDefault="00932692" w:rsidP="00932692">
      <w:pPr>
        <w:spacing w:line="480" w:lineRule="auto"/>
        <w:rPr>
          <w:rFonts w:cs="Times New Roman"/>
          <w:color w:val="000000" w:themeColor="text1"/>
        </w:rPr>
      </w:pPr>
      <w:r w:rsidRPr="00A87961">
        <w:rPr>
          <w:rFonts w:cs="Times New Roman"/>
          <w:color w:val="000000" w:themeColor="text1"/>
        </w:rPr>
        <w:t>The study by Li et al. found no significant main effect of CBD treatment on right hindpaw von Frey filament scores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 Changes in mechanical sensitivity were noted to be variable between mice and between the left and right paw of individual mice, with both increases and decreases in sensitivity observed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5481B5A9" w14:textId="77777777" w:rsidR="00932692" w:rsidRPr="00A87961" w:rsidRDefault="00932692" w:rsidP="00932692">
      <w:pPr>
        <w:spacing w:line="480" w:lineRule="auto"/>
        <w:rPr>
          <w:rFonts w:cs="Times New Roman"/>
          <w:color w:val="000000" w:themeColor="text1"/>
        </w:rPr>
      </w:pPr>
    </w:p>
    <w:p w14:paraId="0F22E911" w14:textId="50884E3C" w:rsidR="00932692" w:rsidRPr="00A87961" w:rsidRDefault="00932692" w:rsidP="00932692">
      <w:pPr>
        <w:spacing w:line="480" w:lineRule="auto"/>
        <w:rPr>
          <w:rFonts w:cs="Times New Roman"/>
          <w:color w:val="000000" w:themeColor="text1"/>
        </w:rPr>
      </w:pPr>
      <w:r w:rsidRPr="00A87961">
        <w:rPr>
          <w:rFonts w:cs="Times New Roman"/>
          <w:color w:val="000000" w:themeColor="text1"/>
        </w:rPr>
        <w:t>Of the two studies that administered WIN 55,212-2 subcutaneously, one administered a WIN 55,212-2 as a single dose at approximately 4-5 weeks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[35]","plainTextFormattedCitation":"[35]","previouslyFormattedCitation":"[35]"},"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[35]</w:t>
      </w:r>
      <w:r w:rsidRPr="00A87961">
        <w:rPr>
          <w:rFonts w:cs="Times New Roman"/>
          <w:color w:val="000000" w:themeColor="text1"/>
          <w:vertAlign w:val="superscript"/>
        </w:rPr>
        <w:fldChar w:fldCharType="end"/>
      </w:r>
      <w:r w:rsidRPr="00A87961">
        <w:rPr>
          <w:rFonts w:cs="Times New Roman"/>
          <w:color w:val="000000" w:themeColor="text1"/>
        </w:rPr>
        <w:t xml:space="preserve"> and one administered WIN twice daily for 7 days beginning 4 weeks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","id":"ITEM-1","issue":"1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[36]","plainTextFormattedCitation":"[36]","previouslyFormattedCitation":"[36]"},"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[36]</w:t>
      </w:r>
      <w:r w:rsidRPr="00A87961">
        <w:rPr>
          <w:rFonts w:cs="Times New Roman"/>
          <w:color w:val="000000" w:themeColor="text1"/>
          <w:vertAlign w:val="superscript"/>
        </w:rPr>
        <w:fldChar w:fldCharType="end"/>
      </w:r>
      <w:r w:rsidRPr="00A87961">
        <w:rPr>
          <w:rFonts w:cs="Times New Roman"/>
          <w:color w:val="000000" w:themeColor="text1"/>
        </w:rPr>
        <w:t>. Both studies found WIN-55,212-2 increased withdrawal thresholds in a dose dependent manner</w:t>
      </w:r>
      <w:r w:rsidR="006C6FC2" w:rsidRPr="00A87961">
        <w:rPr>
          <w:rFonts w:cs="Times New Roman"/>
          <w:color w:val="000000" w:themeColor="text1"/>
        </w:rPr>
        <w:t xml:space="preserve"> (p&lt;0.05 in both studies)</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"},"uris":["http://www.mendeley.com/documents/?uuid=7f87b37c-91ea-4f57-ba57-fbf4e7ecb896"]},{"id":"ITEM-2","itemData":{"DOI":"http://dx.doi.org/10.1682/JRRD.2008.04.0049","ISBN":"0748-7711","abstract":"A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","id":"ITEM-2","issue":"1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[35,36]","plainTextFormattedCitation":"[35,36]","previouslyFormattedCitation":"[35,36]"},"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[35,36]</w:t>
      </w:r>
      <w:r w:rsidR="001A026A" w:rsidRPr="00A87961">
        <w:rPr>
          <w:rFonts w:cs="Times New Roman"/>
          <w:color w:val="000000" w:themeColor="text1"/>
          <w:vertAlign w:val="superscript"/>
        </w:rPr>
        <w:fldChar w:fldCharType="end"/>
      </w:r>
      <w:r w:rsidRPr="00A87961">
        <w:rPr>
          <w:rFonts w:cs="Times New Roman"/>
          <w:color w:val="000000" w:themeColor="text1"/>
        </w:rPr>
        <w:t>. This was observed for 2 hours following single WIN 55,212-2 treatment by Hama et al. (2007)</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[35]","plainTextFormattedCitation":"[35]","previouslyFormattedCitation":"[35]"},"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[35]</w:t>
      </w:r>
      <w:r w:rsidRPr="00A87961">
        <w:rPr>
          <w:rFonts w:cs="Times New Roman"/>
          <w:color w:val="000000" w:themeColor="text1"/>
          <w:vertAlign w:val="superscript"/>
        </w:rPr>
        <w:fldChar w:fldCharType="end"/>
      </w:r>
      <w:r w:rsidRPr="00A87961">
        <w:rPr>
          <w:rFonts w:cs="Times New Roman"/>
          <w:color w:val="000000" w:themeColor="text1"/>
        </w:rPr>
        <w:t xml:space="preserve"> and 30 minutes after each WIN 55,212-2 injection by Hama et al. (2009)</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","id":"ITEM-1","issue":"1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[36]","plainTextFormattedCitation":"[36]","previouslyFormattedCitation":"[36]"},"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[36]</w:t>
      </w:r>
      <w:r w:rsidRPr="00A87961">
        <w:rPr>
          <w:rFonts w:cs="Times New Roman"/>
          <w:color w:val="000000" w:themeColor="text1"/>
          <w:vertAlign w:val="superscript"/>
        </w:rPr>
        <w:fldChar w:fldCharType="end"/>
      </w:r>
      <w:r w:rsidRPr="00A87961">
        <w:rPr>
          <w:rFonts w:cs="Times New Roman"/>
          <w:color w:val="000000" w:themeColor="text1"/>
        </w:rPr>
        <w:t>. The antinociceptive effect of WIN was maintained throughout the duration of the 7 day experimental period in the Hama et al.(2009) study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","id":"ITEM-1","issue":"1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[36]","plainTextFormattedCitation":"[36]","previouslyFormattedCitation":"[36]"},"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[36]</w:t>
      </w:r>
      <w:r w:rsidRPr="00A87961">
        <w:rPr>
          <w:rFonts w:cs="Times New Roman"/>
          <w:color w:val="000000" w:themeColor="text1"/>
          <w:vertAlign w:val="superscript"/>
        </w:rPr>
        <w:fldChar w:fldCharType="end"/>
      </w:r>
      <w:r w:rsidRPr="00A87961">
        <w:rPr>
          <w:rFonts w:cs="Times New Roman"/>
          <w:color w:val="000000" w:themeColor="text1"/>
        </w:rPr>
        <w:t>.  Pre-treatment with AM 251 but not AM 630 was observed to block the antinociceptive effect of subcutaneous WIN 55,212-2</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","id":"ITEM-1","issue":"1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[35]","plainTextFormattedCitation":"[35]","previouslyFormattedCitation":"[35]"},"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[35]</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4953EE64" w14:textId="77777777" w:rsidR="00932692" w:rsidRPr="00A87961" w:rsidRDefault="00932692" w:rsidP="00932692">
      <w:pPr>
        <w:spacing w:line="480" w:lineRule="auto"/>
        <w:rPr>
          <w:rFonts w:cs="Times New Roman"/>
          <w:color w:val="000000" w:themeColor="text1"/>
        </w:rPr>
      </w:pPr>
    </w:p>
    <w:p w14:paraId="33ED5B87" w14:textId="63A703BE" w:rsidR="00932692" w:rsidRPr="00A87961" w:rsidRDefault="00932692" w:rsidP="00932692">
      <w:pPr>
        <w:spacing w:line="480" w:lineRule="auto"/>
        <w:rPr>
          <w:rFonts w:cs="Times New Roman"/>
          <w:color w:val="000000" w:themeColor="text1"/>
        </w:rPr>
      </w:pPr>
      <w:r w:rsidRPr="00A87961">
        <w:rPr>
          <w:rFonts w:cs="Times New Roman"/>
          <w:color w:val="000000" w:themeColor="text1"/>
        </w:rPr>
        <w:t>Hama et al. (2011), investigated the effects of centrally mediated CB receptor ligands following 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Intrathecal WIN 55,212-2 (57.4 nmol) significantly increased withdrawal thresholds from 30 minutes post-administration to 120 minutes post-administration</w:t>
      </w:r>
      <w:r w:rsidR="006C6FC2" w:rsidRPr="00A87961">
        <w:rPr>
          <w:rFonts w:cs="Times New Roman"/>
          <w:color w:val="000000" w:themeColor="text1"/>
        </w:rPr>
        <w:t xml:space="preserve"> (p&lt;0.05)</w:t>
      </w:r>
      <w:r w:rsidRPr="00A87961">
        <w:rPr>
          <w:rFonts w:cs="Times New Roman"/>
          <w:color w:val="000000" w:themeColor="text1"/>
        </w:rPr>
        <w:t>. Lower doses of intrathecal WIN 55,212-2 were not reported to affect withdrawal thresholds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Intracerebroventricular WIN 55,212-2 produced a dose-dependent antinociceptive effect at 30 minutes post-administration, but not at any other time point</w:t>
      </w:r>
      <w:r w:rsidR="006C6FC2" w:rsidRPr="00A87961">
        <w:rPr>
          <w:rFonts w:cs="Times New Roman"/>
          <w:color w:val="000000" w:themeColor="text1"/>
        </w:rPr>
        <w:t xml:space="preserve"> (p&lt;0.05 at 30 minutes)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33DD24C8" w14:textId="77777777" w:rsidR="00932692" w:rsidRPr="00A87961" w:rsidRDefault="00932692" w:rsidP="00932692">
      <w:pPr>
        <w:spacing w:line="480" w:lineRule="auto"/>
        <w:rPr>
          <w:rFonts w:cs="Times New Roman"/>
          <w:color w:val="000000" w:themeColor="text1"/>
        </w:rPr>
      </w:pPr>
    </w:p>
    <w:p w14:paraId="45D8E539" w14:textId="7DC71E99" w:rsidR="00932692" w:rsidRPr="00A87961" w:rsidRDefault="00932692" w:rsidP="00932692">
      <w:pPr>
        <w:spacing w:line="480" w:lineRule="auto"/>
        <w:rPr>
          <w:rFonts w:cs="Times New Roman"/>
          <w:color w:val="000000" w:themeColor="text1"/>
        </w:rPr>
      </w:pPr>
      <w:r w:rsidRPr="00A87961">
        <w:rPr>
          <w:rFonts w:cs="Times New Roman"/>
          <w:color w:val="000000" w:themeColor="text1"/>
        </w:rPr>
        <w:t xml:space="preserve">Intrathecally injected </w:t>
      </w:r>
      <w:proofErr w:type="spellStart"/>
      <w:r w:rsidRPr="00A87961">
        <w:rPr>
          <w:rFonts w:cs="Times New Roman"/>
          <w:color w:val="000000" w:themeColor="text1"/>
        </w:rPr>
        <w:t>hemopressin</w:t>
      </w:r>
      <w:proofErr w:type="spellEnd"/>
      <w:r w:rsidRPr="00A87961">
        <w:rPr>
          <w:rFonts w:cs="Times New Roman"/>
          <w:color w:val="000000" w:themeColor="text1"/>
        </w:rPr>
        <w:t xml:space="preserve"> and rimonabant did not significantly alter hind paw withdrawal threshold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xml:space="preserve">. </w:t>
      </w:r>
      <w:proofErr w:type="spellStart"/>
      <w:r w:rsidRPr="00A87961">
        <w:rPr>
          <w:rFonts w:cs="Times New Roman"/>
          <w:color w:val="000000" w:themeColor="text1"/>
        </w:rPr>
        <w:t>Hemopressin</w:t>
      </w:r>
      <w:proofErr w:type="spellEnd"/>
      <w:r w:rsidRPr="00A87961">
        <w:rPr>
          <w:rFonts w:cs="Times New Roman"/>
          <w:color w:val="000000" w:themeColor="text1"/>
        </w:rPr>
        <w:t xml:space="preserve"> administered either as a pre-treatment intrathecally or as a intracerebroventricular co-treatment with WIN 55,212-2 did not alter the antinociceptive effect of intrathecal WIN 55,212-2</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By contrast intrathecal rimonabant pre-treatment blocked the antinociceptive effect of intrathecal WIN 55,212-2</w:t>
      </w:r>
      <w:r w:rsidR="006C6FC2" w:rsidRPr="00A87961">
        <w:rPr>
          <w:rFonts w:cs="Times New Roman"/>
          <w:color w:val="000000" w:themeColor="text1"/>
        </w:rPr>
        <w:t xml:space="preserve"> (p&lt;0.05 </w:t>
      </w:r>
      <w:r w:rsidR="006C6FC2" w:rsidRPr="00A87961">
        <w:rPr>
          <w:rFonts w:cs="Times New Roman"/>
          <w:color w:val="000000" w:themeColor="text1"/>
        </w:rPr>
        <w:lastRenderedPageBreak/>
        <w:t>compared to vehicle</w:t>
      </w:r>
      <w:r w:rsidR="00601980" w:rsidRPr="00A87961">
        <w:rPr>
          <w:rFonts w:cs="Times New Roman"/>
          <w:color w:val="000000" w:themeColor="text1"/>
        </w:rPr>
        <w:t xml:space="preserve"> pre-treatment)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Subcutaneous pre-treatment with rimonabant blocked the antinociceptive effect of intracerebroventricular WIN 55,212-2</w:t>
      </w:r>
      <w:r w:rsidR="00601980" w:rsidRPr="00A87961">
        <w:rPr>
          <w:rFonts w:cs="Times New Roman"/>
          <w:color w:val="000000" w:themeColor="text1"/>
        </w:rPr>
        <w:t xml:space="preserve"> (p&lt;0.05 compared to vehicle pre-treatment)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2CDE8A02" w14:textId="77777777" w:rsidR="00932692" w:rsidRPr="00A87961" w:rsidRDefault="00932692" w:rsidP="00932692">
      <w:pPr>
        <w:spacing w:line="480" w:lineRule="auto"/>
        <w:rPr>
          <w:rFonts w:cs="Times New Roman"/>
          <w:color w:val="000000" w:themeColor="text1"/>
        </w:rPr>
      </w:pPr>
    </w:p>
    <w:p w14:paraId="70614172" w14:textId="5332D1B2" w:rsidR="00932692" w:rsidRPr="00A87961" w:rsidRDefault="00932692" w:rsidP="00932692">
      <w:pPr>
        <w:spacing w:line="480" w:lineRule="auto"/>
        <w:rPr>
          <w:rFonts w:cs="Times New Roman"/>
          <w:color w:val="000000" w:themeColor="text1"/>
        </w:rPr>
      </w:pPr>
      <w:r w:rsidRPr="00A87961">
        <w:rPr>
          <w:rFonts w:cs="Times New Roman"/>
          <w:color w:val="000000" w:themeColor="text1"/>
        </w:rPr>
        <w:t>Arevalo-Martin et al. observed no difference between rats treated with AM 281 (3 mg/kg), AM 630 (3 mg/kg) or a combination AM 281 (3 mg/kg) and AM 630 (3 mg/kg), and rats treated with vehicle following 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5E18A0A2" w14:textId="77777777" w:rsidR="00932692" w:rsidRPr="00A87961" w:rsidRDefault="00932692" w:rsidP="00932692">
      <w:pPr>
        <w:spacing w:line="480" w:lineRule="auto"/>
        <w:rPr>
          <w:rFonts w:cs="Times New Roman"/>
          <w:color w:val="000000" w:themeColor="text1"/>
        </w:rPr>
      </w:pPr>
    </w:p>
    <w:p w14:paraId="71D7482E" w14:textId="1A9CF57B" w:rsidR="00932692" w:rsidRPr="00A87961" w:rsidRDefault="00932692" w:rsidP="00932692">
      <w:pPr>
        <w:spacing w:line="480" w:lineRule="auto"/>
        <w:rPr>
          <w:rFonts w:cs="Times New Roman"/>
          <w:color w:val="000000" w:themeColor="text1"/>
          <w:vertAlign w:val="superscript"/>
        </w:rPr>
      </w:pPr>
      <w:r w:rsidRPr="00A87961">
        <w:rPr>
          <w:rFonts w:cs="Times New Roman"/>
          <w:color w:val="000000" w:themeColor="text1"/>
        </w:rPr>
        <w:t xml:space="preserve">Hama et al. (2014) found CP 55,940 increased withdrawal threshold </w:t>
      </w:r>
      <w:r w:rsidR="00601980" w:rsidRPr="00A87961">
        <w:rPr>
          <w:rFonts w:cs="Times New Roman"/>
          <w:color w:val="000000" w:themeColor="text1"/>
        </w:rPr>
        <w:t xml:space="preserve">compared to vehicle </w:t>
      </w:r>
      <w:r w:rsidRPr="00A87961">
        <w:rPr>
          <w:rFonts w:cs="Times New Roman"/>
          <w:color w:val="000000" w:themeColor="text1"/>
        </w:rPr>
        <w:t>in a dose-dependent manner</w:t>
      </w:r>
      <w:r w:rsidR="00601980" w:rsidRPr="00A87961">
        <w:rPr>
          <w:rFonts w:cs="Times New Roman"/>
          <w:color w:val="000000" w:themeColor="text1"/>
        </w:rPr>
        <w:t xml:space="preserve">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Peak efficacy was not observed until 60-90 minutes following injection of lower doses (0.03 and 0.1 mg/kg) but was observed rapidly following injection with the highest dose (0.3 mg/kg)</w:t>
      </w:r>
      <w:r w:rsidRPr="00A87961">
        <w:rPr>
          <w:rFonts w:cs="Times New Roman"/>
          <w:color w:val="000000" w:themeColor="text1"/>
          <w:vertAlign w:val="superscript"/>
        </w:rPr>
        <w:t xml:space="preserve"> </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Hama et al. (2014) noted the antinociceptive effect of CP 55,940 was maintained at full efficacy with twice daily dosing over a 7-day observation period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Pre-treatment with the CB1 receptor antagonist rimonabant</w:t>
      </w:r>
      <w:r w:rsidR="00601980" w:rsidRPr="00A87961">
        <w:rPr>
          <w:rFonts w:cs="Times New Roman"/>
          <w:color w:val="000000" w:themeColor="text1"/>
        </w:rPr>
        <w:t xml:space="preserve"> (p&lt;0.05)</w:t>
      </w:r>
      <w:r w:rsidRPr="00A87961">
        <w:rPr>
          <w:rFonts w:cs="Times New Roman"/>
          <w:color w:val="000000" w:themeColor="text1"/>
        </w:rPr>
        <w:t xml:space="preserve"> but not the CB2 receptor antagonist SR 144528</w:t>
      </w:r>
      <w:r w:rsidR="00601980" w:rsidRPr="00A87961">
        <w:rPr>
          <w:rFonts w:cs="Times New Roman"/>
          <w:color w:val="000000" w:themeColor="text1"/>
        </w:rPr>
        <w:t xml:space="preserve"> (p&gt;0.05)</w:t>
      </w:r>
      <w:r w:rsidRPr="00A87961">
        <w:rPr>
          <w:rFonts w:cs="Times New Roman"/>
          <w:color w:val="000000" w:themeColor="text1"/>
        </w:rPr>
        <w:t xml:space="preserve"> blocked the effect of CP 55,90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{"citationItems":[{"id":"ITEM-1","itemData":{"DOI":"http://dx.doi.org/10.1002/prp2.34","ISBN":"2052-1707","abstract":"A lack of efficacy of some analgesic drugs has been previously described in rats with neuropathic spinal cord injury (SCI) pain. It has been suggested that repeated dosing in these animals over time may eventually lead to efficacy. However, it is also possible that efficacy may diminish over time with repeated dosing. This study evaluated the efficacy of various drugs upon repeated dosing over time in a rat model of SCI pain. Four weeks following an acute spinal cord compression at the mid-thoracic level, rats developed decreased hind paw withdrawal threshold, suggestive of below level neuropathic hypersensitivity. Either cannabinoid (CB) receptor agonist CP 55,940, the anticonvulsant carbamazepine or gabapentin, the antidepressant amitriptyline or vehicle was administered over a period of 7 days. Neither carbamazepine nor amitriptyline demonstrated efficacy either after a single or repeated dosing. Beginning with a 50% efficacious dose of gabapentin, the effect of gabapentin in SCI rats neither increased nor decreased over the treatment period. The antinociceptive effect of CP 55,940 was maintained for the entire treatment period, which was mediated by CB1 but not CB2 receptors. The current data suggest that sustained antinociception can be obtained with some drugs in rats with neuropathic SCI pain. Furthermore, the current data do not substantiate the notion that repeated treatment with initially ineffective drugs will eventually lead to efficacy; treatments that are not acutely effective are unlikely to demonstrate clinical efficacy. Copyright © 2014 The Authors. Pharmacology Research &amp; Perspectives published by John Wiley &amp; Sons Ltd, British Pharmacological Society and American Society for Pharmacology and Experimental Therapeutics. ","author":[{"dropping-particle":"","family":"Hama","given":"A T","non-dropping-particle":"","parse-names":false,"suffix":""},{"dropping-particle":"","family":"Pearson","given":"J P","non-dropping-particle":"","parse-names":false,"suffix":""},{"dropping-particle":"","family":"Sagen","given":"J","non-dropping-particle":"","parse-names":false,"suffix":""}],"container-title":"Pharmacology Research and Perspectives ","id":"ITEM-1","issue":"2 ","issued":{"date-parts":[["2014"]]},"language":"English ","note":"Embase","publisher-place":"(Hama, Sagen) The Miami Project to Cure Paralysis, University of Miami Miller School of Medicine, Miami, FL 33136, United States (Pearson) Ironwood Pharmaceuticals, Inc, Cambridge, MA 02142, United States  A.T. Hama, The Miami Project to Cure Paralysis, U","title":"Effects of repeated dosing with mechanistically distinct antinociceptive ligands in a rat model of neuropathic spinal cord injury pain ","type":"article","volume":"2 "},"uris":["http://www.mendeley.com/documents/?uuid=dbbab316-c568-44c0-8b31-111000ebc672"]}],"mendeley":{"formattedCitation":"[39]","plainTextFormattedCitation":"[39]","previouslyFormattedCitation":"[39]"},"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[39]</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6AF90B0A" w14:textId="77777777" w:rsidR="00932692" w:rsidRPr="00A87961" w:rsidRDefault="00932692" w:rsidP="00932692">
      <w:pPr>
        <w:spacing w:line="480" w:lineRule="auto"/>
        <w:rPr>
          <w:rFonts w:cs="Times New Roman"/>
          <w:color w:val="000000" w:themeColor="text1"/>
        </w:rPr>
      </w:pPr>
    </w:p>
    <w:p w14:paraId="6F29620F" w14:textId="052215C7" w:rsidR="00932692" w:rsidRPr="00A87961" w:rsidRDefault="00932692" w:rsidP="00932692">
      <w:pPr>
        <w:spacing w:line="480" w:lineRule="auto"/>
        <w:rPr>
          <w:rFonts w:cs="Times New Roman"/>
          <w:color w:val="000000" w:themeColor="text1"/>
          <w:vertAlign w:val="superscript"/>
        </w:rPr>
      </w:pPr>
      <w:r w:rsidRPr="00A87961">
        <w:rPr>
          <w:rFonts w:cs="Times New Roman"/>
          <w:color w:val="000000" w:themeColor="text1"/>
        </w:rPr>
        <w:t xml:space="preserve">Hama et al. (2010) studied the effects of using acetaminophen alone or in combination with other analgesics on mechanical sensitivity measured using the von Frey filament score and presented as a percent maximum possible effect </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The maximum possible effect of acetaminophen (100 mg/kg) at 60 and 90 minutes post-SCI were not significantly different to that of vehicle treated rats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Combinations of acetaminophen with either gabapentin or morphine produced statistically significant synergy</w:t>
      </w:r>
      <w:r w:rsidR="00601980" w:rsidRPr="00A87961">
        <w:rPr>
          <w:rFonts w:cs="Times New Roman"/>
          <w:color w:val="000000" w:themeColor="text1"/>
        </w:rPr>
        <w:t xml:space="preserve"> (p&lt;0.05 compared to effects of drugs used individually)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Combinations of acetaminophen with either memantine or tramadol did not produce any statistically significant synergy</w:t>
      </w:r>
      <w:r w:rsidR="00601980" w:rsidRPr="00A87961">
        <w:rPr>
          <w:rFonts w:cs="Times New Roman"/>
          <w:color w:val="000000" w:themeColor="text1"/>
        </w:rPr>
        <w:t xml:space="preserve"> (p&gt;0.05 compared to effects of drugs used individually)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xml:space="preserve">. Pre-treatment with AM 251 but not AM 630 significantly attenuated </w:t>
      </w:r>
      <w:r w:rsidRPr="00A87961">
        <w:rPr>
          <w:rFonts w:cs="Times New Roman"/>
          <w:color w:val="000000" w:themeColor="text1"/>
        </w:rPr>
        <w:lastRenderedPageBreak/>
        <w:t>the antinociceptive effect of the acetaminophen + gabapentin combination</w:t>
      </w:r>
      <w:r w:rsidR="00601980" w:rsidRPr="00A87961">
        <w:rPr>
          <w:rFonts w:cs="Times New Roman"/>
          <w:color w:val="000000" w:themeColor="text1"/>
        </w:rPr>
        <w:t xml:space="preserve"> (</w:t>
      </w:r>
      <w:r w:rsidR="003264F8" w:rsidRPr="00A87961">
        <w:rPr>
          <w:rFonts w:cs="Times New Roman"/>
          <w:color w:val="000000" w:themeColor="text1"/>
        </w:rPr>
        <w:t>AM 251 compared to vehicle pre-treatment; p&lt;0.05</w:t>
      </w:r>
      <w:r w:rsidR="00601980" w:rsidRPr="00A87961">
        <w:rPr>
          <w:rFonts w:cs="Times New Roman"/>
          <w:color w:val="000000" w:themeColor="text1"/>
        </w:rPr>
        <w: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Pre-treatment with AM 251 significantly attenuated the antinociceptive effect of the acetaminophen + morphine combination with morphine however, a significant residual antinociceptive effect remained</w:t>
      </w:r>
      <w:r w:rsidR="003264F8" w:rsidRPr="00A87961">
        <w:rPr>
          <w:rFonts w:cs="Times New Roman"/>
          <w:color w:val="000000" w:themeColor="text1"/>
        </w:rPr>
        <w:t xml:space="preserve"> </w:t>
      </w:r>
      <w:r w:rsidR="00601980" w:rsidRPr="00A87961">
        <w:rPr>
          <w:rFonts w:cs="Times New Roman"/>
          <w:color w:val="000000" w:themeColor="text1"/>
        </w:rPr>
        <w:t>(</w:t>
      </w:r>
      <w:r w:rsidR="003264F8" w:rsidRPr="00A87961">
        <w:rPr>
          <w:rFonts w:cs="Times New Roman"/>
          <w:color w:val="000000" w:themeColor="text1"/>
        </w:rPr>
        <w:t>AM 251 compared to vehicle pre-treatment;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Similarly, pre-treatment with AM 630 partially decreased the antinociceptive effect of acetaminophen with morphine, leaving a residual anti-nociceptive effect</w:t>
      </w:r>
      <w:r w:rsidR="003264F8" w:rsidRPr="00A87961">
        <w:rPr>
          <w:rFonts w:cs="Times New Roman"/>
          <w:color w:val="000000" w:themeColor="text1"/>
        </w:rPr>
        <w:t xml:space="preserve"> (AM 630 compared to vehicle pre-treatment;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xml:space="preserve">. Although the acetaminophen + tramadol combination did not produce statistically significant synergy, Hama </w:t>
      </w:r>
      <w:proofErr w:type="gramStart"/>
      <w:r w:rsidRPr="00A87961">
        <w:rPr>
          <w:rFonts w:cs="Times New Roman"/>
          <w:color w:val="000000" w:themeColor="text1"/>
        </w:rPr>
        <w:t>et al.(</w:t>
      </w:r>
      <w:proofErr w:type="gramEnd"/>
      <w:r w:rsidRPr="00A87961">
        <w:rPr>
          <w:rFonts w:cs="Times New Roman"/>
          <w:color w:val="000000" w:themeColor="text1"/>
        </w:rPr>
        <w:t>2010). found pre-treatment with AM 251 but not AM 630 significantly attenuated the effect of the combination</w:t>
      </w:r>
      <w:r w:rsidR="003264F8" w:rsidRPr="00A87961">
        <w:rPr>
          <w:rFonts w:cs="Times New Roman"/>
          <w:color w:val="000000" w:themeColor="text1"/>
        </w:rPr>
        <w:t xml:space="preserve"> (AM 251 compared to vehicle pre-treatment; p&lt;0.05)</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Pre-treatment with either AM 251 or AM 630 before vehicle treatment did not significantly affect withdrawal thresholds</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[37]</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21A3DB27" w14:textId="77777777" w:rsidR="00932692" w:rsidRPr="00A87961" w:rsidRDefault="00932692" w:rsidP="00932692">
      <w:pPr>
        <w:spacing w:line="480" w:lineRule="auto"/>
        <w:rPr>
          <w:rFonts w:cs="Times New Roman"/>
          <w:color w:val="FF0000"/>
        </w:rPr>
      </w:pPr>
    </w:p>
    <w:p w14:paraId="7B46E1AD" w14:textId="48ED6F5C" w:rsidR="00932692" w:rsidRPr="00A87961" w:rsidRDefault="00932692" w:rsidP="00932692">
      <w:pPr>
        <w:spacing w:line="480" w:lineRule="auto"/>
        <w:rPr>
          <w:rFonts w:ascii="Myriad Pro" w:hAnsi="Myriad Pro" w:cs="Times New Roman"/>
          <w:sz w:val="18"/>
          <w:szCs w:val="18"/>
        </w:rPr>
      </w:pPr>
      <w:r w:rsidRPr="00A87961">
        <w:rPr>
          <w:rFonts w:cs="Times New Roman"/>
          <w:b/>
          <w:bCs/>
          <w:i/>
          <w:iCs/>
        </w:rPr>
        <w:t>Hind paw withdrawal to thermal stimulus</w:t>
      </w:r>
    </w:p>
    <w:p w14:paraId="694CA1CE" w14:textId="13A951F6" w:rsidR="00932692" w:rsidRPr="00A87961" w:rsidRDefault="00932692" w:rsidP="00932692">
      <w:pPr>
        <w:spacing w:line="480" w:lineRule="auto"/>
        <w:rPr>
          <w:rFonts w:cs="Times New Roman"/>
          <w:color w:val="000000" w:themeColor="text1"/>
        </w:rPr>
      </w:pPr>
      <w:r w:rsidRPr="00A87961">
        <w:rPr>
          <w:rFonts w:cs="Times New Roman"/>
          <w:color w:val="000000" w:themeColor="text1"/>
        </w:rPr>
        <w:t>Three studies assessed hind paw withdrawal to thermal stimulus</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"},"uris":["http://www.mendeley.com/documents/?uuid=934a8c3f-4616-45ee-80ee-3dbec6614f85"]},{"id":"ITEM-2","itemData":{"DOI":"http://dx.doi.org/10.1016/j.spinee.2010.08.015","ISBN":"1529-9430","abstract":"Background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","id":"ITEM-2","issue":"12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"},"uris":["http://www.mendeley.com/documents/?uuid=61d568c6-10c5-4b77-8ca9-f48a80aa5f2a"]},{"id":"ITEM-3","itemData":{"DOI":"http://dx.doi.org/10.1016/j.cellimm.2018.02.016","ISBN":"0008-8749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","id":"ITEM-3","issued":{"date-parts":[["2018"]]},"language":"English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[30,31,46]","plainTextFormattedCitation":"[30,31,46]","previouslyFormattedCitation":"[30,31,46]"},"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9B5F4E" w:rsidRPr="009B5F4E">
        <w:rPr>
          <w:rFonts w:cs="Times New Roman"/>
          <w:noProof/>
          <w:color w:val="000000" w:themeColor="text1"/>
        </w:rPr>
        <w:t>[30,31,46]</w:t>
      </w:r>
      <w:r w:rsidR="001A026A" w:rsidRPr="00A87961">
        <w:rPr>
          <w:rFonts w:cs="Times New Roman"/>
          <w:color w:val="000000" w:themeColor="text1"/>
          <w:vertAlign w:val="superscript"/>
        </w:rPr>
        <w:fldChar w:fldCharType="end"/>
      </w:r>
      <w:r w:rsidRPr="00A87961">
        <w:rPr>
          <w:rFonts w:cs="Times New Roman"/>
          <w:color w:val="000000" w:themeColor="text1"/>
        </w:rPr>
        <w:t>. One study treated rats with WIN 55,212-2 alone or in combination with the CB1 or CB2 receptor antagonists AM 251 and AM 630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plainTextFormattedCitation":"[30]","previouslyFormattedCitation":"[30]"},"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[30]</w:t>
      </w:r>
      <w:r w:rsidRPr="00A87961">
        <w:rPr>
          <w:rFonts w:cs="Times New Roman"/>
          <w:color w:val="000000" w:themeColor="text1"/>
          <w:vertAlign w:val="superscript"/>
        </w:rPr>
        <w:fldChar w:fldCharType="end"/>
      </w:r>
      <w:r w:rsidRPr="00A87961">
        <w:rPr>
          <w:rFonts w:cs="Times New Roman"/>
          <w:color w:val="000000" w:themeColor="text1"/>
        </w:rPr>
        <w:t>. One study involved treatment with AM 281 and AM630 alone and in combination. One study treated mice with CBD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3BE854B2" w14:textId="77777777" w:rsidR="00932692" w:rsidRPr="00A87961" w:rsidRDefault="00932692" w:rsidP="00932692">
      <w:pPr>
        <w:spacing w:line="480" w:lineRule="auto"/>
        <w:rPr>
          <w:rFonts w:cs="Times New Roman"/>
          <w:color w:val="000000" w:themeColor="text1"/>
        </w:rPr>
      </w:pPr>
    </w:p>
    <w:p w14:paraId="5B0609FA" w14:textId="41ECF41E" w:rsidR="00932692" w:rsidRPr="00A87961" w:rsidRDefault="00932692" w:rsidP="00932692">
      <w:pPr>
        <w:spacing w:line="480" w:lineRule="auto"/>
        <w:rPr>
          <w:rFonts w:cs="Times New Roman"/>
          <w:color w:val="000000" w:themeColor="text1"/>
        </w:rPr>
      </w:pPr>
      <w:r w:rsidRPr="00A87961">
        <w:rPr>
          <w:rFonts w:cs="Times New Roman"/>
          <w:color w:val="000000" w:themeColor="text1"/>
        </w:rPr>
        <w:t>Ahmed et al. found that WIN 55,212-2 treatment after SCI (0.2 mg/kg and 2.0mg/kg) increased withdrawal thresholds from a thermal noxious stimulus, measured on post-injury day 42, in a dose dependent manner</w:t>
      </w:r>
      <w:r w:rsidR="003264F8" w:rsidRPr="00A87961">
        <w:rPr>
          <w:rFonts w:cs="Times New Roman"/>
          <w:color w:val="000000" w:themeColor="text1"/>
        </w:rPr>
        <w:t xml:space="preserve"> (WIN</w:t>
      </w:r>
      <w:r w:rsidR="00881B2E" w:rsidRPr="00A87961">
        <w:rPr>
          <w:rFonts w:cs="Times New Roman"/>
          <w:color w:val="000000" w:themeColor="text1"/>
        </w:rPr>
        <w:t xml:space="preserve"> 55,212-2</w:t>
      </w:r>
      <w:r w:rsidR="003264F8" w:rsidRPr="00A87961">
        <w:rPr>
          <w:rFonts w:cs="Times New Roman"/>
          <w:color w:val="000000" w:themeColor="text1"/>
        </w:rPr>
        <w:t xml:space="preserve"> 0.2 mg/kg </w:t>
      </w:r>
      <w:r w:rsidR="00A31543" w:rsidRPr="00A87961">
        <w:rPr>
          <w:rFonts w:cs="Times New Roman"/>
          <w:color w:val="000000" w:themeColor="text1"/>
        </w:rPr>
        <w:t xml:space="preserve">increased </w:t>
      </w:r>
      <w:r w:rsidR="003264F8" w:rsidRPr="00A87961">
        <w:rPr>
          <w:rFonts w:cs="Times New Roman"/>
          <w:color w:val="000000" w:themeColor="text1"/>
        </w:rPr>
        <w:t xml:space="preserve">hindpaw withdrawal latency </w:t>
      </w:r>
      <w:r w:rsidR="00A31543" w:rsidRPr="00A87961">
        <w:rPr>
          <w:rFonts w:cs="Times New Roman"/>
          <w:color w:val="000000" w:themeColor="text1"/>
        </w:rPr>
        <w:t xml:space="preserve">from </w:t>
      </w:r>
      <w:r w:rsidR="003264F8" w:rsidRPr="00A87961">
        <w:rPr>
          <w:rFonts w:cs="Times New Roman"/>
          <w:color w:val="000000" w:themeColor="text1"/>
        </w:rPr>
        <w:t xml:space="preserve">9.5±0.4 s to 11.1±0.5 </w:t>
      </w:r>
      <w:proofErr w:type="spellStart"/>
      <w:r w:rsidR="003264F8" w:rsidRPr="00A87961">
        <w:rPr>
          <w:rFonts w:cs="Times New Roman"/>
          <w:color w:val="000000" w:themeColor="text1"/>
        </w:rPr>
        <w:t>s on</w:t>
      </w:r>
      <w:proofErr w:type="spellEnd"/>
      <w:r w:rsidR="003264F8" w:rsidRPr="00A87961">
        <w:rPr>
          <w:rFonts w:cs="Times New Roman"/>
          <w:color w:val="000000" w:themeColor="text1"/>
        </w:rPr>
        <w:t xml:space="preserve"> day 42 post injury; p&lt;0.05. WIN </w:t>
      </w:r>
      <w:r w:rsidR="00881B2E" w:rsidRPr="00A87961">
        <w:rPr>
          <w:rFonts w:cs="Times New Roman"/>
          <w:color w:val="000000" w:themeColor="text1"/>
        </w:rPr>
        <w:t xml:space="preserve">55,212-2 </w:t>
      </w:r>
      <w:r w:rsidR="003264F8" w:rsidRPr="00A87961">
        <w:rPr>
          <w:rFonts w:cs="Times New Roman"/>
          <w:color w:val="000000" w:themeColor="text1"/>
        </w:rPr>
        <w:t xml:space="preserve">2 mg/kg </w:t>
      </w:r>
      <w:r w:rsidR="00A31543" w:rsidRPr="00A87961">
        <w:rPr>
          <w:rFonts w:cs="Times New Roman"/>
          <w:color w:val="000000" w:themeColor="text1"/>
        </w:rPr>
        <w:t xml:space="preserve">increased </w:t>
      </w:r>
      <w:r w:rsidR="003264F8" w:rsidRPr="00A87961">
        <w:rPr>
          <w:rFonts w:cs="Times New Roman"/>
          <w:color w:val="000000" w:themeColor="text1"/>
        </w:rPr>
        <w:t xml:space="preserve">hindpaw withdrawal latency </w:t>
      </w:r>
      <w:r w:rsidR="00A31543" w:rsidRPr="00A87961">
        <w:rPr>
          <w:rFonts w:cs="Times New Roman"/>
          <w:color w:val="000000" w:themeColor="text1"/>
        </w:rPr>
        <w:t xml:space="preserve">from </w:t>
      </w:r>
      <w:r w:rsidR="003264F8" w:rsidRPr="00A87961">
        <w:rPr>
          <w:rFonts w:cs="Times New Roman"/>
          <w:color w:val="000000" w:themeColor="text1"/>
        </w:rPr>
        <w:t xml:space="preserve">= 8.4±0.4 s to 10.7±0.4 </w:t>
      </w:r>
      <w:proofErr w:type="spellStart"/>
      <w:r w:rsidR="003264F8" w:rsidRPr="00A87961">
        <w:rPr>
          <w:rFonts w:cs="Times New Roman"/>
          <w:color w:val="000000" w:themeColor="text1"/>
        </w:rPr>
        <w:t>s on</w:t>
      </w:r>
      <w:proofErr w:type="spellEnd"/>
      <w:r w:rsidR="003264F8" w:rsidRPr="00A87961">
        <w:rPr>
          <w:rFonts w:cs="Times New Roman"/>
          <w:color w:val="000000" w:themeColor="text1"/>
        </w:rPr>
        <w:t xml:space="preserve"> day 42 post injury; p&lt;0.0001)</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plainTextFormattedCitation":"[30]","previouslyFormattedCitation":"[30]"},"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[30]</w:t>
      </w:r>
      <w:r w:rsidRPr="00A87961">
        <w:rPr>
          <w:rFonts w:cs="Times New Roman"/>
          <w:color w:val="000000" w:themeColor="text1"/>
          <w:vertAlign w:val="superscript"/>
        </w:rPr>
        <w:fldChar w:fldCharType="end"/>
      </w:r>
      <w:r w:rsidRPr="00A87961">
        <w:rPr>
          <w:rFonts w:cs="Times New Roman"/>
          <w:color w:val="000000" w:themeColor="text1"/>
        </w:rPr>
        <w:t xml:space="preserve">. Pre-treatment with AM 630 (3 mg/kg) but not AM 251 (3 mg/kg) was found </w:t>
      </w:r>
      <w:r w:rsidRPr="00A87961">
        <w:rPr>
          <w:rFonts w:cs="Times New Roman"/>
          <w:color w:val="000000" w:themeColor="text1"/>
        </w:rPr>
        <w:lastRenderedPageBreak/>
        <w:t>to significantly decrease the anti-</w:t>
      </w:r>
      <w:proofErr w:type="spellStart"/>
      <w:r w:rsidRPr="00A87961">
        <w:rPr>
          <w:rFonts w:cs="Times New Roman"/>
          <w:color w:val="000000" w:themeColor="text1"/>
        </w:rPr>
        <w:t>hyperalgesic</w:t>
      </w:r>
      <w:proofErr w:type="spellEnd"/>
      <w:r w:rsidRPr="00A87961">
        <w:rPr>
          <w:rFonts w:cs="Times New Roman"/>
          <w:color w:val="000000" w:themeColor="text1"/>
        </w:rPr>
        <w:t xml:space="preserve"> effect of </w:t>
      </w:r>
      <w:r w:rsidR="00881B2E" w:rsidRPr="00A87961">
        <w:rPr>
          <w:rFonts w:cs="Times New Roman"/>
          <w:color w:val="000000" w:themeColor="text1"/>
        </w:rPr>
        <w:t xml:space="preserve">subsequent </w:t>
      </w:r>
      <w:r w:rsidRPr="00A87961">
        <w:rPr>
          <w:rFonts w:cs="Times New Roman"/>
          <w:color w:val="000000" w:themeColor="text1"/>
        </w:rPr>
        <w:t>WIN 55,212-2</w:t>
      </w:r>
      <w:r w:rsidR="00881B2E" w:rsidRPr="00A87961">
        <w:rPr>
          <w:rFonts w:cs="Times New Roman"/>
          <w:color w:val="000000" w:themeColor="text1"/>
        </w:rPr>
        <w:t xml:space="preserve"> </w:t>
      </w:r>
      <w:proofErr w:type="spellStart"/>
      <w:r w:rsidR="00881B2E" w:rsidRPr="00A87961">
        <w:rPr>
          <w:rFonts w:cs="Times New Roman"/>
          <w:color w:val="000000" w:themeColor="text1"/>
        </w:rPr>
        <w:t>i.p.</w:t>
      </w:r>
      <w:proofErr w:type="spellEnd"/>
      <w:r w:rsidR="00881B2E" w:rsidRPr="00A87961">
        <w:rPr>
          <w:rFonts w:cs="Times New Roman"/>
          <w:color w:val="000000" w:themeColor="text1"/>
        </w:rPr>
        <w:t xml:space="preserve"> injection</w:t>
      </w:r>
      <w:r w:rsidR="003264F8" w:rsidRPr="00A87961">
        <w:rPr>
          <w:rFonts w:cs="Times New Roman"/>
          <w:color w:val="000000" w:themeColor="text1"/>
        </w:rPr>
        <w:t xml:space="preserve"> (</w:t>
      </w:r>
      <w:r w:rsidR="00881B2E" w:rsidRPr="00A87961">
        <w:rPr>
          <w:rFonts w:cs="Times New Roman"/>
          <w:color w:val="000000" w:themeColor="text1"/>
        </w:rPr>
        <w:t xml:space="preserve">After </w:t>
      </w:r>
      <w:r w:rsidR="003264F8" w:rsidRPr="00A87961">
        <w:rPr>
          <w:rFonts w:cs="Times New Roman"/>
          <w:color w:val="000000" w:themeColor="text1"/>
        </w:rPr>
        <w:t>AM 630</w:t>
      </w:r>
      <w:r w:rsidR="00881B2E" w:rsidRPr="00A87961">
        <w:rPr>
          <w:rFonts w:cs="Times New Roman"/>
          <w:color w:val="000000" w:themeColor="text1"/>
        </w:rPr>
        <w:t xml:space="preserve"> pre-treatment</w:t>
      </w:r>
      <w:r w:rsidR="003264F8" w:rsidRPr="00A87961">
        <w:rPr>
          <w:rFonts w:cs="Times New Roman"/>
          <w:color w:val="000000" w:themeColor="text1"/>
        </w:rPr>
        <w:t xml:space="preserve"> 9.9±0.6 s, </w:t>
      </w:r>
      <w:r w:rsidR="00881B2E" w:rsidRPr="00A87961">
        <w:rPr>
          <w:rFonts w:cs="Times New Roman"/>
          <w:color w:val="000000" w:themeColor="text1"/>
        </w:rPr>
        <w:t>after</w:t>
      </w:r>
      <w:r w:rsidR="003264F8" w:rsidRPr="00A87961">
        <w:rPr>
          <w:rFonts w:cs="Times New Roman"/>
          <w:color w:val="000000" w:themeColor="text1"/>
        </w:rPr>
        <w:t xml:space="preserve"> WIN</w:t>
      </w:r>
      <w:r w:rsidR="00881B2E" w:rsidRPr="00A87961">
        <w:rPr>
          <w:rFonts w:cs="Times New Roman"/>
          <w:color w:val="000000" w:themeColor="text1"/>
        </w:rPr>
        <w:t xml:space="preserve"> 55-212,2 post-treatment</w:t>
      </w:r>
      <w:r w:rsidR="003264F8" w:rsidRPr="00A87961">
        <w:rPr>
          <w:rFonts w:cs="Times New Roman"/>
          <w:color w:val="000000" w:themeColor="text1"/>
        </w:rPr>
        <w:t xml:space="preserve"> 8.6±1.0 s; p&gt;0.05</w:t>
      </w:r>
      <w:r w:rsidR="00881B2E" w:rsidRPr="00A87961">
        <w:rPr>
          <w:rFonts w:cs="Times New Roman"/>
          <w:color w:val="000000" w:themeColor="text1"/>
        </w:rPr>
        <w:t>.</w:t>
      </w:r>
      <w:r w:rsidR="003264F8" w:rsidRPr="00A87961">
        <w:rPr>
          <w:rFonts w:cs="Times New Roman"/>
          <w:color w:val="000000" w:themeColor="text1"/>
        </w:rPr>
        <w:t xml:space="preserve"> </w:t>
      </w:r>
      <w:r w:rsidR="00881B2E" w:rsidRPr="00A87961">
        <w:rPr>
          <w:rFonts w:cs="Times New Roman"/>
          <w:color w:val="000000" w:themeColor="text1"/>
        </w:rPr>
        <w:t>After</w:t>
      </w:r>
      <w:r w:rsidR="003264F8" w:rsidRPr="00A87961">
        <w:rPr>
          <w:rFonts w:cs="Times New Roman"/>
          <w:color w:val="000000" w:themeColor="text1"/>
        </w:rPr>
        <w:t>-AM 251</w:t>
      </w:r>
      <w:r w:rsidR="00881B2E" w:rsidRPr="00A87961">
        <w:rPr>
          <w:rFonts w:cs="Times New Roman"/>
          <w:color w:val="000000" w:themeColor="text1"/>
        </w:rPr>
        <w:t xml:space="preserve"> pre-treatment</w:t>
      </w:r>
      <w:r w:rsidR="003264F8" w:rsidRPr="00A87961">
        <w:rPr>
          <w:rFonts w:cs="Times New Roman"/>
          <w:color w:val="000000" w:themeColor="text1"/>
        </w:rPr>
        <w:t xml:space="preserve"> 9.7±0.6 s, </w:t>
      </w:r>
      <w:r w:rsidR="00881B2E" w:rsidRPr="00A87961">
        <w:rPr>
          <w:rFonts w:cs="Times New Roman"/>
          <w:color w:val="000000" w:themeColor="text1"/>
        </w:rPr>
        <w:t xml:space="preserve">after </w:t>
      </w:r>
      <w:r w:rsidR="003264F8" w:rsidRPr="00A87961">
        <w:rPr>
          <w:rFonts w:cs="Times New Roman"/>
          <w:color w:val="000000" w:themeColor="text1"/>
        </w:rPr>
        <w:t>WIN</w:t>
      </w:r>
      <w:r w:rsidR="00881B2E" w:rsidRPr="00A87961">
        <w:rPr>
          <w:rFonts w:cs="Times New Roman"/>
          <w:color w:val="000000" w:themeColor="text1"/>
        </w:rPr>
        <w:t xml:space="preserve"> 55-212,2 post-treatment</w:t>
      </w:r>
      <w:r w:rsidR="003264F8" w:rsidRPr="00A87961">
        <w:rPr>
          <w:rFonts w:cs="Times New Roman"/>
          <w:color w:val="000000" w:themeColor="text1"/>
        </w:rPr>
        <w:t xml:space="preserve"> 12.0±0.7 s; p&lt;0.0001</w:t>
      </w:r>
      <w:r w:rsidR="00881B2E" w:rsidRPr="00A87961">
        <w:rPr>
          <w:rFonts w:cs="Times New Roman"/>
          <w:color w:val="000000" w:themeColor="text1"/>
        </w:rPr>
        <w:t>)</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plainTextFormattedCitation":"[30]","previouslyFormattedCitation":"[30]"},"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[30]</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11B9A972" w14:textId="77777777" w:rsidR="00932692" w:rsidRPr="00A87961" w:rsidRDefault="00932692" w:rsidP="00932692">
      <w:pPr>
        <w:spacing w:line="480" w:lineRule="auto"/>
        <w:rPr>
          <w:rFonts w:cs="Times New Roman"/>
          <w:color w:val="000000" w:themeColor="text1"/>
        </w:rPr>
      </w:pPr>
    </w:p>
    <w:p w14:paraId="1AA623ED" w14:textId="1B0ACBD5" w:rsidR="00932692" w:rsidRPr="00A87961" w:rsidRDefault="00932692" w:rsidP="00932692">
      <w:pPr>
        <w:spacing w:line="480" w:lineRule="auto"/>
        <w:rPr>
          <w:rFonts w:cs="Times New Roman"/>
          <w:color w:val="000000" w:themeColor="text1"/>
        </w:rPr>
      </w:pPr>
      <w:r w:rsidRPr="00A87961">
        <w:rPr>
          <w:rFonts w:cs="Times New Roman"/>
          <w:color w:val="000000" w:themeColor="text1"/>
        </w:rPr>
        <w:t>Arevalo-Martin et al. reported no notable difference in hind paw withdrawal from hot or cold plates when rats were treated with AM 281 (3 mg/kg) and/or AM 630 (3 mg/kg)</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A transient increase in hind paw withdrawal time from a cold plate was observed in rats treated with AM 281 or AM 630 at day 60 compared to vehicle treated rats</w:t>
      </w:r>
      <w:r w:rsidR="008272B9" w:rsidRPr="00A87961">
        <w:rPr>
          <w:rFonts w:cs="Times New Roman"/>
          <w:color w:val="000000" w:themeColor="text1"/>
        </w:rPr>
        <w:t xml:space="preserve"> (p&lt;0.05)</w:t>
      </w:r>
      <w:r w:rsidRPr="00A87961">
        <w:rPr>
          <w:rFonts w:cs="Times New Roman"/>
          <w:color w:val="000000" w:themeColor="text1"/>
        </w:rPr>
        <w:t xml:space="preserve"> but this was not maintained at day 90</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{"citationItems":[{"id":"ITEM-1","itemData":{"DOI":"http://dx.doi.org/10.1371/journal.pone.0049057","ISBN":"1932-6203","abstract":"Spinal cord injury (SCI) induces a cascade of processes that may further expand the damage (secondary injury) or, alternatively, may be part of a safeguard response. Here we show that after a moderate-severe contusive SCI in rats there is a significant and very early increase in the spinal cord content of the endocannabinoids 2-arachidonoylglycerol (2-AG) and arachidonoyl ethanolamide (anandamide, AEA). Since 2-AG and AEA act through CB1 and CB2 cannabinoid receptors, we administered at 20 minutes after lesion a single injection of their respective antagonists AM281 and AM630 alone or in combination to block the effects of this early endocannabinoid accumulation. We observed that AM281, AM630 or AM281 plus AM630 administration impairs the spontaneous motor recovery of rats according to the Basso-Beattie-Bresnahan (BBB) locomotor scale. However, blockade of CB1, CB2 or both receptors produced different effects at the histopathological level. Thus, AM630 administration results at 90 days after lesion in increased MHC-II expression by spinal cord microglia/monocytes and reduced number of serotoninergic fibres in lumbar spinal cord (below the lesion). AM281 exerted the same effects but also increased oedema volume estimated by MRI. Co-administration of AM281 and AM630 produced the effects observed with the administration of either AM281 or AM630 and also reduced white matter and myelin preservation and enhanced microgliosis in the epicentre. Overall, our results suggest that the endocannabinoids acting through CB1 and CB2 receptors are part of an early neuroprotective response triggered after SCI that is involved in the spontaneous recovery after an incomplete lesion. © 2012 Arevalo-Martin et al. ","author":[{"dropping-particle":"","family":"Arevalo-Martin","given":"A","non-dropping-particle":"","parse-names":false,"suffix":""},{"dropping-particle":"","family":"Garcia-Ovejero","given":"D","non-dropping-particle":"","parse-names":false,"suffix":""},{"dropping-particle":"","family":"Sierra-Palomares","given":"Y","non-dropping-particle":"","parse-names":false,"suffix":""},{"dropping-particle":"","family":"Paniagua-Torija","given":"B","non-dropping-particle":"","parse-names":false,"suffix":""},{"dropping-particle":"","family":"Gonzalez-Gil","given":"I","non-dropping-particle":"","parse-names":false,"suffix":""},{"dropping-particle":"","family":"Ortega-Gutierrez","given":"S","non-dropping-particle":"","parse-names":false,"suffix":""},{"dropping-particle":"","family":"Molina-Holgado","given":"E","non-dropping-particle":"","parse-names":false,"suffix":""}],"container-title":"PLoS ONE ","id":"ITEM-1","issue":"11 ","issued":{"date-parts":[["2012"]]},"language":"English ","note":"Embase","publisher-place":"(Arevalo-Martin, Garcia-Ovejero, Sierra-Palomares, Paniagua-Torija, Molina-Holgado) Laboratorio de Neuroinflamacion, Hospital Nacional de Paraplejicos, SESCAM, Toledo, Spain (Gonzalez-Gil, Ortega-Gutierrez) Departamento de Quimica Organica I, Facultad de ","title":"Early Endogenous Activation of CB1 and CB2 Receptors after Spinal Cord Injury Is a Protective Response Involved in Spontaneous Recovery ","type":"article","volume":"7 "},"uris":["http://www.mendeley.com/documents/?uuid=934a8c3f-4616-45ee-80ee-3dbec6614f85"]}],"mendeley":{"formattedCitation":"[31]","plainTextFormattedCitation":"[31]","previouslyFormattedCitation":"[31]"},"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[31]</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72BD06B3" w14:textId="77777777" w:rsidR="00932692" w:rsidRPr="00A87961" w:rsidRDefault="00932692" w:rsidP="00932692">
      <w:pPr>
        <w:spacing w:line="480" w:lineRule="auto"/>
        <w:rPr>
          <w:rFonts w:cs="Times New Roman"/>
          <w:color w:val="000000" w:themeColor="text1"/>
        </w:rPr>
      </w:pPr>
    </w:p>
    <w:p w14:paraId="58B6E56E" w14:textId="16567608" w:rsidR="00932692" w:rsidRPr="00A87961" w:rsidRDefault="00932692" w:rsidP="00932692">
      <w:pPr>
        <w:spacing w:line="480" w:lineRule="auto"/>
        <w:rPr>
          <w:rFonts w:cs="Times New Roman"/>
          <w:color w:val="000000" w:themeColor="text1"/>
        </w:rPr>
      </w:pPr>
      <w:r w:rsidRPr="00A87961">
        <w:rPr>
          <w:rFonts w:cs="Times New Roman"/>
          <w:color w:val="000000" w:themeColor="text1"/>
        </w:rPr>
        <w:t>Li et al. found CBD treatment to be associated with a reduction in thermal sensitivity after following thoracic contusion injury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{"citationItems":[{"id":"ITEM-1","itemData":{"DOI":"http://dx.doi.org/10.1016/j.cellimm.2018.02.016","ISBN":"0008-8749  1090-2163","abstract":"We evaluated the effects of the non-psychoactive cannabinoid cannabidiol (CBD) on the inflammatory response and recovery of function following spinal cord injury (SCI). Female C57Bl/6 mice were exposed to spinal cord contusion injury (T9-10) and received vehicle or CBD (1.5 mg/kg IP) injections for 10 weeks following injury. The effect of SCI and CBD treatment on inflammation was assessed via microarray, qRT-PCR and flow cytometry. Locomotor and bladder function and changes in thermal and mechanical hind paw sensitivity were also evaluated. There was a significant decrease in pro-inflammatory cytokines and chemokines associated with T-cell differentiation and invasion in the SCI-CBD group as well as a decrease in T cell invasion into the injured cord. A higher percentage of SCI mice in the vehicle-treated group (SCI-VEH) went on to develop moderate to severe (0-65.9% baseline thermal threshold) thermal sensitivity as compared with CBD-treated (SCI-CBD) mice. CBD did not affect recovery of locomotor or bladder function following SCI. Taken together, CBD treatment attenuated the development of thermal sensitivity following spinal cord injury and this effect may be related to protection against pathological T-cell invasion. Copyright © 2018 Elsevier Inc. ","author":[{"dropping-particle":"","family":"Li","given":"H","non-dropping-particle":"","parse-names":false,"suffix":""},{"dropping-particle":"","family":"Kong","given":"W","non-dropping-particle":"","parse-names":false,"suffix":""},{"dropping-particle":"","family":"Chambers","given":"C R","non-dropping-particle":"","parse-names":false,"suffix":""},{"dropping-particle":"","family":"Yu","given":"D","non-dropping-particle":"","parse-names":false,"suffix":""},{"dropping-particle":"","family":"Ganea","given":"D","non-dropping-particle":"","parse-names":false,"suffix":""},{"dropping-particle":"","family":"Tuma","given":"R F","non-dropping-particle":"","parse-names":false,"suffix":""},{"dropping-particle":"","family":"Ward","given":"S J","non-dropping-particle":"","parse-names":false,"suffix":""}],"container-title":"Cellular Immunology ","id":"ITEM-1","issued":{"date-parts":[["2018"]]},"language":"English ","note":"Embase","page":"1-9","publisher-place":"(Li, Chambers) Center for Substance Abuse Research, Lewis Katz School of Medicine, Temple University, Philadelphia, PA 19140, United States (Kong, Ganea) Microbiology and Immunology Department, Lewis Katz School of Medicine, Temple University, Philadelphi","title":"The non-psychoactive phytocannabinoid cannabidiol (CBD) attenuates pro-inflammatory mediators, T cell infiltration, and thermal sensitivity following spinal cord injury in mice ","type":"article","volume":"329 "},"uris":["http://www.mendeley.com/documents/?uuid=8076948f-95f3-4063-8ed6-058483424885"]}],"mendeley":{"formattedCitation":"[46]","plainTextFormattedCitation":"[46]","previouslyFormattedCitation":"[46]"},"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[46]</w:t>
      </w:r>
      <w:r w:rsidRPr="00A87961">
        <w:rPr>
          <w:rFonts w:cs="Times New Roman"/>
          <w:color w:val="000000" w:themeColor="text1"/>
          <w:vertAlign w:val="superscript"/>
        </w:rPr>
        <w:fldChar w:fldCharType="end"/>
      </w:r>
      <w:r w:rsidRPr="00A87961">
        <w:rPr>
          <w:rFonts w:cs="Times New Roman"/>
          <w:color w:val="000000" w:themeColor="text1"/>
        </w:rPr>
        <w:t xml:space="preserve">. </w:t>
      </w:r>
    </w:p>
    <w:p w14:paraId="7B8C9615" w14:textId="77777777" w:rsidR="00932692" w:rsidRPr="00A87961" w:rsidRDefault="00932692" w:rsidP="00932692">
      <w:pPr>
        <w:spacing w:line="480" w:lineRule="auto"/>
        <w:rPr>
          <w:rFonts w:cs="Times New Roman"/>
          <w:color w:val="000000" w:themeColor="text1"/>
        </w:rPr>
      </w:pPr>
    </w:p>
    <w:p w14:paraId="0ABF1EAE" w14:textId="4231B1EC" w:rsidR="00932692" w:rsidRPr="00A87961" w:rsidRDefault="00932692" w:rsidP="00932692">
      <w:pPr>
        <w:spacing w:line="480" w:lineRule="auto"/>
        <w:rPr>
          <w:rFonts w:cs="Times New Roman"/>
          <w:b/>
          <w:bCs/>
        </w:rPr>
      </w:pPr>
      <w:r w:rsidRPr="00A87961">
        <w:rPr>
          <w:rFonts w:cs="Times New Roman"/>
          <w:b/>
          <w:bCs/>
        </w:rPr>
        <w:t xml:space="preserve">What is the impact of cannabinoids on anxiolysis? </w:t>
      </w:r>
    </w:p>
    <w:p w14:paraId="55DF3E1C" w14:textId="16D89DB9" w:rsidR="00932692" w:rsidRPr="00A87961" w:rsidRDefault="00932692" w:rsidP="00932692">
      <w:pPr>
        <w:spacing w:line="480" w:lineRule="auto"/>
        <w:rPr>
          <w:rFonts w:cs="Times New Roman"/>
          <w:color w:val="000000" w:themeColor="text1"/>
        </w:rPr>
      </w:pPr>
      <w:r w:rsidRPr="00A87961">
        <w:rPr>
          <w:rFonts w:cs="Times New Roman"/>
          <w:color w:val="000000" w:themeColor="text1"/>
        </w:rPr>
        <w:t>Hong et al. used the elevated plus maze test to investigate the anxiolytic effects of ACEA post-SCI. No anxiolytic effect of ACEA (3 mg/kg/day) was observed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[44]</w:t>
      </w:r>
      <w:r w:rsidRPr="00A87961">
        <w:rPr>
          <w:rFonts w:cs="Times New Roman"/>
          <w:color w:val="000000" w:themeColor="text1"/>
          <w:vertAlign w:val="superscript"/>
        </w:rPr>
        <w:fldChar w:fldCharType="end"/>
      </w:r>
      <w:r w:rsidRPr="00A87961">
        <w:rPr>
          <w:rFonts w:cs="Times New Roman"/>
          <w:color w:val="000000" w:themeColor="text1"/>
        </w:rPr>
        <w:t>.</w:t>
      </w:r>
    </w:p>
    <w:p w14:paraId="705E9082" w14:textId="77777777" w:rsidR="00932692" w:rsidRPr="00A87961" w:rsidRDefault="00932692" w:rsidP="00932692">
      <w:pPr>
        <w:spacing w:line="480" w:lineRule="auto"/>
        <w:rPr>
          <w:rFonts w:cs="Times New Roman"/>
          <w:color w:val="000000" w:themeColor="text1"/>
        </w:rPr>
      </w:pPr>
    </w:p>
    <w:p w14:paraId="243FE554" w14:textId="76DAD158" w:rsidR="00932692" w:rsidRPr="00A87961" w:rsidRDefault="00932692" w:rsidP="00932692">
      <w:pPr>
        <w:spacing w:line="480" w:lineRule="auto"/>
        <w:rPr>
          <w:rFonts w:cs="Times New Roman"/>
        </w:rPr>
        <w:sectPr w:rsidR="00932692" w:rsidRPr="00A87961" w:rsidSect="00791B21">
          <w:footerReference w:type="even" r:id="rId8"/>
          <w:footerReference w:type="default" r:id="rId9"/>
          <w:pgSz w:w="11900" w:h="16840"/>
          <w:pgMar w:top="1440" w:right="1440" w:bottom="1440" w:left="1440" w:header="720" w:footer="720" w:gutter="0"/>
          <w:lnNumType w:countBy="1" w:restart="continuous"/>
          <w:cols w:space="720"/>
          <w:docGrid w:linePitch="360"/>
        </w:sectPr>
      </w:pPr>
    </w:p>
    <w:p w14:paraId="3D05D834" w14:textId="5B39CAF4" w:rsidR="00581195" w:rsidRPr="00A87961" w:rsidRDefault="00581195" w:rsidP="0011737C">
      <w:pPr>
        <w:spacing w:line="480" w:lineRule="auto"/>
        <w:rPr>
          <w:rFonts w:cs="Times New Roman"/>
          <w:b/>
          <w:bCs/>
        </w:rPr>
      </w:pPr>
      <w:r w:rsidRPr="00A87961">
        <w:rPr>
          <w:rFonts w:cs="Times New Roman"/>
          <w:b/>
          <w:bCs/>
        </w:rPr>
        <w:lastRenderedPageBreak/>
        <w:t>Discussion</w:t>
      </w:r>
    </w:p>
    <w:p w14:paraId="24440607" w14:textId="77777777" w:rsidR="00581195" w:rsidRPr="00A87961" w:rsidRDefault="00581195" w:rsidP="0011737C">
      <w:pPr>
        <w:spacing w:line="480" w:lineRule="auto"/>
        <w:rPr>
          <w:rFonts w:cs="Times New Roman"/>
          <w:b/>
          <w:bCs/>
        </w:rPr>
      </w:pPr>
    </w:p>
    <w:p w14:paraId="60A80ACA" w14:textId="562BBDA0" w:rsidR="00581195" w:rsidRPr="00A87961" w:rsidRDefault="00581195" w:rsidP="0011737C">
      <w:pPr>
        <w:spacing w:line="480" w:lineRule="auto"/>
        <w:rPr>
          <w:rFonts w:cs="Times New Roman"/>
        </w:rPr>
      </w:pPr>
      <w:r w:rsidRPr="00A87961">
        <w:rPr>
          <w:rFonts w:cs="Times New Roman"/>
        </w:rPr>
        <w:t xml:space="preserve">The aim of this systematic review was to evaluate the effect of cannabinoids on neurobehavioral outcomes in preclinical models of SCI. Overall, cannabinoid receptor agonists ACEA, CBD, CP 55,950, JWH-015, PEA, PEA-OXA and WIN 55,212-2 were reported to produce significant improvements across a </w:t>
      </w:r>
      <w:r w:rsidR="005A5AE1" w:rsidRPr="00A87961">
        <w:rPr>
          <w:rFonts w:cs="Times New Roman"/>
        </w:rPr>
        <w:t xml:space="preserve">range </w:t>
      </w:r>
      <w:r w:rsidRPr="00A87961">
        <w:rPr>
          <w:rFonts w:cs="Times New Roman"/>
        </w:rPr>
        <w:t>of neurobehavioral outcomes</w:t>
      </w:r>
      <w:r w:rsidR="00081E39" w:rsidRPr="00A87961">
        <w:rPr>
          <w:rFonts w:cs="Times New Roman"/>
        </w:rPr>
        <w:t xml:space="preserve"> assessing</w:t>
      </w:r>
      <w:r w:rsidRPr="00A87961">
        <w:rPr>
          <w:rFonts w:cs="Times New Roman"/>
        </w:rPr>
        <w:t xml:space="preserve"> locomotion and pain. </w:t>
      </w:r>
      <w:r w:rsidR="007C4FB4" w:rsidRPr="00A87961">
        <w:rPr>
          <w:rFonts w:cs="Times New Roman"/>
        </w:rPr>
        <w:t xml:space="preserve">However, as aforementioned, </w:t>
      </w:r>
      <w:r w:rsidR="00680F31" w:rsidRPr="00A87961">
        <w:rPr>
          <w:rFonts w:cs="Times New Roman"/>
        </w:rPr>
        <w:t xml:space="preserve">a lack of </w:t>
      </w:r>
      <w:r w:rsidR="007C4FB4" w:rsidRPr="00A87961">
        <w:rPr>
          <w:rFonts w:cs="Times New Roman"/>
        </w:rPr>
        <w:t xml:space="preserve">adherence to </w:t>
      </w:r>
      <w:r w:rsidR="00680F31" w:rsidRPr="00A87961">
        <w:rPr>
          <w:rFonts w:cs="Times New Roman"/>
        </w:rPr>
        <w:t>reporting items on the SYRCLE checklist</w:t>
      </w:r>
      <w:r w:rsidR="007C4FB4" w:rsidRPr="00A87961">
        <w:rPr>
          <w:rFonts w:cs="Times New Roman"/>
        </w:rPr>
        <w:t xml:space="preserve"> mean that</w:t>
      </w:r>
      <w:r w:rsidR="00DD3298" w:rsidRPr="00A87961">
        <w:rPr>
          <w:rFonts w:cs="Times New Roman"/>
        </w:rPr>
        <w:t xml:space="preserve"> accurately assessing risk of bias is challenging,</w:t>
      </w:r>
      <w:r w:rsidR="00680F31" w:rsidRPr="00A87961">
        <w:rPr>
          <w:rFonts w:cs="Times New Roman"/>
        </w:rPr>
        <w:t xml:space="preserve"> </w:t>
      </w:r>
      <w:r w:rsidR="007C4FB4" w:rsidRPr="00A87961">
        <w:rPr>
          <w:rFonts w:cs="Times New Roman"/>
        </w:rPr>
        <w:t xml:space="preserve">and </w:t>
      </w:r>
      <w:r w:rsidR="00680F31" w:rsidRPr="00A87961">
        <w:rPr>
          <w:rFonts w:cs="Times New Roman"/>
        </w:rPr>
        <w:t xml:space="preserve">therefore </w:t>
      </w:r>
      <w:r w:rsidR="006C127F" w:rsidRPr="00A87961">
        <w:rPr>
          <w:rFonts w:cs="Times New Roman"/>
        </w:rPr>
        <w:t xml:space="preserve">the </w:t>
      </w:r>
      <w:r w:rsidR="00680F31" w:rsidRPr="00A87961">
        <w:rPr>
          <w:rFonts w:cs="Times New Roman"/>
        </w:rPr>
        <w:t xml:space="preserve">overall risk of bias and validity of the reported outcomes remain unclear. </w:t>
      </w:r>
      <w:r w:rsidRPr="00A87961">
        <w:rPr>
          <w:rFonts w:cs="Times New Roman"/>
        </w:rPr>
        <w:t>Comparison between studies and drugs are currently limited by heterogeneity</w:t>
      </w:r>
      <w:r w:rsidR="00081E39" w:rsidRPr="00A87961">
        <w:rPr>
          <w:rFonts w:cs="Times New Roman"/>
        </w:rPr>
        <w:t xml:space="preserve"> </w:t>
      </w:r>
      <w:r w:rsidRPr="00A87961">
        <w:rPr>
          <w:rFonts w:cs="Times New Roman"/>
        </w:rPr>
        <w:t>in</w:t>
      </w:r>
      <w:r w:rsidR="00081E39" w:rsidRPr="00A87961">
        <w:rPr>
          <w:rFonts w:cs="Times New Roman"/>
        </w:rPr>
        <w:t xml:space="preserve"> species, strain, age,</w:t>
      </w:r>
      <w:r w:rsidRPr="00A87961">
        <w:rPr>
          <w:rFonts w:cs="Times New Roman"/>
        </w:rPr>
        <w:t xml:space="preserve"> injury model, dosing, route of administration, and differences in the timing of </w:t>
      </w:r>
      <w:proofErr w:type="spellStart"/>
      <w:r w:rsidRPr="00A87961">
        <w:rPr>
          <w:rFonts w:cs="Times New Roman"/>
        </w:rPr>
        <w:t>neurobehavioural</w:t>
      </w:r>
      <w:proofErr w:type="spellEnd"/>
      <w:r w:rsidRPr="00A87961">
        <w:rPr>
          <w:rFonts w:cs="Times New Roman"/>
        </w:rPr>
        <w:t xml:space="preserve"> assessments.</w:t>
      </w:r>
    </w:p>
    <w:p w14:paraId="29B2D5D4" w14:textId="77777777" w:rsidR="00581195" w:rsidRPr="00A87961" w:rsidRDefault="00581195" w:rsidP="0011737C">
      <w:pPr>
        <w:spacing w:line="480" w:lineRule="auto"/>
        <w:rPr>
          <w:rFonts w:cs="Times New Roman"/>
        </w:rPr>
      </w:pPr>
    </w:p>
    <w:p w14:paraId="4800178F" w14:textId="79E57DDA" w:rsidR="00581195" w:rsidRPr="00A87961" w:rsidRDefault="00581195" w:rsidP="0011737C">
      <w:pPr>
        <w:spacing w:line="480" w:lineRule="auto"/>
        <w:rPr>
          <w:rFonts w:cs="Times New Roman"/>
          <w:b/>
          <w:bCs/>
        </w:rPr>
      </w:pPr>
      <w:r w:rsidRPr="00A87961">
        <w:rPr>
          <w:rFonts w:cs="Times New Roman"/>
          <w:b/>
          <w:bCs/>
        </w:rPr>
        <w:t>What is the proposed mechanism of action?</w:t>
      </w:r>
    </w:p>
    <w:p w14:paraId="7419FF31" w14:textId="77777777" w:rsidR="00932692" w:rsidRPr="00A87961" w:rsidRDefault="00932692" w:rsidP="0011737C">
      <w:pPr>
        <w:spacing w:line="480" w:lineRule="auto"/>
        <w:rPr>
          <w:rFonts w:cs="Times New Roman"/>
          <w:b/>
          <w:bCs/>
        </w:rPr>
      </w:pPr>
    </w:p>
    <w:p w14:paraId="4694B179" w14:textId="07866F63" w:rsidR="00581195" w:rsidRPr="00A87961" w:rsidRDefault="00581195" w:rsidP="0011737C">
      <w:pPr>
        <w:spacing w:line="480" w:lineRule="auto"/>
        <w:rPr>
          <w:rFonts w:cs="Times New Roman"/>
        </w:rPr>
      </w:pPr>
      <w:r w:rsidRPr="00A87961">
        <w:rPr>
          <w:rFonts w:cs="Times New Roman"/>
        </w:rPr>
        <w:t xml:space="preserve">WIN 55,212-2 was observed to improve BBB locomotor score, hind paw withdrawal to thermal stimulus and von Frey filament test scores when administered </w:t>
      </w:r>
      <w:proofErr w:type="spellStart"/>
      <w:r w:rsidRPr="00A87961">
        <w:rPr>
          <w:rFonts w:cs="Times New Roman"/>
        </w:rPr>
        <w:t>i.p.</w:t>
      </w:r>
      <w:proofErr w:type="spellEnd"/>
      <w:r w:rsidRPr="00A87961">
        <w:rPr>
          <w:rFonts w:cs="Times New Roman"/>
        </w:rPr>
        <w:t xml:space="preserve">, </w:t>
      </w:r>
      <w:proofErr w:type="spellStart"/>
      <w:r w:rsidRPr="00A87961">
        <w:rPr>
          <w:rFonts w:cs="Times New Roman"/>
        </w:rPr>
        <w:t>s.c.</w:t>
      </w:r>
      <w:proofErr w:type="spellEnd"/>
      <w:r w:rsidRPr="00A87961">
        <w:rPr>
          <w:rFonts w:cs="Times New Roman"/>
        </w:rPr>
        <w:t xml:space="preserve"> and i.t.</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","id":"ITEM-4","issued":{"date-parts":[["2011"]]},"language":"English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"},"uris":["http://www.mendeley.com/documents/?uuid=f5745367-b54b-4417-ae50-798fa20b8bce"]},{"id":"ITEM-5","itemData":{"DOI":"http://dx.doi.org/10.1016/j.jtcvs.2018.07.045","ISBN":"0022-5223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Surgery","id":"ITEM-5","issue":"2","issued":{"date-parts":[["2019"]]},"language":"English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rats","type":"article-journal","volume":"157"},"uris":["http://www.mendeley.com/documents/?uuid=ec8545b1-3dcf-4122-9f12-a3060d18b471"]},{"id":"ITEM-6","itemData":{"DOI":"http://dx.doi.org/10.1016/j.brainres.2017.06.020","ISBN":"0006-8993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","id":"ITEM-6","issued":{"date-parts":[["2017"]]},"language":"English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[30,33,35,36,38,40]","plainTextFormattedCitation":"[30,33,35,36,38,40]","previouslyFormattedCitation":"[30,33,35,36,38,40]"},"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[30,33,35,36,38,40]</w:t>
      </w:r>
      <w:r w:rsidR="001A026A" w:rsidRPr="00A87961">
        <w:rPr>
          <w:rFonts w:cs="Times New Roman"/>
          <w:color w:val="000000" w:themeColor="text1"/>
          <w:vertAlign w:val="superscript"/>
        </w:rPr>
        <w:fldChar w:fldCharType="end"/>
      </w:r>
      <w:r w:rsidRPr="00A87961">
        <w:rPr>
          <w:rFonts w:cs="Times New Roman"/>
        </w:rPr>
        <w:t>. However, improvement was only noted at one time point (30 mins post administration) and in one study</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","id":"ITEM-1","issued":{"date-parts":[["2011"]]},"language":"English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mendeley":{"formattedCitation":"[38]","plainTextFormattedCitation":"[38]","previouslyFormattedCitation":"[38]"},"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[38]</w:t>
      </w:r>
      <w:r w:rsidRPr="00A87961">
        <w:rPr>
          <w:rFonts w:cs="Times New Roman"/>
          <w:color w:val="000000" w:themeColor="text1"/>
          <w:vertAlign w:val="superscript"/>
        </w:rPr>
        <w:fldChar w:fldCharType="end"/>
      </w:r>
      <w:r w:rsidRPr="00A87961">
        <w:rPr>
          <w:rFonts w:cs="Times New Roman"/>
        </w:rPr>
        <w:t xml:space="preserve">. </w:t>
      </w:r>
    </w:p>
    <w:p w14:paraId="516957B5" w14:textId="77777777" w:rsidR="00581195" w:rsidRPr="00A87961" w:rsidRDefault="00581195" w:rsidP="0011737C">
      <w:pPr>
        <w:spacing w:line="480" w:lineRule="auto"/>
        <w:rPr>
          <w:rFonts w:cs="Times New Roman"/>
        </w:rPr>
      </w:pPr>
    </w:p>
    <w:p w14:paraId="5156920B" w14:textId="35F7512F" w:rsidR="00581195" w:rsidRPr="00A87961" w:rsidRDefault="00581195" w:rsidP="0011737C">
      <w:pPr>
        <w:spacing w:line="480" w:lineRule="auto"/>
        <w:rPr>
          <w:rFonts w:cs="Times New Roman"/>
        </w:rPr>
      </w:pPr>
      <w:r w:rsidRPr="00A87961">
        <w:rPr>
          <w:rFonts w:cs="Times New Roman"/>
        </w:rPr>
        <w:t>The effects of WIN 55,212-2 were noted to be blocked by CB1 R antagonists in 2 two studies</w:t>
      </w:r>
      <w:r w:rsidR="001A026A"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mendeley":{"formattedCitation":"[30,35]","plainTextFormattedCitation":"[30,35]","previouslyFormattedCitation":"[30,35]"},"properties":{"noteIndex":0},"schema":"https://github.com/citation-style-language/schema/raw/master/csl-citation.json"}</w:instrText>
      </w:r>
      <w:r w:rsidR="001A026A" w:rsidRPr="00A87961">
        <w:rPr>
          <w:rFonts w:cs="Times New Roman"/>
          <w:color w:val="000000" w:themeColor="text1"/>
          <w:vertAlign w:val="superscript"/>
        </w:rPr>
        <w:fldChar w:fldCharType="separate"/>
      </w:r>
      <w:r w:rsidR="00C416DA" w:rsidRPr="00C416DA">
        <w:rPr>
          <w:rFonts w:cs="Times New Roman"/>
          <w:noProof/>
          <w:color w:val="000000" w:themeColor="text1"/>
        </w:rPr>
        <w:t>[30,35]</w:t>
      </w:r>
      <w:r w:rsidR="001A026A" w:rsidRPr="00A87961">
        <w:rPr>
          <w:rFonts w:cs="Times New Roman"/>
          <w:color w:val="000000" w:themeColor="text1"/>
          <w:vertAlign w:val="superscript"/>
        </w:rPr>
        <w:fldChar w:fldCharType="end"/>
      </w:r>
      <w:r w:rsidRPr="00A87961">
        <w:rPr>
          <w:rFonts w:cs="Times New Roman"/>
        </w:rPr>
        <w:t xml:space="preserve"> and CB2 R antagonists in two studies</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","id":"ITEM-1","issued":{"date-parts":[["2017"]]},"language":"English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plainTextFormattedCitation":"[33]","previouslyFormattedCitation":"[33]"},"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[33]</w:t>
      </w:r>
      <w:r w:rsidRPr="00A87961">
        <w:rPr>
          <w:rFonts w:cs="Times New Roman"/>
        </w:rPr>
        <w:fldChar w:fldCharType="end"/>
      </w:r>
      <w:r w:rsidRPr="00A87961">
        <w:rPr>
          <w:rFonts w:cs="Times New Roman"/>
        </w:rPr>
        <w:fldChar w:fldCharType="begin" w:fldLock="1"/>
      </w:r>
      <w:r w:rsidR="00C416DA">
        <w:rPr>
          <w:rFonts w:cs="Times New Roman"/>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rPr>
        <w:fldChar w:fldCharType="separate"/>
      </w:r>
      <w:r w:rsidR="00C416DA" w:rsidRPr="00C416DA">
        <w:rPr>
          <w:rFonts w:cs="Times New Roman"/>
          <w:noProof/>
        </w:rPr>
        <w:t>[40]</w:t>
      </w:r>
      <w:r w:rsidRPr="00A87961">
        <w:rPr>
          <w:rFonts w:cs="Times New Roman"/>
        </w:rPr>
        <w:fldChar w:fldCharType="end"/>
      </w:r>
      <w:r w:rsidRPr="00A87961">
        <w:rPr>
          <w:rFonts w:cs="Times New Roman"/>
        </w:rPr>
        <w:t>. The endo-CB system is thought to be modulated in two phases following SCI</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An initial, acute phase in the first week of SCI is characterised by increased levels of the CB1 receptor specific endo-CB AEA and high levels of CB1 receptor expression on neurons and oligodendrocytes</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xml:space="preserve">. This acute phase is </w:t>
      </w:r>
      <w:r w:rsidRPr="00A87961">
        <w:rPr>
          <w:rFonts w:cs="Times New Roman"/>
        </w:rPr>
        <w:lastRenderedPageBreak/>
        <w:t>considered important for neuronal survival</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Two to three weeks after SCI, in the chronic phase post</w:t>
      </w:r>
      <w:r w:rsidR="003E51BC" w:rsidRPr="00A87961">
        <w:rPr>
          <w:rFonts w:cs="Times New Roman"/>
        </w:rPr>
        <w:t>-</w:t>
      </w:r>
      <w:r w:rsidRPr="00A87961">
        <w:rPr>
          <w:rFonts w:cs="Times New Roman"/>
        </w:rPr>
        <w:t>SCI,  levels of the non-specific CB receptor endo-CB agonist 2-AG and CB2 receptors in macrophages and astrocyte like cells increase</w:t>
      </w:r>
      <w:r w:rsidRPr="00A87961">
        <w:rPr>
          <w:rFonts w:cs="Times New Roman"/>
        </w:rPr>
        <w:fldChar w:fldCharType="begin" w:fldLock="1"/>
      </w:r>
      <w:r w:rsidR="00C416DA">
        <w:rPr>
          <w:rFonts w:cs="Times New Roman"/>
        </w:rPr>
        <w:instrText>ADDIN CSL_CITATION {"citationItems":[{"id":"ITEM-1","itemData":{"DOI":"10.1016/j.nbd.2008.09.015","ISSN":"09699961","PMID":"18930143","abstract":"Endocannabinoids are lipid mediators with protective effects in many diseases of the nervous system. We have studied the modulation of the endocannabinoid system after a spinal cord contusion in rats. In early stages, lesion induced increases of anandamide and palmitoylethanolamide (PEA) levels, an upregulation of the synthesizing enzyme NAPE-phospholipase D and a downregulation of the degradative enzyme FAAH. In delayed stages, lesion induced increases in 2-arachidonoylglycerol and a strong upregulation of the synthesizing enzyme DAGL-α, that is expressed by neurons, astrocytes and immune infiltrates. The degradative enzyme MAGL was also moderately increased but only 7 days after the lesion. We have studied the cellular targets for the newly formed endocannabinoids using RT-PCR and immunohistochemistry against CB1 and CB2 receptors. We observed that CB1 was constitutively expressed by neurons and oligodendrocytes and induced in reactive astrocytes. CB2 receptor was strongly upregulated after lesion, and mostly expressed by immune infiltrates and astrocytes. The endocannabinoid system may represent an interesting target for new therapeutical approaches to spinal cord injury. © 2008 Elsevier Inc. All rights reserved.","author":[{"dropping-particle":"","family":"Garcia-Ovejero","given":"Daniel","non-dropping-particle":"","parse-names":false,"suffix":""},{"dropping-particle":"","family":"Arevalo-Martin","given":"Angel","non-dropping-particle":"","parse-names":false,"suffix":""},{"dropping-particle":"","family":"Petrosino","given":"Stefania","non-dropping-particle":"","parse-names":false,"suffix":""},{"dropping-particle":"","family":"Docagne","given":"Fabian","non-dropping-particle":"","parse-names":false,"suffix":""},{"dropping-particle":"","family":"Hagen","given":"Carlos","non-dropping-particle":"","parse-names":false,"suffix":""},{"dropping-particle":"","family":"Bisogno","given":"Tiziana","non-dropping-particle":"","parse-names":false,"suffix":""},{"dropping-particle":"","family":"Watanabe","given":"Masahiko","non-dropping-particle":"","parse-names":false,"suffix":""},{"dropping-particle":"","family":"Guaza","given":"Carmen","non-dropping-particle":"","parse-names":false,"suffix":""},{"dropping-particle":"","family":"Marzo","given":"Vincenzo","non-dropping-particle":"Di","parse-names":false,"suffix":""},{"dropping-particle":"","family":"Molina-Holgado","given":"Eduardo","non-dropping-particle":"","parse-names":false,"suffix":""}],"container-title":"Neurobiology of Disease","id":"ITEM-1","issue":"1","issued":{"date-parts":[["2009","1"]]},"page":"57-71","publisher":"Neurobiol Dis","title":"The endocannabinoid system is modulated in response to spinal cord injury in rats","type":"article-journal","volume":"33"},"uris":["http://www.mendeley.com/documents/?uuid=05a5a429-d079-3ec7-9703-7cc39c0357d8"]}],"mendeley":{"formattedCitation":"[11]","plainTextFormattedCitation":"[11]","previouslyFormattedCitation":"[11]"},"properties":{"noteIndex":0},"schema":"https://github.com/citation-style-language/schema/raw/master/csl-citation.json"}</w:instrText>
      </w:r>
      <w:r w:rsidRPr="00A87961">
        <w:rPr>
          <w:rFonts w:cs="Times New Roman"/>
        </w:rPr>
        <w:fldChar w:fldCharType="separate"/>
      </w:r>
      <w:r w:rsidR="009B5F4E" w:rsidRPr="009B5F4E">
        <w:rPr>
          <w:rFonts w:cs="Times New Roman"/>
          <w:noProof/>
        </w:rPr>
        <w:t>[11]</w:t>
      </w:r>
      <w:r w:rsidRPr="00A87961">
        <w:rPr>
          <w:rFonts w:cs="Times New Roman"/>
        </w:rPr>
        <w:fldChar w:fldCharType="end"/>
      </w:r>
      <w:r w:rsidRPr="00A87961">
        <w:rPr>
          <w:rFonts w:cs="Times New Roman"/>
        </w:rPr>
        <w:t>. Increased IL-10 release from CB2 receptor expressing macrophages has been proposed as a mechanism for CB2 receptor mediated analgesia post-SCI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mendeley":{"formattedCitation":"[30]","plainTextFormattedCitation":"[30]","previouslyFormattedCitation":"[30]"},"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[30]</w:t>
      </w:r>
      <w:r w:rsidRPr="00A87961">
        <w:rPr>
          <w:rFonts w:cs="Times New Roman"/>
          <w:color w:val="000000" w:themeColor="text1"/>
          <w:vertAlign w:val="superscript"/>
        </w:rPr>
        <w:fldChar w:fldCharType="end"/>
      </w:r>
      <w:r w:rsidRPr="00A87961">
        <w:rPr>
          <w:rFonts w:cs="Times New Roman"/>
        </w:rPr>
        <w:t xml:space="preserve">. Thus, the effects of WIN 55,212-2 following SCI may be mediated by its actions on both the CB1 and CB2 receptors. </w:t>
      </w:r>
    </w:p>
    <w:p w14:paraId="012DA14B" w14:textId="77777777" w:rsidR="00581195" w:rsidRPr="00A87961" w:rsidRDefault="00581195" w:rsidP="0011737C">
      <w:pPr>
        <w:spacing w:line="480" w:lineRule="auto"/>
        <w:rPr>
          <w:rFonts w:cs="Times New Roman"/>
        </w:rPr>
      </w:pPr>
    </w:p>
    <w:p w14:paraId="4E915FEF" w14:textId="72056759" w:rsidR="00581195" w:rsidRPr="00A87961" w:rsidRDefault="00581195" w:rsidP="0011737C">
      <w:pPr>
        <w:spacing w:line="480" w:lineRule="auto"/>
        <w:rPr>
          <w:rFonts w:cs="Times New Roman"/>
        </w:rPr>
      </w:pPr>
      <w:r w:rsidRPr="00A87961">
        <w:rPr>
          <w:rFonts w:cs="Times New Roman"/>
        </w:rPr>
        <w:t xml:space="preserve">Following spinal cord ischaemia, </w:t>
      </w:r>
      <w:proofErr w:type="spellStart"/>
      <w:r w:rsidRPr="00A87961">
        <w:rPr>
          <w:rFonts w:cs="Times New Roman"/>
        </w:rPr>
        <w:t>Huo</w:t>
      </w:r>
      <w:proofErr w:type="spellEnd"/>
      <w:r w:rsidRPr="00A87961">
        <w:rPr>
          <w:rFonts w:cs="Times New Roman"/>
        </w:rPr>
        <w:t xml:space="preserve"> et </w:t>
      </w:r>
      <w:r w:rsidR="003E51BC" w:rsidRPr="00A87961">
        <w:rPr>
          <w:rFonts w:cs="Times New Roman"/>
        </w:rPr>
        <w:t>al.</w:t>
      </w:r>
      <w:r w:rsidRPr="00A87961">
        <w:rPr>
          <w:rFonts w:cs="Times New Roman"/>
        </w:rPr>
        <w:t xml:space="preserve"> showed WIN 55,212-2 improved motor function, as measured by the 14</w:t>
      </w:r>
      <w:r w:rsidR="003E51BC" w:rsidRPr="00A87961">
        <w:rPr>
          <w:rFonts w:cs="Times New Roman"/>
        </w:rPr>
        <w:t>-</w:t>
      </w:r>
      <w:r w:rsidRPr="00A87961">
        <w:rPr>
          <w:rFonts w:cs="Times New Roman"/>
        </w:rPr>
        <w:t>point MDI score, reduced apoptosis and improved survival of neurons</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mendeley":{"formattedCitation":"[40]","plainTextFormattedCitation":"[40]","previouslyFormattedCitation":"[40]"},"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[40]</w:t>
      </w:r>
      <w:r w:rsidRPr="00A87961">
        <w:rPr>
          <w:rFonts w:cs="Times New Roman"/>
        </w:rPr>
        <w:fldChar w:fldCharType="end"/>
      </w:r>
      <w:r w:rsidRPr="00A87961">
        <w:rPr>
          <w:rFonts w:cs="Times New Roman"/>
        </w:rPr>
        <w:t xml:space="preserve">. Mechanistically, both </w:t>
      </w:r>
      <w:proofErr w:type="spellStart"/>
      <w:r w:rsidRPr="00A87961">
        <w:rPr>
          <w:rFonts w:cs="Times New Roman"/>
        </w:rPr>
        <w:t>Huo</w:t>
      </w:r>
      <w:proofErr w:type="spellEnd"/>
      <w:r w:rsidRPr="00A87961">
        <w:rPr>
          <w:rFonts w:cs="Times New Roman"/>
        </w:rPr>
        <w:t xml:space="preserve"> et </w:t>
      </w:r>
      <w:r w:rsidR="003E51BC" w:rsidRPr="00A87961">
        <w:rPr>
          <w:rFonts w:cs="Times New Roman"/>
        </w:rPr>
        <w:t>al.</w:t>
      </w:r>
      <w:r w:rsidRPr="00A87961">
        <w:rPr>
          <w:rFonts w:cs="Times New Roman"/>
        </w:rPr>
        <w:t xml:space="preserve"> and </w:t>
      </w:r>
      <w:proofErr w:type="spellStart"/>
      <w:r w:rsidRPr="00A87961">
        <w:rPr>
          <w:rFonts w:cs="Times New Roman"/>
        </w:rPr>
        <w:t>Su</w:t>
      </w:r>
      <w:proofErr w:type="spellEnd"/>
      <w:r w:rsidRPr="00A87961">
        <w:rPr>
          <w:rFonts w:cs="Times New Roman"/>
        </w:rPr>
        <w:t xml:space="preserve"> et </w:t>
      </w:r>
      <w:r w:rsidR="003E51BC" w:rsidRPr="00A87961">
        <w:rPr>
          <w:rFonts w:cs="Times New Roman"/>
        </w:rPr>
        <w:t>al.</w:t>
      </w:r>
      <w:r w:rsidRPr="00A87961">
        <w:rPr>
          <w:rFonts w:cs="Times New Roman"/>
        </w:rPr>
        <w:t xml:space="preserve"> showed WIN 55,212-2 treatment blocked nuclear translocation of GAPDH, formation of GAPDH/Siah1complexes and </w:t>
      </w:r>
      <w:proofErr w:type="spellStart"/>
      <w:r w:rsidRPr="00A87961">
        <w:rPr>
          <w:rFonts w:cs="Times New Roman"/>
        </w:rPr>
        <w:t>iNOS</w:t>
      </w:r>
      <w:proofErr w:type="spellEnd"/>
      <w:r w:rsidRPr="00A87961">
        <w:rPr>
          <w:rFonts w:cs="Times New Roman"/>
        </w:rPr>
        <w:t xml:space="preserve"> expression in the spinal cord after spinal cord ischaemia or traumatic SCI</w:t>
      </w:r>
      <w:r w:rsidR="001A026A"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rats","type":"article-journal","volume":"157"},"uris":["http://www.mendeley.com/documents/?uuid=ec8545b1-3dcf-4122-9f12-a3060d18b471"]},{"id":"ITEM-2","itemData":{"DOI":"http://dx.doi.org/10.1016/j.brainres.2017.06.020","ISBN":"0006-8993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","id":"ITEM-2","issued":{"date-parts":[["2017"]]},"language":"English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[33,40]","plainTextFormattedCitation":"[33,40]","previouslyFormattedCitation":"[33,40]"},"properties":{"noteIndex":0},"schema":"https://github.com/citation-style-language/schema/raw/master/csl-citation.json"}</w:instrText>
      </w:r>
      <w:r w:rsidR="001A026A" w:rsidRPr="00A87961">
        <w:rPr>
          <w:rFonts w:cs="Times New Roman"/>
          <w:vertAlign w:val="superscript"/>
        </w:rPr>
        <w:fldChar w:fldCharType="separate"/>
      </w:r>
      <w:r w:rsidR="00C416DA" w:rsidRPr="00C416DA">
        <w:rPr>
          <w:rFonts w:cs="Times New Roman"/>
          <w:noProof/>
        </w:rPr>
        <w:t>[33,40]</w:t>
      </w:r>
      <w:r w:rsidR="001A026A" w:rsidRPr="00A87961">
        <w:rPr>
          <w:rFonts w:cs="Times New Roman"/>
          <w:vertAlign w:val="superscript"/>
        </w:rPr>
        <w:fldChar w:fldCharType="end"/>
      </w:r>
      <w:r w:rsidRPr="00A87961">
        <w:rPr>
          <w:rFonts w:cs="Times New Roman"/>
        </w:rPr>
        <w:t xml:space="preserve">. GAPDH/Siah1 activity is correlated with apoptosis after ischaemic injury, thus it is proposed that WIN 55,212-2 improves functional recovery following SCI via inhibition of GAPDH/Siah1 signalling cascades and reduction in </w:t>
      </w:r>
      <w:proofErr w:type="spellStart"/>
      <w:r w:rsidRPr="00A87961">
        <w:rPr>
          <w:rFonts w:cs="Times New Roman"/>
        </w:rPr>
        <w:t>iNOS</w:t>
      </w:r>
      <w:proofErr w:type="spellEnd"/>
      <w:r w:rsidRPr="00A87961">
        <w:rPr>
          <w:rFonts w:cs="Times New Roman"/>
        </w:rPr>
        <w:t xml:space="preserve"> expression</w:t>
      </w:r>
      <w:r w:rsidR="001A026A"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Surgery","id":"ITEM-1","issue":"2","issued":{"date-parts":[["2019"]]},"language":"English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rats","type":"article-journal","volume":"157"},"uris":["http://www.mendeley.com/documents/?uuid=ec8545b1-3dcf-4122-9f12-a3060d18b471"]},{"id":"ITEM-2","itemData":{"DOI":"http://dx.doi.org/10.1016/j.brainres.2017.06.020","ISBN":"0006-8993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","id":"ITEM-2","issued":{"date-parts":[["2017"]]},"language":"English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[33,40]","plainTextFormattedCitation":"[33,40]","previouslyFormattedCitation":"[33,40]"},"properties":{"noteIndex":0},"schema":"https://github.com/citation-style-language/schema/raw/master/csl-citation.json"}</w:instrText>
      </w:r>
      <w:r w:rsidR="001A026A" w:rsidRPr="00A87961">
        <w:rPr>
          <w:rFonts w:cs="Times New Roman"/>
          <w:vertAlign w:val="superscript"/>
        </w:rPr>
        <w:fldChar w:fldCharType="separate"/>
      </w:r>
      <w:r w:rsidR="00C416DA" w:rsidRPr="00C416DA">
        <w:rPr>
          <w:rFonts w:cs="Times New Roman"/>
          <w:noProof/>
        </w:rPr>
        <w:t>[33,40]</w:t>
      </w:r>
      <w:r w:rsidR="001A026A" w:rsidRPr="00A87961">
        <w:rPr>
          <w:rFonts w:cs="Times New Roman"/>
          <w:vertAlign w:val="superscript"/>
        </w:rPr>
        <w:fldChar w:fldCharType="end"/>
      </w:r>
      <w:r w:rsidRPr="00A87961">
        <w:rPr>
          <w:rFonts w:cs="Times New Roman"/>
        </w:rPr>
        <w:t xml:space="preserve">. </w:t>
      </w:r>
    </w:p>
    <w:p w14:paraId="3A1A3BAD" w14:textId="77777777" w:rsidR="00581195" w:rsidRPr="00A87961" w:rsidRDefault="00581195" w:rsidP="0011737C">
      <w:pPr>
        <w:spacing w:line="480" w:lineRule="auto"/>
        <w:rPr>
          <w:rFonts w:cs="Times New Roman"/>
        </w:rPr>
      </w:pPr>
    </w:p>
    <w:p w14:paraId="3B160F1E" w14:textId="780AD3CE" w:rsidR="00581195" w:rsidRPr="00A87961" w:rsidRDefault="00581195" w:rsidP="0011737C">
      <w:pPr>
        <w:spacing w:line="480" w:lineRule="auto"/>
        <w:rPr>
          <w:rFonts w:cs="Times New Roman"/>
        </w:rPr>
      </w:pPr>
      <w:r w:rsidRPr="00A87961">
        <w:rPr>
          <w:rFonts w:cs="Times New Roman"/>
        </w:rPr>
        <w:t xml:space="preserve">Importantly, Hama et </w:t>
      </w:r>
      <w:r w:rsidR="003E51BC" w:rsidRPr="00A87961">
        <w:rPr>
          <w:rFonts w:cs="Times New Roman"/>
        </w:rPr>
        <w:t>al.</w:t>
      </w:r>
      <w:r w:rsidRPr="00A87961">
        <w:rPr>
          <w:rFonts w:cs="Times New Roman"/>
        </w:rPr>
        <w:t xml:space="preserve"> found the antinociceptive efficacy of WIN 55,212-2 to be maintained over a twice-daily 7-day treatment regimen, whereas the efficacy of morphine decreased over the same period</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","id":"ITEM-1","issue":"1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[36]","plainTextFormattedCitation":"[36]","previouslyFormattedCitation":"[36]"},"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[36]</w:t>
      </w:r>
      <w:r w:rsidRPr="00A87961">
        <w:rPr>
          <w:rFonts w:cs="Times New Roman"/>
          <w:color w:val="000000" w:themeColor="text1"/>
          <w:vertAlign w:val="superscript"/>
        </w:rPr>
        <w:fldChar w:fldCharType="end"/>
      </w:r>
      <w:r w:rsidRPr="00A87961">
        <w:rPr>
          <w:rFonts w:cs="Times New Roman"/>
        </w:rPr>
        <w:t>. Tolerance is a major problem with existing SCI</w:t>
      </w:r>
      <w:r w:rsidR="003E51BC" w:rsidRPr="00A87961">
        <w:rPr>
          <w:rFonts w:cs="Times New Roman"/>
        </w:rPr>
        <w:t>-</w:t>
      </w:r>
      <w:r w:rsidRPr="00A87961">
        <w:rPr>
          <w:rFonts w:cs="Times New Roman"/>
        </w:rPr>
        <w:t>pain medications, hence the sustained efficacy of WIN 55,212-2 suggests that cannabinoid receptor agonists may be useful in alleviating chronic pain after SCI</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","id":"ITEM-1","issue":"1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mendeley":{"formattedCitation":"[36]","plainTextFormattedCitation":"[36]","previouslyFormattedCitation":"[36]"},"properties":{"noteIndex":0},"schema":"https://github.com/citation-style-language/schema/raw/master/csl-citation.json"}</w:instrText>
      </w:r>
      <w:r w:rsidRPr="00A87961">
        <w:rPr>
          <w:rFonts w:cs="Times New Roman"/>
          <w:color w:val="000000" w:themeColor="text1"/>
          <w:vertAlign w:val="superscript"/>
        </w:rPr>
        <w:fldChar w:fldCharType="separate"/>
      </w:r>
      <w:r w:rsidR="00C416DA" w:rsidRPr="00C416DA">
        <w:rPr>
          <w:rFonts w:cs="Times New Roman"/>
          <w:noProof/>
          <w:color w:val="000000" w:themeColor="text1"/>
        </w:rPr>
        <w:t>[36]</w:t>
      </w:r>
      <w:r w:rsidRPr="00A87961">
        <w:rPr>
          <w:rFonts w:cs="Times New Roman"/>
          <w:color w:val="000000" w:themeColor="text1"/>
          <w:vertAlign w:val="superscript"/>
        </w:rPr>
        <w:fldChar w:fldCharType="end"/>
      </w:r>
      <w:r w:rsidRPr="00A87961">
        <w:rPr>
          <w:rFonts w:cs="Times New Roman"/>
        </w:rPr>
        <w:t xml:space="preserve">. </w:t>
      </w:r>
    </w:p>
    <w:p w14:paraId="30C39869" w14:textId="77777777" w:rsidR="00581195" w:rsidRPr="00A87961" w:rsidRDefault="00581195" w:rsidP="0011737C">
      <w:pPr>
        <w:spacing w:line="480" w:lineRule="auto"/>
        <w:rPr>
          <w:rFonts w:cs="Times New Roman"/>
        </w:rPr>
      </w:pPr>
    </w:p>
    <w:p w14:paraId="584ECF1C" w14:textId="5FF5D5C8" w:rsidR="00581195" w:rsidRPr="00A87961" w:rsidRDefault="00581195" w:rsidP="00884FD5">
      <w:pPr>
        <w:spacing w:line="480" w:lineRule="auto"/>
      </w:pPr>
      <w:r w:rsidRPr="00A87961">
        <w:rPr>
          <w:rFonts w:cs="Times New Roman"/>
        </w:rPr>
        <w:t xml:space="preserve">Potent anti-inflammatory effects of PEA were demonstrated by Genovese et </w:t>
      </w:r>
      <w:r w:rsidR="003E51BC" w:rsidRPr="00A87961">
        <w:rPr>
          <w:rFonts w:cs="Times New Roman"/>
        </w:rPr>
        <w:t>al.</w:t>
      </w:r>
      <w:r w:rsidRPr="00A87961">
        <w:rPr>
          <w:rFonts w:cs="Times New Roman"/>
        </w:rPr>
        <w:t xml:space="preserve"> who found that following SCI, PEA reduced the degree of spinal cord damage, neutrophil infiltration, NF-kB activation, </w:t>
      </w:r>
      <w:proofErr w:type="spellStart"/>
      <w:r w:rsidRPr="00A87961">
        <w:rPr>
          <w:rFonts w:cs="Times New Roman"/>
        </w:rPr>
        <w:t>IkB</w:t>
      </w:r>
      <w:proofErr w:type="spellEnd"/>
      <w:r w:rsidRPr="00A87961">
        <w:rPr>
          <w:rFonts w:cs="Times New Roman"/>
        </w:rPr>
        <w:t xml:space="preserve">-a degradation, </w:t>
      </w:r>
      <w:proofErr w:type="spellStart"/>
      <w:r w:rsidRPr="00A87961">
        <w:rPr>
          <w:rFonts w:cs="Times New Roman"/>
        </w:rPr>
        <w:t>nitrotyrosine</w:t>
      </w:r>
      <w:proofErr w:type="spellEnd"/>
      <w:r w:rsidRPr="00A87961">
        <w:rPr>
          <w:rFonts w:cs="Times New Roman"/>
        </w:rPr>
        <w:t xml:space="preserve"> formation, proinflammatory cytokines </w:t>
      </w:r>
      <w:r w:rsidRPr="00A87961">
        <w:rPr>
          <w:rFonts w:cs="Times New Roman"/>
        </w:rPr>
        <w:lastRenderedPageBreak/>
        <w:t xml:space="preserve">production, apoptosis, </w:t>
      </w:r>
      <w:proofErr w:type="spellStart"/>
      <w:r w:rsidRPr="00A87961">
        <w:rPr>
          <w:rFonts w:cs="Times New Roman"/>
        </w:rPr>
        <w:t>Bax</w:t>
      </w:r>
      <w:proofErr w:type="spellEnd"/>
      <w:r w:rsidRPr="00A87961">
        <w:rPr>
          <w:rFonts w:cs="Times New Roman"/>
        </w:rPr>
        <w:t xml:space="preserve"> and Bcl-2 expression and PPAR-a degradation</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{"citationItems":[{"id":"ITEM-1","itemData":{"DOI":"http://dx.doi.org/10.1124/jpet.108.136903","ISBN":"0022-3565  1521-0103","abstract":"Activation of peroxisome proliferator-activated receptor (PPAR)-alpha, a member of the nuclear receptor superfamily, modulates inflammation and tissue injury events associated with spinal cord trauma in mice. Palmitoylethanolamide (PEA), the naturally occurring amide of palmitic acid and ethanolamine, reduces pain and inflammation through a mechanism dependent on PPAR-alpha activation. The aim of the present study was to evaluate the effect of the PEA on secondary damage induced by experimental spinal cord injury (SCI) in mice. SCI was induced by application of vascular clips to the dura mater via a four-level T &lt;inf&gt;5&lt;/inf&gt;-T&lt;inf&gt;8&lt;/inf&gt; laminectomy. This resulted in severe trauma characterized by edema, neutrophil infiltration, and production of inflammatory mediators, tissue damage, and apoptosis. Repeated PEA administration (10 mg/kg i.p.; 30 min before and 1 and 6 h after SCI) significantly reduced: 1) the degree of spinal cord inflammation and tissue injury, 2) neutrophil infiltration, 3) nitrotyrosine formation, 4) proinflammatory cytokine expression, 5) nuclear transcription factor activation-kappaB activation, 6) inducible nitric-oxide synthase expression, and 6) apoptosis. Moreover, PEA treatment significantly ameliorated the recovery of motor limb function. Together, the results indicate that PEA reduces inflammation and tissue injury associated with SCI and suggest a regulatory role for endogenous PPAR-alpha signaling in the inflammatory response associated with spinal cord trauma. Copyright © 2008 by The American Society for Pharmacology and Experimental Therapeutics. ","author":[{"dropping-particle":"","family":"Genovese","given":"T","non-dropping-particle":"","parse-names":false,"suffix":""},{"dropping-particle":"","family":"Esposito","given":"E","non-dropping-particle":"","parse-names":false,"suffix":""},{"dropping-particle":"","family":"Mazzon","given":"E","non-dropping-particle":"","parse-names":false,"suffix":""},{"dropping-particle":"","family":"Paola","given":"R","non-dropping-particle":"Di","parse-names":false,"suffix":""},{"dropping-particle":"","family":"Meli","given":"R","non-dropping-particle":"","parse-names":false,"suffix":""},{"dropping-particle":"","family":"Bramanti","given":"P","non-dropping-particle":"","parse-names":false,"suffix":""},{"dropping-particle":"","family":"Piomelli","given":"D","non-dropping-particle":"","parse-names":false,"suffix":""},{"dropping-particle":"","family":"Calignano","given":"A","non-dropping-particle":"","parse-names":false,"suffix":""},{"dropping-particle":"","family":"Cuzzocrea","given":"S","non-dropping-particle":"","parse-names":false,"suffix":""}],"container-title":"Journal of Pharmacology and Experimental Therapeutics ","id":"ITEM-1","issue":"1 ","issued":{"date-parts":[["2008"]]},"language":"English ","note":"Embase","page":"12-23","publisher-place":"(Genovese, Esposito, Mazzon, Di Paola, Bramanti, Cuzzocrea) IRCCS Centro Neurolesi Bonino-Pulejo, Messina, Italy (Esposito, Meli, Calignano) Department of Experimental Pharmacology, University of Naples Federico II, Naples, Italy (Piomelli) Department of ","title":"Effects of palmitoylethanolamide on signaling pathways implicated in the development of spinal cord injury ","type":"article","volume":"326 "},"uris":["http://www.mendeley.com/documents/?uuid=2cfc6621-414e-4b93-83ad-6e8ba5e71c9d"]}],"mendeley":{"formattedCitation":"[43]","plainTextFormattedCitation":"[43]","previouslyFormattedCitation":"[43]"},"properties":{"noteIndex":0},"schema":"https://github.com/citation-style-language/schema/raw/master/csl-citation.json"}</w:instrText>
      </w:r>
      <w:r w:rsidRPr="00A87961">
        <w:rPr>
          <w:rFonts w:cs="Times New Roman"/>
          <w:vertAlign w:val="superscript"/>
        </w:rPr>
        <w:fldChar w:fldCharType="separate"/>
      </w:r>
      <w:r w:rsidR="009B5F4E" w:rsidRPr="009B5F4E">
        <w:rPr>
          <w:rFonts w:cs="Times New Roman"/>
          <w:noProof/>
        </w:rPr>
        <w:t>[43]</w:t>
      </w:r>
      <w:r w:rsidRPr="00A87961">
        <w:rPr>
          <w:rFonts w:cs="Times New Roman"/>
        </w:rPr>
        <w:fldChar w:fldCharType="end"/>
      </w:r>
      <w:r w:rsidRPr="00A87961">
        <w:rPr>
          <w:rFonts w:cs="Times New Roman"/>
        </w:rPr>
        <w:t xml:space="preserve">. </w:t>
      </w:r>
      <w:proofErr w:type="spellStart"/>
      <w:r w:rsidRPr="00A87961">
        <w:rPr>
          <w:rFonts w:cs="Times New Roman"/>
        </w:rPr>
        <w:t>Paterniti</w:t>
      </w:r>
      <w:proofErr w:type="spellEnd"/>
      <w:r w:rsidRPr="00A87961">
        <w:rPr>
          <w:rFonts w:cs="Times New Roman"/>
        </w:rPr>
        <w:t xml:space="preserve"> et </w:t>
      </w:r>
      <w:r w:rsidR="003E51BC" w:rsidRPr="00A87961">
        <w:rPr>
          <w:rFonts w:cs="Times New Roman"/>
        </w:rPr>
        <w:t>al.</w:t>
      </w:r>
      <w:r w:rsidRPr="00A87961">
        <w:rPr>
          <w:rFonts w:cs="Times New Roman"/>
        </w:rPr>
        <w:t xml:space="preserve"> provided further evidence supporting the role of PPARs in the mechanism of action of PEA, finding the anti-inflammatory effects of PEA were antagonised by administration of </w:t>
      </w:r>
      <w:proofErr w:type="spellStart"/>
      <w:r w:rsidRPr="00A87961">
        <w:rPr>
          <w:rFonts w:cs="Times New Roman"/>
        </w:rPr>
        <w:t>PPARy</w:t>
      </w:r>
      <w:proofErr w:type="spellEnd"/>
      <w:r w:rsidRPr="00A87961">
        <w:rPr>
          <w:rFonts w:cs="Times New Roman"/>
        </w:rPr>
        <w:t xml:space="preserve"> and </w:t>
      </w:r>
      <w:proofErr w:type="spellStart"/>
      <w:r w:rsidRPr="00A87961">
        <w:rPr>
          <w:rFonts w:cs="Times New Roman"/>
        </w:rPr>
        <w:t>PPARd</w:t>
      </w:r>
      <w:proofErr w:type="spellEnd"/>
      <w:r w:rsidRPr="00A87961">
        <w:rPr>
          <w:rFonts w:cs="Times New Roman"/>
        </w:rPr>
        <w:t xml:space="preserve"> antagonists and abolished in </w:t>
      </w:r>
      <w:proofErr w:type="spellStart"/>
      <w:r w:rsidRPr="00A87961">
        <w:rPr>
          <w:rFonts w:cs="Times New Roman"/>
        </w:rPr>
        <w:t>PPARa</w:t>
      </w:r>
      <w:proofErr w:type="spellEnd"/>
      <w:r w:rsidRPr="00A87961">
        <w:rPr>
          <w:rFonts w:cs="Times New Roman"/>
        </w:rPr>
        <w:t xml:space="preserve"> KO mice</w:t>
      </w:r>
      <w:r w:rsidR="00027DE8"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{"citationItems":[{"id":"ITEM-1","itemData":{"DOI":"http://dx.doi.org/10.1186/1742-2094-10-20","ISBN":"1742-2094","abstract":"Background: Palmitoylethanolamide (PEA) is an endogenous fatty acid amide displaying anti-inflammatory and analgesic actions. Moreover, several data have suggested that PEA reduced inflammation and tissue injury associated with spinal cord trauma and showed a regulatory role for peroxisome proliferator-activated receptor (PPAR)-alpha signaling in the neuroprotective effect of PEA. However, several other mechanisms could explain the anti-inflammatory and anti-hyperalgesic effects of PEA, including the activation of PPAR-delta and PPAR-gamma. The aim of the present study was to carefully investigate the exact contribution of PPAR-delta and PPAR-gamma in addition to PPAR-alpha, in the protective effect of PEA on secondary inflammatory damage associated with an experimental model of spinal cord injury (SCI).Methods: SCI was induced in mice through a spinal cord compression by the application of vascular clips (force of 24 g) to the dura via a four-level T5 to T8 laminectomy, and PEA (10 mg/kg, intraperitoneally, 1 and 6 hours after SCI) was injected into wildtype mice and into mice lacking PPAR-alpha (PPAR-alphaKO). To deepen the ability of specific PPAR-delta and PPAR-gamma antagonists to reverse the effect of PEA, mice were administered GSK0660 or GW9662, 30 minutes before PEA injection.Results: Genetic ablation of PPAR-alpha in mice exacerbated spinal cord damage, while PEA-induced neuroprotection seemed be abolished in PPARalphaKO mice. Twenty-four hours after spinal cord damage, immunohistological and biochemical studies were performed on spinal cord tissue. Our results indicate that PPAR-delta and PPAR-gamma also mediated the protection induced by PEA. In particular, PEA was less effective in PPAR-alphaKO, GSK0660-treated or GW9662-pretreated mice, as evaluated by the degree of spinal cord inflammation and tissue injury, neutrophil infiltration, proinflammmatory cytokine, inducible nitric oxide synthase expression and motor function. PEA is also able to restore PPAR-delta and PPAR-gamma expression in spinal cord tissue.Conclusion: This study indicates that PPAR-delta and PPAR-gamma can also contribute to the anti-inflammatory activity of PEA in SCI. © 2013 Paterniti et al.; licensee BioMed Central Ltd. ","author":[{"dropping-particle":"","family":"Paterniti","given":"I","non-dropping-particle":"","parse-names":false,"suffix":""},{"dropping-particle":"","family":"Impellizzeri","given":"D","non-dropping-particle":"","parse-names":false,"suffix":""},{"dropping-particle":"","family":"Crupi","given":"R","non-dropping-particle":"","parse-names":false,"suffix":""},{"dropping-particle":"","family":"Morabito","given":"R","non-dropping-particle":"","parse-names":false,"suffix":""},{"dropping-particle":"","family":"Campolo","given":"M","non-dropping-particle":"","parse-names":false,"suffix":""},{"dropping-particle":"","family":"Esposito","given":"E","non-dropping-particle":"","parse-names":false,"suffix":""},{"dropping-particle":"","family":"Cuzzocrea","given":"S","non-dropping-particle":"","parse-names":false,"suffix":""}],"container-title":"Journal of Neuroinflammation ","id":"ITEM-1","issued":{"date-parts":[["2013"]]},"language":"English ","note":"Embase","publisher-place":"(Paterniti, Impellizzeri, Crupi, Morabito, Campolo, Esposito, Cuzzocrea) Department of Biological and Environmental Sciences, University of Messina, Viale Ferdinando Stagno D'Alcontres, Messina 31-98166, Italy (Cuzzocrea) Manchester Biomedical Research Ce","title":"Molecular evidence for the involvement of PPAR-delta and PPAR-gamma in anti-inflammatory and neuroprotective activities of palmitoylethanolamide after spinal cord trauma ","type":"article","volume":"10 (no pag"},"uris":["http://www.mendeley.com/documents/?uuid=d7100582-c9fe-4a32-b8a8-a7a32dac973f"]}],"mendeley":{"formattedCitation":"[47]","plainTextFormattedCitation":"[47]","previouslyFormattedCitation":"[47]"},"properties":{"noteIndex":0},"schema":"https://github.com/citation-style-language/schema/raw/master/csl-citation.json"}</w:instrText>
      </w:r>
      <w:r w:rsidR="00027DE8" w:rsidRPr="00A87961">
        <w:rPr>
          <w:rFonts w:cs="Times New Roman"/>
          <w:color w:val="000000" w:themeColor="text1"/>
          <w:vertAlign w:val="superscript"/>
        </w:rPr>
        <w:fldChar w:fldCharType="separate"/>
      </w:r>
      <w:r w:rsidR="009B5F4E" w:rsidRPr="009B5F4E">
        <w:rPr>
          <w:rFonts w:cs="Times New Roman"/>
          <w:noProof/>
          <w:color w:val="000000" w:themeColor="text1"/>
        </w:rPr>
        <w:t>[47]</w:t>
      </w:r>
      <w:r w:rsidR="00027DE8" w:rsidRPr="00A87961">
        <w:rPr>
          <w:rFonts w:cs="Times New Roman"/>
          <w:color w:val="000000" w:themeColor="text1"/>
          <w:vertAlign w:val="superscript"/>
        </w:rPr>
        <w:fldChar w:fldCharType="end"/>
      </w:r>
      <w:r w:rsidRPr="00A87961">
        <w:rPr>
          <w:rFonts w:cs="Times New Roman"/>
        </w:rPr>
        <w:t xml:space="preserve">. Furthermore, another study by </w:t>
      </w:r>
      <w:proofErr w:type="spellStart"/>
      <w:r w:rsidRPr="00A87961">
        <w:rPr>
          <w:rFonts w:cs="Times New Roman"/>
        </w:rPr>
        <w:t>Paterniti</w:t>
      </w:r>
      <w:proofErr w:type="spellEnd"/>
      <w:r w:rsidRPr="00A87961">
        <w:rPr>
          <w:rFonts w:cs="Times New Roman"/>
        </w:rPr>
        <w:t xml:space="preserve"> </w:t>
      </w:r>
      <w:r w:rsidR="005803D0" w:rsidRPr="00A87961">
        <w:rPr>
          <w:rFonts w:cs="Times New Roman"/>
        </w:rPr>
        <w:t xml:space="preserve">et al. </w:t>
      </w:r>
      <w:r w:rsidRPr="00A87961">
        <w:rPr>
          <w:rFonts w:cs="Times New Roman"/>
        </w:rPr>
        <w:t>showed a co-</w:t>
      </w:r>
      <w:proofErr w:type="spellStart"/>
      <w:r w:rsidRPr="00A87961">
        <w:rPr>
          <w:rFonts w:cs="Times New Roman"/>
        </w:rPr>
        <w:t>ultramicronised</w:t>
      </w:r>
      <w:proofErr w:type="spellEnd"/>
      <w:r w:rsidRPr="00A87961">
        <w:rPr>
          <w:rFonts w:cs="Times New Roman"/>
        </w:rPr>
        <w:t xml:space="preserve"> composite of PEA and luteolin restored basal expressions of PPAR</w:t>
      </w:r>
      <m:oMath>
        <m:r>
          <w:rPr>
            <w:rFonts w:ascii="Cambria Math" w:hAnsi="Cambria Math" w:cs="Times New Roman"/>
          </w:rPr>
          <m:t>a</m:t>
        </m:r>
      </m:oMath>
      <w:r w:rsidRPr="00A87961">
        <w:rPr>
          <w:rFonts w:cs="Times New Roman"/>
        </w:rPr>
        <w:t xml:space="preserve">, </w:t>
      </w:r>
      <m:oMath>
        <m:r>
          <w:rPr>
            <w:rFonts w:ascii="Cambria Math" w:hAnsi="Cambria Math" w:cs="Times New Roman"/>
          </w:rPr>
          <m:t>β</m:t>
        </m:r>
      </m:oMath>
      <w:r w:rsidRPr="00A87961">
        <w:rPr>
          <w:rFonts w:eastAsiaTheme="minorEastAsia" w:cs="Times New Roman"/>
        </w:rPr>
        <w:t xml:space="preserve">, </w:t>
      </w:r>
      <m:oMath>
        <m:r>
          <w:rPr>
            <w:rFonts w:ascii="Cambria Math" w:eastAsiaTheme="minorEastAsia" w:hAnsi="Cambria Math" w:cs="Times New Roman"/>
          </w:rPr>
          <m:t>δ</m:t>
        </m:r>
      </m:oMath>
      <w:r w:rsidRPr="00A87961">
        <w:rPr>
          <w:rFonts w:cs="Times New Roman"/>
        </w:rPr>
        <w:t xml:space="preserve"> and </w:t>
      </w:r>
      <m:oMath>
        <m:r>
          <w:rPr>
            <w:rFonts w:ascii="Cambria Math" w:hAnsi="Cambria Math" w:cs="Times New Roman"/>
          </w:rPr>
          <m:t>γ</m:t>
        </m:r>
      </m:oMath>
      <w:r w:rsidRPr="00A87961">
        <w:rPr>
          <w:rFonts w:cs="Times New Roman"/>
        </w:rPr>
        <w:t xml:space="preserve"> post SCI</w:t>
      </w:r>
      <w:r w:rsidRPr="00A87961">
        <w:rPr>
          <w:rFonts w:cs="Times New Roman"/>
          <w:vertAlign w:val="superscript"/>
        </w:rPr>
        <w:fldChar w:fldCharType="begin" w:fldLock="1"/>
      </w:r>
      <w:r w:rsidR="00C416DA">
        <w:rPr>
          <w:rFonts w:cs="Times New Roman"/>
          <w:vertAlign w:val="superscript"/>
        </w:rPr>
        <w:instrText>ADDIN CSL_CITATION {"citationItems":[{"id":"ITEM-1","itemData":{"DOI":"10.1186/1742-2094-10-91","ISSN":"17422094","abstract":"Background: It has recently been demonstrated that palmitoylethanolamide (PEA), an endogenous lipid amide belonging to the N-acylethanolamine family, exerts neuroprotection in central nervous system (CNS) pathologies. In recent studies, we have demonstrated that treatment with PEA significantly reduced inflammatory secondary events associated with spinal cord injury (SCI). Since oxidative stress is considered to play an important role in neuroinflammatory disorders, in the present work we studied a new composite, a formulation including PEA and the antioxidant compound luteolin (Lut), subjected to an ultramicronization process, co-ultraPEALut. We investigated the effect of co-ultraPEALut (in the respective fixed doses of 10:1 in mass) in both an ex vivo organotypic spinal cord culture model and an in vivo model of SCI.Methods: For the organotypic cultures, spinal cords were prepared from mice at postnatal day 6 and were cut into transverse slices of 400 μm thickness to generate the lumbar organotypic slice cultures. After 7 days of culturing, the slices were mechanically injured onto the center of the slice and the co-ultraPEALut was applied at different concentrations (0.00009, 0.0009 and 0.009 g/l) 1 hour before damage. For in vivo studies, SCI was induced in mice through spinal cord compression by the application of vascular clips (force of 24 g) to the dura via a four-level T5 to T8 laminectomy, and co-ultraPEALut (1 mg/kg ip) was administered at 1 and 6 hours after SCI. At 24 hours after SCI, mice were sacrificed and the spinal cords were collected for further evaluation. Additional animals were treated similarly and sacrificed 10 days after SCI.Results: Pretreatment with co-ultraPEALut significantly reduced cyclooxygenase-2 (COX-2) and inducible nitric oxide synthase (iNOS) expression in a concentration-dependent manner, restored neuronal nitric oxide synthase (nNOS) expression at all three tested concentrations, and protected cells by cell death (MTT assay) in spinal cord organotypic cultures. Moreover, we demonstrated in vivo that co-ultraPEALut 1 mg/kg reduced the severity of trauma induced by compression and improved the motor activity evaluated at 10 days post-injury.Conclusion: The present study demonstrates that the protective effect of PEA on SCI-associated neuroinflammation could be improved by co-ultramicronization with Lut possibly due to its antioxidant properties. © 2013 Paterniti et al.; licensee BioMed Central Ltd.","author":[{"dropping-particle":"","family":"Paterniti","given":"Irene","non-dropping-particle":"","parse-names":false,"suffix":""},{"dropping-particle":"","family":"Impellizzeri","given":"Daniela","non-dropping-particle":"","parse-names":false,"suffix":""},{"dropping-particle":"","family":"Paola","given":"Rosanna","non-dropping-particle":"Di","parse-names":false,"suffix":""},{"dropping-particle":"","family":"Navarra","given":"Michele","non-dropping-particle":"","parse-names":false,"suffix":""},{"dropping-particle":"","family":"Cuzzocrea","given":"Salvatore","non-dropping-particle":"","parse-names":false,"suffix":""},{"dropping-particle":"","family":"Esposito","given":"Emanuela","non-dropping-particle":"","parse-names":false,"suffix":""}],"container-title":"Journal of Neuroinflammation","id":"ITEM-1","issued":{"date-parts":[["2013"]]},"page":"1-11","title":"A new co-ultramicronized composite including palmitoylethanolamide and luteolin to prevent neuroinflammation in spinal cord injury","type":"article-journal","volume":"10"},"uris":["http://www.mendeley.com/documents/?uuid=83caf321-577d-4e8f-890f-e4eb0b745118"]}],"mendeley":{"formattedCitation":"[48]","plainTextFormattedCitation":"[48]","previouslyFormattedCitation":"[48]"},"properties":{"noteIndex":0},"schema":"https://github.com/citation-style-language/schema/raw/master/csl-citation.json"}</w:instrText>
      </w:r>
      <w:r w:rsidRPr="00A87961">
        <w:rPr>
          <w:rFonts w:cs="Times New Roman"/>
          <w:vertAlign w:val="superscript"/>
        </w:rPr>
        <w:fldChar w:fldCharType="separate"/>
      </w:r>
      <w:r w:rsidR="009B5F4E" w:rsidRPr="009B5F4E">
        <w:rPr>
          <w:rFonts w:cs="Times New Roman"/>
          <w:noProof/>
        </w:rPr>
        <w:t>[48]</w:t>
      </w:r>
      <w:r w:rsidRPr="00A87961">
        <w:rPr>
          <w:rFonts w:cs="Times New Roman"/>
        </w:rPr>
        <w:fldChar w:fldCharType="end"/>
      </w:r>
      <w:r w:rsidRPr="00A87961">
        <w:rPr>
          <w:rFonts w:cs="Times New Roman"/>
        </w:rPr>
        <w:t>. Collectively, these studies suggest a significant anti-inflammatory role of PEA post</w:t>
      </w:r>
      <w:r w:rsidR="003E51BC" w:rsidRPr="00A87961">
        <w:rPr>
          <w:rFonts w:cs="Times New Roman"/>
        </w:rPr>
        <w:t>-</w:t>
      </w:r>
      <w:r w:rsidRPr="00A87961">
        <w:rPr>
          <w:rFonts w:cs="Times New Roman"/>
        </w:rPr>
        <w:t xml:space="preserve">SCI. </w:t>
      </w:r>
    </w:p>
    <w:p w14:paraId="626C3D83" w14:textId="77777777" w:rsidR="00581195" w:rsidRPr="00A87961" w:rsidRDefault="00581195" w:rsidP="0011737C">
      <w:pPr>
        <w:spacing w:line="480" w:lineRule="auto"/>
        <w:rPr>
          <w:rFonts w:cs="Times New Roman"/>
        </w:rPr>
      </w:pPr>
    </w:p>
    <w:p w14:paraId="6D80AA59" w14:textId="0D05E14F" w:rsidR="00581195" w:rsidRPr="00A87961" w:rsidRDefault="00581195" w:rsidP="0011737C">
      <w:pPr>
        <w:spacing w:line="480" w:lineRule="auto"/>
        <w:rPr>
          <w:rFonts w:cs="Times New Roman"/>
        </w:rPr>
      </w:pPr>
      <w:proofErr w:type="spellStart"/>
      <w:r w:rsidRPr="00A87961">
        <w:rPr>
          <w:rFonts w:cs="Times New Roman"/>
        </w:rPr>
        <w:t>Impellizzeri</w:t>
      </w:r>
      <w:proofErr w:type="spellEnd"/>
      <w:r w:rsidRPr="00A87961">
        <w:rPr>
          <w:rFonts w:cs="Times New Roman"/>
        </w:rPr>
        <w:t xml:space="preserve"> et </w:t>
      </w:r>
      <w:r w:rsidR="003E51BC" w:rsidRPr="00A87961">
        <w:rPr>
          <w:rFonts w:cs="Times New Roman"/>
        </w:rPr>
        <w:t>al.</w:t>
      </w:r>
      <w:r w:rsidRPr="00A87961">
        <w:rPr>
          <w:rFonts w:cs="Times New Roman"/>
        </w:rPr>
        <w:t xml:space="preserve"> found PEA-OXA treatment significantly improved BMS scores and reduced histological alterations post SCI. Mechanistically, PEA-OXA was noted to reduce astrocyte activation and increased neurotrophic factors BDNF, GDNF and NT-3 suggesting PEA-OXA has neuroprotective properties. PEA-OXA, similar to PEA, was observed to have anti-inflammatory effects, reducing degradation of </w:t>
      </w:r>
      <w:proofErr w:type="spellStart"/>
      <w:r w:rsidRPr="00A87961">
        <w:rPr>
          <w:rFonts w:cs="Times New Roman"/>
        </w:rPr>
        <w:t>IkB</w:t>
      </w:r>
      <w:proofErr w:type="spellEnd"/>
      <w:r w:rsidRPr="00A87961">
        <w:rPr>
          <w:rFonts w:cs="Times New Roman"/>
        </w:rPr>
        <w:t xml:space="preserve">-a  (a regulatory protein of NF-kb), and reducing expression of </w:t>
      </w:r>
      <w:proofErr w:type="spellStart"/>
      <w:r w:rsidRPr="00A87961">
        <w:rPr>
          <w:rFonts w:cs="Times New Roman"/>
        </w:rPr>
        <w:t>iNOS</w:t>
      </w:r>
      <w:proofErr w:type="spellEnd"/>
      <w:r w:rsidRPr="00A87961">
        <w:rPr>
          <w:rFonts w:cs="Times New Roman"/>
        </w:rPr>
        <w:t xml:space="preserve"> and COX-2, as well as the release of the pro-inflammatory cytokines TNF-a and IL-1b</w:t>
      </w:r>
      <w:r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{"citationItems":[{"id":"ITEM-1","itemData":{"DOI":"http://dx.doi.org/10.1089/neu.2016.4808","ISBN":"0897-7151  1557-9042","abstract":"Modulation of N-acylethanolamine-hydrolyzing acid amidase (NAAA) represents a potential alternative strategy in the treatment of neuroinflammation. Recent studies showed that pharmacological modulation of NAAA could be achieved with the oxazoline of palmitoylethanolamide (PEA; PEA-OXA). The aim of this study was to evaluate the neuroprotective effects of PEA-OXA in the secondary neuroinflammatory events induced by spinal and brain trauma in mice. Animals were subjected to spinal cord and brain injury models and PEA-OXA (10 mg/kg) was administered both intraperitoneally and orally 1 h and 6 h after trauma. PEA-OXA treatment markedly reduced the histological alterations induced by spinal cord injury (SCI) and traumatic brain injury (TBI) and ameliorated the motor function and behavioral deficits, as well. In addition, the expression of neurotrophic factors, such as glial cell line-derived neurotrophic factor, brain-derived neurotrophic factor, and neurotrophin-3 were increased by PEA-OXA treatment. Moreover, PEA-OXA also significantly decreased glial fibrillary acidic protein hyperexpression, the nuclear translocation of nuclear factor (NF)-kappaB, phosphorylation of Ser536 on the NF-kappaB subunit p65, and degradation of IkappaB-alpha, as well as diminished the expression of pro-inflammatory mediators such as cyclooxygenase-2 (COX-2), inducible nitric oxide synthase, tumor necrosis factor (TNF)-alpha and interleukin (IL)-1beta. The modulation of intracellular NAAA by PEA-OXA treatment could thus represent a novel therapy to control neuroinflammatory conditions associated with SCI and TBI. © Copyright 2017, Mary Ann Liebert, Inc. 2017. ","author":[{"dropping-particle":"","family":"Impellizzeri","given":"D","non-dropping-particle":"","parse-names":false,"suffix":""},{"dropping-particle":"","family":"Cordaro","given":"M","non-dropping-particle":"","parse-names":false,"suffix":""},{"dropping-particle":"","family":"Bruschetta","given":"G","non-dropping-particle":"","parse-names":false,"suffix":""},{"dropping-particle":"","family":"Siracusa","given":"R","non-dropping-particle":"","parse-names":false,"suffix":""},{"dropping-particle":"","family":"Crupi","given":"R","non-dropping-particle":"","parse-names":false,"suffix":""},{"dropping-particle":"","family":"Esposito","given":"E","non-dropping-particle":"","parse-names":false,"suffix":""},{"dropping-particle":"","family":"Cuzzocrea","given":"S","non-dropping-particle":"","parse-names":false,"suffix":""}],"container-title":"Journal of Neurotrauma ","id":"ITEM-1","issue":"18 ","issued":{"date-parts":[["2017"]]},"language":"English ","note":"Embase","page":"2609-2623","publisher-place":"(Impellizzeri, Cordaro, Bruschetta, Siracusa, Crupi, Esposito, Cuzzocrea) Department of Chemical, Biological, Pharmaceutical, and Environmental Sciences, University of Messina, Viale Ferdinando Stagno D'Alcontres, Messina 31-98166, Italy (Cuzzocrea) Manch","title":"N-Palmitoylethanolamine-Oxazoline as a New Therapeutic Strategy to Control Neuroinflammation: Neuroprotective Effects in Experimental Models of Spinal Cord and Brain Injury ","type":"article","volume":"34 "},"uris":["http://www.mendeley.com/documents/?uuid=67ecec48-13bc-450c-bb2e-d13a34b122b3"]}],"mendeley":{"formattedCitation":"[45]","plainTextFormattedCitation":"[45]","previouslyFormattedCitation":"[45]"},"properties":{"noteIndex":0},"schema":"https://github.com/citation-style-language/schema/raw/master/csl-citation.json"}</w:instrText>
      </w:r>
      <w:r w:rsidRPr="00A87961">
        <w:rPr>
          <w:rFonts w:cs="Times New Roman"/>
          <w:color w:val="000000" w:themeColor="text1"/>
          <w:vertAlign w:val="superscript"/>
        </w:rPr>
        <w:fldChar w:fldCharType="separate"/>
      </w:r>
      <w:r w:rsidR="009B5F4E" w:rsidRPr="009B5F4E">
        <w:rPr>
          <w:rFonts w:cs="Times New Roman"/>
          <w:noProof/>
          <w:color w:val="000000" w:themeColor="text1"/>
        </w:rPr>
        <w:t>[45]</w:t>
      </w:r>
      <w:r w:rsidRPr="00A87961">
        <w:rPr>
          <w:rFonts w:cs="Times New Roman"/>
          <w:color w:val="000000" w:themeColor="text1"/>
          <w:vertAlign w:val="superscript"/>
        </w:rPr>
        <w:fldChar w:fldCharType="end"/>
      </w:r>
      <w:r w:rsidRPr="00A87961">
        <w:rPr>
          <w:rFonts w:cs="Times New Roman"/>
        </w:rPr>
        <w:t>.</w:t>
      </w:r>
    </w:p>
    <w:p w14:paraId="7C13F76A" w14:textId="77777777" w:rsidR="00581195" w:rsidRPr="00A87961" w:rsidRDefault="00581195" w:rsidP="0011737C">
      <w:pPr>
        <w:spacing w:line="480" w:lineRule="auto"/>
        <w:rPr>
          <w:rFonts w:cs="Times New Roman"/>
        </w:rPr>
      </w:pPr>
    </w:p>
    <w:p w14:paraId="25078AAE" w14:textId="2B7AE99E" w:rsidR="00581195" w:rsidRPr="00A87961" w:rsidRDefault="00581195" w:rsidP="0011737C">
      <w:pPr>
        <w:spacing w:line="480" w:lineRule="auto"/>
        <w:rPr>
          <w:rFonts w:cs="Times New Roman"/>
        </w:rPr>
      </w:pPr>
      <w:r w:rsidRPr="00A87961">
        <w:rPr>
          <w:rFonts w:cs="Times New Roman"/>
        </w:rPr>
        <w:t>ACEA treatment was found to improve both functional and histological outcomes post SCI</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{"citationItems":[{"id":"ITEM-1","itemData":{"DOI":"http://dx.doi.org/10.1016/j.neulet.2015.04.016","ISBN":"0304-3940  1872-7972","abstract":"Increased matrix metalloproteinase (MMP) activity contributes to glial scar formation that inhibits the repair path after spinal cord injury (SCI). We examined whether treatment with N-(2-chloroethyl)-5Z,8Z,11Z,14Z-eicosatetraenamide (ACEA), a selective synthetic cannabinoid receptor (CB1R) agonist, inhibits MMP and improves functional and histological recovery in a mouse spinal cord compression injury model. Injured mice randomly received either intraperitoneal ACEA (3. mg/kg/day) or vehicle for up to 3 weeks. Behavioral, histological and biochemical assays were performed. Rotarod assessment and the Basso Mouse Scale score showed an improved performance following ACEA treatment concomitant with a decrease in compression lesion volume. MMP-9 and MMP-2 activity was measured at 1, 7 and 14 days post-SCI. SCI markedly increased MMP-9, but had negligible effect on MMP-2 activity. ACEA-treatment decreased MMP-9 activity by 80%, 49%, and 56%, respectively (P&lt;. 0.05) and had a smaller effect on MMP-2 activity. The CB1R antagonist SR141716, but not the CB2R antagonist SR144528, blocked ACEA-mediated decrease in MMP-9 activity confirming the role of the CB1R in the process. Collectively these data demonstrate that post-injury CB1R agonism can improve SCI outcome and also indicate marked attenuation of MMP-9 proteolytic enzyme activity as a biochemical mechanism. Copyright © 2015 Elsevier Ireland Ltd. ","author":[{"dropping-particle":"","family":"Hong","given":"J","non-dropping-particle":"","parse-names":false,"suffix":""},{"dropping-particle":"","family":"Nandiwada","given":"V","non-dropping-particle":"","parse-names":false,"suffix":""},{"dropping-particle":"","family":"Jones","given":"V","non-dropping-particle":"","parse-names":false,"suffix":""},{"dropping-particle":"","family":"Lu","given":"M","non-dropping-particle":"","parse-names":false,"suffix":""},{"dropping-particle":"","family":"Warner","given":"D S","non-dropping-particle":"","parse-names":false,"suffix":""},{"dropping-particle":"","family":"Mukhopadhyay","given":"S","non-dropping-particle":"","parse-names":false,"suffix":""},{"dropping-particle":"","family":"Sheng","given":"H","non-dropping-particle":"","parse-names":false,"suffix":""}],"container-title":"Neuroscience Letters ","id":"ITEM-1","issued":{"date-parts":[["2015"]]},"language":"English ","note":"Embase","page":"19-24","publisher-place":"(Hong, Lu, Warner, Sheng) The Multidisciplinary Neuroprotection Laboratories, Department of Anesthesiology, Duke University Medical Center, Durham, NC, United States (Hong) Department of Neurosurgery, Tangshan Gongren Hospital, Hebei, China (Lu) Departmen","title":"CB1 cannabinoid receptor agonist inhibits matrix metalloproteinase activity in spinal cord injury: A possible mechanism of improved recovery ","type":"article","volume":"597 "},"uris":["http://www.mendeley.com/documents/?uuid=448c9853-5856-4896-ba0c-60c20ea72a12"]}],"mendeley":{"formattedCitation":"[44]","plainTextFormattedCitation":"[44]","previouslyFormattedCitation":"[44]"},"properties":{"noteIndex":0},"schema":"https://github.com/citation-style-language/schema/raw/master/csl-citation.json"}</w:instrText>
      </w:r>
      <w:r w:rsidRPr="00A87961">
        <w:rPr>
          <w:rFonts w:cs="Times New Roman"/>
          <w:vertAlign w:val="superscript"/>
        </w:rPr>
        <w:fldChar w:fldCharType="separate"/>
      </w:r>
      <w:r w:rsidR="009B5F4E" w:rsidRPr="009B5F4E">
        <w:rPr>
          <w:rFonts w:cs="Times New Roman"/>
          <w:noProof/>
        </w:rPr>
        <w:t>[44]</w:t>
      </w:r>
      <w:r w:rsidRPr="00A87961">
        <w:rPr>
          <w:rFonts w:cs="Times New Roman"/>
        </w:rPr>
        <w:fldChar w:fldCharType="end"/>
      </w:r>
      <w:r w:rsidRPr="00A87961">
        <w:rPr>
          <w:rFonts w:cs="Times New Roman"/>
        </w:rPr>
        <w:t xml:space="preserve">. Hong et </w:t>
      </w:r>
      <w:r w:rsidR="003E51BC" w:rsidRPr="00A87961">
        <w:rPr>
          <w:rFonts w:cs="Times New Roman"/>
        </w:rPr>
        <w:t>al.</w:t>
      </w:r>
      <w:r w:rsidRPr="00A87961">
        <w:rPr>
          <w:rFonts w:cs="Times New Roman"/>
        </w:rPr>
        <w:t xml:space="preserve"> identified that ACEA treatment decreased matrix metalloproteinase-9 (MMP-9). MMP-9 is known to be expressed in neurons, reactive astrocytes, infiltrating leucocytes and increased activity results in blood-spinal cord barrier disruption and decreased functional recovery following SCI</w:t>
      </w:r>
      <w:r w:rsidRPr="00A87961">
        <w:rPr>
          <w:rFonts w:cs="Times New Roman"/>
        </w:rPr>
        <w:fldChar w:fldCharType="begin" w:fldLock="1"/>
      </w:r>
      <w:r w:rsidR="00C416DA">
        <w:rPr>
          <w:rFonts w:cs="Times New Roman"/>
        </w:rPr>
        <w:instrText>ADDIN CSL_CITATION {"citationItems":[{"id":"ITEM-1","itemData":{"DOI":"10.1523/jneurosci.22-17-07526.2002","ISSN":"02706474","PMID":"12196576","abstract":"Inflammation in general and proteinases generated as a result are likely mediators of early secondary pathogenesis after spinal cord injury. We report that matrix metalloproteinase-9 (MMP-9) plays an important role in blood-spinal cord barrier dysfunction, inflammation, and locomotor recovery. MMP-9 was present in the meninges and neurons of the uninjured cord. MMP-9 increased rapidly after a moderate contusion spinal cord injury, reaching a maximum at 24 hr, becoming markedly reduced by 72 hr, and not detectable at 7 d after injury. It was seen in glia, macrophages, neutrophils, and vascular elements in the injured spinal cord at 24 hr after injury. The natural tissue inhibitors of MMPs were unchanged over this time course. MMP-9-null mice exhibited significantly less disruption of the blood-spinal cord barrier, attenuation of neutrophil infiltration, and significant locomotor recovery compared with wild-type mice. Similar findings were observed in mice treated with a hydroxamic acid MMP inhibitor from 3 hr to 3 d after injury, compared with the vehicle controls. Moreover, the area of residual white matter at the lesion epicenter was significantly greater in the inhibitor-treated group. This study provides evidence that MMP-9 plays a key role in abnormal vascular permeability and inflammation within the first 3 d after spinal cord injury, and that blockade of MMPs during this critical period attenuates these vascular events and leads to improved locomotor recovery. Our findings suggest that early inhibition of MMPs may be an efficacious strategy for the spinal cord-injured patient.","author":[{"dropping-particle":"","family":"Noble","given":"Linda J.","non-dropping-particle":"","parse-names":false,"suffix":""},{"dropping-particle":"","family":"Donovan","given":"Frances","non-dropping-particle":"","parse-names":false,"suffix":""},{"dropping-particle":"","family":"Igarashi","given":"Takuji","non-dropping-particle":"","parse-names":false,"suffix":""},{"dropping-particle":"","family":"Goussev","given":"Staci","non-dropping-particle":"","parse-names":false,"suffix":""},{"dropping-particle":"","family":"Werb","given":"Zena","non-dropping-particle":"","parse-names":false,"suffix":""}],"container-title":"Journal of Neuroscience","id":"ITEM-1","issue":"17","issued":{"date-parts":[["2002","9","1"]]},"page":"7526-7535","publisher":"Society for Neuroscience","title":"Matrix metalloproteinases limit functional recovery after spinal cord injury by modulation of early vascular events","type":"article-journal","volume":"22"},"uris":["http://www.mendeley.com/documents/?uuid=dec446f6-cdeb-3e08-887c-1524b4294769"]}],"mendeley":{"formattedCitation":"[49]","plainTextFormattedCitation":"[49]","previouslyFormattedCitation":"[49]"},"properties":{"noteIndex":0},"schema":"https://github.com/citation-style-language/schema/raw/master/csl-citation.json"}</w:instrText>
      </w:r>
      <w:r w:rsidRPr="00A87961">
        <w:rPr>
          <w:rFonts w:cs="Times New Roman"/>
        </w:rPr>
        <w:fldChar w:fldCharType="separate"/>
      </w:r>
      <w:r w:rsidR="009B5F4E" w:rsidRPr="009B5F4E">
        <w:rPr>
          <w:rFonts w:cs="Times New Roman"/>
          <w:noProof/>
        </w:rPr>
        <w:t>[49]</w:t>
      </w:r>
      <w:r w:rsidRPr="00A87961">
        <w:rPr>
          <w:rFonts w:cs="Times New Roman"/>
        </w:rPr>
        <w:fldChar w:fldCharType="end"/>
      </w:r>
      <w:r w:rsidRPr="00A87961">
        <w:rPr>
          <w:rFonts w:cs="Times New Roman"/>
        </w:rPr>
        <w:t>.</w:t>
      </w:r>
    </w:p>
    <w:p w14:paraId="2D6001B7" w14:textId="77777777" w:rsidR="00581195" w:rsidRPr="00A87961" w:rsidRDefault="00581195" w:rsidP="0011737C">
      <w:pPr>
        <w:spacing w:line="480" w:lineRule="auto"/>
        <w:rPr>
          <w:rFonts w:cs="Times New Roman"/>
        </w:rPr>
      </w:pPr>
    </w:p>
    <w:p w14:paraId="572E8E6A" w14:textId="2F4592B3" w:rsidR="00581195" w:rsidRPr="00A87961" w:rsidRDefault="00581195" w:rsidP="0011737C">
      <w:pPr>
        <w:spacing w:line="480" w:lineRule="auto"/>
        <w:rPr>
          <w:rFonts w:cs="Times New Roman"/>
        </w:rPr>
      </w:pPr>
      <w:r w:rsidRPr="00A87961">
        <w:rPr>
          <w:rFonts w:cs="Times New Roman"/>
        </w:rPr>
        <w:t>Two studies implicated the endo-CB system as having a role in the protective effects of RIPC prior to ischaemia/reperfusion injury</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[41]</w:t>
      </w:r>
      <w:r w:rsidRPr="00A87961">
        <w:rPr>
          <w:rFonts w:cs="Times New Roman"/>
        </w:rPr>
        <w:fldChar w:fldCharType="end"/>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plainTextFormattedCitation":"[34]","previouslyFormattedCitation":"[34]"},"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[34]</w:t>
      </w:r>
      <w:r w:rsidRPr="00A87961">
        <w:rPr>
          <w:rFonts w:cs="Times New Roman"/>
        </w:rPr>
        <w:fldChar w:fldCharType="end"/>
      </w:r>
      <w:r w:rsidRPr="00A87961">
        <w:rPr>
          <w:rFonts w:cs="Times New Roman"/>
        </w:rPr>
        <w:t>. Firstly, RIPC has been observed to increase AEA content in the spinal cord following ischaemia/reperfusion injury</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plainTextFormattedCitation":"[34]","previouslyFormattedCitation":"[34]"},"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[34]</w:t>
      </w:r>
      <w:r w:rsidRPr="00A87961">
        <w:rPr>
          <w:rFonts w:cs="Times New Roman"/>
        </w:rPr>
        <w:fldChar w:fldCharType="end"/>
      </w:r>
      <w:r w:rsidRPr="00A87961">
        <w:rPr>
          <w:rFonts w:cs="Times New Roman"/>
        </w:rPr>
        <w:t xml:space="preserve">. Secondly both </w:t>
      </w:r>
      <w:r w:rsidRPr="00A87961">
        <w:rPr>
          <w:rFonts w:cs="Times New Roman"/>
        </w:rPr>
        <w:lastRenderedPageBreak/>
        <w:t xml:space="preserve">Jing et </w:t>
      </w:r>
      <w:r w:rsidR="003E51BC" w:rsidRPr="00A87961">
        <w:rPr>
          <w:rFonts w:cs="Times New Roman"/>
        </w:rPr>
        <w:t>al.</w:t>
      </w:r>
      <w:r w:rsidRPr="00A87961">
        <w:rPr>
          <w:rFonts w:cs="Times New Roman"/>
        </w:rPr>
        <w:t xml:space="preserve"> and </w:t>
      </w:r>
      <w:proofErr w:type="spellStart"/>
      <w:r w:rsidRPr="00A87961">
        <w:rPr>
          <w:rFonts w:cs="Times New Roman"/>
        </w:rPr>
        <w:t>Su</w:t>
      </w:r>
      <w:proofErr w:type="spellEnd"/>
      <w:r w:rsidRPr="00A87961">
        <w:rPr>
          <w:rFonts w:cs="Times New Roman"/>
        </w:rPr>
        <w:t xml:space="preserve"> et </w:t>
      </w:r>
      <w:r w:rsidR="003E51BC" w:rsidRPr="00A87961">
        <w:rPr>
          <w:rFonts w:cs="Times New Roman"/>
        </w:rPr>
        <w:t>al.</w:t>
      </w:r>
      <w:r w:rsidRPr="00A87961">
        <w:rPr>
          <w:rFonts w:cs="Times New Roman"/>
        </w:rPr>
        <w:t xml:space="preserve"> reported cannabinoid receptor antagonists reduced the protective effects of RIPC. Jing et </w:t>
      </w:r>
      <w:r w:rsidR="003E51BC" w:rsidRPr="00A87961">
        <w:rPr>
          <w:rFonts w:cs="Times New Roman"/>
        </w:rPr>
        <w:t>al.</w:t>
      </w:r>
      <w:r w:rsidRPr="00A87961">
        <w:rPr>
          <w:rFonts w:cs="Times New Roman"/>
        </w:rPr>
        <w:t xml:space="preserve"> found the protective effects of RIPC to be reduced at 4 hours post</w:t>
      </w:r>
      <w:r w:rsidR="003E51BC" w:rsidRPr="00A87961">
        <w:rPr>
          <w:rFonts w:cs="Times New Roman"/>
        </w:rPr>
        <w:t>-</w:t>
      </w:r>
      <w:r w:rsidRPr="00A87961">
        <w:rPr>
          <w:rFonts w:cs="Times New Roman"/>
        </w:rPr>
        <w:t>ischaemia/reperfusion injury by CB1, but not CB2, receptor antagonist pre</w:t>
      </w:r>
      <w:r w:rsidR="003E51BC" w:rsidRPr="00A87961">
        <w:rPr>
          <w:rFonts w:cs="Times New Roman"/>
        </w:rPr>
        <w:t>-</w:t>
      </w:r>
      <w:r w:rsidRPr="00A87961">
        <w:rPr>
          <w:rFonts w:cs="Times New Roman"/>
        </w:rPr>
        <w:t>treatment</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[41]</w:t>
      </w:r>
      <w:r w:rsidRPr="00A87961">
        <w:rPr>
          <w:rFonts w:cs="Times New Roman"/>
        </w:rPr>
        <w:fldChar w:fldCharType="end"/>
      </w:r>
      <w:r w:rsidRPr="00A87961">
        <w:rPr>
          <w:rFonts w:cs="Times New Roman"/>
        </w:rPr>
        <w:t>. At 24 hours post</w:t>
      </w:r>
      <w:r w:rsidR="003E51BC" w:rsidRPr="00A87961">
        <w:rPr>
          <w:rFonts w:cs="Times New Roman"/>
        </w:rPr>
        <w:t>-</w:t>
      </w:r>
      <w:r w:rsidRPr="00A87961">
        <w:rPr>
          <w:rFonts w:cs="Times New Roman"/>
        </w:rPr>
        <w:t>ischaemia/reperfusion injury pre</w:t>
      </w:r>
      <w:r w:rsidR="003E51BC" w:rsidRPr="00A87961">
        <w:rPr>
          <w:rFonts w:cs="Times New Roman"/>
        </w:rPr>
        <w:t>-</w:t>
      </w:r>
      <w:r w:rsidRPr="00A87961">
        <w:rPr>
          <w:rFonts w:cs="Times New Roman"/>
        </w:rPr>
        <w:t>treatment with either CB1 or CB2 receptor antagonists abolished the neuroprotective effect of RIPC</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{"citationItems":[{"id":"ITEM-1","itemData":{"DOI":"http://dx.doi.org/10.1159/000484460","ISBN":"1015-8987  1421-9778","abstract":"Background/Aims: Remote ischemic preconditioning (RIPC) has protective effects on spinal cord ischemia reperfusion (I/R) injury, but the potential mechanisms remain unclear. In our study, the effects and underlying mechanisms of RIPC on blood-spinal cord barrier (BSCB) breakdown following I/R injury were investigated. Methods: Animals underwent intraperitoneal administration with cannabinoid-1 (CB1) receptor antagonist AM251, cannabinoid-2 (CB2) receptor antagonist AM630 or vehicle 15 minutes before three 3-minute occlusion-reperfusion cycles on the right femoral artery or a sham operation. 30 minutes after the preconditioning, aortic arch was exposed with or without 14-minute occlusion. Neurological function was assessed with Tarlov scoring system. The disruption of BSCB was assessed by measuring Evans Blue (EB) extravasation. The expression of tight junction protein occludin was determined by western blot analyses. The expression and localization of CB1 and CB2 receptors were assessed by western blot and immunofluorescence. Results: RIPC attenuated the motor dysfunction, BSCB disruption and downregulation of occludin after I/R injury, which were impaired by blocking CB1 and CB2 receptors. Moreover, RIPC upregulated the elevated perivascular expression of CB1 and CB2 receptors following I/R injury. Conclusions: These results indicated that RIPC, through activation and upregulation of CB1 and CB2 receptors, was involved in preserving the integrity of BSCB after spinal cord I/R injury. Copyright © 2017 The Author(s). ","author":[{"dropping-particle":"","family":"Jing","given":"N","non-dropping-particle":"","parse-names":false,"suffix":""},{"dropping-particle":"","family":"Fang","given":"B","non-dropping-particle":"","parse-names":false,"suffix":""},{"dropping-particle":"","family":"Wang","given":"Z L","non-dropping-particle":"","parse-names":false,"suffix":""},{"dropping-particle":"","family":"Ma","given":"H","non-dropping-particle":"","parse-names":false,"suffix":""}],"container-title":"Cellular Physiology and Biochemistry ","id":"ITEM-1","issue":"6 ","issued":{"date-parts":[["2017"]]},"language":"English ","note":"Embase","page":"2516-2524","publisher-place":"(Jing, Fang, Wang, Ma) Department of Anesthesiology, Affiliated Hospital, China Medical University, North Nanjing Street, No. 155, Shenyang, China ","title":"Remote Ischemia Preconditioning Attenuates Blood-Spinal Cord Barrier Breakdown in Rats Undergoing Spinal Cord Ischemia Reperfusion Injury: Associated with Activation and Upregulation of CB1 and CB2 Receptors ","type":"article","volume":"43 "},"uris":["http://www.mendeley.com/documents/?uuid=14e43407-4105-4a2c-a695-85eb5ca04e0f"]}],"mendeley":{"formattedCitation":"[41]","plainTextFormattedCitation":"[41]","previouslyFormattedCitation":"[41]"},"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[41]</w:t>
      </w:r>
      <w:r w:rsidRPr="00A87961">
        <w:rPr>
          <w:rFonts w:cs="Times New Roman"/>
        </w:rPr>
        <w:fldChar w:fldCharType="end"/>
      </w:r>
      <w:r w:rsidRPr="00A87961">
        <w:rPr>
          <w:rFonts w:cs="Times New Roman"/>
        </w:rPr>
        <w:t xml:space="preserve">. This implies involvement of both CB1 and CB2 receptors in the protective effects of RIPC. The findings of </w:t>
      </w:r>
      <w:proofErr w:type="spellStart"/>
      <w:r w:rsidRPr="00A87961">
        <w:rPr>
          <w:rFonts w:cs="Times New Roman"/>
        </w:rPr>
        <w:t>Su</w:t>
      </w:r>
      <w:proofErr w:type="spellEnd"/>
      <w:r w:rsidRPr="00A87961">
        <w:rPr>
          <w:rFonts w:cs="Times New Roman"/>
        </w:rPr>
        <w:t xml:space="preserve"> et </w:t>
      </w:r>
      <w:r w:rsidR="003E51BC" w:rsidRPr="00A87961">
        <w:rPr>
          <w:rFonts w:cs="Times New Roman"/>
        </w:rPr>
        <w:t>al.</w:t>
      </w:r>
      <w:r w:rsidRPr="00A87961">
        <w:rPr>
          <w:rFonts w:cs="Times New Roman"/>
        </w:rPr>
        <w:t xml:space="preserve"> differed to those of Jing </w:t>
      </w:r>
      <w:proofErr w:type="gramStart"/>
      <w:r w:rsidRPr="00A87961">
        <w:rPr>
          <w:rFonts w:cs="Times New Roman"/>
        </w:rPr>
        <w:t>et al.</w:t>
      </w:r>
      <w:r w:rsidR="005803D0" w:rsidRPr="00A87961">
        <w:rPr>
          <w:rFonts w:cs="Times New Roman"/>
        </w:rPr>
        <w:t>.</w:t>
      </w:r>
      <w:proofErr w:type="gramEnd"/>
      <w:r w:rsidRPr="00A87961">
        <w:rPr>
          <w:rFonts w:cs="Times New Roman"/>
        </w:rPr>
        <w:t xml:space="preserve"> </w:t>
      </w:r>
      <w:proofErr w:type="spellStart"/>
      <w:r w:rsidRPr="00A87961">
        <w:rPr>
          <w:rFonts w:cs="Times New Roman"/>
        </w:rPr>
        <w:t>Su</w:t>
      </w:r>
      <w:proofErr w:type="spellEnd"/>
      <w:r w:rsidRPr="00A87961">
        <w:rPr>
          <w:rFonts w:cs="Times New Roman"/>
        </w:rPr>
        <w:t xml:space="preserve"> et </w:t>
      </w:r>
      <w:r w:rsidR="003E51BC" w:rsidRPr="00A87961">
        <w:rPr>
          <w:rFonts w:cs="Times New Roman"/>
        </w:rPr>
        <w:t>al.</w:t>
      </w:r>
      <w:r w:rsidRPr="00A87961">
        <w:rPr>
          <w:rFonts w:cs="Times New Roman"/>
        </w:rPr>
        <w:t xml:space="preserve"> report that the protective effects of RIPC were only reversed by CB1 R antagonists at 24</w:t>
      </w:r>
      <w:r w:rsidR="003E51BC" w:rsidRPr="00A87961">
        <w:rPr>
          <w:rFonts w:cs="Times New Roman"/>
        </w:rPr>
        <w:t xml:space="preserve"> </w:t>
      </w:r>
      <w:r w:rsidRPr="00A87961">
        <w:rPr>
          <w:rFonts w:cs="Times New Roman"/>
        </w:rPr>
        <w:t>and 48</w:t>
      </w:r>
      <w:r w:rsidR="003E51BC" w:rsidRPr="00A87961">
        <w:rPr>
          <w:rFonts w:cs="Times New Roman"/>
        </w:rPr>
        <w:t xml:space="preserve"> </w:t>
      </w:r>
      <w:r w:rsidRPr="00A87961">
        <w:rPr>
          <w:rFonts w:cs="Times New Roman"/>
        </w:rPr>
        <w:t>hours post ischaemia/reperfusion injury, implicating involvement of only the CB1 receptor</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{"citationItems":[{"id":"ITEM-1","itemData":{"DOI":"http://dx.doi.org/10.1016/j.jtcvs.2009.07.014","ISBN":"0022-5223","abstract":"Objective: The aim of this study was to examine the influence of endogenous cannabinoids on neuroprotection of the spinal cord afforded by limb remote ischemic preconditioning. Methods: In experiment 1 (RIPC group), 3 cycles of limb remote ischemic preconditioning within different episodes (2, 3, or 5 minutes) were induced before spinal cord ischemia in rats (N = 5, n = 8). In experiment 2, animals were pretreated intravenously by the vehicles, cannabinoid 1 (AM251, 1 mg/kg) or cannaboid 2 (AM630, 1 mg/kg) receptor antagonist 15 minutes before remote ischemic preconditioning, or else they were subjected to a sham operation. Thirty minutes after the pretreatment, spinal cord ischemia was induced (N = 8, n = 8). In experiment 3, the arachidonylethanolamide and 2-arachidonoylglycerol contents in the spinal cord after remote ischemic preconditioning and spinal cord ischemia were detected in rats (N = 2, n = 12). Spinal cord ischemia was induced by 12 minutes of thoracic aorta occlusion in rats. Neurologic function was assessed 24 and 48 hours after reperfusion. Histopathologic examination was performed and the number of normal neurons in anterior spinal cord were counted. Results: In experiment 1, 3 cycles of limb remote ischemic preconditioning (3 minutes of ischemia/3 minutes of reperfusion) induced ischemic tolerance on the spinal cords of the rats. The RIPC group showed a significant reduction in motor deficit index (P &lt; .01) as well as an increase in the number of normal neurons (P &lt; .01). In experiment 2, the cannabinoid 1 receptor antagonist AM251 pretreatment abolished the protective effects of remote preconditioning. In experiment 3, arachidonylethanolamide content in spinal cord was elevated by remote ischemic preconditioning in rats. Conclusion: These results indicated that endogenous cannabinoids, through acting on cannabinoid 1 receptors, were involved in the neuroprotective phenomenon on spinal cords of limb remote ischemic preconditioning. © 2009 The American Association for Thoracic Surgery. ","author":[{"dropping-particle":"","family":"Su","given":"B","non-dropping-particle":"","parse-names":false,"suffix":""},{"dropping-particle":"","family":"Dong","given":"H","non-dropping-particle":"","parse-names":false,"suffix":""},{"dropping-particle":"","family":"Ma","given":"R","non-dropping-particle":"","parse-names":false,"suffix":""},{"dropping-particle":"","family":"Zhang","given":"X","non-dropping-particle":"","parse-names":false,"suffix":""},{"dropping-particle":"","family":"Ding","given":"Q","non-dropping-particle":"","parse-names":false,"suffix":""},{"dropping-particle":"","family":"Xiong","given":"L","non-dropping-particle":"","parse-names":false,"suffix":""}],"container-title":"Journal of Thoracic and Cardiovascular Surgery ","id":"ITEM-1","issue":"6 ","issued":{"date-parts":[["2009"]]},"language":"English ","note":"Embase","page":"1409-1416","publisher-place":"(Su, Dong, Ma, Zhang, Ding, Xiong) Department of Anesthesiology, Xijing Hospital, Fourth Military Medical University, Xi'an, Shaanxi, China  L. Xiong, Department of Anesthesiology, Xijing Hospital, Fourth Military Medical University, Xi'an, Shaanxi, China","title":"Cannabinoid 1 receptor mediation of spinal cord ischemic tolerance induced by limb remote ischemia preconditioning in rats ","type":"article","volume":"138 "},"uris":["http://www.mendeley.com/documents/?uuid=a16ababa-2e03-429e-972f-bbdb2d92f2cb"]}],"mendeley":{"formattedCitation":"[34]","plainTextFormattedCitation":"[34]","previouslyFormattedCitation":"[34]"},"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[34]</w:t>
      </w:r>
      <w:r w:rsidRPr="00A87961">
        <w:rPr>
          <w:rFonts w:cs="Times New Roman"/>
        </w:rPr>
        <w:fldChar w:fldCharType="end"/>
      </w:r>
      <w:r w:rsidRPr="00A87961">
        <w:rPr>
          <w:rFonts w:cs="Times New Roman"/>
        </w:rPr>
        <w:t xml:space="preserve">. Therefore, whilst these findings support the involvement of the endo-CB system in RIPC, it is not clear whether </w:t>
      </w:r>
      <w:proofErr w:type="gramStart"/>
      <w:r w:rsidRPr="00A87961">
        <w:rPr>
          <w:rFonts w:cs="Times New Roman"/>
        </w:rPr>
        <w:t>both of the cannabinoid</w:t>
      </w:r>
      <w:proofErr w:type="gramEnd"/>
      <w:r w:rsidRPr="00A87961">
        <w:rPr>
          <w:rFonts w:cs="Times New Roman"/>
        </w:rPr>
        <w:t xml:space="preserve"> receptors are involved.</w:t>
      </w:r>
    </w:p>
    <w:p w14:paraId="301A568B" w14:textId="44CAED77" w:rsidR="00581195" w:rsidRPr="00A87961" w:rsidRDefault="00581195" w:rsidP="0011737C">
      <w:pPr>
        <w:spacing w:line="480" w:lineRule="auto"/>
        <w:rPr>
          <w:rFonts w:cs="Times New Roman"/>
          <w:strike/>
        </w:rPr>
      </w:pPr>
    </w:p>
    <w:p w14:paraId="3DBF8D07" w14:textId="2F3E266D" w:rsidR="00AD4E64" w:rsidRPr="00A87961" w:rsidRDefault="00AD4E64" w:rsidP="00AD4E64">
      <w:pPr>
        <w:spacing w:line="480" w:lineRule="auto"/>
        <w:rPr>
          <w:rFonts w:cs="Times New Roman"/>
          <w:b/>
          <w:bCs/>
          <w:i/>
          <w:iCs/>
          <w:u w:val="single"/>
        </w:rPr>
      </w:pPr>
      <w:r w:rsidRPr="00A87961">
        <w:rPr>
          <w:rFonts w:cs="Times New Roman"/>
          <w:b/>
          <w:bCs/>
          <w:u w:val="single"/>
        </w:rPr>
        <w:t>Evaluation of pre-clinical evidence base</w:t>
      </w:r>
    </w:p>
    <w:p w14:paraId="291BD58B" w14:textId="77777777" w:rsidR="00AD4E64" w:rsidRPr="00A87961" w:rsidRDefault="00AD4E64" w:rsidP="00AD4E64">
      <w:pPr>
        <w:spacing w:line="480" w:lineRule="auto"/>
        <w:rPr>
          <w:rFonts w:cs="Times New Roman"/>
          <w:b/>
          <w:bCs/>
          <w:i/>
          <w:iCs/>
          <w:u w:val="single"/>
        </w:rPr>
      </w:pPr>
    </w:p>
    <w:p w14:paraId="7E8A3AD5" w14:textId="345DFFEA" w:rsidR="00AD4E64" w:rsidRPr="00A87961" w:rsidRDefault="00AD4E64" w:rsidP="00AD4E64">
      <w:pPr>
        <w:spacing w:line="480" w:lineRule="auto"/>
      </w:pPr>
      <w:r w:rsidRPr="00A87961">
        <w:rPr>
          <w:rFonts w:cs="Times New Roman"/>
        </w:rPr>
        <w:t>A large degree of heterogeneity exists in the spinal cord injury models utilised by the included studies</w:t>
      </w:r>
      <w:r w:rsidR="001425DA" w:rsidRPr="00A87961">
        <w:rPr>
          <w:rFonts w:cs="Times New Roman"/>
        </w:rPr>
        <w:t>,</w:t>
      </w:r>
      <w:r w:rsidRPr="00A87961">
        <w:rPr>
          <w:rFonts w:cs="Times New Roman"/>
        </w:rPr>
        <w:t xml:space="preserve"> as </w:t>
      </w:r>
      <w:r w:rsidR="00116433" w:rsidRPr="00A87961">
        <w:rPr>
          <w:rFonts w:cs="Times New Roman"/>
        </w:rPr>
        <w:t>highlighted</w:t>
      </w:r>
      <w:r w:rsidRPr="00A87961">
        <w:rPr>
          <w:rFonts w:cs="Times New Roman"/>
        </w:rPr>
        <w:t xml:space="preserve"> in Figure </w:t>
      </w:r>
      <w:r w:rsidR="00B00BC0">
        <w:rPr>
          <w:rFonts w:cs="Times New Roman"/>
        </w:rPr>
        <w:t>2</w:t>
      </w:r>
      <w:r w:rsidRPr="00A87961">
        <w:rPr>
          <w:rFonts w:cs="Times New Roman"/>
        </w:rPr>
        <w:t>. Each model induces different injuries with different pathophysiology.</w:t>
      </w:r>
      <w:r w:rsidR="00B74D51" w:rsidRPr="00A87961">
        <w:rPr>
          <w:rFonts w:cs="Times New Roman"/>
        </w:rPr>
        <w:t xml:space="preserve"> This is important when considering </w:t>
      </w:r>
      <w:r w:rsidR="00452152" w:rsidRPr="00A87961">
        <w:rPr>
          <w:rFonts w:cs="Times New Roman"/>
        </w:rPr>
        <w:t xml:space="preserve">the </w:t>
      </w:r>
      <w:r w:rsidR="00B74D51" w:rsidRPr="00A87961">
        <w:rPr>
          <w:rFonts w:cs="Times New Roman"/>
        </w:rPr>
        <w:t xml:space="preserve">potential translation of pre-clinical </w:t>
      </w:r>
      <w:r w:rsidR="00452152" w:rsidRPr="00A87961">
        <w:rPr>
          <w:rFonts w:cs="Times New Roman"/>
        </w:rPr>
        <w:t>experiments</w:t>
      </w:r>
      <w:r w:rsidR="00B74D51" w:rsidRPr="00A87961">
        <w:rPr>
          <w:rFonts w:cs="Times New Roman"/>
        </w:rPr>
        <w:t xml:space="preserve"> </w:t>
      </w:r>
      <w:r w:rsidR="00452152" w:rsidRPr="00A87961">
        <w:rPr>
          <w:rFonts w:cs="Times New Roman"/>
        </w:rPr>
        <w:t>in</w:t>
      </w:r>
      <w:r w:rsidR="00B74D51" w:rsidRPr="00A87961">
        <w:rPr>
          <w:rFonts w:cs="Times New Roman"/>
        </w:rPr>
        <w:t xml:space="preserve">to human studies. </w:t>
      </w:r>
      <w:r w:rsidR="00452152" w:rsidRPr="00A87961">
        <w:rPr>
          <w:rFonts w:cs="Times New Roman"/>
        </w:rPr>
        <w:t>E</w:t>
      </w:r>
      <w:r w:rsidRPr="00A87961">
        <w:rPr>
          <w:rFonts w:cs="Times New Roman"/>
        </w:rPr>
        <w:t xml:space="preserve">ach </w:t>
      </w:r>
      <w:r w:rsidR="00452152" w:rsidRPr="00A87961">
        <w:rPr>
          <w:rFonts w:cs="Times New Roman"/>
        </w:rPr>
        <w:t xml:space="preserve">model </w:t>
      </w:r>
      <w:r w:rsidRPr="00A87961">
        <w:rPr>
          <w:rFonts w:cs="Times New Roman"/>
        </w:rPr>
        <w:t xml:space="preserve">has </w:t>
      </w:r>
      <w:r w:rsidR="00452152" w:rsidRPr="00A87961">
        <w:rPr>
          <w:rFonts w:cs="Times New Roman"/>
        </w:rPr>
        <w:t>specific</w:t>
      </w:r>
      <w:r w:rsidRPr="00A87961">
        <w:rPr>
          <w:rFonts w:cs="Times New Roman"/>
        </w:rPr>
        <w:t xml:space="preserve"> advantages and limitations</w:t>
      </w:r>
      <w:r w:rsidR="00452152" w:rsidRPr="00A87961">
        <w:rPr>
          <w:rFonts w:cs="Times New Roman"/>
        </w:rPr>
        <w:t xml:space="preserve"> (</w:t>
      </w:r>
      <w:r w:rsidRPr="00A87961">
        <w:rPr>
          <w:rFonts w:cs="Times New Roman"/>
        </w:rPr>
        <w:t xml:space="preserve">summarised in Table </w:t>
      </w:r>
      <w:r w:rsidR="00B00BC0">
        <w:rPr>
          <w:rFonts w:cs="Times New Roman"/>
        </w:rPr>
        <w:t>1</w:t>
      </w:r>
      <w:r w:rsidR="00452152" w:rsidRPr="00A87961">
        <w:rPr>
          <w:rFonts w:cs="Times New Roman"/>
        </w:rPr>
        <w:t>), and different types of preclinical SCI model may be required to address specific research questions</w:t>
      </w:r>
      <w:r w:rsidRPr="00A87961">
        <w:rPr>
          <w:rFonts w:cs="Times New Roman"/>
        </w:rPr>
        <w:t xml:space="preserve"> For example, transection models are a useful method of exploring neuronal regeneration and degeneration, but the pathophysiology of the injury is different to </w:t>
      </w:r>
      <w:r w:rsidR="00452152" w:rsidRPr="00A87961">
        <w:rPr>
          <w:rFonts w:cs="Times New Roman"/>
        </w:rPr>
        <w:t>the</w:t>
      </w:r>
      <w:r w:rsidRPr="00A87961">
        <w:rPr>
          <w:rFonts w:cs="Times New Roman"/>
        </w:rPr>
        <w:t xml:space="preserve"> </w:t>
      </w:r>
      <w:r w:rsidR="00452152" w:rsidRPr="00A87961">
        <w:rPr>
          <w:rFonts w:cs="Times New Roman"/>
        </w:rPr>
        <w:t>contusive injury mechanisms more commonly seen</w:t>
      </w:r>
      <w:r w:rsidRPr="00A87961">
        <w:rPr>
          <w:rFonts w:cs="Times New Roman"/>
        </w:rPr>
        <w:t xml:space="preserve"> in human</w:t>
      </w:r>
      <w:r w:rsidR="00452152" w:rsidRPr="00A87961">
        <w:rPr>
          <w:rFonts w:cs="Times New Roman"/>
        </w:rPr>
        <w:t>s</w:t>
      </w:r>
      <w:r w:rsidRPr="00A87961">
        <w:rPr>
          <w:rFonts w:cs="Times New Roman"/>
        </w:rPr>
        <w:fldChar w:fldCharType="begin" w:fldLock="1"/>
      </w:r>
      <w:r w:rsidR="00C416DA">
        <w:rPr>
          <w:rFonts w:cs="Times New Roman"/>
        </w:rPr>
        <w:instrText>ADDIN CSL_CITATION {"citationItems":[{"id":"ITEM-1","itemData":{"DOI":"10.3844/amjnsp.2013.1.12","ISSN":"1948-9900","abstract":"It is estimated that approximately 2.5 million people are affected by Spinal Cord Injury (SCI), with more than 130,000 new cases reported each year (International Campaign for Cures of Spinal Cord Injury Paralysis). Although there is currently no cure for SCI, various strategies including rehabilitative, cellular and molecular therapies have been tested in a variety of animal models. But questions remain as to the validity of animal models and whether they relate to the clinical conditions found in humans. This review aims to look at the different and most current models that are used to study SCI and their potential uses in mimicking the human condition. Several different animals models have been developed to study the problems of SCI, allowing exploration of mechanisms and properties of specific pathways such as; the MAPK pathway and spinal cord diseases such as; Syringomyelia and Central Cord Syndrome to name a few to be elucidated. SCI is complicated by cavitation and a glial scar that lines the cavity, reducing the possibility of axon regeneration. Mammalian models, particularly in mice and rats, have been used for many years to study the impact of SCI and potential therapies, however, questions remain as to the validity of these models and their potential usefulness.","author":[{"dropping-particle":"","family":"Kundi","given":"","non-dropping-particle":"","parse-names":false,"suffix":""}],"container-title":"American Journal of Neuroscience","id":"ITEM-1","issue":"1","issued":{"date-parts":[["2013","1","1"]]},"page":"1-12","publisher":"Science Publications","title":"SPINAL CORD INJURY: CURRENT MAMMALIAN MODELS","type":"article-journal","volume":"4"},"uris":["http://www.mendeley.com/documents/?uuid=3453f8b8-ebfa-3010-9021-d414377de5c7"]}],"mendeley":{"formattedCitation":"[50]","plainTextFormattedCitation":"[50]","previouslyFormattedCitation":"[50]"},"properties":{"noteIndex":0},"schema":"https://github.com/citation-style-language/schema/raw/master/csl-citation.json"}</w:instrText>
      </w:r>
      <w:r w:rsidRPr="00A87961">
        <w:rPr>
          <w:rFonts w:cs="Times New Roman"/>
        </w:rPr>
        <w:fldChar w:fldCharType="separate"/>
      </w:r>
      <w:r w:rsidR="009B5F4E" w:rsidRPr="009B5F4E">
        <w:rPr>
          <w:rFonts w:cs="Times New Roman"/>
          <w:noProof/>
        </w:rPr>
        <w:t>[50]</w:t>
      </w:r>
      <w:r w:rsidRPr="00A87961">
        <w:rPr>
          <w:rFonts w:cs="Times New Roman"/>
        </w:rPr>
        <w:fldChar w:fldCharType="end"/>
      </w:r>
      <w:r w:rsidRPr="00A87961">
        <w:rPr>
          <w:rFonts w:cs="Times New Roman"/>
        </w:rPr>
        <w:t>. Contusion</w:t>
      </w:r>
      <w:r w:rsidR="0083611D" w:rsidRPr="00A87961">
        <w:rPr>
          <w:rFonts w:cs="Times New Roman"/>
        </w:rPr>
        <w:t xml:space="preserve"> models are typically regarded as most representative of acute, traumatic SCI, whereas</w:t>
      </w:r>
      <w:r w:rsidRPr="00A87961">
        <w:rPr>
          <w:rFonts w:cs="Times New Roman"/>
        </w:rPr>
        <w:t xml:space="preserve"> </w:t>
      </w:r>
      <w:r w:rsidR="0083611D" w:rsidRPr="00A87961">
        <w:rPr>
          <w:rFonts w:cs="Times New Roman"/>
        </w:rPr>
        <w:t xml:space="preserve">the more chronic injury produced by some </w:t>
      </w:r>
      <w:r w:rsidRPr="00A87961">
        <w:rPr>
          <w:rFonts w:cs="Times New Roman"/>
        </w:rPr>
        <w:t xml:space="preserve">compression models </w:t>
      </w:r>
      <w:r w:rsidR="0083611D" w:rsidRPr="00A87961">
        <w:rPr>
          <w:rFonts w:cs="Times New Roman"/>
        </w:rPr>
        <w:t>may be more representative of conditions such as degenerative cervical myelopathy</w:t>
      </w:r>
      <w:r w:rsidRPr="00A87961">
        <w:rPr>
          <w:rFonts w:cs="Times New Roman"/>
        </w:rPr>
        <w:fldChar w:fldCharType="begin" w:fldLock="1"/>
      </w:r>
      <w:r w:rsidR="00C416DA">
        <w:rPr>
          <w:rFonts w:cs="Times New Roman"/>
        </w:rPr>
        <w:instrText>ADDIN CSL_CITATION {"citationItems":[{"id":"ITEM-1","itemData":{"DOI":"10.1038/sc.2016.187","ISSN":"14765624","PMID":"28117332","abstract":"Study Design:PRISMA-guided systematic review.Objectives:To provide a comprehensive framework of the current animal models for investigating spinal cord injury (SCI) and categorize them based on the aims, patterns and levels of injury, and outcome measurements as well as animal species.Setting:Sina Trauma and Surgery Research Center, Tehran University of Medical Sciences, Tehran, Iran.Methods:An electronic search of the Medline database for literature describing animal models of SCI was performed on 1 January 2016 using the following keywords: ' spinal cord injuries' and 'animal models'. The search retrieved 2870 articles. Reviews and non-original articles were excluded. Data extraction was independently performed by two reviewers.Results:Among the 2209 included studies, testing the effects of drug's or growth factor's interventions was the most common aim (36.6%) followed by surveying pathophysiologic changes (30.2%). The most common spinal region involved was thoracic (81%). Contusion was the most common pattern of injury (41%) followed by transection (32.5%) and compression (19.4%). The most common species involved in animal models of SCI was the rat (72.4%). Two or more types of outcome assessments were used in the majority of the studies, and the most common assessment method was biological plus behavioral (50.8%).Conclusions:Prior to choosing an animal model, the objectives of the proposed study must precisely be defined. Contusion and compression models better simulate the biomechanics and neuropathology of human injury, whereas transection models are valuable to study anatomic regeneration. Rodents are the most common and probably best-suited species for preliminary SCI studies.","author":[{"dropping-particle":"","family":"Sharif-Alhoseini","given":"M.","non-dropping-particle":"","parse-names":false,"suffix":""},{"dropping-particle":"","family":"Khormali","given":"M.","non-dropping-particle":"","parse-names":false,"suffix":""},{"dropping-particle":"","family":"Rezaei","given":"M.","non-dropping-particle":"","parse-names":false,"suffix":""},{"dropping-particle":"","family":"Safdarian","given":"M.","non-dropping-particle":"","parse-names":false,"suffix":""},{"dropping-particle":"","family":"Hajighadery","given":"A.","non-dropping-particle":"","parse-names":false,"suffix":""},{"dropping-particle":"","family":"Khalatbari","given":"M. M.","non-dropping-particle":"","parse-names":false,"suffix":""},{"dropping-particle":"","family":"Safdarian","given":"M.","non-dropping-particle":"","parse-names":false,"suffix":""},{"dropping-particle":"","family":"Meknatkhah","given":"S.","non-dropping-particle":"","parse-names":false,"suffix":""},{"dropping-particle":"","family":"Rezvan","given":"M.","non-dropping-particle":"","parse-names":false,"suffix":""},{"dropping-particle":"","family":"Chalangari","given":"M.","non-dropping-particle":"","parse-names":false,"suffix":""},{"dropping-particle":"","family":"Derakhshan","given":"P.","non-dropping-particle":"","parse-names":false,"suffix":""},{"dropping-particle":"","family":"Rahimi-Movaghar","given":"V.","non-dropping-particle":"","parse-names":false,"suffix":""}],"container-title":"Spinal Cord","id":"ITEM-1","issue":"8","issued":{"date-parts":[["2017","8","1"]]},"page":"714-721","publisher":"Nature Publishing Group","title":"Animal models of spinal cord injury: A systematic review","type":"article","volume":"55"},"uris":["http://www.mendeley.com/documents/?uuid=43ccc264-0ba4-3d66-b65b-e3e2266680d1"]}],"mendeley":{"formattedCitation":"[51]","plainTextFormattedCitation":"[51]","previouslyFormattedCitation":"[51]"},"properties":{"noteIndex":0},"schema":"https://github.com/citation-style-language/schema/raw/master/csl-citation.json"}</w:instrText>
      </w:r>
      <w:r w:rsidRPr="00A87961">
        <w:rPr>
          <w:rFonts w:cs="Times New Roman"/>
        </w:rPr>
        <w:fldChar w:fldCharType="separate"/>
      </w:r>
      <w:r w:rsidR="009B5F4E" w:rsidRPr="009B5F4E">
        <w:rPr>
          <w:rFonts w:cs="Times New Roman"/>
          <w:noProof/>
        </w:rPr>
        <w:t>[51]</w:t>
      </w:r>
      <w:r w:rsidRPr="00A87961">
        <w:rPr>
          <w:rFonts w:cs="Times New Roman"/>
        </w:rPr>
        <w:fldChar w:fldCharType="end"/>
      </w:r>
      <w:r w:rsidRPr="00A87961">
        <w:rPr>
          <w:rFonts w:cs="Times New Roman"/>
        </w:rPr>
        <w:t>.</w:t>
      </w:r>
      <w:r w:rsidR="002624CC" w:rsidRPr="00A87961">
        <w:t xml:space="preserve"> </w:t>
      </w:r>
      <w:r w:rsidR="0088090A" w:rsidRPr="00A87961">
        <w:t xml:space="preserve">The age of </w:t>
      </w:r>
      <w:r w:rsidR="0088090A" w:rsidRPr="00A87961">
        <w:lastRenderedPageBreak/>
        <w:t>animals used provided another source of heterogeneity. Differences in animal age limit interpretation of the included studies as f</w:t>
      </w:r>
      <w:r w:rsidR="002624CC" w:rsidRPr="00A87961">
        <w:t xml:space="preserve">unctional behaviours and regeneration after SCI may differ </w:t>
      </w:r>
      <w:r w:rsidR="0088090A" w:rsidRPr="00A87961">
        <w:t>depending</w:t>
      </w:r>
      <w:r w:rsidR="002624CC" w:rsidRPr="00A87961">
        <w:t xml:space="preserve"> on animal age</w:t>
      </w:r>
      <w:r w:rsidR="0088090A" w:rsidRPr="00A87961">
        <w:t xml:space="preserve"> </w:t>
      </w:r>
      <w:r w:rsidR="0088090A" w:rsidRPr="00A87961">
        <w:fldChar w:fldCharType="begin" w:fldLock="1"/>
      </w:r>
      <w:r w:rsidR="00C416DA">
        <w:instrText>ADDIN CSL_CITATION {"citationItems":[{"id":"ITEM-1","itemData":{"DOI":"10.1089/0897715041650999","ISSN":"0897-7151","PMID":"15318998","abstract":"Spinal cord injury (SCI) often leads to chronic central pain (CCP) syndromes such as allodynia and hyperalgesia. Although several experimental animal models for CCP studies exist, little is known about the effect of age on the development of CCP following SCI. In this study, we evaluated behavioral responses to mechanical and thermal stimuli following SCI using three different age groups of adult Sprague-Dawley rats: young (40 days), adult (60 days), and middle-age (12 months). SCI was produced by unilateral hemisection of the spinal cord at T13. Behavioral measures of locomotor function were assayed in open field tests and somatosensory function by paw withdrawal frequency (PWF) to innocuous mechanical stimuli and paw withdrawal latency (PWL) to radiant heat stimuli on both the forelimbs and hindlimbs. Prior to hemisection, the PWF was not different between the three groups; however, the PWL of the young group was significantly greater than the adult and middle-age group. After spinal hemisection, spontaneous locomotor recovery occurred more rapidly in young and adult than in middle-age rats. In both forelimbs and hindlimbs, the young group displayed a significant increase in PWF and a significant decrease in PWL compared to presurgical and sham values or values from the adult and middle-age groups. These results indicate that younger rats developed more robust neuropathic behaviors than middle-age rats, indicating that age selection is an important factor in animal models of CCP syndromes following SCI. Additionally, our data suggest that age at the time of injury may be one risk factor in predicting the development of CCP after SCI in people.","author":[{"dropping-particle":"","family":"YS","given":"Gwak","non-dropping-particle":"","parse-names":false,"suffix":""},{"dropping-particle":"","family":"BC","given":"Hains","non-dropping-particle":"","parse-names":false,"suffix":""},{"dropping-particle":"","family":"KM","given":"Johnson","non-dropping-particle":"","parse-names":false,"suffix":""},{"dropping-particle":"","family":"CE","given":"Hulsebosch","non-dropping-particle":"","parse-names":false,"suffix":""}],"container-title":"Journal of neurotrauma","id":"ITEM-1","issue":"8","issued":{"date-parts":[["2004","8"]]},"page":"983-993","publisher":"J Neurotrauma","title":"Effect of age at time of spinal cord injury on behavioral outcomes in rat","type":"article-journal","volume":"21"},"uris":["http://www.mendeley.com/documents/?uuid=318e6b28-db41-32e7-b26a-82ee8b401c7a"]}],"mendeley":{"formattedCitation":"[52]","plainTextFormattedCitation":"[52]","previouslyFormattedCitation":"[52]"},"properties":{"noteIndex":0},"schema":"https://github.com/citation-style-language/schema/raw/master/csl-citation.json"}</w:instrText>
      </w:r>
      <w:r w:rsidR="0088090A" w:rsidRPr="00A87961">
        <w:fldChar w:fldCharType="separate"/>
      </w:r>
      <w:r w:rsidR="009B5F4E" w:rsidRPr="009B5F4E">
        <w:rPr>
          <w:noProof/>
        </w:rPr>
        <w:t>[52]</w:t>
      </w:r>
      <w:r w:rsidR="0088090A" w:rsidRPr="00A87961">
        <w:fldChar w:fldCharType="end"/>
      </w:r>
      <w:r w:rsidR="0088090A" w:rsidRPr="00A87961">
        <w:t xml:space="preserve">. </w:t>
      </w:r>
      <w:r w:rsidRPr="00A87961">
        <w:rPr>
          <w:rFonts w:cs="Times New Roman"/>
        </w:rPr>
        <w:t xml:space="preserve">It is important </w:t>
      </w:r>
      <w:r w:rsidR="005A5AE1" w:rsidRPr="00A87961">
        <w:rPr>
          <w:rFonts w:cs="Times New Roman"/>
        </w:rPr>
        <w:t xml:space="preserve">that </w:t>
      </w:r>
      <w:r w:rsidRPr="00A87961">
        <w:rPr>
          <w:rFonts w:cs="Times New Roman"/>
        </w:rPr>
        <w:t xml:space="preserve">future pre-clinical </w:t>
      </w:r>
      <w:r w:rsidR="00070EA1" w:rsidRPr="00A87961">
        <w:rPr>
          <w:rFonts w:cs="Times New Roman"/>
        </w:rPr>
        <w:t xml:space="preserve">work carefully considers which </w:t>
      </w:r>
      <w:r w:rsidRPr="00A87961">
        <w:rPr>
          <w:rFonts w:cs="Times New Roman"/>
        </w:rPr>
        <w:t>aspect</w:t>
      </w:r>
      <w:r w:rsidR="00070EA1" w:rsidRPr="00A87961">
        <w:rPr>
          <w:rFonts w:cs="Times New Roman"/>
        </w:rPr>
        <w:t>s</w:t>
      </w:r>
      <w:r w:rsidRPr="00A87961">
        <w:rPr>
          <w:rFonts w:cs="Times New Roman"/>
        </w:rPr>
        <w:t xml:space="preserve"> of human pathology </w:t>
      </w:r>
      <w:r w:rsidR="00070EA1" w:rsidRPr="00A87961">
        <w:rPr>
          <w:rFonts w:cs="Times New Roman"/>
        </w:rPr>
        <w:t xml:space="preserve">they aim to mimic through animal </w:t>
      </w:r>
      <w:proofErr w:type="gramStart"/>
      <w:r w:rsidR="00070EA1" w:rsidRPr="00A87961">
        <w:rPr>
          <w:rFonts w:cs="Times New Roman"/>
        </w:rPr>
        <w:t>models, and</w:t>
      </w:r>
      <w:proofErr w:type="gramEnd"/>
      <w:r w:rsidR="00070EA1" w:rsidRPr="00A87961">
        <w:rPr>
          <w:rFonts w:cs="Times New Roman"/>
        </w:rPr>
        <w:t xml:space="preserve"> choose a pre-clinical model and outcomes measures that appropriately reflect this. </w:t>
      </w:r>
    </w:p>
    <w:p w14:paraId="67DD3D8F" w14:textId="77777777" w:rsidR="00AD4E64" w:rsidRPr="00A87961" w:rsidRDefault="00AD4E64" w:rsidP="00AD4E64">
      <w:pPr>
        <w:spacing w:line="480" w:lineRule="auto"/>
        <w:rPr>
          <w:rFonts w:cs="Times New Roman"/>
        </w:rPr>
      </w:pPr>
    </w:p>
    <w:p w14:paraId="431F1AA7" w14:textId="5960EC92" w:rsidR="005620F5" w:rsidRPr="00A87961" w:rsidRDefault="00AD4E64" w:rsidP="005620F5">
      <w:pPr>
        <w:spacing w:line="480" w:lineRule="auto"/>
        <w:rPr>
          <w:rFonts w:cs="Times New Roman"/>
        </w:rPr>
      </w:pPr>
      <w:r w:rsidRPr="00A87961">
        <w:rPr>
          <w:rFonts w:cs="Times New Roman"/>
        </w:rPr>
        <w:t>There is also heterogeneity amongst the cannabinoid receptor agonists used in the included studies</w:t>
      </w:r>
      <w:r w:rsidR="005620F5" w:rsidRPr="00A87961">
        <w:rPr>
          <w:rFonts w:cs="Times New Roman"/>
        </w:rPr>
        <w:t xml:space="preserve"> as seen in Figure </w:t>
      </w:r>
      <w:r w:rsidR="00B00BC0">
        <w:rPr>
          <w:rFonts w:cs="Times New Roman"/>
        </w:rPr>
        <w:t>3</w:t>
      </w:r>
      <w:r w:rsidRPr="00A87961">
        <w:rPr>
          <w:rFonts w:cs="Times New Roman"/>
        </w:rPr>
        <w:t>. WIN 55,212-2 was the most used compound and was noted to produce improvements in both locomotor and pain outcome</w:t>
      </w:r>
      <w:r w:rsidR="005A5AE1" w:rsidRPr="00A87961">
        <w:rPr>
          <w:rFonts w:cs="Times New Roman"/>
        </w:rPr>
        <w:t>s</w:t>
      </w:r>
      <w:r w:rsidR="00804E8E" w:rsidRPr="00A87961">
        <w:rPr>
          <w:rFonts w:cs="Times New Roman"/>
          <w:color w:val="000000" w:themeColor="text1"/>
          <w:vertAlign w:val="superscript"/>
        </w:rPr>
        <w:fldChar w:fldCharType="begin" w:fldLock="1"/>
      </w:r>
      <w:r w:rsidR="00C416DA">
        <w:rPr>
          <w:rFonts w:cs="Times New Roman"/>
          <w:color w:val="000000" w:themeColor="text1"/>
          <w:vertAlign w:val="superscript"/>
        </w:rPr>
        <w:instrText>ADDIN CSL_CITATION {"citationItems":[{"id":"ITEM-1","itemData":{"DOI":"http://dx.doi.org/10.1016/j.spinee.2010.08.015","ISBN":"1529-9430","abstract":"Background context: There is increasing evidence for a role of the cannabinoid (CB) system in the development of neuropathic pain (NP) after spinal cord injury (SCI). The nonspecific CB&lt;inf&gt;1&lt;/inf&gt; and CB&lt;inf&gt;2&lt;/inf&gt; receptor agonists, WIN 55, 212-2 (WIN), have previously been shown to alleviate both mechanical and thermal hyperalgesia (TH) after peripheral nerve injury. Purpose: The present study was designed to identify the CB receptors involved in the antihyperalgesic effect of WIN by using selective antagonists for CB&lt;inf&gt;1&lt;/inf&gt; and CB&lt;inf&gt;2&lt;/inf&gt; receptors. Study design: This is an in vivo and behavioral study using a moderate T9 contusion SCI. After injury, TH of the hind paws was measured on postinjury days 21 through 42. Methods: Sprague-Dawley rats underwent a contusion SCI using the Multicenter Animal Spinal Cord Injury Study (MASCIS) weight-drop impactor, which induced a moderate T9 SCI. Only animals showing consistent plantar stepping and consistent forelimb and hind limb coordination (Basso, Beattie, and Bresnahan score=15) were tested for TH. Animals exhibiting decreased withdrawal latency time, indicating TH, on or before Day 42, were selected for pharmacological intervention. Animals not exhibiting TH did not receive pharmacological intervention and were sacrificed. Rats underwent hind paw testing before any drug administration (after injury), 45 minutes after selective CB antagonist (AM 251 or AM 630) administration (postantagonist) and again 45 minutes after WIN administration (post-WIN). There were a total of seven treatment groups: saline vehicle control; Dimethyl sulfoxide (DMSO) vehicle control; low-dose WIN (0.2 mg/kg); and high-dose WIN (2.0 mg/kg); AM 251 (3 mg/kg) and AM 630 (1 mg/kg) were given subcutaneously in a total volume of 0.5 mL. Followed by intraperitoneal injection of WIN after each antagonist, sham-operated rats repeated pharmacological intervention used with treatment Groups 5 and 6. Results: Thermal hyperalgesia was significantly ameliorated in a dose-dependent manner with systemically administered WIN. Cannabinoid receptor Type 1 antagonist AM 251 pretreatment did not affect the antihyperalgesic effect of WIN. By contrast, pretreatment with the CB &lt;inf&gt;2&lt;/inf&gt; receptor antagonist AM 630 significantly attenuated the effect of WIN. Conclusion: Taken together, these results suggest a role of the CB &lt;inf&gt;2&lt;/inf&gt; receptor in modulating SCI-induced TH. Selective activation of the CB&lt;inf&gt;2&lt;/inf&gt; receptor could potentia…","author":[{"dropping-particle":"","family":"Ahmed","given":"M M","non-dropping-particle":"","parse-names":false,"suffix":""},{"dropping-particle":"","family":"Rajpal","given":"S","non-dropping-particle":"","parse-names":false,"suffix":""},{"dropping-particle":"","family":"Sweeney","given":"C","non-dropping-particle":"","parse-names":false,"suffix":""},{"dropping-particle":"","family":"Gerovac","given":"T A","non-dropping-particle":"","parse-names":false,"suffix":""},{"dropping-particle":"","family":"Allcock","given":"B","non-dropping-particle":"","parse-names":false,"suffix":""},{"dropping-particle":"","family":"McChesney","given":"S","non-dropping-particle":"","parse-names":false,"suffix":""},{"dropping-particle":"","family":"Patel","given":"A U","non-dropping-particle":"","parse-names":false,"suffix":""},{"dropping-particle":"","family":"Tilghman","given":"J I","non-dropping-particle":"","parse-names":false,"suffix":""},{"dropping-particle":"","family":"Miranpuri","given":"G S","non-dropping-particle":"","parse-names":false,"suffix":""},{"dropping-particle":"","family":"Resnick","given":"D K","non-dropping-particle":"","parse-names":false,"suffix":""}],"container-title":"Spine Journal ","id":"ITEM-1","issue":"12 ","issued":{"date-parts":[["2010"]]},"language":"English ","note":"Embase","page":"1049-1054","publisher-place":"(Ahmed, Rajpal, Sweeney, Gerovac, Allcock, McChesney, Patel, Tilghman, Miranpuri, Resnick) Department of Neurological Surgery, University of Wisconsin, School of Medicine and Public Health, 600 Highland Ave., Madison, WI 53792, United States  D. K. Resnic","title":"Cannabinoid subtype-2 receptors modulate the antihyperalgesic effect of WIN 55,212-2 in rats with neuropathic spinal cord injury pain ","type":"article","volume":"10 "},"uris":["http://www.mendeley.com/documents/?uuid=61d568c6-10c5-4b77-8ca9-f48a80aa5f2a"]},{"id":"ITEM-2","itemData":{"DOI":"http://dx.doi.org/10.1016/j.expneurol.2006.09.002","ISBN":"0014-4886  1090-2430","abstract":"Spinal cord injury (SCI) pain exhibits many symptoms associated with peripheral neuropathic pain, including increased tactile hypersensitivity. One novel approach to ameliorate SCI pain is the use of cannabinoid (CB) ligands. The current study evaluated the efficacy of the nonselective CB receptor agonist WIN 55,212-2 on tactile hypersensitivity in rats following a brief compression to the thoracic spinal cord. The withdrawal thresholds of the hind paws following SCI were significantly decreased, indicating tactile hypersensitivity. Systemic injection of WIN 55,212-2 increased withdrawal thresholds in a dose-dependent manner. Pretreatment with the CB&lt;inf&gt;1&lt;/inf&gt; receptor subtype-selective antagonist AM 251 completely abolished the antinociceptive effect of WIN 55,212-2 whereas pretreatment with the CB&lt;inf&gt;2&lt;/inf&gt; receptor subtype-selective antagonist AM 630 did not alter the antinociceptive effect of WIN 55,212-2. These data indicate that a CB&lt;inf&gt;1&lt;/inf&gt;-selective agonist may be novel therapeutic treatment for clinical SCI pain. © 2006 Elsevier Inc. All rights reserved. ","author":[{"dropping-particle":"","family":"Hama","given":"A","non-dropping-particle":"","parse-names":false,"suffix":""},{"dropping-particle":"","family":"Sagen","given":"J","non-dropping-particle":"","parse-names":false,"suffix":""}],"container-title":"Experimental Neurology ","id":"ITEM-2","issue":"1 ","issued":{"date-parts":[["2007"]]},"language":"English ","note":"Embase","page":"454-457","publisher-place":"(Hama, Sagen) University of Miami Miller School of Medicine, The Miami Project to Cure Paralysis, 1095 NW 14th Terrace, (R-48), Miami, FL 33136, United States  A. Hama, University of Miami Miller School of Medicine, The Miami Project to Cure Paralysis, 10","title":"Antinociceptive effect of cannabinoid agonist WIN 55,212-2 in rats with a spinal cord injury ","type":"article","volume":"204 "},"uris":["http://www.mendeley.com/documents/?uuid=7f87b37c-91ea-4f57-ba57-fbf4e7ecb896"]},{"id":"ITEM-3","itemData":{"DOI":"http://dx.doi.org/10.1682/JRRD.2008.04.0049","ISBN":"0748-7711","abstract":"A significant complaint associated with spinal cord injury (SCI) is chronic pain, which includes symptoms such as cutaneous hypersensitivity and spontaneous unevoked pain and is difficult to treat with currently available drugs. One complication with current analgesics is tolerance, a decrease in efficacy with repeated treatment over time. One promising class of pharmacological treatment is cannabinoid (CB) receptor agonists. The current study assessed the efficacy of the CB receptor agonist WIN 55,212-2 (WIN) in a rat model of neuropathic SCI pain. Brief spinal compression leads to significant hindpaw hypersensitivity to tactile stimulation. WIN dose-dependently increased withdrawal thresholds and continued to demonstrate efficacy over a twice-daily 7-day treatment regimen. By contrast, the efficacy of morphine in SCI rats decreased over the same treatment period. Similarly, the antinociceptive efficacy of WIN to acute noxious heat in uninjured rats diminished over time. These data suggest that the sustained efficacy of a CB receptor agonist for pain could depend on the pain state. Such agonists may hold promise for long-term use in alleviating chronic SCI pain. ","author":[{"dropping-particle":"","family":"Hama","given":"A","non-dropping-particle":"","parse-names":false,"suffix":""},{"dropping-particle":"","family":"Sagen","given":"J","non-dropping-particle":"","parse-names":false,"suffix":""}],"container-title":"Journal of Rehabilitation Research and Development ","id":"ITEM-3","issue":"1 ","issued":{"date-parts":[["2009"]]},"language":"English ","note":"Embase","page":"135-144","publisher-place":"(Hama, Sagen) Miami Project to Cure Paralysis, University of Miami Leonard M. Miller School of Medicine, Miami, FL, United States (Hama) Miami Project to Cure Paralysis, University of Miami Leonard M. Miller School of Medicine, 1095 NW 14th Terrace (R-48)","title":"Sustained antinociceptive effect of cannabinoid receptor agonist WIN 55,212-2 over time in rat model of neuropathic spinal cord injury pain ","type":"article","volume":"46 "},"uris":["http://www.mendeley.com/documents/?uuid=aa2d859c-617b-414c-ac62-4ac6fcaa8184"]},{"id":"ITEM-4","itemData":{"DOI":"http://dx.doi.org/10.1016/j.brainres.2011.07.031","ISBN":"0006-8993  1872-6240","abstract":"Activation of CNS cannabinoid subtype-1 (CB1) receptors has been shown to mediate the antinociceptive and other effects of systemically administered CB receptor agonists. The endogenous peptide CB receptor ligand hemopressin (HE) has previously demonstrated an antinociceptive effect in rats with a hind paw inflammation, without exhibiting characteristic CB1 receptor-mediated side-effects. The current study evaluated the effect of intrathecal (i.t.) and intracerebroventricular (i.c.v.) injection of HE in a rat model of neuropathic spinal cord injury (SCI) pain. The non-subtype selective CB receptor agonist WIN 55,212-2 was also centrally administered in SCI rats as a comparator. Four weeks following an acute compression of the mid-thoracic spinal cord, rats displayed markedly decreased hind paw withdrawal thresholds, indicative of below-level neuropathic pain. Central administration of WIN 55,212-2 significantly increased withdrawal thresholds, whereas HE did not. Hemopressin has been reported to block CB1 receptors in vitro, similar to the CB1 receptor antagonist rimonabant. Pretreatment with rimonabant completely blocked the antinociceptive effect of centrally administered WIN 55,212-2, but pretreatment with HE did not. While the data confirm that activation of either supraspinal or spinal CB1 receptors leads to significant antinociception in SCI rats, the current data do not support an antinociceptive effect from an acute blockade of central CB1 receptors, HE's putative antinociceptive mechanism, in neuropathic SCI rats. Although such a mechanism could be useful in other models of pain with a significant inflammatory component, the current data indicate that activation of CB1 receptors is needed to ameliorate neuropathic SCI pain. © 2011 Elsevier B.V. All rights reserved. ","author":[{"dropping-particle":"","family":"Hama","given":"A","non-dropping-particle":"","parse-names":false,"suffix":""},{"dropping-particle":"","family":"Sagen","given":"J","non-dropping-particle":"","parse-names":false,"suffix":""}],"container-title":"Brain Research ","id":"ITEM-4","issued":{"date-parts":[["2011"]]},"language":"English ","note":"Embase","page":"44-54","publisher-place":"(Hama, Sagen) Miami Project to Cure Paralysis, University of Miami Miller School of Medicine, 1095 NW 14th Terrace (R-48), Miami, FL 33136, United States  A. Hama, Miami Project to Cure Paralysis, University of Miami Miller School of Medicine, 1095 NW 14t","title":"Activation of spinal and supraspinal cannabinoid-1 receptors leads to antinociception in a rat model of neuropathic spinal cord injury pain ","type":"article","volume":"1412 "},"uris":["http://www.mendeley.com/documents/?uuid=f5745367-b54b-4417-ae50-798fa20b8bce"]},{"id":"ITEM-5","itemData":{"DOI":"http://dx.doi.org/10.1016/j.jtcvs.2018.07.045","ISBN":"0022-5223  1097-685X","ISSN":"0022-5223","abstract":"Objective: The aim of the study was to examine whether the cannabinoid agonist WIN55212-2 could attenuate ischemic spinal cord injury (SCI) in rats through inhibition of GAPDH/Siah1 signaling. Method(s): Male Sprague-Dawley rats were distributed randomly into 5 groups: (1) sham group that received no aortic occlusion and injected intraperitoneally (i.p.) with vehicle control after reperfusion; (2) control group that received a 12-minute aortic occlusion and injected i.p. with vehicle control after reperfusion; (3) WIN55212-2 group (WIN) that received the aortic occlusion and injected i.p. with 1 mg/kg of WIN55212-2 after reperfusion; and (4) WIN55212-2 plus AM251 group and (5) WIN55212-2 plus AM630 group that received the same surgical operation as the WIN group, except that 1 mg/kg of AM251 or AM630 was injected i.p. 30 min before each dose of WIN55212-2 injection, respectively. Neurologic function was assessed 48 hours after reperfusion. Histopathologic examination was performed to determine the number of normal neurons in anterior spinal cord. Protein expression of active caspase-3, total caspase-3, glyceraldehyde 3-phosphate dehydrogenase (GAPDH), inducible nitric oxide synthase (iNOS), nuclear factor kappa light chain enhancer of activated B cells (NF-kappaB), Siah1, tumor necrosis factor alpha and interleukin 1beta were determined with Western blot and enzyme-linked immunosorbent assay; coimmunoprecipitation assays were also used to determine GAPDH/Siah1 complexing. Finally, terminal deoxynucleotidyl transferase dUTP nick end labeling staining was used to determine neuronal apoptosis in the lumbar spinal cord. Result(s): The nuclear translocation of GAPDH and Siah1 in the spinal cord was initiated after ischemic spinal cord injury (SCI) along with the increased formation of GAPDH/Siah1 complexes. However, the activation of GAPDH/Siah1 was blocked by WIN. In addition, the treatment of WIN55212-2 promoted neuronal survival in the spinal cord, reduced apoptosis and inflammation, and improved neurologic scores. Furthermore, these beneficial effects of WIN55212-2 were abolished by the combined treatment of the CB2 antagonist AM630, but not the CB1 antagonist AM251. Conclusion(s): Our findings reveal GAPDH/Siah1 signaling cascades as a novel therapeutic target for ischemic SCI and identify WIN55212-2 with the potential to treat ischemic SCI by targeting this pathway.Copyright © 2018 The American Association for Thoracic Surgery","author":[{"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dropping-particle":"","family":"J.","given":"Huo","non-dropping-particle":"","parse-names":false,"suffix":""},{"dropping-particle":"","family":"R.","given":"Ma","non-dropping-particle":"","parse-names":false,"suffix":""},{"dropping-particle":"","family":"X.","given":"Chai Chen","non-dropping-particle":"","parse-names":false,"suffix":""},{"dropping-particle":"","family":"H.-J.","given":"Liang","non-dropping-particle":"","parse-names":false,"suffix":""},{"dropping-particle":"","family":"P.","given":"Jiang","non-dropping-particle":"","parse-names":false,"suffix":""},{"dropping-particle":"","family":"X.-L.","given":"Zhu","non-dropping-particle":"","parse-names":false,"suffix":""},{"dropping-particle":"","family":"X.","given":"Chai Chen","non-dropping-particle":"","parse-names":false,"suffix":""},{"dropping-particle":"","family":"Huo","given":"Jia","non-dropping-particle":"","parse-names":false,"suffix":""},{"dropping-particle":"","family":"Ma","given":"Rui","non-dropping-particle":"","parse-names":false,"suffix":""},{"dropping-particle":"","family":"Chai","given":"Xin","non-dropping-particle":"","parse-names":false,"suffix":""},{"dropping-particle":"","family":"Liang","given":"Hong Jin","non-dropping-particle":"","parse-names":false,"suffix":""},{"dropping-particle":"","family":"Jiang","given":"Peng","non-dropping-particle":"","parse-names":false,"suffix":""},{"dropping-particle":"","family":"Zhu","given":"Xiao ling","non-dropping-particle":"","parse-names":false,"suffix":""},{"dropping-particle":"","family":"Chen","given":"Xin","non-dropping-particle":"","parse-names":false,"suffix":""},{"dropping-particle":"","family":"Su","given":"Bin Xiao","non-dropping-particle":"","parse-names":false,"suffix":""}],"container-title":"Journal of Thoracic and Cardiovascular Surgery","id":"ITEM-5","issue":"2","issued":{"date-parts":[["2019"]]},"language":"English ","note":"From Duplicate 3 (Inhibiting a spinal cord signaling pathway protects against ischemia injury in rats - Huo, J; Ma, R; Chai, X; Liang, H J; Jiang, P; Zhu, X L; Chen, X; Su, B X)\n\nEmbase","page":"494-503.e1","publisher":"Mosby Inc. (E-mail: customerservice@mosby.com)","publisher-place":"(Huo, Chai, Liang, Jiang, Zhu, Su) Department of Anesthesiology, Xijing Hospital, Fourth Military Medical University, Xi'an, China (Ma) Department of Anesthesiology, Xi'an Children's Hospital, Xi'an, China (Chen) Department of Anesthesiology, Shaanxi Prov","title":"Inhibiting a spinal cord signaling pathway protects against ischemia injury in rats","type":"article-journal","volume":"157"},"uris":["http://www.mendeley.com/documents/?uuid=ec8545b1-3dcf-4122-9f12-a3060d18b471"]},{"id":"ITEM-6","itemData":{"DOI":"http://dx.doi.org/10.1016/j.brainres.2017.06.020","ISBN":"0006-8993  1872-6240","abstract":"The essential role of GAPDH/Siah1 signaling pathway in the pathogenesis of various injurious conditions such as traumatic spinal cord injury (SCI) has been gradually recognized. However, the drugs targeting this signaling pathway are still lacking. The endocannabinoid system, including its receptors (CB1 and CB2), act as neuroprotective and immunomodulatory modulators in SCI. WIN55212-2, an agonist for CB1 and CB2 receptors, has been demonstrated with anti-inflammatory and anti-apoptotic effects in multiple neurological diseases. Therefore, the present study aimed to investigate whether WIN55212-2 could promote functional recovery after traumatic SCI via inhibition of the GAPDH/Siah1 signaling. The traumatic SCI was induced by dropping a 10-g impactor from 25 mm on the dorsal surface of T9 and T10. Our results showed that WIN55212-2 alleviated the activation of GAPDH/Siah1 signaling pathway after SCI, as indicated by the reduction in GAPDH nuclear expression, GAPDH-Siah1 complex formation and iNOS protein expression. Furthermore, WIN55212-2 reduced apoptosis, production of IL-1beta and TNF-alpha and activation of NF-kappaB signaling in the spinal cord after SCI. The behavioral tests showed that WIN55212-2 improved the functional recovery after traumatic SCI as indicated by sustained increase in the locomotor scores. However, these neuroprotective effects of WIN55212-2 were blocked in the presence of the combined treatment of AM630 (an antagonist of CB2) rather than AM251 (an antagonist of CB1). In conclusion, our study indicates that, WIN55212-2 improves the functional recovery after SCI via inhibition of GAPDH/Siah1 cascades in a CB2 receptor dependent manner, indicative of its therapeutic potential for traumatic SCI or other traumatic conditions. Copyright © 2017 ","author":[{"dropping-particle":"","family":"Su","given":"B X","non-dropping-particle":"","parse-names":false,"suffix":""},{"dropping-particle":"","family":"Chen","given":"X","non-dropping-particle":"","parse-names":false,"suffix":""},{"dropping-particle":"","family":"Huo","given":"J","non-dropping-particle":"","parse-names":false,"suffix":""},{"dropping-particle":"","family":"Guo","given":"S Y","non-dropping-particle":"","parse-names":false,"suffix":""},{"dropping-particle":"","family":"Ma","given":"R","non-dropping-particle":"","parse-names":false,"suffix":""},{"dropping-particle":"","family":"Liu","given":"Y W","non-dropping-particle":"","parse-names":false,"suffix":""}],"container-title":"Brain Research ","id":"ITEM-6","issued":{"date-parts":[["2017"]]},"language":"English ","note":"Embase","page":"85-92","publisher-place":"(Su, Huo, Ma) Department of Anesthesiology, Xijing Hospital, Fourth Military Medical University, Xi'an 710032, China (Chen) Department of Anesthesiology, Shaanxi Provincial People's Hospital, Xi'an 710068, China (Guo) Department of Pharmaceutics, Tangdu H","title":"The synthetic cannabinoid WIN55212-2 ameliorates traumatic spinal cord injury via inhibition of GAPDH/Siah1 in a CB2-receptor dependent manner ","type":"article","volume":"1671 "},"uris":["http://www.mendeley.com/documents/?uuid=a3bf46ea-108b-4e74-affa-39c4f26ae608"]}],"mendeley":{"formattedCitation":"[30,33,35,36,38,40]","plainTextFormattedCitation":"[30,33,35,36,38,40]","previouslyFormattedCitation":"[30,33,35,36,38,40]"},"properties":{"noteIndex":0},"schema":"https://github.com/citation-style-language/schema/raw/master/csl-citation.json"}</w:instrText>
      </w:r>
      <w:r w:rsidR="00804E8E" w:rsidRPr="00A87961">
        <w:rPr>
          <w:rFonts w:cs="Times New Roman"/>
          <w:color w:val="000000" w:themeColor="text1"/>
          <w:vertAlign w:val="superscript"/>
        </w:rPr>
        <w:fldChar w:fldCharType="separate"/>
      </w:r>
      <w:r w:rsidR="00C416DA" w:rsidRPr="00C416DA">
        <w:rPr>
          <w:rFonts w:cs="Times New Roman"/>
          <w:noProof/>
          <w:color w:val="000000" w:themeColor="text1"/>
        </w:rPr>
        <w:t>[30,33,35,36,38,40]</w:t>
      </w:r>
      <w:r w:rsidR="00804E8E" w:rsidRPr="00A87961">
        <w:rPr>
          <w:rFonts w:cs="Times New Roman"/>
          <w:color w:val="000000" w:themeColor="text1"/>
          <w:vertAlign w:val="superscript"/>
        </w:rPr>
        <w:fldChar w:fldCharType="end"/>
      </w:r>
      <w:r w:rsidRPr="00A87961">
        <w:rPr>
          <w:rFonts w:cs="Times New Roman"/>
        </w:rPr>
        <w:t xml:space="preserve">. </w:t>
      </w:r>
      <w:r w:rsidR="005620F5" w:rsidRPr="00A87961">
        <w:rPr>
          <w:rFonts w:cs="Times New Roman"/>
        </w:rPr>
        <w:t>Within those studies that used WIN, various routes of administration were used including intraperitoneal, subcutaneous, intrathecal and intracerebroventricular</w:t>
      </w:r>
      <w:r w:rsidR="005A5AE1" w:rsidRPr="00A87961">
        <w:rPr>
          <w:rFonts w:cs="Times New Roman"/>
        </w:rPr>
        <w:t xml:space="preserve"> routes</w:t>
      </w:r>
      <w:r w:rsidR="005620F5" w:rsidRPr="00A87961">
        <w:rPr>
          <w:rFonts w:cs="Times New Roman"/>
        </w:rPr>
        <w:t xml:space="preserve">. </w:t>
      </w:r>
      <w:r w:rsidR="005D0544" w:rsidRPr="00A87961">
        <w:rPr>
          <w:rFonts w:cs="Times New Roman"/>
        </w:rPr>
        <w:t xml:space="preserve">Furthermore, dosing protocols varied between one off doses and repeat injections. These differences have important clinical implications as </w:t>
      </w:r>
      <w:r w:rsidR="001425DA" w:rsidRPr="00A87961">
        <w:rPr>
          <w:rFonts w:cs="Times New Roman"/>
        </w:rPr>
        <w:t xml:space="preserve">some routes of administration </w:t>
      </w:r>
      <w:r w:rsidR="00070EA1" w:rsidRPr="00A87961">
        <w:rPr>
          <w:rFonts w:cs="Times New Roman"/>
        </w:rPr>
        <w:t>(</w:t>
      </w:r>
      <w:proofErr w:type="gramStart"/>
      <w:r w:rsidR="001425DA" w:rsidRPr="00A87961">
        <w:rPr>
          <w:rFonts w:cs="Times New Roman"/>
        </w:rPr>
        <w:t>e.g.</w:t>
      </w:r>
      <w:proofErr w:type="gramEnd"/>
      <w:r w:rsidR="001425DA" w:rsidRPr="00A87961">
        <w:rPr>
          <w:rFonts w:cs="Times New Roman"/>
        </w:rPr>
        <w:t xml:space="preserve"> </w:t>
      </w:r>
      <w:r w:rsidR="005D0544" w:rsidRPr="00A87961">
        <w:rPr>
          <w:rFonts w:cs="Times New Roman"/>
        </w:rPr>
        <w:t xml:space="preserve">subcutaneous injection </w:t>
      </w:r>
      <w:r w:rsidR="001425DA" w:rsidRPr="00A87961">
        <w:rPr>
          <w:rFonts w:cs="Times New Roman"/>
        </w:rPr>
        <w:t xml:space="preserve">may be easier than </w:t>
      </w:r>
      <w:r w:rsidR="00D14944" w:rsidRPr="00A87961">
        <w:rPr>
          <w:rFonts w:cs="Times New Roman"/>
        </w:rPr>
        <w:t>others,</w:t>
      </w:r>
      <w:r w:rsidR="00070EA1" w:rsidRPr="00A87961">
        <w:rPr>
          <w:rFonts w:cs="Times New Roman"/>
        </w:rPr>
        <w:t xml:space="preserve"> </w:t>
      </w:r>
      <w:r w:rsidR="001425DA" w:rsidRPr="00A87961">
        <w:rPr>
          <w:rFonts w:cs="Times New Roman"/>
        </w:rPr>
        <w:t>e.g.</w:t>
      </w:r>
      <w:r w:rsidR="005D0544" w:rsidRPr="00A87961">
        <w:rPr>
          <w:rFonts w:cs="Times New Roman"/>
        </w:rPr>
        <w:t xml:space="preserve"> intrathecal </w:t>
      </w:r>
      <w:r w:rsidR="001425DA" w:rsidRPr="00A87961">
        <w:rPr>
          <w:rFonts w:cs="Times New Roman"/>
        </w:rPr>
        <w:t xml:space="preserve">injection </w:t>
      </w:r>
      <w:r w:rsidR="005D0544" w:rsidRPr="00A87961">
        <w:rPr>
          <w:rFonts w:cs="Times New Roman"/>
        </w:rPr>
        <w:t>or intracerebroventricular drug administration</w:t>
      </w:r>
      <w:r w:rsidR="00070EA1" w:rsidRPr="00A87961">
        <w:rPr>
          <w:rFonts w:cs="Times New Roman"/>
        </w:rPr>
        <w:t>)</w:t>
      </w:r>
      <w:r w:rsidR="005D0544" w:rsidRPr="00A87961">
        <w:rPr>
          <w:rFonts w:cs="Times New Roman"/>
        </w:rPr>
        <w:t xml:space="preserve">. The studies included in this </w:t>
      </w:r>
      <w:r w:rsidR="00070EA1" w:rsidRPr="00A87961">
        <w:rPr>
          <w:rFonts w:cs="Times New Roman"/>
        </w:rPr>
        <w:t>review</w:t>
      </w:r>
      <w:r w:rsidR="005D0544" w:rsidRPr="00A87961">
        <w:rPr>
          <w:rFonts w:cs="Times New Roman"/>
        </w:rPr>
        <w:t xml:space="preserve"> focus</w:t>
      </w:r>
      <w:r w:rsidR="00070EA1" w:rsidRPr="00A87961">
        <w:rPr>
          <w:rFonts w:cs="Times New Roman"/>
        </w:rPr>
        <w:t xml:space="preserve"> primarily</w:t>
      </w:r>
      <w:r w:rsidR="005D0544" w:rsidRPr="00A87961">
        <w:rPr>
          <w:rFonts w:cs="Times New Roman"/>
        </w:rPr>
        <w:t xml:space="preserve"> on the pharmacodynamics</w:t>
      </w:r>
      <w:r w:rsidR="001425DA" w:rsidRPr="00A87961">
        <w:rPr>
          <w:rFonts w:cs="Times New Roman"/>
        </w:rPr>
        <w:t xml:space="preserve"> of cannabinoid receptor agonists</w:t>
      </w:r>
      <w:r w:rsidR="00070EA1" w:rsidRPr="00A87961">
        <w:rPr>
          <w:rFonts w:cs="Times New Roman"/>
        </w:rPr>
        <w:t>.</w:t>
      </w:r>
      <w:r w:rsidR="001425DA" w:rsidRPr="00A87961">
        <w:rPr>
          <w:rFonts w:cs="Times New Roman"/>
        </w:rPr>
        <w:t xml:space="preserve"> </w:t>
      </w:r>
      <w:r w:rsidR="00070EA1" w:rsidRPr="00A87961">
        <w:rPr>
          <w:rFonts w:cs="Times New Roman"/>
        </w:rPr>
        <w:t>H</w:t>
      </w:r>
      <w:r w:rsidR="001425DA" w:rsidRPr="00A87961">
        <w:rPr>
          <w:rFonts w:cs="Times New Roman"/>
        </w:rPr>
        <w:t>owever</w:t>
      </w:r>
      <w:r w:rsidR="00070EA1" w:rsidRPr="00A87961">
        <w:rPr>
          <w:rFonts w:cs="Times New Roman"/>
        </w:rPr>
        <w:t>,</w:t>
      </w:r>
      <w:r w:rsidR="001425DA" w:rsidRPr="00A87961">
        <w:rPr>
          <w:rFonts w:cs="Times New Roman"/>
        </w:rPr>
        <w:t xml:space="preserve"> before clinical trials can be considered, the pharmacokinetics and toxicity of these compounds must also be investigated. </w:t>
      </w:r>
      <w:r w:rsidR="005D0544" w:rsidRPr="00A87961">
        <w:rPr>
          <w:rFonts w:cs="Times New Roman"/>
        </w:rPr>
        <w:t xml:space="preserve"> </w:t>
      </w:r>
      <w:r w:rsidR="007A57CA" w:rsidRPr="00A87961">
        <w:rPr>
          <w:rFonts w:cs="Times New Roman"/>
        </w:rPr>
        <w:t>Thus</w:t>
      </w:r>
      <w:r w:rsidR="005D0544" w:rsidRPr="00A87961">
        <w:rPr>
          <w:rFonts w:cs="Times New Roman"/>
        </w:rPr>
        <w:t xml:space="preserve">, </w:t>
      </w:r>
      <w:r w:rsidR="00A05E5E" w:rsidRPr="00A87961">
        <w:rPr>
          <w:rFonts w:cs="Times New Roman"/>
        </w:rPr>
        <w:t>given that</w:t>
      </w:r>
      <w:r w:rsidR="005D0544" w:rsidRPr="00A87961">
        <w:rPr>
          <w:rFonts w:cs="Times New Roman"/>
        </w:rPr>
        <w:t xml:space="preserve"> multiple compounds have shown improvements in locomotor function and pain scores, </w:t>
      </w:r>
      <w:r w:rsidR="00A05E5E" w:rsidRPr="00A87961">
        <w:rPr>
          <w:rFonts w:cs="Times New Roman"/>
        </w:rPr>
        <w:t xml:space="preserve">future work will need to determine which of these may be most amenable to human translational. This will require essential work investigating pharmacokinetics and distribution, safety and off-target effects, and logistical considerations such as the stability of compounds and shelf-life for use in the clinical environment. </w:t>
      </w:r>
      <w:r w:rsidR="001425DA" w:rsidRPr="00A87961">
        <w:rPr>
          <w:rFonts w:cs="Times New Roman"/>
        </w:rPr>
        <w:t xml:space="preserve">Future pre-clinical studies </w:t>
      </w:r>
      <w:r w:rsidR="00A05E5E" w:rsidRPr="00A87961">
        <w:rPr>
          <w:rFonts w:cs="Times New Roman"/>
        </w:rPr>
        <w:t>should</w:t>
      </w:r>
      <w:r w:rsidR="001425DA" w:rsidRPr="00A87961">
        <w:rPr>
          <w:rFonts w:cs="Times New Roman"/>
        </w:rPr>
        <w:t xml:space="preserve"> aim to reach </w:t>
      </w:r>
      <w:r w:rsidR="00A05E5E" w:rsidRPr="00A87961">
        <w:rPr>
          <w:rFonts w:cs="Times New Roman"/>
        </w:rPr>
        <w:t xml:space="preserve">a </w:t>
      </w:r>
      <w:r w:rsidR="001425DA" w:rsidRPr="00A87961">
        <w:rPr>
          <w:rFonts w:cs="Times New Roman"/>
        </w:rPr>
        <w:t xml:space="preserve">consensus on lead compounds, </w:t>
      </w:r>
      <w:r w:rsidR="00A05E5E" w:rsidRPr="00A87961">
        <w:rPr>
          <w:rFonts w:cs="Times New Roman"/>
        </w:rPr>
        <w:t>explore suitable</w:t>
      </w:r>
      <w:r w:rsidR="00D14944">
        <w:rPr>
          <w:rFonts w:cs="Times New Roman"/>
        </w:rPr>
        <w:t xml:space="preserve">, </w:t>
      </w:r>
      <w:r w:rsidR="00D14944" w:rsidRPr="00A87961">
        <w:rPr>
          <w:rFonts w:cs="Times New Roman"/>
        </w:rPr>
        <w:t>clinically relevant</w:t>
      </w:r>
      <w:r w:rsidR="00A05E5E" w:rsidRPr="00A87961">
        <w:rPr>
          <w:rFonts w:cs="Times New Roman"/>
        </w:rPr>
        <w:t xml:space="preserve"> </w:t>
      </w:r>
      <w:r w:rsidR="001425DA" w:rsidRPr="00A87961">
        <w:rPr>
          <w:rFonts w:cs="Times New Roman"/>
        </w:rPr>
        <w:t>dosing regimens</w:t>
      </w:r>
      <w:r w:rsidR="00A05E5E" w:rsidRPr="00A87961">
        <w:rPr>
          <w:rFonts w:cs="Times New Roman"/>
        </w:rPr>
        <w:t xml:space="preserve">, </w:t>
      </w:r>
      <w:r w:rsidR="001425DA" w:rsidRPr="00A87961">
        <w:rPr>
          <w:rFonts w:cs="Times New Roman"/>
        </w:rPr>
        <w:t xml:space="preserve">and </w:t>
      </w:r>
      <w:r w:rsidR="00A05E5E" w:rsidRPr="00A87961">
        <w:rPr>
          <w:rFonts w:cs="Times New Roman"/>
        </w:rPr>
        <w:t xml:space="preserve">determine acceptable clinical trade-offs such as the route and frequency of administration. </w:t>
      </w:r>
    </w:p>
    <w:p w14:paraId="183E3EC5" w14:textId="237A3458" w:rsidR="005D0544" w:rsidRPr="00A87961" w:rsidRDefault="005D0544" w:rsidP="005620F5">
      <w:pPr>
        <w:spacing w:line="480" w:lineRule="auto"/>
        <w:rPr>
          <w:rFonts w:cs="Times New Roman"/>
        </w:rPr>
      </w:pPr>
    </w:p>
    <w:p w14:paraId="401BF455" w14:textId="1E33383B" w:rsidR="001425DA" w:rsidRPr="00A87961" w:rsidRDefault="001425DA" w:rsidP="001425DA">
      <w:pPr>
        <w:spacing w:line="480" w:lineRule="auto"/>
        <w:rPr>
          <w:rFonts w:cs="Times New Roman"/>
        </w:rPr>
      </w:pPr>
      <w:r w:rsidRPr="00A87961">
        <w:rPr>
          <w:rFonts w:cs="Times New Roman"/>
        </w:rPr>
        <w:t>In our analysis, multiple items from the SYRCLE checklist were not commented on by all 19 studies</w:t>
      </w:r>
      <w:r w:rsidR="00A05E5E" w:rsidRPr="00A87961">
        <w:rPr>
          <w:rFonts w:cs="Times New Roman"/>
        </w:rPr>
        <w:t>,</w:t>
      </w:r>
      <w:r w:rsidRPr="00A87961">
        <w:rPr>
          <w:rFonts w:cs="Times New Roman"/>
        </w:rPr>
        <w:t xml:space="preserve"> including whether animals were randomly selected for outcome assessment, or whether allocation was adequately concealed, and caregivers or investigators were blinded</w:t>
      </w:r>
      <w:r w:rsidR="007A57CA" w:rsidRPr="00A87961">
        <w:rPr>
          <w:rFonts w:cs="Times New Roman"/>
          <w:vertAlign w:val="superscript"/>
        </w:rPr>
        <w:fldChar w:fldCharType="begin" w:fldLock="1"/>
      </w:r>
      <w:r w:rsidR="00C416DA">
        <w:rPr>
          <w:rFonts w:cs="Times New Roman"/>
          <w:vertAlign w:val="superscript"/>
        </w:rPr>
        <w:instrText>ADDIN CSL_CITATION {"citationItems":[{"id":"ITEM-1","itemData":{"DOI":"10.1186/1471-2288-14-43","ISSN":"14712288","PMID":"24667063","abstract":"Background: Systematic Reviews (SRs) of experimental animal studies are not yet common practice, but awareness of the merits of conducting such SRs is steadily increasing. As animal intervention studies differ from randomized clinical trials (RCT) in many aspects, the methodology for SRs of clinical trials needs to be adapted and optimized for animal intervention studies. The Cochrane Collaboration developed a Risk of Bias (RoB) tool to establish consistency and avoid discrepancies in assessing the methodological quality of RCTs. A similar initiative is warranted in the field of animal experimentation. Methods. We provide an RoB tool for animal intervention studies (SYRCLE's RoB tool). This tool is based on the Cochrane RoB tool and has been adjusted for aspects of bias that play a specific role in animal intervention studies. To enhance transparency and applicability, we formulated signalling questions to facilitate judgment. Results: The resulting RoB tool for animal studies contains 10 entries. These entries are related to selection bias, performance bias, detection bias, attrition bias, reporting bias and other biases. Half these items are in agreement with the items in the Cochrane RoB tool. Most of the variations between the two tools are due to differences in design between RCTs and animal studies. Shortcomings in, or unfamiliarity with, specific aspects of experimental design of animal studies compared to clinical studies also play a role. Conclusions: SYRCLE's RoB tool is an adapted version of the Cochrane RoB tool. Widespread adoption and implementation of this tool will facilitate and improve critical appraisal of evidence from animal studies. This may subsequently enhance the efficiency of translating animal research into clinical practice and increase awareness of the necessity of improving the methodological quality of animal studies. © 2014 Hooijmans et al.; licensee BioMed Central Ltd.","author":[{"dropping-particle":"","family":"Hooijmans","given":"Carlijn R.","non-dropping-particle":"","parse-names":false,"suffix":""},{"dropping-particle":"","family":"Rovers","given":"Maroeska M.","non-dropping-particle":"","parse-names":false,"suffix":""},{"dropping-particle":"","family":"Vries","given":"Rob B.M.","non-dropping-particle":"De","parse-names":false,"suffix":""},{"dropping-particle":"","family":"Leenaars","given":"Marlies","non-dropping-particle":"","parse-names":false,"suffix":""},{"dropping-particle":"","family":"Ritskes-Hoitinga","given":"Merel","non-dropping-particle":"","parse-names":false,"suffix":""},{"dropping-particle":"","family":"Langendam","given":"Miranda W.","non-dropping-particle":"","parse-names":false,"suffix":""}],"container-title":"BMC Medical Research Methodology","id":"ITEM-1","issue":"1","issued":{"date-parts":[["2014","3","26"]]},"page":"43","publisher":"BioMed Central Ltd.","title":"SYRCLE's risk of bias tool for animal studies","type":"article-journal","volume":"14"},"uris":["http://www.mendeley.com/documents/?uuid=1095ac88-78ff-3e7c-9cfb-dc6e3bf2431f"]}],"mendeley":{"formattedCitation":"[29]","plainTextFormattedCitation":"[29]","previouslyFormattedCitation":"[29]"},"properties":{"noteIndex":0},"schema":"https://github.com/citation-style-language/schema/raw/master/csl-citation.json"}</w:instrText>
      </w:r>
      <w:r w:rsidR="007A57CA" w:rsidRPr="00A87961">
        <w:rPr>
          <w:rFonts w:cs="Times New Roman"/>
          <w:vertAlign w:val="superscript"/>
        </w:rPr>
        <w:fldChar w:fldCharType="separate"/>
      </w:r>
      <w:r w:rsidR="009B5F4E" w:rsidRPr="009B5F4E">
        <w:rPr>
          <w:rFonts w:cs="Times New Roman"/>
          <w:noProof/>
        </w:rPr>
        <w:t>[29]</w:t>
      </w:r>
      <w:r w:rsidR="007A57CA" w:rsidRPr="00A87961">
        <w:rPr>
          <w:rFonts w:cs="Times New Roman"/>
          <w:vertAlign w:val="superscript"/>
        </w:rPr>
        <w:fldChar w:fldCharType="end"/>
      </w:r>
      <w:r w:rsidRPr="00A87961">
        <w:rPr>
          <w:rFonts w:cs="Times New Roman"/>
        </w:rPr>
        <w:t xml:space="preserve">. Due to this, risk of bias remains unclear for the included studies. </w:t>
      </w:r>
      <w:r w:rsidR="005A5AE1" w:rsidRPr="00A87961">
        <w:rPr>
          <w:rFonts w:cs="Times New Roman"/>
        </w:rPr>
        <w:t xml:space="preserve">This appears to be a common problem in the preclinical cannabinoid evidence base. </w:t>
      </w:r>
      <w:r w:rsidR="00491DBD" w:rsidRPr="00A87961">
        <w:rPr>
          <w:rFonts w:cs="Times New Roman"/>
        </w:rPr>
        <w:t>The IASP</w:t>
      </w:r>
      <w:r w:rsidRPr="00A87961">
        <w:rPr>
          <w:rFonts w:cs="Times New Roman"/>
        </w:rPr>
        <w:t xml:space="preserve"> Presidential Taskforce on Cannabis and Cannabinoid Analgesia identified similar</w:t>
      </w:r>
      <w:r w:rsidR="00491DBD" w:rsidRPr="00A87961">
        <w:rPr>
          <w:rFonts w:cs="Times New Roman"/>
        </w:rPr>
        <w:t xml:space="preserve"> challenges</w:t>
      </w:r>
      <w:r w:rsidRPr="00A87961">
        <w:rPr>
          <w:rFonts w:cs="Times New Roman"/>
        </w:rPr>
        <w:t>,</w:t>
      </w:r>
      <w:r w:rsidR="00491DBD" w:rsidRPr="00A87961">
        <w:rPr>
          <w:rFonts w:cs="Times New Roman"/>
        </w:rPr>
        <w:t xml:space="preserve"> including the</w:t>
      </w:r>
      <w:r w:rsidRPr="00A87961">
        <w:rPr>
          <w:rFonts w:cs="Times New Roman"/>
        </w:rPr>
        <w:t xml:space="preserve"> unclear risk of bias due to lack of reporting of methodological criteria</w:t>
      </w:r>
      <w:r w:rsidRPr="00A87961">
        <w:rPr>
          <w:rFonts w:cs="Times New Roman"/>
        </w:rPr>
        <w:fldChar w:fldCharType="begin" w:fldLock="1"/>
      </w:r>
      <w:r w:rsidR="00C416DA">
        <w:rPr>
          <w:rFonts w:cs="Times New Roman"/>
        </w:rPr>
        <w:instrText>ADDIN CSL_CITATION {"citationItems":[{"id":"ITEM-1","itemData":{"DOI":"10.1097/j.pain.0000000000002269","ISBN":"0000000000","ISSN":"0304-3959","abstract":"ABSTRACT We report a systematic review and meta-analysis of studies which assessed the antinociceptive efficacy of cannabinoids, cannabis-based medicines, and endocannabinoid system modulators on pain-associated behavioural outcomes in animal models of pathological or injury-related persistent pain. In April 2019, we systematically searched 3 online databases and used crowd science and machine learning to identify studies for inclusion. We calculated a standardised mean difference (SMD) effect size for each comparison and performed a random effects meta-analysis. We assessed the impact of study design characteristics and reporting of mitigations to reduce the risk of bias. We meta-analysed 374 studies in which 171 interventions were assessed for antinociceptive efficacy in rodent models of pathological or injury-related pain. Most experiments were conducted in male animals (86 %). Antinociceptive efficacy was most frequently measured by attenuation of hypersensitivity to evoked limb withdrawal. Selective CB1, CB2, non-selective cannabinoid receptor agonists (including delta-9-tetrahydrocannabinol; THC), and PPAR-alpha agonists (predominantly palmitoylethanolamide; PEA) significantly attenuated pain-associated behaviours in a broad range of inflammatory and neuropathic pain models. Fatty acid amide hydrolase (FAAH) inhibitors, monoacylglycerol lipase (MGL) inhibitors and cannabidiol (CBD) significantly attenuated pain-associated behaviours in neuropathic pain models but yielded mixed results in inflammatory pain models. The reporting of criteria to reduce the risk of bias was low, therefore the studies have an unclear risk of bias. The value of future studies could be enhanced by improving the reporting of methodological criteria, the clinical relevance of the models and behavioural assessments. Notwithstanding, the evidence supports the hypothesis of cannabinoid-induced analgesia.","author":[{"dropping-particle":"","family":"Soliman","given":"Nadia","non-dropping-particle":"","parse-names":false,"suffix":""},{"dropping-particle":"","family":"Haroutounian","given":"Simon","non-dropping-particle":"","parse-names":false,"suffix":""},{"dropping-particle":"","family":"Hohmann","given":"Andrea G.","non-dropping-particle":"","parse-names":false,"suffix":""},{"dropping-particle":"","family":"Krane","given":"Elliot","non-dropping-particle":"","parse-names":false,"suffix":""},{"dropping-particle":"","family":"Liao","given":"Jing","non-dropping-particle":"","parse-names":false,"suffix":""},{"dropping-particle":"","family":"Macleod","given":"Malcolm","non-dropping-particle":"","parse-names":false,"suffix":""},{"dropping-particle":"","family":"Segelcke","given":"Daniel","non-dropping-particle":"","parse-names":false,"suffix":""},{"dropping-particle":"","family":"Sena","given":"Christopher","non-dropping-particle":"","parse-names":false,"suffix":""},{"dropping-particle":"","family":"Thomas","given":"James","non-dropping-particle":"","parse-names":false,"suffix":""},{"dropping-particle":"","family":"Vollert","given":"Jan","non-dropping-particle":"","parse-names":false,"suffix":""},{"dropping-particle":"","family":"Wever","given":"Kimberley","non-dropping-particle":"","parse-names":false,"suffix":""},{"dropping-particle":"","family":"Alaverdyan","given":"Harutyun","non-dropping-particle":"","parse-names":false,"suffix":""},{"dropping-particle":"","family":"Barakat","given":"Ahmed","non-dropping-particle":"","parse-names":false,"suffix":""},{"dropping-particle":"","family":"Barthlow","given":"Tyler","non-dropping-particle":"","parse-names":false,"suffix":""},{"dropping-particle":"","family":"Bozer","given":"Amber L. Harris","non-dropping-particle":"","parse-names":false,"suffix":""},{"dropping-particle":"","family":"Davidson","given":"Alexander","non-dropping-particle":"","parse-names":false,"suffix":""},{"dropping-particle":"","family":"Diaz-delCastillo","given":"Marta","non-dropping-particle":"","parse-names":false,"suffix":""},{"dropping-particle":"","family":"Dolgorukova","given":"Antonina","non-dropping-particle":"","parse-names":false,"suffix":""},{"dropping-particle":"","family":"Ferdousi","given":"Mehnaz I.","non-dropping-particle":"","parse-names":false,"suffix":""},{"dropping-particle":"","family":"Healy","given":"Catherine","non-dropping-particle":"","parse-names":false,"suffix":""},{"dropping-particle":"","family":"Hong","given":"Simon","non-dropping-particle":"","parse-names":false,"suffix":""},{"dropping-particle":"","family":"Hopkins","given":"Mary","non-dropping-particle":"","parse-names":false,"suffix":""},{"dropping-particle":"","family":"James","given":"Arul","non-dropping-particle":"","parse-names":false,"suffix":""},{"dropping-particle":"","family":"Leake","given":"Hayley B.","non-dropping-particle":"","parse-names":false,"suffix":""},{"dropping-particle":"","family":"Malewicz","given":"Nathalie M.","non-dropping-particle":"","parse-names":false,"suffix":""},{"dropping-particle":"","family":"Mansfield","given":"Michael","non-dropping-particle":"","parse-names":false,"suffix":""},{"dropping-particle":"","family":"Mardon","given":"Amelia K.","non-dropping-particle":"","parse-names":false,"suffix":""},{"dropping-particle":"","family":"Mattimoe","given":"Darragh","non-dropping-particle":"","parse-names":false,"suffix":""},{"dropping-particle":"","family":"McLoone","given":"Daniel P.","non-dropping-particle":"","parse-names":false,"suffix":""},{"dropping-particle":"","family":"Noes-Holt","given":"Gith","non-dropping-particle":"","parse-names":false,"suffix":""},{"dropping-particle":"","family":"Pogatzki-Zahn","given":"Esther M.","non-dropping-particle":"","parse-names":false,"suffix":""},{"dropping-particle":"","family":"Power","given":"Emer","non-dropping-particle":"","parse-names":false,"suffix":""},{"dropping-particle":"","family":"Pradier","given":"Bruno","non-dropping-particle":"","parse-names":false,"suffix":""},{"dropping-particle":"","family":"Romanos-Sirakis","given":"Eleny","non-dropping-particle":"","parse-names":false,"suffix":""},{"dropping-particle":"","family":"Segelcke","given":"Astra","non-dropping-particle":"","parse-names":false,"suffix":""},{"dropping-particle":"","family":"Vinagre","given":"Rafael","non-dropping-particle":"","parse-names":false,"suffix":""},{"dropping-particle":"","family":"Yanes","given":"Julio A.","non-dropping-particle":"","parse-names":false,"suffix":""},{"dropping-particle":"","family":"Zhang","given":"Jingwen","non-dropping-particle":"","parse-names":false,"suffix":""},{"dropping-particle":"","family":"Zhang","given":"Xue Ying","non-dropping-particle":"","parse-names":false,"suffix":""},{"dropping-particle":"","family":"Finn","given":"David P.","non-dropping-particle":"","parse-names":false,"suffix":""},{"dropping-particle":"","family":"Rice","given":"Andrew S.C.","non-dropping-particle":"","parse-names":false,"suffix":""}],"container-title":"Pain","id":"ITEM-1","issued":{"date-parts":[["2020"]]},"page":"26-44","title":"Systematic review and meta-analysis of cannabinoids, cannabis-based medicines, and endocannabinoid system modulators tested for antinociceptive effects in animal models of injury-related or pathological persistent pain","type":"article-journal","volume":"Publish Ah"},"uris":["http://www.mendeley.com/documents/?uuid=b672f5fe-cb73-472c-8db1-a3c51ecde068"]}],"mendeley":{"formattedCitation":"[25]","plainTextFormattedCitation":"[25]","previouslyFormattedCitation":"[25]"},"properties":{"noteIndex":0},"schema":"https://github.com/citation-style-language/schema/raw/master/csl-citation.json"}</w:instrText>
      </w:r>
      <w:r w:rsidRPr="00A87961">
        <w:rPr>
          <w:rFonts w:cs="Times New Roman"/>
        </w:rPr>
        <w:fldChar w:fldCharType="separate"/>
      </w:r>
      <w:r w:rsidR="009B5F4E" w:rsidRPr="009B5F4E">
        <w:rPr>
          <w:rFonts w:cs="Times New Roman"/>
          <w:noProof/>
        </w:rPr>
        <w:t>[25]</w:t>
      </w:r>
      <w:r w:rsidRPr="00A87961">
        <w:rPr>
          <w:rFonts w:cs="Times New Roman"/>
        </w:rPr>
        <w:fldChar w:fldCharType="end"/>
      </w:r>
      <w:r w:rsidRPr="00A87961">
        <w:rPr>
          <w:rFonts w:cs="Times New Roman"/>
        </w:rPr>
        <w:t xml:space="preserve">. They posit this may be due to reporting of these terms not </w:t>
      </w:r>
      <w:r w:rsidR="00491DBD" w:rsidRPr="00A87961">
        <w:rPr>
          <w:rFonts w:cs="Times New Roman"/>
        </w:rPr>
        <w:t xml:space="preserve">previously </w:t>
      </w:r>
      <w:r w:rsidRPr="00A87961">
        <w:rPr>
          <w:rFonts w:cs="Times New Roman"/>
        </w:rPr>
        <w:t>being required by journals for publication</w:t>
      </w:r>
      <w:r w:rsidRPr="00A87961">
        <w:rPr>
          <w:rFonts w:cs="Times New Roman"/>
        </w:rPr>
        <w:fldChar w:fldCharType="begin" w:fldLock="1"/>
      </w:r>
      <w:r w:rsidR="00C416DA">
        <w:rPr>
          <w:rFonts w:cs="Times New Roman"/>
        </w:rPr>
        <w:instrText>ADDIN CSL_CITATION {"citationItems":[{"id":"ITEM-1","itemData":{"DOI":"10.1097/j.pain.0000000000002269","ISBN":"0000000000","ISSN":"0304-3959","abstract":"ABSTRACT We report a systematic review and meta-analysis of studies which assessed the antinociceptive efficacy of cannabinoids, cannabis-based medicines, and endocannabinoid system modulators on pain-associated behavioural outcomes in animal models of pathological or injury-related persistent pain. In April 2019, we systematically searched 3 online databases and used crowd science and machine learning to identify studies for inclusion. We calculated a standardised mean difference (SMD) effect size for each comparison and performed a random effects meta-analysis. We assessed the impact of study design characteristics and reporting of mitigations to reduce the risk of bias. We meta-analysed 374 studies in which 171 interventions were assessed for antinociceptive efficacy in rodent models of pathological or injury-related pain. Most experiments were conducted in male animals (86 %). Antinociceptive efficacy was most frequently measured by attenuation of hypersensitivity to evoked limb withdrawal. Selective CB1, CB2, non-selective cannabinoid receptor agonists (including delta-9-tetrahydrocannabinol; THC), and PPAR-alpha agonists (predominantly palmitoylethanolamide; PEA) significantly attenuated pain-associated behaviours in a broad range of inflammatory and neuropathic pain models. Fatty acid amide hydrolase (FAAH) inhibitors, monoacylglycerol lipase (MGL) inhibitors and cannabidiol (CBD) significantly attenuated pain-associated behaviours in neuropathic pain models but yielded mixed results in inflammatory pain models. The reporting of criteria to reduce the risk of bias was low, therefore the studies have an unclear risk of bias. The value of future studies could be enhanced by improving the reporting of methodological criteria, the clinical relevance of the models and behavioural assessments. Notwithstanding, the evidence supports the hypothesis of cannabinoid-induced analgesia.","author":[{"dropping-particle":"","family":"Soliman","given":"Nadia","non-dropping-particle":"","parse-names":false,"suffix":""},{"dropping-particle":"","family":"Haroutounian","given":"Simon","non-dropping-particle":"","parse-names":false,"suffix":""},{"dropping-particle":"","family":"Hohmann","given":"Andrea G.","non-dropping-particle":"","parse-names":false,"suffix":""},{"dropping-particle":"","family":"Krane","given":"Elliot","non-dropping-particle":"","parse-names":false,"suffix":""},{"dropping-particle":"","family":"Liao","given":"Jing","non-dropping-particle":"","parse-names":false,"suffix":""},{"dropping-particle":"","family":"Macleod","given":"Malcolm","non-dropping-particle":"","parse-names":false,"suffix":""},{"dropping-particle":"","family":"Segelcke","given":"Daniel","non-dropping-particle":"","parse-names":false,"suffix":""},{"dropping-particle":"","family":"Sena","given":"Christopher","non-dropping-particle":"","parse-names":false,"suffix":""},{"dropping-particle":"","family":"Thomas","given":"James","non-dropping-particle":"","parse-names":false,"suffix":""},{"dropping-particle":"","family":"Vollert","given":"Jan","non-dropping-particle":"","parse-names":false,"suffix":""},{"dropping-particle":"","family":"Wever","given":"Kimberley","non-dropping-particle":"","parse-names":false,"suffix":""},{"dropping-particle":"","family":"Alaverdyan","given":"Harutyun","non-dropping-particle":"","parse-names":false,"suffix":""},{"dropping-particle":"","family":"Barakat","given":"Ahmed","non-dropping-particle":"","parse-names":false,"suffix":""},{"dropping-particle":"","family":"Barthlow","given":"Tyler","non-dropping-particle":"","parse-names":false,"suffix":""},{"dropping-particle":"","family":"Bozer","given":"Amber L. Harris","non-dropping-particle":"","parse-names":false,"suffix":""},{"dropping-particle":"","family":"Davidson","given":"Alexander","non-dropping-particle":"","parse-names":false,"suffix":""},{"dropping-particle":"","family":"Diaz-delCastillo","given":"Marta","non-dropping-particle":"","parse-names":false,"suffix":""},{"dropping-particle":"","family":"Dolgorukova","given":"Antonina","non-dropping-particle":"","parse-names":false,"suffix":""},{"dropping-particle":"","family":"Ferdousi","given":"Mehnaz I.","non-dropping-particle":"","parse-names":false,"suffix":""},{"dropping-particle":"","family":"Healy","given":"Catherine","non-dropping-particle":"","parse-names":false,"suffix":""},{"dropping-particle":"","family":"Hong","given":"Simon","non-dropping-particle":"","parse-names":false,"suffix":""},{"dropping-particle":"","family":"Hopkins","given":"Mary","non-dropping-particle":"","parse-names":false,"suffix":""},{"dropping-particle":"","family":"James","given":"Arul","non-dropping-particle":"","parse-names":false,"suffix":""},{"dropping-particle":"","family":"Leake","given":"Hayley B.","non-dropping-particle":"","parse-names":false,"suffix":""},{"dropping-particle":"","family":"Malewicz","given":"Nathalie M.","non-dropping-particle":"","parse-names":false,"suffix":""},{"dropping-particle":"","family":"Mansfield","given":"Michael","non-dropping-particle":"","parse-names":false,"suffix":""},{"dropping-particle":"","family":"Mardon","given":"Amelia K.","non-dropping-particle":"","parse-names":false,"suffix":""},{"dropping-particle":"","family":"Mattimoe","given":"Darragh","non-dropping-particle":"","parse-names":false,"suffix":""},{"dropping-particle":"","family":"McLoone","given":"Daniel P.","non-dropping-particle":"","parse-names":false,"suffix":""},{"dropping-particle":"","family":"Noes-Holt","given":"Gith","non-dropping-particle":"","parse-names":false,"suffix":""},{"dropping-particle":"","family":"Pogatzki-Zahn","given":"Esther M.","non-dropping-particle":"","parse-names":false,"suffix":""},{"dropping-particle":"","family":"Power","given":"Emer","non-dropping-particle":"","parse-names":false,"suffix":""},{"dropping-particle":"","family":"Pradier","given":"Bruno","non-dropping-particle":"","parse-names":false,"suffix":""},{"dropping-particle":"","family":"Romanos-Sirakis","given":"Eleny","non-dropping-particle":"","parse-names":false,"suffix":""},{"dropping-particle":"","family":"Segelcke","given":"Astra","non-dropping-particle":"","parse-names":false,"suffix":""},{"dropping-particle":"","family":"Vinagre","given":"Rafael","non-dropping-particle":"","parse-names":false,"suffix":""},{"dropping-particle":"","family":"Yanes","given":"Julio A.","non-dropping-particle":"","parse-names":false,"suffix":""},{"dropping-particle":"","family":"Zhang","given":"Jingwen","non-dropping-particle":"","parse-names":false,"suffix":""},{"dropping-particle":"","family":"Zhang","given":"Xue Ying","non-dropping-particle":"","parse-names":false,"suffix":""},{"dropping-particle":"","family":"Finn","given":"David P.","non-dropping-particle":"","parse-names":false,"suffix":""},{"dropping-particle":"","family":"Rice","given":"Andrew S.C.","non-dropping-particle":"","parse-names":false,"suffix":""}],"container-title":"Pain","id":"ITEM-1","issued":{"date-parts":[["2020"]]},"page":"26-44","title":"Systematic review and meta-analysis of cannabinoids, cannabis-based medicines, and endocannabinoid system modulators tested for antinociceptive effects in animal models of injury-related or pathological persistent pain","type":"article-journal","volume":"Publish Ah"},"uris":["http://www.mendeley.com/documents/?uuid=b672f5fe-cb73-472c-8db1-a3c51ecde068"]}],"mendeley":{"formattedCitation":"[25]","plainTextFormattedCitation":"[25]","previouslyFormattedCitation":"[25]"},"properties":{"noteIndex":0},"schema":"https://github.com/citation-style-language/schema/raw/master/csl-citation.json"}</w:instrText>
      </w:r>
      <w:r w:rsidRPr="00A87961">
        <w:rPr>
          <w:rFonts w:cs="Times New Roman"/>
        </w:rPr>
        <w:fldChar w:fldCharType="separate"/>
      </w:r>
      <w:r w:rsidR="009B5F4E" w:rsidRPr="009B5F4E">
        <w:rPr>
          <w:rFonts w:cs="Times New Roman"/>
          <w:noProof/>
        </w:rPr>
        <w:t>[25]</w:t>
      </w:r>
      <w:r w:rsidRPr="00A87961">
        <w:rPr>
          <w:rFonts w:cs="Times New Roman"/>
        </w:rPr>
        <w:fldChar w:fldCharType="end"/>
      </w:r>
      <w:r w:rsidRPr="00A87961">
        <w:rPr>
          <w:rFonts w:cs="Times New Roman"/>
        </w:rPr>
        <w:t xml:space="preserve">. Future pre-clinical trials should be encouraged to follow the </w:t>
      </w:r>
      <w:r w:rsidR="00622C2C" w:rsidRPr="00A87961">
        <w:rPr>
          <w:rFonts w:cs="Times New Roman"/>
        </w:rPr>
        <w:t>‘</w:t>
      </w:r>
      <w:r w:rsidR="005A5AE1" w:rsidRPr="00A87961">
        <w:rPr>
          <w:rFonts w:cs="Times New Roman"/>
        </w:rPr>
        <w:t>Animal Research: Reporting of In Vivo Experiments</w:t>
      </w:r>
      <w:r w:rsidR="00622C2C" w:rsidRPr="00A87961">
        <w:rPr>
          <w:rFonts w:cs="Times New Roman"/>
        </w:rPr>
        <w:t>’</w:t>
      </w:r>
      <w:r w:rsidR="005A5AE1" w:rsidRPr="00A87961">
        <w:rPr>
          <w:rFonts w:cs="Times New Roman"/>
        </w:rPr>
        <w:t xml:space="preserve"> (ARRIVE) guidelines </w:t>
      </w:r>
      <w:r w:rsidRPr="00A87961">
        <w:rPr>
          <w:rFonts w:cs="Times New Roman"/>
        </w:rPr>
        <w:t xml:space="preserve">to improve the quality of evidence </w:t>
      </w:r>
      <w:r w:rsidR="00622C2C" w:rsidRPr="00A87961">
        <w:rPr>
          <w:rFonts w:cs="Times New Roman"/>
        </w:rPr>
        <w:t>generated</w:t>
      </w:r>
      <w:r w:rsidR="005A5AE1" w:rsidRPr="00A87961">
        <w:rPr>
          <w:rFonts w:cs="Times New Roman"/>
        </w:rPr>
        <w:fldChar w:fldCharType="begin" w:fldLock="1"/>
      </w:r>
      <w:r w:rsidR="00C416DA">
        <w:rPr>
          <w:rFonts w:cs="Times New Roman"/>
        </w:rPr>
        <w:instrText>ADDIN CSL_CITATION {"citationItems":[{"id":"ITEM-1","itemData":{"DOI":"10.1371/journal.pbio.3000410","ISSN":"15457885","PMID":"32663219","abstract":"Reproducible science requires transparent reporting. The ARRIVE guidelines (Animal Research: Reporting of In Vivo Experiments) were originally developed in 2010 to improve the reporting of animal research. They consist of a checklist of information to include in publications describing in vivo experiments to enable others to scrutinise the work adequately, evaluate its methodological rigour, and reproduce the methods and results. Despite considerable levels of endorsement by funders and journals over the years, adherence to the guidelines has been inconsistent, and the anticipated improvements in the quality of reporting in animal research publications have not been achieved. Here, we introduce ARRIVE 2.0. The guidelines have been updated and information reorganised to facilitate their use in practice. We used a Delphi exercise to prioritise and divide the items of the guidelines into 2 sets, the “ARRIVE Essential 10,” which constitutes the minimum requirement, and the “Recommended Set,” which describes the research context. This division facilitates improved reporting of animal research by supporting a stepwise approach to implementation. This helps journal editors and reviewers verify that the most important items are being reported in manuscripts. We have also developed the accompanying Explanation and Elaboration (E&amp;E) document, which serves (1) to explain the rationale behind each item in the guidelines, (2) to clarify key concepts, and (3) to provide illustrative examples. We aim, through these changes, to help ensure that researchers, reviewers, and journal editors are better equipped to improve the rigour and transparency of the scientific process and thus reproducibility.","author":[{"dropping-particle":"","family":"Sert","given":"Nathalie Percie","non-dropping-particle":"du","parse-names":false,"suffix":""},{"dropping-particle":"","family":"Hurst","given":"Viki","non-dropping-particle":"","parse-names":false,"suffix":""},{"dropping-particle":"","family":"Ahluwalia","given":"Amrita","non-dropping-particle":"","parse-names":false,"suffix":""},{"dropping-particle":"","family":"Alam","given":"Sabina","non-dropping-particle":"","parse-names":false,"suffix":""},{"dropping-particle":"","family":"Avey","given":"Marc T.","non-dropping-particle":"","parse-names":false,"suffix":""},{"dropping-particle":"","family":"Baker","given":"Monya","non-dropping-particle":"","parse-names":false,"suffix":""},{"dropping-particle":"","family":"Browne","given":"William J.","non-dropping-particle":"","parse-names":false,"suffix":""},{"dropping-particle":"","family":"Clark","given":"Alejandra","non-dropping-particle":"","parse-names":false,"suffix":""},{"dropping-particle":"","family":"Cuthill","given":"Innes C.","non-dropping-particle":"","parse-names":false,"suffix":""},{"dropping-particle":"","family":"Dirnagl","given":"Ulrich","non-dropping-particle":"","parse-names":false,"suffix":""},{"dropping-particle":"","family":"Emerson","given":"Michael","non-dropping-particle":"","parse-names":false,"suffix":""},{"dropping-particle":"","family":"Garner","given":"Paul","non-dropping-particle":"","parse-names":false,"suffix":""},{"dropping-particle":"","family":"Holgate","given":"Stephen T.","non-dropping-particle":"","parse-names":false,"suffix":""},{"dropping-particle":"","family":"Howells","given":"David W.","non-dropping-particle":"","parse-names":false,"suffix":""},{"dropping-particle":"","family":"Karp","given":"Natasha A.","non-dropping-particle":"","parse-names":false,"suffix":""},{"dropping-particle":"","family":"Lazic","given":"Stanley E.","non-dropping-particle":"","parse-names":false,"suffix":""},{"dropping-particle":"","family":"Lidster","given":"Katie","non-dropping-particle":"","parse-names":false,"suffix":""},{"dropping-particle":"","family":"MacCallum","given":"Catriona J.","non-dropping-particle":"","parse-names":false,"suffix":""},{"dropping-particle":"","family":"Macleod","given":"Malcolm","non-dropping-particle":"","parse-names":false,"suffix":""},{"dropping-particle":"","family":"Pearl","given":"Esther J.","non-dropping-particle":"","parse-names":false,"suffix":""},{"dropping-particle":"","family":"Petersen","given":"Ole H.","non-dropping-particle":"","parse-names":false,"suffix":""},{"dropping-particle":"","family":"Rawle","given":"Frances","non-dropping-particle":"","parse-names":false,"suffix":""},{"dropping-particle":"","family":"Reynolds","given":"Penny","non-dropping-particle":"","parse-names":false,"suffix":""},{"dropping-particle":"","family":"Rooney","given":"Kieron","non-dropping-particle":"","parse-names":false,"suffix":""},{"dropping-particle":"","family":"Sena","given":"Emily S.","non-dropping-particle":"","parse-names":false,"suffix":""},{"dropping-particle":"","family":"Silberberg","given":"Shai D.","non-dropping-particle":"","parse-names":false,"suffix":""},{"dropping-particle":"","family":"Steckler","given":"Thomas","non-dropping-particle":"","parse-names":false,"suffix":""},{"dropping-particle":"","family":"Würbel","given":"Hanno","non-dropping-particle":"","parse-names":false,"suffix":""}],"container-title":"PLoS Biology","id":"ITEM-1","issue":"7","issued":{"date-parts":[["2020","7","1"]]},"page":"e3000410","publisher":"Public Library of Science","title":"The arrive guidelines 2.0: Updated guidelines for reporting animal research","type":"article-journal","volume":"18"},"uris":["http://www.mendeley.com/documents/?uuid=5da0b96e-262e-3e7e-a0f5-5c4b5f93ccc8"]}],"mendeley":{"formattedCitation":"[53]","plainTextFormattedCitation":"[53]","previouslyFormattedCitation":"[53]"},"properties":{"noteIndex":0},"schema":"https://github.com/citation-style-language/schema/raw/master/csl-citation.json"}</w:instrText>
      </w:r>
      <w:r w:rsidR="005A5AE1" w:rsidRPr="00A87961">
        <w:rPr>
          <w:rFonts w:cs="Times New Roman"/>
        </w:rPr>
        <w:fldChar w:fldCharType="separate"/>
      </w:r>
      <w:r w:rsidR="009B5F4E" w:rsidRPr="009B5F4E">
        <w:rPr>
          <w:rFonts w:cs="Times New Roman"/>
          <w:noProof/>
        </w:rPr>
        <w:t>[53]</w:t>
      </w:r>
      <w:r w:rsidR="005A5AE1" w:rsidRPr="00A87961">
        <w:rPr>
          <w:rFonts w:cs="Times New Roman"/>
        </w:rPr>
        <w:fldChar w:fldCharType="end"/>
      </w:r>
      <w:r w:rsidRPr="00A87961">
        <w:rPr>
          <w:rFonts w:cs="Times New Roman"/>
        </w:rPr>
        <w:t xml:space="preserve">. </w:t>
      </w:r>
    </w:p>
    <w:p w14:paraId="14B459F8" w14:textId="77777777" w:rsidR="00AF0600" w:rsidRPr="00A87961" w:rsidRDefault="00AF0600" w:rsidP="0011737C">
      <w:pPr>
        <w:spacing w:line="480" w:lineRule="auto"/>
        <w:rPr>
          <w:rFonts w:cs="Times New Roman"/>
          <w:strike/>
        </w:rPr>
      </w:pPr>
    </w:p>
    <w:p w14:paraId="3E4DFE28" w14:textId="4113CD85" w:rsidR="00932692" w:rsidRPr="00A87961" w:rsidRDefault="00581195" w:rsidP="0011737C">
      <w:pPr>
        <w:spacing w:line="480" w:lineRule="auto"/>
        <w:rPr>
          <w:rFonts w:cs="Times New Roman"/>
          <w:b/>
          <w:bCs/>
        </w:rPr>
      </w:pPr>
      <w:r w:rsidRPr="00A87961">
        <w:rPr>
          <w:rFonts w:cs="Times New Roman"/>
          <w:b/>
          <w:bCs/>
        </w:rPr>
        <w:t>Opportunities for translational clinical trials</w:t>
      </w:r>
    </w:p>
    <w:p w14:paraId="6560BBCA" w14:textId="77777777" w:rsidR="00581195" w:rsidRPr="00A87961" w:rsidRDefault="00581195" w:rsidP="0011737C">
      <w:pPr>
        <w:spacing w:line="480" w:lineRule="auto"/>
        <w:rPr>
          <w:rFonts w:cs="Times New Roman"/>
        </w:rPr>
      </w:pPr>
    </w:p>
    <w:p w14:paraId="6B814593" w14:textId="1492C136" w:rsidR="00D1081C" w:rsidRPr="00A87961" w:rsidRDefault="00D1081C" w:rsidP="0011737C">
      <w:pPr>
        <w:spacing w:line="480" w:lineRule="auto"/>
        <w:rPr>
          <w:rFonts w:cs="Times New Roman"/>
        </w:rPr>
      </w:pPr>
      <w:r w:rsidRPr="00A87961">
        <w:rPr>
          <w:rFonts w:cs="Times New Roman"/>
        </w:rPr>
        <w:t xml:space="preserve">The beneficial effects of cannabinoid agonists on outcomes assessing pain and locomotor function in animal models of SCI </w:t>
      </w:r>
      <w:r w:rsidR="00E76AC4" w:rsidRPr="00A87961">
        <w:rPr>
          <w:rFonts w:cs="Times New Roman"/>
        </w:rPr>
        <w:t xml:space="preserve">strengthens </w:t>
      </w:r>
      <w:r w:rsidRPr="00A87961">
        <w:rPr>
          <w:rFonts w:cs="Times New Roman"/>
        </w:rPr>
        <w:t xml:space="preserve">the argument that there may be scope for the endo-cannabinoid system to be harnessed in the treatment of motor and pain related symptoms seen following </w:t>
      </w:r>
      <w:r w:rsidR="00622C2C" w:rsidRPr="00A87961">
        <w:rPr>
          <w:rFonts w:cs="Times New Roman"/>
        </w:rPr>
        <w:t xml:space="preserve">human </w:t>
      </w:r>
      <w:r w:rsidRPr="00A87961">
        <w:rPr>
          <w:rFonts w:cs="Times New Roman"/>
        </w:rPr>
        <w:t xml:space="preserve">SCI. </w:t>
      </w:r>
      <w:r w:rsidR="00581195" w:rsidRPr="00A87961">
        <w:rPr>
          <w:rFonts w:cs="Times New Roman"/>
        </w:rPr>
        <w:t>Despite many of the drugs discussed in this systematic review not being licensed for clinical use, there are now well tolerated cannabinoid agonists</w:t>
      </w:r>
      <w:r w:rsidR="00622C2C" w:rsidRPr="00A87961">
        <w:rPr>
          <w:rFonts w:cs="Times New Roman"/>
        </w:rPr>
        <w:t xml:space="preserve"> used</w:t>
      </w:r>
      <w:r w:rsidR="00581195" w:rsidRPr="00A87961">
        <w:rPr>
          <w:rFonts w:cs="Times New Roman"/>
        </w:rPr>
        <w:t xml:space="preserve"> in clinical practice. </w:t>
      </w:r>
      <w:r w:rsidR="00454A7B" w:rsidRPr="00A87961">
        <w:rPr>
          <w:rFonts w:cs="Times New Roman"/>
        </w:rPr>
        <w:t xml:space="preserve">These drugs may represent opportunities for translational clinical trials, bypassing the lengthy and costly process of licensing novel drugs. </w:t>
      </w:r>
      <w:r w:rsidR="00581195" w:rsidRPr="00A87961">
        <w:rPr>
          <w:rFonts w:cs="Times New Roman"/>
        </w:rPr>
        <w:t xml:space="preserve">Sativex and </w:t>
      </w:r>
      <w:proofErr w:type="spellStart"/>
      <w:r w:rsidR="00581195" w:rsidRPr="00A87961">
        <w:rPr>
          <w:rFonts w:cs="Times New Roman"/>
        </w:rPr>
        <w:t>Epidolex</w:t>
      </w:r>
      <w:proofErr w:type="spellEnd"/>
      <w:r w:rsidR="00581195" w:rsidRPr="00A87961">
        <w:rPr>
          <w:rFonts w:cs="Times New Roman"/>
        </w:rPr>
        <w:t xml:space="preserve"> are two such drugs. Sativex, an </w:t>
      </w:r>
      <w:proofErr w:type="spellStart"/>
      <w:r w:rsidR="00581195" w:rsidRPr="00A87961">
        <w:rPr>
          <w:rFonts w:cs="Times New Roman"/>
        </w:rPr>
        <w:t>oromucosal</w:t>
      </w:r>
      <w:proofErr w:type="spellEnd"/>
      <w:r w:rsidR="00581195" w:rsidRPr="00A87961">
        <w:rPr>
          <w:rFonts w:cs="Times New Roman"/>
        </w:rPr>
        <w:t xml:space="preserve"> spray containing </w:t>
      </w:r>
      <w:proofErr w:type="spellStart"/>
      <w:r w:rsidR="00581195" w:rsidRPr="00A87961">
        <w:rPr>
          <w:rFonts w:cs="Times New Roman"/>
        </w:rPr>
        <w:t>tetrahydrocannbinol</w:t>
      </w:r>
      <w:proofErr w:type="spellEnd"/>
      <w:r w:rsidR="00581195" w:rsidRPr="00A87961">
        <w:rPr>
          <w:rFonts w:cs="Times New Roman"/>
        </w:rPr>
        <w:t xml:space="preserve"> and cannabi</w:t>
      </w:r>
      <w:r w:rsidR="00D92B17" w:rsidRPr="00A87961">
        <w:rPr>
          <w:rFonts w:cs="Times New Roman"/>
        </w:rPr>
        <w:t>diol</w:t>
      </w:r>
      <w:r w:rsidR="00581195" w:rsidRPr="00A87961">
        <w:rPr>
          <w:rFonts w:cs="Times New Roman"/>
        </w:rPr>
        <w:t xml:space="preserve"> has been licensed in the United Kingdom since 2010 for the treatment of spasticity and other symptoms of multiple sclerosis</w:t>
      </w:r>
      <w:r w:rsidR="00581195" w:rsidRPr="00A87961">
        <w:rPr>
          <w:rFonts w:cs="Times New Roman"/>
        </w:rPr>
        <w:fldChar w:fldCharType="begin" w:fldLock="1"/>
      </w:r>
      <w:r w:rsidR="00C416DA">
        <w:rPr>
          <w:rFonts w:cs="Times New Roman"/>
        </w:rPr>
        <w:instrText>ADDIN CSL_CITATION {"citationItems":[{"id":"ITEM-1","itemData":{"ISBN":"1744-8360","abstract":"Sativex() (nabiximols, USAN name) oromucosal spray contains the two main active constituents of Cannabis sativa, tetrahydrocannabinol and cannabidiol in a 1:1 molecular ratio, and acts as an endocannabinoid system modulator. Randomized, controlled clinical trials of Sativex as add-on therapy provide conclusive evidence of its efficacy in the treatment of more than 1500 patients with multiple sclerosis (MS)-related resistant spasticity. The primary end point in clinical trials was the mean change from baseline in the 0-10 numerical rating scale (NRS) spasticity score. The first pivotal clinical trial included 189 patients treated for 6 weeks with Sativex (n = 124) or placebo (n = 65). At study end, there was a significant reduction from baseline in patient-recorded NRS spasticity scores with Sativex compared with placebo (-1.18 vs -0.63; p = 0.048). In the second pivotal trial, 337 patients with MS-related resistant spasticity received Sativex (n = 167) or placebo (n = 170) over a 15-week period. In the per-protocol analysis (79% of the patient population), mean baseline NRS spasticity score was reduced significantly in patients receiving Sativex compared with placebo: -1.3 versus -0.8 points (p = 0.035). The third pivotal clinical trial, evaluating the sustained efficacy of Sativex, had a two-phase study design: in phase A (n = 572), 47% of patients were initial responders (improvement &gt;= 20%) after 4 weeks of single-blind Sativex treatment who then entered phase B, a randomized, double-blind, 12-week placebo comparison. At the end of phase B, the change in NRS spasticity score improved by a further 0.04 units in initial responders treated with Sativex, but decreased by 0.81 units in placebo recipients (p = 0.0002). Significant improvements in quality-of-life measures from baseline to week 16 were also observed in patients receiving Sativex. The most common treatment-related adverse events with Sativex were mild-to moderate and transient episodes of dizziness, fatigue or somnolence. Sativex does not exhibit the side effects typically associated with recreational cannabis use and there are no signs of drug tolerance or withdrawal syndrome, or any evidence of drug misuse or abuse. Sativex oromucosal spray appears to be a useful and welcomed option for the management of resistant spasticity in MS patients. Although the management of MS has been improved by the availability of disease-modifying agents that target the underlying pathophysiological processes …","author":[{"dropping-particle":"","family":"Vermersch","given":"P","non-dropping-particle":"","parse-names":false,"suffix":""}],"container-title":"Expert Review of Neurotherapeutics ","id":"ITEM-1","issue":"4 Suppl ","issued":{"date-parts":[["2011"]]},"language":"English ","note":"Vermersch, Patrick","page":"15-19","publisher-place":"Vermersch, Patrick. Centre Hospitalier Regional Universitaire de Lille, Lille, France. patrick.vermersch@chru-lille.fr. ","title":"Sativex() (tetrahydrocannabinol + cannabidiol), an endocannabinoid system modulator: basic features and main clinical data ","type":"article","volume":"11 "},"uris":["http://www.mendeley.com/documents/?uuid=a9013340-39d2-4e6c-9f07-e9b3bfe9248c"]}],"mendeley":{"formattedCitation":"[54]","plainTextFormattedCitation":"[54]","previouslyFormattedCitation":"[54]"},"properties":{"noteIndex":0},"schema":"https://github.com/citation-style-language/schema/raw/master/csl-citation.json"}</w:instrText>
      </w:r>
      <w:r w:rsidR="00581195" w:rsidRPr="00A87961">
        <w:rPr>
          <w:rFonts w:cs="Times New Roman"/>
        </w:rPr>
        <w:fldChar w:fldCharType="separate"/>
      </w:r>
      <w:r w:rsidR="009B5F4E" w:rsidRPr="009B5F4E">
        <w:rPr>
          <w:rFonts w:cs="Times New Roman"/>
          <w:noProof/>
        </w:rPr>
        <w:t>[54]</w:t>
      </w:r>
      <w:r w:rsidR="00581195" w:rsidRPr="00A87961">
        <w:rPr>
          <w:rFonts w:cs="Times New Roman"/>
        </w:rPr>
        <w:fldChar w:fldCharType="end"/>
      </w:r>
      <w:r w:rsidR="00581195" w:rsidRPr="00A87961">
        <w:rPr>
          <w:rFonts w:cs="Times New Roman"/>
        </w:rPr>
        <w:t xml:space="preserve">. </w:t>
      </w:r>
      <w:proofErr w:type="spellStart"/>
      <w:r w:rsidR="00581195" w:rsidRPr="00A87961">
        <w:rPr>
          <w:rFonts w:cs="Times New Roman"/>
        </w:rPr>
        <w:t>Epidolex</w:t>
      </w:r>
      <w:proofErr w:type="spellEnd"/>
      <w:r w:rsidR="00581195" w:rsidRPr="00A87961">
        <w:rPr>
          <w:rFonts w:cs="Times New Roman"/>
        </w:rPr>
        <w:t xml:space="preserve">, a 99% pure oral CBD </w:t>
      </w:r>
      <w:r w:rsidR="00581195" w:rsidRPr="00A87961">
        <w:rPr>
          <w:rFonts w:cs="Times New Roman"/>
        </w:rPr>
        <w:lastRenderedPageBreak/>
        <w:t>extract, was the first of its kind to be licensed by the FDA in June 2018 for the treatment of Lennox-</w:t>
      </w:r>
      <w:proofErr w:type="spellStart"/>
      <w:r w:rsidR="00581195" w:rsidRPr="00A87961">
        <w:rPr>
          <w:rFonts w:cs="Times New Roman"/>
        </w:rPr>
        <w:t>Gastaut</w:t>
      </w:r>
      <w:proofErr w:type="spellEnd"/>
      <w:r w:rsidR="00581195" w:rsidRPr="00A87961">
        <w:rPr>
          <w:rFonts w:cs="Times New Roman"/>
        </w:rPr>
        <w:t xml:space="preserve"> syndrome, </w:t>
      </w:r>
      <w:proofErr w:type="spellStart"/>
      <w:r w:rsidR="00581195" w:rsidRPr="00A87961">
        <w:rPr>
          <w:rFonts w:cs="Times New Roman"/>
        </w:rPr>
        <w:t>Dravet</w:t>
      </w:r>
      <w:proofErr w:type="spellEnd"/>
      <w:r w:rsidR="00581195" w:rsidRPr="00A87961">
        <w:rPr>
          <w:rFonts w:cs="Times New Roman"/>
        </w:rPr>
        <w:t xml:space="preserve"> syndrome and other severe forms of epilepsy</w:t>
      </w:r>
      <w:r w:rsidR="00581195" w:rsidRPr="00A87961">
        <w:rPr>
          <w:rFonts w:cs="Times New Roman"/>
        </w:rPr>
        <w:fldChar w:fldCharType="begin" w:fldLock="1"/>
      </w:r>
      <w:r w:rsidR="00C416DA">
        <w:rPr>
          <w:rFonts w:cs="Times New Roman"/>
        </w:rPr>
        <w:instrText>ADDIN CSL_CITATION {"citationItems":[{"id":"ITEM-1","itemData":{"DOI":"10.12688/f1000research.16515.1","ISSN":"1759796X","PMID":"30854190","abstract":"Medically refractory epilepsy remains an area of intense clinical and scientific interest since a significant porportion of patients continue to suffer from debilitating seizures despite available therapies. In this setting, recent studies have focused on assessing the benefits of cannabidiol (CBD)-enriched cannabis, a plant based product without psychoactive properties which has been shown to decrease seizure frequency in animal models. More recently, several randomized controlled and open label trials have studied the effects of Epidiolex, a 99% pure oral CBD extract, on patients with refractory epilepsy. This in turn has led to the FDA approval of and more recently, to the Drug Enforcement Administration’s placement of Epidiolex into schedule V of the Controlled Substances Act (CSA). In this review, we summarize the major findings of several recent large-scale studies using this product with a focus on its adverse effects.","author":[{"dropping-particle":"","family":"Sekar","given":"Krithiga","non-dropping-particle":"","parse-names":false,"suffix":""},{"dropping-particle":"","family":"Pack","given":"Alison","non-dropping-particle":"","parse-names":false,"suffix":""}],"container-title":"F1000Research","id":"ITEM-1","issued":{"date-parts":[["2019"]]},"publisher":"F1000 Research Ltd","title":"Epidiolex as adjunct therapy for treatment of refractory epilepsy: A comprehensive review with a focus on adverse effects [version 1; referees: 3 approved]","type":"article","volume":"8"},"uris":["http://www.mendeley.com/documents/?uuid=6185f383-2809-313c-9e23-a9dd2b5c10d6"]}],"mendeley":{"formattedCitation":"[55]","plainTextFormattedCitation":"[55]","previouslyFormattedCitation":"[55]"},"properties":{"noteIndex":0},"schema":"https://github.com/citation-style-language/schema/raw/master/csl-citation.json"}</w:instrText>
      </w:r>
      <w:r w:rsidR="00581195" w:rsidRPr="00A87961">
        <w:rPr>
          <w:rFonts w:cs="Times New Roman"/>
        </w:rPr>
        <w:fldChar w:fldCharType="separate"/>
      </w:r>
      <w:r w:rsidR="009B5F4E" w:rsidRPr="009B5F4E">
        <w:rPr>
          <w:rFonts w:cs="Times New Roman"/>
          <w:noProof/>
        </w:rPr>
        <w:t>[55]</w:t>
      </w:r>
      <w:r w:rsidR="00581195" w:rsidRPr="00A87961">
        <w:rPr>
          <w:rFonts w:cs="Times New Roman"/>
        </w:rPr>
        <w:fldChar w:fldCharType="end"/>
      </w:r>
      <w:r w:rsidR="00581195" w:rsidRPr="00A87961">
        <w:rPr>
          <w:rFonts w:cs="Times New Roman"/>
        </w:rPr>
        <w:t xml:space="preserve">. A further three synthetic cannabis-related drug products have </w:t>
      </w:r>
      <w:r w:rsidR="00622C2C" w:rsidRPr="00A87961">
        <w:rPr>
          <w:rFonts w:cs="Times New Roman"/>
        </w:rPr>
        <w:t xml:space="preserve">since </w:t>
      </w:r>
      <w:r w:rsidR="00581195" w:rsidRPr="00A87961">
        <w:rPr>
          <w:rFonts w:cs="Times New Roman"/>
        </w:rPr>
        <w:t xml:space="preserve">been FDA approved, namely </w:t>
      </w:r>
      <w:proofErr w:type="spellStart"/>
      <w:r w:rsidR="00581195" w:rsidRPr="00A87961">
        <w:rPr>
          <w:rFonts w:cs="Times New Roman"/>
        </w:rPr>
        <w:t>Marinol</w:t>
      </w:r>
      <w:proofErr w:type="spellEnd"/>
      <w:r w:rsidR="00581195" w:rsidRPr="00A87961">
        <w:rPr>
          <w:rFonts w:cs="Times New Roman"/>
        </w:rPr>
        <w:t xml:space="preserve"> (dronabinol), </w:t>
      </w:r>
      <w:proofErr w:type="spellStart"/>
      <w:r w:rsidR="00581195" w:rsidRPr="00A87961">
        <w:rPr>
          <w:rFonts w:cs="Times New Roman"/>
        </w:rPr>
        <w:t>Syndros</w:t>
      </w:r>
      <w:proofErr w:type="spellEnd"/>
      <w:r w:rsidR="00581195" w:rsidRPr="00A87961">
        <w:rPr>
          <w:rFonts w:cs="Times New Roman"/>
        </w:rPr>
        <w:t xml:space="preserve"> (dronabinol), and </w:t>
      </w:r>
      <w:proofErr w:type="spellStart"/>
      <w:r w:rsidR="00581195" w:rsidRPr="00A87961">
        <w:rPr>
          <w:rFonts w:cs="Times New Roman"/>
        </w:rPr>
        <w:t>Cesamet</w:t>
      </w:r>
      <w:proofErr w:type="spellEnd"/>
      <w:r w:rsidR="00581195" w:rsidRPr="00A87961">
        <w:rPr>
          <w:rFonts w:cs="Times New Roman"/>
        </w:rPr>
        <w:t xml:space="preserve"> (nabilone). </w:t>
      </w:r>
      <w:r w:rsidR="00622C2C" w:rsidRPr="00A87961">
        <w:rPr>
          <w:rFonts w:cs="Times New Roman"/>
        </w:rPr>
        <w:t>Existing clinical data from</w:t>
      </w:r>
      <w:r w:rsidR="00581195" w:rsidRPr="00A87961">
        <w:rPr>
          <w:rFonts w:cs="Times New Roman"/>
        </w:rPr>
        <w:t xml:space="preserve"> Sativex and </w:t>
      </w:r>
      <w:proofErr w:type="spellStart"/>
      <w:r w:rsidR="00581195" w:rsidRPr="00A87961">
        <w:rPr>
          <w:rFonts w:cs="Times New Roman"/>
        </w:rPr>
        <w:t>Epidolex</w:t>
      </w:r>
      <w:proofErr w:type="spellEnd"/>
      <w:r w:rsidR="00581195" w:rsidRPr="00A87961">
        <w:rPr>
          <w:rFonts w:cs="Times New Roman"/>
        </w:rPr>
        <w:t xml:space="preserve"> found diarrhoea, fatigue, somnolence, vomiting and pyrexia to be common adverse events but otherwise noted the drugs to be well tolerated</w:t>
      </w:r>
      <w:r w:rsidR="006C70DA" w:rsidRPr="00A87961">
        <w:rPr>
          <w:rFonts w:cs="Times New Roman"/>
        </w:rPr>
        <w:fldChar w:fldCharType="begin" w:fldLock="1"/>
      </w:r>
      <w:r w:rsidR="00C416DA">
        <w:rPr>
          <w:rFonts w:cs="Times New Roman"/>
        </w:rPr>
        <w:instrText>ADDIN CSL_CITATION {"citationItems":[{"id":"ITEM-1","itemData":{"ISBN":"1744-8360","abstract":"Sativex() (nabiximols, USAN name) oromucosal spray contains the two main active constituents of Cannabis sativa, tetrahydrocannabinol and cannabidiol in a 1:1 molecular ratio, and acts as an endocannabinoid system modulator. Randomized, controlled clinical trials of Sativex as add-on therapy provide conclusive evidence of its efficacy in the treatment of more than 1500 patients with multiple sclerosis (MS)-related resistant spasticity. The primary end point in clinical trials was the mean change from baseline in the 0-10 numerical rating scale (NRS) spasticity score. The first pivotal clinical trial included 189 patients treated for 6 weeks with Sativex (n = 124) or placebo (n = 65). At study end, there was a significant reduction from baseline in patient-recorded NRS spasticity scores with Sativex compared with placebo (-1.18 vs -0.63; p = 0.048). In the second pivotal trial, 337 patients with MS-related resistant spasticity received Sativex (n = 167) or placebo (n = 170) over a 15-week period. In the per-protocol analysis (79% of the patient population), mean baseline NRS spasticity score was reduced significantly in patients receiving Sativex compared with placebo: -1.3 versus -0.8 points (p = 0.035). The third pivotal clinical trial, evaluating the sustained efficacy of Sativex, had a two-phase study design: in phase A (n = 572), 47% of patients were initial responders (improvement &gt;= 20%) after 4 weeks of single-blind Sativex treatment who then entered phase B, a randomized, double-blind, 12-week placebo comparison. At the end of phase B, the change in NRS spasticity score improved by a further 0.04 units in initial responders treated with Sativex, but decreased by 0.81 units in placebo recipients (p = 0.0002). Significant improvements in quality-of-life measures from baseline to week 16 were also observed in patients receiving Sativex. The most common treatment-related adverse events with Sativex were mild-to moderate and transient episodes of dizziness, fatigue or somnolence. Sativex does not exhibit the side effects typically associated with recreational cannabis use and there are no signs of drug tolerance or withdrawal syndrome, or any evidence of drug misuse or abuse. Sativex oromucosal spray appears to be a useful and welcomed option for the management of resistant spasticity in MS patients. Although the management of MS has been improved by the availability of disease-modifying agents that target the underlying pathophysiological processes …","author":[{"dropping-particle":"","family":"Vermersch","given":"P","non-dropping-particle":"","parse-names":false,"suffix":""}],"container-title":"Expert Review of Neurotherapeutics ","id":"ITEM-1","issue":"4 Suppl ","issued":{"date-parts":[["2011"]]},"language":"English ","note":"Vermersch, Patrick","page":"15-19","publisher-place":"Vermersch, Patrick. Centre Hospitalier Regional Universitaire de Lille, Lille, France. patrick.vermersch@chru-lille.fr. ","title":"Sativex() (tetrahydrocannabinol + cannabidiol), an endocannabinoid system modulator: basic features and main clinical data ","type":"article","volume":"11 "},"uris":["http://www.mendeley.com/documents/?uuid=a9013340-39d2-4e6c-9f07-e9b3bfe9248c"]},{"id":"ITEM-2","itemData":{"DOI":"http://dx.doi.org/10.1056/NEJMoa1611618","ISBN":"1533-4406","abstract":"BACKGROUND The Dravet syndrome is a complex childhood epilepsy disorder that is associated with drug-resistant seizures and a high mortality rate. We studied cannabidiol for the treatment of drug-resistant seizures in the Dravet syndrome. METHODS In this double-blind, placebo-controlled trial, we randomly assigned 120 children and young adults with the Dravet syndrome and drug-resistant seizures to receive either cannabidiol oral solution at a dose of 20 mg per kilogram of body weight per day or placebo, in addition to standard antiepileptic treatment. The primary end point was the change in convulsive-seizure frequency over a 14-week treatment period, as compared with a 4-week baseline period. RESULTS The median frequency of convulsive seizures per month decreased from 12.4 to 5.9 with cannabidiol, as compared with a decrease from 14.9 to 14.1 with placebo (adjusted median difference between the cannabidiol group and the placebo group in change in seizure frequency, -22.8 percentage points; 95% confidence interval [CI], -41.1 to -5.4; P = 0.01). The percentage of patients who had at least a 50% reduction in convulsiveseizure frequency was 43% with cannabidiol and 27% with placebo (odds ratio, 2.00; 95% CI, 0.93 to 4.30; P = 0.08). The patient's overall condition improved by at least one category on the seven-category Caregiver Global Impression of Change scale in 62% of the cannabidiol group as compared with 34% of the placebo group (P = 0.02). The frequency of total seizures of all types was significantly reduced with cannabidiol (P = 0.03), but there was no significant reduction in nonconvulsive seizures. The percentage of patients who became seizure-free was 5% with cannabidiol and 0% with placebo (P = 0.08). Adverse events that occurred more frequently in the cannabidiol group than in the placebo group included diarrhea, vomiting, fatigue, pyrexia, somnolence, and abnormal results on liver-function tests. There were more withdrawals from the trial in the cannabidiol group. CONCLUSIONS Among patients with the Dravet syndrome, cannabidiol resulted in a greater reduction in convulsive-seizure frequency than placebo and was associated with higher rates of adverse events. (Funded by GW Pharmaceuticals; ClinicalTrials.gov number, NCT02091375.). © Copyright 2017 Massachusetts Medical Society. All rights reserved. ","author":[{"dropping-particle":"","family":"Devinsky","given":"O","non-dropping-particle":"","parse-names":false,"suffix":""},{"dropping-particle":"","family":"Cross","given":"J H","non-dropping-particle":"","parse-names":false,"suffix":""},{"dropping-particle":"","family":"Laux","given":"L","non-dropping-particle":"","parse-names":false,"suffix":""},{"dropping-particle":"","family":"Marsh","given":"E","non-dropping-particle":"","parse-names":false,"suffix":""},{"dropping-particle":"","family":"Miller","given":"I","non-dropping-particle":"","parse-names":false,"suffix":""},{"dropping-particle":"","family":"Nabbout","given":"R","non-dropping-particle":"","parse-names":false,"suffix":""},{"dropping-particle":"","family":"Scheffer","given":"I E","non-dropping-particle":"","parse-names":false,"suffix":""},{"dropping-particle":"","family":"Thiele","given":"E A","non-dropping-particle":"","parse-names":false,"suffix":""},{"dropping-particle":"","family":"Wright","given":"S","non-dropping-particle":"","parse-names":false,"suffix":""},{"dropping-particle":"","family":"Cannabidiol in Dravet Syndrome Study","given":"Group","non-dropping-particle":"","parse-names":false,"suffix":""}],"container-title":"New England Journal of Medicine ","id":"ITEM-2","issue":"21 ","issued":{"date-parts":[["2017"]]},"language":"English ","note":"From Duplicate 1 (Trial of Cannabidiol for Drug-Resistant Seizures in the Dravet Syndrome - Devinsky, O; Cross, J H; Laux, L; Marsh, E; Miller, I; Nabbout, R; Scheffer, I E; Thiele, E A; Wright, S; Cannabidiol in Dravet Syndrome Study, Group)\n\nDevinsky, Orrin\n\nCross, J Helen\n\nLaux, Linda\n\nMarsh, Eric\n\nMiller, Ian\n\nNabbout, Rima\n\nScheffer, Ingrid E\n\nThiele, Elizabeth A\n\nWright, Stephen\n\nCannabidiol in Dravet Syndrome Study Group\n\nCances C\n\nDeSaint Martin A\n\nVilleneuve N\n\nMazurkiewicz-Beldzinska M\n\nZolnowska M\n\nAppleton R\n\nChin R\n\nEltze C\n\nZuberi S\n\nBarron T\n\nBluvstein J\n\nClark GD\n\nDavis RG\n\nFilloux FM\n\nFlamini R\n\nFriedman D\n\nJoshi C\n\nPatel A\n\nWilfong A\n\nWirrell EC\n\nWong M\n\nFrench J\n\nDlugos D\n\nKessler S\n\nSadleir L\n\nSullivan J\n\nChecketts D\n\nGuy G\n\nRoberts C\n\nOsborn K\n\nLauder H\n\nComment in (CIN)\n\nFrom Duplicate 2 (Trial of cannabidiol for drug-resistant seizures in the dravet syndrome - Devinsky, O; Cross, J H; Laux, L; Marsh, E; Miller, I; Nabbout, R; Scheffer, I E; Thiele, E A; Wright, S)\n\nEmbase","page":"2011-2020","publisher-place":"(Devinsky) New York University, Langone Comprehensive Epilepsy Center, New York, United States (Cross) University College London, Great Ormond Street Institute of Child Health, London, United Kingdom (Wright) GW Pharmaceuticals, London, United Kingdom (La","title":"Trial of cannabidiol for drug-resistant seizures in the dravet syndrome ","type":"article","volume":"376 "},"uris":["http://www.mendeley.com/documents/?uuid=2c3f4165-8477-4e35-94e7-f64626cd34cb"]},{"id":"ITEM-3","itemData":{"DOI":"https://dx.doi.org/10.1212/WNL.0000000000005254","ISBN":"1526-632X","abstract":"OBJECTIVE: To evaluate the safety and preliminary pharmacokinetics of a pharmaceutical formulation of purified cannabidiol (CBD) in children with Dravet syndrome. METHOD(S): Patients aged 4-10 years were randomized 4:1 to CBD (5, 10, or 20 mg/kg/d) or placebo taken twice daily. The double-blind trial comprised 4-week baseline, 3-week treatment (including titration), 10-day taper, and 4-week follow-up periods. Completers could continue in an open-label extension. Multiple pharmacokinetic blood samples were taken on the first day of dosing and at end of treatment for measurement of CBD, its metabolites 6-OH-CBD, 7-OH-CBD, and 7-COOH-CBD, and antiepileptic drugs (AEDs; clobazam and metabolite N-desmethylclobazam [N-CLB], valproate, levetiracetam, topiramate, and stiripentol). Safety assessments were clinical laboratory tests, physical examinations, vital signs, ECGs, adverse events (AEs), seizure frequency, and suicidality. RESULT(S): Thirty-four patients were randomized (10, 8, and 9 to the 5, 10, and 20 mg/kg/d CBD groups, and 7 to placebo); 32 (94%) completed treatment. Exposure to CBD and its metabolites was dose-proportional (AUC0-t). CBD did not affect concomitant AED levels, apart from an increase in N-CLB (except in patients taking stiripentol). The most common AEs on CBD were pyrexia, somnolence, decreased appetite, sedation, vomiting, ataxia, and abnormal behavior. Six patients taking CBD and valproate developed elevated transaminases; none met criteria for drug-induced liver injury and all recovered. No other clinically relevant safety signals were observed. CONCLUSION(S): Exposure to CBD and its metabolites increased proportionally with dose. An interaction with N-CLB was observed, likely related to CBD inhibition of cytochrome P450 subtype 2C19. CBD resulted in more AEs than placebo but was generally well-tolerated. CLASSIFICATION OF EVIDENCE: This study provides Class I evidence that for children with Dravet syndrome, CBD resulted in more AEs than placebo but was generally well-tolerated. Copyright © 2018 The Author(s). Published by Wolters Kluwer Health, Inc. on behalf of the American Academy of Neurology. ","author":[{"dropping-particle":"","family":"Devinsky","given":"O","non-dropping-particle":"","parse-names":false,"suffix":""},{"dropping-particle":"","family":"Patel","given":"A D","non-dropping-particle":"","parse-names":false,"suffix":""},{"dropping-particle":"","family":"Thiele","given":"E A","non-dropping-particle":"","parse-names":false,"suffix":""},{"dropping-particle":"","family":"Wong","given":"M H","non-dropping-particle":"","parse-names":false,"suffix":""},{"dropping-particle":"","family":"Appleton","given":"R","non-dropping-particle":"","parse-names":false,"suffix":""},{"dropping-particle":"","family":"Harden","given":"C L","non-dropping-particle":"","parse-names":false,"suffix":""},{"dropping-particle":"","family":"Greenwood","given":"S","non-dropping-particle":"","parse-names":false,"suffix":""},{"dropping-particle":"","family":"Morrison","given":"G","non-dropping-particle":"","parse-names":false,"suffix":""},{"dropping-particle":"","family":"Sommerville","given":"K","non-dropping-particle":"","parse-names":false,"suffix":""},{"dropping-particle":"","family":"Group","given":"Gwpcare Part A Study","non-dropping-particle":"","parse-names":false,"suffix":""}],"container-title":"Neurology ","id":"ITEM-3","issue":"14 ","issued":{"date-parts":[["2018"]]},"language":"English ","note":"From Duplicate 1 (Randomized, dose-ranging safety trial of cannabidiol in Dravet syndrome - Devinsky, O; Patel, A D; Thiele, E A; Wong, M H; Appleton, R; Harden, C L; Greenwood, S; Morrison, G; Sommerville, K; Group, Gwpcare Part A Study)\n\nDevinsky, Orrin\n\nPatel, Anup D\n\nThiele, Elizabeth A\n\nWong, Matthew H\n\nAppleton, Richard\n\nHarden, Cynthia L\n\nGreenwood, Sam\n\nMorrison, Gilmour\n\nSommerville, Kenneth\n\nGWPCARE1 Part A Study Group\n\nWilfong A\n\nFlamini R\n\nLaux L\n\nMiller I\n\nCross H\n\nJoshi C\n\nChin R\n\nZuberi S","page":"e1204-e1211","publisher-place":"(Devinsky) From the NYU Comprehensive Epilepsy Center (O.D.), New York, NY;Nationwide Children's Hospital and the Ohio State University College of Medicine (A.D.P.), Columbus; Massachusetts General Hospital (E.A.T.), Boston; Wake Forest School of Medicine","title":"Randomized, dose-ranging safety trial of cannabidiol in Dravet syndrome ","type":"article","volume":"90 "},"uris":["http://www.mendeley.com/documents/?uuid=0e3710c7-2352-4cd1-97f9-126d1e9696b3"]}],"mendeley":{"formattedCitation":"[54,56,57]","plainTextFormattedCitation":"[54,56,57]","previouslyFormattedCitation":"[54,56,57]"},"properties":{"noteIndex":0},"schema":"https://github.com/citation-style-language/schema/raw/master/csl-citation.json"}</w:instrText>
      </w:r>
      <w:r w:rsidR="006C70DA" w:rsidRPr="00A87961">
        <w:rPr>
          <w:rFonts w:cs="Times New Roman"/>
        </w:rPr>
        <w:fldChar w:fldCharType="separate"/>
      </w:r>
      <w:r w:rsidR="009B5F4E" w:rsidRPr="009B5F4E">
        <w:rPr>
          <w:rFonts w:cs="Times New Roman"/>
          <w:noProof/>
        </w:rPr>
        <w:t>[54,56,57]</w:t>
      </w:r>
      <w:r w:rsidR="006C70DA" w:rsidRPr="00A87961">
        <w:rPr>
          <w:rFonts w:cs="Times New Roman"/>
        </w:rPr>
        <w:fldChar w:fldCharType="end"/>
      </w:r>
      <w:r w:rsidR="00581195" w:rsidRPr="00A87961">
        <w:rPr>
          <w:rFonts w:cs="Times New Roman"/>
        </w:rPr>
        <w:t xml:space="preserve">. </w:t>
      </w:r>
      <w:r w:rsidR="00622C2C" w:rsidRPr="00A87961">
        <w:rPr>
          <w:rFonts w:cs="Times New Roman"/>
        </w:rPr>
        <w:t>This provides some insight into how these drugs might be tolerated if they were to be delivered following SCI</w:t>
      </w:r>
      <w:r w:rsidR="00B13C59" w:rsidRPr="00A87961">
        <w:rPr>
          <w:rFonts w:cs="Times New Roman"/>
        </w:rPr>
        <w:t xml:space="preserve"> as part of human clinical trials. </w:t>
      </w:r>
    </w:p>
    <w:p w14:paraId="3880E0B0" w14:textId="039E8A08" w:rsidR="00D1081C" w:rsidRPr="00A87961" w:rsidRDefault="00D1081C" w:rsidP="0011737C">
      <w:pPr>
        <w:spacing w:line="480" w:lineRule="auto"/>
        <w:rPr>
          <w:rFonts w:cs="Times New Roman"/>
        </w:rPr>
      </w:pPr>
    </w:p>
    <w:p w14:paraId="197F8233" w14:textId="5F76CDC6" w:rsidR="001F58C5" w:rsidRPr="00A87961" w:rsidRDefault="001F58C5" w:rsidP="001F58C5">
      <w:pPr>
        <w:spacing w:line="480" w:lineRule="auto"/>
        <w:rPr>
          <w:rFonts w:cs="Times New Roman"/>
        </w:rPr>
      </w:pPr>
      <w:r w:rsidRPr="00A87961">
        <w:rPr>
          <w:rFonts w:cs="Times New Roman"/>
        </w:rPr>
        <w:t>Hama et al.</w:t>
      </w:r>
      <w:r w:rsidR="00E76AC4" w:rsidRPr="00A87961">
        <w:rPr>
          <w:rFonts w:cs="Times New Roman"/>
        </w:rPr>
        <w:t xml:space="preserve"> similarly</w:t>
      </w:r>
      <w:r w:rsidRPr="00A87961">
        <w:rPr>
          <w:rFonts w:cs="Times New Roman"/>
        </w:rPr>
        <w:t xml:space="preserve"> investigated whether combinations of currently licensed drugs (i.e. drug repurposing) could be used to treat pain after SCI</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[37]</w:t>
      </w:r>
      <w:r w:rsidRPr="00A87961">
        <w:rPr>
          <w:rFonts w:cs="Times New Roman"/>
        </w:rPr>
        <w:fldChar w:fldCharType="end"/>
      </w:r>
      <w:r w:rsidRPr="00A87961">
        <w:rPr>
          <w:rFonts w:cs="Times New Roman"/>
        </w:rPr>
        <w:t>. In particular combinations involving acetaminophen, which is proposed to act in part by blocking cellular uptake of anandamide</w:t>
      </w:r>
      <w:r w:rsidRPr="00A87961">
        <w:rPr>
          <w:rFonts w:cs="Times New Roman"/>
        </w:rPr>
        <w:fldChar w:fldCharType="begin" w:fldLock="1"/>
      </w:r>
      <w:r w:rsidR="00C416DA">
        <w:rPr>
          <w:rFonts w:cs="Times New Roman"/>
        </w:rPr>
        <w:instrText>ADDIN CSL_CITATION {"citationItems":[{"id":"ITEM-1","itemData":{"DOI":"10.1111/j.1527-3458.2006.00250.x","ISSN":"1080563X","PMID":"17227290","abstract":"Paracetamol (acetaminophen) is one of the most popular and widely used drugs for the treatment of pain and fever. It occupies a unique position among analgesic drugs. Unlike NSAIDs it is almost unanimously considered to have no antiinflammatory activity and does not produce gastrointestinal damage or untoward cardiorenal effects. Unlike opiates it is almost ineffective in intense pain and has no depressant effect on respiration. Although paracetamol has been used clinically for more than a century, its mode of action has been a mystery until about one year ago, when two independent groups (Zygmunt and colleagues and Bertolini and colleagues) produced experimental data unequivocally demonstrating that the analgesic effect of paracetamol is due to the indirect activation of cannabinoid CB1 receptors. In brain and spinal cord, paracetamol, following deacetylation to its primary amine (p-aminophenol), is conjugated with arachidonic acid to form N-arachidonoylphenolamine, a compound already known (AM404) as an endogenous cannabinoid. The involved enzyme is fatty acid amide hydrolase. N-arachidonoylphenolamine is an agonist at TRPV1 receptors and an inhibitor of cellular anandamide uptake, which leads to increased levels of endogenous cannabinoids; moreover, it inhibits cyclooxygenases in the brain, albeit at concentrations that are probably not attainable with analgesic doses of paracetamol. CB1 receptor antagonist, at a dose level that completely prevents the analgesic activity of a selective CB1 receptor agonist, completely prevents the analgesic activity of paracetamol. Thus, paracetamol acts as a pro-drug, the active one being a cannabinoid. These findings finally explain the mechanism of action of paracetamol and the peculiarity of its effects, including the behavioral ones. Curiously, just when the first CB1 agonists are being introduced for pain treatment, it comes out that an indirect cannabinomimetic had been extensively used (and sometimes overused) for more than a century. © 2006 The Authors.","author":[{"dropping-particle":"","family":"Bertolini","given":"Alfío","non-dropping-particle":"","parse-names":false,"suffix":""},{"dropping-particle":"","family":"Ferrari","given":"Anna","non-dropping-particle":"","parse-names":false,"suffix":""},{"dropping-particle":"","family":"Ottani","given":"Alessandra","non-dropping-particle":"","parse-names":false,"suffix":""},{"dropping-particle":"","family":"Guerzoni","given":"Simona","non-dropping-particle":"","parse-names":false,"suffix":""},{"dropping-particle":"","family":"Tacchi","given":"Raffaella","non-dropping-particle":"","parse-names":false,"suffix":""},{"dropping-particle":"","family":"Leone","given":"Sheila","non-dropping-particle":"","parse-names":false,"suffix":""}],"container-title":"CNS Drug Reviews","id":"ITEM-1","issue":"3-4","issued":{"date-parts":[["2006","9"]]},"page":"250-275","publisher":"CNS Drug Rev","title":"Paracetamol: New vistas of an old drug","type":"article","volume":"12"},"uris":["http://www.mendeley.com/documents/?uuid=b1396f54-9ff1-3704-bbee-4eafc7a4e9b6"]},{"id":"ITEM-2","itemData":{"DOI":"10.1074/jbc.M501489200","ISSN":"00219258","PMID":"15987694","abstract":"Acetaminophen (paracetamol) is a popular domestic analgesic and antipyretic agent with a weak anti-inflammatory action and a low incidence of adverse effects as compared with aspirin and other non-steroidal anti-inflammatory drugs. Here we show that acetaminophen, following deacetylation to its primary amine, is conjugated with arachidonic acid in the brain and the spinal cord to form the potent TRPV1 agonist N-arachidonoylphenolamine (AM404). This conjugation is absent in mice lacking the enzyme fatty acid amide hydrolase. AM404 also inhibits purified cycloosygenase (COX)-1 and COX-2 and prostaglandin synthesis in lipopolysaccharide-stimulated RAW264.7 macrophages. This novel metabolite of acetaminophen also acts on the endogenous cannabinoid system, which, together with TRPV1 and COX, is present in the pain and thermoregulatory pathways. These findings identify fatty acid conjugation as a novel pathway for drug metabolism and provide a molecular mechanism for the occurrence of the analgesic N-acylphenolamine AM404 in the nervous system following treatment with acetaminophen. © 2005 by The American Society for Biochemistry and Molecular Biology, Inc.","author":[{"dropping-particle":"","family":"Högestätt","given":"Edward D.","non-dropping-particle":"","parse-names":false,"suffix":""},{"dropping-particle":"","family":"Jönsson","given":"Bo A.G.","non-dropping-particle":"","parse-names":false,"suffix":""},{"dropping-particle":"","family":"Ermund","given":"Anna","non-dropping-particle":"","parse-names":false,"suffix":""},{"dropping-particle":"","family":"Andersson","given":"David A.","non-dropping-particle":"","parse-names":false,"suffix":""},{"dropping-particle":"","family":"Björk","given":"Henrik","non-dropping-particle":"","parse-names":false,"suffix":""},{"dropping-particle":"","family":"Alexander","given":"Jessica P.","non-dropping-particle":"","parse-names":false,"suffix":""},{"dropping-particle":"","family":"Cravatt","given":"Benjamin F.","non-dropping-particle":"","parse-names":false,"suffix":""},{"dropping-particle":"","family":"Basbaum","given":"Allan I.","non-dropping-particle":"","parse-names":false,"suffix":""},{"dropping-particle":"","family":"Zygmunt","given":"Peter M.","non-dropping-particle":"","parse-names":false,"suffix":""}],"container-title":"Journal of Biological Chemistry","id":"ITEM-2","issue":"36","issued":{"date-parts":[["2005","9","9"]]},"page":"31405-31412","publisher":"J Biol Chem","title":"Conversion of acetaminophen to the bioactive N-acylphenolamine AM404 via fatty acid amide hydrolase-dependent arachidonic acid conjugation in the nervous system","type":"article-journal","volume":"280"},"uris":["http://www.mendeley.com/documents/?uuid=95603be3-5916-35ac-bb22-5ec68b6dafb6"]}],"mendeley":{"formattedCitation":"[58,59]","plainTextFormattedCitation":"[58,59]","previouslyFormattedCitation":"[58,59]"},"properties":{"noteIndex":0},"schema":"https://github.com/citation-style-language/schema/raw/master/csl-citation.json"}</w:instrText>
      </w:r>
      <w:r w:rsidRPr="00A87961">
        <w:rPr>
          <w:rFonts w:cs="Times New Roman"/>
        </w:rPr>
        <w:fldChar w:fldCharType="separate"/>
      </w:r>
      <w:r w:rsidR="009B5F4E" w:rsidRPr="009B5F4E">
        <w:rPr>
          <w:rFonts w:cs="Times New Roman"/>
          <w:noProof/>
        </w:rPr>
        <w:t>[58,59]</w:t>
      </w:r>
      <w:r w:rsidRPr="00A87961">
        <w:rPr>
          <w:rFonts w:cs="Times New Roman"/>
        </w:rPr>
        <w:fldChar w:fldCharType="end"/>
      </w:r>
      <w:r w:rsidRPr="00A87961">
        <w:rPr>
          <w:rFonts w:cs="Times New Roman"/>
        </w:rPr>
        <w:t>. Combinations of acetaminophen with gabapentin or morphine displayed synergy which was attenuated using CB receptor antagonists implying involvement of the CB receptor activation</w:t>
      </w:r>
      <w:r w:rsidRPr="00A87961">
        <w:rPr>
          <w:rFonts w:cs="Times New Roman"/>
          <w:vertAlign w:val="superscript"/>
        </w:rPr>
        <w:fldChar w:fldCharType="begin" w:fldLock="1"/>
      </w:r>
      <w:r w:rsidR="00C416DA">
        <w:rPr>
          <w:rFonts w:cs="Times New Roman"/>
          <w:vertAlign w:val="superscript"/>
        </w:rPr>
        <w:instrText>ADDIN CSL_CITATION {"citationItems":[{"id":"ITEM-1","itemData":{"DOI":"http://dx.doi.org/10.1016/j.neuropharm.2009.12.010","ISBN":"0028-3908","abstract":"Pre-clinical evidence demonstrates that neuropathic spinal cord injury (SCI) pain is maintained by a number of neurobiological mechanisms, suggesting that treatments directed at several pain-related targets may be more advantageous compared to a treatment focused on a single target. The current study evaluated the efficacy of the non-opiate analgesic acetaminophen, which has several putative analgesic mechanisms, combined with analgesic drugs used to treat neuropathic pain in a rat model of below-level neuropathic SCI pain. Following an acute compression of the mid-thoracic spinal cord, rats exhibited robust hind paw hypersensitivity to innocuous mechanical stimulation. Fifty percent antinociceptive doses of gabapentin, morphine, tramadol or memantine were combined with an ineffective dose of acetaminophen; acetaminophen alone was not antinociceptive. The combination of acetaminophen with either tramadol or memantine resulted in an additive antinociceptive effect. Acetaminophen combined with either morphine or gabapentin, however, resulted in supra-additive (synergistic) efficacy. One of the analgesic mechanisms of acetaminophen is inhibiting the uptake of endocannabinoids from the extracellular space. Pre-treatment with AM251, a cannabinoid-1 receptor (CB1) antagonist, significantly diminished the antinociceptive effect of the acetaminophen + gabapentin combination. Pre-treatment with AM630, a cannabinoid-2 receptor (CB2) antagonist, did not have an effect on this combination. By contrast, both AM251 and AM630 reduced the efficacy of the acetaminophen + morphine combination. None of the active drugs alone were affected by either CB receptor antagonist. The results imply that modulation of the endocannabinoid system in addition to other mechanisms mediate the synergistic antinociceptive effects of acetaminophen combinations. Despite the presence of a cannabinoid mechanism, synergism was not present in all acetaminophen combinations. The combination of currently available drugs may be an appropriate option in ameliorating neuropathic SCI pain if single drug therapy is ineffective. © 2009 Elsevier Ltd. ","author":[{"dropping-particle":"","family":"Hama","given":"A T","non-dropping-particle":"","parse-names":false,"suffix":""},{"dropping-particle":"","family":"Sagen","given":"J","non-dropping-particle":"","parse-names":false,"suffix":""}],"container-title":"Neuropharmacology ","id":"ITEM-1","issue":"4-5 ","issued":{"date-parts":[["2010"]]},"language":"English ","note":"Embase","page":"758-766","publisher-place":"(Hama, Sagen) The Miami Project to Cure Paralysis, University of Miami Miller School of Medicine, 1095 NW 14th Terrace (R-48), Miami, FL 33136, United States  A.T. Hama, The Miami Project to Cure Paralysis, University of Miami Miller School of Medicine, 1","title":"Cannabinoid receptor-mediated antinociception with acetaminophen drug combinations in rats with neuropathic spinal cord injury pain ","type":"article","volume":"58 "},"uris":["http://www.mendeley.com/documents/?uuid=46f7852c-b3ee-41bf-b5cc-73d869c24a56"]}],"mendeley":{"formattedCitation":"[37]","plainTextFormattedCitation":"[37]","previouslyFormattedCitation":"[37]"},"properties":{"noteIndex":0},"schema":"https://github.com/citation-style-language/schema/raw/master/csl-citation.json"}</w:instrText>
      </w:r>
      <w:r w:rsidRPr="00A87961">
        <w:rPr>
          <w:rFonts w:cs="Times New Roman"/>
          <w:vertAlign w:val="superscript"/>
        </w:rPr>
        <w:fldChar w:fldCharType="separate"/>
      </w:r>
      <w:r w:rsidR="00C416DA" w:rsidRPr="00C416DA">
        <w:rPr>
          <w:rFonts w:cs="Times New Roman"/>
          <w:noProof/>
        </w:rPr>
        <w:t>[37]</w:t>
      </w:r>
      <w:r w:rsidRPr="00A87961">
        <w:rPr>
          <w:rFonts w:cs="Times New Roman"/>
        </w:rPr>
        <w:fldChar w:fldCharType="end"/>
      </w:r>
      <w:r w:rsidRPr="00A87961">
        <w:rPr>
          <w:rFonts w:cs="Times New Roman"/>
        </w:rPr>
        <w:t xml:space="preserve">. The benefits of using such existing drugs include the avoidance of long periods of drug development and licensing as well as the ability to use lower doses to avoid side effects that may otherwise limit the use of such drugs. </w:t>
      </w:r>
    </w:p>
    <w:p w14:paraId="74221318" w14:textId="77777777" w:rsidR="001F58C5" w:rsidRPr="00A87961" w:rsidRDefault="001F58C5" w:rsidP="0011737C">
      <w:pPr>
        <w:spacing w:line="480" w:lineRule="auto"/>
        <w:rPr>
          <w:rFonts w:cs="Times New Roman"/>
        </w:rPr>
      </w:pPr>
    </w:p>
    <w:p w14:paraId="3F676687" w14:textId="42727AD0" w:rsidR="001425DA" w:rsidRPr="00A87961" w:rsidRDefault="00D1081C" w:rsidP="0011737C">
      <w:pPr>
        <w:spacing w:line="480" w:lineRule="auto"/>
        <w:rPr>
          <w:rFonts w:cs="Times New Roman"/>
        </w:rPr>
      </w:pPr>
      <w:r w:rsidRPr="00A87961">
        <w:rPr>
          <w:rFonts w:cs="Times New Roman"/>
        </w:rPr>
        <w:t xml:space="preserve">Whilst these drugs </w:t>
      </w:r>
      <w:r w:rsidR="00B13C59" w:rsidRPr="00A87961">
        <w:rPr>
          <w:rFonts w:cs="Times New Roman"/>
        </w:rPr>
        <w:t>re</w:t>
      </w:r>
      <w:r w:rsidRPr="00A87961">
        <w:rPr>
          <w:rFonts w:cs="Times New Roman"/>
        </w:rPr>
        <w:t>present</w:t>
      </w:r>
      <w:r w:rsidR="00553F97" w:rsidRPr="00A87961">
        <w:rPr>
          <w:rFonts w:cs="Times New Roman"/>
        </w:rPr>
        <w:t xml:space="preserve"> promising</w:t>
      </w:r>
      <w:r w:rsidRPr="00A87961">
        <w:rPr>
          <w:rFonts w:cs="Times New Roman"/>
        </w:rPr>
        <w:t xml:space="preserve"> opportunities,</w:t>
      </w:r>
      <w:r w:rsidR="00E76AC4" w:rsidRPr="00A87961">
        <w:rPr>
          <w:rFonts w:cs="Times New Roman"/>
        </w:rPr>
        <w:t xml:space="preserve"> animal to human translation can be unpredictable and</w:t>
      </w:r>
      <w:r w:rsidR="00553F97" w:rsidRPr="00A87961">
        <w:rPr>
          <w:rFonts w:cs="Times New Roman"/>
        </w:rPr>
        <w:t xml:space="preserve"> </w:t>
      </w:r>
      <w:r w:rsidR="00BD0F90" w:rsidRPr="00A87961">
        <w:rPr>
          <w:rFonts w:cs="Times New Roman"/>
        </w:rPr>
        <w:t>key</w:t>
      </w:r>
      <w:r w:rsidR="00553F97" w:rsidRPr="00A87961">
        <w:rPr>
          <w:rFonts w:cs="Times New Roman"/>
        </w:rPr>
        <w:t xml:space="preserve"> research questions </w:t>
      </w:r>
      <w:r w:rsidR="00BD0F90" w:rsidRPr="00A87961">
        <w:rPr>
          <w:rFonts w:cs="Times New Roman"/>
        </w:rPr>
        <w:t>remain</w:t>
      </w:r>
      <w:r w:rsidR="00553F97" w:rsidRPr="00A87961">
        <w:rPr>
          <w:rFonts w:cs="Times New Roman"/>
        </w:rPr>
        <w:t>. Firstly, consensus must be reached regarding the optimal cannabinoid drug, dose, and</w:t>
      </w:r>
      <w:r w:rsidR="00B13C59" w:rsidRPr="00A87961">
        <w:rPr>
          <w:rFonts w:cs="Times New Roman"/>
        </w:rPr>
        <w:t xml:space="preserve"> determine what would constitute a</w:t>
      </w:r>
      <w:r w:rsidR="00553F97" w:rsidRPr="00A87961">
        <w:rPr>
          <w:rFonts w:cs="Times New Roman"/>
        </w:rPr>
        <w:t xml:space="preserve"> </w:t>
      </w:r>
      <w:r w:rsidR="00B13C59" w:rsidRPr="00A87961">
        <w:rPr>
          <w:rFonts w:cs="Times New Roman"/>
        </w:rPr>
        <w:t xml:space="preserve">clinically acceptable </w:t>
      </w:r>
      <w:r w:rsidR="00553F97" w:rsidRPr="00A87961">
        <w:rPr>
          <w:rFonts w:cs="Times New Roman"/>
        </w:rPr>
        <w:t>route of administration</w:t>
      </w:r>
      <w:r w:rsidR="00B13C59" w:rsidRPr="00A87961">
        <w:rPr>
          <w:rFonts w:cs="Times New Roman"/>
        </w:rPr>
        <w:t xml:space="preserve"> (particularly if repeated dosing is required)</w:t>
      </w:r>
      <w:r w:rsidR="00553F97" w:rsidRPr="00A87961">
        <w:rPr>
          <w:rFonts w:cs="Times New Roman"/>
        </w:rPr>
        <w:t xml:space="preserve">. </w:t>
      </w:r>
      <w:r w:rsidR="00B13C59" w:rsidRPr="00A87961">
        <w:rPr>
          <w:rFonts w:cs="Times New Roman"/>
        </w:rPr>
        <w:t xml:space="preserve">The current preclinical </w:t>
      </w:r>
      <w:proofErr w:type="spellStart"/>
      <w:r w:rsidR="00B13C59" w:rsidRPr="00A87961">
        <w:rPr>
          <w:rFonts w:cs="Times New Roman"/>
        </w:rPr>
        <w:t>evicence</w:t>
      </w:r>
      <w:proofErr w:type="spellEnd"/>
      <w:r w:rsidR="00B13C59" w:rsidRPr="00A87961">
        <w:rPr>
          <w:rFonts w:cs="Times New Roman"/>
        </w:rPr>
        <w:t xml:space="preserve"> base remains heterogenous, and i</w:t>
      </w:r>
      <w:r w:rsidR="00553F97" w:rsidRPr="00A87961">
        <w:rPr>
          <w:rFonts w:cs="Times New Roman"/>
        </w:rPr>
        <w:t>t is difficult to reconcile inconsistencies between studies when variables such as</w:t>
      </w:r>
      <w:r w:rsidR="00B13C59" w:rsidRPr="00A87961">
        <w:rPr>
          <w:rFonts w:cs="Times New Roman"/>
        </w:rPr>
        <w:t xml:space="preserve"> the</w:t>
      </w:r>
      <w:r w:rsidR="00553F97" w:rsidRPr="00A87961">
        <w:rPr>
          <w:rFonts w:cs="Times New Roman"/>
        </w:rPr>
        <w:t xml:space="preserve"> model of SCI, timing of drug administration</w:t>
      </w:r>
      <w:r w:rsidR="00FF3F88" w:rsidRPr="00A87961">
        <w:rPr>
          <w:rFonts w:cs="Times New Roman"/>
        </w:rPr>
        <w:t>, outcome assessment tool and</w:t>
      </w:r>
      <w:r w:rsidR="00553F97" w:rsidRPr="00A87961">
        <w:rPr>
          <w:rFonts w:cs="Times New Roman"/>
        </w:rPr>
        <w:t xml:space="preserve"> timing of outcome assessment differ from study </w:t>
      </w:r>
      <w:r w:rsidR="00553F97" w:rsidRPr="00A87961">
        <w:rPr>
          <w:rFonts w:cs="Times New Roman"/>
        </w:rPr>
        <w:lastRenderedPageBreak/>
        <w:t xml:space="preserve">to study. Similar variation has been reported in </w:t>
      </w:r>
      <w:r w:rsidR="00FF3F88" w:rsidRPr="00A87961">
        <w:rPr>
          <w:rFonts w:cs="Times New Roman"/>
        </w:rPr>
        <w:t>a systematic review of the literature on the effects of cannabinoids in patients who have suffered SCI</w:t>
      </w:r>
      <w:r w:rsidR="00FF3F88" w:rsidRPr="00A87961">
        <w:rPr>
          <w:rFonts w:cs="Times New Roman"/>
        </w:rPr>
        <w:fldChar w:fldCharType="begin" w:fldLock="1"/>
      </w:r>
      <w:r w:rsidR="00C416DA">
        <w:rPr>
          <w:rFonts w:cs="Times New Roman"/>
        </w:rPr>
        <w:instrText>ADDIN CSL_CITATION {"citationItems":[{"id":"ITEM-1","itemData":{"DOI":"10.2174/1570159X18666200420085712","ISSN":"1570159X","abstract":"BACKGROUND: People with spinal cord injuries (SCI) commonly experience pain and spasticity, but limitations of current treatments have generated interest in cannabis as a possible therapy. OBJECTIVES: We conducted this systematic review to: 1) examine usage patterns and reasons for cannabinoid use, and 2) determine the treatment efficacy and safety of cannabinoid use, in people with SCI. METHODS: PubMed, Embase, Web of Science and Cumulative Index to Nursing and Allied Health Literature databases were queried for keywords related to SCI and cannabinoid. RESULTS: 7,232 studies were screened, 34 were included in this systematic review. Though 26 studies addressed cannabinoid usage, only 8 investigated its therapeutic potential on outcomes such as pain and spasticity. The most common usage method was smoking. Relief of pain, spasticity and pleasure were the most common reasons for use. Statistically significant reduction of pain and spasticity was observed with cannabinoid use in 80% and 90% of experimental studies, respectively. However, on examination of randomized control trials (RCTs) alone, effect sizes ranged from -0.82 to 0.83 for pain and -0.95 to 0.09 for spasticity. Cannabinoid use was associated with fatigue and cognitive deficits. CONCLUSIONS: Current evidence suggests cannabinoids may reduce pain and spasticity in people with SCI, but its effect magnitude and clinical significance is unclear. Existing information is lacking on optimal dosage, method of use, composition and concentration of compounds. Longterm, double-blind, RCTs, assessing a wider range of outcomes should be conducted to further understanding of the effects of cannabinoid use in people with SCI.","author":[{"dropping-particle":"","family":"Nabata","given":"Kylie J.","non-dropping-particle":"","parse-names":false,"suffix":""},{"dropping-particle":"","family":"Tse","given":"Emmanuel K.","non-dropping-particle":"","parse-names":false,"suffix":""},{"dropping-particle":"","family":"Nightingale","given":"Tom E.","non-dropping-particle":"","parse-names":false,"suffix":""},{"dropping-particle":"","family":"Lee","given":"Amanda H.X.","non-dropping-particle":"","parse-names":false,"suffix":""},{"dropping-particle":"","family":"Eng","given":"Janice J.","non-dropping-particle":"","parse-names":false,"suffix":""},{"dropping-particle":"","family":"Querée","given":"Matthew","non-dropping-particle":"","parse-names":false,"suffix":""},{"dropping-particle":"","family":"Walter","given":"Matthias","non-dropping-particle":"","parse-names":false,"suffix":""},{"dropping-particle":"V.","family":"Krassioukov","given":"Andrei","non-dropping-particle":"","parse-names":false,"suffix":""}],"container-title":"Current Neuropharmacology","id":"ITEM-1","issue":"3","issued":{"date-parts":[["2021","3","15"]]},"page":"402-432","publisher":"Bentham Science Publishers Ltd.","title":"The Therapeutic Potential and Usage Patterns of Cannabinoids in People with Spinal Cord Injuries: A Systematic Review","type":"article-journal","volume":"19"},"uris":["http://www.mendeley.com/documents/?uuid=2e80afab-5986-3c85-8606-aec386380aaf"]}],"mendeley":{"formattedCitation":"[23]","plainTextFormattedCitation":"[23]","previouslyFormattedCitation":"[23]"},"properties":{"noteIndex":0},"schema":"https://github.com/citation-style-language/schema/raw/master/csl-citation.json"}</w:instrText>
      </w:r>
      <w:r w:rsidR="00FF3F88" w:rsidRPr="00A87961">
        <w:rPr>
          <w:rFonts w:cs="Times New Roman"/>
        </w:rPr>
        <w:fldChar w:fldCharType="separate"/>
      </w:r>
      <w:r w:rsidR="009B5F4E" w:rsidRPr="009B5F4E">
        <w:rPr>
          <w:rFonts w:cs="Times New Roman"/>
          <w:noProof/>
        </w:rPr>
        <w:t>[23]</w:t>
      </w:r>
      <w:r w:rsidR="00FF3F88" w:rsidRPr="00A87961">
        <w:rPr>
          <w:rFonts w:cs="Times New Roman"/>
        </w:rPr>
        <w:fldChar w:fldCharType="end"/>
      </w:r>
      <w:r w:rsidR="00FF3F88" w:rsidRPr="00A87961">
        <w:rPr>
          <w:rFonts w:cs="Times New Roman"/>
        </w:rPr>
        <w:t>. We echo their call</w:t>
      </w:r>
      <w:r w:rsidR="0083611D" w:rsidRPr="00A87961">
        <w:rPr>
          <w:rFonts w:cs="Times New Roman"/>
        </w:rPr>
        <w:t xml:space="preserve"> for appropriately powered, </w:t>
      </w:r>
      <w:r w:rsidR="00FF3F88" w:rsidRPr="00A87961">
        <w:rPr>
          <w:rFonts w:cs="Times New Roman"/>
        </w:rPr>
        <w:t>randomised controlled studies with standardised outcome measures</w:t>
      </w:r>
      <w:r w:rsidR="002C4AA1" w:rsidRPr="00A87961">
        <w:rPr>
          <w:rFonts w:cs="Times New Roman"/>
        </w:rPr>
        <w:t>,</w:t>
      </w:r>
      <w:r w:rsidR="00FF3F88" w:rsidRPr="00A87961">
        <w:rPr>
          <w:rFonts w:cs="Times New Roman"/>
        </w:rPr>
        <w:t xml:space="preserve"> which conform to Consolidated Standards of Reporting Trials</w:t>
      </w:r>
      <w:r w:rsidR="002C4AA1" w:rsidRPr="00A87961">
        <w:rPr>
          <w:rFonts w:cs="Times New Roman"/>
        </w:rPr>
        <w:t>,</w:t>
      </w:r>
      <w:r w:rsidR="00FF3F88" w:rsidRPr="00A87961">
        <w:rPr>
          <w:rFonts w:cs="Times New Roman"/>
        </w:rPr>
        <w:t xml:space="preserve"> to increase the amount of good quality evidence on this topic. Secondly, there is currently little pre-clinical or clinical literature exploring the long-term effects of chronic cannabinoid use following SCI</w:t>
      </w:r>
      <w:r w:rsidR="00FF3F88" w:rsidRPr="00A87961">
        <w:rPr>
          <w:rFonts w:cs="Times New Roman"/>
        </w:rPr>
        <w:fldChar w:fldCharType="begin" w:fldLock="1"/>
      </w:r>
      <w:r w:rsidR="00C416DA">
        <w:rPr>
          <w:rFonts w:cs="Times New Roman"/>
        </w:rPr>
        <w:instrText>ADDIN CSL_CITATION {"citationItems":[{"id":"ITEM-1","itemData":{"DOI":"10.2174/1570159X18666200420085712","ISSN":"1570159X","abstract":"BACKGROUND: People with spinal cord injuries (SCI) commonly experience pain and spasticity, but limitations of current treatments have generated interest in cannabis as a possible therapy. OBJECTIVES: We conducted this systematic review to: 1) examine usage patterns and reasons for cannabinoid use, and 2) determine the treatment efficacy and safety of cannabinoid use, in people with SCI. METHODS: PubMed, Embase, Web of Science and Cumulative Index to Nursing and Allied Health Literature databases were queried for keywords related to SCI and cannabinoid. RESULTS: 7,232 studies were screened, 34 were included in this systematic review. Though 26 studies addressed cannabinoid usage, only 8 investigated its therapeutic potential on outcomes such as pain and spasticity. The most common usage method was smoking. Relief of pain, spasticity and pleasure were the most common reasons for use. Statistically significant reduction of pain and spasticity was observed with cannabinoid use in 80% and 90% of experimental studies, respectively. However, on examination of randomized control trials (RCTs) alone, effect sizes ranged from -0.82 to 0.83 for pain and -0.95 to 0.09 for spasticity. Cannabinoid use was associated with fatigue and cognitive deficits. CONCLUSIONS: Current evidence suggests cannabinoids may reduce pain and spasticity in people with SCI, but its effect magnitude and clinical significance is unclear. Existing information is lacking on optimal dosage, method of use, composition and concentration of compounds. Longterm, double-blind, RCTs, assessing a wider range of outcomes should be conducted to further understanding of the effects of cannabinoid use in people with SCI.","author":[{"dropping-particle":"","family":"Nabata","given":"Kylie J.","non-dropping-particle":"","parse-names":false,"suffix":""},{"dropping-particle":"","family":"Tse","given":"Emmanuel K.","non-dropping-particle":"","parse-names":false,"suffix":""},{"dropping-particle":"","family":"Nightingale","given":"Tom E.","non-dropping-particle":"","parse-names":false,"suffix":""},{"dropping-particle":"","family":"Lee","given":"Amanda H.X.","non-dropping-particle":"","parse-names":false,"suffix":""},{"dropping-particle":"","family":"Eng","given":"Janice J.","non-dropping-particle":"","parse-names":false,"suffix":""},{"dropping-particle":"","family":"Querée","given":"Matthew","non-dropping-particle":"","parse-names":false,"suffix":""},{"dropping-particle":"","family":"Walter","given":"Matthias","non-dropping-particle":"","parse-names":false,"suffix":""},{"dropping-particle":"V.","family":"Krassioukov","given":"Andrei","non-dropping-particle":"","parse-names":false,"suffix":""}],"container-title":"Current Neuropharmacology","id":"ITEM-1","issue":"3","issued":{"date-parts":[["2021","3","15"]]},"page":"402-432","publisher":"Bentham Science Publishers Ltd.","title":"The Therapeutic Potential and Usage Patterns of Cannabinoids in People with Spinal Cord Injuries: A Systematic Review","type":"article-journal","volume":"19"},"uris":["http://www.mendeley.com/documents/?uuid=2e80afab-5986-3c85-8606-aec386380aaf"]}],"mendeley":{"formattedCitation":"[23]","plainTextFormattedCitation":"[23]","previouslyFormattedCitation":"[23]"},"properties":{"noteIndex":0},"schema":"https://github.com/citation-style-language/schema/raw/master/csl-citation.json"}</w:instrText>
      </w:r>
      <w:r w:rsidR="00FF3F88" w:rsidRPr="00A87961">
        <w:rPr>
          <w:rFonts w:cs="Times New Roman"/>
        </w:rPr>
        <w:fldChar w:fldCharType="separate"/>
      </w:r>
      <w:r w:rsidR="009B5F4E" w:rsidRPr="009B5F4E">
        <w:rPr>
          <w:rFonts w:cs="Times New Roman"/>
          <w:noProof/>
        </w:rPr>
        <w:t>[23]</w:t>
      </w:r>
      <w:r w:rsidR="00FF3F88" w:rsidRPr="00A87961">
        <w:rPr>
          <w:rFonts w:cs="Times New Roman"/>
        </w:rPr>
        <w:fldChar w:fldCharType="end"/>
      </w:r>
      <w:r w:rsidR="00C44521" w:rsidRPr="00A87961">
        <w:rPr>
          <w:rFonts w:cs="Times New Roman"/>
        </w:rPr>
        <w:t>, and this would be worthy of further study.</w:t>
      </w:r>
      <w:r w:rsidR="00FF3F88" w:rsidRPr="00A87961">
        <w:rPr>
          <w:rFonts w:cs="Times New Roman"/>
        </w:rPr>
        <w:t xml:space="preserve"> Of the studies included in this review, none explored the effects of administering cannabinoids beyond 10 weeks following SCI. </w:t>
      </w:r>
      <w:r w:rsidR="00BD0F90" w:rsidRPr="00A87961">
        <w:rPr>
          <w:rFonts w:cs="Times New Roman"/>
        </w:rPr>
        <w:t>C</w:t>
      </w:r>
      <w:r w:rsidR="00486C0B" w:rsidRPr="00A87961">
        <w:rPr>
          <w:rFonts w:cs="Times New Roman"/>
        </w:rPr>
        <w:t>annabinoids have been associated with addiction</w:t>
      </w:r>
      <w:r w:rsidR="00BD0F90" w:rsidRPr="00A87961">
        <w:rPr>
          <w:rFonts w:cs="Times New Roman"/>
        </w:rPr>
        <w:t>, cognitive decline, sedation,</w:t>
      </w:r>
      <w:r w:rsidR="00486C0B" w:rsidRPr="00A87961">
        <w:rPr>
          <w:rFonts w:cs="Times New Roman"/>
        </w:rPr>
        <w:t xml:space="preserve"> a</w:t>
      </w:r>
      <w:r w:rsidR="00BD0F90" w:rsidRPr="00A87961">
        <w:rPr>
          <w:rFonts w:cs="Times New Roman"/>
        </w:rPr>
        <w:t>nd</w:t>
      </w:r>
      <w:r w:rsidR="00486C0B" w:rsidRPr="00A87961">
        <w:rPr>
          <w:rFonts w:cs="Times New Roman"/>
        </w:rPr>
        <w:t xml:space="preserve"> psychotic disorders</w:t>
      </w:r>
      <w:r w:rsidR="00BD0F90" w:rsidRPr="00A87961">
        <w:rPr>
          <w:rFonts w:cs="Times New Roman"/>
        </w:rPr>
        <w:fldChar w:fldCharType="begin" w:fldLock="1"/>
      </w:r>
      <w:r w:rsidR="00C416DA">
        <w:rPr>
          <w:rFonts w:cs="Times New Roman"/>
        </w:rPr>
        <w:instrText>ADDIN CSL_CITATION {"citationItems":[{"id":"ITEM-1","itemData":{"DOI":"10.1002/cpt.118","author":[{"dropping-particle":"V","family":"Panlilio","given":"Leigh","non-dropping-particle":"","parse-names":false,"suffix":""},{"dropping-particle":"","family":"Goldberg","given":"Steven R","non-dropping-particle":"","parse-names":false,"suffix":""},{"dropping-particle":"","family":"Justinova","given":"Zuzana","non-dropping-particle":"","parse-names":false,"suffix":""}],"id":"ITEM-1","issued":{"date-parts":[["0"]]},"title":"Cannabinoid abuse and addiction: Clinical and preclinical findings","type":"article-journal"},"uris":["http://www.mendeley.com/documents/?uuid=fa282f28-793a-3a9a-8bee-c356c0bed49a"]}],"mendeley":{"formattedCitation":"[60]","plainTextFormattedCitation":"[60]","previouslyFormattedCitation":"[60]"},"properties":{"noteIndex":0},"schema":"https://github.com/citation-style-language/schema/raw/master/csl-citation.json"}</w:instrText>
      </w:r>
      <w:r w:rsidR="00BD0F90" w:rsidRPr="00A87961">
        <w:rPr>
          <w:rFonts w:cs="Times New Roman"/>
        </w:rPr>
        <w:fldChar w:fldCharType="separate"/>
      </w:r>
      <w:r w:rsidR="009B5F4E" w:rsidRPr="009B5F4E">
        <w:rPr>
          <w:rFonts w:cs="Times New Roman"/>
          <w:noProof/>
        </w:rPr>
        <w:t>[60]</w:t>
      </w:r>
      <w:r w:rsidR="00BD0F90" w:rsidRPr="00A87961">
        <w:rPr>
          <w:rFonts w:cs="Times New Roman"/>
        </w:rPr>
        <w:fldChar w:fldCharType="end"/>
      </w:r>
      <w:r w:rsidR="00BD0F90" w:rsidRPr="00A87961">
        <w:rPr>
          <w:rFonts w:cs="Times New Roman"/>
        </w:rPr>
        <w:t xml:space="preserve">. Given that </w:t>
      </w:r>
      <w:r w:rsidR="00C44521" w:rsidRPr="00A87961">
        <w:rPr>
          <w:rFonts w:cs="Times New Roman"/>
        </w:rPr>
        <w:t xml:space="preserve">SCI </w:t>
      </w:r>
      <w:r w:rsidR="00BD0F90" w:rsidRPr="00A87961">
        <w:rPr>
          <w:rFonts w:cs="Times New Roman"/>
        </w:rPr>
        <w:t xml:space="preserve">patients may need to use cannabinoids for </w:t>
      </w:r>
      <w:proofErr w:type="gramStart"/>
      <w:r w:rsidR="00BD0F90" w:rsidRPr="00A87961">
        <w:rPr>
          <w:rFonts w:cs="Times New Roman"/>
        </w:rPr>
        <w:t>a number of</w:t>
      </w:r>
      <w:proofErr w:type="gramEnd"/>
      <w:r w:rsidR="00BD0F90" w:rsidRPr="00A87961">
        <w:rPr>
          <w:rFonts w:cs="Times New Roman"/>
        </w:rPr>
        <w:t xml:space="preserve"> years, long-term longitudinal studies monitoring the incidence of such side-effects </w:t>
      </w:r>
      <w:r w:rsidR="00C44521" w:rsidRPr="00A87961">
        <w:rPr>
          <w:rFonts w:cs="Times New Roman"/>
        </w:rPr>
        <w:t xml:space="preserve">will be </w:t>
      </w:r>
      <w:r w:rsidR="00BD0F90" w:rsidRPr="00A87961">
        <w:rPr>
          <w:rFonts w:cs="Times New Roman"/>
        </w:rPr>
        <w:t>required i</w:t>
      </w:r>
      <w:r w:rsidR="00FF3F88" w:rsidRPr="00A87961">
        <w:rPr>
          <w:rFonts w:cs="Times New Roman"/>
        </w:rPr>
        <w:t xml:space="preserve">f cannabinoids are to be considered in the management of </w:t>
      </w:r>
      <w:r w:rsidR="00BD0F90" w:rsidRPr="00A87961">
        <w:rPr>
          <w:rFonts w:cs="Times New Roman"/>
        </w:rPr>
        <w:t xml:space="preserve">these patients. </w:t>
      </w:r>
    </w:p>
    <w:p w14:paraId="68BD2DFB" w14:textId="77777777" w:rsidR="00581195" w:rsidRPr="00A87961" w:rsidRDefault="00581195" w:rsidP="0011737C">
      <w:pPr>
        <w:spacing w:line="480" w:lineRule="auto"/>
        <w:rPr>
          <w:rFonts w:cs="Times New Roman"/>
          <w:b/>
          <w:bCs/>
          <w:i/>
          <w:iCs/>
        </w:rPr>
      </w:pPr>
    </w:p>
    <w:p w14:paraId="3C99DCE9" w14:textId="77777777" w:rsidR="00581195" w:rsidRPr="00A87961" w:rsidRDefault="00581195" w:rsidP="0011737C">
      <w:pPr>
        <w:spacing w:line="480" w:lineRule="auto"/>
        <w:rPr>
          <w:rFonts w:cs="Times New Roman"/>
          <w:b/>
          <w:bCs/>
          <w:i/>
          <w:iCs/>
        </w:rPr>
      </w:pPr>
      <w:r w:rsidRPr="00A87961">
        <w:rPr>
          <w:rFonts w:cs="Times New Roman"/>
          <w:b/>
          <w:bCs/>
          <w:i/>
          <w:iCs/>
        </w:rPr>
        <w:t>Strengths and limitations</w:t>
      </w:r>
    </w:p>
    <w:p w14:paraId="75BCB19B" w14:textId="77777777" w:rsidR="00581195" w:rsidRPr="00A87961" w:rsidRDefault="00581195" w:rsidP="0011737C">
      <w:pPr>
        <w:spacing w:line="480" w:lineRule="auto"/>
        <w:rPr>
          <w:rFonts w:cs="Times New Roman"/>
          <w:color w:val="FF0000"/>
        </w:rPr>
      </w:pPr>
    </w:p>
    <w:p w14:paraId="796F0B26" w14:textId="77777777" w:rsidR="002632F3" w:rsidRPr="00A87961" w:rsidRDefault="00581195" w:rsidP="0011737C">
      <w:pPr>
        <w:spacing w:line="480" w:lineRule="auto"/>
        <w:rPr>
          <w:rFonts w:cs="Times New Roman"/>
          <w:color w:val="000000" w:themeColor="text1"/>
        </w:rPr>
      </w:pPr>
      <w:r w:rsidRPr="00A87961">
        <w:rPr>
          <w:rFonts w:cs="Times New Roman"/>
          <w:color w:val="000000" w:themeColor="text1"/>
        </w:rPr>
        <w:t xml:space="preserve">Strengths of this review include the following: (1) the search strategy was extensive, (2) each article was independently evaluated for inclusion by 2 reviewers independently evaluated each for eligibility, (3) risk of bias was assessed using the SYRCLE risk of bias tool and (4) the review used the PRISMA guidelines and checklist to structure the review. </w:t>
      </w:r>
    </w:p>
    <w:p w14:paraId="745B882E" w14:textId="77777777" w:rsidR="002632F3" w:rsidRPr="00A87961" w:rsidRDefault="002632F3" w:rsidP="0011737C">
      <w:pPr>
        <w:spacing w:line="480" w:lineRule="auto"/>
        <w:rPr>
          <w:rFonts w:cs="Times New Roman"/>
          <w:color w:val="000000" w:themeColor="text1"/>
        </w:rPr>
      </w:pPr>
    </w:p>
    <w:p w14:paraId="62F674C7" w14:textId="52035C90" w:rsidR="00581195" w:rsidRPr="00A87961" w:rsidRDefault="002632F3" w:rsidP="0011737C">
      <w:pPr>
        <w:spacing w:line="480" w:lineRule="auto"/>
        <w:rPr>
          <w:rFonts w:cs="Times New Roman"/>
          <w:color w:val="000000" w:themeColor="text1"/>
        </w:rPr>
      </w:pPr>
      <w:r w:rsidRPr="00A87961">
        <w:rPr>
          <w:rFonts w:cs="Times New Roman"/>
          <w:color w:val="000000" w:themeColor="text1"/>
        </w:rPr>
        <w:t xml:space="preserve">This review presents a qualitative, not quantitative, analysis of the existing literature. </w:t>
      </w:r>
      <w:r w:rsidR="00AE5BA1" w:rsidRPr="00A87961">
        <w:rPr>
          <w:rFonts w:cs="Times New Roman"/>
          <w:color w:val="000000" w:themeColor="text1"/>
        </w:rPr>
        <w:t xml:space="preserve">Meta-analysis was prevented by the </w:t>
      </w:r>
      <w:r w:rsidRPr="00A87961">
        <w:rPr>
          <w:rFonts w:cs="Times New Roman"/>
          <w:color w:val="000000" w:themeColor="text1"/>
        </w:rPr>
        <w:t>low number of studies included and the high degree of heterogeneity in injury model, drug, dose, route</w:t>
      </w:r>
      <w:r w:rsidR="00AE5BA1" w:rsidRPr="00A87961">
        <w:rPr>
          <w:rFonts w:cs="Times New Roman"/>
          <w:color w:val="000000" w:themeColor="text1"/>
        </w:rPr>
        <w:t xml:space="preserve"> </w:t>
      </w:r>
      <w:r w:rsidRPr="00A87961">
        <w:rPr>
          <w:rFonts w:cs="Times New Roman"/>
          <w:color w:val="000000" w:themeColor="text1"/>
        </w:rPr>
        <w:t>of administration,</w:t>
      </w:r>
      <w:r w:rsidR="00AE5BA1" w:rsidRPr="00A87961">
        <w:rPr>
          <w:rFonts w:cs="Times New Roman"/>
          <w:color w:val="000000" w:themeColor="text1"/>
        </w:rPr>
        <w:t xml:space="preserve"> timing of administration, outcome tools, timing of assessment. Overall quality of individual studies was poor due to small sample sizes and failure to satisfy </w:t>
      </w:r>
      <w:proofErr w:type="gramStart"/>
      <w:r w:rsidR="00AE5BA1" w:rsidRPr="00A87961">
        <w:rPr>
          <w:rFonts w:cs="Times New Roman"/>
          <w:color w:val="000000" w:themeColor="text1"/>
        </w:rPr>
        <w:t>a number of</w:t>
      </w:r>
      <w:proofErr w:type="gramEnd"/>
      <w:r w:rsidR="00AE5BA1" w:rsidRPr="00A87961">
        <w:rPr>
          <w:rFonts w:cs="Times New Roman"/>
          <w:color w:val="000000" w:themeColor="text1"/>
        </w:rPr>
        <w:t xml:space="preserve"> the components of the SYRCLE </w:t>
      </w:r>
      <w:r w:rsidR="00AE5BA1" w:rsidRPr="00A87961">
        <w:rPr>
          <w:rFonts w:cs="Times New Roman"/>
          <w:color w:val="000000" w:themeColor="text1"/>
        </w:rPr>
        <w:lastRenderedPageBreak/>
        <w:t>checklist.</w:t>
      </w:r>
      <w:r w:rsidRPr="00A87961">
        <w:rPr>
          <w:rFonts w:cs="Times New Roman"/>
          <w:color w:val="000000" w:themeColor="text1"/>
        </w:rPr>
        <w:t xml:space="preserve"> </w:t>
      </w:r>
      <w:r w:rsidR="00AE5BA1" w:rsidRPr="00A87961">
        <w:rPr>
          <w:rFonts w:cs="Times New Roman"/>
          <w:color w:val="000000" w:themeColor="text1"/>
        </w:rPr>
        <w:t>Furthermore, due to the relatively small amount of literature on the topic and reliance on what has been reported there is high risk of publication bias. Linking these pre-clinical results to potential clinical findings is difficult given the large differences between animal models of SCI and the injuries seen in patients</w:t>
      </w:r>
      <w:r w:rsidR="00994F79" w:rsidRPr="00A87961">
        <w:rPr>
          <w:rFonts w:cs="Times New Roman"/>
          <w:color w:val="000000" w:themeColor="text1"/>
        </w:rPr>
        <w:t>. Moreover, important side-effects such as sedation and addiction which may have clinical implications were not evaluated in this systematic review.</w:t>
      </w:r>
      <w:r w:rsidR="00AE5BA1" w:rsidRPr="00A87961">
        <w:rPr>
          <w:rFonts w:cs="Times New Roman"/>
          <w:color w:val="000000" w:themeColor="text1"/>
        </w:rPr>
        <w:t xml:space="preserve"> Additional l</w:t>
      </w:r>
      <w:r w:rsidR="00581195" w:rsidRPr="00A87961">
        <w:rPr>
          <w:rFonts w:cs="Times New Roman"/>
          <w:color w:val="000000" w:themeColor="text1"/>
        </w:rPr>
        <w:t xml:space="preserve">imitations include the exclusion of </w:t>
      </w:r>
      <w:r w:rsidR="00AE5BA1" w:rsidRPr="00A87961">
        <w:rPr>
          <w:rFonts w:cs="Times New Roman"/>
          <w:color w:val="000000" w:themeColor="text1"/>
        </w:rPr>
        <w:t xml:space="preserve">studies evaluating </w:t>
      </w:r>
      <w:r w:rsidR="003E51BC" w:rsidRPr="00A87961">
        <w:rPr>
          <w:rFonts w:cs="Times New Roman"/>
          <w:color w:val="000000" w:themeColor="text1"/>
        </w:rPr>
        <w:t xml:space="preserve">histological </w:t>
      </w:r>
      <w:r w:rsidR="00AE5BA1" w:rsidRPr="00A87961">
        <w:rPr>
          <w:rFonts w:cs="Times New Roman"/>
          <w:color w:val="000000" w:themeColor="text1"/>
        </w:rPr>
        <w:t xml:space="preserve">changes and those studies not in </w:t>
      </w:r>
      <w:r w:rsidR="00581195" w:rsidRPr="00A87961">
        <w:rPr>
          <w:rFonts w:cs="Times New Roman"/>
          <w:color w:val="000000" w:themeColor="text1"/>
        </w:rPr>
        <w:t xml:space="preserve">English language. </w:t>
      </w:r>
      <w:r w:rsidR="00DA1532" w:rsidRPr="00A87961">
        <w:rPr>
          <w:rFonts w:cs="Times New Roman"/>
          <w:color w:val="000000" w:themeColor="text1"/>
        </w:rPr>
        <w:t xml:space="preserve">Authors of included studies were not contacted to obtain additional information on unpublished or planned studies. </w:t>
      </w:r>
    </w:p>
    <w:p w14:paraId="4FE1FAC6" w14:textId="77777777" w:rsidR="00884FD5" w:rsidRPr="00A87961" w:rsidRDefault="00884FD5" w:rsidP="0011737C">
      <w:pPr>
        <w:spacing w:line="480" w:lineRule="auto"/>
        <w:rPr>
          <w:rFonts w:cs="Times New Roman"/>
          <w:b/>
          <w:bCs/>
        </w:rPr>
      </w:pPr>
    </w:p>
    <w:p w14:paraId="046D20F0" w14:textId="77777777" w:rsidR="00581195" w:rsidRPr="00A87961" w:rsidRDefault="00581195" w:rsidP="0011737C">
      <w:pPr>
        <w:spacing w:line="480" w:lineRule="auto"/>
        <w:rPr>
          <w:rFonts w:cs="Times New Roman"/>
          <w:b/>
          <w:bCs/>
        </w:rPr>
      </w:pPr>
      <w:r w:rsidRPr="00A87961">
        <w:rPr>
          <w:rFonts w:cs="Times New Roman"/>
          <w:b/>
          <w:bCs/>
        </w:rPr>
        <w:t>Conclusion</w:t>
      </w:r>
    </w:p>
    <w:p w14:paraId="49DAFCF4" w14:textId="34031948" w:rsidR="002C4AA1" w:rsidRPr="00A87961" w:rsidRDefault="0095383C" w:rsidP="0011737C">
      <w:pPr>
        <w:spacing w:line="480" w:lineRule="auto"/>
        <w:rPr>
          <w:rFonts w:cs="Times New Roman"/>
        </w:rPr>
      </w:pPr>
      <w:r w:rsidRPr="00A87961">
        <w:rPr>
          <w:rFonts w:cs="Times New Roman"/>
        </w:rPr>
        <w:t>The results of these studies demonstrate that m</w:t>
      </w:r>
      <w:r w:rsidR="00581195" w:rsidRPr="00A87961">
        <w:rPr>
          <w:rFonts w:cs="Times New Roman"/>
        </w:rPr>
        <w:t xml:space="preserve">odulation of the endo-cannabinoid system </w:t>
      </w:r>
      <w:r w:rsidRPr="00A87961">
        <w:rPr>
          <w:rFonts w:cs="Times New Roman"/>
        </w:rPr>
        <w:t xml:space="preserve">has </w:t>
      </w:r>
      <w:r w:rsidR="00581195" w:rsidRPr="00A87961">
        <w:rPr>
          <w:rFonts w:cs="Times New Roman"/>
        </w:rPr>
        <w:t xml:space="preserve">significant benefit for both pain and locomotor function across a range of pre-clinical models </w:t>
      </w:r>
      <w:r w:rsidRPr="00A87961">
        <w:rPr>
          <w:rFonts w:cs="Times New Roman"/>
        </w:rPr>
        <w:t>of</w:t>
      </w:r>
      <w:r w:rsidR="00581195" w:rsidRPr="00A87961">
        <w:rPr>
          <w:rFonts w:cs="Times New Roman"/>
        </w:rPr>
        <w:t xml:space="preserve"> acute spinal cord injury</w:t>
      </w:r>
      <w:r w:rsidR="00570D46" w:rsidRPr="00A87961">
        <w:rPr>
          <w:rFonts w:cs="Times New Roman"/>
        </w:rPr>
        <w:t xml:space="preserve">. </w:t>
      </w:r>
      <w:r w:rsidR="00DD3298" w:rsidRPr="00A87961">
        <w:rPr>
          <w:rFonts w:cs="Times New Roman"/>
        </w:rPr>
        <w:t>D</w:t>
      </w:r>
      <w:r w:rsidR="00884FD5" w:rsidRPr="00A87961">
        <w:rPr>
          <w:rFonts w:cs="Times New Roman"/>
        </w:rPr>
        <w:t xml:space="preserve">ue to low </w:t>
      </w:r>
      <w:r w:rsidR="002B0264" w:rsidRPr="00A87961">
        <w:rPr>
          <w:rFonts w:cs="Times New Roman"/>
        </w:rPr>
        <w:t xml:space="preserve">adherence of </w:t>
      </w:r>
      <w:r w:rsidR="00884FD5" w:rsidRPr="00A87961">
        <w:rPr>
          <w:rFonts w:cs="Times New Roman"/>
        </w:rPr>
        <w:t>reporting</w:t>
      </w:r>
      <w:r w:rsidR="00DD3298" w:rsidRPr="00A87961">
        <w:rPr>
          <w:rFonts w:cs="Times New Roman"/>
        </w:rPr>
        <w:t xml:space="preserve"> items on the SYRCLE checklist</w:t>
      </w:r>
      <w:r w:rsidR="00884FD5" w:rsidRPr="00A87961">
        <w:rPr>
          <w:rFonts w:cs="Times New Roman"/>
        </w:rPr>
        <w:t>,</w:t>
      </w:r>
      <w:r w:rsidR="00DD3298" w:rsidRPr="00A87961">
        <w:rPr>
          <w:rFonts w:cs="Times New Roman"/>
        </w:rPr>
        <w:t xml:space="preserve"> </w:t>
      </w:r>
      <w:r w:rsidR="00884FD5" w:rsidRPr="00A87961">
        <w:rPr>
          <w:rFonts w:cs="Times New Roman"/>
        </w:rPr>
        <w:t xml:space="preserve">the risk of bias and validity of the reported outcomes </w:t>
      </w:r>
      <w:r w:rsidR="002B0264" w:rsidRPr="00A87961">
        <w:rPr>
          <w:rFonts w:cs="Times New Roman"/>
        </w:rPr>
        <w:t>remains</w:t>
      </w:r>
      <w:r w:rsidR="00884FD5" w:rsidRPr="00A87961">
        <w:rPr>
          <w:rFonts w:cs="Times New Roman"/>
        </w:rPr>
        <w:t xml:space="preserve"> unclear</w:t>
      </w:r>
      <w:r w:rsidR="00570D46" w:rsidRPr="00A87961">
        <w:rPr>
          <w:rFonts w:cs="Times New Roman"/>
        </w:rPr>
        <w:t>.</w:t>
      </w:r>
      <w:r w:rsidR="000466D7" w:rsidRPr="00A87961">
        <w:rPr>
          <w:rFonts w:cs="Times New Roman"/>
        </w:rPr>
        <w:t xml:space="preserve"> Meta-analysis could not </w:t>
      </w:r>
      <w:r w:rsidR="00CF658C" w:rsidRPr="00A87961">
        <w:rPr>
          <w:rFonts w:cs="Times New Roman"/>
        </w:rPr>
        <w:t xml:space="preserve">be </w:t>
      </w:r>
      <w:r w:rsidR="000466D7" w:rsidRPr="00A87961">
        <w:rPr>
          <w:rFonts w:cs="Times New Roman"/>
        </w:rPr>
        <w:t>conducted due to small sample sizes and large variation in study design</w:t>
      </w:r>
      <w:r w:rsidR="00CF658C" w:rsidRPr="00A87961">
        <w:rPr>
          <w:rFonts w:cs="Times New Roman"/>
        </w:rPr>
        <w:t>. T</w:t>
      </w:r>
      <w:r w:rsidR="000466D7" w:rsidRPr="00A87961">
        <w:rPr>
          <w:rFonts w:cs="Times New Roman"/>
        </w:rPr>
        <w:t xml:space="preserve">his highlights the need for additional high-quality </w:t>
      </w:r>
      <w:r w:rsidR="002B0264" w:rsidRPr="00A87961">
        <w:rPr>
          <w:rFonts w:cs="Times New Roman"/>
        </w:rPr>
        <w:t xml:space="preserve">preclinical </w:t>
      </w:r>
      <w:r w:rsidR="000466D7" w:rsidRPr="00A87961">
        <w:rPr>
          <w:rFonts w:cs="Times New Roman"/>
        </w:rPr>
        <w:t xml:space="preserve">studies with consistent methodology to evaluate the efficacy of cannabinoids in treating SCI. Furthermore, before cannabinoids can be considered in the long-term management of SCI, extensive longitudinal studies are required to monitor the incidence of </w:t>
      </w:r>
      <w:r w:rsidR="002B0264" w:rsidRPr="00A87961">
        <w:rPr>
          <w:rFonts w:cs="Times New Roman"/>
        </w:rPr>
        <w:t xml:space="preserve">long-term </w:t>
      </w:r>
      <w:r w:rsidR="000466D7" w:rsidRPr="00A87961">
        <w:rPr>
          <w:rFonts w:cs="Times New Roman"/>
        </w:rPr>
        <w:t xml:space="preserve">side effects such as addiction and cognitive decline. </w:t>
      </w:r>
    </w:p>
    <w:p w14:paraId="4F2F5939" w14:textId="39DF3B66" w:rsidR="0095383C" w:rsidRPr="00A87961" w:rsidRDefault="0095383C" w:rsidP="0011737C">
      <w:pPr>
        <w:spacing w:line="480" w:lineRule="auto"/>
        <w:rPr>
          <w:rFonts w:cs="Times New Roman"/>
        </w:rPr>
      </w:pPr>
    </w:p>
    <w:p w14:paraId="56B921B6" w14:textId="1D32C4DD" w:rsidR="000466D7" w:rsidRPr="00A87961" w:rsidRDefault="000466D7" w:rsidP="0011737C">
      <w:pPr>
        <w:spacing w:line="480" w:lineRule="auto"/>
        <w:rPr>
          <w:rFonts w:cs="Times New Roman"/>
        </w:rPr>
      </w:pPr>
    </w:p>
    <w:p w14:paraId="3FB72468" w14:textId="77777777" w:rsidR="000466D7" w:rsidRPr="00A87961" w:rsidRDefault="000466D7" w:rsidP="0011737C">
      <w:pPr>
        <w:spacing w:line="480" w:lineRule="auto"/>
        <w:rPr>
          <w:rFonts w:cs="Times New Roman"/>
        </w:rPr>
      </w:pPr>
    </w:p>
    <w:p w14:paraId="2038A39A" w14:textId="0D299506" w:rsidR="00B24F7E" w:rsidRPr="00A87961" w:rsidRDefault="00B24F7E">
      <w:pPr>
        <w:spacing w:line="240" w:lineRule="auto"/>
        <w:rPr>
          <w:rFonts w:cs="Times New Roman"/>
        </w:rPr>
      </w:pPr>
      <w:r w:rsidRPr="00A87961">
        <w:rPr>
          <w:rFonts w:cs="Times New Roman"/>
        </w:rPr>
        <w:br w:type="page"/>
      </w:r>
    </w:p>
    <w:p w14:paraId="3EFCFDB0" w14:textId="77777777" w:rsidR="00A978BC" w:rsidRPr="00A87961" w:rsidRDefault="00A978BC" w:rsidP="00A978BC">
      <w:pPr>
        <w:spacing w:line="480" w:lineRule="auto"/>
        <w:rPr>
          <w:rFonts w:cs="Times New Roman"/>
          <w:b/>
          <w:bCs/>
        </w:rPr>
      </w:pPr>
      <w:r w:rsidRPr="00A87961">
        <w:rPr>
          <w:rFonts w:cs="Times New Roman"/>
          <w:b/>
          <w:bCs/>
        </w:rPr>
        <w:lastRenderedPageBreak/>
        <w:t xml:space="preserve">Data </w:t>
      </w:r>
      <w:r>
        <w:rPr>
          <w:rFonts w:cs="Times New Roman"/>
          <w:b/>
          <w:bCs/>
        </w:rPr>
        <w:t>Availability</w:t>
      </w:r>
      <w:r w:rsidRPr="00A87961">
        <w:rPr>
          <w:rFonts w:cs="Times New Roman"/>
          <w:b/>
          <w:bCs/>
        </w:rPr>
        <w:t xml:space="preserve">: </w:t>
      </w:r>
    </w:p>
    <w:p w14:paraId="0A9D2E65" w14:textId="518F8655" w:rsidR="00A978BC" w:rsidRDefault="00A978BC" w:rsidP="00A978BC">
      <w:pPr>
        <w:spacing w:line="480" w:lineRule="auto"/>
        <w:rPr>
          <w:rFonts w:cs="Times New Roman"/>
        </w:rPr>
      </w:pPr>
      <w:r w:rsidRPr="00A87961">
        <w:rPr>
          <w:rFonts w:cs="Times New Roman"/>
        </w:rPr>
        <w:t xml:space="preserve">Data </w:t>
      </w:r>
      <w:r>
        <w:rPr>
          <w:rFonts w:cs="Times New Roman"/>
        </w:rPr>
        <w:t>availability is</w:t>
      </w:r>
      <w:r w:rsidRPr="00A87961">
        <w:rPr>
          <w:rFonts w:cs="Times New Roman"/>
        </w:rPr>
        <w:t xml:space="preserve"> not applicable to this article as no datasets were generated or analysed during the current study. </w:t>
      </w:r>
    </w:p>
    <w:p w14:paraId="0A215F19" w14:textId="77777777" w:rsidR="00A978BC" w:rsidRPr="00A87961" w:rsidRDefault="00A978BC" w:rsidP="00A978BC">
      <w:pPr>
        <w:spacing w:line="480" w:lineRule="auto"/>
        <w:rPr>
          <w:rFonts w:cs="Times New Roman"/>
        </w:rPr>
      </w:pPr>
    </w:p>
    <w:p w14:paraId="37FD5B20" w14:textId="77777777" w:rsidR="00A978BC" w:rsidRPr="00A87961" w:rsidRDefault="00A978BC" w:rsidP="00A978BC">
      <w:pPr>
        <w:spacing w:line="480" w:lineRule="auto"/>
        <w:rPr>
          <w:rFonts w:cs="Times New Roman"/>
          <w:b/>
          <w:bCs/>
        </w:rPr>
      </w:pPr>
      <w:r w:rsidRPr="00A87961">
        <w:rPr>
          <w:rFonts w:cs="Times New Roman"/>
          <w:b/>
          <w:bCs/>
        </w:rPr>
        <w:t>References</w:t>
      </w:r>
    </w:p>
    <w:p w14:paraId="14BCB55E" w14:textId="2A0B2C23" w:rsidR="00C416DA" w:rsidRPr="00C416DA" w:rsidRDefault="00A978BC" w:rsidP="00C416DA">
      <w:pPr>
        <w:widowControl w:val="0"/>
        <w:autoSpaceDE w:val="0"/>
        <w:autoSpaceDN w:val="0"/>
        <w:adjustRightInd w:val="0"/>
        <w:spacing w:line="480" w:lineRule="auto"/>
        <w:ind w:left="640" w:hanging="640"/>
        <w:rPr>
          <w:rFonts w:cs="Times New Roman"/>
          <w:noProof/>
        </w:rPr>
      </w:pPr>
      <w:r w:rsidRPr="00A87961">
        <w:rPr>
          <w:rFonts w:cs="Times New Roman"/>
          <w:b/>
          <w:bCs/>
        </w:rPr>
        <w:fldChar w:fldCharType="begin" w:fldLock="1"/>
      </w:r>
      <w:r w:rsidRPr="00A87961">
        <w:rPr>
          <w:rFonts w:cs="Times New Roman"/>
          <w:b/>
          <w:bCs/>
        </w:rPr>
        <w:instrText xml:space="preserve">ADDIN Mendeley Bibliography CSL_BIBLIOGRAPHY </w:instrText>
      </w:r>
      <w:r w:rsidRPr="00A87961">
        <w:rPr>
          <w:rFonts w:cs="Times New Roman"/>
          <w:b/>
          <w:bCs/>
        </w:rPr>
        <w:fldChar w:fldCharType="separate"/>
      </w:r>
      <w:r w:rsidR="00C416DA" w:rsidRPr="00C416DA">
        <w:rPr>
          <w:rFonts w:cs="Times New Roman"/>
          <w:noProof/>
        </w:rPr>
        <w:t xml:space="preserve">1. </w:t>
      </w:r>
      <w:r w:rsidR="00C416DA" w:rsidRPr="00C416DA">
        <w:rPr>
          <w:rFonts w:cs="Times New Roman"/>
          <w:noProof/>
        </w:rPr>
        <w:tab/>
        <w:t>Bennett J, Das JM, Emmady PD. Spinal Cord Injuries. 2020 Nov 20 [cited 2020 Dec 15]; Available from: https://www.ncbi.nlm.nih.gov/books/NBK560721/</w:t>
      </w:r>
    </w:p>
    <w:p w14:paraId="26868F59"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 </w:t>
      </w:r>
      <w:r w:rsidRPr="00C416DA">
        <w:rPr>
          <w:rFonts w:cs="Times New Roman"/>
          <w:noProof/>
        </w:rPr>
        <w:tab/>
        <w:t>Wyndaele M, Wyndaele JJ. Incidence, prevalence and epidemiology of spinal cord injury: What learns a worldwide literature survey? [Internet]. Vol. 44, Spinal Cord. Spinal Cord; 2006 [cited 2020 Sep 12]. p. 523–9. Available from: https://pubmed.ncbi.nlm.nih.gov/16389270/</w:t>
      </w:r>
    </w:p>
    <w:p w14:paraId="133605A7"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 </w:t>
      </w:r>
      <w:r w:rsidRPr="00C416DA">
        <w:rPr>
          <w:rFonts w:cs="Times New Roman"/>
          <w:noProof/>
        </w:rPr>
        <w:tab/>
        <w:t>Singh A, Tetreault L, Kalsi-Ryan S, Nouri A, Fehlings MG. Global Prevalence and incidence of traumatic spinal cord injury [Internet]. Vol. 6, Clinical Epidemiology. Dove Medical Press Ltd; 2014 [cited 2020 Sep 12]. p. 309–31. Available from: /pmc/articles/PMC4179833/?report=abstract</w:t>
      </w:r>
    </w:p>
    <w:p w14:paraId="1A83939D"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 </w:t>
      </w:r>
      <w:r w:rsidRPr="00C416DA">
        <w:rPr>
          <w:rFonts w:cs="Times New Roman"/>
          <w:noProof/>
        </w:rPr>
        <w:tab/>
        <w:t>Davies BM, Mowforth OD, Smith EK, Kotter MRN. Degenerative cervical myelopathy. BMJ [Internet]. 2018 Feb 22 [cited 2020 Sep 12];360. Available from: www.myelopathy.org</w:t>
      </w:r>
    </w:p>
    <w:p w14:paraId="44C2AD80"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 </w:t>
      </w:r>
      <w:r w:rsidRPr="00C416DA">
        <w:rPr>
          <w:rFonts w:cs="Times New Roman"/>
          <w:noProof/>
        </w:rPr>
        <w:tab/>
        <w:t>Lim SW, Shiue YL, Ho CH, Yu SC, Kao PH, Wang JJ, et al. Anxiety and Depression in Patients with Traumatic Spinal Cord Injury: A nationwide population-based cohort study. PLoS One [Internet]. 2017 Jan 1 [cited 2020 Sep 12];12(1). Available from: /pmc/articles/PMC5231351/?report=abstract</w:t>
      </w:r>
    </w:p>
    <w:p w14:paraId="7B86DB91"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6. </w:t>
      </w:r>
      <w:r w:rsidRPr="00C416DA">
        <w:rPr>
          <w:rFonts w:cs="Times New Roman"/>
          <w:noProof/>
        </w:rPr>
        <w:tab/>
        <w:t xml:space="preserve">Widerström-Noga EG, Felipe-Cuervo E, Broton JG, Duncan RC, Yezierski RP. Perceived difficulty in dealing with consequences of spinal cord injury. Arch Phys Med Rehabil. 1999;80(5):580–6. </w:t>
      </w:r>
    </w:p>
    <w:p w14:paraId="7FA2423B"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lastRenderedPageBreak/>
        <w:t xml:space="preserve">7. </w:t>
      </w:r>
      <w:r w:rsidRPr="00C416DA">
        <w:rPr>
          <w:rFonts w:cs="Times New Roman"/>
          <w:noProof/>
        </w:rPr>
        <w:tab/>
        <w:t>Profyris C, Cheema SS, Zang DW, Azari MF, Boyle K, Petratos S. Degenerative and regenerative mechanisms governing spinal cord injury [Internet]. Vol. 15, Neurobiology of Disease. Neurobiol Dis; 2004 [cited 2020 Sep 13]. p. 415–36. Available from: https://pubmed.ncbi.nlm.nih.gov/15056450/</w:t>
      </w:r>
    </w:p>
    <w:p w14:paraId="0ED3DBAE"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8. </w:t>
      </w:r>
      <w:r w:rsidRPr="00C416DA">
        <w:rPr>
          <w:rFonts w:cs="Times New Roman"/>
          <w:noProof/>
        </w:rPr>
        <w:tab/>
        <w:t>Sekhon LHS, Fehlings MG. Epidemiology, demographics, and pathophysiology of acute spinal cord injury [Internet]. Vol. 26, Spine. Lippincott Williams and Wilkins; 2001 [cited 2020 Sep 13]. Available from: https://pubmed.ncbi.nlm.nih.gov/11805601/</w:t>
      </w:r>
    </w:p>
    <w:p w14:paraId="709F5AA1"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9. </w:t>
      </w:r>
      <w:r w:rsidRPr="00C416DA">
        <w:rPr>
          <w:rFonts w:cs="Times New Roman"/>
          <w:noProof/>
        </w:rPr>
        <w:tab/>
        <w:t>Cardenas DD, Jensen MP. Treatments for chronic pain in persons with spinal cord injury: A survey study. J Spinal Cord Med [Internet]. 2006 [cited 2020 Sep 13];29(2):109–17. Available from: https://www.tandfonline.com/doi/abs/10.1080/10790268.2006.11753864</w:t>
      </w:r>
    </w:p>
    <w:p w14:paraId="2C64CA1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10. </w:t>
      </w:r>
      <w:r w:rsidRPr="00C416DA">
        <w:rPr>
          <w:rFonts w:cs="Times New Roman"/>
          <w:noProof/>
        </w:rPr>
        <w:tab/>
        <w:t>Arevalo-Martin A, Garcia-Ovejero D, Molina-Holgado E. The endocannabinoid 2-arachidonoylglycerol reduces lesion expansion and white matter damage after spinal cord injury  [Internet]. Vol. 38, Neurobiology of Disease . (Arevalo-Martin, Garcia-Ovejero, Molina-Holgado) Laboratorio de Neuroinflamacion, Unidad de Neurologia Experimental, Hospital Nacional de Paraplejicos (SESCAM), 45071 Toledo, Spain  A. Arevalo-Martin, Laboratorio de Neuroinflamacion, Unidad de Neurologia ; 2010. p. 304–12. Available from: https://ovidsp.ovid.com/athens/ovidweb.cgi?T=JS&amp;CSC=Y&amp;NEWS=N&amp;PAGE=fulltext&amp;D=emed11&amp;AN=50822802  https://cambridge-primo.hosted.exlibrisgroup.com/openurl/44CAM/44CAM_services_page?sid=OVID:embase&amp;id=pmid:20156559&amp;id=doi:10.1016%2Fj.nbd.2010.02.002&amp;issn=09</w:t>
      </w:r>
    </w:p>
    <w:p w14:paraId="31A910D9"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11. </w:t>
      </w:r>
      <w:r w:rsidRPr="00C416DA">
        <w:rPr>
          <w:rFonts w:cs="Times New Roman"/>
          <w:noProof/>
        </w:rPr>
        <w:tab/>
        <w:t xml:space="preserve">Garcia-Ovejero D, Arevalo-Martin A, Petrosino S, Docagne F, Hagen C, Bisogno T, et al. The endocannabinoid system is modulated in response to spinal cord injury in rats. Neurobiol Dis [Internet]. 2009 Jan [cited 2020 Sep 13];33(1):57–71. Available from: </w:t>
      </w:r>
      <w:r w:rsidRPr="00C416DA">
        <w:rPr>
          <w:rFonts w:cs="Times New Roman"/>
          <w:noProof/>
        </w:rPr>
        <w:lastRenderedPageBreak/>
        <w:t>https://pubmed.ncbi.nlm.nih.gov/18930143/</w:t>
      </w:r>
    </w:p>
    <w:p w14:paraId="3DF8156C"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12. </w:t>
      </w:r>
      <w:r w:rsidRPr="00C416DA">
        <w:rPr>
          <w:rFonts w:cs="Times New Roman"/>
          <w:noProof/>
        </w:rPr>
        <w:tab/>
        <w:t>Amantea D, Spagnuolo P, Bari M, Fezza F, Mazzei C, Tassorelli C, et al. Modulation of the endocannabinoid system by focal brain ischemia in the rat is involved in neuroprotection afforded by 17beta-estradiol  [Internet]. Vol. 274, FEBS Journal . (Amantea, Spagnuolo, Mazzei, Morrone, Bagetta) Department of Pharmacobiology, University Center for the Study of Adaptive Disorder and Headache (UCADH), University of Calabria, Rende (CS), Italy (Spagnuolo, Bari, Fezza) Department of Experimental Medicine; 2007. p. 4464–75. Available from: https://ovidsp.ovid.com/athens/ovidweb.cgi?T=JS&amp;CSC=Y&amp;NEWS=N&amp;PAGE=fulltext&amp;D=emed10&amp;AN=47301708  https://cambridge-primo.hosted.exlibrisgroup.com/openurl/44CAM/44CAM_services_page?sid=OVID:embase&amp;id=pmid:17666109&amp;id=doi:10.1111%2Fj.1742-4658.2007.05975.x&amp;</w:t>
      </w:r>
    </w:p>
    <w:p w14:paraId="715A99BD"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13. </w:t>
      </w:r>
      <w:r w:rsidRPr="00C416DA">
        <w:rPr>
          <w:rFonts w:cs="Times New Roman"/>
          <w:noProof/>
        </w:rPr>
        <w:tab/>
        <w:t>Panikashvili D, Simeonidou C, Ben-Shabat S, Hanus L, Breuer A, Mechoulam R, et al. An endogenous cannabinoid (2-AG) is neuroprotective after brain injury  [Internet]. Vol. 413, Nature . (Panikashvili, Simeonidou, Shohami) Department of Pharmacology, Medical Faculty, Hebrew University, Jerusalem 91120, Israel (Panikashvili, Ben-Shabat, Hanus, Breuer, Mechoulam) Department of Medicinal Chemistry and Natural Products, Medical Faculty, Hebre; 2001. p. 527–31. Available from: https://ovidsp.ovid.com/athens/ovidweb.cgi?T=JS&amp;CSC=Y&amp;NEWS=N&amp;PAGE=fulltext&amp;D=emed7&amp;AN=32938751  https://cambridge-primo.hosted.exlibrisgroup.com/openurl/44CAM/44CAM_services_page?sid=OVID:embase&amp;id=pmid:11586361&amp;id=doi:10.1038%2F35097089&amp;issn=0028-0836&amp;is</w:t>
      </w:r>
    </w:p>
    <w:p w14:paraId="3BC8C8C5"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14. </w:t>
      </w:r>
      <w:r w:rsidRPr="00C416DA">
        <w:rPr>
          <w:rFonts w:cs="Times New Roman"/>
          <w:noProof/>
        </w:rPr>
        <w:tab/>
        <w:t xml:space="preserve">Van Der Flier FE, Kwee CMB, Cath DC, Batelaan NM, Groenink L, Duits P, et al. Cannabidiol enhancement of exposure therapy in treatment refractory patients with phobias: Study protocol of a randomized controlled trial. BMC Psychiatry [Internet]. </w:t>
      </w:r>
      <w:r w:rsidRPr="00C416DA">
        <w:rPr>
          <w:rFonts w:cs="Times New Roman"/>
          <w:noProof/>
        </w:rPr>
        <w:lastRenderedPageBreak/>
        <w:t>2019 Feb 13 [cited 2020 Dec 15];19(1):69. Available from: https://bmcpsychiatry.biomedcentral.com/articles/10.1186/s12888-019-2022-x</w:t>
      </w:r>
    </w:p>
    <w:p w14:paraId="20CAF0A1"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15. </w:t>
      </w:r>
      <w:r w:rsidRPr="00C416DA">
        <w:rPr>
          <w:rFonts w:cs="Times New Roman"/>
          <w:noProof/>
        </w:rPr>
        <w:tab/>
        <w:t>ISRCTN - ISRCTN87895237: Multi-centre trial of cannabidiol (CBD) for the treatment of Parkinson’s disease psychosis [Internet]. [cited 2020 Dec 15]. Available from: http://www.isrctn.com/ISRCTN87895237</w:t>
      </w:r>
    </w:p>
    <w:p w14:paraId="247E19C5"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16. </w:t>
      </w:r>
      <w:r w:rsidRPr="00C416DA">
        <w:rPr>
          <w:rFonts w:cs="Times New Roman"/>
          <w:noProof/>
        </w:rPr>
        <w:tab/>
        <w:t>Efficacy and Safety of Cannabidiol Oral Solution (GWP42003-P, CBD-OS) in Patients With Rett Syndrome - Full Text View - ClinicalTrials.gov [Internet]. [cited 2020 Dec 15]. Available from: https://clinicaltrials.gov/ct2/show/NCT03848832</w:t>
      </w:r>
    </w:p>
    <w:p w14:paraId="14AF66C5"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17. </w:t>
      </w:r>
      <w:r w:rsidRPr="00C416DA">
        <w:rPr>
          <w:rFonts w:cs="Times New Roman"/>
          <w:noProof/>
        </w:rPr>
        <w:tab/>
        <w:t>A Randomized Controlled Trial of Cannabidiol (GWP42003-P, CBD) for Seizures in Tuberous Sclerosis Complex (GWPCARE6) - Full Text View - ClinicalTrials.gov [Internet]. [cited 2020 Dec 15]. Available from: https://clinicaltrials.gov/ct2/show/NCT02544763</w:t>
      </w:r>
    </w:p>
    <w:p w14:paraId="280662FE"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18. </w:t>
      </w:r>
      <w:r w:rsidRPr="00C416DA">
        <w:rPr>
          <w:rFonts w:cs="Times New Roman"/>
          <w:noProof/>
        </w:rPr>
        <w:tab/>
        <w:t>Booz GW. Cannabidiol as an emergent therapeutic strategy for lessening the impact of inflammation on oxidative stress  [Internet]. Vol. 51, Free Radical Biology and Medicine . (Booz) Department of Pharmacology and Toxicology, School of Medicine, University of Mississippi Medical Center, Jackson, MS 39216, United States  G.W. Booz, Department of Pharmacology and Toxicology, School of Medicine, University of Mississippi Medical C; 2011. p. 1054–61. Available from: https://ovidsp.ovid.com/athens/ovidweb.cgi?T=JS&amp;CSC=Y&amp;NEWS=N&amp;PAGE=fulltext&amp;D=emed12&amp;AN=51269220  https://cambridge-primo.hosted.exlibrisgroup.com/openurl/44CAM/44CAM_services_page?sid=OVID:embase&amp;id=pmid:21238581&amp;id=doi:10.1016%2Fj.freeradbiomed.2011.01.0</w:t>
      </w:r>
    </w:p>
    <w:p w14:paraId="1810726F"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19. </w:t>
      </w:r>
      <w:r w:rsidRPr="00C416DA">
        <w:rPr>
          <w:rFonts w:cs="Times New Roman"/>
          <w:noProof/>
        </w:rPr>
        <w:tab/>
        <w:t xml:space="preserve">Kozela E, Juknat A, Gao F, Kaushansky N, Coppola G, Vogel Z. Pathways and gene networks mediating the regulatory effects of cannabidiol, a nonpsychoactive cannabinoid, in autoimmune T cells  [Internet]. Vol. 13, Journal of Neuroinflammation </w:t>
      </w:r>
      <w:r w:rsidRPr="00C416DA">
        <w:rPr>
          <w:rFonts w:cs="Times New Roman"/>
          <w:noProof/>
        </w:rPr>
        <w:lastRenderedPageBreak/>
        <w:t>. Kozela, Ewa. The Dr Miriam and Sheldon G. Adelson Center for the Biology of Addictive Diseases, Sackler Faculty of Medicine, Tel Aviv University, Tel Aviv, 6997801, Israel. kozelae@post.tau.ac.il.  Kozela, Ewa. Department of Neurobiology, Weizmann Institu; 2016. p. 136. Available from: https://ovidsp.ovid.com/athens/ovidweb.cgi?T=JS&amp;CSC=Y&amp;NEWS=N&amp;PAGE=fulltext&amp;D=med12&amp;AN=27256343  https://cambridge-primo.hosted.exlibrisgroup.com/openurl/44CAM/44CAM_services_page?sid=OVID:medline&amp;id=pmid:27256343&amp;id=doi:10.1186%2Fs12974-016-0603-x&amp;issn=17</w:t>
      </w:r>
    </w:p>
    <w:p w14:paraId="4A02BCBA"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20. </w:t>
      </w:r>
      <w:r w:rsidRPr="00C416DA">
        <w:rPr>
          <w:rFonts w:cs="Times New Roman"/>
          <w:noProof/>
        </w:rPr>
        <w:tab/>
        <w:t>Arevalo-Martin A, Garcia-Ovejero D, Gomez O, Rubio-Araiz A, Navarro-Galve B, Guaza C, et al. CB2 cannabinoid receptors as an emerging target for demyelinating diseases: from neuroimmune interactions to cell replacement strategies  [Internet]. Vol. 153, British Journal of Pharmacology . (Arevalo-Martin, Garcia-Ovejero, Gomez, Rubio-Araiz, Navarro-Galve, Molina-Holgado) Laboratory of Neuroinflammation, Unidad de Neurologia Experimental, Hospital Nacional de Paraplejicos (SESCAM), 45071 Toledo, Spain (Arevalo-Martin, Garcia-Ovejero, Gomez,; 2008. p. 216–25. Available from: https://ovidsp.ovid.com/athens/ovidweb.cgi?T=JS&amp;CSC=Y&amp;NEWS=N&amp;PAGE=fulltext&amp;D=med6&amp;AN=17891163  https://cambridge-primo.hosted.exlibrisgroup.com/openurl/44CAM/44CAM_services_page?sid=OVID:medline&amp;id=pmid:17891163&amp;id=doi:10.1038%2Fsj.bjp.0707466&amp;issn=0007-1</w:t>
      </w:r>
    </w:p>
    <w:p w14:paraId="660F1272"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21. </w:t>
      </w:r>
      <w:r w:rsidRPr="00C416DA">
        <w:rPr>
          <w:rFonts w:cs="Times New Roman"/>
          <w:noProof/>
        </w:rPr>
        <w:tab/>
        <w:t xml:space="preserve">Fernandez-Lopez D, Pradillo JM, Garcia-Yebenes I, Martinez-Orgado JA, Moro MA, Lizasoain I. The cannabinoid WIN55212-2 promotes neural repair after neonatal hypoxia-ischemia  [Internet]. Vol. 41, Stroke . (Fernandez-Lopez, Pradillo, Garcia-Yebenes, Moro, Lizasoain) Unidad de Investigacion Neurovascular, Departamento de Farmacologia, Universidad Complutense de Madrid, Madrid, Spain (Martinez-Orgado) </w:t>
      </w:r>
      <w:r w:rsidRPr="00C416DA">
        <w:rPr>
          <w:rFonts w:cs="Times New Roman"/>
          <w:noProof/>
        </w:rPr>
        <w:lastRenderedPageBreak/>
        <w:t>Departamento de Neonatologia y Pediatria, Hospital Univers; 2010. p. 2956–64. Available from: https://ovidsp.ovid.com/athens/ovidweb.cgi?T=JS&amp;CSC=Y&amp;NEWS=N&amp;PAGE=fulltext&amp;D=emed11&amp;AN=51121494  https://cambridge-primo.hosted.exlibrisgroup.com/openurl/44CAM/44CAM_services_page?sid=OVID:embase&amp;id=pmid:21115947&amp;id=doi:10.1161%2FSTROKEAHA.110.599357&amp;issn</w:t>
      </w:r>
    </w:p>
    <w:p w14:paraId="6B438850"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22. </w:t>
      </w:r>
      <w:r w:rsidRPr="00C416DA">
        <w:rPr>
          <w:rFonts w:cs="Times New Roman"/>
          <w:noProof/>
        </w:rPr>
        <w:tab/>
        <w:t>Desroches J, Charron S, Bouchard JF, Beaulieu P. Endocannabinoids decrease neuropathic pain-related behavior in mice through the activation of one or both peripheral CB1 and CB2 receptors  [Internet]. Vol. 77, Neuropharmacology . Desroches, Julie. Department of Pharmacology, Universite de Montreal, Montreal, Quebec, Canada.  Charron, Sophie. Faculty of Medicine, School of Optometry, Universite de Montreal, Montreal, Quebec, Canada.  Bouchard, Jean-Francois. Faculty of Medicine, Sc; 2014. p. 441–52. Available from: https://ovidsp.ovid.com/athens/ovidweb.cgi?T=JS&amp;CSC=Y&amp;NEWS=N&amp;PAGE=fulltext&amp;D=med10&amp;AN=24148808  https://cambridge-primo.hosted.exlibrisgroup.com/openurl/44CAM/44CAM_services_page?sid=OVID:medline&amp;id=pmid:24148808&amp;id=doi:10.1016%2Fj.neuropharm.2013.10.006&amp;</w:t>
      </w:r>
    </w:p>
    <w:p w14:paraId="18D14A4B"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23. </w:t>
      </w:r>
      <w:r w:rsidRPr="00C416DA">
        <w:rPr>
          <w:rFonts w:cs="Times New Roman"/>
          <w:noProof/>
        </w:rPr>
        <w:tab/>
        <w:t>Nabata KJ, Tse EK, Nightingale TE, Lee AHX, Eng JJ, Querée M, et al. The Therapeutic Potential and Usage Patterns of Cannabinoids in People with Spinal Cord Injuries: A Systematic Review. Curr Neuropharmacol [Internet]. 2021 Mar 15 [cited 2021 Mar 24];19(3):402–32. Available from: https://www.eurekaselect.com/181078/article</w:t>
      </w:r>
    </w:p>
    <w:p w14:paraId="301BE202"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24. </w:t>
      </w:r>
      <w:r w:rsidRPr="00C416DA">
        <w:rPr>
          <w:rFonts w:cs="Times New Roman"/>
          <w:noProof/>
        </w:rPr>
        <w:tab/>
        <w:t xml:space="preserve">Fisher E, Moore RA, Fogarty AE, Finn DP, Finnerup NB, Gilron I. Medicine for Pain Management : a Systematic Review of Randomised Controlled Trials. Pain. 2020;00(00). </w:t>
      </w:r>
    </w:p>
    <w:p w14:paraId="38BA3A7F"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lastRenderedPageBreak/>
        <w:t xml:space="preserve">25. </w:t>
      </w:r>
      <w:r w:rsidRPr="00C416DA">
        <w:rPr>
          <w:rFonts w:cs="Times New Roman"/>
          <w:noProof/>
        </w:rPr>
        <w:tab/>
        <w:t xml:space="preserve">Soliman N, Haroutounian S, Hohmann AG, Krane E, Liao J, Macleod M, et al. Systematic review and meta-analysis of cannabinoids, cannabis-based medicines, and endocannabinoid system modulators tested for antinociceptive effects in animal models of injury-related or pathological persistent pain. Pain. 2020;Publish Ah:26–44. </w:t>
      </w:r>
    </w:p>
    <w:p w14:paraId="5B62F6D2"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26. </w:t>
      </w:r>
      <w:r w:rsidRPr="00C416DA">
        <w:rPr>
          <w:rFonts w:cs="Times New Roman"/>
          <w:noProof/>
        </w:rPr>
        <w:tab/>
        <w:t>Davies BM, Khan DZ, Mowforth OD, McNair AGK, Gronlund T, Kolias AG, et al. RE-CODE DCM (REsearch Objectives and Common Data Elements for Degenerative Cervical Myelopathy): A Consensus Process to Improve Research Efficiency in DCM, Through Establishment of a Standardized Dataset for Clinical Research and the Definition of the Research Priorities. Glob Spine J [Internet]. 2019 May 1 [cited 2021 Jun 24];9(1_suppl):65S-76S. Available from: /pmc/articles/PMC6512197/</w:t>
      </w:r>
    </w:p>
    <w:p w14:paraId="7EA3CA9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27. </w:t>
      </w:r>
      <w:r w:rsidRPr="00C416DA">
        <w:rPr>
          <w:rFonts w:cs="Times New Roman"/>
          <w:noProof/>
        </w:rPr>
        <w:tab/>
        <w:t>Moher D, Liberati A, Tetzlaff J, Altman DG. Preferred Reporting Items for Systematic Reviews and Meta-Analyses: The PRISMA Statement. PLoS Med [Internet]. 2009 Jul 21 [cited 2020 Aug 24];6(7):e1000097. Available from: https://dx.plos.org/10.1371/journal.pmed.1000097</w:t>
      </w:r>
    </w:p>
    <w:p w14:paraId="6C9F6601"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28. </w:t>
      </w:r>
      <w:r w:rsidRPr="00C416DA">
        <w:rPr>
          <w:rFonts w:cs="Times New Roman"/>
          <w:noProof/>
        </w:rPr>
        <w:tab/>
        <w:t>Campbell M, McKenzie JE, Sowden A, Katikireddi SV, Brennan SE, Ellis S, et al. Synthesis without meta-analysis (SWiM) in systematic reviews: Reporting guideline. BMJ [Internet]. 2020 Jan 16 [cited 2021 Apr 11];368. Available from: http://dx.doi.org/10.1136/bmj.l6890http://www.bmj.com/</w:t>
      </w:r>
    </w:p>
    <w:p w14:paraId="3A193744"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29. </w:t>
      </w:r>
      <w:r w:rsidRPr="00C416DA">
        <w:rPr>
          <w:rFonts w:cs="Times New Roman"/>
          <w:noProof/>
        </w:rPr>
        <w:tab/>
        <w:t>Hooijmans CR, Rovers MM, De Vries RBM, Leenaars M, Ritskes-Hoitinga M, Langendam MW. SYRCLE’s risk of bias tool for animal studies. BMC Med Res Methodol [Internet]. 2014 Mar 26 [cited 2020 Aug 24];14(1):43. Available from: https://bmcmedresmethodol.biomedcentral.com/articles/10.1186/1471-2288-14-43</w:t>
      </w:r>
    </w:p>
    <w:p w14:paraId="7469EBC4"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30. </w:t>
      </w:r>
      <w:r w:rsidRPr="00C416DA">
        <w:rPr>
          <w:rFonts w:cs="Times New Roman"/>
          <w:noProof/>
        </w:rPr>
        <w:tab/>
        <w:t xml:space="preserve">Ahmed MM, Rajpal S, Sweeney C, Gerovac TA, Allcock B, McChesney S, et al. Cannabinoid subtype-2 receptors modulate the antihyperalgesic effect of WIN 55,212-2 in rats with neuropathic spinal cord injury pain  [Internet]. Vol. 10, Spine Journal . </w:t>
      </w:r>
      <w:r w:rsidRPr="00C416DA">
        <w:rPr>
          <w:rFonts w:cs="Times New Roman"/>
          <w:noProof/>
        </w:rPr>
        <w:lastRenderedPageBreak/>
        <w:t>(Ahmed, Rajpal, Sweeney, Gerovac, Allcock, McChesney, Patel, Tilghman, Miranpuri, Resnick) Department of Neurological Surgery, University of Wisconsin, School of Medicine and Public Health, 600 Highland Ave., Madison, WI 53792, United States  D. K. Resnic; 2010. p. 1049–54. Available from: https://ovidsp.ovid.com/athens/ovidweb.cgi?T=JS&amp;CSC=Y&amp;NEWS=N&amp;PAGE=fulltext&amp;D=emed11&amp;AN=51095068  https://cambridge-primo.hosted.exlibrisgroup.com/openurl/44CAM/44CAM_services_page?sid=OVID:embase&amp;id=pmid:20920894&amp;id=doi:10.1016%2Fj.spinee.2010.08.015&amp;issn</w:t>
      </w:r>
    </w:p>
    <w:p w14:paraId="1E86A3A9"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31. </w:t>
      </w:r>
      <w:r w:rsidRPr="00C416DA">
        <w:rPr>
          <w:rFonts w:cs="Times New Roman"/>
          <w:noProof/>
        </w:rPr>
        <w:tab/>
        <w:t>Arevalo-Martin A, Garcia-Ovejero D, Sierra-Palomares Y, Paniagua-Torija B, Gonzalez-Gil I, Ortega-Gutierrez S, et al. Early Endogenous Activation of CB1 and CB2 Receptors after Spinal Cord Injury Is a Protective Response Involved in Spontaneous Recovery  [Internet]. Vol. 7, PLoS ONE . (Arevalo-Martin, Garcia-Ovejero, Sierra-Palomares, Paniagua-Torija, Molina-Holgado) Laboratorio de Neuroinflamacion, Hospital Nacional de Paraplejicos, SESCAM, Toledo, Spain (Gonzalez-Gil, Ortega-Gutierrez) Departamento de Quimica Organica I, Facultad de ; 2012. Available from: http://www.plosone.org/article/fetchObjectAttachment.action?uri=info%3Adoi%2F10.1371%2Fjournal.pone.0049057&amp;representation=PDF  https://ovidsp.ovid.com/athens/ovidweb.cgi?T=JS&amp;CSC=Y&amp;NEWS=N&amp;PAGE=fulltext&amp;D=emed13&amp;AN=366043267  https://cambridge-primo.hoste</w:t>
      </w:r>
    </w:p>
    <w:p w14:paraId="2E413BC6"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32. </w:t>
      </w:r>
      <w:r w:rsidRPr="00C416DA">
        <w:rPr>
          <w:rFonts w:cs="Times New Roman"/>
          <w:noProof/>
        </w:rPr>
        <w:tab/>
        <w:t xml:space="preserve">Latini L, Bisicchia E, Sasso V, Chiurchiu V, Cavallucci V, Molinari M, et al. Cannabinoid CB2 receptor (CB2R) stimulation delays rubrospinal mitochondrial-dependent degeneration and improves functional recovery after spinal cord hemisection by ERK1/2 inactivation  [Internet]. Vol. 5, Cell Death and Disease . (Latini, Bisicchia, Sasso, Chiurchiu, Cavallucci, Molinari, Maccarrone, Viscomi) </w:t>
      </w:r>
      <w:r w:rsidRPr="00C416DA">
        <w:rPr>
          <w:rFonts w:cs="Times New Roman"/>
          <w:noProof/>
        </w:rPr>
        <w:lastRenderedPageBreak/>
        <w:t>Santa Lucia Foundation, IRCCS 65, Via Ardeatina 354, Rome 00179, Italy (Chiurchiu) Faculty of Veterinary Medicine, University of Teramo, Teramo, Italy (Maccarrone) Center of ; 2014. Available from: http://www.nature.com/cddis/marketing/index.html  https://ovidsp.ovid.com/athens/ovidweb.cgi?T=JS&amp;CSC=Y&amp;NEWS=N&amp;PAGE=fulltext&amp;D=emed15&amp;AN=603835153  https://cambridge-primo.hosted.exlibrisgroup.com/openurl/44CAM/44CAM_services_page?sid=OVID:embase&amp;id=pmid:</w:t>
      </w:r>
    </w:p>
    <w:p w14:paraId="179EE94F"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33. </w:t>
      </w:r>
      <w:r w:rsidRPr="00C416DA">
        <w:rPr>
          <w:rFonts w:cs="Times New Roman"/>
          <w:noProof/>
        </w:rPr>
        <w:tab/>
        <w:t>Su BX, Chen X, Huo J, Guo SY, Ma R, Liu YW. The synthetic cannabinoid WIN55212-2 ameliorates traumatic spinal cord injury via inhibition of GAPDH/Siah1 in a CB2-receptor dependent manner  [Internet]. Vol. 1671, Brain Research . (Su, Huo, Ma) Department of Anesthesiology, Xijing Hospital, Fourth Military Medical University, Xi’an 710032, China (Chen) Department of Anesthesiology, Shaanxi Provincial People’s Hospital, Xi’an 710068, China (Guo) Department of Pharmaceutics, Tangdu H; 2017. p. 85–92. Available from: http://www.elsevier.com/locate/bri  https://ovidsp.ovid.com/athens/ovidweb.cgi?T=JS&amp;CSC=Y&amp;NEWS=N&amp;PAGE=fulltext&amp;D=emed18&amp;AN=617384164  https://cambridge-primo.hosted.exlibrisgroup.com/openurl/44CAM/44CAM_services_page?sid=OVID:embase&amp;id=pmid:28716633&amp;id=do</w:t>
      </w:r>
    </w:p>
    <w:p w14:paraId="46692F06"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34. </w:t>
      </w:r>
      <w:r w:rsidRPr="00C416DA">
        <w:rPr>
          <w:rFonts w:cs="Times New Roman"/>
          <w:noProof/>
        </w:rPr>
        <w:tab/>
        <w:t xml:space="preserve">Su B, Dong H, Ma R, Zhang X, Ding Q, Xiong L. Cannabinoid 1 receptor mediation of spinal cord ischemic tolerance induced by limb remote ischemia preconditioning in rats  [Internet]. Vol. 138, Journal of Thoracic and Cardiovascular Surgery . (Su, Dong, Ma, Zhang, Ding, Xiong) Department of Anesthesiology, Xijing Hospital, Fourth Military Medical University, Xi’an, Shaanxi, China  L. Xiong, Department of </w:t>
      </w:r>
      <w:r w:rsidRPr="00C416DA">
        <w:rPr>
          <w:rFonts w:cs="Times New Roman"/>
          <w:noProof/>
        </w:rPr>
        <w:lastRenderedPageBreak/>
        <w:t>Anesthesiology, Xijing Hospital, Fourth Military Medical University, Xi’an, Shaanxi, China; 2009. p. 1409–16. Available from: https://ovidsp.ovid.com/athens/ovidweb.cgi?T=JS&amp;CSC=Y&amp;NEWS=N&amp;PAGE=fulltext&amp;D=emed11&amp;AN=50620853  https://cambridge-primo.hosted.exlibrisgroup.com/openurl/44CAM/44CAM_services_page?sid=OVID:embase&amp;id=pmid:19709680&amp;id=doi:10.1016%2Fj.jtcvs.2009.07.014&amp;issn=</w:t>
      </w:r>
    </w:p>
    <w:p w14:paraId="4C3DE347"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35. </w:t>
      </w:r>
      <w:r w:rsidRPr="00C416DA">
        <w:rPr>
          <w:rFonts w:cs="Times New Roman"/>
          <w:noProof/>
        </w:rPr>
        <w:tab/>
        <w:t>Hama A, Sagen J. Antinociceptive effect of cannabinoid agonist WIN 55,212-2 in rats with a spinal cord injury  [Internet]. Vol. 204, Experimental Neurology . (Hama, Sagen) University of Miami Miller School of Medicine, The Miami Project to Cure Paralysis, 1095 NW 14th Terrace, (R-48), Miami, FL 33136, United States  A. Hama, University of Miami Miller School of Medicine, The Miami Project to Cure Paralysis, 10; 2007. p. 454–7. Available from: https://ovidsp.ovid.com/athens/ovidweb.cgi?T=JS&amp;CSC=Y&amp;NEWS=N&amp;PAGE=fulltext&amp;D=emed10&amp;AN=46330252  https://cambridge-primo.hosted.exlibrisgroup.com/openurl/44CAM/44CAM_services_page?sid=OVID:embase&amp;id=pmid:17045264&amp;id=doi:10.1016%2Fj.expneurol.2006.09.002&amp;i</w:t>
      </w:r>
    </w:p>
    <w:p w14:paraId="7D44FC6C"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36. </w:t>
      </w:r>
      <w:r w:rsidRPr="00C416DA">
        <w:rPr>
          <w:rFonts w:cs="Times New Roman"/>
          <w:noProof/>
        </w:rPr>
        <w:tab/>
        <w:t>Hama A, Sagen J. Sustained antinociceptive effect of cannabinoid receptor agonist WIN 55,212-2 over time in rat model of neuropathic spinal cord injury pain  [Internet]. Vol. 46, Journal of Rehabilitation Research and Development . (Hama, Sagen) Miami Project to Cure Paralysis, University of Miami Leonard M. Miller School of Medicine, Miami, FL, United States (Hama) Miami Project to Cure Paralysis, University of Miami Leonard M. Miller School of Medicine, 1095 NW 14th Terrace (R-48); 2009. p. 135–44. Available from: http://www.rehab.research.va.gov/jour/09/46/1/pdf/hama.pdf  https://ovidsp.ovid.com/athens/ovidweb.cgi?T=JS&amp;CSC=Y&amp;NEWS=N&amp;PAGE=fullt</w:t>
      </w:r>
      <w:r w:rsidRPr="00C416DA">
        <w:rPr>
          <w:rFonts w:cs="Times New Roman"/>
          <w:noProof/>
        </w:rPr>
        <w:lastRenderedPageBreak/>
        <w:t>ext&amp;D=emed11&amp;AN=354618147  https://cambridge-primo.hosted.exlibrisgroup.com/openurl/44CAM/44CAM_services_page?sid=OVID:embas</w:t>
      </w:r>
    </w:p>
    <w:p w14:paraId="5A94AF12"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37. </w:t>
      </w:r>
      <w:r w:rsidRPr="00C416DA">
        <w:rPr>
          <w:rFonts w:cs="Times New Roman"/>
          <w:noProof/>
        </w:rPr>
        <w:tab/>
        <w:t>Hama AT, Sagen J. Cannabinoid receptor-mediated antinociception with acetaminophen drug combinations in rats with neuropathic spinal cord injury pain  [Internet]. Vol. 58, Neuropharmacology . (Hama, Sagen) The Miami Project to Cure Paralysis, University of Miami Miller School of Medicine, 1095 NW 14th Terrace (R-48), Miami, FL 33136, United States  A.T. Hama, The Miami Project to Cure Paralysis, University of Miami Miller School of Medicine, 1; 2010. p. 758–66. Available from: https://ovidsp.ovid.com/athens/ovidweb.cgi?T=JS&amp;CSC=Y&amp;NEWS=N&amp;PAGE=fulltext&amp;D=emed11&amp;AN=50755289  https://cambridge-primo.hosted.exlibrisgroup.com/openurl/44CAM/44CAM_services_page?sid=OVID:embase&amp;id=pmid:20035773&amp;id=doi:10.1016%2Fj.neuropharm.2009.12.010&amp;</w:t>
      </w:r>
    </w:p>
    <w:p w14:paraId="150D3EDA"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38. </w:t>
      </w:r>
      <w:r w:rsidRPr="00C416DA">
        <w:rPr>
          <w:rFonts w:cs="Times New Roman"/>
          <w:noProof/>
        </w:rPr>
        <w:tab/>
        <w:t>Hama A, Sagen J. Activation of spinal and supraspinal cannabinoid-1 receptors leads to antinociception in a rat model of neuropathic spinal cord injury pain  [Internet]. Vol. 1412, Brain Research . (Hama, Sagen) Miami Project to Cure Paralysis, University of Miami Miller School of Medicine, 1095 NW 14th Terrace (R-48), Miami, FL 33136, United States  A. Hama, Miami Project to Cure Paralysis, University of Miami Miller School of Medicine, 1095 NW 14t; 2011. p. 44–54. Available from: https://ovidsp.ovid.com/athens/ovidweb.cgi?T=JS&amp;CSC=Y&amp;NEWS=N&amp;PAGE=fulltext&amp;D=emed12&amp;AN=51552397  https://cambridge-primo.hosted.exlibrisgroup.com/openurl/44CAM/44CAM_services_page?sid=OVID:embase&amp;id=pmid:21813113&amp;id=doi:10.1016%2Fj.brainres.2011.07.031&amp;is</w:t>
      </w:r>
    </w:p>
    <w:p w14:paraId="3830E798"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39. </w:t>
      </w:r>
      <w:r w:rsidRPr="00C416DA">
        <w:rPr>
          <w:rFonts w:cs="Times New Roman"/>
          <w:noProof/>
        </w:rPr>
        <w:tab/>
        <w:t xml:space="preserve">Hama AT, Pearson JP, Sagen J. Effects of repeated dosing with mechanistically </w:t>
      </w:r>
      <w:r w:rsidRPr="00C416DA">
        <w:rPr>
          <w:rFonts w:cs="Times New Roman"/>
          <w:noProof/>
        </w:rPr>
        <w:lastRenderedPageBreak/>
        <w:t>distinct antinociceptive ligands in a rat model of neuropathic spinal cord injury pain  [Internet]. Vol. 2, Pharmacology Research and Perspectives . (Hama, Sagen) The Miami Project to Cure Paralysis, University of Miami Miller School of Medicine, Miami, FL 33136, United States (Pearson) Ironwood Pharmaceuticals, Inc, Cambridge, MA 02142, United States  A.T. Hama, The Miami Project to Cure Paralysis, U; 2014. Available from: http://onlinelibrary.wiley.com/journal/10.1002/(ISSN)2052-1707  https://ovidsp.ovid.com/athens/ovidweb.cgi?T=JS&amp;CSC=Y&amp;NEWS=N&amp;PAGE=fulltext&amp;D=emed15&amp;AN=619047340  https://cambridge-primo.hosted.exlibrisgroup.com/openurl/44CAM/44CAM_services_page?sid=OVID:e</w:t>
      </w:r>
    </w:p>
    <w:p w14:paraId="4731871D"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40. </w:t>
      </w:r>
      <w:r w:rsidRPr="00C416DA">
        <w:rPr>
          <w:rFonts w:cs="Times New Roman"/>
          <w:noProof/>
        </w:rPr>
        <w:tab/>
        <w:t>Huo J, Ma R, Chai X, Liang HJ, Jiang P, Zhu X ling, et al. Inhibiting a spinal cord signaling pathway protects against ischemia injury in rats. J Thorac Cardiovasc Surg [Internet]. 2019;157(2):494-503.e1. Available from: https://doi.org/10.1016/j.jtcvs.2018.07.045</w:t>
      </w:r>
    </w:p>
    <w:p w14:paraId="521935A8"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41. </w:t>
      </w:r>
      <w:r w:rsidRPr="00C416DA">
        <w:rPr>
          <w:rFonts w:cs="Times New Roman"/>
          <w:noProof/>
        </w:rPr>
        <w:tab/>
        <w:t>Jing N, Fang B, Wang ZL, Ma H. Remote Ischemia Preconditioning Attenuates Blood-Spinal Cord Barrier Breakdown in Rats Undergoing Spinal Cord Ischemia Reperfusion Injury: Associated with Activation and Upregulation of CB1 and CB2 Receptors  [Internet]. Vol. 43, Cellular Physiology and Biochemistry . (Jing, Fang, Wang, Ma) Department of Anesthesiology, Affiliated Hospital, China Medical University, North Nanjing Street, No. 155, Shenyang, China ; 2017. p. 2516–24. Available from: http://www.karger.ch/journals/cpb/cpb_jh.htm  https://ovidsp.ovid.com/athens/ovidweb.cgi?T=JS&amp;CSC=Y&amp;NEWS=N&amp;PAGE=fulltext&amp;D=emed18&amp;AN=619183156  https://cambridge-primo.hosted.exlibrisgroup.com/openurl/44CAM/44CAM_services_page?sid=OVID:embase&amp;id=pmid:2913</w:t>
      </w:r>
    </w:p>
    <w:p w14:paraId="2C2C4ADE"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lastRenderedPageBreak/>
        <w:t xml:space="preserve">42. </w:t>
      </w:r>
      <w:r w:rsidRPr="00C416DA">
        <w:rPr>
          <w:rFonts w:cs="Times New Roman"/>
          <w:noProof/>
        </w:rPr>
        <w:tab/>
        <w:t>Kwiatkoski M, Guimaraes FS, Del-Bel E. Cannabidiol-treated rats exhibited higher motor score after cryogenic spinal cord injury  [Internet]. Vol. 21, Neurotoxicity Research . (Kwiatkoski, Del-Bel) Department of Physiology, Faculty of Medicine of Ribeirao Preto (FMRP), Universidade de Sao Paulo, Ribeirao Preto, SP 14049-904, Brazil (Kwiatkoski, Del-Bel) Department MEF-Physiology, School of Odontology, Universidade de Sao Paulo,; 2012. p. 271–80. Available from: https://ovidsp.ovid.com/athens/ovidweb.cgi?T=JS&amp;CSC=Y&amp;NEWS=N&amp;PAGE=fulltext&amp;D=emed13&amp;AN=51619303  https://cambridge-primo.hosted.exlibrisgroup.com/openurl/44CAM/44CAM_services_page?sid=OVID:embase&amp;id=pmid:21915768&amp;id=doi:10.1007%2Fs12640-011-9273-8&amp;issn=10</w:t>
      </w:r>
    </w:p>
    <w:p w14:paraId="3A41028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43. </w:t>
      </w:r>
      <w:r w:rsidRPr="00C416DA">
        <w:rPr>
          <w:rFonts w:cs="Times New Roman"/>
          <w:noProof/>
        </w:rPr>
        <w:tab/>
        <w:t>Genovese T, Esposito E, Mazzon E, Di Paola R, Meli R, Bramanti P, et al. Effects of palmitoylethanolamide on signaling pathways implicated in the development of spinal cord injury  [Internet]. Vol. 326, Journal of Pharmacology and Experimental Therapeutics . (Genovese, Esposito, Mazzon, Di Paola, Bramanti, Cuzzocrea) IRCCS Centro Neurolesi Bonino-Pulejo, Messina, Italy (Esposito, Meli, Calignano) Department of Experimental Pharmacology, University of Naples Federico II, Naples, Italy (Piomelli) Department of ; 2008. p. 12–23. Available from: http://jpet.aspetjournals.org/cgi/reprint/326/1/12  https://ovidsp.ovid.com/athens/ovidweb.cgi?T=JS&amp;CSC=Y&amp;NEWS=N&amp;PAGE=fulltext&amp;D=emed10&amp;AN=351872139  https://cambridge-primo.hosted.exlibrisgroup.com/openurl/44CAM/44CAM_services_page?sid=OVID:embase&amp;id=pmi</w:t>
      </w:r>
    </w:p>
    <w:p w14:paraId="6B0A2997"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44. </w:t>
      </w:r>
      <w:r w:rsidRPr="00C416DA">
        <w:rPr>
          <w:rFonts w:cs="Times New Roman"/>
          <w:noProof/>
        </w:rPr>
        <w:tab/>
        <w:t xml:space="preserve">Hong J, Nandiwada V, Jones V, Lu M, Warner DS, Mukhopadhyay S, et al. CB1 cannabinoid receptor agonist inhibits matrix metalloproteinase activity in spinal cord injury: A possible mechanism of improved recovery  [Internet]. Vol. 597, </w:t>
      </w:r>
      <w:r w:rsidRPr="00C416DA">
        <w:rPr>
          <w:rFonts w:cs="Times New Roman"/>
          <w:noProof/>
        </w:rPr>
        <w:lastRenderedPageBreak/>
        <w:t>Neuroscience Letters . (Hong, Lu, Warner, Sheng) The Multidisciplinary Neuroprotection Laboratories, Department of Anesthesiology, Duke University Medical Center, Durham, NC, United States (Hong) Department of Neurosurgery, Tangshan Gongren Hospital, Hebei, China (Lu) Departmen; 2015. p. 19–24. Available from: http://www.elsevier.com/locate/neulet  https://ovidsp.ovid.com/athens/ovidweb.cgi?T=JS&amp;CSC=Y&amp;NEWS=N&amp;PAGE=fulltext&amp;D=emed16&amp;AN=603886976  https://cambridge-primo.hosted.exlibrisgroup.com/openurl/44CAM/44CAM_services_page?sid=OVID:embase&amp;id=pmid:25881484&amp;id</w:t>
      </w:r>
    </w:p>
    <w:p w14:paraId="7FEA6310"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45. </w:t>
      </w:r>
      <w:r w:rsidRPr="00C416DA">
        <w:rPr>
          <w:rFonts w:cs="Times New Roman"/>
          <w:noProof/>
        </w:rPr>
        <w:tab/>
        <w:t>Impellizzeri D, Cordaro M, Bruschetta G, Siracusa R, Crupi R, Esposito E, et al. N-Palmitoylethanolamine-Oxazoline as a New Therapeutic Strategy to Control Neuroinflammation: Neuroprotective Effects in Experimental Models of Spinal Cord and Brain Injury  [Internet]. Vol. 34, Journal of Neurotrauma . (Impellizzeri, Cordaro, Bruschetta, Siracusa, Crupi, Esposito, Cuzzocrea) Department of Chemical, Biological, Pharmaceutical, and Environmental Sciences, University of Messina, Viale Ferdinando Stagno D’Alcontres, Messina 31-98166, Italy (Cuzzocrea) Manch; 2017. p. 2609–23. Available from: http://www.liebertonline.com/neu  https://ovidsp.ovid.com/athens/ovidweb.cgi?T=JS&amp;CSC=Y&amp;NEWS=N&amp;PAGE=fulltext&amp;D=emed18&amp;AN=618268100  https://cambridge-primo.hosted.exlibrisgroup.com/openurl/44CAM/44CAM_services_page?sid=OVID:embase&amp;id=pmid:28095731&amp;id=doi:</w:t>
      </w:r>
    </w:p>
    <w:p w14:paraId="5DE75B84"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46. </w:t>
      </w:r>
      <w:r w:rsidRPr="00C416DA">
        <w:rPr>
          <w:rFonts w:cs="Times New Roman"/>
          <w:noProof/>
        </w:rPr>
        <w:tab/>
        <w:t xml:space="preserve">Li H, Kong W, Chambers CR, Yu D, Ganea D, Tuma RF, et al. The non-psychoactive phytocannabinoid cannabidiol (CBD) attenuates pro-inflammatory mediators, T cell infiltration, and thermal sensitivity following spinal cord injury in mice  [Internet]. Vol. 329, Cellular Immunology . (Li, Chambers) Center for Substance Abuse </w:t>
      </w:r>
      <w:r w:rsidRPr="00C416DA">
        <w:rPr>
          <w:rFonts w:cs="Times New Roman"/>
          <w:noProof/>
        </w:rPr>
        <w:lastRenderedPageBreak/>
        <w:t>Research, Lewis Katz School of Medicine, Temple University, Philadelphia, PA 19140, United States (Kong, Ganea) Microbiology and Immunology Department, Lewis Katz School of Medicine, Temple University, Philadelphi; 2018. p. 1–9. Available from: http://www.elsevier.com/inca/publications/store/6/2/2/8/0/4/index.htt  https://ovidsp.ovid.com/athens/ovidweb.cgi?T=JS&amp;CSC=Y&amp;NEWS=N&amp;PAGE=fulltext&amp;D=emexb&amp;AN=2000770546  https://cambridge-primo.hosted.exlibrisgroup.com/openurl/44CAM/44CAM_services_page?sid</w:t>
      </w:r>
    </w:p>
    <w:p w14:paraId="0FAEB6CA"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47. </w:t>
      </w:r>
      <w:r w:rsidRPr="00C416DA">
        <w:rPr>
          <w:rFonts w:cs="Times New Roman"/>
          <w:noProof/>
        </w:rPr>
        <w:tab/>
        <w:t>Paterniti I, Impellizzeri D, Crupi R, Morabito R, Campolo M, Esposito E, et al. Molecular evidence for the involvement of PPAR-delta and PPAR-gamma in anti-inflammatory and neuroprotective activities of palmitoylethanolamide after spinal cord trauma  [Internet]. Vol. 10 (no pag, Journal of Neuroinflammation . (Paterniti, Impellizzeri, Crupi, Morabito, Campolo, Esposito, Cuzzocrea) Department of Biological and Environmental Sciences, University of Messina, Viale Ferdinando Stagno D’Alcontres, Messina 31-98166, Italy (Cuzzocrea) Manchester Biomedical Research Ce; 2013. Available from: http://www.jneuroinflammation.com/content/10/1/20  https://ovidsp.ovid.com/athens/ovidweb.cgi?T=JS&amp;CSC=Y&amp;NEWS=N&amp;PAGE=fulltext&amp;D=emed14&amp;AN=52424618  https://cambridge-primo.hosted.exlibrisgroup.com/openurl/44CAM/44CAM_services_page?sid=OVID:embase&amp;id=pmid:</w:t>
      </w:r>
    </w:p>
    <w:p w14:paraId="3CA7231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48. </w:t>
      </w:r>
      <w:r w:rsidRPr="00C416DA">
        <w:rPr>
          <w:rFonts w:cs="Times New Roman"/>
          <w:noProof/>
        </w:rPr>
        <w:tab/>
        <w:t xml:space="preserve">Paterniti I, Impellizzeri D, Di Paola R, Navarra M, Cuzzocrea S, Esposito E. A new co-ultramicronized composite including palmitoylethanolamide and luteolin to prevent neuroinflammation in spinal cord injury. J Neuroinflammation. 2013;10:1–11. </w:t>
      </w:r>
    </w:p>
    <w:p w14:paraId="72F9528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49. </w:t>
      </w:r>
      <w:r w:rsidRPr="00C416DA">
        <w:rPr>
          <w:rFonts w:cs="Times New Roman"/>
          <w:noProof/>
        </w:rPr>
        <w:tab/>
        <w:t xml:space="preserve">Noble LJ, Donovan F, Igarashi T, Goussev S, Werb Z. Matrix metalloproteinases limit functional recovery after spinal cord injury by modulation of early vascular events. J </w:t>
      </w:r>
      <w:r w:rsidRPr="00C416DA">
        <w:rPr>
          <w:rFonts w:cs="Times New Roman"/>
          <w:noProof/>
        </w:rPr>
        <w:lastRenderedPageBreak/>
        <w:t>Neurosci [Internet]. 2002 Sep 1 [cited 2020 Sep 14];22(17):7526–35. Available from: https://pubmed.ncbi.nlm.nih.gov/12196576/</w:t>
      </w:r>
    </w:p>
    <w:p w14:paraId="61DF57C9"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50. </w:t>
      </w:r>
      <w:r w:rsidRPr="00C416DA">
        <w:rPr>
          <w:rFonts w:cs="Times New Roman"/>
          <w:noProof/>
        </w:rPr>
        <w:tab/>
        <w:t xml:space="preserve">Kundi. SPINAL CORD INJURY: CURRENT MAMMALIAN MODELS. Am J Neurosci. 2013 Jan 1;4(1):1–12. </w:t>
      </w:r>
    </w:p>
    <w:p w14:paraId="50379EF3"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51. </w:t>
      </w:r>
      <w:r w:rsidRPr="00C416DA">
        <w:rPr>
          <w:rFonts w:cs="Times New Roman"/>
          <w:noProof/>
        </w:rPr>
        <w:tab/>
        <w:t>Sharif-Alhoseini M, Khormali M, Rezaei M, Safdarian M, Hajighadery A, Khalatbari MM, et al. Animal models of spinal cord injury: A systematic review [Internet]. Vol. 55, Spinal Cord. Nature Publishing Group; 2017 [cited 2021 Jun 29]. p. 714–21. Available from: www.nature.com/sc</w:t>
      </w:r>
    </w:p>
    <w:p w14:paraId="00D99D75"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52. </w:t>
      </w:r>
      <w:r w:rsidRPr="00C416DA">
        <w:rPr>
          <w:rFonts w:cs="Times New Roman"/>
          <w:noProof/>
        </w:rPr>
        <w:tab/>
        <w:t>YS G, BC H, KM J, CE H. Effect of age at time of spinal cord injury on behavioral outcomes in rat. J Neurotrauma [Internet]. 2004 Aug [cited 2021 Jul 7];21(8):983–93. Available from: https://pubmed.ncbi.nlm.nih.gov/15318998/</w:t>
      </w:r>
    </w:p>
    <w:p w14:paraId="377A486D"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53. </w:t>
      </w:r>
      <w:r w:rsidRPr="00C416DA">
        <w:rPr>
          <w:rFonts w:cs="Times New Roman"/>
          <w:noProof/>
        </w:rPr>
        <w:tab/>
        <w:t>du Sert NP, Hurst V, Ahluwalia A, Alam S, Avey MT, Baker M, et al. The arrive guidelines 2.0: Updated guidelines for reporting animal research. PLoS Biol [Internet]. 2020 Jul 1 [cited 2021 Jun 30];18(7):e3000410. Available from: https://doi.org/10.1371/journal.pbio.3000410</w:t>
      </w:r>
    </w:p>
    <w:p w14:paraId="69395CE8"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54. </w:t>
      </w:r>
      <w:r w:rsidRPr="00C416DA">
        <w:rPr>
          <w:rFonts w:cs="Times New Roman"/>
          <w:noProof/>
        </w:rPr>
        <w:tab/>
        <w:t>Vermersch P. Sativex() (tetrahydrocannabinol + cannabidiol), an endocannabinoid system modulator: basic features and main clinical data  [Internet]. Vol. 11, Expert Review of Neurotherapeutics . Vermersch, Patrick. Centre Hospitalier Regional Universitaire de Lille, Lille, France. patrick.vermersch@chru-lille.fr. ; 2011. p. 15–9. Available from: https://ovidsp.ovid.com/athens/ovidweb.cgi?T=JS&amp;CSC=Y&amp;NEWS=N&amp;PAGE=fulltext&amp;D=med7&amp;AN=21449855  https://cambridge-primo.hosted.exlibrisgroup.com/openurl/44CAM/44CAM_services_page?sid=OVID:medline&amp;id=pmid:21449855&amp;id=doi:10.1586%2Fern.11.27&amp;issn=1473-7175&amp;i</w:t>
      </w:r>
    </w:p>
    <w:p w14:paraId="58AE1762"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55. </w:t>
      </w:r>
      <w:r w:rsidRPr="00C416DA">
        <w:rPr>
          <w:rFonts w:cs="Times New Roman"/>
          <w:noProof/>
        </w:rPr>
        <w:tab/>
        <w:t xml:space="preserve">Sekar K, Pack A. Epidiolex as adjunct therapy for treatment of refractory epilepsy: A </w:t>
      </w:r>
      <w:r w:rsidRPr="00C416DA">
        <w:rPr>
          <w:rFonts w:cs="Times New Roman"/>
          <w:noProof/>
        </w:rPr>
        <w:lastRenderedPageBreak/>
        <w:t>comprehensive review with a focus on adverse effects [version 1; referees: 3 approved] [Internet]. Vol. 8, F1000Research. F1000 Research Ltd; 2019 [cited 2021 Jan 9]. Available from: /pmc/articles/PMC6396837/?report=abstract</w:t>
      </w:r>
    </w:p>
    <w:p w14:paraId="29C3E20B"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56. </w:t>
      </w:r>
      <w:r w:rsidRPr="00C416DA">
        <w:rPr>
          <w:rFonts w:cs="Times New Roman"/>
          <w:noProof/>
        </w:rPr>
        <w:tab/>
        <w:t>Devinsky O, Cross JH, Laux L, Marsh E, Miller I, Nabbout R, et al. Trial of cannabidiol for drug-resistant seizures in the dravet syndrome  [Internet]. Vol. 376, New England Journal of Medicine . (Devinsky) New York University, Langone Comprehensive Epilepsy Center, New York, United States (Cross) University College London, Great Ormond Street Institute of Child Health, London, United Kingdom (Wright) GW Pharmaceuticals, London, United Kingdom (La; 2017. p. 2011–20. Available from: https://ovidsp.ovid.com/athens/ovidweb.cgi?T=JS&amp;CSC=Y&amp;NEWS=N&amp;PAGE=fulltext&amp;D=medc&amp;AN=28538134  https://cambridge-primo.hosted.exlibrisgroup.com/openurl/44CAM/44CAM_services_page?sid=OVID:medline&amp;id=pmid:28538134&amp;id=doi:10.1056%2FNEJMoa1611618&amp;issn=0028-47</w:t>
      </w:r>
    </w:p>
    <w:p w14:paraId="5AC398DC"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57. </w:t>
      </w:r>
      <w:r w:rsidRPr="00C416DA">
        <w:rPr>
          <w:rFonts w:cs="Times New Roman"/>
          <w:noProof/>
        </w:rPr>
        <w:tab/>
        <w:t>Devinsky O, Patel AD, Thiele EA, Wong MH, Appleton R, Harden CL, et al. Randomized, dose-ranging safety trial of cannabidiol in Dravet syndrome  [Internet]. Vol. 90, Neurology . (Devinsky) From the NYU Comprehensive Epilepsy Center (O.D.), New York, NY;Nationwide Children’s Hospital and the Ohio State University College of Medicine (A.D.P.), Columbus; Massachusetts General Hospital (E.A.T.), Boston; Wake Forest School of Medicine; 2018. p. e1204–11. Available from: https://ovidsp.ovid.com/athens/ovidweb.cgi?T=JS&amp;CSC=Y&amp;NEWS=N&amp;PAGE=fulltext&amp;D=medl&amp;AN=29540584  https://cambridge-primo.hosted.exlibrisgroup.com/openurl/44CAM/44CAM_services_page?sid=OVID:medline&amp;id=pmid:29540584&amp;id=doi:10.1212%2FWNL.0000000000005254&amp;issn=</w:t>
      </w:r>
    </w:p>
    <w:p w14:paraId="1CCC1A19"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58. </w:t>
      </w:r>
      <w:r w:rsidRPr="00C416DA">
        <w:rPr>
          <w:rFonts w:cs="Times New Roman"/>
          <w:noProof/>
        </w:rPr>
        <w:tab/>
        <w:t xml:space="preserve">Bertolini A, Ferrari A, Ottani A, Guerzoni S, Tacchi R, Leone S. Paracetamol: New </w:t>
      </w:r>
      <w:r w:rsidRPr="00C416DA">
        <w:rPr>
          <w:rFonts w:cs="Times New Roman"/>
          <w:noProof/>
        </w:rPr>
        <w:lastRenderedPageBreak/>
        <w:t>vistas of an old drug [Internet]. Vol. 12, CNS Drug Reviews. CNS Drug Rev; 2006 [cited 2020 Sep 14]. p. 250–75. Available from: https://pubmed.ncbi.nlm.nih.gov/17227290/</w:t>
      </w:r>
    </w:p>
    <w:p w14:paraId="5D11F351"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59. </w:t>
      </w:r>
      <w:r w:rsidRPr="00C416DA">
        <w:rPr>
          <w:rFonts w:cs="Times New Roman"/>
          <w:noProof/>
        </w:rPr>
        <w:tab/>
        <w:t>Högestätt ED, Jönsson BAG, Ermund A, Andersson DA, Björk H, Alexander JP, et al. Conversion of acetaminophen to the bioactive N-acylphenolamine AM404 via fatty acid amide hydrolase-dependent arachidonic acid conjugation in the nervous system. J Biol Chem [Internet]. 2005 Sep 9 [cited 2020 Sep 14];280(36):31405–12. Available from: https://pubmed.ncbi.nlm.nih.gov/15987694/</w:t>
      </w:r>
    </w:p>
    <w:p w14:paraId="14B05A26" w14:textId="77777777" w:rsidR="00C416DA" w:rsidRPr="00C416DA" w:rsidRDefault="00C416DA" w:rsidP="00C416DA">
      <w:pPr>
        <w:widowControl w:val="0"/>
        <w:autoSpaceDE w:val="0"/>
        <w:autoSpaceDN w:val="0"/>
        <w:adjustRightInd w:val="0"/>
        <w:spacing w:line="480" w:lineRule="auto"/>
        <w:ind w:left="640" w:hanging="640"/>
        <w:rPr>
          <w:rFonts w:cs="Times New Roman"/>
          <w:noProof/>
        </w:rPr>
      </w:pPr>
      <w:r w:rsidRPr="00C416DA">
        <w:rPr>
          <w:rFonts w:cs="Times New Roman"/>
          <w:noProof/>
        </w:rPr>
        <w:t xml:space="preserve">60. </w:t>
      </w:r>
      <w:r w:rsidRPr="00C416DA">
        <w:rPr>
          <w:rFonts w:cs="Times New Roman"/>
          <w:noProof/>
        </w:rPr>
        <w:tab/>
        <w:t xml:space="preserve">Panlilio L V, Goldberg SR, Justinova Z. Cannabinoid abuse and addiction: Clinical and preclinical findings. </w:t>
      </w:r>
    </w:p>
    <w:p w14:paraId="26F6EB87" w14:textId="4C7F109D" w:rsidR="00B24F7E" w:rsidRPr="00A87961" w:rsidRDefault="00A978BC" w:rsidP="00C416DA">
      <w:pPr>
        <w:widowControl w:val="0"/>
        <w:autoSpaceDE w:val="0"/>
        <w:autoSpaceDN w:val="0"/>
        <w:adjustRightInd w:val="0"/>
        <w:spacing w:line="480" w:lineRule="auto"/>
        <w:ind w:left="640" w:hanging="640"/>
        <w:rPr>
          <w:rFonts w:cs="Times New Roman"/>
        </w:rPr>
      </w:pPr>
      <w:r w:rsidRPr="00A87961">
        <w:rPr>
          <w:rFonts w:cs="Times New Roman"/>
          <w:b/>
          <w:bCs/>
        </w:rPr>
        <w:fldChar w:fldCharType="end"/>
      </w:r>
    </w:p>
    <w:p w14:paraId="69739958" w14:textId="443BBFAD" w:rsidR="00B24F7E" w:rsidRPr="00A87961" w:rsidRDefault="00B24F7E" w:rsidP="0011737C">
      <w:pPr>
        <w:spacing w:line="480" w:lineRule="auto"/>
        <w:rPr>
          <w:rFonts w:cs="Times New Roman"/>
          <w:b/>
          <w:bCs/>
        </w:rPr>
      </w:pPr>
      <w:r w:rsidRPr="00A87961">
        <w:rPr>
          <w:rFonts w:cs="Times New Roman"/>
          <w:b/>
          <w:bCs/>
        </w:rPr>
        <w:t>Acknowledgements</w:t>
      </w:r>
    </w:p>
    <w:p w14:paraId="4335348D" w14:textId="3A7AC02D" w:rsidR="00B24F7E" w:rsidRDefault="00B24F7E" w:rsidP="0011737C">
      <w:pPr>
        <w:spacing w:line="480" w:lineRule="auto"/>
        <w:rPr>
          <w:rFonts w:cs="Times New Roman"/>
        </w:rPr>
      </w:pPr>
      <w:r w:rsidRPr="00A87961">
        <w:rPr>
          <w:rFonts w:cs="Times New Roman"/>
        </w:rPr>
        <w:t>None</w:t>
      </w:r>
    </w:p>
    <w:p w14:paraId="122B62D4" w14:textId="77777777" w:rsidR="00A978BC" w:rsidRPr="00A87961" w:rsidRDefault="00A978BC" w:rsidP="0011737C">
      <w:pPr>
        <w:spacing w:line="480" w:lineRule="auto"/>
        <w:rPr>
          <w:rFonts w:cs="Times New Roman"/>
        </w:rPr>
      </w:pPr>
    </w:p>
    <w:p w14:paraId="6E59B5FB" w14:textId="0B1245C6" w:rsidR="00A978BC" w:rsidRPr="00A87961" w:rsidRDefault="00A978BC" w:rsidP="00A978BC">
      <w:pPr>
        <w:spacing w:line="480" w:lineRule="auto"/>
        <w:rPr>
          <w:rFonts w:cs="Times New Roman"/>
          <w:b/>
          <w:bCs/>
        </w:rPr>
      </w:pPr>
      <w:r w:rsidRPr="00A87961">
        <w:rPr>
          <w:rFonts w:cs="Times New Roman"/>
          <w:b/>
          <w:bCs/>
        </w:rPr>
        <w:t>Author Contributions</w:t>
      </w:r>
    </w:p>
    <w:p w14:paraId="02A74A62"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 xml:space="preserve">FIB contributed to designing review protocol and was responsible for screening potentially eligible studies, extracting and analysing data, interpreting results, creating ‘Summary of findings’ tables and writing the report. </w:t>
      </w:r>
    </w:p>
    <w:p w14:paraId="66DD502A"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 xml:space="preserve">ODM and BMD were responsible for designing review protocol and provided feedback on the report. </w:t>
      </w:r>
    </w:p>
    <w:p w14:paraId="53594ECC"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 xml:space="preserve">IK contributed conducting the search and screening potentially eligible studies. </w:t>
      </w:r>
    </w:p>
    <w:p w14:paraId="2430DC66"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 xml:space="preserve">MBB, AIB, SA, MA, RD, BG, TO, LO, JQT, SR, GS, UW, BW contributed to screening potentially eligible studies. </w:t>
      </w:r>
    </w:p>
    <w:p w14:paraId="01840B4D"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t>LS contributed to question formulation and article drafting.</w:t>
      </w:r>
    </w:p>
    <w:p w14:paraId="41B23F12" w14:textId="77777777" w:rsidR="00A978BC" w:rsidRPr="00A87961" w:rsidRDefault="00A978BC" w:rsidP="00A978BC">
      <w:pPr>
        <w:pStyle w:val="Body"/>
        <w:contextualSpacing/>
        <w:rPr>
          <w:rFonts w:ascii="Times New Roman" w:hAnsi="Times New Roman" w:cs="Times New Roman"/>
          <w:color w:val="000000" w:themeColor="text1"/>
          <w:sz w:val="24"/>
          <w:lang w:val="en-GB"/>
        </w:rPr>
      </w:pPr>
      <w:r w:rsidRPr="00A87961">
        <w:rPr>
          <w:rFonts w:ascii="Times New Roman" w:hAnsi="Times New Roman" w:cs="Times New Roman"/>
          <w:color w:val="000000" w:themeColor="text1"/>
          <w:sz w:val="24"/>
          <w:lang w:val="en-GB"/>
        </w:rPr>
        <w:lastRenderedPageBreak/>
        <w:t xml:space="preserve">RDB provided feedback on the report, particularly with a focus on in vivo models, and inputted to assist with completion of the article. </w:t>
      </w:r>
    </w:p>
    <w:p w14:paraId="607C7C1C" w14:textId="66A0867E" w:rsidR="00B24F7E" w:rsidRDefault="00B24F7E" w:rsidP="0011737C">
      <w:pPr>
        <w:spacing w:line="480" w:lineRule="auto"/>
        <w:rPr>
          <w:rFonts w:cs="Times New Roman"/>
        </w:rPr>
      </w:pPr>
    </w:p>
    <w:p w14:paraId="7587B7DD" w14:textId="77777777" w:rsidR="00A978BC" w:rsidRPr="00A87961" w:rsidRDefault="00A978BC" w:rsidP="00A978BC">
      <w:pPr>
        <w:spacing w:line="480" w:lineRule="auto"/>
        <w:rPr>
          <w:rFonts w:cs="Times New Roman"/>
          <w:b/>
          <w:bCs/>
        </w:rPr>
      </w:pPr>
      <w:r w:rsidRPr="00A87961">
        <w:rPr>
          <w:rFonts w:cs="Times New Roman"/>
          <w:b/>
          <w:bCs/>
        </w:rPr>
        <w:t>Funding</w:t>
      </w:r>
    </w:p>
    <w:p w14:paraId="72A588DA" w14:textId="77777777" w:rsidR="00A978BC" w:rsidRPr="00A87961" w:rsidRDefault="00A978BC" w:rsidP="00A978BC">
      <w:pPr>
        <w:spacing w:line="480" w:lineRule="auto"/>
        <w:rPr>
          <w:rFonts w:cs="Times New Roman"/>
          <w:color w:val="000000" w:themeColor="text1"/>
          <w:sz w:val="22"/>
          <w:szCs w:val="22"/>
        </w:rPr>
      </w:pPr>
      <w:r w:rsidRPr="00A87961">
        <w:rPr>
          <w:rFonts w:cs="Times New Roman"/>
          <w:bCs/>
          <w:color w:val="000000" w:themeColor="text1"/>
          <w:sz w:val="22"/>
          <w:szCs w:val="22"/>
        </w:rPr>
        <w:t>We gratefully acknowledge support by the Cambridge NIHR Brain Injury MedTech Cooperative. MRNK is funded by a NIHR Clinician Scientist Award CS-2015-15-023.</w:t>
      </w:r>
      <w:r w:rsidRPr="00A87961">
        <w:rPr>
          <w:rFonts w:cs="Times New Roman"/>
          <w:b/>
          <w:color w:val="000000" w:themeColor="text1"/>
          <w:sz w:val="22"/>
          <w:szCs w:val="22"/>
        </w:rPr>
        <w:t xml:space="preserve"> </w:t>
      </w:r>
      <w:r w:rsidRPr="00A87961">
        <w:rPr>
          <w:rFonts w:cs="Times New Roman"/>
          <w:color w:val="000000" w:themeColor="text1"/>
          <w:sz w:val="22"/>
          <w:szCs w:val="22"/>
        </w:rPr>
        <w:t>BMD is supported by a Royal College of Surgeons Research Fellowship and a NIHR Clinical Doctoral Research Fellowship.</w:t>
      </w:r>
    </w:p>
    <w:p w14:paraId="375473A7" w14:textId="77777777" w:rsidR="00A978BC" w:rsidRPr="00A87961" w:rsidRDefault="00A978BC" w:rsidP="0011737C">
      <w:pPr>
        <w:spacing w:line="480" w:lineRule="auto"/>
        <w:rPr>
          <w:rFonts w:cs="Times New Roman"/>
        </w:rPr>
      </w:pPr>
    </w:p>
    <w:p w14:paraId="3EB837C3" w14:textId="5C8D9BDF" w:rsidR="00B24F7E" w:rsidRPr="00A87961" w:rsidRDefault="00A978BC" w:rsidP="0011737C">
      <w:pPr>
        <w:spacing w:line="480" w:lineRule="auto"/>
        <w:rPr>
          <w:rFonts w:cs="Times New Roman"/>
          <w:b/>
          <w:bCs/>
        </w:rPr>
      </w:pPr>
      <w:r>
        <w:rPr>
          <w:rFonts w:cs="Times New Roman"/>
          <w:b/>
          <w:bCs/>
        </w:rPr>
        <w:t>Ethical Approval</w:t>
      </w:r>
    </w:p>
    <w:p w14:paraId="66E2BCD4" w14:textId="001BAA6A" w:rsidR="00932692" w:rsidRPr="00A87961" w:rsidRDefault="00B24F7E" w:rsidP="0011737C">
      <w:pPr>
        <w:spacing w:line="480" w:lineRule="auto"/>
        <w:rPr>
          <w:rFonts w:cs="Times New Roman"/>
        </w:rPr>
      </w:pPr>
      <w:r w:rsidRPr="00A87961">
        <w:rPr>
          <w:rFonts w:cs="Times New Roman"/>
        </w:rPr>
        <w:t>No</w:t>
      </w:r>
      <w:r w:rsidR="00A978BC">
        <w:rPr>
          <w:rFonts w:cs="Times New Roman"/>
        </w:rPr>
        <w:t xml:space="preserve">t required for this systematic review. </w:t>
      </w:r>
    </w:p>
    <w:p w14:paraId="72AD1FB2" w14:textId="77777777" w:rsidR="00B24F7E" w:rsidRPr="00A87961" w:rsidRDefault="00B24F7E" w:rsidP="0011737C">
      <w:pPr>
        <w:spacing w:line="480" w:lineRule="auto"/>
        <w:rPr>
          <w:rFonts w:cs="Times New Roman"/>
        </w:rPr>
      </w:pPr>
    </w:p>
    <w:p w14:paraId="36126E2A" w14:textId="2DDD4A6F" w:rsidR="00B24F7E" w:rsidRPr="00A87961" w:rsidRDefault="00B24F7E" w:rsidP="0011737C">
      <w:pPr>
        <w:spacing w:line="480" w:lineRule="auto"/>
        <w:rPr>
          <w:rFonts w:cs="Times New Roman"/>
          <w:b/>
          <w:bCs/>
        </w:rPr>
      </w:pPr>
      <w:r w:rsidRPr="00A87961">
        <w:rPr>
          <w:rFonts w:cs="Times New Roman"/>
          <w:b/>
          <w:bCs/>
        </w:rPr>
        <w:t>Co</w:t>
      </w:r>
      <w:r w:rsidR="00A978BC">
        <w:rPr>
          <w:rFonts w:cs="Times New Roman"/>
          <w:b/>
          <w:bCs/>
        </w:rPr>
        <w:t>mpeting</w:t>
      </w:r>
      <w:r w:rsidRPr="00A87961">
        <w:rPr>
          <w:rFonts w:cs="Times New Roman"/>
          <w:b/>
          <w:bCs/>
        </w:rPr>
        <w:t xml:space="preserve"> Interest</w:t>
      </w:r>
      <w:r w:rsidR="00A978BC">
        <w:rPr>
          <w:rFonts w:cs="Times New Roman"/>
          <w:b/>
          <w:bCs/>
        </w:rPr>
        <w:t>s</w:t>
      </w:r>
    </w:p>
    <w:p w14:paraId="60B90CB0" w14:textId="5E5D7C2B" w:rsidR="00662963" w:rsidRPr="00A978BC" w:rsidRDefault="00B24F7E" w:rsidP="008F7954">
      <w:pPr>
        <w:spacing w:line="480" w:lineRule="auto"/>
        <w:rPr>
          <w:rFonts w:cs="Times New Roman"/>
        </w:rPr>
      </w:pPr>
      <w:r w:rsidRPr="00A87961">
        <w:rPr>
          <w:rFonts w:cs="Times New Roman"/>
        </w:rPr>
        <w:t xml:space="preserve">The authors declare no </w:t>
      </w:r>
      <w:r w:rsidR="00A978BC">
        <w:rPr>
          <w:rFonts w:cs="Times New Roman"/>
        </w:rPr>
        <w:t xml:space="preserve">competing interests. </w:t>
      </w:r>
    </w:p>
    <w:p w14:paraId="48CFF0BE" w14:textId="77777777" w:rsidR="00662963" w:rsidRDefault="00662963">
      <w:pPr>
        <w:spacing w:line="240" w:lineRule="auto"/>
        <w:rPr>
          <w:rFonts w:cs="Times New Roman"/>
          <w:b/>
          <w:bCs/>
        </w:rPr>
      </w:pPr>
      <w:r>
        <w:rPr>
          <w:rFonts w:cs="Times New Roman"/>
          <w:b/>
          <w:bCs/>
        </w:rPr>
        <w:br w:type="page"/>
      </w:r>
    </w:p>
    <w:p w14:paraId="72960E0B" w14:textId="0783C0D0" w:rsidR="003704B0" w:rsidRPr="00A87961" w:rsidRDefault="003704B0" w:rsidP="008F7954">
      <w:pPr>
        <w:spacing w:line="480" w:lineRule="auto"/>
        <w:rPr>
          <w:rFonts w:cs="Times New Roman"/>
          <w:b/>
          <w:bCs/>
        </w:rPr>
      </w:pPr>
      <w:r w:rsidRPr="00A87961">
        <w:rPr>
          <w:rFonts w:cs="Times New Roman"/>
          <w:b/>
          <w:bCs/>
        </w:rPr>
        <w:lastRenderedPageBreak/>
        <w:t xml:space="preserve">Figure </w:t>
      </w:r>
      <w:r w:rsidR="00D14944">
        <w:rPr>
          <w:rFonts w:cs="Times New Roman"/>
          <w:b/>
          <w:bCs/>
        </w:rPr>
        <w:t xml:space="preserve">and Table </w:t>
      </w:r>
      <w:r w:rsidRPr="00A87961">
        <w:rPr>
          <w:rFonts w:cs="Times New Roman"/>
          <w:b/>
          <w:bCs/>
        </w:rPr>
        <w:t>Legends</w:t>
      </w:r>
    </w:p>
    <w:p w14:paraId="7EEB5BE4" w14:textId="3E5DD678" w:rsidR="003704B0" w:rsidRPr="00B00BC0" w:rsidRDefault="003704B0" w:rsidP="008F7954">
      <w:pPr>
        <w:spacing w:line="480" w:lineRule="auto"/>
        <w:rPr>
          <w:rFonts w:cs="Times New Roman"/>
        </w:rPr>
      </w:pPr>
      <w:r w:rsidRPr="00B00BC0">
        <w:rPr>
          <w:rFonts w:cs="Times New Roman"/>
        </w:rPr>
        <w:t xml:space="preserve">Figure 1. PRISMA flow diagram of study selection </w:t>
      </w:r>
    </w:p>
    <w:p w14:paraId="41204F8D" w14:textId="60D7EC2D" w:rsidR="00544661" w:rsidRPr="00B00BC0" w:rsidRDefault="00544661" w:rsidP="003704B0">
      <w:pPr>
        <w:spacing w:line="480" w:lineRule="auto"/>
        <w:rPr>
          <w:rFonts w:cs="Times New Roman"/>
          <w:b/>
          <w:bCs/>
        </w:rPr>
      </w:pPr>
    </w:p>
    <w:p w14:paraId="568C681E" w14:textId="73F22DF5" w:rsidR="00716905" w:rsidRPr="00B00BC0" w:rsidRDefault="00716905" w:rsidP="003704B0">
      <w:pPr>
        <w:spacing w:line="480" w:lineRule="auto"/>
        <w:rPr>
          <w:rFonts w:cs="Times New Roman"/>
        </w:rPr>
      </w:pPr>
      <w:r w:rsidRPr="00B00BC0">
        <w:rPr>
          <w:rFonts w:cs="Times New Roman"/>
        </w:rPr>
        <w:t xml:space="preserve">Figure </w:t>
      </w:r>
      <w:r w:rsidR="00B00BC0" w:rsidRPr="00B00BC0">
        <w:rPr>
          <w:rFonts w:cs="Times New Roman"/>
        </w:rPr>
        <w:t>2</w:t>
      </w:r>
      <w:r w:rsidRPr="00B00BC0">
        <w:rPr>
          <w:rFonts w:cs="Times New Roman"/>
        </w:rPr>
        <w:t xml:space="preserve">. </w:t>
      </w:r>
      <w:r w:rsidR="00EA3547" w:rsidRPr="00B00BC0">
        <w:rPr>
          <w:rFonts w:cs="Times New Roman"/>
        </w:rPr>
        <w:t>Visual representation of injury models used to assess locomotor function (A) and pain (B)</w:t>
      </w:r>
    </w:p>
    <w:p w14:paraId="7AB1331B" w14:textId="2EA28BB1" w:rsidR="00716905" w:rsidRPr="00B00BC0" w:rsidRDefault="00716905" w:rsidP="003704B0">
      <w:pPr>
        <w:spacing w:line="480" w:lineRule="auto"/>
        <w:rPr>
          <w:rFonts w:cs="Times New Roman"/>
        </w:rPr>
      </w:pPr>
    </w:p>
    <w:p w14:paraId="2CD5DB8B" w14:textId="51CF0C03" w:rsidR="00716905" w:rsidRPr="00B00BC0" w:rsidRDefault="00716905" w:rsidP="003704B0">
      <w:pPr>
        <w:spacing w:line="480" w:lineRule="auto"/>
        <w:rPr>
          <w:rFonts w:cs="Times New Roman"/>
        </w:rPr>
      </w:pPr>
      <w:r w:rsidRPr="00B00BC0">
        <w:rPr>
          <w:rFonts w:cs="Times New Roman"/>
        </w:rPr>
        <w:t xml:space="preserve">Figure </w:t>
      </w:r>
      <w:r w:rsidR="00B00BC0" w:rsidRPr="00B00BC0">
        <w:rPr>
          <w:rFonts w:cs="Times New Roman"/>
        </w:rPr>
        <w:t>3</w:t>
      </w:r>
      <w:r w:rsidR="00EA3547" w:rsidRPr="00B00BC0">
        <w:rPr>
          <w:rFonts w:cs="Times New Roman"/>
        </w:rPr>
        <w:t>. Visual representation of cannabinoid receptor agonists used to assess locomotor function (A) and pain (B)</w:t>
      </w:r>
    </w:p>
    <w:p w14:paraId="75611159" w14:textId="77777777" w:rsidR="00B00BC0" w:rsidRPr="00B00BC0" w:rsidRDefault="00B00BC0" w:rsidP="008F7954">
      <w:pPr>
        <w:spacing w:line="480" w:lineRule="auto"/>
        <w:rPr>
          <w:rFonts w:cs="Times New Roman"/>
        </w:rPr>
      </w:pPr>
    </w:p>
    <w:p w14:paraId="5C64A23D" w14:textId="46619321" w:rsidR="00B00BC0" w:rsidRPr="00B00BC0" w:rsidRDefault="00B00BC0" w:rsidP="008F7954">
      <w:pPr>
        <w:spacing w:line="480" w:lineRule="auto"/>
        <w:rPr>
          <w:rFonts w:cs="Times New Roman"/>
          <w:b/>
          <w:bCs/>
        </w:rPr>
      </w:pPr>
      <w:r w:rsidRPr="00B00BC0">
        <w:rPr>
          <w:rFonts w:cs="Times New Roman"/>
        </w:rPr>
        <w:t xml:space="preserve">Figure </w:t>
      </w:r>
      <w:r w:rsidRPr="00B00BC0">
        <w:rPr>
          <w:rFonts w:cs="Times New Roman"/>
        </w:rPr>
        <w:t>4</w:t>
      </w:r>
      <w:r w:rsidRPr="00B00BC0">
        <w:rPr>
          <w:rFonts w:cs="Times New Roman"/>
        </w:rPr>
        <w:t>. Visual representation of the effect of cannabinoids on locomotor function (A) and pain (B)</w:t>
      </w:r>
    </w:p>
    <w:p w14:paraId="3C7A5A21" w14:textId="77777777" w:rsidR="00B00BC0" w:rsidRDefault="00B00BC0" w:rsidP="008F7954">
      <w:pPr>
        <w:spacing w:line="480" w:lineRule="auto"/>
        <w:rPr>
          <w:rFonts w:cs="Times New Roman"/>
        </w:rPr>
      </w:pPr>
    </w:p>
    <w:p w14:paraId="78C4D05B" w14:textId="34A838FC" w:rsidR="00B00BC0" w:rsidRPr="00B00BC0" w:rsidRDefault="00B00BC0" w:rsidP="00B00BC0">
      <w:pPr>
        <w:spacing w:line="480" w:lineRule="auto"/>
        <w:rPr>
          <w:rFonts w:cs="Times New Roman"/>
        </w:rPr>
      </w:pPr>
      <w:r>
        <w:rPr>
          <w:rFonts w:cs="Times New Roman"/>
        </w:rPr>
        <w:t xml:space="preserve">Table 1. </w:t>
      </w:r>
      <w:r w:rsidRPr="00B00BC0">
        <w:rPr>
          <w:rFonts w:cs="Times New Roman"/>
        </w:rPr>
        <w:t>Summary of Injury models, Advantages and Limitations</w:t>
      </w:r>
    </w:p>
    <w:p w14:paraId="6485784E" w14:textId="77777777" w:rsidR="00B00BC0" w:rsidRPr="00B00BC0" w:rsidRDefault="00B00BC0" w:rsidP="008F7954">
      <w:pPr>
        <w:spacing w:line="480" w:lineRule="auto"/>
        <w:rPr>
          <w:rFonts w:cs="Times New Roman"/>
        </w:rPr>
      </w:pPr>
    </w:p>
    <w:p w14:paraId="0863C1F0" w14:textId="77777777" w:rsidR="00B00BC0" w:rsidRPr="00B00BC0" w:rsidRDefault="00B00BC0" w:rsidP="00B00BC0">
      <w:pPr>
        <w:tabs>
          <w:tab w:val="left" w:pos="709"/>
        </w:tabs>
        <w:spacing w:line="480" w:lineRule="auto"/>
        <w:rPr>
          <w:rFonts w:cs="Times New Roman"/>
        </w:rPr>
      </w:pPr>
      <w:r w:rsidRPr="00B00BC0">
        <w:rPr>
          <w:rFonts w:cs="Times New Roman"/>
        </w:rPr>
        <w:t>Table 2. Summary of functional outcome tools used in included studies</w:t>
      </w:r>
    </w:p>
    <w:p w14:paraId="3B8DE7FB" w14:textId="77777777" w:rsidR="00B00BC0" w:rsidRPr="00B00BC0" w:rsidRDefault="00B00BC0" w:rsidP="008F7954">
      <w:pPr>
        <w:spacing w:line="480" w:lineRule="auto"/>
        <w:rPr>
          <w:rFonts w:cs="Times New Roman"/>
        </w:rPr>
      </w:pPr>
    </w:p>
    <w:p w14:paraId="177DA4BC" w14:textId="5654402F" w:rsidR="00B00BC0" w:rsidRPr="00F75301" w:rsidRDefault="00B00BC0" w:rsidP="008F7954">
      <w:pPr>
        <w:spacing w:line="480" w:lineRule="auto"/>
        <w:rPr>
          <w:rFonts w:cs="Times New Roman"/>
        </w:rPr>
        <w:sectPr w:rsidR="00B00BC0" w:rsidRPr="00F75301" w:rsidSect="0011737C">
          <w:footerReference w:type="even" r:id="rId10"/>
          <w:footerReference w:type="default" r:id="rId11"/>
          <w:pgSz w:w="11900" w:h="16840"/>
          <w:pgMar w:top="1440" w:right="1440" w:bottom="1440" w:left="1440" w:header="720" w:footer="720" w:gutter="0"/>
          <w:lnNumType w:countBy="1" w:restart="continuous"/>
          <w:cols w:space="720"/>
          <w:docGrid w:linePitch="360"/>
        </w:sectPr>
      </w:pPr>
      <w:r w:rsidRPr="00B00BC0">
        <w:rPr>
          <w:rFonts w:cs="Times New Roman"/>
        </w:rPr>
        <w:t>Table</w:t>
      </w:r>
      <w:r w:rsidRPr="00B00BC0">
        <w:rPr>
          <w:rFonts w:cs="Times New Roman"/>
        </w:rPr>
        <w:t xml:space="preserve"> 3</w:t>
      </w:r>
      <w:r w:rsidRPr="00B00BC0">
        <w:rPr>
          <w:rFonts w:cs="Times New Roman"/>
        </w:rPr>
        <w:t>. Summary of all included studie</w:t>
      </w:r>
      <w:r>
        <w:rPr>
          <w:rFonts w:cs="Times New Roman"/>
        </w:rPr>
        <w:t>s</w:t>
      </w:r>
    </w:p>
    <w:p w14:paraId="77D28150" w14:textId="728DE271" w:rsidR="005E1D2F" w:rsidRDefault="005E1D2F" w:rsidP="00F75301">
      <w:pPr>
        <w:spacing w:line="480" w:lineRule="auto"/>
      </w:pPr>
    </w:p>
    <w:sectPr w:rsidR="005E1D2F" w:rsidSect="00BA2709">
      <w:footerReference w:type="even" r:id="rId12"/>
      <w:footerReference w:type="default" r:id="rId13"/>
      <w:pgSz w:w="16840" w:h="1190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B2C02" w14:textId="77777777" w:rsidR="007B7F88" w:rsidRDefault="007B7F88" w:rsidP="009411E4">
      <w:pPr>
        <w:spacing w:line="240" w:lineRule="auto"/>
      </w:pPr>
      <w:r>
        <w:separator/>
      </w:r>
    </w:p>
  </w:endnote>
  <w:endnote w:type="continuationSeparator" w:id="0">
    <w:p w14:paraId="5FC631EE" w14:textId="77777777" w:rsidR="007B7F88" w:rsidRDefault="007B7F88" w:rsidP="009411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yriad Pro">
    <w:altName w:val="Calibri"/>
    <w:panose1 w:val="020B06040202020202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875013"/>
      <w:docPartObj>
        <w:docPartGallery w:val="Page Numbers (Bottom of Page)"/>
        <w:docPartUnique/>
      </w:docPartObj>
    </w:sdtPr>
    <w:sdtEndPr>
      <w:rPr>
        <w:rStyle w:val="PageNumber"/>
      </w:rPr>
    </w:sdtEndPr>
    <w:sdtContent>
      <w:p w14:paraId="78B03193" w14:textId="0D152AF5"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09647217"/>
      <w:docPartObj>
        <w:docPartGallery w:val="Page Numbers (Bottom of Page)"/>
        <w:docPartUnique/>
      </w:docPartObj>
    </w:sdtPr>
    <w:sdtEndPr>
      <w:rPr>
        <w:rStyle w:val="PageNumber"/>
      </w:rPr>
    </w:sdtEndPr>
    <w:sdtContent>
      <w:p w14:paraId="01639443" w14:textId="57130193" w:rsidR="00233EE6" w:rsidRDefault="00233EE6" w:rsidP="001173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0E5F1C" w14:textId="77777777" w:rsidR="00233EE6" w:rsidRDefault="00233EE6" w:rsidP="001173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58241311"/>
      <w:docPartObj>
        <w:docPartGallery w:val="Page Numbers (Bottom of Page)"/>
        <w:docPartUnique/>
      </w:docPartObj>
    </w:sdtPr>
    <w:sdtEndPr>
      <w:rPr>
        <w:rStyle w:val="PageNumber"/>
      </w:rPr>
    </w:sdtEndPr>
    <w:sdtContent>
      <w:p w14:paraId="369391B2" w14:textId="29AFEDC3"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26D5BA" w14:textId="3CE3623B" w:rsidR="00233EE6" w:rsidRDefault="00233EE6" w:rsidP="0011737C">
    <w:pPr>
      <w:pStyle w:val="Footer"/>
      <w:framePr w:wrap="none" w:vAnchor="text" w:hAnchor="margin" w:xAlign="right" w:y="1"/>
      <w:rPr>
        <w:rStyle w:val="PageNumber"/>
      </w:rPr>
    </w:pPr>
  </w:p>
  <w:p w14:paraId="0395E961" w14:textId="77777777" w:rsidR="00233EE6" w:rsidRDefault="00233EE6" w:rsidP="0011737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36938165"/>
      <w:docPartObj>
        <w:docPartGallery w:val="Page Numbers (Bottom of Page)"/>
        <w:docPartUnique/>
      </w:docPartObj>
    </w:sdtPr>
    <w:sdtEndPr>
      <w:rPr>
        <w:rStyle w:val="PageNumber"/>
      </w:rPr>
    </w:sdtEndPr>
    <w:sdtContent>
      <w:p w14:paraId="02DC6BD8" w14:textId="77777777"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95515170"/>
      <w:docPartObj>
        <w:docPartGallery w:val="Page Numbers (Bottom of Page)"/>
        <w:docPartUnique/>
      </w:docPartObj>
    </w:sdtPr>
    <w:sdtEndPr>
      <w:rPr>
        <w:rStyle w:val="PageNumber"/>
      </w:rPr>
    </w:sdtEndPr>
    <w:sdtContent>
      <w:p w14:paraId="5D220134" w14:textId="77777777" w:rsidR="00233EE6" w:rsidRDefault="00233EE6" w:rsidP="001173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950985" w14:textId="77777777" w:rsidR="00233EE6" w:rsidRDefault="00233EE6" w:rsidP="0011737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7773490"/>
      <w:docPartObj>
        <w:docPartGallery w:val="Page Numbers (Bottom of Page)"/>
        <w:docPartUnique/>
      </w:docPartObj>
    </w:sdtPr>
    <w:sdtEndPr>
      <w:rPr>
        <w:rStyle w:val="PageNumber"/>
      </w:rPr>
    </w:sdtEndPr>
    <w:sdtContent>
      <w:p w14:paraId="6AAC74B2" w14:textId="77777777"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05CDB7" w14:textId="77777777" w:rsidR="00233EE6" w:rsidRDefault="00233EE6" w:rsidP="0011737C">
    <w:pPr>
      <w:pStyle w:val="Footer"/>
      <w:framePr w:wrap="none" w:vAnchor="text" w:hAnchor="margin" w:xAlign="right" w:y="1"/>
      <w:rPr>
        <w:rStyle w:val="PageNumber"/>
      </w:rPr>
    </w:pPr>
  </w:p>
  <w:p w14:paraId="7AB1EBC0" w14:textId="77777777" w:rsidR="00233EE6" w:rsidRDefault="00233EE6" w:rsidP="0011737C">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79615237"/>
      <w:docPartObj>
        <w:docPartGallery w:val="Page Numbers (Bottom of Page)"/>
        <w:docPartUnique/>
      </w:docPartObj>
    </w:sdtPr>
    <w:sdtEndPr>
      <w:rPr>
        <w:rStyle w:val="PageNumber"/>
      </w:rPr>
    </w:sdtEndPr>
    <w:sdtContent>
      <w:p w14:paraId="13CBE184" w14:textId="77777777"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03809311"/>
      <w:docPartObj>
        <w:docPartGallery w:val="Page Numbers (Bottom of Page)"/>
        <w:docPartUnique/>
      </w:docPartObj>
    </w:sdtPr>
    <w:sdtEndPr>
      <w:rPr>
        <w:rStyle w:val="PageNumber"/>
      </w:rPr>
    </w:sdtEndPr>
    <w:sdtContent>
      <w:p w14:paraId="0F974086" w14:textId="77777777" w:rsidR="00233EE6" w:rsidRDefault="00233EE6" w:rsidP="001173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9317AB" w14:textId="77777777" w:rsidR="00233EE6" w:rsidRDefault="00233EE6" w:rsidP="0011737C">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33957205"/>
      <w:docPartObj>
        <w:docPartGallery w:val="Page Numbers (Bottom of Page)"/>
        <w:docPartUnique/>
      </w:docPartObj>
    </w:sdtPr>
    <w:sdtEndPr>
      <w:rPr>
        <w:rStyle w:val="PageNumber"/>
      </w:rPr>
    </w:sdtEndPr>
    <w:sdtContent>
      <w:p w14:paraId="57131BA5" w14:textId="77777777" w:rsidR="00233EE6" w:rsidRDefault="00233EE6" w:rsidP="001173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187E5B" w14:textId="77777777" w:rsidR="00233EE6" w:rsidRDefault="00233EE6" w:rsidP="0011737C">
    <w:pPr>
      <w:pStyle w:val="Footer"/>
      <w:framePr w:wrap="none" w:vAnchor="text" w:hAnchor="margin" w:xAlign="right" w:y="1"/>
      <w:rPr>
        <w:rStyle w:val="PageNumber"/>
      </w:rPr>
    </w:pPr>
  </w:p>
  <w:p w14:paraId="2DB434BD" w14:textId="77777777" w:rsidR="00233EE6" w:rsidRDefault="00233EE6" w:rsidP="001173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83E22" w14:textId="77777777" w:rsidR="007B7F88" w:rsidRDefault="007B7F88" w:rsidP="009411E4">
      <w:pPr>
        <w:spacing w:line="240" w:lineRule="auto"/>
      </w:pPr>
      <w:r>
        <w:separator/>
      </w:r>
    </w:p>
  </w:footnote>
  <w:footnote w:type="continuationSeparator" w:id="0">
    <w:p w14:paraId="74C80C13" w14:textId="77777777" w:rsidR="007B7F88" w:rsidRDefault="007B7F88" w:rsidP="009411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D2525"/>
    <w:multiLevelType w:val="hybridMultilevel"/>
    <w:tmpl w:val="154C86D8"/>
    <w:lvl w:ilvl="0" w:tplc="4D9CDCB8">
      <w:start w:val="1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5D275D3"/>
    <w:multiLevelType w:val="hybridMultilevel"/>
    <w:tmpl w:val="5792E1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A52C95"/>
    <w:multiLevelType w:val="hybridMultilevel"/>
    <w:tmpl w:val="3162C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30A98"/>
    <w:multiLevelType w:val="hybridMultilevel"/>
    <w:tmpl w:val="5C4AD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F12CE"/>
    <w:multiLevelType w:val="hybridMultilevel"/>
    <w:tmpl w:val="1C4E612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295540"/>
    <w:multiLevelType w:val="hybridMultilevel"/>
    <w:tmpl w:val="5F7A5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754F2"/>
    <w:multiLevelType w:val="hybridMultilevel"/>
    <w:tmpl w:val="23E2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C5C1A"/>
    <w:multiLevelType w:val="hybridMultilevel"/>
    <w:tmpl w:val="32A0880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FE1700"/>
    <w:multiLevelType w:val="hybridMultilevel"/>
    <w:tmpl w:val="26F85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7564C"/>
    <w:multiLevelType w:val="hybridMultilevel"/>
    <w:tmpl w:val="F122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467B4B"/>
    <w:multiLevelType w:val="hybridMultilevel"/>
    <w:tmpl w:val="6D8E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94183"/>
    <w:multiLevelType w:val="hybridMultilevel"/>
    <w:tmpl w:val="E208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DC436B"/>
    <w:multiLevelType w:val="hybridMultilevel"/>
    <w:tmpl w:val="42F63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64D41"/>
    <w:multiLevelType w:val="hybridMultilevel"/>
    <w:tmpl w:val="8A962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931890"/>
    <w:multiLevelType w:val="hybridMultilevel"/>
    <w:tmpl w:val="0882D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50648D"/>
    <w:multiLevelType w:val="hybridMultilevel"/>
    <w:tmpl w:val="71D8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6A7927"/>
    <w:multiLevelType w:val="hybridMultilevel"/>
    <w:tmpl w:val="7EE23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0C21FF"/>
    <w:multiLevelType w:val="hybridMultilevel"/>
    <w:tmpl w:val="A1E65E22"/>
    <w:lvl w:ilvl="0" w:tplc="D02E081E">
      <w:start w:val="1"/>
      <w:numFmt w:val="bullet"/>
      <w:lvlText w:val=""/>
      <w:lvlJc w:val="left"/>
      <w:pPr>
        <w:ind w:left="187" w:hanging="187"/>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901893"/>
    <w:multiLevelType w:val="hybridMultilevel"/>
    <w:tmpl w:val="E1E0F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603CE9"/>
    <w:multiLevelType w:val="hybridMultilevel"/>
    <w:tmpl w:val="CF3016F8"/>
    <w:lvl w:ilvl="0" w:tplc="4E5482E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62716054"/>
    <w:multiLevelType w:val="hybridMultilevel"/>
    <w:tmpl w:val="9A4A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2B55F4"/>
    <w:multiLevelType w:val="multilevel"/>
    <w:tmpl w:val="93F0D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116C22"/>
    <w:multiLevelType w:val="hybridMultilevel"/>
    <w:tmpl w:val="3A94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634813"/>
    <w:multiLevelType w:val="hybridMultilevel"/>
    <w:tmpl w:val="E0E8A5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4D85CF2"/>
    <w:multiLevelType w:val="hybridMultilevel"/>
    <w:tmpl w:val="E1D8AB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1750D4"/>
    <w:multiLevelType w:val="hybridMultilevel"/>
    <w:tmpl w:val="C8E47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6B6A9A"/>
    <w:multiLevelType w:val="hybridMultilevel"/>
    <w:tmpl w:val="66BA5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877B64"/>
    <w:multiLevelType w:val="hybridMultilevel"/>
    <w:tmpl w:val="1CE49F4C"/>
    <w:lvl w:ilvl="0" w:tplc="BE4262B6">
      <w:start w:val="1"/>
      <w:numFmt w:val="bullet"/>
      <w:lvlText w:val=""/>
      <w:lvlJc w:val="left"/>
      <w:pPr>
        <w:ind w:left="187" w:hanging="187"/>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43350D"/>
    <w:multiLevelType w:val="hybridMultilevel"/>
    <w:tmpl w:val="65EA3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23"/>
  </w:num>
  <w:num w:numId="4">
    <w:abstractNumId w:val="7"/>
  </w:num>
  <w:num w:numId="5">
    <w:abstractNumId w:val="4"/>
  </w:num>
  <w:num w:numId="6">
    <w:abstractNumId w:val="24"/>
  </w:num>
  <w:num w:numId="7">
    <w:abstractNumId w:val="5"/>
  </w:num>
  <w:num w:numId="8">
    <w:abstractNumId w:val="27"/>
  </w:num>
  <w:num w:numId="9">
    <w:abstractNumId w:val="17"/>
  </w:num>
  <w:num w:numId="10">
    <w:abstractNumId w:val="26"/>
  </w:num>
  <w:num w:numId="11">
    <w:abstractNumId w:val="20"/>
  </w:num>
  <w:num w:numId="12">
    <w:abstractNumId w:val="14"/>
  </w:num>
  <w:num w:numId="13">
    <w:abstractNumId w:val="12"/>
  </w:num>
  <w:num w:numId="14">
    <w:abstractNumId w:val="9"/>
  </w:num>
  <w:num w:numId="15">
    <w:abstractNumId w:val="16"/>
  </w:num>
  <w:num w:numId="16">
    <w:abstractNumId w:val="22"/>
  </w:num>
  <w:num w:numId="17">
    <w:abstractNumId w:val="8"/>
  </w:num>
  <w:num w:numId="18">
    <w:abstractNumId w:val="10"/>
  </w:num>
  <w:num w:numId="19">
    <w:abstractNumId w:val="28"/>
  </w:num>
  <w:num w:numId="20">
    <w:abstractNumId w:val="21"/>
  </w:num>
  <w:num w:numId="21">
    <w:abstractNumId w:val="13"/>
  </w:num>
  <w:num w:numId="22">
    <w:abstractNumId w:val="25"/>
  </w:num>
  <w:num w:numId="23">
    <w:abstractNumId w:val="6"/>
  </w:num>
  <w:num w:numId="24">
    <w:abstractNumId w:val="0"/>
  </w:num>
  <w:num w:numId="25">
    <w:abstractNumId w:val="19"/>
  </w:num>
  <w:num w:numId="26">
    <w:abstractNumId w:val="3"/>
  </w:num>
  <w:num w:numId="27">
    <w:abstractNumId w:val="11"/>
  </w:num>
  <w:num w:numId="28">
    <w:abstractNumId w:val="1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98"/>
    <w:rsid w:val="00002D57"/>
    <w:rsid w:val="00005DAF"/>
    <w:rsid w:val="00006873"/>
    <w:rsid w:val="00007FFE"/>
    <w:rsid w:val="0001224F"/>
    <w:rsid w:val="000143CA"/>
    <w:rsid w:val="0001508F"/>
    <w:rsid w:val="0001799A"/>
    <w:rsid w:val="00022364"/>
    <w:rsid w:val="0002245A"/>
    <w:rsid w:val="0002420E"/>
    <w:rsid w:val="00024747"/>
    <w:rsid w:val="00026097"/>
    <w:rsid w:val="00027DE8"/>
    <w:rsid w:val="000301E3"/>
    <w:rsid w:val="00033326"/>
    <w:rsid w:val="00036858"/>
    <w:rsid w:val="00040648"/>
    <w:rsid w:val="000412BD"/>
    <w:rsid w:val="0004168B"/>
    <w:rsid w:val="000466D7"/>
    <w:rsid w:val="00062645"/>
    <w:rsid w:val="00063741"/>
    <w:rsid w:val="00064791"/>
    <w:rsid w:val="00064C62"/>
    <w:rsid w:val="00064DAA"/>
    <w:rsid w:val="00070EA1"/>
    <w:rsid w:val="00073252"/>
    <w:rsid w:val="0007513C"/>
    <w:rsid w:val="00075CC1"/>
    <w:rsid w:val="00077B0D"/>
    <w:rsid w:val="00081442"/>
    <w:rsid w:val="00081E39"/>
    <w:rsid w:val="00091A89"/>
    <w:rsid w:val="000A7E98"/>
    <w:rsid w:val="000B326A"/>
    <w:rsid w:val="000B3BE7"/>
    <w:rsid w:val="000D1416"/>
    <w:rsid w:val="000D192E"/>
    <w:rsid w:val="000D7E48"/>
    <w:rsid w:val="000E05E6"/>
    <w:rsid w:val="000E4828"/>
    <w:rsid w:val="000E5725"/>
    <w:rsid w:val="000F5E9B"/>
    <w:rsid w:val="0010114F"/>
    <w:rsid w:val="00114D34"/>
    <w:rsid w:val="00116433"/>
    <w:rsid w:val="00117266"/>
    <w:rsid w:val="0011737C"/>
    <w:rsid w:val="00124DE6"/>
    <w:rsid w:val="0012654F"/>
    <w:rsid w:val="00126C94"/>
    <w:rsid w:val="0013032B"/>
    <w:rsid w:val="00131197"/>
    <w:rsid w:val="00132F23"/>
    <w:rsid w:val="001347F8"/>
    <w:rsid w:val="001424A6"/>
    <w:rsid w:val="001424D9"/>
    <w:rsid w:val="001425DA"/>
    <w:rsid w:val="00143E1A"/>
    <w:rsid w:val="001467AE"/>
    <w:rsid w:val="001509DC"/>
    <w:rsid w:val="0015125F"/>
    <w:rsid w:val="00154E40"/>
    <w:rsid w:val="001609B7"/>
    <w:rsid w:val="00161F5E"/>
    <w:rsid w:val="001623CD"/>
    <w:rsid w:val="00162FFD"/>
    <w:rsid w:val="001630C8"/>
    <w:rsid w:val="00164645"/>
    <w:rsid w:val="00166EB1"/>
    <w:rsid w:val="001720E8"/>
    <w:rsid w:val="001806DB"/>
    <w:rsid w:val="00190974"/>
    <w:rsid w:val="00192087"/>
    <w:rsid w:val="00194533"/>
    <w:rsid w:val="00196F9F"/>
    <w:rsid w:val="0019769C"/>
    <w:rsid w:val="001A026A"/>
    <w:rsid w:val="001A2648"/>
    <w:rsid w:val="001A7E54"/>
    <w:rsid w:val="001C34A0"/>
    <w:rsid w:val="001D0D06"/>
    <w:rsid w:val="001D62D3"/>
    <w:rsid w:val="001E0EB3"/>
    <w:rsid w:val="001E57B8"/>
    <w:rsid w:val="001E6BE6"/>
    <w:rsid w:val="001E7965"/>
    <w:rsid w:val="001F58C5"/>
    <w:rsid w:val="001F59B2"/>
    <w:rsid w:val="001F6695"/>
    <w:rsid w:val="00200308"/>
    <w:rsid w:val="00201D4B"/>
    <w:rsid w:val="002067E8"/>
    <w:rsid w:val="00210B51"/>
    <w:rsid w:val="0022099D"/>
    <w:rsid w:val="00221209"/>
    <w:rsid w:val="0022321A"/>
    <w:rsid w:val="0022400D"/>
    <w:rsid w:val="002318AB"/>
    <w:rsid w:val="00232A1B"/>
    <w:rsid w:val="00233EE6"/>
    <w:rsid w:val="00234C5B"/>
    <w:rsid w:val="00237334"/>
    <w:rsid w:val="0024061E"/>
    <w:rsid w:val="00245283"/>
    <w:rsid w:val="002465B9"/>
    <w:rsid w:val="002552B9"/>
    <w:rsid w:val="002579B6"/>
    <w:rsid w:val="002624CC"/>
    <w:rsid w:val="002632F3"/>
    <w:rsid w:val="002657C4"/>
    <w:rsid w:val="00266525"/>
    <w:rsid w:val="00271394"/>
    <w:rsid w:val="0027760D"/>
    <w:rsid w:val="00277B0B"/>
    <w:rsid w:val="00281F4F"/>
    <w:rsid w:val="00287296"/>
    <w:rsid w:val="00292B33"/>
    <w:rsid w:val="002932EC"/>
    <w:rsid w:val="00297CE6"/>
    <w:rsid w:val="002A06BE"/>
    <w:rsid w:val="002A1961"/>
    <w:rsid w:val="002A25E3"/>
    <w:rsid w:val="002A46B3"/>
    <w:rsid w:val="002B0264"/>
    <w:rsid w:val="002B0E4B"/>
    <w:rsid w:val="002B0F98"/>
    <w:rsid w:val="002B62EB"/>
    <w:rsid w:val="002C1802"/>
    <w:rsid w:val="002C4AA1"/>
    <w:rsid w:val="002D33D1"/>
    <w:rsid w:val="002D3ABD"/>
    <w:rsid w:val="002D573D"/>
    <w:rsid w:val="002D5BDC"/>
    <w:rsid w:val="002E0DEF"/>
    <w:rsid w:val="002E6A00"/>
    <w:rsid w:val="002E7206"/>
    <w:rsid w:val="002E728F"/>
    <w:rsid w:val="002E76C5"/>
    <w:rsid w:val="002F183B"/>
    <w:rsid w:val="003108FB"/>
    <w:rsid w:val="003144BB"/>
    <w:rsid w:val="003227ED"/>
    <w:rsid w:val="00323F09"/>
    <w:rsid w:val="003242FA"/>
    <w:rsid w:val="00324518"/>
    <w:rsid w:val="003264F8"/>
    <w:rsid w:val="00327EBC"/>
    <w:rsid w:val="003368A0"/>
    <w:rsid w:val="003370C9"/>
    <w:rsid w:val="00337BAE"/>
    <w:rsid w:val="0034013F"/>
    <w:rsid w:val="00344852"/>
    <w:rsid w:val="00344BBB"/>
    <w:rsid w:val="00353DEB"/>
    <w:rsid w:val="00360195"/>
    <w:rsid w:val="00361A18"/>
    <w:rsid w:val="00361E4B"/>
    <w:rsid w:val="00362B8D"/>
    <w:rsid w:val="00365D0C"/>
    <w:rsid w:val="003704B0"/>
    <w:rsid w:val="0037135A"/>
    <w:rsid w:val="00377090"/>
    <w:rsid w:val="00381E1C"/>
    <w:rsid w:val="003839DD"/>
    <w:rsid w:val="003855D4"/>
    <w:rsid w:val="00387CD2"/>
    <w:rsid w:val="00390F9E"/>
    <w:rsid w:val="00395344"/>
    <w:rsid w:val="00395411"/>
    <w:rsid w:val="003A0B76"/>
    <w:rsid w:val="003A3608"/>
    <w:rsid w:val="003A59B4"/>
    <w:rsid w:val="003A6B35"/>
    <w:rsid w:val="003B3109"/>
    <w:rsid w:val="003B4A1D"/>
    <w:rsid w:val="003B5CDB"/>
    <w:rsid w:val="003C11C5"/>
    <w:rsid w:val="003D3D1F"/>
    <w:rsid w:val="003D42E9"/>
    <w:rsid w:val="003D4AD5"/>
    <w:rsid w:val="003D6B21"/>
    <w:rsid w:val="003E00AC"/>
    <w:rsid w:val="003E054F"/>
    <w:rsid w:val="003E0AD7"/>
    <w:rsid w:val="003E51BC"/>
    <w:rsid w:val="003E6731"/>
    <w:rsid w:val="00401B58"/>
    <w:rsid w:val="0040544F"/>
    <w:rsid w:val="0041533C"/>
    <w:rsid w:val="00423A0F"/>
    <w:rsid w:val="00426048"/>
    <w:rsid w:val="0042667E"/>
    <w:rsid w:val="00435340"/>
    <w:rsid w:val="00435B2B"/>
    <w:rsid w:val="00437B4A"/>
    <w:rsid w:val="00437D5E"/>
    <w:rsid w:val="0044019F"/>
    <w:rsid w:val="00440F97"/>
    <w:rsid w:val="00443193"/>
    <w:rsid w:val="00452152"/>
    <w:rsid w:val="00454A7B"/>
    <w:rsid w:val="00455D71"/>
    <w:rsid w:val="00461881"/>
    <w:rsid w:val="00463129"/>
    <w:rsid w:val="00463180"/>
    <w:rsid w:val="00463FDD"/>
    <w:rsid w:val="00467445"/>
    <w:rsid w:val="00473578"/>
    <w:rsid w:val="00485619"/>
    <w:rsid w:val="00486C0B"/>
    <w:rsid w:val="00491DBD"/>
    <w:rsid w:val="00493F3A"/>
    <w:rsid w:val="00497E35"/>
    <w:rsid w:val="004A5B38"/>
    <w:rsid w:val="004A607B"/>
    <w:rsid w:val="004A7529"/>
    <w:rsid w:val="004B1C78"/>
    <w:rsid w:val="004B394C"/>
    <w:rsid w:val="004B5AB3"/>
    <w:rsid w:val="004C0828"/>
    <w:rsid w:val="004C41AB"/>
    <w:rsid w:val="004C427A"/>
    <w:rsid w:val="004C7BA8"/>
    <w:rsid w:val="004D2903"/>
    <w:rsid w:val="004D583B"/>
    <w:rsid w:val="004D684B"/>
    <w:rsid w:val="004D74ED"/>
    <w:rsid w:val="004E6529"/>
    <w:rsid w:val="004F09C2"/>
    <w:rsid w:val="004F14F5"/>
    <w:rsid w:val="004F657A"/>
    <w:rsid w:val="00504075"/>
    <w:rsid w:val="00516756"/>
    <w:rsid w:val="00516DDA"/>
    <w:rsid w:val="00521D50"/>
    <w:rsid w:val="005229C4"/>
    <w:rsid w:val="005242E1"/>
    <w:rsid w:val="005278B9"/>
    <w:rsid w:val="00536DC1"/>
    <w:rsid w:val="005400E2"/>
    <w:rsid w:val="00544531"/>
    <w:rsid w:val="00544661"/>
    <w:rsid w:val="00546C9E"/>
    <w:rsid w:val="005512A5"/>
    <w:rsid w:val="00553F97"/>
    <w:rsid w:val="00555FEA"/>
    <w:rsid w:val="00556B92"/>
    <w:rsid w:val="005620F5"/>
    <w:rsid w:val="00566814"/>
    <w:rsid w:val="00570D46"/>
    <w:rsid w:val="00572EC3"/>
    <w:rsid w:val="005730D8"/>
    <w:rsid w:val="00573576"/>
    <w:rsid w:val="00576E5D"/>
    <w:rsid w:val="005803D0"/>
    <w:rsid w:val="00581195"/>
    <w:rsid w:val="00595497"/>
    <w:rsid w:val="005979F2"/>
    <w:rsid w:val="005A378B"/>
    <w:rsid w:val="005A5AE1"/>
    <w:rsid w:val="005B297F"/>
    <w:rsid w:val="005B3FAC"/>
    <w:rsid w:val="005B524A"/>
    <w:rsid w:val="005B5497"/>
    <w:rsid w:val="005B7231"/>
    <w:rsid w:val="005B7DA3"/>
    <w:rsid w:val="005C4B61"/>
    <w:rsid w:val="005C4D6E"/>
    <w:rsid w:val="005D0544"/>
    <w:rsid w:val="005E1D2F"/>
    <w:rsid w:val="005F0372"/>
    <w:rsid w:val="005F06BB"/>
    <w:rsid w:val="005F2137"/>
    <w:rsid w:val="00601980"/>
    <w:rsid w:val="006060F7"/>
    <w:rsid w:val="00607794"/>
    <w:rsid w:val="00611A5D"/>
    <w:rsid w:val="00612305"/>
    <w:rsid w:val="00612E25"/>
    <w:rsid w:val="00622C2C"/>
    <w:rsid w:val="00622C3C"/>
    <w:rsid w:val="00637CED"/>
    <w:rsid w:val="00645529"/>
    <w:rsid w:val="006469AF"/>
    <w:rsid w:val="0064712B"/>
    <w:rsid w:val="00647526"/>
    <w:rsid w:val="006478C7"/>
    <w:rsid w:val="00647DF4"/>
    <w:rsid w:val="00651C77"/>
    <w:rsid w:val="0065348F"/>
    <w:rsid w:val="00656BDD"/>
    <w:rsid w:val="00661833"/>
    <w:rsid w:val="0066260B"/>
    <w:rsid w:val="00662963"/>
    <w:rsid w:val="00671F40"/>
    <w:rsid w:val="00676CC9"/>
    <w:rsid w:val="0068041D"/>
    <w:rsid w:val="00680F31"/>
    <w:rsid w:val="00683F5E"/>
    <w:rsid w:val="00686249"/>
    <w:rsid w:val="00686F50"/>
    <w:rsid w:val="006874BF"/>
    <w:rsid w:val="00687B55"/>
    <w:rsid w:val="006915BC"/>
    <w:rsid w:val="006B1153"/>
    <w:rsid w:val="006B3B0D"/>
    <w:rsid w:val="006C0CF8"/>
    <w:rsid w:val="006C127F"/>
    <w:rsid w:val="006C1F59"/>
    <w:rsid w:val="006C5459"/>
    <w:rsid w:val="006C6FC2"/>
    <w:rsid w:val="006C70DA"/>
    <w:rsid w:val="006C7267"/>
    <w:rsid w:val="006D0E7D"/>
    <w:rsid w:val="006D1B7D"/>
    <w:rsid w:val="006D2696"/>
    <w:rsid w:val="006D5119"/>
    <w:rsid w:val="006D6873"/>
    <w:rsid w:val="006E0F19"/>
    <w:rsid w:val="006E4672"/>
    <w:rsid w:val="006E56DC"/>
    <w:rsid w:val="006E5F82"/>
    <w:rsid w:val="006F0F6D"/>
    <w:rsid w:val="006F4C5D"/>
    <w:rsid w:val="00700E67"/>
    <w:rsid w:val="00701E98"/>
    <w:rsid w:val="00703111"/>
    <w:rsid w:val="0070351E"/>
    <w:rsid w:val="00706C75"/>
    <w:rsid w:val="00706D6C"/>
    <w:rsid w:val="00711F32"/>
    <w:rsid w:val="00711FED"/>
    <w:rsid w:val="00716905"/>
    <w:rsid w:val="00717504"/>
    <w:rsid w:val="007178F4"/>
    <w:rsid w:val="00720417"/>
    <w:rsid w:val="007244A0"/>
    <w:rsid w:val="007312DC"/>
    <w:rsid w:val="00731708"/>
    <w:rsid w:val="00731E6F"/>
    <w:rsid w:val="00737D5C"/>
    <w:rsid w:val="00744D82"/>
    <w:rsid w:val="00745CCC"/>
    <w:rsid w:val="00745F5B"/>
    <w:rsid w:val="00753764"/>
    <w:rsid w:val="00756D6A"/>
    <w:rsid w:val="00760387"/>
    <w:rsid w:val="007618CF"/>
    <w:rsid w:val="00763658"/>
    <w:rsid w:val="00764087"/>
    <w:rsid w:val="0077627B"/>
    <w:rsid w:val="00781344"/>
    <w:rsid w:val="00782B70"/>
    <w:rsid w:val="007830AA"/>
    <w:rsid w:val="0079065D"/>
    <w:rsid w:val="007906BD"/>
    <w:rsid w:val="0079182D"/>
    <w:rsid w:val="00791B21"/>
    <w:rsid w:val="00791CE6"/>
    <w:rsid w:val="00792D23"/>
    <w:rsid w:val="00797E4E"/>
    <w:rsid w:val="007A239C"/>
    <w:rsid w:val="007A4E0A"/>
    <w:rsid w:val="007A57CA"/>
    <w:rsid w:val="007B229D"/>
    <w:rsid w:val="007B2A5F"/>
    <w:rsid w:val="007B7F88"/>
    <w:rsid w:val="007C4FB4"/>
    <w:rsid w:val="007D0CB1"/>
    <w:rsid w:val="007D30C3"/>
    <w:rsid w:val="007D5FE1"/>
    <w:rsid w:val="007E2A77"/>
    <w:rsid w:val="007E7EA1"/>
    <w:rsid w:val="007F1426"/>
    <w:rsid w:val="007F5BB5"/>
    <w:rsid w:val="007F7BA1"/>
    <w:rsid w:val="00802270"/>
    <w:rsid w:val="00804381"/>
    <w:rsid w:val="00804A23"/>
    <w:rsid w:val="00804E8E"/>
    <w:rsid w:val="00805F46"/>
    <w:rsid w:val="0080627D"/>
    <w:rsid w:val="00807D6C"/>
    <w:rsid w:val="008136E9"/>
    <w:rsid w:val="00814937"/>
    <w:rsid w:val="00816F83"/>
    <w:rsid w:val="00820F0A"/>
    <w:rsid w:val="00822178"/>
    <w:rsid w:val="008221F7"/>
    <w:rsid w:val="0082346D"/>
    <w:rsid w:val="008272B9"/>
    <w:rsid w:val="00830952"/>
    <w:rsid w:val="008309D3"/>
    <w:rsid w:val="00831ADB"/>
    <w:rsid w:val="00832558"/>
    <w:rsid w:val="00832C31"/>
    <w:rsid w:val="008334C9"/>
    <w:rsid w:val="00835A77"/>
    <w:rsid w:val="0083611D"/>
    <w:rsid w:val="008401B0"/>
    <w:rsid w:val="00843FA0"/>
    <w:rsid w:val="008440C8"/>
    <w:rsid w:val="00844A6D"/>
    <w:rsid w:val="008505D3"/>
    <w:rsid w:val="0085386D"/>
    <w:rsid w:val="00861EE6"/>
    <w:rsid w:val="00864EF2"/>
    <w:rsid w:val="00870C43"/>
    <w:rsid w:val="008710E4"/>
    <w:rsid w:val="0088090A"/>
    <w:rsid w:val="0088187F"/>
    <w:rsid w:val="00881B2E"/>
    <w:rsid w:val="00884FD5"/>
    <w:rsid w:val="008854B0"/>
    <w:rsid w:val="00887150"/>
    <w:rsid w:val="00892488"/>
    <w:rsid w:val="0089494A"/>
    <w:rsid w:val="008A2459"/>
    <w:rsid w:val="008B7D2D"/>
    <w:rsid w:val="008C1C6D"/>
    <w:rsid w:val="008C5B1B"/>
    <w:rsid w:val="008D322A"/>
    <w:rsid w:val="008D3FCB"/>
    <w:rsid w:val="008E1C11"/>
    <w:rsid w:val="008E7DAE"/>
    <w:rsid w:val="008F1584"/>
    <w:rsid w:val="008F7954"/>
    <w:rsid w:val="009075DA"/>
    <w:rsid w:val="00915873"/>
    <w:rsid w:val="00916A15"/>
    <w:rsid w:val="00925685"/>
    <w:rsid w:val="00930A8E"/>
    <w:rsid w:val="00931A36"/>
    <w:rsid w:val="00932692"/>
    <w:rsid w:val="00934094"/>
    <w:rsid w:val="009411E4"/>
    <w:rsid w:val="00946001"/>
    <w:rsid w:val="0095383C"/>
    <w:rsid w:val="00960929"/>
    <w:rsid w:val="00961F4E"/>
    <w:rsid w:val="00962AD6"/>
    <w:rsid w:val="00965824"/>
    <w:rsid w:val="00971D81"/>
    <w:rsid w:val="00980B52"/>
    <w:rsid w:val="009818E2"/>
    <w:rsid w:val="00981F78"/>
    <w:rsid w:val="00985CD1"/>
    <w:rsid w:val="009878C7"/>
    <w:rsid w:val="00994F79"/>
    <w:rsid w:val="0099689B"/>
    <w:rsid w:val="009A0672"/>
    <w:rsid w:val="009B5E4B"/>
    <w:rsid w:val="009B5F4E"/>
    <w:rsid w:val="009C0397"/>
    <w:rsid w:val="009C153C"/>
    <w:rsid w:val="009C7436"/>
    <w:rsid w:val="009D4CC4"/>
    <w:rsid w:val="009E4534"/>
    <w:rsid w:val="009E5021"/>
    <w:rsid w:val="009E69B8"/>
    <w:rsid w:val="009F15A1"/>
    <w:rsid w:val="00A04659"/>
    <w:rsid w:val="00A05E5E"/>
    <w:rsid w:val="00A10CED"/>
    <w:rsid w:val="00A16893"/>
    <w:rsid w:val="00A21C31"/>
    <w:rsid w:val="00A23F02"/>
    <w:rsid w:val="00A25724"/>
    <w:rsid w:val="00A2698A"/>
    <w:rsid w:val="00A31543"/>
    <w:rsid w:val="00A3536C"/>
    <w:rsid w:val="00A40379"/>
    <w:rsid w:val="00A5253C"/>
    <w:rsid w:val="00A53F34"/>
    <w:rsid w:val="00A5420A"/>
    <w:rsid w:val="00A54E92"/>
    <w:rsid w:val="00A56F86"/>
    <w:rsid w:val="00A602E0"/>
    <w:rsid w:val="00A637E1"/>
    <w:rsid w:val="00A7017A"/>
    <w:rsid w:val="00A7062F"/>
    <w:rsid w:val="00A71472"/>
    <w:rsid w:val="00A72E11"/>
    <w:rsid w:val="00A73B38"/>
    <w:rsid w:val="00A82464"/>
    <w:rsid w:val="00A84D27"/>
    <w:rsid w:val="00A87961"/>
    <w:rsid w:val="00A9199A"/>
    <w:rsid w:val="00A978BC"/>
    <w:rsid w:val="00AA2EC3"/>
    <w:rsid w:val="00AA2EC7"/>
    <w:rsid w:val="00AA6597"/>
    <w:rsid w:val="00AB1E41"/>
    <w:rsid w:val="00AB7C1C"/>
    <w:rsid w:val="00AC06B6"/>
    <w:rsid w:val="00AC332C"/>
    <w:rsid w:val="00AD3301"/>
    <w:rsid w:val="00AD4E64"/>
    <w:rsid w:val="00AD7480"/>
    <w:rsid w:val="00AE50C9"/>
    <w:rsid w:val="00AE5BA1"/>
    <w:rsid w:val="00AF0600"/>
    <w:rsid w:val="00AF195A"/>
    <w:rsid w:val="00AF37DB"/>
    <w:rsid w:val="00B00BC0"/>
    <w:rsid w:val="00B06435"/>
    <w:rsid w:val="00B12B84"/>
    <w:rsid w:val="00B1336A"/>
    <w:rsid w:val="00B13C59"/>
    <w:rsid w:val="00B145DF"/>
    <w:rsid w:val="00B171E4"/>
    <w:rsid w:val="00B23109"/>
    <w:rsid w:val="00B231F5"/>
    <w:rsid w:val="00B24F7E"/>
    <w:rsid w:val="00B273C7"/>
    <w:rsid w:val="00B27584"/>
    <w:rsid w:val="00B3105C"/>
    <w:rsid w:val="00B34467"/>
    <w:rsid w:val="00B34523"/>
    <w:rsid w:val="00B351E1"/>
    <w:rsid w:val="00B35C66"/>
    <w:rsid w:val="00B4394F"/>
    <w:rsid w:val="00B51CDE"/>
    <w:rsid w:val="00B54CA8"/>
    <w:rsid w:val="00B55C47"/>
    <w:rsid w:val="00B57261"/>
    <w:rsid w:val="00B64B56"/>
    <w:rsid w:val="00B67A27"/>
    <w:rsid w:val="00B726A5"/>
    <w:rsid w:val="00B74D51"/>
    <w:rsid w:val="00B76569"/>
    <w:rsid w:val="00B85857"/>
    <w:rsid w:val="00B860FD"/>
    <w:rsid w:val="00B86402"/>
    <w:rsid w:val="00B87F81"/>
    <w:rsid w:val="00B95BB9"/>
    <w:rsid w:val="00B96908"/>
    <w:rsid w:val="00BA2709"/>
    <w:rsid w:val="00BA43F2"/>
    <w:rsid w:val="00BA5833"/>
    <w:rsid w:val="00BA5D02"/>
    <w:rsid w:val="00BA7DE2"/>
    <w:rsid w:val="00BB1126"/>
    <w:rsid w:val="00BB18BA"/>
    <w:rsid w:val="00BB2BB2"/>
    <w:rsid w:val="00BB44D0"/>
    <w:rsid w:val="00BC3B1C"/>
    <w:rsid w:val="00BC7F4C"/>
    <w:rsid w:val="00BD0F90"/>
    <w:rsid w:val="00BD339B"/>
    <w:rsid w:val="00BD51ED"/>
    <w:rsid w:val="00BD5467"/>
    <w:rsid w:val="00BD74E3"/>
    <w:rsid w:val="00BE588D"/>
    <w:rsid w:val="00BE5AFF"/>
    <w:rsid w:val="00BF1B5C"/>
    <w:rsid w:val="00BF4A5E"/>
    <w:rsid w:val="00C01CBC"/>
    <w:rsid w:val="00C048CF"/>
    <w:rsid w:val="00C100FF"/>
    <w:rsid w:val="00C12C7F"/>
    <w:rsid w:val="00C21D31"/>
    <w:rsid w:val="00C25BA4"/>
    <w:rsid w:val="00C364E1"/>
    <w:rsid w:val="00C412E1"/>
    <w:rsid w:val="00C416DA"/>
    <w:rsid w:val="00C44521"/>
    <w:rsid w:val="00C445C0"/>
    <w:rsid w:val="00C473B0"/>
    <w:rsid w:val="00C51A75"/>
    <w:rsid w:val="00C52FEF"/>
    <w:rsid w:val="00C55AB7"/>
    <w:rsid w:val="00C62CF1"/>
    <w:rsid w:val="00C64A26"/>
    <w:rsid w:val="00C65A9C"/>
    <w:rsid w:val="00C66206"/>
    <w:rsid w:val="00C67EA9"/>
    <w:rsid w:val="00C73954"/>
    <w:rsid w:val="00C822AE"/>
    <w:rsid w:val="00C87BA0"/>
    <w:rsid w:val="00C947C2"/>
    <w:rsid w:val="00CA2507"/>
    <w:rsid w:val="00CB30F6"/>
    <w:rsid w:val="00CC0A39"/>
    <w:rsid w:val="00CC1CAA"/>
    <w:rsid w:val="00CC1EB6"/>
    <w:rsid w:val="00CC5CED"/>
    <w:rsid w:val="00CD2293"/>
    <w:rsid w:val="00CD403D"/>
    <w:rsid w:val="00CD721B"/>
    <w:rsid w:val="00CD7F33"/>
    <w:rsid w:val="00CE2474"/>
    <w:rsid w:val="00CE46DA"/>
    <w:rsid w:val="00CE59DC"/>
    <w:rsid w:val="00CE6430"/>
    <w:rsid w:val="00CF33D0"/>
    <w:rsid w:val="00CF5CDB"/>
    <w:rsid w:val="00CF658C"/>
    <w:rsid w:val="00CF67E8"/>
    <w:rsid w:val="00CF68E0"/>
    <w:rsid w:val="00D00A78"/>
    <w:rsid w:val="00D0504C"/>
    <w:rsid w:val="00D1081C"/>
    <w:rsid w:val="00D108B3"/>
    <w:rsid w:val="00D14944"/>
    <w:rsid w:val="00D15BF4"/>
    <w:rsid w:val="00D32443"/>
    <w:rsid w:val="00D35E20"/>
    <w:rsid w:val="00D365F5"/>
    <w:rsid w:val="00D41FC0"/>
    <w:rsid w:val="00D42063"/>
    <w:rsid w:val="00D44FCB"/>
    <w:rsid w:val="00D474DE"/>
    <w:rsid w:val="00D51ED3"/>
    <w:rsid w:val="00D605F9"/>
    <w:rsid w:val="00D6275B"/>
    <w:rsid w:val="00D703B6"/>
    <w:rsid w:val="00D74AD4"/>
    <w:rsid w:val="00D85845"/>
    <w:rsid w:val="00D919A8"/>
    <w:rsid w:val="00D92B17"/>
    <w:rsid w:val="00D93ADA"/>
    <w:rsid w:val="00DA1532"/>
    <w:rsid w:val="00DA6BC0"/>
    <w:rsid w:val="00DC510E"/>
    <w:rsid w:val="00DC675C"/>
    <w:rsid w:val="00DD3298"/>
    <w:rsid w:val="00DD379D"/>
    <w:rsid w:val="00DE5475"/>
    <w:rsid w:val="00DE733D"/>
    <w:rsid w:val="00DF0082"/>
    <w:rsid w:val="00DF0CE3"/>
    <w:rsid w:val="00DF111A"/>
    <w:rsid w:val="00E02B49"/>
    <w:rsid w:val="00E137C8"/>
    <w:rsid w:val="00E140E7"/>
    <w:rsid w:val="00E16F80"/>
    <w:rsid w:val="00E17F66"/>
    <w:rsid w:val="00E255D1"/>
    <w:rsid w:val="00E32CD8"/>
    <w:rsid w:val="00E3390A"/>
    <w:rsid w:val="00E3485C"/>
    <w:rsid w:val="00E37DF0"/>
    <w:rsid w:val="00E400A1"/>
    <w:rsid w:val="00E411CB"/>
    <w:rsid w:val="00E41E34"/>
    <w:rsid w:val="00E456B9"/>
    <w:rsid w:val="00E45C9F"/>
    <w:rsid w:val="00E5029C"/>
    <w:rsid w:val="00E55891"/>
    <w:rsid w:val="00E576F6"/>
    <w:rsid w:val="00E638CB"/>
    <w:rsid w:val="00E75BDB"/>
    <w:rsid w:val="00E76AC4"/>
    <w:rsid w:val="00E828FF"/>
    <w:rsid w:val="00E90E64"/>
    <w:rsid w:val="00E93675"/>
    <w:rsid w:val="00E95FED"/>
    <w:rsid w:val="00EA258D"/>
    <w:rsid w:val="00EA33F1"/>
    <w:rsid w:val="00EA3547"/>
    <w:rsid w:val="00EA4CFC"/>
    <w:rsid w:val="00EA506F"/>
    <w:rsid w:val="00EA68C9"/>
    <w:rsid w:val="00EA7B5C"/>
    <w:rsid w:val="00EB7399"/>
    <w:rsid w:val="00EC2D0A"/>
    <w:rsid w:val="00ED4368"/>
    <w:rsid w:val="00ED740E"/>
    <w:rsid w:val="00ED79D3"/>
    <w:rsid w:val="00EE18BC"/>
    <w:rsid w:val="00EE216D"/>
    <w:rsid w:val="00EF0C75"/>
    <w:rsid w:val="00EF1F98"/>
    <w:rsid w:val="00EF359D"/>
    <w:rsid w:val="00EF5089"/>
    <w:rsid w:val="00EF54F7"/>
    <w:rsid w:val="00F002CA"/>
    <w:rsid w:val="00F019E9"/>
    <w:rsid w:val="00F164FC"/>
    <w:rsid w:val="00F17C2C"/>
    <w:rsid w:val="00F21767"/>
    <w:rsid w:val="00F30021"/>
    <w:rsid w:val="00F3148F"/>
    <w:rsid w:val="00F33899"/>
    <w:rsid w:val="00F34818"/>
    <w:rsid w:val="00F36804"/>
    <w:rsid w:val="00F371B6"/>
    <w:rsid w:val="00F404F4"/>
    <w:rsid w:val="00F44483"/>
    <w:rsid w:val="00F4778D"/>
    <w:rsid w:val="00F50C4F"/>
    <w:rsid w:val="00F60C5E"/>
    <w:rsid w:val="00F61B47"/>
    <w:rsid w:val="00F62EA5"/>
    <w:rsid w:val="00F75301"/>
    <w:rsid w:val="00F75DCB"/>
    <w:rsid w:val="00F763DD"/>
    <w:rsid w:val="00F80F61"/>
    <w:rsid w:val="00F81939"/>
    <w:rsid w:val="00F82D07"/>
    <w:rsid w:val="00F84510"/>
    <w:rsid w:val="00F91158"/>
    <w:rsid w:val="00F91DAD"/>
    <w:rsid w:val="00F93289"/>
    <w:rsid w:val="00F94B80"/>
    <w:rsid w:val="00F951EF"/>
    <w:rsid w:val="00F9531B"/>
    <w:rsid w:val="00FB32D1"/>
    <w:rsid w:val="00FB42A3"/>
    <w:rsid w:val="00FB4C20"/>
    <w:rsid w:val="00FC1184"/>
    <w:rsid w:val="00FC2D62"/>
    <w:rsid w:val="00FC392F"/>
    <w:rsid w:val="00FC6F55"/>
    <w:rsid w:val="00FC715C"/>
    <w:rsid w:val="00FD3E61"/>
    <w:rsid w:val="00FD5067"/>
    <w:rsid w:val="00FE0A19"/>
    <w:rsid w:val="00FE6265"/>
    <w:rsid w:val="00FE628A"/>
    <w:rsid w:val="00FF1D42"/>
    <w:rsid w:val="00FF2562"/>
    <w:rsid w:val="00FF27D7"/>
    <w:rsid w:val="00FF3B23"/>
    <w:rsid w:val="00FF3F88"/>
    <w:rsid w:val="00FF5804"/>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3CE00"/>
  <w14:defaultImageDpi w14:val="32767"/>
  <w15:chartTrackingRefBased/>
  <w15:docId w15:val="{11D9E90B-F7A3-764C-8318-8976583BC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F1F98"/>
    <w:pPr>
      <w:spacing w:line="360" w:lineRule="auto"/>
    </w:pPr>
    <w:rPr>
      <w:rFonts w:ascii="Times New Roman" w:hAnsi="Times New Roman"/>
    </w:rPr>
  </w:style>
  <w:style w:type="paragraph" w:styleId="Heading1">
    <w:name w:val="heading 1"/>
    <w:basedOn w:val="Normal"/>
    <w:next w:val="Normal"/>
    <w:link w:val="Heading1Char"/>
    <w:uiPriority w:val="9"/>
    <w:qFormat/>
    <w:rsid w:val="001630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09C2"/>
    <w:pPr>
      <w:keepNext/>
      <w:keepLines/>
      <w:spacing w:before="4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509D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F98"/>
    <w:pPr>
      <w:ind w:left="720"/>
      <w:contextualSpacing/>
    </w:pPr>
  </w:style>
  <w:style w:type="paragraph" w:customStyle="1" w:styleId="Body">
    <w:name w:val="Body"/>
    <w:rsid w:val="00EF1F98"/>
    <w:pPr>
      <w:pBdr>
        <w:top w:val="nil"/>
        <w:left w:val="nil"/>
        <w:bottom w:val="nil"/>
        <w:right w:val="nil"/>
        <w:between w:val="nil"/>
        <w:bar w:val="nil"/>
      </w:pBdr>
      <w:spacing w:line="480" w:lineRule="auto"/>
      <w:jc w:val="both"/>
    </w:pPr>
    <w:rPr>
      <w:rFonts w:ascii="Arial" w:eastAsia="Arial Unicode MS" w:hAnsi="Arial" w:cs="Arial Unicode MS"/>
      <w:color w:val="000000"/>
      <w:sz w:val="22"/>
      <w:u w:color="000000"/>
      <w:bdr w:val="nil"/>
      <w:lang w:val="en-US"/>
    </w:rPr>
  </w:style>
  <w:style w:type="character" w:styleId="Hyperlink">
    <w:name w:val="Hyperlink"/>
    <w:basedOn w:val="DefaultParagraphFont"/>
    <w:unhideWhenUsed/>
    <w:rsid w:val="00EF1F98"/>
    <w:rPr>
      <w:color w:val="0000FF"/>
      <w:u w:val="single"/>
    </w:rPr>
  </w:style>
  <w:style w:type="paragraph" w:styleId="BalloonText">
    <w:name w:val="Balloon Text"/>
    <w:basedOn w:val="Normal"/>
    <w:link w:val="BalloonTextChar"/>
    <w:uiPriority w:val="99"/>
    <w:semiHidden/>
    <w:unhideWhenUsed/>
    <w:rsid w:val="00EF1F98"/>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EF1F98"/>
    <w:rPr>
      <w:rFonts w:ascii="Times New Roman" w:hAnsi="Times New Roman" w:cs="Times New Roman"/>
      <w:sz w:val="18"/>
      <w:szCs w:val="18"/>
    </w:rPr>
  </w:style>
  <w:style w:type="paragraph" w:styleId="NormalWeb">
    <w:name w:val="Normal (Web)"/>
    <w:basedOn w:val="Normal"/>
    <w:uiPriority w:val="99"/>
    <w:unhideWhenUsed/>
    <w:rsid w:val="00EF1F98"/>
    <w:pPr>
      <w:spacing w:before="100" w:beforeAutospacing="1" w:after="100" w:afterAutospacing="1"/>
    </w:pPr>
    <w:rPr>
      <w:rFonts w:eastAsia="Times New Roman" w:cs="Times New Roman"/>
      <w:lang w:eastAsia="en-GB"/>
    </w:rPr>
  </w:style>
  <w:style w:type="character" w:styleId="CommentReference">
    <w:name w:val="annotation reference"/>
    <w:basedOn w:val="DefaultParagraphFont"/>
    <w:uiPriority w:val="99"/>
    <w:semiHidden/>
    <w:unhideWhenUsed/>
    <w:rsid w:val="007312DC"/>
    <w:rPr>
      <w:sz w:val="16"/>
      <w:szCs w:val="16"/>
    </w:rPr>
  </w:style>
  <w:style w:type="paragraph" w:styleId="CommentText">
    <w:name w:val="annotation text"/>
    <w:basedOn w:val="Normal"/>
    <w:link w:val="CommentTextChar"/>
    <w:uiPriority w:val="99"/>
    <w:unhideWhenUsed/>
    <w:rsid w:val="007312DC"/>
    <w:pPr>
      <w:spacing w:line="240" w:lineRule="auto"/>
    </w:pPr>
    <w:rPr>
      <w:sz w:val="20"/>
      <w:szCs w:val="20"/>
    </w:rPr>
  </w:style>
  <w:style w:type="character" w:customStyle="1" w:styleId="CommentTextChar">
    <w:name w:val="Comment Text Char"/>
    <w:basedOn w:val="DefaultParagraphFont"/>
    <w:link w:val="CommentText"/>
    <w:uiPriority w:val="99"/>
    <w:rsid w:val="007312D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312DC"/>
    <w:rPr>
      <w:b/>
      <w:bCs/>
    </w:rPr>
  </w:style>
  <w:style w:type="character" w:customStyle="1" w:styleId="CommentSubjectChar">
    <w:name w:val="Comment Subject Char"/>
    <w:basedOn w:val="CommentTextChar"/>
    <w:link w:val="CommentSubject"/>
    <w:uiPriority w:val="99"/>
    <w:semiHidden/>
    <w:rsid w:val="007312DC"/>
    <w:rPr>
      <w:rFonts w:ascii="Times New Roman" w:hAnsi="Times New Roman"/>
      <w:b/>
      <w:bCs/>
      <w:sz w:val="20"/>
      <w:szCs w:val="20"/>
    </w:rPr>
  </w:style>
  <w:style w:type="table" w:styleId="TableGrid">
    <w:name w:val="Table Grid"/>
    <w:basedOn w:val="TableNormal"/>
    <w:uiPriority w:val="39"/>
    <w:rsid w:val="004F0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F09C2"/>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4F09C2"/>
    <w:pPr>
      <w:spacing w:line="240" w:lineRule="auto"/>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4F09C2"/>
    <w:rPr>
      <w:rFonts w:ascii="Calibri" w:hAnsi="Calibri" w:cs="Calibri"/>
      <w:lang w:val="en-US"/>
    </w:rPr>
  </w:style>
  <w:style w:type="paragraph" w:customStyle="1" w:styleId="EndNoteBibliography">
    <w:name w:val="EndNote Bibliography"/>
    <w:basedOn w:val="Normal"/>
    <w:link w:val="EndNoteBibliographyChar"/>
    <w:rsid w:val="004F09C2"/>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4F09C2"/>
    <w:rPr>
      <w:rFonts w:ascii="Calibri" w:hAnsi="Calibri" w:cs="Calibri"/>
      <w:lang w:val="en-US"/>
    </w:rPr>
  </w:style>
  <w:style w:type="character" w:styleId="PlaceholderText">
    <w:name w:val="Placeholder Text"/>
    <w:basedOn w:val="DefaultParagraphFont"/>
    <w:uiPriority w:val="99"/>
    <w:semiHidden/>
    <w:rsid w:val="004F09C2"/>
    <w:rPr>
      <w:color w:val="808080"/>
    </w:rPr>
  </w:style>
  <w:style w:type="paragraph" w:styleId="Header">
    <w:name w:val="header"/>
    <w:basedOn w:val="Normal"/>
    <w:link w:val="HeaderChar"/>
    <w:uiPriority w:val="99"/>
    <w:unhideWhenUsed/>
    <w:rsid w:val="009411E4"/>
    <w:pPr>
      <w:tabs>
        <w:tab w:val="center" w:pos="4680"/>
        <w:tab w:val="right" w:pos="9360"/>
      </w:tabs>
      <w:spacing w:line="240" w:lineRule="auto"/>
    </w:pPr>
  </w:style>
  <w:style w:type="character" w:customStyle="1" w:styleId="HeaderChar">
    <w:name w:val="Header Char"/>
    <w:basedOn w:val="DefaultParagraphFont"/>
    <w:link w:val="Header"/>
    <w:uiPriority w:val="99"/>
    <w:rsid w:val="009411E4"/>
    <w:rPr>
      <w:rFonts w:ascii="Times New Roman" w:hAnsi="Times New Roman"/>
    </w:rPr>
  </w:style>
  <w:style w:type="paragraph" w:styleId="Footer">
    <w:name w:val="footer"/>
    <w:basedOn w:val="Normal"/>
    <w:link w:val="FooterChar"/>
    <w:uiPriority w:val="99"/>
    <w:unhideWhenUsed/>
    <w:rsid w:val="009411E4"/>
    <w:pPr>
      <w:tabs>
        <w:tab w:val="center" w:pos="4680"/>
        <w:tab w:val="right" w:pos="9360"/>
      </w:tabs>
      <w:spacing w:line="240" w:lineRule="auto"/>
    </w:pPr>
  </w:style>
  <w:style w:type="character" w:customStyle="1" w:styleId="FooterChar">
    <w:name w:val="Footer Char"/>
    <w:basedOn w:val="DefaultParagraphFont"/>
    <w:link w:val="Footer"/>
    <w:uiPriority w:val="99"/>
    <w:rsid w:val="009411E4"/>
    <w:rPr>
      <w:rFonts w:ascii="Times New Roman" w:hAnsi="Times New Roman"/>
    </w:rPr>
  </w:style>
  <w:style w:type="paragraph" w:styleId="Revision">
    <w:name w:val="Revision"/>
    <w:hidden/>
    <w:uiPriority w:val="99"/>
    <w:semiHidden/>
    <w:rsid w:val="007178F4"/>
    <w:rPr>
      <w:rFonts w:ascii="Times New Roman" w:hAnsi="Times New Roman"/>
    </w:rPr>
  </w:style>
  <w:style w:type="character" w:customStyle="1" w:styleId="Heading1Char">
    <w:name w:val="Heading 1 Char"/>
    <w:basedOn w:val="DefaultParagraphFont"/>
    <w:link w:val="Heading1"/>
    <w:uiPriority w:val="9"/>
    <w:rsid w:val="001630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509DC"/>
    <w:rPr>
      <w:rFonts w:asciiTheme="majorHAnsi" w:eastAsiaTheme="majorEastAsia" w:hAnsiTheme="majorHAnsi" w:cstheme="majorBidi"/>
      <w:color w:val="1F3763" w:themeColor="accent1" w:themeShade="7F"/>
    </w:rPr>
  </w:style>
  <w:style w:type="character" w:customStyle="1" w:styleId="apple-converted-space">
    <w:name w:val="apple-converted-space"/>
    <w:basedOn w:val="DefaultParagraphFont"/>
    <w:rsid w:val="001509DC"/>
  </w:style>
  <w:style w:type="character" w:styleId="PageNumber">
    <w:name w:val="page number"/>
    <w:basedOn w:val="DefaultParagraphFont"/>
    <w:uiPriority w:val="99"/>
    <w:semiHidden/>
    <w:unhideWhenUsed/>
    <w:rsid w:val="0011737C"/>
  </w:style>
  <w:style w:type="character" w:styleId="LineNumber">
    <w:name w:val="line number"/>
    <w:basedOn w:val="DefaultParagraphFont"/>
    <w:uiPriority w:val="99"/>
    <w:semiHidden/>
    <w:unhideWhenUsed/>
    <w:rsid w:val="0011737C"/>
  </w:style>
  <w:style w:type="paragraph" w:customStyle="1" w:styleId="InsideAddress">
    <w:name w:val="Inside Address"/>
    <w:basedOn w:val="Normal"/>
    <w:rsid w:val="007A239C"/>
    <w:pPr>
      <w:spacing w:line="240" w:lineRule="auto"/>
      <w:ind w:left="835" w:right="-360"/>
    </w:pPr>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57414">
      <w:bodyDiv w:val="1"/>
      <w:marLeft w:val="0"/>
      <w:marRight w:val="0"/>
      <w:marTop w:val="0"/>
      <w:marBottom w:val="0"/>
      <w:divBdr>
        <w:top w:val="none" w:sz="0" w:space="0" w:color="auto"/>
        <w:left w:val="none" w:sz="0" w:space="0" w:color="auto"/>
        <w:bottom w:val="none" w:sz="0" w:space="0" w:color="auto"/>
        <w:right w:val="none" w:sz="0" w:space="0" w:color="auto"/>
      </w:divBdr>
    </w:div>
    <w:div w:id="105199282">
      <w:bodyDiv w:val="1"/>
      <w:marLeft w:val="0"/>
      <w:marRight w:val="0"/>
      <w:marTop w:val="0"/>
      <w:marBottom w:val="0"/>
      <w:divBdr>
        <w:top w:val="none" w:sz="0" w:space="0" w:color="auto"/>
        <w:left w:val="none" w:sz="0" w:space="0" w:color="auto"/>
        <w:bottom w:val="none" w:sz="0" w:space="0" w:color="auto"/>
        <w:right w:val="none" w:sz="0" w:space="0" w:color="auto"/>
      </w:divBdr>
    </w:div>
    <w:div w:id="305355040">
      <w:bodyDiv w:val="1"/>
      <w:marLeft w:val="0"/>
      <w:marRight w:val="0"/>
      <w:marTop w:val="0"/>
      <w:marBottom w:val="0"/>
      <w:divBdr>
        <w:top w:val="none" w:sz="0" w:space="0" w:color="auto"/>
        <w:left w:val="none" w:sz="0" w:space="0" w:color="auto"/>
        <w:bottom w:val="none" w:sz="0" w:space="0" w:color="auto"/>
        <w:right w:val="none" w:sz="0" w:space="0" w:color="auto"/>
      </w:divBdr>
    </w:div>
    <w:div w:id="988749997">
      <w:bodyDiv w:val="1"/>
      <w:marLeft w:val="0"/>
      <w:marRight w:val="0"/>
      <w:marTop w:val="0"/>
      <w:marBottom w:val="0"/>
      <w:divBdr>
        <w:top w:val="none" w:sz="0" w:space="0" w:color="auto"/>
        <w:left w:val="none" w:sz="0" w:space="0" w:color="auto"/>
        <w:bottom w:val="none" w:sz="0" w:space="0" w:color="auto"/>
        <w:right w:val="none" w:sz="0" w:space="0" w:color="auto"/>
      </w:divBdr>
    </w:div>
    <w:div w:id="1203519760">
      <w:bodyDiv w:val="1"/>
      <w:marLeft w:val="0"/>
      <w:marRight w:val="0"/>
      <w:marTop w:val="0"/>
      <w:marBottom w:val="0"/>
      <w:divBdr>
        <w:top w:val="none" w:sz="0" w:space="0" w:color="auto"/>
        <w:left w:val="none" w:sz="0" w:space="0" w:color="auto"/>
        <w:bottom w:val="none" w:sz="0" w:space="0" w:color="auto"/>
        <w:right w:val="none" w:sz="0" w:space="0" w:color="auto"/>
      </w:divBdr>
    </w:div>
    <w:div w:id="1256672635">
      <w:bodyDiv w:val="1"/>
      <w:marLeft w:val="0"/>
      <w:marRight w:val="0"/>
      <w:marTop w:val="0"/>
      <w:marBottom w:val="0"/>
      <w:divBdr>
        <w:top w:val="none" w:sz="0" w:space="0" w:color="auto"/>
        <w:left w:val="none" w:sz="0" w:space="0" w:color="auto"/>
        <w:bottom w:val="none" w:sz="0" w:space="0" w:color="auto"/>
        <w:right w:val="none" w:sz="0" w:space="0" w:color="auto"/>
      </w:divBdr>
    </w:div>
    <w:div w:id="1384913562">
      <w:bodyDiv w:val="1"/>
      <w:marLeft w:val="0"/>
      <w:marRight w:val="0"/>
      <w:marTop w:val="0"/>
      <w:marBottom w:val="0"/>
      <w:divBdr>
        <w:top w:val="none" w:sz="0" w:space="0" w:color="auto"/>
        <w:left w:val="none" w:sz="0" w:space="0" w:color="auto"/>
        <w:bottom w:val="none" w:sz="0" w:space="0" w:color="auto"/>
        <w:right w:val="none" w:sz="0" w:space="0" w:color="auto"/>
      </w:divBdr>
    </w:div>
    <w:div w:id="1448500318">
      <w:bodyDiv w:val="1"/>
      <w:marLeft w:val="0"/>
      <w:marRight w:val="0"/>
      <w:marTop w:val="0"/>
      <w:marBottom w:val="0"/>
      <w:divBdr>
        <w:top w:val="none" w:sz="0" w:space="0" w:color="auto"/>
        <w:left w:val="none" w:sz="0" w:space="0" w:color="auto"/>
        <w:bottom w:val="none" w:sz="0" w:space="0" w:color="auto"/>
        <w:right w:val="none" w:sz="0" w:space="0" w:color="auto"/>
      </w:divBdr>
    </w:div>
    <w:div w:id="1869947620">
      <w:bodyDiv w:val="1"/>
      <w:marLeft w:val="0"/>
      <w:marRight w:val="0"/>
      <w:marTop w:val="0"/>
      <w:marBottom w:val="0"/>
      <w:divBdr>
        <w:top w:val="none" w:sz="0" w:space="0" w:color="auto"/>
        <w:left w:val="none" w:sz="0" w:space="0" w:color="auto"/>
        <w:bottom w:val="none" w:sz="0" w:space="0" w:color="auto"/>
        <w:right w:val="none" w:sz="0" w:space="0" w:color="auto"/>
      </w:divBdr>
    </w:div>
    <w:div w:id="19969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07D37-5D9D-F843-90B2-D1A2640C2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53</Pages>
  <Words>224468</Words>
  <Characters>1279468</Characters>
  <Application>Microsoft Office Word</Application>
  <DocSecurity>0</DocSecurity>
  <Lines>10662</Lines>
  <Paragraphs>3001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Faheem Bhatti</dc:creator>
  <cp:keywords/>
  <dc:description/>
  <cp:lastModifiedBy>Faheem Bhatti</cp:lastModifiedBy>
  <cp:revision>5</cp:revision>
  <cp:lastPrinted>2021-01-09T13:15:00Z</cp:lastPrinted>
  <dcterms:created xsi:type="dcterms:W3CDTF">2021-07-21T11:46:00Z</dcterms:created>
  <dcterms:modified xsi:type="dcterms:W3CDTF">2021-07-21T12:29:00Z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http://www.zotero.org/styles/spinal-cord</vt:lpwstr>
  </property>
  <property fmtid="{D5CDD505-2E9C-101B-9397-08002B2CF9AE}" pid="19" name="Mendeley Recent Style Name 8_1">
    <vt:lpwstr>Spinal Cord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fab4f140-66ca-3016-9b8a-fe324f738c02</vt:lpwstr>
  </property>
  <property fmtid="{D5CDD505-2E9C-101B-9397-08002B2CF9AE}" pid="24" name="Mendeley Citation Style_1">
    <vt:lpwstr>http://www.zotero.org/styles/vancouver</vt:lpwstr>
  </property>
</Properties>
</file>