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1932745" w14:textId="29E1B6AB" w:rsidR="005B35A6" w:rsidRDefault="005B35A6" w:rsidP="001377E3">
      <w:pPr>
        <w:pStyle w:val="Heading1"/>
        <w:spacing w:line="480" w:lineRule="auto"/>
      </w:pPr>
      <w:r>
        <w:t>Vid Simoniti</w:t>
      </w:r>
      <w:bookmarkStart w:id="0" w:name="_GoBack"/>
      <w:bookmarkEnd w:id="0"/>
    </w:p>
    <w:p w14:paraId="6BABD148" w14:textId="002F4C6A" w:rsidR="00172715" w:rsidRPr="003851FA" w:rsidRDefault="00DE57F9" w:rsidP="001377E3">
      <w:pPr>
        <w:pStyle w:val="Heading1"/>
        <w:spacing w:line="480" w:lineRule="auto"/>
      </w:pPr>
      <w:r w:rsidRPr="003851FA">
        <w:t>Adrian Piper and the Rhetoric of Conceptual Art</w:t>
      </w:r>
    </w:p>
    <w:p w14:paraId="4E2E7E3B" w14:textId="04DD3EBF" w:rsidR="00D25324" w:rsidRPr="003851FA" w:rsidRDefault="002E3738" w:rsidP="00EC0289">
      <w:pPr>
        <w:rPr>
          <w:i/>
          <w:color w:val="000000"/>
        </w:rPr>
      </w:pPr>
      <w:r w:rsidRPr="003851FA">
        <w:rPr>
          <w:i/>
        </w:rPr>
        <w:t xml:space="preserve">Two </w:t>
      </w:r>
      <w:r w:rsidR="00A603A5" w:rsidRPr="003851FA">
        <w:rPr>
          <w:i/>
        </w:rPr>
        <w:t>questions</w:t>
      </w:r>
      <w:r w:rsidRPr="003851FA">
        <w:rPr>
          <w:i/>
        </w:rPr>
        <w:t xml:space="preserve"> have occupied art </w:t>
      </w:r>
      <w:r w:rsidR="00EC0289" w:rsidRPr="003851FA">
        <w:rPr>
          <w:i/>
        </w:rPr>
        <w:t xml:space="preserve">historical </w:t>
      </w:r>
      <w:r w:rsidRPr="003851FA">
        <w:rPr>
          <w:i/>
        </w:rPr>
        <w:t xml:space="preserve">writing on the post-Conceptual, discursive, politically engaged art practises of the 1970s and after. </w:t>
      </w:r>
      <w:r w:rsidR="00062E4F" w:rsidRPr="003851FA">
        <w:rPr>
          <w:i/>
        </w:rPr>
        <w:t>A</w:t>
      </w:r>
      <w:r w:rsidR="00205B7D" w:rsidRPr="003851FA">
        <w:rPr>
          <w:i/>
        </w:rPr>
        <w:t>rt historians have queried</w:t>
      </w:r>
      <w:r w:rsidR="00A603A5" w:rsidRPr="003851FA">
        <w:rPr>
          <w:i/>
        </w:rPr>
        <w:t>, firstly,</w:t>
      </w:r>
      <w:r w:rsidR="00205B7D" w:rsidRPr="003851FA">
        <w:rPr>
          <w:i/>
        </w:rPr>
        <w:t xml:space="preserve"> the development of </w:t>
      </w:r>
      <w:r w:rsidR="00ED3912" w:rsidRPr="003851FA">
        <w:rPr>
          <w:i/>
        </w:rPr>
        <w:t xml:space="preserve">such </w:t>
      </w:r>
      <w:r w:rsidR="00205B7D" w:rsidRPr="003851FA">
        <w:rPr>
          <w:i/>
        </w:rPr>
        <w:t xml:space="preserve">committed art from the </w:t>
      </w:r>
      <w:r w:rsidR="00A603A5" w:rsidRPr="003851FA">
        <w:rPr>
          <w:i/>
        </w:rPr>
        <w:t>politically taciturn</w:t>
      </w:r>
      <w:r w:rsidR="00205B7D" w:rsidRPr="003851FA">
        <w:rPr>
          <w:i/>
        </w:rPr>
        <w:t xml:space="preserve"> </w:t>
      </w:r>
      <w:r w:rsidR="00C4582F" w:rsidRPr="003851FA">
        <w:rPr>
          <w:i/>
        </w:rPr>
        <w:t>Conceptual art of the 1960s</w:t>
      </w:r>
      <w:r w:rsidR="00205B7D" w:rsidRPr="003851FA">
        <w:rPr>
          <w:i/>
        </w:rPr>
        <w:t xml:space="preserve">. Was that development a matter of historical accident—a contingent confluence of late modernism and of ground-shifting political developments of the late 1960s—or was there something </w:t>
      </w:r>
      <w:r w:rsidR="00C4582F" w:rsidRPr="003851FA">
        <w:rPr>
          <w:i/>
        </w:rPr>
        <w:t>intrinsic</w:t>
      </w:r>
      <w:r w:rsidR="00C23189" w:rsidRPr="003851FA">
        <w:rPr>
          <w:i/>
        </w:rPr>
        <w:t xml:space="preserve">ally emancipatory to that moment: an </w:t>
      </w:r>
      <w:r w:rsidR="00205B7D" w:rsidRPr="003851FA">
        <w:rPr>
          <w:i/>
        </w:rPr>
        <w:t>aesthetic revolution</w:t>
      </w:r>
      <w:r w:rsidR="00EC0289" w:rsidRPr="003851FA">
        <w:rPr>
          <w:i/>
        </w:rPr>
        <w:t xml:space="preserve">, which facilitated </w:t>
      </w:r>
      <w:r w:rsidR="00205B7D" w:rsidRPr="003851FA">
        <w:rPr>
          <w:i/>
        </w:rPr>
        <w:t xml:space="preserve">the political one? </w:t>
      </w:r>
      <w:r w:rsidR="00B74D7E" w:rsidRPr="003851FA">
        <w:rPr>
          <w:i/>
        </w:rPr>
        <w:t xml:space="preserve">Secondly, once </w:t>
      </w:r>
      <w:r w:rsidR="00A603A5" w:rsidRPr="003851FA">
        <w:rPr>
          <w:i/>
        </w:rPr>
        <w:t xml:space="preserve">art </w:t>
      </w:r>
      <w:r w:rsidR="00B74D7E" w:rsidRPr="003851FA">
        <w:rPr>
          <w:i/>
        </w:rPr>
        <w:t xml:space="preserve">enters </w:t>
      </w:r>
      <w:r w:rsidR="00A603A5" w:rsidRPr="003851FA">
        <w:rPr>
          <w:i/>
        </w:rPr>
        <w:t xml:space="preserve">overt </w:t>
      </w:r>
      <w:r w:rsidR="00B74D7E" w:rsidRPr="003851FA">
        <w:rPr>
          <w:i/>
        </w:rPr>
        <w:t xml:space="preserve">political discourse, what role do these practices occupy vis-à-vis ‘non-art’ political discourse? Do new, emancipatory kinds of rhetoric become available when political debate takes place within the distinct sphere of art making? </w:t>
      </w:r>
      <w:r w:rsidR="00205B7D" w:rsidRPr="003851FA">
        <w:rPr>
          <w:i/>
        </w:rPr>
        <w:t xml:space="preserve">I revisit these questions </w:t>
      </w:r>
      <w:r w:rsidR="00C4582F" w:rsidRPr="003851FA">
        <w:rPr>
          <w:i/>
        </w:rPr>
        <w:t xml:space="preserve">through the </w:t>
      </w:r>
      <w:r w:rsidR="00205B7D" w:rsidRPr="003851FA">
        <w:rPr>
          <w:i/>
        </w:rPr>
        <w:t xml:space="preserve">work of Adrian Piper. I read two bodies of Piper’s work </w:t>
      </w:r>
      <w:r w:rsidR="00EC0289" w:rsidRPr="003851FA">
        <w:rPr>
          <w:i/>
        </w:rPr>
        <w:t>alongside</w:t>
      </w:r>
      <w:r w:rsidR="00205B7D" w:rsidRPr="003851FA">
        <w:rPr>
          <w:i/>
        </w:rPr>
        <w:t xml:space="preserve"> </w:t>
      </w:r>
      <w:r w:rsidR="005037C9" w:rsidRPr="003851FA">
        <w:rPr>
          <w:i/>
        </w:rPr>
        <w:t>one</w:t>
      </w:r>
      <w:r w:rsidR="00205B7D" w:rsidRPr="003851FA">
        <w:rPr>
          <w:i/>
        </w:rPr>
        <w:t xml:space="preserve"> other: her performance-based Conceptual pieces of 1968</w:t>
      </w:r>
      <w:r w:rsidR="00205B7D" w:rsidRPr="003851FA">
        <w:rPr>
          <w:i/>
        </w:rPr>
        <w:softHyphen/>
      </w:r>
      <w:r w:rsidR="00205B7D" w:rsidRPr="003851FA">
        <w:rPr>
          <w:i/>
        </w:rPr>
        <w:softHyphen/>
        <w:t>–1971, and he</w:t>
      </w:r>
      <w:r w:rsidR="00EC0289" w:rsidRPr="003851FA">
        <w:rPr>
          <w:i/>
        </w:rPr>
        <w:t xml:space="preserve">r 1978–1992 </w:t>
      </w:r>
      <w:r w:rsidR="00C4582F" w:rsidRPr="003851FA">
        <w:rPr>
          <w:i/>
        </w:rPr>
        <w:t xml:space="preserve">anti-racist </w:t>
      </w:r>
      <w:r w:rsidR="00EC0289" w:rsidRPr="003851FA">
        <w:rPr>
          <w:i/>
        </w:rPr>
        <w:t xml:space="preserve">installation works. Drawing on this analysis and on the socio-political background of what social psychology has described as the rise of ‘modern’ </w:t>
      </w:r>
      <w:r w:rsidR="003851FA" w:rsidRPr="003851FA">
        <w:rPr>
          <w:i/>
        </w:rPr>
        <w:t>or</w:t>
      </w:r>
      <w:r w:rsidR="00EC0289" w:rsidRPr="003851FA">
        <w:rPr>
          <w:i/>
        </w:rPr>
        <w:t xml:space="preserve"> ‘subtle’ racism, I suggest that to assess the rhetor</w:t>
      </w:r>
      <w:r w:rsidR="00D25324" w:rsidRPr="003851FA">
        <w:rPr>
          <w:i/>
          <w:color w:val="000000"/>
        </w:rPr>
        <w:t xml:space="preserve">ical effectiveness of Conceptual </w:t>
      </w:r>
      <w:r w:rsidR="00EC0289" w:rsidRPr="003851FA">
        <w:rPr>
          <w:i/>
          <w:color w:val="000000"/>
        </w:rPr>
        <w:t>art we need to reconsider the identity of its viewer</w:t>
      </w:r>
      <w:r w:rsidR="00C4582F" w:rsidRPr="003851FA">
        <w:rPr>
          <w:i/>
          <w:color w:val="000000"/>
        </w:rPr>
        <w:t>s</w:t>
      </w:r>
      <w:r w:rsidR="00EC0289" w:rsidRPr="003851FA">
        <w:rPr>
          <w:i/>
          <w:color w:val="000000"/>
        </w:rPr>
        <w:t>.</w:t>
      </w:r>
    </w:p>
    <w:p w14:paraId="1DCE59E8" w14:textId="77777777" w:rsidR="00C4582F" w:rsidRPr="003851FA" w:rsidRDefault="00C4582F" w:rsidP="00EC0289">
      <w:pPr>
        <w:rPr>
          <w:i/>
          <w:color w:val="000000"/>
        </w:rPr>
      </w:pPr>
    </w:p>
    <w:p w14:paraId="194AC703" w14:textId="5C7584A3" w:rsidR="00BC159C" w:rsidRPr="003851FA" w:rsidRDefault="00BC159C" w:rsidP="00BC159C">
      <w:pPr>
        <w:pStyle w:val="Heading2"/>
      </w:pPr>
      <w:r w:rsidRPr="003851FA">
        <w:t>Introduction</w:t>
      </w:r>
      <w:r w:rsidR="00315BB9" w:rsidRPr="003851FA">
        <w:t>:</w:t>
      </w:r>
      <w:r w:rsidR="00133901" w:rsidRPr="003851FA">
        <w:t xml:space="preserve"> The Work and the Viewer</w:t>
      </w:r>
    </w:p>
    <w:p w14:paraId="44307D2F" w14:textId="4B85904E" w:rsidR="00C92903" w:rsidRPr="003851FA" w:rsidRDefault="00C92903" w:rsidP="00F23942">
      <w:pPr>
        <w:pStyle w:val="BodyText1"/>
        <w:rPr>
          <w:color w:val="000000"/>
        </w:rPr>
      </w:pPr>
      <w:r w:rsidRPr="003851FA">
        <w:rPr>
          <w:color w:val="000000"/>
        </w:rPr>
        <w:t xml:space="preserve">Adrian Piper’s installation </w:t>
      </w:r>
      <w:r w:rsidRPr="003851FA">
        <w:rPr>
          <w:i/>
          <w:iCs/>
          <w:color w:val="000000"/>
        </w:rPr>
        <w:t xml:space="preserve">Four Intruders plus Alarm Systems </w:t>
      </w:r>
      <w:r w:rsidRPr="003851FA">
        <w:rPr>
          <w:color w:val="000000"/>
        </w:rPr>
        <w:t>(1980) is a wooden</w:t>
      </w:r>
      <w:r w:rsidR="00BC159C" w:rsidRPr="003851FA">
        <w:rPr>
          <w:color w:val="000000"/>
        </w:rPr>
        <w:t>, conch-like</w:t>
      </w:r>
      <w:r w:rsidRPr="003851FA">
        <w:rPr>
          <w:color w:val="000000"/>
        </w:rPr>
        <w:t xml:space="preserve"> construction, admitting only a few visitors at a time </w:t>
      </w:r>
      <w:r w:rsidRPr="003851FA">
        <w:rPr>
          <w:b/>
          <w:color w:val="000000"/>
        </w:rPr>
        <w:t>(</w:t>
      </w:r>
      <w:r w:rsidR="00035AF3" w:rsidRPr="003851FA">
        <w:rPr>
          <w:b/>
          <w:color w:val="000000"/>
        </w:rPr>
        <w:t>Figures 1 and 2</w:t>
      </w:r>
      <w:r w:rsidRPr="003851FA">
        <w:rPr>
          <w:b/>
          <w:color w:val="000000"/>
        </w:rPr>
        <w:t>)</w:t>
      </w:r>
      <w:r w:rsidRPr="003851FA">
        <w:rPr>
          <w:color w:val="000000"/>
        </w:rPr>
        <w:t>. In the darkened space within, the viewer is faced with back</w:t>
      </w:r>
      <w:r w:rsidR="004F460A" w:rsidRPr="003851FA">
        <w:rPr>
          <w:color w:val="000000"/>
        </w:rPr>
        <w:t xml:space="preserve">lit photographs of four black men; the </w:t>
      </w:r>
      <w:r w:rsidR="003E00C0" w:rsidRPr="003851FA">
        <w:rPr>
          <w:color w:val="000000"/>
        </w:rPr>
        <w:t>light radiating from the men’s eyes illuminates the small space</w:t>
      </w:r>
      <w:r w:rsidRPr="003851FA">
        <w:rPr>
          <w:color w:val="000000"/>
        </w:rPr>
        <w:t>. Equipped with headphones, the viewer hears four in-character monologues, spoken by Piper</w:t>
      </w:r>
      <w:r w:rsidR="004F460A" w:rsidRPr="003851FA">
        <w:rPr>
          <w:color w:val="000000"/>
        </w:rPr>
        <w:t>, each lasting several minutes</w:t>
      </w:r>
      <w:r w:rsidR="006A3155" w:rsidRPr="003851FA">
        <w:rPr>
          <w:color w:val="000000"/>
        </w:rPr>
        <w:t>.</w:t>
      </w:r>
      <w:r w:rsidRPr="003851FA">
        <w:rPr>
          <w:color w:val="000000"/>
        </w:rPr>
        <w:t xml:space="preserve"> These </w:t>
      </w:r>
      <w:r w:rsidR="004F460A" w:rsidRPr="003851FA">
        <w:rPr>
          <w:color w:val="000000"/>
        </w:rPr>
        <w:t xml:space="preserve">play out reactions by potential </w:t>
      </w:r>
      <w:r w:rsidR="006A3155" w:rsidRPr="003851FA">
        <w:rPr>
          <w:color w:val="000000"/>
        </w:rPr>
        <w:t>spectators</w:t>
      </w:r>
      <w:r w:rsidR="004F460A" w:rsidRPr="003851FA">
        <w:rPr>
          <w:color w:val="000000"/>
        </w:rPr>
        <w:t xml:space="preserve">, </w:t>
      </w:r>
      <w:r w:rsidR="00431063" w:rsidRPr="003851FA">
        <w:rPr>
          <w:color w:val="000000"/>
        </w:rPr>
        <w:t>and all reveal</w:t>
      </w:r>
      <w:r w:rsidR="00F23942" w:rsidRPr="003851FA">
        <w:rPr>
          <w:color w:val="000000"/>
        </w:rPr>
        <w:t xml:space="preserve"> problematic political attitudes. We might describe one voice as that of a</w:t>
      </w:r>
      <w:r w:rsidR="00590340" w:rsidRPr="003851FA">
        <w:rPr>
          <w:color w:val="000000"/>
        </w:rPr>
        <w:t xml:space="preserve"> politically apathetic</w:t>
      </w:r>
      <w:r w:rsidR="00F23942" w:rsidRPr="003851FA">
        <w:rPr>
          <w:color w:val="000000"/>
        </w:rPr>
        <w:t xml:space="preserve"> aesthete: ‘</w:t>
      </w:r>
      <w:r w:rsidRPr="003851FA">
        <w:rPr>
          <w:color w:val="000000"/>
        </w:rPr>
        <w:t>It’s an interesting attempt to disrup</w:t>
      </w:r>
      <w:r w:rsidR="00F23942" w:rsidRPr="003851FA">
        <w:rPr>
          <w:color w:val="000000"/>
        </w:rPr>
        <w:t>t my composure as an art viewer</w:t>
      </w:r>
      <w:r w:rsidRPr="003851FA">
        <w:rPr>
          <w:color w:val="000000"/>
        </w:rPr>
        <w:t xml:space="preserve"> </w:t>
      </w:r>
      <w:r w:rsidR="00F23942" w:rsidRPr="003851FA">
        <w:rPr>
          <w:color w:val="000000"/>
        </w:rPr>
        <w:t>[</w:t>
      </w:r>
      <w:r w:rsidRPr="003851FA">
        <w:rPr>
          <w:color w:val="000000"/>
        </w:rPr>
        <w:t>…</w:t>
      </w:r>
      <w:r w:rsidR="00DE57F9" w:rsidRPr="003851FA">
        <w:rPr>
          <w:color w:val="000000"/>
        </w:rPr>
        <w:t xml:space="preserve">but </w:t>
      </w:r>
      <w:r w:rsidR="00F23942" w:rsidRPr="003851FA">
        <w:rPr>
          <w:color w:val="000000"/>
        </w:rPr>
        <w:t xml:space="preserve">] </w:t>
      </w:r>
      <w:r w:rsidRPr="003851FA">
        <w:rPr>
          <w:color w:val="000000"/>
        </w:rPr>
        <w:t>I don’t think that it works as art, because I really couldn’t care less about racial problems when I come to a gallery</w:t>
      </w:r>
      <w:r w:rsidR="00F23942" w:rsidRPr="003851FA">
        <w:rPr>
          <w:color w:val="000000"/>
        </w:rPr>
        <w:t>’;</w:t>
      </w:r>
      <w:r w:rsidR="006A3155" w:rsidRPr="003851FA">
        <w:rPr>
          <w:color w:val="000000"/>
        </w:rPr>
        <w:t xml:space="preserve"> and</w:t>
      </w:r>
      <w:r w:rsidR="00F23942" w:rsidRPr="003851FA">
        <w:rPr>
          <w:color w:val="000000"/>
        </w:rPr>
        <w:t xml:space="preserve"> another as that </w:t>
      </w:r>
      <w:r w:rsidR="00F23942" w:rsidRPr="003851FA">
        <w:rPr>
          <w:color w:val="000000"/>
        </w:rPr>
        <w:lastRenderedPageBreak/>
        <w:t xml:space="preserve">of a disappointed </w:t>
      </w:r>
      <w:r w:rsidR="00A47F52" w:rsidRPr="003851FA">
        <w:rPr>
          <w:color w:val="000000"/>
        </w:rPr>
        <w:t>suburban</w:t>
      </w:r>
      <w:r w:rsidR="00F23942" w:rsidRPr="003851FA">
        <w:rPr>
          <w:color w:val="000000"/>
        </w:rPr>
        <w:t xml:space="preserve"> moralist: ‘</w:t>
      </w:r>
      <w:r w:rsidRPr="003851FA">
        <w:rPr>
          <w:color w:val="000000"/>
        </w:rPr>
        <w:t xml:space="preserve">She’s representing all blacks as completely hostile and alienated, and I just think that that’s not true. </w:t>
      </w:r>
      <w:r w:rsidR="00F23942" w:rsidRPr="003851FA">
        <w:rPr>
          <w:color w:val="000000"/>
        </w:rPr>
        <w:t>[</w:t>
      </w:r>
      <w:r w:rsidRPr="003851FA">
        <w:rPr>
          <w:color w:val="000000"/>
        </w:rPr>
        <w:t>…</w:t>
      </w:r>
      <w:r w:rsidR="00F23942" w:rsidRPr="003851FA">
        <w:rPr>
          <w:color w:val="000000"/>
        </w:rPr>
        <w:t>]</w:t>
      </w:r>
      <w:r w:rsidRPr="003851FA">
        <w:rPr>
          <w:color w:val="000000"/>
        </w:rPr>
        <w:t xml:space="preserve"> I know lots of black people. </w:t>
      </w:r>
      <w:r w:rsidR="00F23942" w:rsidRPr="003851FA">
        <w:rPr>
          <w:color w:val="000000"/>
        </w:rPr>
        <w:t>[</w:t>
      </w:r>
      <w:r w:rsidRPr="003851FA">
        <w:rPr>
          <w:color w:val="000000"/>
        </w:rPr>
        <w:t>…</w:t>
      </w:r>
      <w:r w:rsidR="00F23942" w:rsidRPr="003851FA">
        <w:rPr>
          <w:color w:val="000000"/>
        </w:rPr>
        <w:t>]</w:t>
      </w:r>
      <w:r w:rsidRPr="003851FA">
        <w:rPr>
          <w:color w:val="000000"/>
        </w:rPr>
        <w:t xml:space="preserve"> Well, of course I wouldn’t advise my daughter to marry one </w:t>
      </w:r>
      <w:r w:rsidR="00F23942" w:rsidRPr="003851FA">
        <w:rPr>
          <w:color w:val="000000"/>
        </w:rPr>
        <w:t>[</w:t>
      </w:r>
      <w:r w:rsidRPr="003851FA">
        <w:rPr>
          <w:color w:val="000000"/>
        </w:rPr>
        <w:t>…</w:t>
      </w:r>
      <w:r w:rsidR="00F23942" w:rsidRPr="003851FA">
        <w:rPr>
          <w:color w:val="000000"/>
        </w:rPr>
        <w:t>]</w:t>
      </w:r>
      <w:r w:rsidRPr="003851FA">
        <w:rPr>
          <w:color w:val="000000"/>
        </w:rPr>
        <w:t xml:space="preserve"> it’s just because society makes it so difficult for an interracial couple</w:t>
      </w:r>
      <w:r w:rsidR="00BE6B34" w:rsidRPr="003851FA">
        <w:rPr>
          <w:color w:val="000000"/>
        </w:rPr>
        <w:t xml:space="preserve"> </w:t>
      </w:r>
      <w:r w:rsidR="00F23942" w:rsidRPr="003851FA">
        <w:rPr>
          <w:color w:val="000000"/>
        </w:rPr>
        <w:t>[…]</w:t>
      </w:r>
      <w:r w:rsidRPr="003851FA">
        <w:rPr>
          <w:color w:val="000000"/>
        </w:rPr>
        <w:t>’</w:t>
      </w:r>
      <w:r w:rsidR="00F23942" w:rsidRPr="003851FA">
        <w:rPr>
          <w:color w:val="000000"/>
        </w:rPr>
        <w:t xml:space="preserve"> The third voice </w:t>
      </w:r>
      <w:r w:rsidR="00BE6B34" w:rsidRPr="003851FA">
        <w:rPr>
          <w:color w:val="000000"/>
        </w:rPr>
        <w:t>is enthusiastic</w:t>
      </w:r>
      <w:r w:rsidR="0048502D" w:rsidRPr="003851FA">
        <w:rPr>
          <w:color w:val="000000"/>
        </w:rPr>
        <w:t xml:space="preserve"> about the work</w:t>
      </w:r>
      <w:r w:rsidR="00BE6B34" w:rsidRPr="003851FA">
        <w:rPr>
          <w:color w:val="000000"/>
        </w:rPr>
        <w:t xml:space="preserve">, but </w:t>
      </w:r>
      <w:r w:rsidR="00F23942" w:rsidRPr="003851FA">
        <w:rPr>
          <w:color w:val="000000"/>
        </w:rPr>
        <w:t>indulge</w:t>
      </w:r>
      <w:r w:rsidR="0048502D" w:rsidRPr="003851FA">
        <w:rPr>
          <w:color w:val="000000"/>
        </w:rPr>
        <w:t>s</w:t>
      </w:r>
      <w:r w:rsidR="00F23942" w:rsidRPr="003851FA">
        <w:rPr>
          <w:color w:val="000000"/>
        </w:rPr>
        <w:t xml:space="preserve"> in a </w:t>
      </w:r>
      <w:r w:rsidR="00BE6B34" w:rsidRPr="003851FA">
        <w:rPr>
          <w:color w:val="000000"/>
        </w:rPr>
        <w:t xml:space="preserve">facile </w:t>
      </w:r>
      <w:r w:rsidR="00F23942" w:rsidRPr="003851FA">
        <w:rPr>
          <w:color w:val="000000"/>
        </w:rPr>
        <w:t xml:space="preserve">identification with the photographed men: </w:t>
      </w:r>
      <w:r w:rsidRPr="003851FA">
        <w:rPr>
          <w:color w:val="000000"/>
        </w:rPr>
        <w:t xml:space="preserve">‘This is really right on </w:t>
      </w:r>
      <w:r w:rsidR="00F23942" w:rsidRPr="003851FA">
        <w:rPr>
          <w:color w:val="000000"/>
        </w:rPr>
        <w:t>[</w:t>
      </w:r>
      <w:r w:rsidRPr="003851FA">
        <w:rPr>
          <w:color w:val="000000"/>
        </w:rPr>
        <w:t>…</w:t>
      </w:r>
      <w:r w:rsidR="00F23942" w:rsidRPr="003851FA">
        <w:rPr>
          <w:color w:val="000000"/>
        </w:rPr>
        <w:t>]</w:t>
      </w:r>
      <w:r w:rsidRPr="003851FA">
        <w:rPr>
          <w:color w:val="000000"/>
        </w:rPr>
        <w:t xml:space="preserve"> I mean I’ve been really down and out myself. I can really understand black anger, because like, I’m real angry too</w:t>
      </w:r>
      <w:r w:rsidR="00F23942" w:rsidRPr="003851FA">
        <w:rPr>
          <w:color w:val="000000"/>
        </w:rPr>
        <w:t xml:space="preserve"> […]’ The fourth </w:t>
      </w:r>
      <w:r w:rsidR="00BE6B34" w:rsidRPr="003851FA">
        <w:rPr>
          <w:color w:val="000000"/>
        </w:rPr>
        <w:t xml:space="preserve">voice </w:t>
      </w:r>
      <w:r w:rsidR="00F23942" w:rsidRPr="003851FA">
        <w:rPr>
          <w:color w:val="000000"/>
        </w:rPr>
        <w:t>is that of una</w:t>
      </w:r>
      <w:r w:rsidR="00BE6B34" w:rsidRPr="003851FA">
        <w:rPr>
          <w:color w:val="000000"/>
        </w:rPr>
        <w:t xml:space="preserve">bashed, bitter </w:t>
      </w:r>
      <w:r w:rsidR="00F23942" w:rsidRPr="003851FA">
        <w:rPr>
          <w:color w:val="000000"/>
        </w:rPr>
        <w:t xml:space="preserve">resentment: </w:t>
      </w:r>
      <w:r w:rsidRPr="003851FA">
        <w:rPr>
          <w:color w:val="000000"/>
        </w:rPr>
        <w:t xml:space="preserve">‘This certainly doesn’t bring me any closer to the so-called black experience. </w:t>
      </w:r>
      <w:r w:rsidR="00F23942" w:rsidRPr="003851FA">
        <w:rPr>
          <w:color w:val="000000"/>
        </w:rPr>
        <w:t>[</w:t>
      </w:r>
      <w:r w:rsidRPr="003851FA">
        <w:rPr>
          <w:color w:val="000000"/>
        </w:rPr>
        <w:t>…</w:t>
      </w:r>
      <w:r w:rsidR="00F23942" w:rsidRPr="003851FA">
        <w:rPr>
          <w:color w:val="000000"/>
        </w:rPr>
        <w:t>]</w:t>
      </w:r>
      <w:r w:rsidRPr="003851FA">
        <w:rPr>
          <w:color w:val="000000"/>
        </w:rPr>
        <w:t xml:space="preserve"> I’ve found that blacks are just angry, they’re difficult to get along with</w:t>
      </w:r>
      <w:r w:rsidR="00F23942" w:rsidRPr="003851FA">
        <w:rPr>
          <w:color w:val="000000"/>
        </w:rPr>
        <w:t xml:space="preserve"> […]</w:t>
      </w:r>
      <w:r w:rsidRPr="003851FA">
        <w:rPr>
          <w:color w:val="000000"/>
        </w:rPr>
        <w:t>’).</w:t>
      </w:r>
      <w:r w:rsidRPr="003851FA">
        <w:rPr>
          <w:rStyle w:val="EndnoteReference"/>
          <w:color w:val="000000"/>
        </w:rPr>
        <w:endnoteReference w:id="1"/>
      </w:r>
      <w:r w:rsidRPr="003851FA">
        <w:rPr>
          <w:color w:val="000000"/>
        </w:rPr>
        <w:t xml:space="preserve"> </w:t>
      </w:r>
      <w:r w:rsidR="00BC159C" w:rsidRPr="003851FA">
        <w:rPr>
          <w:color w:val="000000"/>
        </w:rPr>
        <w:t>These four narratives, it appears, are the ‘alarm systems’ of the work</w:t>
      </w:r>
      <w:r w:rsidR="00A47F52" w:rsidRPr="003851FA">
        <w:rPr>
          <w:color w:val="000000"/>
        </w:rPr>
        <w:t>’s title: defensive orations t</w:t>
      </w:r>
      <w:r w:rsidR="00BC159C" w:rsidRPr="003851FA">
        <w:rPr>
          <w:color w:val="000000"/>
        </w:rPr>
        <w:t xml:space="preserve">riggered by the </w:t>
      </w:r>
      <w:r w:rsidR="0003030C" w:rsidRPr="003851FA">
        <w:rPr>
          <w:color w:val="000000"/>
        </w:rPr>
        <w:t xml:space="preserve">intrusion of the </w:t>
      </w:r>
      <w:r w:rsidR="00DE57F9" w:rsidRPr="003851FA">
        <w:rPr>
          <w:color w:val="000000"/>
        </w:rPr>
        <w:t xml:space="preserve">photographed </w:t>
      </w:r>
      <w:r w:rsidR="0003030C" w:rsidRPr="003851FA">
        <w:rPr>
          <w:color w:val="000000"/>
        </w:rPr>
        <w:t>men</w:t>
      </w:r>
      <w:r w:rsidR="00A47F52" w:rsidRPr="003851FA">
        <w:rPr>
          <w:color w:val="000000"/>
        </w:rPr>
        <w:t xml:space="preserve"> </w:t>
      </w:r>
      <w:r w:rsidR="0003030C" w:rsidRPr="003851FA">
        <w:rPr>
          <w:color w:val="000000"/>
        </w:rPr>
        <w:t>into</w:t>
      </w:r>
      <w:r w:rsidR="00A47F52" w:rsidRPr="003851FA">
        <w:rPr>
          <w:color w:val="000000"/>
        </w:rPr>
        <w:t xml:space="preserve"> </w:t>
      </w:r>
      <w:r w:rsidR="00BC159C" w:rsidRPr="003851FA">
        <w:rPr>
          <w:color w:val="000000"/>
        </w:rPr>
        <w:t>the dark box.</w:t>
      </w:r>
    </w:p>
    <w:p w14:paraId="29BCFF4D" w14:textId="3407CACA" w:rsidR="00FE6F32" w:rsidRPr="003851FA" w:rsidRDefault="003C5E07" w:rsidP="00A40F3E">
      <w:pPr>
        <w:pStyle w:val="BodyText1"/>
        <w:rPr>
          <w:color w:val="000000"/>
        </w:rPr>
      </w:pPr>
      <w:r w:rsidRPr="003851FA">
        <w:rPr>
          <w:color w:val="000000"/>
        </w:rPr>
        <w:tab/>
      </w:r>
      <w:r w:rsidR="00431063" w:rsidRPr="003851FA">
        <w:rPr>
          <w:i/>
          <w:color w:val="000000"/>
        </w:rPr>
        <w:t xml:space="preserve">Four Intruders </w:t>
      </w:r>
      <w:r w:rsidR="00431063" w:rsidRPr="003851FA">
        <w:rPr>
          <w:color w:val="000000"/>
        </w:rPr>
        <w:t xml:space="preserve">suggests an art practice decidedly different from the one that introduced Piper’s name to the New York art world some ten years earlier. Then, </w:t>
      </w:r>
      <w:r w:rsidRPr="003851FA">
        <w:rPr>
          <w:color w:val="000000"/>
        </w:rPr>
        <w:t>Adrian Piper</w:t>
      </w:r>
      <w:r w:rsidR="00194E67" w:rsidRPr="003851FA">
        <w:rPr>
          <w:color w:val="000000"/>
        </w:rPr>
        <w:t xml:space="preserve"> (b. 1948) was one of the youngest participants </w:t>
      </w:r>
      <w:r w:rsidR="005D67DF" w:rsidRPr="003851FA">
        <w:rPr>
          <w:color w:val="000000"/>
        </w:rPr>
        <w:t>in</w:t>
      </w:r>
      <w:r w:rsidR="00431063" w:rsidRPr="003851FA">
        <w:rPr>
          <w:color w:val="000000"/>
        </w:rPr>
        <w:t xml:space="preserve"> the </w:t>
      </w:r>
      <w:r w:rsidR="00194E67" w:rsidRPr="003851FA">
        <w:rPr>
          <w:color w:val="000000"/>
        </w:rPr>
        <w:t>Concep</w:t>
      </w:r>
      <w:r w:rsidR="00196726" w:rsidRPr="003851FA">
        <w:rPr>
          <w:color w:val="000000"/>
        </w:rPr>
        <w:t>tual a</w:t>
      </w:r>
      <w:r w:rsidR="00194E67" w:rsidRPr="003851FA">
        <w:rPr>
          <w:color w:val="000000"/>
        </w:rPr>
        <w:t xml:space="preserve">rt </w:t>
      </w:r>
      <w:r w:rsidR="00431063" w:rsidRPr="003851FA">
        <w:rPr>
          <w:color w:val="000000"/>
        </w:rPr>
        <w:t>movement</w:t>
      </w:r>
      <w:r w:rsidR="00194E67" w:rsidRPr="003851FA">
        <w:rPr>
          <w:color w:val="000000"/>
        </w:rPr>
        <w:t xml:space="preserve">; she turned twenty-two on the closing day of </w:t>
      </w:r>
      <w:r w:rsidR="00194E67" w:rsidRPr="003851FA">
        <w:rPr>
          <w:i/>
          <w:color w:val="000000"/>
        </w:rPr>
        <w:t xml:space="preserve">Information </w:t>
      </w:r>
      <w:r w:rsidR="00194E67" w:rsidRPr="003851FA">
        <w:rPr>
          <w:color w:val="000000"/>
        </w:rPr>
        <w:t>(1970)</w:t>
      </w:r>
      <w:r w:rsidR="00194E67" w:rsidRPr="003851FA">
        <w:rPr>
          <w:i/>
          <w:color w:val="000000"/>
        </w:rPr>
        <w:t xml:space="preserve">, </w:t>
      </w:r>
      <w:r w:rsidR="00194E67" w:rsidRPr="003851FA">
        <w:rPr>
          <w:color w:val="000000"/>
        </w:rPr>
        <w:t xml:space="preserve">the </w:t>
      </w:r>
      <w:r w:rsidR="008A0954" w:rsidRPr="003851FA">
        <w:rPr>
          <w:color w:val="000000"/>
        </w:rPr>
        <w:t xml:space="preserve">seminal </w:t>
      </w:r>
      <w:r w:rsidR="00341BE2" w:rsidRPr="003851FA">
        <w:rPr>
          <w:color w:val="000000"/>
        </w:rPr>
        <w:t xml:space="preserve">Museum of Modern Art exhibition which helped </w:t>
      </w:r>
      <w:r w:rsidR="008A0954" w:rsidRPr="003851FA">
        <w:rPr>
          <w:color w:val="000000"/>
        </w:rPr>
        <w:t xml:space="preserve">to </w:t>
      </w:r>
      <w:r w:rsidR="00341BE2" w:rsidRPr="003851FA">
        <w:rPr>
          <w:color w:val="000000"/>
        </w:rPr>
        <w:t xml:space="preserve">solidify the identity of </w:t>
      </w:r>
      <w:r w:rsidR="00431063" w:rsidRPr="003851FA">
        <w:rPr>
          <w:color w:val="000000"/>
        </w:rPr>
        <w:t>Conceptualism</w:t>
      </w:r>
      <w:r w:rsidR="00341BE2" w:rsidRPr="003851FA">
        <w:rPr>
          <w:color w:val="000000"/>
        </w:rPr>
        <w:t>.</w:t>
      </w:r>
      <w:r w:rsidR="009A0F29" w:rsidRPr="003851FA">
        <w:rPr>
          <w:color w:val="000000"/>
        </w:rPr>
        <w:t xml:space="preserve"> </w:t>
      </w:r>
      <w:r w:rsidR="00D50D7F" w:rsidRPr="003851FA">
        <w:t xml:space="preserve">Piper’s contribution to </w:t>
      </w:r>
      <w:r w:rsidR="00D50D7F" w:rsidRPr="003851FA">
        <w:rPr>
          <w:i/>
        </w:rPr>
        <w:t xml:space="preserve">Information </w:t>
      </w:r>
      <w:r w:rsidR="00D50D7F" w:rsidRPr="003851FA">
        <w:t xml:space="preserve">was called </w:t>
      </w:r>
      <w:r w:rsidR="00D50D7F" w:rsidRPr="003851FA">
        <w:rPr>
          <w:i/>
        </w:rPr>
        <w:t xml:space="preserve">Context #7 </w:t>
      </w:r>
      <w:r w:rsidR="00D50D7F" w:rsidRPr="003851FA">
        <w:t xml:space="preserve">(1970): this consisted of notebooks displayed on a pedestal, and a typewritten sign instructing the viewer to ‘indicate any response suggested by this situation’ by writing or drawing in the </w:t>
      </w:r>
      <w:r w:rsidR="00035AF3" w:rsidRPr="003851FA">
        <w:t xml:space="preserve">notebooks </w:t>
      </w:r>
      <w:r w:rsidR="00EA02C1" w:rsidRPr="003851FA">
        <w:rPr>
          <w:b/>
        </w:rPr>
        <w:t>(Figure</w:t>
      </w:r>
      <w:r w:rsidR="00035AF3" w:rsidRPr="003851FA">
        <w:rPr>
          <w:b/>
        </w:rPr>
        <w:t xml:space="preserve"> 3). </w:t>
      </w:r>
      <w:r w:rsidR="00D50D7F" w:rsidRPr="003851FA">
        <w:t xml:space="preserve">As an efficient reversal of the roles of the artist and the viewer—the viewer </w:t>
      </w:r>
      <w:r w:rsidR="00133901" w:rsidRPr="003851FA">
        <w:t>would produce</w:t>
      </w:r>
      <w:r w:rsidR="00D50D7F" w:rsidRPr="003851FA">
        <w:t xml:space="preserve"> the work, the artist would peruse it later—the work seems typical of Conceptual art as a (clever, knowing, self-referential) idea </w:t>
      </w:r>
      <w:r w:rsidR="00D50D7F" w:rsidRPr="003851FA">
        <w:rPr>
          <w:i/>
        </w:rPr>
        <w:t>about art</w:t>
      </w:r>
      <w:r w:rsidR="00FE6F32" w:rsidRPr="003851FA">
        <w:rPr>
          <w:i/>
        </w:rPr>
        <w:t>.</w:t>
      </w:r>
      <w:r w:rsidR="00D50D7F" w:rsidRPr="003851FA">
        <w:t xml:space="preserve"> </w:t>
      </w:r>
      <w:r w:rsidR="00A40F3E" w:rsidRPr="003851FA">
        <w:t xml:space="preserve">Piper’s catalogue page for the piece reinforces the impression of </w:t>
      </w:r>
      <w:r w:rsidR="005D67DF" w:rsidRPr="003851FA">
        <w:t xml:space="preserve">such </w:t>
      </w:r>
      <w:r w:rsidR="00A40F3E" w:rsidRPr="003851FA">
        <w:t xml:space="preserve">an abstract investigation; it </w:t>
      </w:r>
      <w:r w:rsidR="0003030C" w:rsidRPr="003851FA">
        <w:t>e</w:t>
      </w:r>
      <w:r w:rsidR="00A40F3E" w:rsidRPr="003851FA">
        <w:t>xplain</w:t>
      </w:r>
      <w:r w:rsidR="0003030C" w:rsidRPr="003851FA">
        <w:t>s</w:t>
      </w:r>
      <w:r w:rsidR="00A40F3E" w:rsidRPr="003851FA">
        <w:t xml:space="preserve"> this role reversal with operations reminiscent of formal logic.</w:t>
      </w:r>
      <w:r w:rsidR="00A40F3E" w:rsidRPr="003851FA">
        <w:rPr>
          <w:rStyle w:val="EndnoteReference"/>
        </w:rPr>
        <w:endnoteReference w:id="2"/>
      </w:r>
      <w:r w:rsidR="00A40F3E" w:rsidRPr="003851FA">
        <w:t xml:space="preserve"> As far as its politics go, </w:t>
      </w:r>
      <w:r w:rsidR="00A40F3E" w:rsidRPr="003851FA">
        <w:rPr>
          <w:i/>
        </w:rPr>
        <w:t xml:space="preserve">Context #7 </w:t>
      </w:r>
      <w:r w:rsidR="005D67DF" w:rsidRPr="003851FA">
        <w:t xml:space="preserve">therefore </w:t>
      </w:r>
      <w:r w:rsidR="00DE57F9" w:rsidRPr="003851FA">
        <w:t>seems utterly open-ended,</w:t>
      </w:r>
      <w:r w:rsidR="00A40F3E" w:rsidRPr="003851FA">
        <w:t xml:space="preserve"> </w:t>
      </w:r>
      <w:r w:rsidR="0003030C" w:rsidRPr="003851FA">
        <w:t xml:space="preserve">and </w:t>
      </w:r>
      <w:r w:rsidR="00A40F3E" w:rsidRPr="003851FA">
        <w:t xml:space="preserve">indeed, the </w:t>
      </w:r>
      <w:r w:rsidR="00133901" w:rsidRPr="003851FA">
        <w:t xml:space="preserve">responses </w:t>
      </w:r>
      <w:r w:rsidR="00A40F3E" w:rsidRPr="003851FA">
        <w:t>ranged wildly, including</w:t>
      </w:r>
      <w:r w:rsidR="00133901" w:rsidRPr="003851FA">
        <w:t xml:space="preserve"> a droll cartoon</w:t>
      </w:r>
      <w:r w:rsidR="00A40F3E" w:rsidRPr="003851FA">
        <w:t xml:space="preserve"> </w:t>
      </w:r>
      <w:r w:rsidR="005D67DF" w:rsidRPr="003851FA">
        <w:t xml:space="preserve">reminiscent of today’s online ‘trolling’, </w:t>
      </w:r>
      <w:r w:rsidR="00A40F3E" w:rsidRPr="003851FA">
        <w:lastRenderedPageBreak/>
        <w:t xml:space="preserve">and </w:t>
      </w:r>
      <w:r w:rsidR="00133901" w:rsidRPr="003851FA">
        <w:t xml:space="preserve">an impassioned political message in support </w:t>
      </w:r>
      <w:r w:rsidR="00390111" w:rsidRPr="003851FA">
        <w:t>the Black Panther political prisoners</w:t>
      </w:r>
      <w:r w:rsidR="009651A0" w:rsidRPr="003851FA">
        <w:t xml:space="preserve"> </w:t>
      </w:r>
      <w:r w:rsidR="003E00C0" w:rsidRPr="003851FA">
        <w:rPr>
          <w:b/>
        </w:rPr>
        <w:t>(Figure</w:t>
      </w:r>
      <w:r w:rsidR="00EA02C1" w:rsidRPr="003851FA">
        <w:rPr>
          <w:b/>
        </w:rPr>
        <w:t>s 4–5</w:t>
      </w:r>
      <w:r w:rsidR="00133901" w:rsidRPr="003851FA">
        <w:rPr>
          <w:b/>
        </w:rPr>
        <w:t>)</w:t>
      </w:r>
      <w:r w:rsidR="009651A0" w:rsidRPr="003851FA">
        <w:t xml:space="preserve">. </w:t>
      </w:r>
      <w:r w:rsidR="0003030C" w:rsidRPr="003851FA">
        <w:t>I</w:t>
      </w:r>
      <w:r w:rsidR="00390111" w:rsidRPr="003851FA">
        <w:rPr>
          <w:color w:val="000000"/>
        </w:rPr>
        <w:t>n</w:t>
      </w:r>
      <w:r w:rsidR="00FE6F32" w:rsidRPr="003851FA">
        <w:rPr>
          <w:color w:val="000000"/>
        </w:rPr>
        <w:t xml:space="preserve"> </w:t>
      </w:r>
      <w:r w:rsidR="00072621" w:rsidRPr="003851FA">
        <w:rPr>
          <w:i/>
          <w:color w:val="000000"/>
        </w:rPr>
        <w:t>Four Intruders</w:t>
      </w:r>
      <w:r w:rsidR="00FE6F32" w:rsidRPr="003851FA">
        <w:rPr>
          <w:i/>
          <w:color w:val="000000"/>
        </w:rPr>
        <w:t xml:space="preserve">, </w:t>
      </w:r>
      <w:r w:rsidR="0003030C" w:rsidRPr="003851FA">
        <w:rPr>
          <w:color w:val="000000"/>
        </w:rPr>
        <w:t xml:space="preserve">this </w:t>
      </w:r>
      <w:r w:rsidR="00FE6F32" w:rsidRPr="003851FA">
        <w:rPr>
          <w:color w:val="000000"/>
        </w:rPr>
        <w:t>deep interest in the status of the audience’s thought processes remains, but</w:t>
      </w:r>
      <w:r w:rsidR="0003030C" w:rsidRPr="003851FA">
        <w:rPr>
          <w:color w:val="000000"/>
        </w:rPr>
        <w:t>, by contrast,</w:t>
      </w:r>
      <w:r w:rsidR="00FE6F32" w:rsidRPr="003851FA">
        <w:rPr>
          <w:color w:val="000000"/>
        </w:rPr>
        <w:t xml:space="preserve"> </w:t>
      </w:r>
      <w:r w:rsidR="0003030C" w:rsidRPr="003851FA">
        <w:rPr>
          <w:color w:val="000000"/>
        </w:rPr>
        <w:t xml:space="preserve">the implicit viewer’s reaction seems </w:t>
      </w:r>
      <w:r w:rsidR="005D67DF" w:rsidRPr="003851FA">
        <w:rPr>
          <w:color w:val="000000"/>
        </w:rPr>
        <w:t xml:space="preserve">pre-empted </w:t>
      </w:r>
      <w:r w:rsidR="00A40F3E" w:rsidRPr="003851FA">
        <w:rPr>
          <w:color w:val="000000"/>
        </w:rPr>
        <w:t xml:space="preserve">by </w:t>
      </w:r>
      <w:r w:rsidR="005D67DF" w:rsidRPr="003851FA">
        <w:rPr>
          <w:color w:val="000000"/>
        </w:rPr>
        <w:t>the</w:t>
      </w:r>
      <w:r w:rsidR="0003030C" w:rsidRPr="003851FA">
        <w:rPr>
          <w:color w:val="000000"/>
        </w:rPr>
        <w:t xml:space="preserve"> </w:t>
      </w:r>
      <w:r w:rsidR="005D67DF" w:rsidRPr="003851FA">
        <w:rPr>
          <w:color w:val="000000"/>
        </w:rPr>
        <w:t xml:space="preserve">discourse </w:t>
      </w:r>
      <w:r w:rsidR="00A40F3E" w:rsidRPr="003851FA">
        <w:rPr>
          <w:color w:val="000000"/>
        </w:rPr>
        <w:t>on the headphones.</w:t>
      </w:r>
    </w:p>
    <w:p w14:paraId="3918C312" w14:textId="028C1A63" w:rsidR="008C29A9" w:rsidRPr="003851FA" w:rsidRDefault="00FE6F32" w:rsidP="00F66D18">
      <w:pPr>
        <w:pStyle w:val="BodyText1"/>
      </w:pPr>
      <w:r w:rsidRPr="003851FA">
        <w:rPr>
          <w:i/>
          <w:color w:val="000000"/>
        </w:rPr>
        <w:tab/>
      </w:r>
      <w:r w:rsidR="00A40F3E" w:rsidRPr="003851FA">
        <w:rPr>
          <w:color w:val="000000"/>
        </w:rPr>
        <w:t xml:space="preserve">The shift from open-ended </w:t>
      </w:r>
      <w:r w:rsidR="005D67DF" w:rsidRPr="003851FA">
        <w:rPr>
          <w:color w:val="000000"/>
        </w:rPr>
        <w:t xml:space="preserve">Conceptual </w:t>
      </w:r>
      <w:r w:rsidR="00A40F3E" w:rsidRPr="003851FA">
        <w:rPr>
          <w:color w:val="000000"/>
        </w:rPr>
        <w:t xml:space="preserve">work </w:t>
      </w:r>
      <w:r w:rsidR="00883FD2" w:rsidRPr="003851FA">
        <w:rPr>
          <w:color w:val="000000"/>
        </w:rPr>
        <w:t>to</w:t>
      </w:r>
      <w:r w:rsidR="00A40F3E" w:rsidRPr="003851FA">
        <w:rPr>
          <w:color w:val="000000"/>
        </w:rPr>
        <w:t xml:space="preserve"> </w:t>
      </w:r>
      <w:r w:rsidR="005D67DF" w:rsidRPr="003851FA">
        <w:rPr>
          <w:color w:val="000000"/>
        </w:rPr>
        <w:t xml:space="preserve">one with an </w:t>
      </w:r>
      <w:r w:rsidR="00A40F3E" w:rsidRPr="003851FA">
        <w:rPr>
          <w:color w:val="000000"/>
        </w:rPr>
        <w:t xml:space="preserve">overtly political subject matter is </w:t>
      </w:r>
      <w:r w:rsidR="009676B7" w:rsidRPr="003851FA">
        <w:rPr>
          <w:color w:val="000000"/>
        </w:rPr>
        <w:t>not</w:t>
      </w:r>
      <w:r w:rsidR="00A40F3E" w:rsidRPr="003851FA">
        <w:rPr>
          <w:color w:val="000000"/>
        </w:rPr>
        <w:t>, of course,</w:t>
      </w:r>
      <w:r w:rsidR="009676B7" w:rsidRPr="003851FA">
        <w:rPr>
          <w:color w:val="000000"/>
        </w:rPr>
        <w:t xml:space="preserve"> specific to Piper’s artistic career</w:t>
      </w:r>
      <w:r w:rsidR="00883FD2" w:rsidRPr="003851FA">
        <w:rPr>
          <w:color w:val="000000"/>
        </w:rPr>
        <w:t>. P</w:t>
      </w:r>
      <w:r w:rsidR="009676B7" w:rsidRPr="003851FA">
        <w:rPr>
          <w:color w:val="000000"/>
        </w:rPr>
        <w:t>oliticization of advanced art came to characterize post-Conceptual p</w:t>
      </w:r>
      <w:r w:rsidR="00883FD2" w:rsidRPr="003851FA">
        <w:rPr>
          <w:color w:val="000000"/>
        </w:rPr>
        <w:t>ractices of the 1970s and after, with a</w:t>
      </w:r>
      <w:r w:rsidR="00A77E42" w:rsidRPr="003851FA">
        <w:rPr>
          <w:color w:val="000000"/>
        </w:rPr>
        <w:t>rtists like Martha Rosler, Allan Sekula, Victor Burgin, Hans Haacke, Andrea Frase</w:t>
      </w:r>
      <w:r w:rsidR="00441E3D" w:rsidRPr="003851FA">
        <w:rPr>
          <w:color w:val="000000"/>
        </w:rPr>
        <w:t>r, Jenny Holzer, Barbara Kruger</w:t>
      </w:r>
      <w:r w:rsidR="00F66D18" w:rsidRPr="003851FA">
        <w:rPr>
          <w:color w:val="000000"/>
        </w:rPr>
        <w:t xml:space="preserve"> or </w:t>
      </w:r>
      <w:r w:rsidR="00A77E42" w:rsidRPr="003851FA">
        <w:rPr>
          <w:color w:val="000000"/>
        </w:rPr>
        <w:t>Lorna Simpson</w:t>
      </w:r>
      <w:r w:rsidR="00441E3D" w:rsidRPr="003851FA">
        <w:rPr>
          <w:color w:val="000000"/>
        </w:rPr>
        <w:t xml:space="preserve"> </w:t>
      </w:r>
      <w:r w:rsidR="00A77E42" w:rsidRPr="003851FA">
        <w:rPr>
          <w:color w:val="000000"/>
        </w:rPr>
        <w:t xml:space="preserve">all </w:t>
      </w:r>
      <w:r w:rsidR="00883FD2" w:rsidRPr="003851FA">
        <w:rPr>
          <w:color w:val="000000"/>
        </w:rPr>
        <w:t xml:space="preserve">making </w:t>
      </w:r>
      <w:r w:rsidR="00A77E42" w:rsidRPr="003851FA">
        <w:rPr>
          <w:color w:val="000000"/>
        </w:rPr>
        <w:t>work which countered the political taciturnity of the post-o</w:t>
      </w:r>
      <w:r w:rsidR="00F66D18" w:rsidRPr="003851FA">
        <w:rPr>
          <w:color w:val="000000"/>
        </w:rPr>
        <w:t>bject avant-gardes of the 1960s</w:t>
      </w:r>
      <w:r w:rsidR="00A77E42" w:rsidRPr="003851FA">
        <w:rPr>
          <w:color w:val="000000"/>
        </w:rPr>
        <w:t xml:space="preserve"> while toeing the same aesthetic line: the economy of means, informational display and the free interweaving of image and text. </w:t>
      </w:r>
      <w:r w:rsidR="008C29A9" w:rsidRPr="003851FA">
        <w:t>Indeed, as various</w:t>
      </w:r>
      <w:r w:rsidR="005D67DF" w:rsidRPr="003851FA">
        <w:t xml:space="preserve"> further</w:t>
      </w:r>
      <w:r w:rsidR="008C29A9" w:rsidRPr="003851FA">
        <w:t xml:space="preserve"> turns were announced during the 1990s and 2000s—‘ethnographic’, ‘ ‘social’, ‘archival’, ‘curatorial’, ‘research’—one could speak of a shift in emphasis, </w:t>
      </w:r>
      <w:r w:rsidR="00F66D18" w:rsidRPr="003851FA">
        <w:t xml:space="preserve">but of </w:t>
      </w:r>
      <w:r w:rsidR="008C29A9" w:rsidRPr="003851FA">
        <w:t>a continuation of a visual</w:t>
      </w:r>
      <w:r w:rsidR="00C002FA" w:rsidRPr="003851FA">
        <w:t>ly measured</w:t>
      </w:r>
      <w:r w:rsidR="00F66D18" w:rsidRPr="003851FA">
        <w:t>, post-Conceptual</w:t>
      </w:r>
      <w:r w:rsidR="008C29A9" w:rsidRPr="003851FA">
        <w:t xml:space="preserve"> art that has continued to aspire to the condition of (written and spoken) political discourse. </w:t>
      </w:r>
      <w:r w:rsidR="008C29A9" w:rsidRPr="003851FA">
        <w:rPr>
          <w:color w:val="000000"/>
        </w:rPr>
        <w:t xml:space="preserve">Miwon Kwon has aptly used the label ‘discursive’ to designate </w:t>
      </w:r>
      <w:r w:rsidR="007C34B8" w:rsidRPr="003851FA">
        <w:rPr>
          <w:color w:val="000000"/>
        </w:rPr>
        <w:t xml:space="preserve">such </w:t>
      </w:r>
      <w:r w:rsidR="008C29A9" w:rsidRPr="003851FA">
        <w:rPr>
          <w:color w:val="000000"/>
        </w:rPr>
        <w:t>work</w:t>
      </w:r>
      <w:r w:rsidR="00C002FA" w:rsidRPr="003851FA">
        <w:rPr>
          <w:color w:val="000000"/>
        </w:rPr>
        <w:t>,</w:t>
      </w:r>
      <w:r w:rsidR="008C29A9" w:rsidRPr="003851FA">
        <w:rPr>
          <w:color w:val="000000"/>
        </w:rPr>
        <w:t xml:space="preserve"> the proper ‘site’ of which</w:t>
      </w:r>
      <w:r w:rsidR="00C002FA" w:rsidRPr="003851FA">
        <w:rPr>
          <w:color w:val="000000"/>
        </w:rPr>
        <w:t xml:space="preserve"> </w:t>
      </w:r>
      <w:r w:rsidR="008C29A9" w:rsidRPr="003851FA">
        <w:rPr>
          <w:color w:val="000000"/>
        </w:rPr>
        <w:t xml:space="preserve">is no longer </w:t>
      </w:r>
      <w:r w:rsidR="00C002FA" w:rsidRPr="003851FA">
        <w:rPr>
          <w:color w:val="000000"/>
        </w:rPr>
        <w:t xml:space="preserve">just </w:t>
      </w:r>
      <w:r w:rsidR="008C29A9" w:rsidRPr="003851FA">
        <w:rPr>
          <w:color w:val="000000"/>
        </w:rPr>
        <w:t xml:space="preserve">the gallery, but the </w:t>
      </w:r>
      <w:r w:rsidR="00C002FA" w:rsidRPr="003851FA">
        <w:rPr>
          <w:color w:val="000000"/>
        </w:rPr>
        <w:t xml:space="preserve">public, </w:t>
      </w:r>
      <w:r w:rsidR="008C29A9" w:rsidRPr="003851FA">
        <w:rPr>
          <w:color w:val="000000"/>
        </w:rPr>
        <w:t>political discourse broadly conceived.</w:t>
      </w:r>
      <w:r w:rsidR="008C29A9" w:rsidRPr="003851FA">
        <w:rPr>
          <w:rStyle w:val="EndnoteReference"/>
          <w:color w:val="000000"/>
        </w:rPr>
        <w:endnoteReference w:id="3"/>
      </w:r>
      <w:r w:rsidR="008C29A9" w:rsidRPr="003851FA">
        <w:rPr>
          <w:color w:val="000000"/>
        </w:rPr>
        <w:t xml:space="preserve"> </w:t>
      </w:r>
      <w:r w:rsidR="007C34B8" w:rsidRPr="003851FA">
        <w:rPr>
          <w:color w:val="000000"/>
        </w:rPr>
        <w:t xml:space="preserve">While </w:t>
      </w:r>
      <w:r w:rsidR="00C002FA" w:rsidRPr="003851FA">
        <w:rPr>
          <w:color w:val="000000"/>
        </w:rPr>
        <w:t>some</w:t>
      </w:r>
      <w:r w:rsidR="008C29A9" w:rsidRPr="003851FA">
        <w:rPr>
          <w:color w:val="000000"/>
        </w:rPr>
        <w:t xml:space="preserve"> discursive work </w:t>
      </w:r>
      <w:r w:rsidR="00C002FA" w:rsidRPr="003851FA">
        <w:rPr>
          <w:color w:val="000000"/>
        </w:rPr>
        <w:t xml:space="preserve">has </w:t>
      </w:r>
      <w:r w:rsidR="007C34B8" w:rsidRPr="003851FA">
        <w:rPr>
          <w:color w:val="000000"/>
        </w:rPr>
        <w:t xml:space="preserve">even </w:t>
      </w:r>
      <w:r w:rsidR="00C002FA" w:rsidRPr="003851FA">
        <w:rPr>
          <w:color w:val="000000"/>
        </w:rPr>
        <w:t>exited the gallery sphere altogether to become ‘socially engaged practice’</w:t>
      </w:r>
      <w:r w:rsidR="008C29A9" w:rsidRPr="003851FA">
        <w:rPr>
          <w:color w:val="000000"/>
        </w:rPr>
        <w:t xml:space="preserve">, much of it moves </w:t>
      </w:r>
      <w:r w:rsidR="008C29A9" w:rsidRPr="003851FA">
        <w:t>freely between the gallery, the printed page, and other forums such as workshops and panel discussions</w:t>
      </w:r>
      <w:r w:rsidR="00D42389" w:rsidRPr="003851FA">
        <w:t>.</w:t>
      </w:r>
      <w:r w:rsidR="008C29A9" w:rsidRPr="003851FA">
        <w:t xml:space="preserve"> </w:t>
      </w:r>
      <w:r w:rsidR="00D42389" w:rsidRPr="003851FA">
        <w:t>I</w:t>
      </w:r>
      <w:r w:rsidR="008C29A9" w:rsidRPr="003851FA">
        <w:t xml:space="preserve">n that sense, </w:t>
      </w:r>
      <w:r w:rsidR="00476AFE" w:rsidRPr="003851FA">
        <w:t xml:space="preserve">a work like </w:t>
      </w:r>
      <w:r w:rsidR="00476AFE" w:rsidRPr="003851FA">
        <w:rPr>
          <w:i/>
        </w:rPr>
        <w:t xml:space="preserve">Four Intruders </w:t>
      </w:r>
      <w:r w:rsidR="00F66D18" w:rsidRPr="003851FA">
        <w:t xml:space="preserve">is </w:t>
      </w:r>
      <w:r w:rsidR="00476AFE" w:rsidRPr="003851FA">
        <w:t>representative</w:t>
      </w:r>
      <w:r w:rsidR="00F66D18" w:rsidRPr="003851FA">
        <w:t xml:space="preserve">. </w:t>
      </w:r>
      <w:r w:rsidR="007C34B8" w:rsidRPr="003851FA">
        <w:t>T</w:t>
      </w:r>
      <w:r w:rsidR="00F66D18" w:rsidRPr="003851FA">
        <w:t xml:space="preserve">he spoken text and the images of </w:t>
      </w:r>
      <w:r w:rsidR="00F66D18" w:rsidRPr="003851FA">
        <w:rPr>
          <w:i/>
        </w:rPr>
        <w:t xml:space="preserve">Four Intruders </w:t>
      </w:r>
      <w:r w:rsidR="00F66D18" w:rsidRPr="003851FA">
        <w:t>can be encountered as an installation, but they h</w:t>
      </w:r>
      <w:r w:rsidR="008C29A9" w:rsidRPr="003851FA">
        <w:t xml:space="preserve">ave </w:t>
      </w:r>
      <w:r w:rsidR="00F66D18" w:rsidRPr="003851FA">
        <w:t xml:space="preserve">also </w:t>
      </w:r>
      <w:r w:rsidR="008C29A9" w:rsidRPr="003851FA">
        <w:t>been reproduced in printed publications.</w:t>
      </w:r>
      <w:r w:rsidR="008C29A9" w:rsidRPr="003851FA">
        <w:rPr>
          <w:rStyle w:val="EndnoteReference"/>
        </w:rPr>
        <w:endnoteReference w:id="4"/>
      </w:r>
    </w:p>
    <w:p w14:paraId="334AAEC4" w14:textId="2242411F" w:rsidR="002939D3" w:rsidRPr="003851FA" w:rsidRDefault="007417A0" w:rsidP="002939D3">
      <w:pPr>
        <w:pStyle w:val="BodyText1"/>
      </w:pPr>
      <w:r w:rsidRPr="003851FA">
        <w:tab/>
      </w:r>
      <w:r w:rsidR="002C4472" w:rsidRPr="003851FA">
        <w:rPr>
          <w:color w:val="000000"/>
        </w:rPr>
        <w:t xml:space="preserve">Here I will not so much </w:t>
      </w:r>
      <w:r w:rsidR="002C4472" w:rsidRPr="003851FA">
        <w:t>biographically</w:t>
      </w:r>
      <w:r w:rsidR="002C4472" w:rsidRPr="003851FA">
        <w:rPr>
          <w:color w:val="000000"/>
        </w:rPr>
        <w:t xml:space="preserve"> chart Piper’s turn to political issues, as consider two corpora of Piper’s work side-by-side: </w:t>
      </w:r>
      <w:r w:rsidR="002C4472" w:rsidRPr="003851FA">
        <w:t>her performance-based Conceptual pieces of 1968</w:t>
      </w:r>
      <w:r w:rsidR="002C4472" w:rsidRPr="003851FA">
        <w:softHyphen/>
      </w:r>
      <w:r w:rsidR="002C4472" w:rsidRPr="003851FA">
        <w:softHyphen/>
        <w:t xml:space="preserve">–1971, and her 1978–1992 anti-racist installation works. In doing so, I hope to address two </w:t>
      </w:r>
      <w:r w:rsidR="002C4472" w:rsidRPr="003851FA">
        <w:lastRenderedPageBreak/>
        <w:t xml:space="preserve">questions that have been central to the </w:t>
      </w:r>
      <w:r w:rsidR="007C34B8" w:rsidRPr="003851FA">
        <w:t xml:space="preserve">scholarly </w:t>
      </w:r>
      <w:r w:rsidR="002C4472" w:rsidRPr="003851FA">
        <w:t>writing on this period of (American) art production. The first of these is the issue of how the later, overtly political, post-Conceptual work developed out of the earlier, abstract, politically tacit, Conceptual art practice.</w:t>
      </w:r>
      <w:r w:rsidR="002C4472" w:rsidRPr="003851FA">
        <w:rPr>
          <w:rStyle w:val="EndnoteReference"/>
          <w:color w:val="000000"/>
        </w:rPr>
        <w:t xml:space="preserve"> </w:t>
      </w:r>
      <w:r w:rsidR="002C4472" w:rsidRPr="003851FA">
        <w:t xml:space="preserve"> </w:t>
      </w:r>
      <w:r w:rsidR="002C4472" w:rsidRPr="003851FA">
        <w:rPr>
          <w:color w:val="000000"/>
        </w:rPr>
        <w:t xml:space="preserve">As we shall see, it has become commonplace in art historical commentary to read Piper’s early, Conceptual work as already addressing the issue of racism, and here I </w:t>
      </w:r>
      <w:r w:rsidR="00CB3F34" w:rsidRPr="003851FA">
        <w:rPr>
          <w:color w:val="000000"/>
        </w:rPr>
        <w:t xml:space="preserve">want to </w:t>
      </w:r>
      <w:r w:rsidR="002C4472" w:rsidRPr="003851FA">
        <w:rPr>
          <w:color w:val="000000"/>
        </w:rPr>
        <w:t>offer some resistance to this view. Indeed, the temptation to read early Conceptualism as political in its subject matter, I suggest, is a product of its own political moment, and, I warn, one that leads to some serious and underappreciated ethical problems.</w:t>
      </w:r>
      <w:r w:rsidR="002939D3" w:rsidRPr="003851FA">
        <w:t xml:space="preserve"> </w:t>
      </w:r>
    </w:p>
    <w:p w14:paraId="03257DA2" w14:textId="30C24494" w:rsidR="002939D3" w:rsidRPr="003851FA" w:rsidRDefault="002939D3" w:rsidP="002939D3">
      <w:pPr>
        <w:pStyle w:val="BodyText1"/>
        <w:rPr>
          <w:color w:val="000000"/>
        </w:rPr>
      </w:pPr>
      <w:r w:rsidRPr="003851FA">
        <w:tab/>
        <w:t>The second set of questions pertains to Piper’s later, overtly political work. Once art purposefully enters political discourse, what role do these practices occupy vis-à-vis ‘non-art’ political discourse? Do new, emancipatory kinds of rhetoric become available when political debate takes place within the distinct sphere of art making?</w:t>
      </w:r>
      <w:r w:rsidRPr="003851FA">
        <w:rPr>
          <w:color w:val="000000"/>
        </w:rPr>
        <w:t xml:space="preserve"> Indeed, one of the voices in</w:t>
      </w:r>
      <w:r w:rsidRPr="003851FA">
        <w:rPr>
          <w:i/>
          <w:color w:val="000000"/>
        </w:rPr>
        <w:t xml:space="preserve"> Four Intruders </w:t>
      </w:r>
      <w:r w:rsidRPr="003851FA">
        <w:rPr>
          <w:color w:val="000000"/>
        </w:rPr>
        <w:t>asks this very question: ‘Certainly it’s one thing to watch editorials on TV and have this material presented in a thoroughgoing way. And somehow I just think that that’s a lot more effective than trying to turn it into art, because after all, art is not social commentary.’</w:t>
      </w:r>
      <w:r w:rsidRPr="003851FA">
        <w:rPr>
          <w:rStyle w:val="EndnoteReference"/>
          <w:color w:val="000000"/>
        </w:rPr>
        <w:endnoteReference w:id="5"/>
      </w:r>
      <w:r w:rsidRPr="003851FA">
        <w:rPr>
          <w:color w:val="000000"/>
        </w:rPr>
        <w:t xml:space="preserve"> To establish the rhetorical efficacy of Piper’s work, I suggest, we need to pay close attention to the way in which </w:t>
      </w:r>
      <w:r w:rsidR="00260B51" w:rsidRPr="003851FA">
        <w:rPr>
          <w:color w:val="000000"/>
        </w:rPr>
        <w:t xml:space="preserve">the viewer’s </w:t>
      </w:r>
      <w:r w:rsidRPr="003851FA">
        <w:rPr>
          <w:color w:val="000000"/>
        </w:rPr>
        <w:t xml:space="preserve">consciousness </w:t>
      </w:r>
      <w:r w:rsidR="00260B51" w:rsidRPr="003851FA">
        <w:rPr>
          <w:color w:val="000000"/>
        </w:rPr>
        <w:t xml:space="preserve">is foregrounded in her work, a theme she pursued through her early, more abstract investigations. The link between the early and the later work, then, is not in its </w:t>
      </w:r>
      <w:r w:rsidR="00260B51" w:rsidRPr="003851FA">
        <w:rPr>
          <w:i/>
          <w:color w:val="000000"/>
        </w:rPr>
        <w:t xml:space="preserve">subject matter </w:t>
      </w:r>
      <w:r w:rsidR="00260B51" w:rsidRPr="003851FA">
        <w:rPr>
          <w:color w:val="000000"/>
        </w:rPr>
        <w:t xml:space="preserve">but rather in its </w:t>
      </w:r>
      <w:r w:rsidR="00260B51" w:rsidRPr="003851FA">
        <w:rPr>
          <w:i/>
          <w:color w:val="000000"/>
        </w:rPr>
        <w:t>methodology</w:t>
      </w:r>
      <w:r w:rsidR="00260B51" w:rsidRPr="003851FA">
        <w:rPr>
          <w:color w:val="000000"/>
        </w:rPr>
        <w:t>. To flesh out the identity of the viewer Piper’s works address, I consider the American socio-political context of the 1970s and 1980s, the context described by social psychologists as the one of ‘subtle’ or ‘modern’ racism.</w:t>
      </w:r>
    </w:p>
    <w:p w14:paraId="08497C31" w14:textId="5CB382E3" w:rsidR="00260B51" w:rsidRPr="003851FA" w:rsidRDefault="00260B51" w:rsidP="00260B51">
      <w:pPr>
        <w:pStyle w:val="BodyText1"/>
        <w:rPr>
          <w:color w:val="000000"/>
        </w:rPr>
      </w:pPr>
      <w:r w:rsidRPr="003851FA">
        <w:rPr>
          <w:color w:val="000000"/>
        </w:rPr>
        <w:tab/>
        <w:t xml:space="preserve">While Piper’s work is my focus here, I hope that the discussion also </w:t>
      </w:r>
      <w:r w:rsidR="00611655" w:rsidRPr="003851FA">
        <w:rPr>
          <w:color w:val="000000"/>
        </w:rPr>
        <w:t>contributes to a</w:t>
      </w:r>
      <w:r w:rsidRPr="003851FA">
        <w:rPr>
          <w:color w:val="000000"/>
        </w:rPr>
        <w:t xml:space="preserve"> </w:t>
      </w:r>
      <w:r w:rsidRPr="003851FA">
        <w:t xml:space="preserve">bigger art historical picture. </w:t>
      </w:r>
      <w:r w:rsidR="00611655" w:rsidRPr="003851FA">
        <w:t>Fo</w:t>
      </w:r>
      <w:r w:rsidRPr="003851FA">
        <w:t xml:space="preserve">r example, </w:t>
      </w:r>
      <w:r w:rsidR="00611655" w:rsidRPr="003851FA">
        <w:t xml:space="preserve">one of the central theses </w:t>
      </w:r>
      <w:r w:rsidRPr="003851FA">
        <w:rPr>
          <w:color w:val="000000"/>
        </w:rPr>
        <w:t xml:space="preserve">of the </w:t>
      </w:r>
      <w:r w:rsidRPr="003851FA">
        <w:rPr>
          <w:i/>
          <w:color w:val="000000"/>
        </w:rPr>
        <w:t xml:space="preserve">October </w:t>
      </w:r>
      <w:r w:rsidRPr="003851FA">
        <w:rPr>
          <w:color w:val="000000"/>
        </w:rPr>
        <w:t>school of art history</w:t>
      </w:r>
      <w:r w:rsidR="00611655" w:rsidRPr="003851FA">
        <w:rPr>
          <w:color w:val="000000"/>
        </w:rPr>
        <w:t xml:space="preserve"> and criticism </w:t>
      </w:r>
      <w:r w:rsidRPr="003851FA">
        <w:rPr>
          <w:color w:val="000000"/>
        </w:rPr>
        <w:t xml:space="preserve">has been that we should look to the semiotic unwieldiness of </w:t>
      </w:r>
      <w:r w:rsidRPr="003851FA">
        <w:rPr>
          <w:color w:val="000000"/>
        </w:rPr>
        <w:lastRenderedPageBreak/>
        <w:t xml:space="preserve">Minimalist and Conceptualist practices of the 1960s as the essential ground for the politically critical work of </w:t>
      </w:r>
      <w:r w:rsidR="00611655" w:rsidRPr="003851FA">
        <w:rPr>
          <w:color w:val="000000"/>
        </w:rPr>
        <w:t>our own time</w:t>
      </w:r>
      <w:r w:rsidRPr="003851FA">
        <w:rPr>
          <w:color w:val="000000"/>
        </w:rPr>
        <w:t>.</w:t>
      </w:r>
      <w:r w:rsidRPr="003851FA">
        <w:rPr>
          <w:rStyle w:val="EndnoteReference"/>
          <w:color w:val="000000"/>
        </w:rPr>
        <w:endnoteReference w:id="6"/>
      </w:r>
      <w:r w:rsidRPr="003851FA">
        <w:rPr>
          <w:color w:val="000000"/>
        </w:rPr>
        <w:t xml:space="preserve"> I do not hope to simply extend such arguments to Piper’s work, but rather to consider how </w:t>
      </w:r>
      <w:r w:rsidR="00611655" w:rsidRPr="003851FA">
        <w:rPr>
          <w:color w:val="000000"/>
        </w:rPr>
        <w:t xml:space="preserve">this view of the 1960s avant-gardes </w:t>
      </w:r>
      <w:r w:rsidRPr="003851FA">
        <w:rPr>
          <w:color w:val="000000"/>
        </w:rPr>
        <w:t>may be complicated and built upon</w:t>
      </w:r>
      <w:r w:rsidR="00611655" w:rsidRPr="003851FA">
        <w:rPr>
          <w:color w:val="000000"/>
        </w:rPr>
        <w:t xml:space="preserve"> in light of Piper’s later work</w:t>
      </w:r>
      <w:r w:rsidRPr="003851FA">
        <w:rPr>
          <w:color w:val="000000"/>
        </w:rPr>
        <w:t xml:space="preserve">. Piper’s response has been to racism specifically. This </w:t>
      </w:r>
      <w:r w:rsidR="00611655" w:rsidRPr="003851FA">
        <w:rPr>
          <w:color w:val="000000"/>
        </w:rPr>
        <w:t>emphasis</w:t>
      </w:r>
      <w:r w:rsidRPr="003851FA">
        <w:rPr>
          <w:color w:val="000000"/>
        </w:rPr>
        <w:t>, I hope to suggest, call</w:t>
      </w:r>
      <w:r w:rsidR="00611655" w:rsidRPr="003851FA">
        <w:rPr>
          <w:color w:val="000000"/>
        </w:rPr>
        <w:t>s</w:t>
      </w:r>
      <w:r w:rsidRPr="003851FA">
        <w:rPr>
          <w:color w:val="000000"/>
        </w:rPr>
        <w:t xml:space="preserve"> for a renewed inquiry into the identity of the viewer: as the socio-historical spectator but </w:t>
      </w:r>
      <w:r w:rsidR="0066632D" w:rsidRPr="003851FA">
        <w:rPr>
          <w:color w:val="000000"/>
        </w:rPr>
        <w:t xml:space="preserve">crucially </w:t>
      </w:r>
      <w:r w:rsidRPr="003851FA">
        <w:rPr>
          <w:color w:val="000000"/>
        </w:rPr>
        <w:t>also as the belated viewer of art historical scholarship.</w:t>
      </w:r>
    </w:p>
    <w:p w14:paraId="6DB13945" w14:textId="77777777" w:rsidR="00EA02C1" w:rsidRPr="003851FA" w:rsidRDefault="00EA02C1" w:rsidP="00260B51">
      <w:pPr>
        <w:pStyle w:val="BodyText1"/>
        <w:rPr>
          <w:color w:val="000000"/>
        </w:rPr>
      </w:pPr>
    </w:p>
    <w:p w14:paraId="3EF04DA2" w14:textId="1F6C0C3D" w:rsidR="00DE713B" w:rsidRPr="003851FA" w:rsidRDefault="00A30821" w:rsidP="00296CDB">
      <w:pPr>
        <w:pStyle w:val="Heading2"/>
      </w:pPr>
      <w:r w:rsidRPr="003851FA">
        <w:t>Monitoring one’s consciousness</w:t>
      </w:r>
      <w:r w:rsidR="00402D80" w:rsidRPr="003851FA">
        <w:t>: 1968-1971 performance pieces</w:t>
      </w:r>
    </w:p>
    <w:p w14:paraId="3CCF50AF" w14:textId="0FE42E5D" w:rsidR="009811FB" w:rsidRPr="003851FA" w:rsidRDefault="006B3DF0" w:rsidP="006B3DF0">
      <w:pPr>
        <w:pStyle w:val="BodyText1"/>
      </w:pPr>
      <w:r w:rsidRPr="003851FA">
        <w:t>Conceptual artists in the second half of the 1960s in New York formed a tight-knit group. One only needs to compare, for example, the entries in the visitors’ book for Seth Siegelaub’s New York show</w:t>
      </w:r>
      <w:r w:rsidRPr="003851FA">
        <w:rPr>
          <w:rFonts w:ascii="Arial" w:hAnsi="Arial" w:cs="Arial"/>
          <w:i/>
          <w:iCs/>
          <w:color w:val="111111"/>
          <w:sz w:val="20"/>
          <w:bdr w:val="none" w:sz="0" w:space="0" w:color="auto" w:frame="1"/>
          <w:shd w:val="clear" w:color="auto" w:fill="FFFFFF"/>
        </w:rPr>
        <w:t xml:space="preserve"> </w:t>
      </w:r>
      <w:r w:rsidRPr="003851FA">
        <w:rPr>
          <w:i/>
          <w:iCs/>
        </w:rPr>
        <w:t>January 5–31, 1969</w:t>
      </w:r>
      <w:r w:rsidRPr="003851FA">
        <w:t>,</w:t>
      </w:r>
      <w:r w:rsidRPr="003851FA">
        <w:rPr>
          <w:rStyle w:val="EndnoteReference"/>
        </w:rPr>
        <w:endnoteReference w:id="7"/>
      </w:r>
      <w:r w:rsidRPr="003851FA">
        <w:t xml:space="preserve"> the list of addressees to whom Adrian Piper sent her first mail art work (</w:t>
      </w:r>
      <w:r w:rsidRPr="003851FA">
        <w:rPr>
          <w:i/>
        </w:rPr>
        <w:t xml:space="preserve">Three Untitled Projects, </w:t>
      </w:r>
      <w:r w:rsidRPr="003851FA">
        <w:t>1969),</w:t>
      </w:r>
      <w:r w:rsidRPr="003851FA">
        <w:rPr>
          <w:rStyle w:val="EndnoteReference"/>
        </w:rPr>
        <w:endnoteReference w:id="8"/>
      </w:r>
      <w:r w:rsidRPr="003851FA">
        <w:t xml:space="preserve"> and the guest list for the </w:t>
      </w:r>
      <w:r w:rsidRPr="003851FA">
        <w:rPr>
          <w:i/>
        </w:rPr>
        <w:t xml:space="preserve">Information </w:t>
      </w:r>
      <w:r w:rsidRPr="003851FA">
        <w:t>special preview cocktail party</w:t>
      </w:r>
      <w:r w:rsidRPr="003851FA">
        <w:rPr>
          <w:rStyle w:val="EndnoteReference"/>
        </w:rPr>
        <w:endnoteReference w:id="9"/>
      </w:r>
      <w:r w:rsidRPr="003851FA">
        <w:t xml:space="preserve"> to get a sense of a significant overlap of about two hundred people—artists, collectors, critics, curators—who had an interest in this kind of artistic production. </w:t>
      </w:r>
      <w:r w:rsidR="00601681" w:rsidRPr="003851FA">
        <w:t>Even with this cohesive group, however, it has become customary to disti</w:t>
      </w:r>
      <w:r w:rsidR="005052BB" w:rsidRPr="003851FA">
        <w:t>nguish different po</w:t>
      </w:r>
      <w:r w:rsidR="0066632D" w:rsidRPr="003851FA">
        <w:t>tentialities, and</w:t>
      </w:r>
      <w:r w:rsidR="005052BB" w:rsidRPr="003851FA">
        <w:t xml:space="preserve"> </w:t>
      </w:r>
      <w:r w:rsidRPr="003851FA">
        <w:t>Piper</w:t>
      </w:r>
      <w:r w:rsidR="00406D11" w:rsidRPr="003851FA">
        <w:t xml:space="preserve"> </w:t>
      </w:r>
      <w:r w:rsidRPr="003851FA">
        <w:t xml:space="preserve">approached </w:t>
      </w:r>
      <w:r w:rsidR="00601681" w:rsidRPr="003851FA">
        <w:t xml:space="preserve">Conceptual Art </w:t>
      </w:r>
      <w:r w:rsidRPr="003851FA">
        <w:t xml:space="preserve">through what may be called ‘visual’ </w:t>
      </w:r>
      <w:r w:rsidR="00601681" w:rsidRPr="003851FA">
        <w:t>Conceptualism</w:t>
      </w:r>
      <w:r w:rsidRPr="003851FA">
        <w:t xml:space="preserve">, one which owed much to the work and writings of Sol LeWitt. </w:t>
      </w:r>
      <w:r w:rsidR="00601681" w:rsidRPr="003851FA">
        <w:t xml:space="preserve">Unlike Joseph Kosuth or the group Art &amp; Language, who by the end of the 1960s understood Conceptual art to be largely linguistic and </w:t>
      </w:r>
      <w:r w:rsidR="00075019" w:rsidRPr="003851FA">
        <w:t>theoretical</w:t>
      </w:r>
      <w:r w:rsidR="00601681" w:rsidRPr="003851FA">
        <w:t>, LeWitt took Conceptual art to</w:t>
      </w:r>
      <w:r w:rsidR="00075019" w:rsidRPr="003851FA">
        <w:t xml:space="preserve"> be</w:t>
      </w:r>
      <w:r w:rsidR="00601681" w:rsidRPr="003851FA">
        <w:t xml:space="preserve"> in a sense continuous with the kind of work that a </w:t>
      </w:r>
      <w:r w:rsidR="00601681" w:rsidRPr="003851FA">
        <w:rPr>
          <w:i/>
        </w:rPr>
        <w:t>visual</w:t>
      </w:r>
      <w:r w:rsidR="00601681" w:rsidRPr="003851FA">
        <w:t xml:space="preserve"> artist performed.</w:t>
      </w:r>
      <w:r w:rsidR="00601681" w:rsidRPr="003851FA">
        <w:rPr>
          <w:rStyle w:val="EndnoteReference"/>
        </w:rPr>
        <w:endnoteReference w:id="10"/>
      </w:r>
      <w:r w:rsidR="00601681" w:rsidRPr="003851FA">
        <w:t xml:space="preserve"> Piper acknowledges LeWitt’s work as a crucial early influence; they formed a friendship in 1967 or 1968, and Piper soon began renting a loft in the same building.</w:t>
      </w:r>
      <w:r w:rsidR="00601681" w:rsidRPr="003851FA">
        <w:rPr>
          <w:rStyle w:val="EndnoteReference"/>
        </w:rPr>
        <w:endnoteReference w:id="11"/>
      </w:r>
    </w:p>
    <w:p w14:paraId="63EBA5E2" w14:textId="76B9F16D" w:rsidR="006B3DF0" w:rsidRPr="003851FA" w:rsidRDefault="00A270C9" w:rsidP="006B3DF0">
      <w:pPr>
        <w:pStyle w:val="BodyText1"/>
      </w:pPr>
      <w:r w:rsidRPr="003851FA">
        <w:tab/>
        <w:t>While we</w:t>
      </w:r>
      <w:r w:rsidR="00601681" w:rsidRPr="003851FA">
        <w:t xml:space="preserve"> may describe </w:t>
      </w:r>
      <w:r w:rsidR="006B3DF0" w:rsidRPr="003851FA">
        <w:t>LeWitt</w:t>
      </w:r>
      <w:r w:rsidR="00601681" w:rsidRPr="003851FA">
        <w:t>’s practice as</w:t>
      </w:r>
      <w:r w:rsidR="006B3DF0" w:rsidRPr="003851FA">
        <w:t xml:space="preserve"> still concerned with drawing lines in space, the </w:t>
      </w:r>
      <w:r w:rsidRPr="003851FA">
        <w:t xml:space="preserve">important development is that </w:t>
      </w:r>
      <w:r w:rsidR="006B3DF0" w:rsidRPr="003851FA">
        <w:t>line</w:t>
      </w:r>
      <w:r w:rsidR="00602DFA" w:rsidRPr="003851FA">
        <w:t xml:space="preserve"> had</w:t>
      </w:r>
      <w:r w:rsidRPr="003851FA">
        <w:t xml:space="preserve"> become ‘dematerialized’: imagined and </w:t>
      </w:r>
      <w:r w:rsidR="006B3DF0" w:rsidRPr="003851FA">
        <w:t xml:space="preserve">constructed primarily not on the physical support, but in one’s head. </w:t>
      </w:r>
      <w:r w:rsidRPr="003851FA">
        <w:t>LeWitt’s</w:t>
      </w:r>
      <w:r w:rsidR="006B3DF0" w:rsidRPr="003851FA">
        <w:t xml:space="preserve"> wall drawings </w:t>
      </w:r>
      <w:r w:rsidR="006B3DF0" w:rsidRPr="003851FA">
        <w:lastRenderedPageBreak/>
        <w:t>are typical of this appr</w:t>
      </w:r>
      <w:r w:rsidR="005052BB" w:rsidRPr="003851FA">
        <w:t xml:space="preserve">oach, since their defining element is not any particular physical instantiation, but </w:t>
      </w:r>
      <w:r w:rsidRPr="003851FA">
        <w:t>an</w:t>
      </w:r>
      <w:r w:rsidR="005052BB" w:rsidRPr="003851FA">
        <w:t xml:space="preserve"> instruction to </w:t>
      </w:r>
      <w:r w:rsidR="006B3DF0" w:rsidRPr="003851FA">
        <w:t>imagine a visual arrangement</w:t>
      </w:r>
      <w:r w:rsidRPr="003851FA">
        <w:t>, for example,</w:t>
      </w:r>
      <w:r w:rsidR="006B3DF0" w:rsidRPr="003851FA">
        <w:t xml:space="preserve"> ‘All architectural points connected by straight lines’ (</w:t>
      </w:r>
      <w:r w:rsidR="006B3DF0" w:rsidRPr="003851FA">
        <w:rPr>
          <w:i/>
        </w:rPr>
        <w:t xml:space="preserve">Wall Drawing #51, </w:t>
      </w:r>
      <w:r w:rsidR="006B3DF0" w:rsidRPr="003851FA">
        <w:t xml:space="preserve">1970). </w:t>
      </w:r>
      <w:r w:rsidR="003E00C0" w:rsidRPr="003851FA">
        <w:rPr>
          <w:b/>
        </w:rPr>
        <w:t>(Figure</w:t>
      </w:r>
      <w:r w:rsidR="00EA02C1" w:rsidRPr="003851FA">
        <w:rPr>
          <w:b/>
        </w:rPr>
        <w:t xml:space="preserve"> 6</w:t>
      </w:r>
      <w:r w:rsidR="006B3DF0" w:rsidRPr="003851FA">
        <w:rPr>
          <w:b/>
        </w:rPr>
        <w:t>)</w:t>
      </w:r>
      <w:r w:rsidR="006B3DF0" w:rsidRPr="003851FA">
        <w:t xml:space="preserve"> In this respect, LeWitt’s drawings are much like mathematical equations; we </w:t>
      </w:r>
      <w:r w:rsidR="005052BB" w:rsidRPr="003851FA">
        <w:t>may</w:t>
      </w:r>
      <w:r w:rsidR="006B3DF0" w:rsidRPr="003851FA">
        <w:t xml:space="preserve"> physically draw the function y=x</w:t>
      </w:r>
      <w:r w:rsidR="006B3DF0" w:rsidRPr="003851FA">
        <w:rPr>
          <w:vertAlign w:val="superscript"/>
        </w:rPr>
        <w:t xml:space="preserve">2 </w:t>
      </w:r>
      <w:r w:rsidR="006B3DF0" w:rsidRPr="003851FA">
        <w:t xml:space="preserve">as a parabola, or we </w:t>
      </w:r>
      <w:r w:rsidR="005052BB" w:rsidRPr="003851FA">
        <w:t xml:space="preserve">could just </w:t>
      </w:r>
      <w:r w:rsidR="006B3DF0" w:rsidRPr="003851FA">
        <w:t xml:space="preserve">calculate the values and merely mentally represent the curve to ourselves. </w:t>
      </w:r>
      <w:r w:rsidRPr="003851FA">
        <w:t xml:space="preserve">While we may physically draw LeWitt’s lines on a wall, we can also simply imagine them to be there. </w:t>
      </w:r>
      <w:r w:rsidR="00EB04DA" w:rsidRPr="003851FA">
        <w:t xml:space="preserve">Indeed, </w:t>
      </w:r>
      <w:r w:rsidR="006B3DF0" w:rsidRPr="003851FA">
        <w:t>LeWitt</w:t>
      </w:r>
      <w:r w:rsidR="005052BB" w:rsidRPr="003851FA">
        <w:t xml:space="preserve"> sometimes described </w:t>
      </w:r>
      <w:r w:rsidR="006B3DF0" w:rsidRPr="003851FA">
        <w:t xml:space="preserve">the </w:t>
      </w:r>
      <w:r w:rsidR="006B3DF0" w:rsidRPr="003851FA">
        <w:rPr>
          <w:i/>
        </w:rPr>
        <w:t xml:space="preserve">actual </w:t>
      </w:r>
      <w:r w:rsidR="006B3DF0" w:rsidRPr="003851FA">
        <w:t xml:space="preserve">drawings </w:t>
      </w:r>
      <w:r w:rsidR="00601681" w:rsidRPr="003851FA">
        <w:t>as mere</w:t>
      </w:r>
      <w:r w:rsidR="006B3DF0" w:rsidRPr="003851FA">
        <w:t xml:space="preserve"> ‘documentation’ or an ‘aid’ to the mind,</w:t>
      </w:r>
      <w:r w:rsidR="005052BB" w:rsidRPr="003851FA">
        <w:rPr>
          <w:rStyle w:val="EndnoteReference"/>
        </w:rPr>
        <w:endnoteReference w:id="12"/>
      </w:r>
      <w:r w:rsidR="005052BB" w:rsidRPr="003851FA">
        <w:t xml:space="preserve"> and he was famously laissez-faire about how they were executed.</w:t>
      </w:r>
      <w:r w:rsidR="005052BB" w:rsidRPr="003851FA">
        <w:rPr>
          <w:rStyle w:val="EndnoteReference"/>
        </w:rPr>
        <w:endnoteReference w:id="13"/>
      </w:r>
      <w:r w:rsidR="005052BB" w:rsidRPr="003851FA">
        <w:t xml:space="preserve"> T</w:t>
      </w:r>
      <w:r w:rsidR="000D44F8" w:rsidRPr="003851FA">
        <w:t xml:space="preserve">he real interest, we might </w:t>
      </w:r>
      <w:r w:rsidR="00CF2A5C" w:rsidRPr="003851FA">
        <w:t xml:space="preserve">then </w:t>
      </w:r>
      <w:r w:rsidR="000D44F8" w:rsidRPr="003851FA">
        <w:t xml:space="preserve">say, </w:t>
      </w:r>
      <w:r w:rsidR="00FC4402" w:rsidRPr="003851FA">
        <w:t>inhered</w:t>
      </w:r>
      <w:r w:rsidR="006B3DF0" w:rsidRPr="003851FA">
        <w:t xml:space="preserve"> </w:t>
      </w:r>
      <w:r w:rsidR="005052BB" w:rsidRPr="003851FA">
        <w:t xml:space="preserve">not in the artist’s authoritative stroke of the pencil, but </w:t>
      </w:r>
      <w:r w:rsidR="00E77AF3" w:rsidRPr="003851FA">
        <w:t xml:space="preserve">in </w:t>
      </w:r>
      <w:r w:rsidR="006B3DF0" w:rsidRPr="003851FA">
        <w:t>the generative idea</w:t>
      </w:r>
      <w:r w:rsidR="005052BB" w:rsidRPr="003851FA">
        <w:t xml:space="preserve"> that</w:t>
      </w:r>
      <w:r w:rsidR="006B3DF0" w:rsidRPr="003851FA">
        <w:t xml:space="preserve"> existed in the abstract, imagined space.</w:t>
      </w:r>
    </w:p>
    <w:p w14:paraId="3DAD1F41" w14:textId="2551464D" w:rsidR="002F5FAA" w:rsidRPr="003851FA" w:rsidRDefault="00D254A7" w:rsidP="002F5FAA">
      <w:pPr>
        <w:pStyle w:val="BodyText1"/>
      </w:pPr>
      <w:r w:rsidRPr="003851FA">
        <w:tab/>
      </w:r>
      <w:r w:rsidRPr="003851FA">
        <w:rPr>
          <w:color w:val="000000"/>
        </w:rPr>
        <w:t xml:space="preserve">It is in relation to LeWitt’s permutational wall drawings and structures, I suggest, that we can consider Piper’s early Conceptual performance pieces as likewise concerned with the act of drawing a line in an imagined space, and with the relationship between a generative idea and the executed work. </w:t>
      </w:r>
      <w:r w:rsidRPr="003851FA">
        <w:t xml:space="preserve">Consider Piper’s </w:t>
      </w:r>
      <w:r w:rsidRPr="003851FA">
        <w:rPr>
          <w:i/>
        </w:rPr>
        <w:t xml:space="preserve">Hypothesis </w:t>
      </w:r>
      <w:r w:rsidRPr="003851FA">
        <w:t xml:space="preserve">series (1968–70). For this </w:t>
      </w:r>
      <w:r w:rsidR="00106798" w:rsidRPr="003851FA">
        <w:t>work</w:t>
      </w:r>
      <w:r w:rsidRPr="003851FA">
        <w:t>, Piper would go about her daily business—walking around a room (</w:t>
      </w:r>
      <w:r w:rsidRPr="003851FA">
        <w:rPr>
          <w:i/>
        </w:rPr>
        <w:t xml:space="preserve">Hypothesis Situation </w:t>
      </w:r>
      <w:r w:rsidRPr="003851FA">
        <w:t xml:space="preserve">#1), sitting at a table (#2), watching television (#3), spending time in a park (#8)—but she recorded the contents of what she was seeing by taking a snap with a camera held at her forehead, either at random or at scheduled intervals </w:t>
      </w:r>
      <w:r w:rsidR="003E00C0" w:rsidRPr="003851FA">
        <w:rPr>
          <w:b/>
        </w:rPr>
        <w:t>(Figure</w:t>
      </w:r>
      <w:r w:rsidR="00EA02C1" w:rsidRPr="003851FA">
        <w:rPr>
          <w:b/>
        </w:rPr>
        <w:t xml:space="preserve"> 7</w:t>
      </w:r>
      <w:r w:rsidRPr="003851FA">
        <w:rPr>
          <w:b/>
        </w:rPr>
        <w:t>)</w:t>
      </w:r>
      <w:r w:rsidRPr="003851FA">
        <w:t xml:space="preserve">. The presentation of each work consists of three framed panels. The first shows photographs and a graph plotting Piper’s movements along space and time co-ordinates, the second presents a typewritten key explaining what is shown, and a third presents a typewritten essay. The graphs themselves of course include </w:t>
      </w:r>
      <w:r w:rsidRPr="003851FA">
        <w:rPr>
          <w:i/>
        </w:rPr>
        <w:t>lines</w:t>
      </w:r>
      <w:r w:rsidRPr="003851FA">
        <w:t xml:space="preserve">, drawn in India ink, but perhaps the really noteworthy line—the line that constitutes the Conceptual </w:t>
      </w:r>
      <w:r w:rsidRPr="003851FA">
        <w:rPr>
          <w:i/>
        </w:rPr>
        <w:t>work—</w:t>
      </w:r>
      <w:r w:rsidRPr="003851FA">
        <w:t>is the line drawn by Piper’s consciousness across a particular time period as marked by the points on the line represented in the camera snaps.</w:t>
      </w:r>
      <w:r w:rsidR="002F5FAA" w:rsidRPr="003851FA">
        <w:t xml:space="preserve"> </w:t>
      </w:r>
    </w:p>
    <w:p w14:paraId="1BE2B9CF" w14:textId="0A6545E4" w:rsidR="00562211" w:rsidRPr="003851FA" w:rsidRDefault="00330038" w:rsidP="00562211">
      <w:pPr>
        <w:pStyle w:val="BodyText1"/>
      </w:pPr>
      <w:r w:rsidRPr="003851FA">
        <w:lastRenderedPageBreak/>
        <w:tab/>
        <w:t>A ‘line’ drawn by a consciousness is a rather overwhelming concept, to be sure, but designating one’s own present conscious state as the site of the work was not an unfamiliar procedure in Conceptual art.</w:t>
      </w:r>
      <w:r w:rsidR="000D44F8" w:rsidRPr="003851FA">
        <w:t xml:space="preserve"> </w:t>
      </w:r>
      <w:r w:rsidR="000D44F8" w:rsidRPr="003851FA">
        <w:rPr>
          <w:szCs w:val="24"/>
        </w:rPr>
        <w:t>We may note a similarity, for example, to Robert Barry’s idea pieces, such as his 1969 piece ‘Something that is taking shape in my mind and will sometimes come to consciousness.’</w:t>
      </w:r>
      <w:r w:rsidR="000D44F8" w:rsidRPr="003851FA">
        <w:t xml:space="preserve"> Piper’s</w:t>
      </w:r>
      <w:r w:rsidR="00905B2B" w:rsidRPr="003851FA">
        <w:t xml:space="preserve"> </w:t>
      </w:r>
      <w:r w:rsidR="000D44F8" w:rsidRPr="003851FA">
        <w:t xml:space="preserve">method </w:t>
      </w:r>
      <w:r w:rsidR="00905B2B" w:rsidRPr="003851FA">
        <w:t xml:space="preserve">also requires us to think </w:t>
      </w:r>
      <w:r w:rsidRPr="003851FA">
        <w:t xml:space="preserve">about the artwork as </w:t>
      </w:r>
      <w:r w:rsidR="000D44F8" w:rsidRPr="003851FA">
        <w:t xml:space="preserve">primarily </w:t>
      </w:r>
      <w:r w:rsidR="00D95106" w:rsidRPr="003851FA">
        <w:t>an idea</w:t>
      </w:r>
      <w:r w:rsidRPr="003851FA">
        <w:t xml:space="preserve"> that passes from the artist’s into the viewer’s </w:t>
      </w:r>
      <w:r w:rsidR="000D44F8" w:rsidRPr="003851FA">
        <w:t>consciousness.</w:t>
      </w:r>
      <w:r w:rsidRPr="003851FA">
        <w:t xml:space="preserve"> </w:t>
      </w:r>
      <w:r w:rsidR="00562211" w:rsidRPr="003851FA">
        <w:rPr>
          <w:bCs/>
          <w:iCs/>
        </w:rPr>
        <w:t xml:space="preserve">A continuation to LeWitt’s work can also be gleaned from Piper’s 2009 text on LeWitt, which begins: </w:t>
      </w:r>
    </w:p>
    <w:p w14:paraId="4A26C706" w14:textId="70F35456" w:rsidR="00562211" w:rsidRPr="003851FA" w:rsidRDefault="00562211" w:rsidP="00562211">
      <w:pPr>
        <w:pStyle w:val="Quotation"/>
      </w:pPr>
      <w:r w:rsidRPr="003851FA">
        <w:t>Think of any object, any event, any state of affairs, anything as it is at a particular moment in time and location in space. Think of that space–time intersection as a point in the space–time matrix. Then think of that thing as it is at a slightly later moment in time […]. That second space–time intersection forms a second point in the matrix. Then draw a straight line between the first point and the second. […] That line marks the path of the actual. It marks a section of the journey the thing actually took through time and space.</w:t>
      </w:r>
      <w:r w:rsidRPr="003851FA">
        <w:rPr>
          <w:rStyle w:val="EndnoteReference"/>
        </w:rPr>
        <w:endnoteReference w:id="14"/>
      </w:r>
    </w:p>
    <w:p w14:paraId="7EDDB526" w14:textId="68237A82" w:rsidR="006B3DF0" w:rsidRPr="003851FA" w:rsidRDefault="00562211" w:rsidP="003629B2">
      <w:pPr>
        <w:pStyle w:val="BodyText1"/>
      </w:pPr>
      <w:r w:rsidRPr="003851FA">
        <w:t xml:space="preserve">Though Piper does not mention her own works in this text, it is notable that she seems to describe LeWitt’s practice </w:t>
      </w:r>
      <w:r w:rsidR="00306906" w:rsidRPr="003851FA">
        <w:t xml:space="preserve">in words that </w:t>
      </w:r>
      <w:r w:rsidRPr="003851FA">
        <w:t xml:space="preserve">recall </w:t>
      </w:r>
      <w:r w:rsidRPr="003851FA">
        <w:rPr>
          <w:i/>
        </w:rPr>
        <w:t xml:space="preserve">Hypothesis: </w:t>
      </w:r>
      <w:r w:rsidR="00306906" w:rsidRPr="003851FA">
        <w:t xml:space="preserve">drawing </w:t>
      </w:r>
      <w:r w:rsidRPr="003851FA">
        <w:t>lines</w:t>
      </w:r>
      <w:r w:rsidR="00306906" w:rsidRPr="003851FA">
        <w:t xml:space="preserve"> between two points in </w:t>
      </w:r>
      <w:r w:rsidR="00306906" w:rsidRPr="003851FA">
        <w:rPr>
          <w:i/>
        </w:rPr>
        <w:t xml:space="preserve">time, </w:t>
      </w:r>
      <w:r w:rsidR="00306906" w:rsidRPr="003851FA">
        <w:t xml:space="preserve">something which is physically of course impossible but </w:t>
      </w:r>
      <w:r w:rsidR="003F52C9" w:rsidRPr="003851FA">
        <w:t xml:space="preserve">which </w:t>
      </w:r>
      <w:r w:rsidR="003629B2" w:rsidRPr="003851FA">
        <w:t xml:space="preserve">constitutes precisely the kind of paradoxical projection of the mind’s powers, </w:t>
      </w:r>
      <w:r w:rsidR="00C0525D" w:rsidRPr="003851FA">
        <w:t xml:space="preserve">precisely the kind of poking at the edge of rationality, </w:t>
      </w:r>
      <w:r w:rsidR="003629B2" w:rsidRPr="003851FA">
        <w:t xml:space="preserve">which Conceptual art so characteristically </w:t>
      </w:r>
      <w:r w:rsidR="003F52C9" w:rsidRPr="003851FA">
        <w:t>delighted</w:t>
      </w:r>
      <w:r w:rsidR="003629B2" w:rsidRPr="003851FA">
        <w:t xml:space="preserve"> in</w:t>
      </w:r>
      <w:r w:rsidR="00306906" w:rsidRPr="003851FA">
        <w:t>.</w:t>
      </w:r>
    </w:p>
    <w:p w14:paraId="3FFEFD5B" w14:textId="5B17F98B" w:rsidR="004A0C98" w:rsidRPr="003851FA" w:rsidRDefault="00D95106" w:rsidP="00D95106">
      <w:pPr>
        <w:pStyle w:val="BodyText1"/>
      </w:pPr>
      <w:r w:rsidRPr="003851FA">
        <w:rPr>
          <w:color w:val="000000"/>
        </w:rPr>
        <w:tab/>
      </w:r>
      <w:r w:rsidR="00306906" w:rsidRPr="003851FA">
        <w:rPr>
          <w:color w:val="000000"/>
        </w:rPr>
        <w:t>Of</w:t>
      </w:r>
      <w:r w:rsidRPr="003851FA">
        <w:rPr>
          <w:color w:val="000000"/>
        </w:rPr>
        <w:t xml:space="preserve"> course, </w:t>
      </w:r>
      <w:r w:rsidRPr="003851FA">
        <w:rPr>
          <w:i/>
          <w:color w:val="000000"/>
        </w:rPr>
        <w:t xml:space="preserve">Hypothesis </w:t>
      </w:r>
      <w:r w:rsidR="00306906" w:rsidRPr="003851FA">
        <w:rPr>
          <w:color w:val="000000"/>
        </w:rPr>
        <w:t xml:space="preserve">also </w:t>
      </w:r>
      <w:r w:rsidRPr="003851FA">
        <w:rPr>
          <w:color w:val="000000"/>
        </w:rPr>
        <w:t>involve</w:t>
      </w:r>
      <w:r w:rsidR="00562211" w:rsidRPr="003851FA">
        <w:rPr>
          <w:color w:val="000000"/>
        </w:rPr>
        <w:t>s</w:t>
      </w:r>
      <w:r w:rsidRPr="003851FA">
        <w:rPr>
          <w:color w:val="000000"/>
        </w:rPr>
        <w:t xml:space="preserve"> the artist’s body </w:t>
      </w:r>
      <w:r w:rsidR="00F86D2F" w:rsidRPr="003851FA">
        <w:rPr>
          <w:color w:val="000000"/>
        </w:rPr>
        <w:t xml:space="preserve">and the artist’s private experience </w:t>
      </w:r>
      <w:r w:rsidRPr="003851FA">
        <w:rPr>
          <w:color w:val="000000"/>
        </w:rPr>
        <w:t>in a way that is entirely absent from LeWitt’s practice</w:t>
      </w:r>
      <w:r w:rsidR="003F52C9" w:rsidRPr="003851FA">
        <w:rPr>
          <w:color w:val="000000"/>
        </w:rPr>
        <w:t>, and, as a result, the work perhaps generates a temptation to read it through the (real or imagined) biography of the artist</w:t>
      </w:r>
      <w:r w:rsidRPr="003851FA">
        <w:rPr>
          <w:color w:val="000000"/>
        </w:rPr>
        <w:t xml:space="preserve">. For example, </w:t>
      </w:r>
      <w:r w:rsidRPr="003851FA">
        <w:rPr>
          <w:i/>
        </w:rPr>
        <w:t xml:space="preserve">Hypothesis: Situation #2 </w:t>
      </w:r>
      <w:r w:rsidRPr="003851FA">
        <w:t xml:space="preserve">(1968) tells the story of a single table as it enters Piper’s consciousness at predetermined time intervals </w:t>
      </w:r>
      <w:r w:rsidRPr="003851FA">
        <w:rPr>
          <w:b/>
        </w:rPr>
        <w:t>(Figure</w:t>
      </w:r>
      <w:r w:rsidR="009A3612" w:rsidRPr="003851FA">
        <w:rPr>
          <w:b/>
        </w:rPr>
        <w:t xml:space="preserve"> 7</w:t>
      </w:r>
      <w:r w:rsidRPr="003851FA">
        <w:rPr>
          <w:b/>
        </w:rPr>
        <w:t>)</w:t>
      </w:r>
      <w:r w:rsidRPr="003851FA">
        <w:t xml:space="preserve">. Six times the unremarkable kitchen table appears in front of us, and yet, the second photograph also contains a nude male torso </w:t>
      </w:r>
      <w:r w:rsidR="003E00C0" w:rsidRPr="003851FA">
        <w:rPr>
          <w:b/>
        </w:rPr>
        <w:t>(Figure</w:t>
      </w:r>
      <w:r w:rsidR="009A3612" w:rsidRPr="003851FA">
        <w:rPr>
          <w:b/>
        </w:rPr>
        <w:t xml:space="preserve"> 8</w:t>
      </w:r>
      <w:r w:rsidRPr="003851FA">
        <w:rPr>
          <w:b/>
        </w:rPr>
        <w:t>)</w:t>
      </w:r>
      <w:r w:rsidRPr="003851FA">
        <w:t xml:space="preserve">. This unmentioned human presence surely captures our interest: is this </w:t>
      </w:r>
      <w:r w:rsidR="001D4409" w:rsidRPr="003851FA">
        <w:t xml:space="preserve">athletic apparition, which </w:t>
      </w:r>
      <w:r w:rsidRPr="003851FA">
        <w:t>momentarily disrupts the</w:t>
      </w:r>
      <w:r w:rsidR="001D4409" w:rsidRPr="003851FA">
        <w:t xml:space="preserve"> detached</w:t>
      </w:r>
      <w:r w:rsidRPr="003851FA">
        <w:t xml:space="preserve"> Conceptual investigation</w:t>
      </w:r>
      <w:r w:rsidR="001D4409" w:rsidRPr="003851FA">
        <w:t>,</w:t>
      </w:r>
      <w:r w:rsidRPr="003851FA">
        <w:t xml:space="preserve"> relevant to the </w:t>
      </w:r>
      <w:r w:rsidRPr="003851FA">
        <w:lastRenderedPageBreak/>
        <w:t xml:space="preserve">piece? </w:t>
      </w:r>
      <w:r w:rsidR="000E1924" w:rsidRPr="003851FA">
        <w:t xml:space="preserve">Given that the artist is female, and that the photographed torso </w:t>
      </w:r>
      <w:r w:rsidR="004A0C98" w:rsidRPr="003851FA">
        <w:t>is</w:t>
      </w:r>
      <w:r w:rsidR="000E1924" w:rsidRPr="003851FA">
        <w:t xml:space="preserve"> male, </w:t>
      </w:r>
      <w:r w:rsidR="004A0C98" w:rsidRPr="003851FA">
        <w:t xml:space="preserve">and that the year is 1968, perhaps we should understand this presences as a </w:t>
      </w:r>
      <w:r w:rsidR="000E1924" w:rsidRPr="003851FA">
        <w:t xml:space="preserve">sign of </w:t>
      </w:r>
      <w:r w:rsidR="004A0C98" w:rsidRPr="003851FA">
        <w:t xml:space="preserve">desire, or perhaps rebellion, or perhaps as a sign of the artist’s subversion of the usual power dynamics? </w:t>
      </w:r>
      <w:r w:rsidRPr="003851FA">
        <w:t>It is not difficult at this point to start reconstructing the piece as an episode in the artist’s personal life; and I will return to this ‘biographizing’ impulse later.</w:t>
      </w:r>
      <w:r w:rsidRPr="003851FA">
        <w:rPr>
          <w:rStyle w:val="EndnoteReference"/>
        </w:rPr>
        <w:endnoteReference w:id="15"/>
      </w:r>
      <w:r w:rsidRPr="003851FA">
        <w:t xml:space="preserve"> For now, </w:t>
      </w:r>
      <w:r w:rsidR="00ED290B" w:rsidRPr="003851FA">
        <w:t xml:space="preserve">however, </w:t>
      </w:r>
      <w:r w:rsidRPr="003851FA">
        <w:t xml:space="preserve">I want to </w:t>
      </w:r>
      <w:r w:rsidR="000E1924" w:rsidRPr="003851FA">
        <w:t>resist the temptation and r</w:t>
      </w:r>
      <w:r w:rsidR="00ED290B" w:rsidRPr="003851FA">
        <w:t xml:space="preserve">etain the </w:t>
      </w:r>
      <w:r w:rsidRPr="003851FA">
        <w:t xml:space="preserve">focus on </w:t>
      </w:r>
      <w:r w:rsidR="00ED290B" w:rsidRPr="003851FA">
        <w:t>what I take to be the primary focus</w:t>
      </w:r>
      <w:r w:rsidRPr="003851FA">
        <w:t xml:space="preserve"> </w:t>
      </w:r>
      <w:r w:rsidRPr="003851FA">
        <w:rPr>
          <w:i/>
        </w:rPr>
        <w:t>Hypothesis</w:t>
      </w:r>
      <w:r w:rsidR="00ED290B" w:rsidRPr="003851FA">
        <w:rPr>
          <w:i/>
        </w:rPr>
        <w:t>:</w:t>
      </w:r>
      <w:r w:rsidRPr="003851FA">
        <w:rPr>
          <w:i/>
        </w:rPr>
        <w:t xml:space="preserve"> </w:t>
      </w:r>
      <w:r w:rsidRPr="003851FA">
        <w:t xml:space="preserve">as a </w:t>
      </w:r>
      <w:r w:rsidR="00BF0F86" w:rsidRPr="003851FA">
        <w:t>Conceptual</w:t>
      </w:r>
      <w:r w:rsidRPr="003851FA">
        <w:t xml:space="preserve"> investigation into the relationship between the artist’s and the viewer’s consciousness. </w:t>
      </w:r>
    </w:p>
    <w:p w14:paraId="72C08EAB" w14:textId="4DCA6431" w:rsidR="00B05670" w:rsidRPr="003851FA" w:rsidRDefault="004A0C98" w:rsidP="00693CE3">
      <w:pPr>
        <w:pStyle w:val="BodyText1"/>
      </w:pPr>
      <w:r w:rsidRPr="003851FA">
        <w:tab/>
        <w:t>Piper’s</w:t>
      </w:r>
      <w:r w:rsidR="00D95106" w:rsidRPr="003851FA">
        <w:t xml:space="preserve"> performances that followed </w:t>
      </w:r>
      <w:r w:rsidRPr="003851FA">
        <w:rPr>
          <w:i/>
        </w:rPr>
        <w:t xml:space="preserve">Hypothesis </w:t>
      </w:r>
      <w:r w:rsidR="00D95106" w:rsidRPr="003851FA">
        <w:t>took turns in emphasizing one or the other side of this relation.</w:t>
      </w:r>
      <w:r w:rsidRPr="003851FA">
        <w:t xml:space="preserve"> </w:t>
      </w:r>
      <w:r w:rsidR="00CA065D" w:rsidRPr="003851FA">
        <w:t>The</w:t>
      </w:r>
      <w:r w:rsidR="00F76EFC" w:rsidRPr="003851FA">
        <w:t xml:space="preserve"> </w:t>
      </w:r>
      <w:r w:rsidR="00F76EFC" w:rsidRPr="003851FA">
        <w:rPr>
          <w:i/>
        </w:rPr>
        <w:t xml:space="preserve">Catalysis </w:t>
      </w:r>
      <w:r w:rsidR="00F76EFC" w:rsidRPr="003851FA">
        <w:t>series</w:t>
      </w:r>
      <w:r w:rsidR="00732F1F" w:rsidRPr="003851FA">
        <w:t xml:space="preserve"> initially</w:t>
      </w:r>
      <w:r w:rsidR="00CA065D" w:rsidRPr="003851FA">
        <w:t xml:space="preserve"> consisted of seven </w:t>
      </w:r>
      <w:r w:rsidR="00732F1F" w:rsidRPr="003851FA">
        <w:t xml:space="preserve">numbered </w:t>
      </w:r>
      <w:r w:rsidR="00CA065D" w:rsidRPr="003851FA">
        <w:t xml:space="preserve">actions performed </w:t>
      </w:r>
      <w:r w:rsidR="004532A8" w:rsidRPr="003851FA">
        <w:t>between summer and autumn</w:t>
      </w:r>
      <w:r w:rsidR="00CA065D" w:rsidRPr="003851FA">
        <w:t xml:space="preserve"> 1970</w:t>
      </w:r>
      <w:r w:rsidR="00BB4935" w:rsidRPr="003851FA">
        <w:t>.</w:t>
      </w:r>
      <w:r w:rsidR="005545DC" w:rsidRPr="003851FA">
        <w:rPr>
          <w:rStyle w:val="EndnoteReference"/>
        </w:rPr>
        <w:endnoteReference w:id="16"/>
      </w:r>
      <w:r w:rsidR="00CA065D" w:rsidRPr="003851FA">
        <w:t xml:space="preserve"> </w:t>
      </w:r>
      <w:r w:rsidR="00BB4935" w:rsidRPr="003851FA">
        <w:t>T</w:t>
      </w:r>
      <w:r w:rsidR="00CA065D" w:rsidRPr="003851FA">
        <w:t>hese were all unannounced inter</w:t>
      </w:r>
      <w:r w:rsidR="00732F1F" w:rsidRPr="003851FA">
        <w:t xml:space="preserve">ventions into public space, </w:t>
      </w:r>
      <w:r w:rsidR="004A2E95" w:rsidRPr="003851FA">
        <w:t xml:space="preserve">such as </w:t>
      </w:r>
      <w:r w:rsidR="00F76EFC" w:rsidRPr="003851FA">
        <w:t xml:space="preserve">Piper </w:t>
      </w:r>
      <w:r w:rsidR="004A2E95" w:rsidRPr="003851FA">
        <w:t xml:space="preserve">going </w:t>
      </w:r>
      <w:r w:rsidR="00F76EFC" w:rsidRPr="003851FA">
        <w:t xml:space="preserve">about town with a large red bath towel stuffed in her mouth, </w:t>
      </w:r>
      <w:r w:rsidR="004A2E95" w:rsidRPr="003851FA">
        <w:t xml:space="preserve">working </w:t>
      </w:r>
      <w:r w:rsidR="00F76EFC" w:rsidRPr="003851FA">
        <w:t xml:space="preserve">in the library while playing a concealed recording of loud belches, and politely </w:t>
      </w:r>
      <w:r w:rsidR="004A2E95" w:rsidRPr="003851FA">
        <w:t xml:space="preserve">shopping </w:t>
      </w:r>
      <w:r w:rsidR="00F76EFC" w:rsidRPr="003851FA">
        <w:t>at Macy’s while wearing clothes covered in wet paint</w:t>
      </w:r>
      <w:r w:rsidR="00BB4935" w:rsidRPr="003851FA">
        <w:t xml:space="preserve"> (</w:t>
      </w:r>
      <w:r w:rsidR="003E00C0" w:rsidRPr="003851FA">
        <w:rPr>
          <w:b/>
        </w:rPr>
        <w:t>Figure</w:t>
      </w:r>
      <w:r w:rsidR="009A3612" w:rsidRPr="003851FA">
        <w:rPr>
          <w:b/>
        </w:rPr>
        <w:t xml:space="preserve"> 9</w:t>
      </w:r>
      <w:r w:rsidR="00BB4935" w:rsidRPr="003851FA">
        <w:rPr>
          <w:b/>
        </w:rPr>
        <w:t>)</w:t>
      </w:r>
      <w:r w:rsidR="00F76EFC" w:rsidRPr="003851FA">
        <w:t>.</w:t>
      </w:r>
      <w:r w:rsidR="00F76EFC" w:rsidRPr="003851FA">
        <w:rPr>
          <w:rStyle w:val="EndnoteReference"/>
        </w:rPr>
        <w:endnoteReference w:id="17"/>
      </w:r>
      <w:r w:rsidR="004A2E95" w:rsidRPr="003851FA">
        <w:t xml:space="preserve"> </w:t>
      </w:r>
      <w:r w:rsidR="004532A8" w:rsidRPr="003851FA">
        <w:t>Despite the outlandish nature of these actions,</w:t>
      </w:r>
      <w:r w:rsidR="00D30BE4" w:rsidRPr="003851FA">
        <w:t xml:space="preserve"> the</w:t>
      </w:r>
      <w:r w:rsidR="004532A8" w:rsidRPr="003851FA">
        <w:t xml:space="preserve"> contemporaneous notes </w:t>
      </w:r>
      <w:r w:rsidR="000B63FA" w:rsidRPr="003851FA">
        <w:t>(August 1970-</w:t>
      </w:r>
      <w:r w:rsidR="00BB4935" w:rsidRPr="003851FA">
        <w:t>January 1971</w:t>
      </w:r>
      <w:r w:rsidR="000B63FA" w:rsidRPr="003851FA">
        <w:t xml:space="preserve">) </w:t>
      </w:r>
      <w:r w:rsidR="004532A8" w:rsidRPr="003851FA">
        <w:t>show Piper in her analytical, detached, Conceptual mode</w:t>
      </w:r>
      <w:r w:rsidR="00D30BE4" w:rsidRPr="003851FA">
        <w:t>.</w:t>
      </w:r>
      <w:r w:rsidR="004532A8" w:rsidRPr="003851FA">
        <w:t xml:space="preserve"> </w:t>
      </w:r>
      <w:r w:rsidR="00D30BE4" w:rsidRPr="003851FA">
        <w:t>T</w:t>
      </w:r>
      <w:r w:rsidR="004532A8" w:rsidRPr="003851FA">
        <w:t xml:space="preserve">he notes begin with a quotation from Aristotle’s </w:t>
      </w:r>
      <w:r w:rsidR="004532A8" w:rsidRPr="003851FA">
        <w:rPr>
          <w:i/>
        </w:rPr>
        <w:t xml:space="preserve">Metaphysics </w:t>
      </w:r>
      <w:r w:rsidR="004532A8" w:rsidRPr="003851FA">
        <w:t>and continue with two sets of ‘Notes and Qualifications’</w:t>
      </w:r>
      <w:r w:rsidR="00D30BE4" w:rsidRPr="003851FA">
        <w:t xml:space="preserve">, </w:t>
      </w:r>
      <w:r w:rsidR="00693CE3" w:rsidRPr="003851FA">
        <w:t xml:space="preserve">and, interestingly, </w:t>
      </w:r>
      <w:r w:rsidR="00D30BE4" w:rsidRPr="003851FA">
        <w:t xml:space="preserve">nowhere in this initial set of notes does Piper reflect on the unusual character of her actions or on the fact that </w:t>
      </w:r>
      <w:r w:rsidR="0030340C" w:rsidRPr="003851FA">
        <w:t>they</w:t>
      </w:r>
      <w:r w:rsidR="00D30BE4" w:rsidRPr="003851FA">
        <w:t xml:space="preserve"> might appear to her audience as ‘</w:t>
      </w:r>
      <w:r w:rsidR="00511896" w:rsidRPr="003851FA">
        <w:t xml:space="preserve">either meaningless </w:t>
      </w:r>
      <w:r w:rsidR="0030340C" w:rsidRPr="003851FA">
        <w:t xml:space="preserve">or </w:t>
      </w:r>
      <w:r w:rsidR="00D30BE4" w:rsidRPr="003851FA">
        <w:t>insane’, as she puts it two years later, in September 1972.</w:t>
      </w:r>
      <w:r w:rsidR="00D30BE4" w:rsidRPr="003851FA">
        <w:rPr>
          <w:rStyle w:val="EndnoteReference"/>
        </w:rPr>
        <w:endnoteReference w:id="18"/>
      </w:r>
      <w:r w:rsidR="00693CE3" w:rsidRPr="003851FA">
        <w:t xml:space="preserve"> </w:t>
      </w:r>
      <w:r w:rsidR="002227E3" w:rsidRPr="003851FA">
        <w:t>Instead, the notes</w:t>
      </w:r>
      <w:r w:rsidR="00693CE3" w:rsidRPr="003851FA">
        <w:t xml:space="preserve"> seem </w:t>
      </w:r>
      <w:r w:rsidR="002227E3" w:rsidRPr="003851FA">
        <w:t xml:space="preserve">primarily </w:t>
      </w:r>
      <w:r w:rsidR="00693CE3" w:rsidRPr="003851FA">
        <w:t>concerned with the possibility of creating a work that is ‘defined as completely as possible by the viewer’s reaction and interpretation.’</w:t>
      </w:r>
      <w:r w:rsidR="00693CE3" w:rsidRPr="003851FA">
        <w:rPr>
          <w:rStyle w:val="EndnoteReference"/>
        </w:rPr>
        <w:endnoteReference w:id="19"/>
      </w:r>
      <w:r w:rsidR="00693CE3" w:rsidRPr="003851FA">
        <w:t xml:space="preserve"> Or, as Piper puts it towards the beginning of the notes: ‘The work is a catalytic agent, in that it promotes a change in another entity (the viewer) without undergoing any permanent change itself.’</w:t>
      </w:r>
      <w:r w:rsidR="00693CE3" w:rsidRPr="003851FA">
        <w:rPr>
          <w:rStyle w:val="EndnoteReference"/>
        </w:rPr>
        <w:endnoteReference w:id="20"/>
      </w:r>
      <w:r w:rsidR="00693CE3" w:rsidRPr="003851FA">
        <w:t xml:space="preserve"> </w:t>
      </w:r>
      <w:r w:rsidR="00DB4467" w:rsidRPr="003851FA">
        <w:t xml:space="preserve">If </w:t>
      </w:r>
      <w:r w:rsidR="0040633B" w:rsidRPr="003851FA">
        <w:rPr>
          <w:i/>
        </w:rPr>
        <w:t xml:space="preserve">Context #7 </w:t>
      </w:r>
      <w:r w:rsidR="0040633B" w:rsidRPr="003851FA">
        <w:t xml:space="preserve">(exhibited during that same time at </w:t>
      </w:r>
      <w:r w:rsidR="0040633B" w:rsidRPr="003851FA">
        <w:rPr>
          <w:i/>
        </w:rPr>
        <w:t>Information</w:t>
      </w:r>
      <w:r w:rsidR="0040633B" w:rsidRPr="003851FA">
        <w:t xml:space="preserve">) was an open-ended vehicle for </w:t>
      </w:r>
      <w:r w:rsidR="0040633B" w:rsidRPr="003851FA">
        <w:lastRenderedPageBreak/>
        <w:t xml:space="preserve">the viewer’s reaction, </w:t>
      </w:r>
      <w:r w:rsidR="00DB4467" w:rsidRPr="003851FA">
        <w:t xml:space="preserve">I would interpret </w:t>
      </w:r>
      <w:r w:rsidR="0040633B" w:rsidRPr="003851FA">
        <w:rPr>
          <w:i/>
        </w:rPr>
        <w:t xml:space="preserve">Catalysis </w:t>
      </w:r>
      <w:r w:rsidR="00FF3488" w:rsidRPr="003851FA">
        <w:t>as attempting to do the same, with one difference: h</w:t>
      </w:r>
      <w:r w:rsidR="00DB4467" w:rsidRPr="003851FA">
        <w:t xml:space="preserve">ere, </w:t>
      </w:r>
      <w:r w:rsidR="00FF3488" w:rsidRPr="003851FA">
        <w:t xml:space="preserve">the </w:t>
      </w:r>
      <w:r w:rsidR="00DB4467" w:rsidRPr="003851FA">
        <w:t xml:space="preserve">reactions are gathered outside of a </w:t>
      </w:r>
      <w:r w:rsidR="0040633B" w:rsidRPr="003851FA">
        <w:t>pre-announced artworld context; the reaction is to be pure, uncorr</w:t>
      </w:r>
      <w:r w:rsidR="002227E3" w:rsidRPr="003851FA">
        <w:t>upted by the ‘prestandardized set of responses’ that an institution like a museum</w:t>
      </w:r>
      <w:r w:rsidR="00FF3488" w:rsidRPr="003851FA">
        <w:t xml:space="preserve"> provokes</w:t>
      </w:r>
      <w:r w:rsidR="002227E3" w:rsidRPr="003851FA">
        <w:t>.</w:t>
      </w:r>
      <w:r w:rsidR="002227E3" w:rsidRPr="003851FA">
        <w:rPr>
          <w:rStyle w:val="EndnoteReference"/>
        </w:rPr>
        <w:endnoteReference w:id="21"/>
      </w:r>
      <w:r w:rsidR="00B05670" w:rsidRPr="003851FA">
        <w:t xml:space="preserve"> </w:t>
      </w:r>
    </w:p>
    <w:p w14:paraId="27CB1B76" w14:textId="17FCB863" w:rsidR="00767844" w:rsidRPr="003851FA" w:rsidRDefault="00B05670" w:rsidP="008573B8">
      <w:pPr>
        <w:pStyle w:val="BodyText1"/>
      </w:pPr>
      <w:r w:rsidRPr="003851FA">
        <w:tab/>
        <w:t xml:space="preserve">If </w:t>
      </w:r>
      <w:r w:rsidRPr="003851FA">
        <w:rPr>
          <w:i/>
        </w:rPr>
        <w:t xml:space="preserve">Catalysis </w:t>
      </w:r>
      <w:r w:rsidRPr="003851FA">
        <w:t>privileges, in this way, the audience’s response, another performance from this time returns to the artist’s own experience, excluding</w:t>
      </w:r>
      <w:r w:rsidR="00DB4467" w:rsidRPr="003851FA">
        <w:t>,</w:t>
      </w:r>
      <w:r w:rsidRPr="003851FA">
        <w:t xml:space="preserve"> for the time being</w:t>
      </w:r>
      <w:r w:rsidR="00DB4467" w:rsidRPr="003851FA">
        <w:t>,</w:t>
      </w:r>
      <w:r w:rsidRPr="003851FA">
        <w:t xml:space="preserve"> any audience other than herself. For </w:t>
      </w:r>
      <w:r w:rsidR="004A2E95" w:rsidRPr="003851FA">
        <w:rPr>
          <w:i/>
        </w:rPr>
        <w:t xml:space="preserve">Food for the Spirit </w:t>
      </w:r>
      <w:r w:rsidR="004A2E95" w:rsidRPr="003851FA">
        <w:t>(1971</w:t>
      </w:r>
      <w:r w:rsidRPr="003851FA">
        <w:t xml:space="preserve">) </w:t>
      </w:r>
      <w:r w:rsidR="004A2E95" w:rsidRPr="003851FA">
        <w:t xml:space="preserve">Piper spent a hot New York summer practising yoga and studying Kant’s </w:t>
      </w:r>
      <w:r w:rsidR="004A2E95" w:rsidRPr="003851FA">
        <w:rPr>
          <w:i/>
        </w:rPr>
        <w:t>Critique</w:t>
      </w:r>
      <w:r w:rsidRPr="003851FA">
        <w:rPr>
          <w:i/>
        </w:rPr>
        <w:t xml:space="preserve"> of Pure Reason </w:t>
      </w:r>
      <w:r w:rsidRPr="003851FA">
        <w:t>at home in her loft</w:t>
      </w:r>
      <w:r w:rsidR="004A2E95" w:rsidRPr="003851FA">
        <w:t xml:space="preserve">. She became, as she puts it, ‘obsessed with Kant’s thought,’ and describes a kind of metaphysical buzz that will be familiar to anybody who studied philosophy as a young person: a dangerous exhilaration that comes with exploring a vast, </w:t>
      </w:r>
      <w:r w:rsidR="00EE7254" w:rsidRPr="003851FA">
        <w:t>intricate</w:t>
      </w:r>
      <w:r w:rsidR="004A2E95" w:rsidRPr="003851FA">
        <w:t xml:space="preserve">, </w:t>
      </w:r>
      <w:r w:rsidR="00EE7254" w:rsidRPr="003851FA">
        <w:t>just-about-</w:t>
      </w:r>
      <w:r w:rsidR="004A2E95" w:rsidRPr="003851FA">
        <w:t>graspable intellectual system, amplified in this case, no doubt, by Piper’s ‘two-month juice-and-water fast.’</w:t>
      </w:r>
      <w:r w:rsidR="004A2E95" w:rsidRPr="003851FA">
        <w:rPr>
          <w:rStyle w:val="EndnoteReference"/>
          <w:color w:val="000000"/>
        </w:rPr>
        <w:endnoteReference w:id="22"/>
      </w:r>
      <w:r w:rsidR="004A2E95" w:rsidRPr="003851FA">
        <w:t xml:space="preserve"> To anchor herself in the material world, to remind herself that she had a body as well as a mind, </w:t>
      </w:r>
      <w:r w:rsidR="00F831F1" w:rsidRPr="003851FA">
        <w:t>Piper took</w:t>
      </w:r>
      <w:r w:rsidR="00DB4467" w:rsidRPr="003851FA">
        <w:t xml:space="preserve"> clothed and</w:t>
      </w:r>
      <w:r w:rsidR="00F831F1" w:rsidRPr="003851FA">
        <w:t xml:space="preserve"> nude self-portraits</w:t>
      </w:r>
      <w:r w:rsidRPr="003851FA">
        <w:rPr>
          <w:i/>
        </w:rPr>
        <w:t xml:space="preserve"> </w:t>
      </w:r>
      <w:r w:rsidR="00F831F1" w:rsidRPr="003851FA">
        <w:t>and kept a diary</w:t>
      </w:r>
      <w:r w:rsidR="00DB4467" w:rsidRPr="003851FA">
        <w:t xml:space="preserve"> </w:t>
      </w:r>
      <w:r w:rsidR="00DB4467" w:rsidRPr="003851FA">
        <w:rPr>
          <w:b/>
        </w:rPr>
        <w:t>(Figure</w:t>
      </w:r>
      <w:r w:rsidR="009A3612" w:rsidRPr="003851FA">
        <w:rPr>
          <w:b/>
        </w:rPr>
        <w:t xml:space="preserve"> 10</w:t>
      </w:r>
      <w:r w:rsidR="00DB4467" w:rsidRPr="003851FA">
        <w:rPr>
          <w:b/>
        </w:rPr>
        <w:t>)</w:t>
      </w:r>
      <w:r w:rsidR="00F831F1" w:rsidRPr="003851FA">
        <w:t xml:space="preserve">. The view of herself as a merely ‘physically embodied’ person reassured her that ‘the </w:t>
      </w:r>
      <w:r w:rsidR="00F831F1" w:rsidRPr="003851FA">
        <w:rPr>
          <w:i/>
        </w:rPr>
        <w:t xml:space="preserve">Critique </w:t>
      </w:r>
      <w:r w:rsidR="00F831F1" w:rsidRPr="003851FA">
        <w:t>was a book with good ideas in it that I had chosen to study, and not (only? necessarily? really?) the entrance into a transcendent reality of disembodied self-consciousness.’</w:t>
      </w:r>
      <w:r w:rsidR="00F831F1" w:rsidRPr="003851FA">
        <w:rPr>
          <w:rStyle w:val="EndnoteReference"/>
        </w:rPr>
        <w:endnoteReference w:id="23"/>
      </w:r>
      <w:r w:rsidRPr="003851FA">
        <w:t xml:space="preserve"> </w:t>
      </w:r>
      <w:r w:rsidR="00BF0F86" w:rsidRPr="003851FA">
        <w:t>The piece was only written up and published, with the photographs, in 1981.</w:t>
      </w:r>
      <w:r w:rsidR="00BF0F86" w:rsidRPr="003851FA">
        <w:rPr>
          <w:rStyle w:val="EndnoteReference"/>
        </w:rPr>
        <w:endnoteReference w:id="24"/>
      </w:r>
    </w:p>
    <w:p w14:paraId="7056400E" w14:textId="77777777" w:rsidR="001C258F" w:rsidRPr="003851FA" w:rsidRDefault="00767844" w:rsidP="008314AF">
      <w:pPr>
        <w:pStyle w:val="BodyText1"/>
      </w:pPr>
      <w:r w:rsidRPr="003851FA">
        <w:tab/>
      </w:r>
      <w:r w:rsidR="000833A3" w:rsidRPr="003851FA">
        <w:t xml:space="preserve">We may describe these works as semi-public performances: it remains ambiguous </w:t>
      </w:r>
      <w:r w:rsidR="00ED290B" w:rsidRPr="003851FA">
        <w:t>in what form they were to be received by</w:t>
      </w:r>
      <w:r w:rsidR="000833A3" w:rsidRPr="003851FA">
        <w:t xml:space="preserve"> a secondary, artworld audience. Two of the seven 1970 </w:t>
      </w:r>
      <w:r w:rsidR="000833A3" w:rsidRPr="003851FA">
        <w:rPr>
          <w:i/>
        </w:rPr>
        <w:t xml:space="preserve">Catalysis </w:t>
      </w:r>
      <w:r w:rsidR="000833A3" w:rsidRPr="003851FA">
        <w:t xml:space="preserve">performances were photographed by Piper’s friend Rosemary Mayer; the critic John Perreault describes </w:t>
      </w:r>
      <w:r w:rsidR="000833A3" w:rsidRPr="003851FA">
        <w:rPr>
          <w:i/>
        </w:rPr>
        <w:t xml:space="preserve">Catalysis </w:t>
      </w:r>
      <w:r w:rsidR="000833A3" w:rsidRPr="003851FA">
        <w:t xml:space="preserve">actions in the </w:t>
      </w:r>
      <w:r w:rsidR="000833A3" w:rsidRPr="003851FA">
        <w:rPr>
          <w:i/>
        </w:rPr>
        <w:t xml:space="preserve">Village Voice </w:t>
      </w:r>
      <w:r w:rsidR="00ED290B" w:rsidRPr="003851FA">
        <w:t xml:space="preserve">by 1971; in that year </w:t>
      </w:r>
      <w:r w:rsidR="000833A3" w:rsidRPr="003851FA">
        <w:t xml:space="preserve">Piper also performed two new </w:t>
      </w:r>
      <w:r w:rsidR="000833A3" w:rsidRPr="003851FA">
        <w:rPr>
          <w:i/>
        </w:rPr>
        <w:t xml:space="preserve">Catalysis </w:t>
      </w:r>
      <w:r w:rsidR="000833A3" w:rsidRPr="003851FA">
        <w:t>pieces in a gallery context;</w:t>
      </w:r>
      <w:r w:rsidR="000833A3" w:rsidRPr="003851FA">
        <w:rPr>
          <w:rStyle w:val="EndnoteReference"/>
        </w:rPr>
        <w:endnoteReference w:id="25"/>
      </w:r>
      <w:r w:rsidR="000833A3" w:rsidRPr="003851FA">
        <w:t xml:space="preserve"> </w:t>
      </w:r>
      <w:r w:rsidR="00ED290B" w:rsidRPr="003851FA">
        <w:t xml:space="preserve">and </w:t>
      </w:r>
      <w:r w:rsidR="000833A3" w:rsidRPr="003851FA">
        <w:t>Piper discussed the series in an interview with Lucy Lippard in 1972.</w:t>
      </w:r>
      <w:r w:rsidR="000833A3" w:rsidRPr="003851FA">
        <w:rPr>
          <w:rStyle w:val="EndnoteReference"/>
        </w:rPr>
        <w:endnoteReference w:id="26"/>
      </w:r>
      <w:r w:rsidR="000833A3" w:rsidRPr="003851FA">
        <w:t xml:space="preserve"> The photographs of </w:t>
      </w:r>
      <w:r w:rsidR="000833A3" w:rsidRPr="003851FA">
        <w:rPr>
          <w:i/>
        </w:rPr>
        <w:t xml:space="preserve">Food for the Spirit </w:t>
      </w:r>
      <w:r w:rsidR="000833A3" w:rsidRPr="003851FA">
        <w:t>were</w:t>
      </w:r>
      <w:r w:rsidR="00ED290B" w:rsidRPr="003851FA">
        <w:t>, as said,</w:t>
      </w:r>
      <w:r w:rsidR="000833A3" w:rsidRPr="003851FA">
        <w:t xml:space="preserve"> only published </w:t>
      </w:r>
      <w:r w:rsidR="009008B7" w:rsidRPr="003851FA">
        <w:t>ten years after the performance</w:t>
      </w:r>
      <w:r w:rsidR="000833A3" w:rsidRPr="003851FA">
        <w:t>. S</w:t>
      </w:r>
      <w:r w:rsidR="00BF0F86" w:rsidRPr="003851FA">
        <w:t xml:space="preserve">everal </w:t>
      </w:r>
      <w:r w:rsidR="000833A3" w:rsidRPr="003851FA">
        <w:t xml:space="preserve">other </w:t>
      </w:r>
      <w:r w:rsidR="00BF0F86" w:rsidRPr="003851FA">
        <w:t xml:space="preserve">unnamed and </w:t>
      </w:r>
      <w:r w:rsidR="00BF0F86" w:rsidRPr="003851FA">
        <w:lastRenderedPageBreak/>
        <w:t>photographically undocumented performances from 1971-72</w:t>
      </w:r>
      <w:r w:rsidRPr="003851FA">
        <w:t xml:space="preserve"> </w:t>
      </w:r>
      <w:r w:rsidR="001C258F" w:rsidRPr="003851FA">
        <w:t>are semi-public in this sense</w:t>
      </w:r>
      <w:r w:rsidR="00BF0F86" w:rsidRPr="003851FA">
        <w:t>. In</w:t>
      </w:r>
      <w:r w:rsidR="00E95E6F" w:rsidRPr="003851FA">
        <w:t xml:space="preserve"> one piece Piper aurally memorized Aretha Franklin’s </w:t>
      </w:r>
      <w:r w:rsidR="00E95E6F" w:rsidRPr="003851FA">
        <w:rPr>
          <w:i/>
        </w:rPr>
        <w:t xml:space="preserve">Respect, </w:t>
      </w:r>
      <w:r w:rsidR="00E95E6F" w:rsidRPr="003851FA">
        <w:t>and danced to it both publicly</w:t>
      </w:r>
      <w:r w:rsidR="00BF0F86" w:rsidRPr="003851FA">
        <w:t>,</w:t>
      </w:r>
      <w:r w:rsidR="00E95E6F" w:rsidRPr="003851FA">
        <w:t xml:space="preserve"> and privately in her loft (prefiguring Gillian Wearing’s 1994 </w:t>
      </w:r>
      <w:r w:rsidR="00E95E6F" w:rsidRPr="003851FA">
        <w:rPr>
          <w:i/>
        </w:rPr>
        <w:t xml:space="preserve">Dancing in Peckham </w:t>
      </w:r>
      <w:r w:rsidR="00E95E6F" w:rsidRPr="003851FA">
        <w:t>by twenty years);</w:t>
      </w:r>
      <w:r w:rsidR="00E95E6F" w:rsidRPr="003851FA">
        <w:rPr>
          <w:rStyle w:val="EndnoteReference"/>
        </w:rPr>
        <w:endnoteReference w:id="27"/>
      </w:r>
      <w:r w:rsidR="00E95E6F" w:rsidRPr="003851FA">
        <w:t xml:space="preserve"> for another, she recorded, memorized and then recited her side of a telephone conversation with </w:t>
      </w:r>
      <w:r w:rsidR="00ED290B" w:rsidRPr="003851FA">
        <w:t>her best</w:t>
      </w:r>
      <w:r w:rsidR="00E95E6F" w:rsidRPr="003851FA">
        <w:t xml:space="preserve"> friend</w:t>
      </w:r>
      <w:r w:rsidR="00ED290B" w:rsidRPr="003851FA">
        <w:t xml:space="preserve"> Phi</w:t>
      </w:r>
      <w:r w:rsidR="004C704D" w:rsidRPr="003851FA">
        <w:t>l</w:t>
      </w:r>
      <w:r w:rsidR="00ED290B" w:rsidRPr="003851FA">
        <w:t>lip Zohn</w:t>
      </w:r>
      <w:r w:rsidR="00E95E6F" w:rsidRPr="003851FA">
        <w:t>, performing the piece in places such as ‘in front of a shop window on Essex Street shortly before sunrise’ and ‘in front of a mirror in my loft in complete solitude’.</w:t>
      </w:r>
      <w:r w:rsidR="00E95E6F" w:rsidRPr="003851FA">
        <w:rPr>
          <w:rStyle w:val="EndnoteReference"/>
        </w:rPr>
        <w:endnoteReference w:id="28"/>
      </w:r>
      <w:r w:rsidR="00BF0F86" w:rsidRPr="003851FA">
        <w:t xml:space="preserve"> </w:t>
      </w:r>
      <w:r w:rsidR="001C258F" w:rsidRPr="003851FA">
        <w:t xml:space="preserve">With all of these, then, the primary audience was in each case either unaware that what they were seeing was art, or only consisted of Piper herself. </w:t>
      </w:r>
    </w:p>
    <w:p w14:paraId="46615A1F" w14:textId="03EAAAB3" w:rsidR="002051D6" w:rsidRPr="003851FA" w:rsidRDefault="001C258F" w:rsidP="00CD6902">
      <w:pPr>
        <w:pStyle w:val="BodyText1"/>
      </w:pPr>
      <w:r w:rsidRPr="003851FA">
        <w:tab/>
        <w:t>These differences notwithstanding, t</w:t>
      </w:r>
      <w:r w:rsidR="00BF0F86" w:rsidRPr="003851FA">
        <w:t xml:space="preserve">he </w:t>
      </w:r>
      <w:r w:rsidR="008314AF" w:rsidRPr="003851FA">
        <w:t>investigation</w:t>
      </w:r>
      <w:r w:rsidR="00BF0F86" w:rsidRPr="003851FA">
        <w:t xml:space="preserve"> running through </w:t>
      </w:r>
      <w:r w:rsidR="00BF0F86" w:rsidRPr="003851FA">
        <w:rPr>
          <w:i/>
        </w:rPr>
        <w:t xml:space="preserve">Hypothesis, Catalysis, Food for the Spirit, </w:t>
      </w:r>
      <w:r w:rsidR="00BF0F86" w:rsidRPr="003851FA">
        <w:t xml:space="preserve">and the unnamed pieces seems to </w:t>
      </w:r>
      <w:r w:rsidR="000833A3" w:rsidRPr="003851FA">
        <w:t xml:space="preserve">be </w:t>
      </w:r>
      <w:r w:rsidR="008314AF" w:rsidRPr="003851FA">
        <w:t xml:space="preserve">an inquiry into the Conceptual notion of art as a transfer </w:t>
      </w:r>
      <w:r w:rsidR="00A54F39" w:rsidRPr="003851FA">
        <w:t xml:space="preserve">of ideas </w:t>
      </w:r>
      <w:r w:rsidR="008314AF" w:rsidRPr="003851FA">
        <w:t>fr</w:t>
      </w:r>
      <w:r w:rsidR="000833A3" w:rsidRPr="003851FA">
        <w:t>om one consciousness to another, unencumbered, where possible, with the context of the artworld.</w:t>
      </w:r>
      <w:r w:rsidRPr="003851FA">
        <w:t xml:space="preserve"> </w:t>
      </w:r>
      <w:r w:rsidR="009E0D74" w:rsidRPr="003851FA">
        <w:t>As with many other first-generation Conceptual works, there is</w:t>
      </w:r>
      <w:r w:rsidR="00170707" w:rsidRPr="003851FA">
        <w:t>,</w:t>
      </w:r>
      <w:r w:rsidR="009E0D74" w:rsidRPr="003851FA">
        <w:t xml:space="preserve"> perhaps</w:t>
      </w:r>
      <w:r w:rsidR="00170707" w:rsidRPr="003851FA">
        <w:t>,</w:t>
      </w:r>
      <w:r w:rsidR="009E0D74" w:rsidRPr="003851FA">
        <w:t xml:space="preserve"> </w:t>
      </w:r>
      <w:r w:rsidR="00170707" w:rsidRPr="003851FA">
        <w:t xml:space="preserve">also </w:t>
      </w:r>
      <w:r w:rsidR="009E0D74" w:rsidRPr="003851FA">
        <w:t xml:space="preserve">something </w:t>
      </w:r>
      <w:r w:rsidR="00CD6902" w:rsidRPr="003851FA">
        <w:t>meditative, pensive</w:t>
      </w:r>
      <w:r w:rsidR="009E0D74" w:rsidRPr="003851FA">
        <w:t xml:space="preserve"> about these detached investigations.</w:t>
      </w:r>
      <w:r w:rsidR="0000268B" w:rsidRPr="003851FA">
        <w:rPr>
          <w:rStyle w:val="EndnoteReference"/>
        </w:rPr>
        <w:endnoteReference w:id="29"/>
      </w:r>
      <w:r w:rsidR="009E0D74" w:rsidRPr="003851FA">
        <w:t xml:space="preserve"> </w:t>
      </w:r>
      <w:r w:rsidR="00CD6902" w:rsidRPr="003851FA">
        <w:t>The attempt in</w:t>
      </w:r>
      <w:r w:rsidR="00170707" w:rsidRPr="003851FA">
        <w:t xml:space="preserve"> </w:t>
      </w:r>
      <w:r w:rsidR="00170707" w:rsidRPr="003851FA">
        <w:rPr>
          <w:i/>
        </w:rPr>
        <w:t xml:space="preserve">Hypothesis, </w:t>
      </w:r>
      <w:r w:rsidR="00CD6902" w:rsidRPr="003851FA">
        <w:t xml:space="preserve">to freeze in eternity that fleeting ‘now’, which by its very definition is always slipping away, can be read as a melancholy one; after all, Faust’s ‘verweile doch, du bist so schön’, is expressive of </w:t>
      </w:r>
      <w:r w:rsidRPr="003851FA">
        <w:t xml:space="preserve">a </w:t>
      </w:r>
      <w:r w:rsidR="00CD6902" w:rsidRPr="003851FA">
        <w:t xml:space="preserve">longing as well as of a metaphysical impossibility. </w:t>
      </w:r>
      <w:r w:rsidR="00170707" w:rsidRPr="003851FA">
        <w:t>In an audio work from the same period</w:t>
      </w:r>
      <w:r w:rsidR="00170707" w:rsidRPr="003851FA">
        <w:rPr>
          <w:i/>
        </w:rPr>
        <w:t>, Seriation #2: Now</w:t>
      </w:r>
      <w:r w:rsidR="00170707" w:rsidRPr="003851FA">
        <w:t xml:space="preserve"> (1968), Piper simply recorded herself saying ‘now’ at an increasing speed. </w:t>
      </w:r>
      <w:r w:rsidR="00170707" w:rsidRPr="003851FA">
        <w:rPr>
          <w:i/>
        </w:rPr>
        <w:t>Catalysis</w:t>
      </w:r>
      <w:r w:rsidR="002051D6" w:rsidRPr="003851FA">
        <w:rPr>
          <w:i/>
        </w:rPr>
        <w:t>, Food for the Spirit</w:t>
      </w:r>
      <w:r w:rsidR="00170707" w:rsidRPr="003851FA">
        <w:rPr>
          <w:i/>
        </w:rPr>
        <w:t xml:space="preserve"> </w:t>
      </w:r>
      <w:r w:rsidR="00170707" w:rsidRPr="003851FA">
        <w:t xml:space="preserve">and </w:t>
      </w:r>
      <w:r w:rsidR="002051D6" w:rsidRPr="003851FA">
        <w:t xml:space="preserve">the unnamed </w:t>
      </w:r>
      <w:r w:rsidR="00170707" w:rsidRPr="003851FA">
        <w:t>performances</w:t>
      </w:r>
      <w:r w:rsidR="002051D6" w:rsidRPr="003851FA">
        <w:t>, on the other hand, all</w:t>
      </w:r>
      <w:r w:rsidR="00170707" w:rsidRPr="003851FA">
        <w:t xml:space="preserve"> </w:t>
      </w:r>
      <w:r w:rsidR="002051D6" w:rsidRPr="003851FA">
        <w:t xml:space="preserve">thematise </w:t>
      </w:r>
      <w:r w:rsidR="00170707" w:rsidRPr="003851FA">
        <w:t xml:space="preserve">the artist’s consciousness </w:t>
      </w:r>
      <w:r w:rsidR="002051D6" w:rsidRPr="003851FA">
        <w:t xml:space="preserve">as isolated from that of </w:t>
      </w:r>
      <w:r w:rsidR="00170707" w:rsidRPr="003851FA">
        <w:t xml:space="preserve">others. </w:t>
      </w:r>
      <w:r w:rsidR="002E28BC" w:rsidRPr="003851FA">
        <w:t>But if</w:t>
      </w:r>
      <w:r w:rsidR="00170707" w:rsidRPr="003851FA">
        <w:t xml:space="preserve"> her notes consider solipsism</w:t>
      </w:r>
      <w:r w:rsidR="009B6D49" w:rsidRPr="003851FA">
        <w:t xml:space="preserve"> </w:t>
      </w:r>
      <w:r w:rsidR="00170707" w:rsidRPr="003851FA">
        <w:t>primarily as a</w:t>
      </w:r>
      <w:r w:rsidR="002051D6" w:rsidRPr="003851FA">
        <w:t>n abstract proposition,</w:t>
      </w:r>
      <w:r w:rsidR="00CD6902" w:rsidRPr="003851FA">
        <w:rPr>
          <w:rStyle w:val="EndnoteReference"/>
        </w:rPr>
        <w:endnoteReference w:id="30"/>
      </w:r>
      <w:r w:rsidR="002051D6" w:rsidRPr="003851FA">
        <w:t xml:space="preserve"> her actions surely </w:t>
      </w:r>
      <w:r w:rsidR="00CD6902" w:rsidRPr="003851FA">
        <w:t xml:space="preserve">also </w:t>
      </w:r>
      <w:r w:rsidR="002051D6" w:rsidRPr="003851FA">
        <w:t xml:space="preserve">reveal to us the existential weight of that </w:t>
      </w:r>
      <w:r w:rsidR="002170B7" w:rsidRPr="003851FA">
        <w:t>view</w:t>
      </w:r>
      <w:r w:rsidR="00CD6902" w:rsidRPr="003851FA">
        <w:t xml:space="preserve">. Solipsism </w:t>
      </w:r>
      <w:r w:rsidR="002E28BC" w:rsidRPr="003851FA">
        <w:t>acquires a more autumnal colour when it implies that all there</w:t>
      </w:r>
      <w:r w:rsidR="002051D6" w:rsidRPr="003851FA">
        <w:t xml:space="preserve"> exists is our end of the telephone conversation.</w:t>
      </w:r>
    </w:p>
    <w:p w14:paraId="7D40883B" w14:textId="7549D45E" w:rsidR="008427FC" w:rsidRPr="003851FA" w:rsidRDefault="002051D6" w:rsidP="002051D6">
      <w:pPr>
        <w:pStyle w:val="BodyText1"/>
      </w:pPr>
      <w:r w:rsidRPr="003851FA">
        <w:tab/>
        <w:t xml:space="preserve">I now leave these interpretative remarks for other views of Piper’s </w:t>
      </w:r>
      <w:r w:rsidR="00092BBA" w:rsidRPr="003851FA">
        <w:t xml:space="preserve">Conceptual </w:t>
      </w:r>
      <w:r w:rsidRPr="003851FA">
        <w:t>work.</w:t>
      </w:r>
    </w:p>
    <w:p w14:paraId="2C652285" w14:textId="77777777" w:rsidR="009A3612" w:rsidRPr="003851FA" w:rsidRDefault="009A3612" w:rsidP="002051D6">
      <w:pPr>
        <w:pStyle w:val="BodyText1"/>
      </w:pPr>
    </w:p>
    <w:p w14:paraId="3DB21AF0" w14:textId="5203958A" w:rsidR="008E5144" w:rsidRPr="003851FA" w:rsidRDefault="00A30821" w:rsidP="008E5144">
      <w:pPr>
        <w:pStyle w:val="Heading2"/>
      </w:pPr>
      <w:r w:rsidRPr="003851FA">
        <w:lastRenderedPageBreak/>
        <w:t xml:space="preserve">The </w:t>
      </w:r>
      <w:r w:rsidR="008E5144" w:rsidRPr="003851FA">
        <w:t>Performance Pieces and Four View</w:t>
      </w:r>
      <w:r w:rsidRPr="003851FA">
        <w:t>ers</w:t>
      </w:r>
    </w:p>
    <w:p w14:paraId="19223C0F" w14:textId="4FD7A49B" w:rsidR="008841FF" w:rsidRPr="003851FA" w:rsidRDefault="00971A9A" w:rsidP="00FC675B">
      <w:pPr>
        <w:pStyle w:val="BodyText1"/>
      </w:pPr>
      <w:r w:rsidRPr="003851FA">
        <w:tab/>
      </w:r>
      <w:r w:rsidR="008E5144" w:rsidRPr="003851FA">
        <w:t xml:space="preserve">Considered </w:t>
      </w:r>
      <w:r w:rsidRPr="003851FA">
        <w:t xml:space="preserve">from the standpoint of Piper’s later </w:t>
      </w:r>
      <w:r w:rsidR="00FC675B" w:rsidRPr="003851FA">
        <w:t xml:space="preserve">anti-racist </w:t>
      </w:r>
      <w:r w:rsidRPr="003851FA">
        <w:t xml:space="preserve">work, in what light do these private performances appear? </w:t>
      </w:r>
      <w:r w:rsidR="002051D6" w:rsidRPr="003851FA">
        <w:t>A</w:t>
      </w:r>
      <w:r w:rsidRPr="003851FA">
        <w:t xml:space="preserve">longside the four monologues from </w:t>
      </w:r>
      <w:r w:rsidRPr="003851FA">
        <w:rPr>
          <w:i/>
        </w:rPr>
        <w:t>Four Intruders Plus Alarm Systems</w:t>
      </w:r>
      <w:r w:rsidRPr="003851FA">
        <w:t xml:space="preserve">—performed a year before </w:t>
      </w:r>
      <w:r w:rsidR="00FC675B" w:rsidRPr="003851FA">
        <w:t xml:space="preserve">the </w:t>
      </w:r>
      <w:r w:rsidRPr="003851FA">
        <w:t xml:space="preserve">documentation of </w:t>
      </w:r>
      <w:r w:rsidRPr="003851FA">
        <w:rPr>
          <w:i/>
        </w:rPr>
        <w:t xml:space="preserve">Food for the Spirit </w:t>
      </w:r>
      <w:r w:rsidRPr="003851FA">
        <w:t xml:space="preserve">was published—what overtones do these investigations into </w:t>
      </w:r>
      <w:r w:rsidR="000F72D2" w:rsidRPr="003851FA">
        <w:t>the artist’s and the viewer’s consciousness acquire?</w:t>
      </w:r>
      <w:r w:rsidR="00FC675B" w:rsidRPr="003851FA">
        <w:t xml:space="preserve"> The</w:t>
      </w:r>
      <w:r w:rsidR="004077F6" w:rsidRPr="003851FA">
        <w:t xml:space="preserve"> </w:t>
      </w:r>
      <w:r w:rsidR="00FC675B" w:rsidRPr="003851FA">
        <w:t xml:space="preserve">dominant </w:t>
      </w:r>
      <w:r w:rsidR="004077F6" w:rsidRPr="003851FA">
        <w:t xml:space="preserve">art historical </w:t>
      </w:r>
      <w:r w:rsidR="00FC675B" w:rsidRPr="003851FA">
        <w:t xml:space="preserve">account </w:t>
      </w:r>
      <w:r w:rsidR="00802602" w:rsidRPr="003851FA">
        <w:t xml:space="preserve">has indeed read </w:t>
      </w:r>
      <w:r w:rsidR="004077F6" w:rsidRPr="003851FA">
        <w:t xml:space="preserve">Piper’s 1968—71 performances </w:t>
      </w:r>
      <w:r w:rsidR="00802602" w:rsidRPr="003851FA">
        <w:t xml:space="preserve">as prefiguring </w:t>
      </w:r>
      <w:r w:rsidR="00FC675B" w:rsidRPr="003851FA">
        <w:t xml:space="preserve">later work; that is, </w:t>
      </w:r>
      <w:r w:rsidR="00347527" w:rsidRPr="003851FA">
        <w:t xml:space="preserve">as pointed </w:t>
      </w:r>
      <w:r w:rsidR="00FC675B" w:rsidRPr="003851FA">
        <w:t xml:space="preserve">critiques of </w:t>
      </w:r>
      <w:r w:rsidR="004077F6" w:rsidRPr="003851FA">
        <w:t xml:space="preserve">patriarchal and racist social relations. </w:t>
      </w:r>
      <w:r w:rsidR="004077F6" w:rsidRPr="003851FA">
        <w:rPr>
          <w:color w:val="000000"/>
        </w:rPr>
        <w:t xml:space="preserve">John Bowles—the author of the as-yet only monograph on Piper, </w:t>
      </w:r>
      <w:r w:rsidR="00347527" w:rsidRPr="003851FA">
        <w:rPr>
          <w:color w:val="000000"/>
        </w:rPr>
        <w:t xml:space="preserve">which </w:t>
      </w:r>
      <w:r w:rsidR="00E80990" w:rsidRPr="003851FA">
        <w:rPr>
          <w:color w:val="000000"/>
        </w:rPr>
        <w:t xml:space="preserve">certainly </w:t>
      </w:r>
      <w:r w:rsidR="004077F6" w:rsidRPr="003851FA">
        <w:rPr>
          <w:color w:val="000000"/>
        </w:rPr>
        <w:t xml:space="preserve">provides the most comprehensively researched account of her 1965–1975 work—argues that in the </w:t>
      </w:r>
      <w:r w:rsidR="004077F6" w:rsidRPr="003851FA">
        <w:rPr>
          <w:i/>
          <w:color w:val="000000"/>
        </w:rPr>
        <w:t xml:space="preserve">Hypothesis </w:t>
      </w:r>
      <w:r w:rsidR="004077F6" w:rsidRPr="003851FA">
        <w:rPr>
          <w:color w:val="000000"/>
        </w:rPr>
        <w:t>series, Piper casts herself as a neutral observer of her own experience; thereby</w:t>
      </w:r>
      <w:r w:rsidR="00E359DE" w:rsidRPr="003851FA">
        <w:rPr>
          <w:color w:val="000000"/>
        </w:rPr>
        <w:t>,</w:t>
      </w:r>
      <w:r w:rsidR="004077F6" w:rsidRPr="003851FA">
        <w:rPr>
          <w:color w:val="000000"/>
        </w:rPr>
        <w:t xml:space="preserve"> </w:t>
      </w:r>
      <w:r w:rsidR="00E359DE" w:rsidRPr="003851FA">
        <w:rPr>
          <w:color w:val="000000"/>
        </w:rPr>
        <w:t xml:space="preserve">Piper </w:t>
      </w:r>
      <w:r w:rsidR="004077F6" w:rsidRPr="003851FA">
        <w:rPr>
          <w:color w:val="000000"/>
        </w:rPr>
        <w:t>‘repudiates Kant’s assumption that blacks and women are unable to comprehend their perceptions by presenting her subjectivity as a problem for Modernism.’</w:t>
      </w:r>
      <w:r w:rsidR="004077F6" w:rsidRPr="003851FA">
        <w:rPr>
          <w:rStyle w:val="EndnoteReference"/>
          <w:color w:val="000000"/>
        </w:rPr>
        <w:endnoteReference w:id="31"/>
      </w:r>
      <w:r w:rsidR="004077F6" w:rsidRPr="003851FA">
        <w:rPr>
          <w:color w:val="000000"/>
        </w:rPr>
        <w:t xml:space="preserve"> </w:t>
      </w:r>
      <w:r w:rsidR="004077F6" w:rsidRPr="003851FA">
        <w:rPr>
          <w:i/>
          <w:color w:val="000000"/>
        </w:rPr>
        <w:t xml:space="preserve">Food for the Spirit </w:t>
      </w:r>
      <w:r w:rsidR="004077F6" w:rsidRPr="003851FA">
        <w:rPr>
          <w:color w:val="000000"/>
        </w:rPr>
        <w:t xml:space="preserve">has been similarly analysed as a repudiation of racism, for example by Amelia Jones: </w:t>
      </w:r>
      <w:r w:rsidR="004077F6" w:rsidRPr="003851FA">
        <w:t xml:space="preserve">‘For a </w:t>
      </w:r>
      <w:r w:rsidR="004077F6" w:rsidRPr="003851FA">
        <w:rPr>
          <w:i/>
        </w:rPr>
        <w:t xml:space="preserve">black </w:t>
      </w:r>
      <w:r w:rsidR="004077F6" w:rsidRPr="003851FA">
        <w:t>woman (who is also a philosopher by profession) to pose naked in the act of incorporating Kantian theory as well as in the act of taking a picture is a multivalently radical act.’</w:t>
      </w:r>
      <w:r w:rsidR="004077F6" w:rsidRPr="003851FA">
        <w:rPr>
          <w:rStyle w:val="EndnoteReference"/>
          <w:color w:val="000000"/>
        </w:rPr>
        <w:endnoteReference w:id="32"/>
      </w:r>
      <w:r w:rsidR="004077F6" w:rsidRPr="003851FA">
        <w:t xml:space="preserve"> Bowles, </w:t>
      </w:r>
      <w:r w:rsidR="00FC675B" w:rsidRPr="003851FA">
        <w:t xml:space="preserve">partially concurring, </w:t>
      </w:r>
      <w:r w:rsidR="00E359DE" w:rsidRPr="003851FA">
        <w:t xml:space="preserve">considers </w:t>
      </w:r>
      <w:r w:rsidR="00E359DE" w:rsidRPr="003851FA">
        <w:rPr>
          <w:i/>
        </w:rPr>
        <w:t xml:space="preserve">Food for the Spirit </w:t>
      </w:r>
      <w:r w:rsidR="00E359DE" w:rsidRPr="003851FA">
        <w:t xml:space="preserve">an attempt to pitch Piper’s particular experience </w:t>
      </w:r>
      <w:r w:rsidR="008841FF" w:rsidRPr="003851FA">
        <w:t xml:space="preserve">as a black woman against </w:t>
      </w:r>
      <w:r w:rsidR="00E359DE" w:rsidRPr="003851FA">
        <w:t>Kant’s totalizing</w:t>
      </w:r>
      <w:r w:rsidR="008841FF" w:rsidRPr="003851FA">
        <w:t xml:space="preserve">, universalizing framework; </w:t>
      </w:r>
      <w:r w:rsidR="00FC675B" w:rsidRPr="003851FA">
        <w:t>Piper repudiated</w:t>
      </w:r>
      <w:r w:rsidR="008841FF" w:rsidRPr="003851FA">
        <w:t xml:space="preserve"> </w:t>
      </w:r>
      <w:r w:rsidR="004077F6" w:rsidRPr="003851FA">
        <w:t>‘cultural norms’ of 1971 which ‘silenced any black woman who made a claim to universality.’</w:t>
      </w:r>
      <w:r w:rsidR="004077F6" w:rsidRPr="003851FA">
        <w:rPr>
          <w:rStyle w:val="EndnoteReference"/>
          <w:color w:val="000000"/>
        </w:rPr>
        <w:endnoteReference w:id="33"/>
      </w:r>
      <w:r w:rsidR="004077F6" w:rsidRPr="003851FA">
        <w:t xml:space="preserve"> David Marriott</w:t>
      </w:r>
      <w:r w:rsidR="008841FF" w:rsidRPr="003851FA">
        <w:t xml:space="preserve"> </w:t>
      </w:r>
      <w:r w:rsidR="00A47101" w:rsidRPr="003851FA">
        <w:t>points</w:t>
      </w:r>
      <w:r w:rsidR="00FC675B" w:rsidRPr="003851FA">
        <w:t xml:space="preserve"> </w:t>
      </w:r>
      <w:r w:rsidR="00A47101" w:rsidRPr="003851FA">
        <w:t xml:space="preserve">to the vanishing, ghostly quality of the images </w:t>
      </w:r>
      <w:r w:rsidR="00FC675B" w:rsidRPr="003851FA">
        <w:t>and argues, instead,</w:t>
      </w:r>
      <w:r w:rsidR="00A47101" w:rsidRPr="003851FA">
        <w:t xml:space="preserve"> that </w:t>
      </w:r>
      <w:r w:rsidR="008841FF" w:rsidRPr="003851FA">
        <w:t xml:space="preserve">the problem Piper explored is not particularity </w:t>
      </w:r>
      <w:r w:rsidR="008841FF" w:rsidRPr="003851FA">
        <w:rPr>
          <w:i/>
        </w:rPr>
        <w:t xml:space="preserve">versus </w:t>
      </w:r>
      <w:r w:rsidR="008841FF" w:rsidRPr="003851FA">
        <w:t xml:space="preserve">universality, but rather that </w:t>
      </w:r>
      <w:r w:rsidR="00A47101" w:rsidRPr="003851FA">
        <w:t>‘blackness has no material or phenomenal meaning outside of its relation to racist representation; it is only a stock of signs through which the subject cannot digest itself (as a presence or signifier) without slipping away from itself in a glissando of aberrant remainders</w:t>
      </w:r>
      <w:r w:rsidR="008841FF" w:rsidRPr="003851FA">
        <w:t>.’</w:t>
      </w:r>
      <w:r w:rsidR="008841FF" w:rsidRPr="003851FA">
        <w:rPr>
          <w:rStyle w:val="EndnoteReference"/>
        </w:rPr>
        <w:endnoteReference w:id="34"/>
      </w:r>
      <w:r w:rsidR="008841FF" w:rsidRPr="003851FA">
        <w:t xml:space="preserve"> </w:t>
      </w:r>
      <w:r w:rsidR="00FC675B" w:rsidRPr="003851FA">
        <w:t>Finally, t</w:t>
      </w:r>
      <w:r w:rsidR="008841FF" w:rsidRPr="003851FA">
        <w:t xml:space="preserve">he </w:t>
      </w:r>
      <w:r w:rsidR="008841FF" w:rsidRPr="003851FA">
        <w:rPr>
          <w:i/>
        </w:rPr>
        <w:t xml:space="preserve">Catalysis </w:t>
      </w:r>
      <w:r w:rsidR="008841FF" w:rsidRPr="003851FA">
        <w:t>series is the most often discussed of the early performances,</w:t>
      </w:r>
      <w:r w:rsidR="00FC675B" w:rsidRPr="003851FA">
        <w:t xml:space="preserve"> and is usually </w:t>
      </w:r>
      <w:r w:rsidR="009C2715" w:rsidRPr="003851FA">
        <w:t>presented</w:t>
      </w:r>
      <w:r w:rsidR="00FC675B" w:rsidRPr="003851FA">
        <w:t xml:space="preserve"> as an anti-racist and feminist </w:t>
      </w:r>
      <w:r w:rsidR="00FC675B" w:rsidRPr="003851FA">
        <w:lastRenderedPageBreak/>
        <w:t>piece</w:t>
      </w:r>
      <w:r w:rsidR="008841FF" w:rsidRPr="003851FA">
        <w:t xml:space="preserve">. </w:t>
      </w:r>
      <w:r w:rsidR="009C4383" w:rsidRPr="003851FA">
        <w:t xml:space="preserve"> Christine Ross</w:t>
      </w:r>
      <w:r w:rsidR="00A625A4" w:rsidRPr="003851FA">
        <w:t xml:space="preserve">’ comment captures the consensus when she </w:t>
      </w:r>
      <w:r w:rsidR="009C4383" w:rsidRPr="003851FA">
        <w:t>writes that Piper ‘dressed and behaved in ways that confused categories of gender and race, in order to confront people with cognitively dissonant situations and thus potentially “catalyze” white viewers out of their limited perceptions.’</w:t>
      </w:r>
      <w:r w:rsidR="008841FF" w:rsidRPr="003851FA">
        <w:rPr>
          <w:rStyle w:val="EndnoteReference"/>
          <w:color w:val="000000"/>
        </w:rPr>
        <w:endnoteReference w:id="35"/>
      </w:r>
    </w:p>
    <w:p w14:paraId="361EFC27" w14:textId="197BAD44" w:rsidR="00280A89" w:rsidRPr="003851FA" w:rsidRDefault="00347527" w:rsidP="00722900">
      <w:pPr>
        <w:pStyle w:val="BodyText1"/>
      </w:pPr>
      <w:r w:rsidRPr="003851FA">
        <w:tab/>
        <w:t xml:space="preserve">I now wish to reflect on </w:t>
      </w:r>
      <w:r w:rsidR="00E23619" w:rsidRPr="003851FA">
        <w:t xml:space="preserve">a certain </w:t>
      </w:r>
      <w:r w:rsidRPr="003851FA">
        <w:t>friction between these ‘</w:t>
      </w:r>
      <w:r w:rsidR="000B2FA6" w:rsidRPr="003851FA">
        <w:t>political</w:t>
      </w:r>
      <w:r w:rsidRPr="003851FA">
        <w:t>’ readings and Piper’s contemporaneous notes, which</w:t>
      </w:r>
      <w:r w:rsidR="000B2FA6" w:rsidRPr="003851FA">
        <w:t>, as documented above,</w:t>
      </w:r>
      <w:r w:rsidRPr="003851FA">
        <w:t xml:space="preserve"> analyse the </w:t>
      </w:r>
      <w:r w:rsidR="000B2FA6" w:rsidRPr="003851FA">
        <w:t>performances</w:t>
      </w:r>
      <w:r w:rsidRPr="003851FA">
        <w:t xml:space="preserve"> as Conceptual investigations into the author’s and the viewers’</w:t>
      </w:r>
      <w:r w:rsidR="00E23619" w:rsidRPr="003851FA">
        <w:t xml:space="preserve"> conscious experience. Of course, </w:t>
      </w:r>
      <w:r w:rsidR="0014627F" w:rsidRPr="003851FA">
        <w:t>matters</w:t>
      </w:r>
      <w:r w:rsidR="00E23619" w:rsidRPr="003851FA">
        <w:t xml:space="preserve"> are never as simple as the author’s ‘original’ intention </w:t>
      </w:r>
      <w:r w:rsidR="00E23619" w:rsidRPr="003851FA">
        <w:rPr>
          <w:i/>
        </w:rPr>
        <w:t xml:space="preserve">versus </w:t>
      </w:r>
      <w:r w:rsidR="00E23619" w:rsidRPr="003851FA">
        <w:t xml:space="preserve">the historian’s belated interpretation. </w:t>
      </w:r>
      <w:r w:rsidR="00250D4E" w:rsidRPr="003851FA">
        <w:t xml:space="preserve">Piper would have been aware of the response that her semi-public performances </w:t>
      </w:r>
      <w:r w:rsidR="000B2FA6" w:rsidRPr="003851FA">
        <w:t xml:space="preserve">occasioned in the </w:t>
      </w:r>
      <w:r w:rsidR="009C2715" w:rsidRPr="003851FA">
        <w:t xml:space="preserve">contemporaneous </w:t>
      </w:r>
      <w:r w:rsidR="000B2FA6" w:rsidRPr="003851FA">
        <w:t>artworld audience</w:t>
      </w:r>
      <w:r w:rsidR="009C2715" w:rsidRPr="003851FA">
        <w:t xml:space="preserve"> too</w:t>
      </w:r>
      <w:r w:rsidR="000833A3" w:rsidRPr="003851FA">
        <w:t xml:space="preserve">. </w:t>
      </w:r>
      <w:r w:rsidR="000B2FA6" w:rsidRPr="003851FA">
        <w:t xml:space="preserve">Between 1971 and 1972, </w:t>
      </w:r>
      <w:r w:rsidR="000833A3" w:rsidRPr="003851FA">
        <w:t xml:space="preserve">Rosemary Mayer, John Perreault and Lucy Lippard all considered </w:t>
      </w:r>
      <w:r w:rsidR="000833A3" w:rsidRPr="003851FA">
        <w:rPr>
          <w:i/>
        </w:rPr>
        <w:t xml:space="preserve">Catalysis </w:t>
      </w:r>
      <w:r w:rsidR="000833A3" w:rsidRPr="003851FA">
        <w:t>as a feminist piece,</w:t>
      </w:r>
      <w:r w:rsidR="000833A3" w:rsidRPr="003851FA">
        <w:rPr>
          <w:rStyle w:val="EndnoteReference"/>
        </w:rPr>
        <w:endnoteReference w:id="36"/>
      </w:r>
      <w:r w:rsidR="000833A3" w:rsidRPr="003851FA">
        <w:t xml:space="preserve"> an interpretation that Piper occasionally resisted. </w:t>
      </w:r>
      <w:r w:rsidR="000B2FA6" w:rsidRPr="003851FA">
        <w:t>For example, when</w:t>
      </w:r>
      <w:r w:rsidR="00CF7588" w:rsidRPr="003851FA">
        <w:t xml:space="preserve"> Lippard suggest</w:t>
      </w:r>
      <w:r w:rsidR="000B2FA6" w:rsidRPr="003851FA">
        <w:t>ed</w:t>
      </w:r>
      <w:r w:rsidR="00CF7588" w:rsidRPr="003851FA">
        <w:t xml:space="preserve"> that Piper might have been getting out some of her ‘aggressions about how women are treated’, and that she turned herself into an object that was ‘repellent, as if you were fighting back, Piper replies: ‘[i]n retrospect, all these things seem valid, even though they weren’t considerations when I did the pieces.’ With regards to her intention, she felt the work was ‘completely apolitical’.</w:t>
      </w:r>
      <w:r w:rsidR="00CF7588" w:rsidRPr="003851FA">
        <w:rPr>
          <w:rStyle w:val="EndnoteReference"/>
        </w:rPr>
        <w:endnoteReference w:id="37"/>
      </w:r>
      <w:r w:rsidR="000E21C1" w:rsidRPr="003851FA">
        <w:t xml:space="preserve"> Indeed</w:t>
      </w:r>
      <w:r w:rsidR="009D2F1F" w:rsidRPr="003851FA">
        <w:t xml:space="preserve">, in her 1970-1971 notes on </w:t>
      </w:r>
      <w:r w:rsidR="009D2F1F" w:rsidRPr="003851FA">
        <w:rPr>
          <w:i/>
        </w:rPr>
        <w:t xml:space="preserve">Catalysis, </w:t>
      </w:r>
      <w:r w:rsidR="009D2F1F" w:rsidRPr="003851FA">
        <w:t xml:space="preserve">Piper </w:t>
      </w:r>
      <w:r w:rsidR="009C2715" w:rsidRPr="003851FA">
        <w:t>drew</w:t>
      </w:r>
      <w:r w:rsidR="000E21C1" w:rsidRPr="003851FA">
        <w:t xml:space="preserve"> a </w:t>
      </w:r>
      <w:r w:rsidR="00280A89" w:rsidRPr="003851FA">
        <w:t>division</w:t>
      </w:r>
      <w:r w:rsidR="000E21C1" w:rsidRPr="003851FA">
        <w:t xml:space="preserve"> between artistic and political activity: ‘[a]n artist can’t effect political change by making political art intentionally, but by […] striking exhibition</w:t>
      </w:r>
      <w:r w:rsidR="00280A89" w:rsidRPr="003851FA">
        <w:t>s</w:t>
      </w:r>
      <w:r w:rsidR="000E21C1" w:rsidRPr="003851FA">
        <w:t>, picketing galleries and museums, and so on;’</w:t>
      </w:r>
      <w:r w:rsidR="000E21C1" w:rsidRPr="003851FA">
        <w:rPr>
          <w:rStyle w:val="EndnoteReference"/>
        </w:rPr>
        <w:endnoteReference w:id="38"/>
      </w:r>
      <w:r w:rsidR="009C2715" w:rsidRPr="003851FA">
        <w:t xml:space="preserve"> she also reflected</w:t>
      </w:r>
      <w:r w:rsidR="000E21C1" w:rsidRPr="003851FA">
        <w:t xml:space="preserve"> </w:t>
      </w:r>
      <w:r w:rsidR="009D2F1F" w:rsidRPr="003851FA">
        <w:t xml:space="preserve">on the need to </w:t>
      </w:r>
      <w:r w:rsidR="000E21C1" w:rsidRPr="003851FA">
        <w:t xml:space="preserve">take her works into the street precisely because the autonomous gallery context </w:t>
      </w:r>
      <w:r w:rsidR="009C2715" w:rsidRPr="003851FA">
        <w:t>was</w:t>
      </w:r>
      <w:r w:rsidR="000E21C1" w:rsidRPr="003851FA">
        <w:t xml:space="preserve"> disintegrating.</w:t>
      </w:r>
      <w:r w:rsidR="000E21C1" w:rsidRPr="003851FA">
        <w:rPr>
          <w:rStyle w:val="EndnoteReference"/>
        </w:rPr>
        <w:endnoteReference w:id="39"/>
      </w:r>
      <w:r w:rsidR="00722900" w:rsidRPr="003851FA">
        <w:t xml:space="preserve"> </w:t>
      </w:r>
      <w:r w:rsidR="00280A89" w:rsidRPr="003851FA">
        <w:t>The</w:t>
      </w:r>
      <w:r w:rsidR="000B2FA6" w:rsidRPr="003851FA">
        <w:t xml:space="preserve"> original 1968 </w:t>
      </w:r>
      <w:r w:rsidR="000B2FA6" w:rsidRPr="003851FA">
        <w:rPr>
          <w:i/>
        </w:rPr>
        <w:t xml:space="preserve">Hypothesis </w:t>
      </w:r>
      <w:r w:rsidR="000B2FA6" w:rsidRPr="003851FA">
        <w:t xml:space="preserve">essay and the 1981 </w:t>
      </w:r>
      <w:r w:rsidR="000B2FA6" w:rsidRPr="003851FA">
        <w:rPr>
          <w:i/>
        </w:rPr>
        <w:t xml:space="preserve">Food for the Spirit </w:t>
      </w:r>
      <w:r w:rsidR="000B2FA6" w:rsidRPr="003851FA">
        <w:t>notes do not include any discussion of Piper’s racial or gender identity or any other political commentary.</w:t>
      </w:r>
      <w:r w:rsidR="000B2FA6" w:rsidRPr="003851FA">
        <w:rPr>
          <w:rStyle w:val="EndnoteReference"/>
        </w:rPr>
        <w:endnoteReference w:id="40"/>
      </w:r>
      <w:r w:rsidR="000B2FA6" w:rsidRPr="003851FA">
        <w:t xml:space="preserve"> </w:t>
      </w:r>
      <w:r w:rsidR="00802F61" w:rsidRPr="003851FA">
        <w:t>Retrospectively,</w:t>
      </w:r>
      <w:r w:rsidR="000B2FA6" w:rsidRPr="003851FA">
        <w:t xml:space="preserve"> </w:t>
      </w:r>
      <w:r w:rsidR="008E0808" w:rsidRPr="003851FA">
        <w:t xml:space="preserve">however, Piper </w:t>
      </w:r>
      <w:r w:rsidR="00EE41AC" w:rsidRPr="003851FA">
        <w:t xml:space="preserve">has </w:t>
      </w:r>
      <w:r w:rsidR="008E0808" w:rsidRPr="003851FA">
        <w:t>suggest</w:t>
      </w:r>
      <w:r w:rsidR="00EE41AC" w:rsidRPr="003851FA">
        <w:t>ed</w:t>
      </w:r>
      <w:r w:rsidR="008E0808" w:rsidRPr="003851FA">
        <w:t xml:space="preserve"> </w:t>
      </w:r>
      <w:r w:rsidR="00EE41AC" w:rsidRPr="003851FA">
        <w:t xml:space="preserve">that </w:t>
      </w:r>
      <w:r w:rsidR="008E0808" w:rsidRPr="003851FA">
        <w:t xml:space="preserve">a political reading for these works </w:t>
      </w:r>
      <w:r w:rsidR="00DD6D88" w:rsidRPr="003851FA">
        <w:t>can become</w:t>
      </w:r>
      <w:r w:rsidR="008E0808" w:rsidRPr="003851FA">
        <w:t xml:space="preserve"> available. In the preface to the </w:t>
      </w:r>
      <w:r w:rsidR="008E0808" w:rsidRPr="003851FA">
        <w:rPr>
          <w:i/>
        </w:rPr>
        <w:t xml:space="preserve">Catalysis </w:t>
      </w:r>
      <w:r w:rsidR="008E0808" w:rsidRPr="003851FA">
        <w:t>notes</w:t>
      </w:r>
      <w:r w:rsidR="008E0808" w:rsidRPr="003851FA">
        <w:rPr>
          <w:i/>
        </w:rPr>
        <w:t xml:space="preserve">, </w:t>
      </w:r>
      <w:r w:rsidR="008E0808" w:rsidRPr="003851FA">
        <w:t xml:space="preserve">published in 1974, she describes the work as a reflection </w:t>
      </w:r>
      <w:r w:rsidR="008E0808" w:rsidRPr="003851FA">
        <w:lastRenderedPageBreak/>
        <w:t>of the political situation of the early 1970s;</w:t>
      </w:r>
      <w:r w:rsidR="008E0808" w:rsidRPr="003851FA">
        <w:rPr>
          <w:rStyle w:val="EndnoteReference"/>
        </w:rPr>
        <w:endnoteReference w:id="41"/>
      </w:r>
      <w:r w:rsidR="008E0808" w:rsidRPr="003851FA">
        <w:t xml:space="preserve"> in a 1992 text she describes </w:t>
      </w:r>
      <w:r w:rsidR="008E0808" w:rsidRPr="003851FA">
        <w:rPr>
          <w:i/>
        </w:rPr>
        <w:t xml:space="preserve">Hypothesis </w:t>
      </w:r>
      <w:r w:rsidR="008E0808" w:rsidRPr="003851FA">
        <w:t xml:space="preserve">as </w:t>
      </w:r>
      <w:r w:rsidR="00722900" w:rsidRPr="003851FA">
        <w:t>‘the crucial link between the earlier conceptual work and the later, more political work’.</w:t>
      </w:r>
      <w:r w:rsidR="00722900" w:rsidRPr="003851FA">
        <w:rPr>
          <w:rStyle w:val="EndnoteReference"/>
        </w:rPr>
        <w:endnoteReference w:id="42"/>
      </w:r>
      <w:r w:rsidR="00802F61" w:rsidRPr="003851FA">
        <w:t xml:space="preserve"> </w:t>
      </w:r>
      <w:r w:rsidR="009C2715" w:rsidRPr="003851FA">
        <w:t>I</w:t>
      </w:r>
      <w:r w:rsidR="00280A89" w:rsidRPr="003851FA">
        <w:t>mportantly, though</w:t>
      </w:r>
      <w:r w:rsidR="008E0808" w:rsidRPr="003851FA">
        <w:t xml:space="preserve">, </w:t>
      </w:r>
      <w:r w:rsidR="006C0AB1" w:rsidRPr="003851FA">
        <w:t>Piper</w:t>
      </w:r>
      <w:r w:rsidR="00802F61" w:rsidRPr="003851FA">
        <w:t xml:space="preserve"> </w:t>
      </w:r>
      <w:r w:rsidR="008E0808" w:rsidRPr="003851FA">
        <w:t xml:space="preserve">suggests the link consisted in </w:t>
      </w:r>
      <w:r w:rsidR="009C2715" w:rsidRPr="003851FA">
        <w:t xml:space="preserve">what I would call her methodology: the </w:t>
      </w:r>
      <w:r w:rsidR="008E0808" w:rsidRPr="003851FA">
        <w:t xml:space="preserve">attention paid to </w:t>
      </w:r>
      <w:r w:rsidR="009C2715" w:rsidRPr="003851FA">
        <w:t xml:space="preserve">the </w:t>
      </w:r>
      <w:r w:rsidR="008E0808" w:rsidRPr="003851FA">
        <w:t>problem of c</w:t>
      </w:r>
      <w:r w:rsidR="00B84B57" w:rsidRPr="003851FA">
        <w:t>on</w:t>
      </w:r>
      <w:r w:rsidR="009C2715" w:rsidRPr="003851FA">
        <w:t>sciousness.</w:t>
      </w:r>
      <w:r w:rsidR="00B84B57" w:rsidRPr="003851FA">
        <w:t xml:space="preserve"> </w:t>
      </w:r>
      <w:r w:rsidR="009C2715" w:rsidRPr="003851FA">
        <w:t>S</w:t>
      </w:r>
      <w:r w:rsidR="008E0808" w:rsidRPr="003851FA">
        <w:t xml:space="preserve">he </w:t>
      </w:r>
      <w:r w:rsidR="00802F61" w:rsidRPr="003851FA">
        <w:t>does not suggest</w:t>
      </w:r>
      <w:r w:rsidR="008E0808" w:rsidRPr="003851FA">
        <w:t xml:space="preserve"> </w:t>
      </w:r>
      <w:r w:rsidR="00802F61" w:rsidRPr="003851FA">
        <w:t xml:space="preserve">that the link consisted in her intending to raise the </w:t>
      </w:r>
      <w:r w:rsidR="00802F61" w:rsidRPr="003851FA">
        <w:rPr>
          <w:i/>
        </w:rPr>
        <w:t xml:space="preserve">subject </w:t>
      </w:r>
      <w:r w:rsidR="0095088E" w:rsidRPr="003851FA">
        <w:rPr>
          <w:i/>
        </w:rPr>
        <w:t>matter</w:t>
      </w:r>
      <w:r w:rsidR="0095088E" w:rsidRPr="003851FA">
        <w:t xml:space="preserve"> </w:t>
      </w:r>
      <w:r w:rsidR="00802F61" w:rsidRPr="003851FA">
        <w:t>of race or gender.</w:t>
      </w:r>
      <w:r w:rsidR="00280A89" w:rsidRPr="003851FA">
        <w:rPr>
          <w:rStyle w:val="EndnoteReference"/>
        </w:rPr>
        <w:endnoteReference w:id="43"/>
      </w:r>
    </w:p>
    <w:p w14:paraId="00CF486E" w14:textId="3EB93639" w:rsidR="004C27F3" w:rsidRPr="003851FA" w:rsidRDefault="007D40BE" w:rsidP="008E0808">
      <w:pPr>
        <w:pStyle w:val="BodyText1"/>
      </w:pPr>
      <w:r w:rsidRPr="003851FA">
        <w:tab/>
      </w:r>
      <w:r w:rsidR="008E5144" w:rsidRPr="003851FA">
        <w:t xml:space="preserve">We then have here a four-way tension, four different </w:t>
      </w:r>
      <w:r w:rsidR="00B84B57" w:rsidRPr="003851FA">
        <w:t>‘</w:t>
      </w:r>
      <w:r w:rsidR="008E5144" w:rsidRPr="003851FA">
        <w:t>view</w:t>
      </w:r>
      <w:r w:rsidR="00B84B57" w:rsidRPr="003851FA">
        <w:t>er</w:t>
      </w:r>
      <w:r w:rsidR="008E5144" w:rsidRPr="003851FA">
        <w:t>s</w:t>
      </w:r>
      <w:r w:rsidR="00B84B57" w:rsidRPr="003851FA">
        <w:t>’</w:t>
      </w:r>
      <w:r w:rsidR="008E5144" w:rsidRPr="003851FA">
        <w:t xml:space="preserve"> of Piper’s </w:t>
      </w:r>
      <w:r w:rsidR="00B84B57" w:rsidRPr="003851FA">
        <w:t xml:space="preserve">1968-71 </w:t>
      </w:r>
      <w:r w:rsidR="008E5144" w:rsidRPr="003851FA">
        <w:t>performances: represented by</w:t>
      </w:r>
      <w:r w:rsidR="008A79AE" w:rsidRPr="003851FA">
        <w:t xml:space="preserve"> Piper’s </w:t>
      </w:r>
      <w:r w:rsidR="008E5144" w:rsidRPr="003851FA">
        <w:t xml:space="preserve">own </w:t>
      </w:r>
      <w:r w:rsidR="008A79AE" w:rsidRPr="003851FA">
        <w:t xml:space="preserve">original notes, contemporaneous </w:t>
      </w:r>
      <w:r w:rsidR="00B84B57" w:rsidRPr="003851FA">
        <w:t>commentators</w:t>
      </w:r>
      <w:r w:rsidR="008A79AE" w:rsidRPr="003851FA">
        <w:t>, art historical reception and Piper’s retrospective</w:t>
      </w:r>
      <w:r w:rsidR="008E0808" w:rsidRPr="003851FA">
        <w:t xml:space="preserve"> analysis</w:t>
      </w:r>
      <w:r w:rsidR="00401A85" w:rsidRPr="003851FA">
        <w:t>.</w:t>
      </w:r>
      <w:r w:rsidR="008A79AE" w:rsidRPr="003851FA">
        <w:t xml:space="preserve"> </w:t>
      </w:r>
      <w:r w:rsidR="008E0808" w:rsidRPr="003851FA">
        <w:t xml:space="preserve">My aim </w:t>
      </w:r>
      <w:r w:rsidR="008E5144" w:rsidRPr="003851FA">
        <w:t xml:space="preserve">here </w:t>
      </w:r>
      <w:r w:rsidR="008E0808" w:rsidRPr="003851FA">
        <w:t>is not so much to tip the interpretative balance one way or ano</w:t>
      </w:r>
      <w:r w:rsidR="008E5144" w:rsidRPr="003851FA">
        <w:t>ther, but rather to inscribe this</w:t>
      </w:r>
      <w:r w:rsidR="008E0808" w:rsidRPr="003851FA">
        <w:t xml:space="preserve"> </w:t>
      </w:r>
      <w:r w:rsidR="00401A85" w:rsidRPr="003851FA">
        <w:t xml:space="preserve">tension within a broader historiographical moment, the moment </w:t>
      </w:r>
      <w:r w:rsidR="008E5144" w:rsidRPr="003851FA">
        <w:t xml:space="preserve">that arises </w:t>
      </w:r>
      <w:r w:rsidR="00B84B57" w:rsidRPr="003851FA">
        <w:t>by</w:t>
      </w:r>
      <w:r w:rsidR="008E5144" w:rsidRPr="003851FA">
        <w:t xml:space="preserve"> around 1970 and at</w:t>
      </w:r>
      <w:r w:rsidR="00401A85" w:rsidRPr="003851FA">
        <w:t xml:space="preserve"> which a broadly-speaking </w:t>
      </w:r>
      <w:r w:rsidR="009C2715" w:rsidRPr="003851FA">
        <w:t xml:space="preserve">apolitical, </w:t>
      </w:r>
      <w:r w:rsidR="00401A85" w:rsidRPr="003851FA">
        <w:t xml:space="preserve">modernist artistic production in the United States of the late 1960s clashed against </w:t>
      </w:r>
      <w:r w:rsidR="008E5144" w:rsidRPr="003851FA">
        <w:t>an</w:t>
      </w:r>
      <w:r w:rsidR="00401A85" w:rsidRPr="003851FA">
        <w:t xml:space="preserve"> </w:t>
      </w:r>
      <w:r w:rsidR="008E5144" w:rsidRPr="003851FA">
        <w:t>increasingly urgent need for a political reception of art.</w:t>
      </w:r>
    </w:p>
    <w:p w14:paraId="2B60B715" w14:textId="67D21EB8" w:rsidR="0013158F" w:rsidRPr="003851FA" w:rsidRDefault="004C27F3" w:rsidP="008E0808">
      <w:pPr>
        <w:pStyle w:val="BodyText1"/>
      </w:pPr>
      <w:r w:rsidRPr="003851FA">
        <w:tab/>
      </w:r>
      <w:r w:rsidR="00B84B57" w:rsidRPr="003851FA">
        <w:t xml:space="preserve">This need </w:t>
      </w:r>
      <w:r w:rsidR="008E0808" w:rsidRPr="003851FA">
        <w:t xml:space="preserve">to </w:t>
      </w:r>
      <w:r w:rsidR="00401A85" w:rsidRPr="003851FA">
        <w:t xml:space="preserve">describe Conceptual art as politically effective began </w:t>
      </w:r>
      <w:r w:rsidR="008E5144" w:rsidRPr="003851FA">
        <w:t xml:space="preserve">at least </w:t>
      </w:r>
      <w:r w:rsidR="00401A85" w:rsidRPr="003851FA">
        <w:t xml:space="preserve">by the time of </w:t>
      </w:r>
      <w:r w:rsidR="00401A85" w:rsidRPr="003851FA">
        <w:rPr>
          <w:i/>
        </w:rPr>
        <w:t xml:space="preserve">Information </w:t>
      </w:r>
      <w:r w:rsidR="00401A85" w:rsidRPr="003851FA">
        <w:t xml:space="preserve">in 1970. </w:t>
      </w:r>
      <w:r w:rsidR="00114738" w:rsidRPr="003851FA">
        <w:t>The curator Kynaston McShine included the seminal Art Workers</w:t>
      </w:r>
      <w:r w:rsidR="009C2715" w:rsidRPr="003851FA">
        <w:t>’</w:t>
      </w:r>
      <w:r w:rsidR="00114738" w:rsidRPr="003851FA">
        <w:t xml:space="preserve"> Coalition anti-war poster, </w:t>
      </w:r>
      <w:r w:rsidR="00114738" w:rsidRPr="003851FA">
        <w:rPr>
          <w:i/>
        </w:rPr>
        <w:t xml:space="preserve">And babies? </w:t>
      </w:r>
      <w:r w:rsidR="00114738" w:rsidRPr="003851FA">
        <w:t>(1969)</w:t>
      </w:r>
      <w:r w:rsidR="00114738" w:rsidRPr="003851FA">
        <w:rPr>
          <w:i/>
        </w:rPr>
        <w:t xml:space="preserve">, </w:t>
      </w:r>
      <w:r w:rsidR="00114738" w:rsidRPr="003851FA">
        <w:t>into the exhibition, and connected the art on display to anti-war protests in a strongly worded essay</w:t>
      </w:r>
      <w:r w:rsidR="00B84B57" w:rsidRPr="003851FA">
        <w:t xml:space="preserve">. </w:t>
      </w:r>
      <w:r w:rsidR="005B1350" w:rsidRPr="003851FA">
        <w:t>Interestingly</w:t>
      </w:r>
      <w:r w:rsidR="00B84B57" w:rsidRPr="003851FA">
        <w:t>, the art on display</w:t>
      </w:r>
      <w:r w:rsidR="0045293A" w:rsidRPr="003851FA">
        <w:t xml:space="preserve"> did not obviously conform to this expectation</w:t>
      </w:r>
      <w:r w:rsidR="00B84B57" w:rsidRPr="003851FA">
        <w:t>; of</w:t>
      </w:r>
      <w:r w:rsidR="00114738" w:rsidRPr="003851FA">
        <w:t xml:space="preserve"> the New York-based artists exhibiting, only </w:t>
      </w:r>
      <w:r w:rsidR="00401A85" w:rsidRPr="003851FA">
        <w:t xml:space="preserve">Hans Haacke submitted a work that made </w:t>
      </w:r>
      <w:r w:rsidR="00401A85" w:rsidRPr="003851FA">
        <w:rPr>
          <w:i/>
        </w:rPr>
        <w:t>explicit</w:t>
      </w:r>
      <w:r w:rsidR="00401A85" w:rsidRPr="003851FA">
        <w:t xml:space="preserve"> reference to the politics of the day.</w:t>
      </w:r>
      <w:r w:rsidR="00DD6D88" w:rsidRPr="003851FA">
        <w:t xml:space="preserve"> </w:t>
      </w:r>
      <w:r w:rsidR="0045293A" w:rsidRPr="003851FA">
        <w:t>Still</w:t>
      </w:r>
      <w:r w:rsidR="00114738" w:rsidRPr="003851FA">
        <w:t xml:space="preserve">, </w:t>
      </w:r>
      <w:r w:rsidR="0015688E" w:rsidRPr="003851FA">
        <w:t xml:space="preserve">for several of the critical audiences, reading </w:t>
      </w:r>
      <w:r w:rsidR="00401A85" w:rsidRPr="003851FA">
        <w:rPr>
          <w:i/>
        </w:rPr>
        <w:t xml:space="preserve">Information </w:t>
      </w:r>
      <w:r w:rsidR="00401A85" w:rsidRPr="003851FA">
        <w:t xml:space="preserve">as a political event </w:t>
      </w:r>
      <w:r w:rsidR="0015688E" w:rsidRPr="003851FA">
        <w:t>by that time</w:t>
      </w:r>
      <w:r w:rsidR="00401A85" w:rsidRPr="003851FA">
        <w:t xml:space="preserve"> </w:t>
      </w:r>
      <w:r w:rsidR="0045293A" w:rsidRPr="003851FA">
        <w:t xml:space="preserve">became </w:t>
      </w:r>
      <w:r w:rsidR="00401A85" w:rsidRPr="003851FA">
        <w:t xml:space="preserve">a matter of </w:t>
      </w:r>
      <w:r w:rsidR="0015688E" w:rsidRPr="003851FA">
        <w:t>an ethical imperative</w:t>
      </w:r>
      <w:r w:rsidR="005B1350" w:rsidRPr="003851FA">
        <w:t xml:space="preserve"> (as can be seen in the submissions to Piper’s </w:t>
      </w:r>
      <w:r w:rsidR="005B1350" w:rsidRPr="003851FA">
        <w:rPr>
          <w:i/>
        </w:rPr>
        <w:t xml:space="preserve">Context #7 </w:t>
      </w:r>
      <w:r w:rsidR="005B1350" w:rsidRPr="003851FA">
        <w:t>I discussed above)</w:t>
      </w:r>
      <w:r w:rsidR="0015688E" w:rsidRPr="003851FA">
        <w:t xml:space="preserve">; </w:t>
      </w:r>
      <w:r w:rsidR="005B1350" w:rsidRPr="003851FA">
        <w:t xml:space="preserve">indeed, </w:t>
      </w:r>
      <w:r w:rsidR="00114738" w:rsidRPr="003851FA">
        <w:t xml:space="preserve">the exhibition was put on at the height of </w:t>
      </w:r>
      <w:r w:rsidR="00B84B57" w:rsidRPr="003851FA">
        <w:t>the anti-establishment and</w:t>
      </w:r>
      <w:r w:rsidR="00114738" w:rsidRPr="003851FA">
        <w:t xml:space="preserve"> anti-war protest</w:t>
      </w:r>
      <w:r w:rsidR="00B84B57" w:rsidRPr="003851FA">
        <w:t>s</w:t>
      </w:r>
      <w:r w:rsidR="005B1350" w:rsidRPr="003851FA">
        <w:t>,</w:t>
      </w:r>
      <w:r w:rsidR="00114738" w:rsidRPr="003851FA">
        <w:t xml:space="preserve"> which swept the New York artworld by the end of the 1960s.</w:t>
      </w:r>
      <w:r w:rsidR="00114738" w:rsidRPr="003851FA">
        <w:rPr>
          <w:rStyle w:val="EndnoteReference"/>
        </w:rPr>
        <w:endnoteReference w:id="44"/>
      </w:r>
      <w:r w:rsidR="00114738" w:rsidRPr="003851FA">
        <w:t xml:space="preserve"> </w:t>
      </w:r>
      <w:r w:rsidR="0015688E" w:rsidRPr="003851FA">
        <w:t>A</w:t>
      </w:r>
      <w:r w:rsidR="00114738" w:rsidRPr="003851FA">
        <w:t xml:space="preserve">rguably, </w:t>
      </w:r>
      <w:r w:rsidR="008E0808" w:rsidRPr="003851FA">
        <w:t xml:space="preserve">this </w:t>
      </w:r>
      <w:r w:rsidR="00114738" w:rsidRPr="003851FA">
        <w:t xml:space="preserve">ethical imperative </w:t>
      </w:r>
      <w:r w:rsidR="008E0808" w:rsidRPr="003851FA">
        <w:t xml:space="preserve">did not abate </w:t>
      </w:r>
      <w:r w:rsidR="00114738" w:rsidRPr="003851FA">
        <w:t xml:space="preserve">for the generations of art historians </w:t>
      </w:r>
      <w:r w:rsidR="00F77238" w:rsidRPr="003851FA">
        <w:t xml:space="preserve">and critics </w:t>
      </w:r>
      <w:r w:rsidR="00114738" w:rsidRPr="003851FA">
        <w:t xml:space="preserve">that </w:t>
      </w:r>
      <w:r w:rsidR="008E0808" w:rsidRPr="003851FA">
        <w:t>followed</w:t>
      </w:r>
      <w:r w:rsidR="00F77238" w:rsidRPr="003851FA">
        <w:t xml:space="preserve">, for scholars </w:t>
      </w:r>
      <w:r w:rsidR="00353E53" w:rsidRPr="003851FA">
        <w:t xml:space="preserve">who first received the </w:t>
      </w:r>
      <w:r w:rsidR="00F77238" w:rsidRPr="003851FA">
        <w:t xml:space="preserve">task </w:t>
      </w:r>
      <w:r w:rsidR="00353E53" w:rsidRPr="003851FA">
        <w:t xml:space="preserve">of </w:t>
      </w:r>
      <w:r w:rsidR="00F77238" w:rsidRPr="003851FA">
        <w:t>‘</w:t>
      </w:r>
      <w:r w:rsidR="00353E53" w:rsidRPr="003851FA">
        <w:t xml:space="preserve">writing </w:t>
      </w:r>
      <w:r w:rsidR="00F77238" w:rsidRPr="003851FA">
        <w:t>up’ Conceptual art and Minimalism</w:t>
      </w:r>
      <w:r w:rsidR="008E0808" w:rsidRPr="003851FA">
        <w:t>.</w:t>
      </w:r>
      <w:r w:rsidR="00114738" w:rsidRPr="003851FA">
        <w:t xml:space="preserve"> </w:t>
      </w:r>
      <w:r w:rsidR="00F32D73" w:rsidRPr="003851FA">
        <w:t>Hal Foster candidly remarks how</w:t>
      </w:r>
      <w:r w:rsidR="00F77238" w:rsidRPr="003851FA">
        <w:t>,</w:t>
      </w:r>
      <w:r w:rsidR="00F32D73" w:rsidRPr="003851FA">
        <w:t xml:space="preserve"> for his generation, critical theory continued </w:t>
      </w:r>
      <w:r w:rsidR="00F32D73" w:rsidRPr="003851FA">
        <w:lastRenderedPageBreak/>
        <w:t>as a surrogate both for the ‘difficulty and distinction’ of modernist high art, but also that ‘radical rhetoric compensated a little for lost activism.’</w:t>
      </w:r>
      <w:r w:rsidR="00F32D73" w:rsidRPr="003851FA">
        <w:rPr>
          <w:rStyle w:val="EndnoteReference"/>
        </w:rPr>
        <w:endnoteReference w:id="45"/>
      </w:r>
      <w:r w:rsidR="00F32D73" w:rsidRPr="003851FA">
        <w:t xml:space="preserve"> </w:t>
      </w:r>
      <w:r w:rsidR="000A3E72" w:rsidRPr="003851FA">
        <w:t>Even for art historians less invested than Foster in critical theory, reading</w:t>
      </w:r>
      <w:r w:rsidR="00C061FF" w:rsidRPr="003851FA">
        <w:t xml:space="preserve"> political potentialities into the (abstract and on the surface apolitical) Conceptual and Minimalist works of the late 1960s </w:t>
      </w:r>
      <w:r w:rsidR="000A3E72" w:rsidRPr="003851FA">
        <w:t xml:space="preserve">thereby </w:t>
      </w:r>
      <w:r w:rsidR="001070B9" w:rsidRPr="003851FA">
        <w:t xml:space="preserve">became </w:t>
      </w:r>
      <w:r w:rsidR="00C061FF" w:rsidRPr="003851FA">
        <w:t xml:space="preserve">almost a matter of </w:t>
      </w:r>
      <w:r w:rsidR="001070B9" w:rsidRPr="003851FA">
        <w:t xml:space="preserve">evidencing </w:t>
      </w:r>
      <w:r w:rsidR="00C061FF" w:rsidRPr="003851FA">
        <w:t>author’s own political</w:t>
      </w:r>
      <w:r w:rsidR="00153244" w:rsidRPr="003851FA">
        <w:t xml:space="preserve"> allegiance</w:t>
      </w:r>
      <w:r w:rsidR="00C061FF" w:rsidRPr="003851FA">
        <w:t>. To give the example of Sol LeWitt: his serial, factory-fabricated modular sculpture</w:t>
      </w:r>
      <w:r w:rsidR="00A42DE0" w:rsidRPr="003851FA">
        <w:t>s</w:t>
      </w:r>
      <w:r w:rsidR="00C061FF" w:rsidRPr="003851FA">
        <w:t xml:space="preserve"> have been interpreted as </w:t>
      </w:r>
      <w:r w:rsidR="00401A85" w:rsidRPr="003851FA">
        <w:t>containing an ‘implicit theory’ of the ‘Taylorization of labour’</w:t>
      </w:r>
      <w:r w:rsidR="00C061FF" w:rsidRPr="003851FA">
        <w:t>;</w:t>
      </w:r>
      <w:r w:rsidR="00401A85" w:rsidRPr="003851FA">
        <w:rPr>
          <w:rStyle w:val="EndnoteReference"/>
        </w:rPr>
        <w:endnoteReference w:id="46"/>
      </w:r>
      <w:r w:rsidR="0013158F" w:rsidRPr="003851FA">
        <w:t xml:space="preserve"> </w:t>
      </w:r>
      <w:r w:rsidR="00C061FF" w:rsidRPr="003851FA">
        <w:t>his act of drawing directly on the wall as</w:t>
      </w:r>
      <w:r w:rsidR="0013158F" w:rsidRPr="003851FA">
        <w:t xml:space="preserve"> representing ‘</w:t>
      </w:r>
      <w:r w:rsidR="00401A85" w:rsidRPr="003851FA">
        <w:t>a democratic gesture of accessibility and directness’</w:t>
      </w:r>
      <w:r w:rsidR="00F73EA3" w:rsidRPr="003851FA">
        <w:t>;</w:t>
      </w:r>
      <w:r w:rsidR="0013158F" w:rsidRPr="003851FA">
        <w:rPr>
          <w:rStyle w:val="EndnoteReference"/>
        </w:rPr>
        <w:endnoteReference w:id="47"/>
      </w:r>
      <w:r w:rsidR="0013158F" w:rsidRPr="003851FA">
        <w:t xml:space="preserve"> and </w:t>
      </w:r>
      <w:r w:rsidR="00F73EA3" w:rsidRPr="003851FA">
        <w:t xml:space="preserve">with regards to his open </w:t>
      </w:r>
      <w:r w:rsidR="0071373F" w:rsidRPr="003851FA">
        <w:t xml:space="preserve">and closed </w:t>
      </w:r>
      <w:r w:rsidR="00F73EA3" w:rsidRPr="003851FA">
        <w:t xml:space="preserve">cubes, it </w:t>
      </w:r>
      <w:r w:rsidR="0013158F" w:rsidRPr="003851FA">
        <w:t xml:space="preserve">has been maintained that </w:t>
      </w:r>
      <w:r w:rsidR="00401A85" w:rsidRPr="003851FA">
        <w:t>the ‘radical contingency and oppositionality of LeWitt’s practice […] points to an alternative model of democracy’.</w:t>
      </w:r>
      <w:r w:rsidR="00401A85" w:rsidRPr="003851FA">
        <w:rPr>
          <w:rStyle w:val="EndnoteReference"/>
        </w:rPr>
        <w:endnoteReference w:id="48"/>
      </w:r>
      <w:r w:rsidR="00114738" w:rsidRPr="003851FA">
        <w:t xml:space="preserve"> </w:t>
      </w:r>
      <w:r w:rsidR="0013158F" w:rsidRPr="003851FA">
        <w:t xml:space="preserve">As </w:t>
      </w:r>
      <w:r w:rsidR="00217203" w:rsidRPr="003851FA">
        <w:t xml:space="preserve">with </w:t>
      </w:r>
      <w:r w:rsidR="0013158F" w:rsidRPr="003851FA">
        <w:t>Piper’s 1968-1971 work, such interpretations go well beyond artist’s</w:t>
      </w:r>
      <w:r w:rsidR="00217203" w:rsidRPr="003851FA">
        <w:t xml:space="preserve"> </w:t>
      </w:r>
      <w:r w:rsidR="00C061FF" w:rsidRPr="003851FA">
        <w:t xml:space="preserve">own </w:t>
      </w:r>
      <w:r w:rsidR="00B84B57" w:rsidRPr="003851FA">
        <w:t xml:space="preserve">initial </w:t>
      </w:r>
      <w:r w:rsidR="00C061FF" w:rsidRPr="003851FA">
        <w:t>attestations</w:t>
      </w:r>
      <w:r w:rsidR="0013158F" w:rsidRPr="003851FA">
        <w:t xml:space="preserve">, </w:t>
      </w:r>
      <w:r w:rsidR="00F81D9B" w:rsidRPr="003851FA">
        <w:t xml:space="preserve">and emphasize </w:t>
      </w:r>
      <w:r w:rsidR="00217203" w:rsidRPr="003851FA">
        <w:t xml:space="preserve">instead </w:t>
      </w:r>
      <w:r w:rsidR="0013158F" w:rsidRPr="003851FA">
        <w:t xml:space="preserve">the </w:t>
      </w:r>
      <w:r w:rsidR="00217203" w:rsidRPr="003851FA">
        <w:t>political</w:t>
      </w:r>
      <w:r w:rsidR="00C061FF" w:rsidRPr="003851FA">
        <w:t>ly charged</w:t>
      </w:r>
      <w:r w:rsidR="00217203" w:rsidRPr="003851FA">
        <w:t xml:space="preserve"> </w:t>
      </w:r>
      <w:r w:rsidR="00F32D73" w:rsidRPr="003851FA">
        <w:t>backdrop</w:t>
      </w:r>
      <w:r w:rsidR="00B84B57" w:rsidRPr="003851FA">
        <w:t xml:space="preserve"> </w:t>
      </w:r>
      <w:r w:rsidR="00C061FF" w:rsidRPr="003851FA">
        <w:t>of the late 1960s</w:t>
      </w:r>
      <w:r w:rsidR="0013158F" w:rsidRPr="003851FA">
        <w:t xml:space="preserve">. </w:t>
      </w:r>
    </w:p>
    <w:p w14:paraId="51DE7865" w14:textId="1E4D0B34" w:rsidR="001070B9" w:rsidRPr="003851FA" w:rsidRDefault="00D61CB9" w:rsidP="00A30821">
      <w:pPr>
        <w:pStyle w:val="BodyText1"/>
      </w:pPr>
      <w:r w:rsidRPr="003851FA">
        <w:tab/>
      </w:r>
      <w:r w:rsidR="001070B9" w:rsidRPr="003851FA">
        <w:t xml:space="preserve">I do not mean to suggest </w:t>
      </w:r>
      <w:r w:rsidR="00A42DE0" w:rsidRPr="003851FA">
        <w:t>that</w:t>
      </w:r>
      <w:r w:rsidR="001070B9" w:rsidRPr="003851FA">
        <w:t xml:space="preserve"> the art historians writing </w:t>
      </w:r>
      <w:r w:rsidR="00F81D9B" w:rsidRPr="003851FA">
        <w:t xml:space="preserve">about the 1960s from later perspectives </w:t>
      </w:r>
      <w:r w:rsidR="001070B9" w:rsidRPr="003851FA">
        <w:t xml:space="preserve">are not deeply </w:t>
      </w:r>
      <w:r w:rsidRPr="003851FA">
        <w:t xml:space="preserve">aware of the dilemmas here: </w:t>
      </w:r>
      <w:r w:rsidR="00760D19" w:rsidRPr="003851FA">
        <w:t xml:space="preserve">arguably, </w:t>
      </w:r>
      <w:r w:rsidRPr="003851FA">
        <w:t xml:space="preserve">no art historical writing can isolate the work from its context of production, while total rejection of an artist’s intentions </w:t>
      </w:r>
      <w:r w:rsidR="00253158" w:rsidRPr="003851FA">
        <w:t xml:space="preserve">carries its own </w:t>
      </w:r>
      <w:r w:rsidRPr="003851FA">
        <w:t xml:space="preserve">ethical </w:t>
      </w:r>
      <w:r w:rsidR="00253158" w:rsidRPr="003851FA">
        <w:t xml:space="preserve">and </w:t>
      </w:r>
      <w:r w:rsidRPr="003851FA">
        <w:t>theoretical problems.</w:t>
      </w:r>
      <w:r w:rsidR="00C50C49" w:rsidRPr="003851FA">
        <w:rPr>
          <w:rStyle w:val="EndnoteReference"/>
        </w:rPr>
        <w:endnoteReference w:id="49"/>
      </w:r>
      <w:r w:rsidR="00253158" w:rsidRPr="003851FA">
        <w:t xml:space="preserve"> Continuing this conversation</w:t>
      </w:r>
      <w:r w:rsidRPr="003851FA">
        <w:t xml:space="preserve">, however, I would like to offer </w:t>
      </w:r>
      <w:r w:rsidR="00253158" w:rsidRPr="003851FA">
        <w:t xml:space="preserve">some further </w:t>
      </w:r>
      <w:r w:rsidRPr="003851FA">
        <w:t xml:space="preserve">constructive resistance to the </w:t>
      </w:r>
      <w:r w:rsidR="00A30821" w:rsidRPr="003851FA">
        <w:t xml:space="preserve">received view </w:t>
      </w:r>
      <w:r w:rsidRPr="003851FA">
        <w:t xml:space="preserve">of Piper’s 1968–71 performances </w:t>
      </w:r>
      <w:r w:rsidRPr="003851FA">
        <w:rPr>
          <w:color w:val="000000"/>
        </w:rPr>
        <w:t>as a critique of patriarchal and racist social relations</w:t>
      </w:r>
      <w:r w:rsidR="00253158" w:rsidRPr="003851FA">
        <w:rPr>
          <w:color w:val="000000"/>
        </w:rPr>
        <w:t xml:space="preserve">. </w:t>
      </w:r>
    </w:p>
    <w:p w14:paraId="44A5A865" w14:textId="101B24A1" w:rsidR="00F772AE" w:rsidRPr="003851FA" w:rsidRDefault="001070B9" w:rsidP="00A30821">
      <w:pPr>
        <w:pStyle w:val="BodyText1"/>
        <w:rPr>
          <w:color w:val="000000"/>
        </w:rPr>
      </w:pPr>
      <w:r w:rsidRPr="003851FA">
        <w:rPr>
          <w:color w:val="000000"/>
        </w:rPr>
        <w:tab/>
        <w:t>T</w:t>
      </w:r>
      <w:r w:rsidR="00253158" w:rsidRPr="003851FA">
        <w:rPr>
          <w:color w:val="000000"/>
        </w:rPr>
        <w:t xml:space="preserve">his resistance becomes available when we view the performances alongside a </w:t>
      </w:r>
      <w:r w:rsidRPr="003851FA">
        <w:rPr>
          <w:color w:val="000000"/>
        </w:rPr>
        <w:t xml:space="preserve">1980s </w:t>
      </w:r>
      <w:r w:rsidR="00253158" w:rsidRPr="003851FA">
        <w:rPr>
          <w:color w:val="000000"/>
        </w:rPr>
        <w:t xml:space="preserve">work like </w:t>
      </w:r>
      <w:r w:rsidR="00253158" w:rsidRPr="003851FA">
        <w:rPr>
          <w:i/>
          <w:color w:val="000000"/>
        </w:rPr>
        <w:t xml:space="preserve">Four Intruders. </w:t>
      </w:r>
      <w:r w:rsidR="00253158" w:rsidRPr="003851FA">
        <w:rPr>
          <w:color w:val="000000"/>
        </w:rPr>
        <w:t xml:space="preserve">On the one hand, the juxtaposition </w:t>
      </w:r>
      <w:r w:rsidR="00A30821" w:rsidRPr="003851FA">
        <w:rPr>
          <w:color w:val="000000"/>
        </w:rPr>
        <w:t xml:space="preserve">can certainly </w:t>
      </w:r>
      <w:r w:rsidR="00253158" w:rsidRPr="003851FA">
        <w:rPr>
          <w:color w:val="000000"/>
        </w:rPr>
        <w:t>lead us to read the anti-racist message, via the late work</w:t>
      </w:r>
      <w:r w:rsidR="00A30821" w:rsidRPr="003851FA">
        <w:rPr>
          <w:color w:val="000000"/>
        </w:rPr>
        <w:t xml:space="preserve">, into the earlier performance. On the other, however, </w:t>
      </w:r>
      <w:r w:rsidR="00253158" w:rsidRPr="003851FA">
        <w:rPr>
          <w:i/>
          <w:color w:val="000000"/>
        </w:rPr>
        <w:t xml:space="preserve">Four Intruders </w:t>
      </w:r>
      <w:r w:rsidR="00253158" w:rsidRPr="003851FA">
        <w:rPr>
          <w:color w:val="000000"/>
        </w:rPr>
        <w:t xml:space="preserve">reminds its audience that looking at </w:t>
      </w:r>
      <w:r w:rsidR="00E00DC2" w:rsidRPr="003851FA">
        <w:rPr>
          <w:color w:val="000000"/>
        </w:rPr>
        <w:t xml:space="preserve">a </w:t>
      </w:r>
      <w:r w:rsidR="0044067D" w:rsidRPr="003851FA">
        <w:rPr>
          <w:color w:val="000000"/>
        </w:rPr>
        <w:t xml:space="preserve">racially other </w:t>
      </w:r>
      <w:r w:rsidR="00E00DC2" w:rsidRPr="003851FA">
        <w:rPr>
          <w:color w:val="000000"/>
        </w:rPr>
        <w:t>can be structured by ascriptions of emotion and intent. Three out of the four monologists describe the faces as angry or hostile, but, if we look again, is that the emotion they really express? (</w:t>
      </w:r>
      <w:r w:rsidR="00E00DC2" w:rsidRPr="003851FA">
        <w:rPr>
          <w:b/>
          <w:color w:val="000000"/>
        </w:rPr>
        <w:t>Figure</w:t>
      </w:r>
      <w:r w:rsidR="009A3612" w:rsidRPr="003851FA">
        <w:rPr>
          <w:b/>
          <w:color w:val="000000"/>
        </w:rPr>
        <w:t xml:space="preserve"> 2</w:t>
      </w:r>
      <w:r w:rsidR="00E00DC2" w:rsidRPr="003851FA">
        <w:rPr>
          <w:b/>
          <w:color w:val="000000"/>
        </w:rPr>
        <w:t xml:space="preserve">) </w:t>
      </w:r>
      <w:r w:rsidR="00A30821" w:rsidRPr="003851FA">
        <w:rPr>
          <w:color w:val="000000"/>
        </w:rPr>
        <w:t xml:space="preserve">Beholding again the picture of the naked woman photographing herself, </w:t>
      </w:r>
      <w:r w:rsidRPr="003851FA">
        <w:rPr>
          <w:color w:val="000000"/>
        </w:rPr>
        <w:t xml:space="preserve">a photograph shown </w:t>
      </w:r>
      <w:r w:rsidR="00A30821" w:rsidRPr="003851FA">
        <w:rPr>
          <w:color w:val="000000"/>
        </w:rPr>
        <w:lastRenderedPageBreak/>
        <w:t xml:space="preserve">alongside a text in which </w:t>
      </w:r>
      <w:r w:rsidR="00965BBE" w:rsidRPr="003851FA">
        <w:rPr>
          <w:color w:val="000000"/>
        </w:rPr>
        <w:t>she describes her engagement with</w:t>
      </w:r>
      <w:r w:rsidR="00E00DC2" w:rsidRPr="003851FA">
        <w:rPr>
          <w:color w:val="000000"/>
        </w:rPr>
        <w:t xml:space="preserve"> Kant’s </w:t>
      </w:r>
      <w:r w:rsidR="00A30821" w:rsidRPr="003851FA">
        <w:rPr>
          <w:color w:val="000000"/>
        </w:rPr>
        <w:t xml:space="preserve">first </w:t>
      </w:r>
      <w:r w:rsidR="00E00DC2" w:rsidRPr="003851FA">
        <w:rPr>
          <w:i/>
          <w:color w:val="000000"/>
        </w:rPr>
        <w:t xml:space="preserve">Critique, </w:t>
      </w:r>
      <w:r w:rsidR="00A30821" w:rsidRPr="003851FA">
        <w:rPr>
          <w:color w:val="000000"/>
        </w:rPr>
        <w:t>we may now</w:t>
      </w:r>
      <w:r w:rsidR="00867CB5" w:rsidRPr="003851FA">
        <w:rPr>
          <w:color w:val="000000"/>
        </w:rPr>
        <w:t xml:space="preserve"> ask another question. </w:t>
      </w:r>
      <w:r w:rsidR="00F772AE" w:rsidRPr="003851FA">
        <w:rPr>
          <w:b/>
          <w:color w:val="000000"/>
        </w:rPr>
        <w:t>(Figure</w:t>
      </w:r>
      <w:r w:rsidR="009A3612" w:rsidRPr="003851FA">
        <w:rPr>
          <w:b/>
          <w:color w:val="000000"/>
        </w:rPr>
        <w:t xml:space="preserve"> 10</w:t>
      </w:r>
      <w:r w:rsidR="00F772AE" w:rsidRPr="003851FA">
        <w:rPr>
          <w:b/>
          <w:color w:val="000000"/>
        </w:rPr>
        <w:t xml:space="preserve">) </w:t>
      </w:r>
      <w:r w:rsidR="00867CB5" w:rsidRPr="003851FA">
        <w:rPr>
          <w:color w:val="000000"/>
        </w:rPr>
        <w:t xml:space="preserve">What kind of looking suggested </w:t>
      </w:r>
      <w:r w:rsidR="00E00DC2" w:rsidRPr="003851FA">
        <w:rPr>
          <w:color w:val="000000"/>
        </w:rPr>
        <w:t>to us</w:t>
      </w:r>
      <w:r w:rsidR="009E5F59" w:rsidRPr="003851FA">
        <w:rPr>
          <w:color w:val="000000"/>
        </w:rPr>
        <w:t>, in the first place,</w:t>
      </w:r>
      <w:r w:rsidR="00E00DC2" w:rsidRPr="003851FA">
        <w:rPr>
          <w:color w:val="000000"/>
        </w:rPr>
        <w:t xml:space="preserve"> that she is making a statement about race?</w:t>
      </w:r>
    </w:p>
    <w:p w14:paraId="7AC7DC7E" w14:textId="2E59FCB6" w:rsidR="00C04D67" w:rsidRPr="003851FA" w:rsidRDefault="00ED5C7C" w:rsidP="00C50C49">
      <w:pPr>
        <w:pStyle w:val="BodyText1"/>
      </w:pPr>
      <w:r w:rsidRPr="003851FA">
        <w:tab/>
        <w:t xml:space="preserve">Some of the tensions I refer to here have been explored by Darby English, who shows how race can become a deeply problematic means of art historical assessment that obscures </w:t>
      </w:r>
      <w:r w:rsidR="001070B9" w:rsidRPr="003851FA">
        <w:t xml:space="preserve">separate and </w:t>
      </w:r>
      <w:r w:rsidRPr="003851FA">
        <w:t xml:space="preserve">significant concerns of the artist in question. </w:t>
      </w:r>
      <w:r w:rsidR="00965BBE" w:rsidRPr="003851FA">
        <w:t xml:space="preserve">To paraphrase English, </w:t>
      </w:r>
      <w:r w:rsidR="00BE3ACF" w:rsidRPr="003851FA">
        <w:t xml:space="preserve">the issue is not quite as simple as reading the work ‘on its own terms’ </w:t>
      </w:r>
      <w:r w:rsidR="00BE3ACF" w:rsidRPr="003851FA">
        <w:rPr>
          <w:i/>
        </w:rPr>
        <w:t xml:space="preserve">versus </w:t>
      </w:r>
      <w:r w:rsidR="00BE3ACF" w:rsidRPr="003851FA">
        <w:t>reading the wor</w:t>
      </w:r>
      <w:r w:rsidR="009E5F59" w:rsidRPr="003851FA">
        <w:t xml:space="preserve">k through the artist’s identity, however, if we read black artists’ work </w:t>
      </w:r>
      <w:r w:rsidR="00C04D67" w:rsidRPr="003851FA">
        <w:t xml:space="preserve">through the lens of their identity </w:t>
      </w:r>
      <w:r w:rsidR="00C50C49" w:rsidRPr="003851FA">
        <w:t xml:space="preserve">alone, </w:t>
      </w:r>
      <w:r w:rsidR="009E5F59" w:rsidRPr="003851FA">
        <w:t xml:space="preserve">we may end up with </w:t>
      </w:r>
      <w:r w:rsidR="00BE3ACF" w:rsidRPr="003851FA">
        <w:t xml:space="preserve">a new segregationism, whereby </w:t>
      </w:r>
      <w:r w:rsidR="00C04D67" w:rsidRPr="003851FA">
        <w:t xml:space="preserve">these </w:t>
      </w:r>
      <w:r w:rsidR="00BE3ACF" w:rsidRPr="003851FA">
        <w:t>artists are consigned to only ever addressing issues of race.</w:t>
      </w:r>
      <w:r w:rsidR="001070B9" w:rsidRPr="003851FA">
        <w:rPr>
          <w:rStyle w:val="EndnoteReference"/>
        </w:rPr>
        <w:endnoteReference w:id="50"/>
      </w:r>
      <w:r w:rsidR="009B1144" w:rsidRPr="003851FA">
        <w:t xml:space="preserve"> </w:t>
      </w:r>
      <w:r w:rsidR="0097360F" w:rsidRPr="003851FA">
        <w:t>This might lead us to put the following point in relation to Pip</w:t>
      </w:r>
      <w:r w:rsidR="00C04D67" w:rsidRPr="003851FA">
        <w:t>er:</w:t>
      </w:r>
      <w:r w:rsidR="002F34E8" w:rsidRPr="003851FA">
        <w:t xml:space="preserve"> </w:t>
      </w:r>
      <w:r w:rsidR="00C8682C" w:rsidRPr="003851FA">
        <w:t>we might speculate on what it</w:t>
      </w:r>
      <w:r w:rsidR="00D05EE5" w:rsidRPr="003851FA">
        <w:t xml:space="preserve"> would </w:t>
      </w:r>
      <w:r w:rsidR="00C8682C" w:rsidRPr="003851FA">
        <w:t xml:space="preserve">take for us—what </w:t>
      </w:r>
      <w:r w:rsidR="009E5F59" w:rsidRPr="003851FA">
        <w:t>kind of work Piper would have to make</w:t>
      </w:r>
      <w:r w:rsidR="00C8682C" w:rsidRPr="003851FA">
        <w:t>—</w:t>
      </w:r>
      <w:r w:rsidR="009E5F59" w:rsidRPr="003851FA">
        <w:t xml:space="preserve">so that we would </w:t>
      </w:r>
      <w:r w:rsidR="00D05EE5" w:rsidRPr="003851FA">
        <w:t xml:space="preserve">see </w:t>
      </w:r>
      <w:r w:rsidR="002F34E8" w:rsidRPr="003851FA">
        <w:t xml:space="preserve">a documentary photograph of </w:t>
      </w:r>
      <w:r w:rsidR="00BA68CB" w:rsidRPr="003851FA">
        <w:rPr>
          <w:i/>
        </w:rPr>
        <w:t xml:space="preserve">Food for the Spirit </w:t>
      </w:r>
      <w:r w:rsidR="00676D43" w:rsidRPr="003851FA">
        <w:t xml:space="preserve">as </w:t>
      </w:r>
      <w:r w:rsidR="002F34E8" w:rsidRPr="003851FA">
        <w:t>an investigation into the problem</w:t>
      </w:r>
      <w:r w:rsidR="00101E9F" w:rsidRPr="003851FA">
        <w:t xml:space="preserve"> of consciousness</w:t>
      </w:r>
      <w:r w:rsidR="00214142" w:rsidRPr="003851FA">
        <w:t xml:space="preserve">, rather than as </w:t>
      </w:r>
      <w:r w:rsidR="00C04D67" w:rsidRPr="003851FA">
        <w:t xml:space="preserve">a </w:t>
      </w:r>
      <w:r w:rsidR="00101E9F" w:rsidRPr="003851FA">
        <w:t xml:space="preserve">work </w:t>
      </w:r>
      <w:r w:rsidR="00F32C19" w:rsidRPr="003851FA">
        <w:t xml:space="preserve">about </w:t>
      </w:r>
      <w:r w:rsidR="00101E9F" w:rsidRPr="003851FA">
        <w:t>identity politics</w:t>
      </w:r>
      <w:r w:rsidR="00C04D67" w:rsidRPr="003851FA">
        <w:t xml:space="preserve">. Well, </w:t>
      </w:r>
      <w:r w:rsidR="00D05EE5" w:rsidRPr="003851FA">
        <w:t>the worry is that</w:t>
      </w:r>
      <w:r w:rsidR="00C04D67" w:rsidRPr="003851FA">
        <w:t xml:space="preserve"> the photograph would have to show a white man.</w:t>
      </w:r>
      <w:r w:rsidR="007A5743" w:rsidRPr="003851FA">
        <w:rPr>
          <w:rStyle w:val="EndnoteReference"/>
          <w:color w:val="000000"/>
        </w:rPr>
        <w:endnoteReference w:id="51"/>
      </w:r>
      <w:r w:rsidR="00494D93" w:rsidRPr="003851FA">
        <w:t xml:space="preserve"> </w:t>
      </w:r>
      <w:r w:rsidR="00C04D67" w:rsidRPr="003851FA">
        <w:t>Interestingly, Piper</w:t>
      </w:r>
      <w:r w:rsidR="00C8682C" w:rsidRPr="003851FA">
        <w:t xml:space="preserve">’s 1968-71 performances receive </w:t>
      </w:r>
      <w:r w:rsidR="00F32C19" w:rsidRPr="003851FA">
        <w:t>the identity politics</w:t>
      </w:r>
      <w:r w:rsidR="00C8682C" w:rsidRPr="003851FA">
        <w:t xml:space="preserve"> reading</w:t>
      </w:r>
      <w:r w:rsidR="00F32C19" w:rsidRPr="003851FA">
        <w:t>,</w:t>
      </w:r>
      <w:r w:rsidR="00C8682C" w:rsidRPr="003851FA">
        <w:t xml:space="preserve"> even though she </w:t>
      </w:r>
      <w:r w:rsidR="00C04D67" w:rsidRPr="003851FA">
        <w:t>stands unique amongst first-generation Conceptualists as the artist whose</w:t>
      </w:r>
      <w:r w:rsidR="00C8682C" w:rsidRPr="003851FA">
        <w:t xml:space="preserve"> work on philosophy has been validated outside of the field of art</w:t>
      </w:r>
      <w:r w:rsidR="00C04D67" w:rsidRPr="003851FA">
        <w:t>.</w:t>
      </w:r>
      <w:r w:rsidR="00D257E0" w:rsidRPr="003851FA">
        <w:rPr>
          <w:rStyle w:val="EndnoteReference"/>
        </w:rPr>
        <w:endnoteReference w:id="52"/>
      </w:r>
    </w:p>
    <w:p w14:paraId="2E08DC6F" w14:textId="21C226B2" w:rsidR="00867CB5" w:rsidRPr="003851FA" w:rsidRDefault="00C04D67" w:rsidP="00F772AE">
      <w:pPr>
        <w:pStyle w:val="BodyText1"/>
      </w:pPr>
      <w:r w:rsidRPr="003851FA">
        <w:tab/>
      </w:r>
      <w:r w:rsidR="00AE7DB7" w:rsidRPr="003851FA">
        <w:t xml:space="preserve">I sound this cautionary note not to dispute the </w:t>
      </w:r>
      <w:r w:rsidR="00E703FD" w:rsidRPr="003851FA">
        <w:t>accomplishment of the other</w:t>
      </w:r>
      <w:r w:rsidR="00746A16" w:rsidRPr="003851FA">
        <w:t xml:space="preserve"> </w:t>
      </w:r>
      <w:r w:rsidR="00AE7DB7" w:rsidRPr="003851FA">
        <w:t xml:space="preserve">historians here </w:t>
      </w:r>
      <w:r w:rsidR="00E703FD" w:rsidRPr="003851FA">
        <w:t>discussed; their work has importantly located Piper within the history of feminist and anti-racist art</w:t>
      </w:r>
      <w:r w:rsidR="00DD64C2" w:rsidRPr="003851FA">
        <w:t xml:space="preserve">. </w:t>
      </w:r>
      <w:r w:rsidR="00C72AAA" w:rsidRPr="003851FA">
        <w:t>Likewise</w:t>
      </w:r>
      <w:r w:rsidR="00644F30" w:rsidRPr="003851FA">
        <w:t>, if an artist or theorist</w:t>
      </w:r>
      <w:r w:rsidR="00EE3041" w:rsidRPr="003851FA">
        <w:t xml:space="preserve"> somewhat freely</w:t>
      </w:r>
      <w:r w:rsidR="00644F30" w:rsidRPr="003851FA">
        <w:t xml:space="preserve"> uses a photograph from </w:t>
      </w:r>
      <w:r w:rsidR="00644F30" w:rsidRPr="003851FA">
        <w:rPr>
          <w:i/>
        </w:rPr>
        <w:t xml:space="preserve">Food for the Spirit </w:t>
      </w:r>
      <w:r w:rsidR="00644F30" w:rsidRPr="003851FA">
        <w:t>within an emancipatory discourse on portrayals of black female subjectivity,</w:t>
      </w:r>
      <w:r w:rsidR="00EE3041" w:rsidRPr="003851FA">
        <w:rPr>
          <w:rStyle w:val="EndnoteReference"/>
        </w:rPr>
        <w:endnoteReference w:id="53"/>
      </w:r>
      <w:r w:rsidR="00644F30" w:rsidRPr="003851FA">
        <w:t xml:space="preserve"> </w:t>
      </w:r>
      <w:r w:rsidR="00C72AAA" w:rsidRPr="003851FA">
        <w:t xml:space="preserve">it </w:t>
      </w:r>
      <w:r w:rsidR="00EE3041" w:rsidRPr="003851FA">
        <w:t>might</w:t>
      </w:r>
      <w:r w:rsidR="00C72AAA" w:rsidRPr="003851FA">
        <w:t xml:space="preserve"> be needlessly pedantic to complain of the interpretative inaccuracies of such a use</w:t>
      </w:r>
      <w:r w:rsidR="00644F30" w:rsidRPr="003851FA">
        <w:t xml:space="preserve">. However, as I briefly also </w:t>
      </w:r>
      <w:r w:rsidR="006305E6" w:rsidRPr="003851FA">
        <w:t>illustrated with various readings of LeWitt’s work,</w:t>
      </w:r>
      <w:r w:rsidR="00DD64C2" w:rsidRPr="003851FA">
        <w:t xml:space="preserve"> </w:t>
      </w:r>
      <w:r w:rsidR="00C72AAA" w:rsidRPr="003851FA">
        <w:t xml:space="preserve">the </w:t>
      </w:r>
      <w:r w:rsidR="00F772AE" w:rsidRPr="003851FA">
        <w:rPr>
          <w:i/>
        </w:rPr>
        <w:t>art historian</w:t>
      </w:r>
      <w:r w:rsidR="00F772AE" w:rsidRPr="003851FA">
        <w:t xml:space="preserve">’s politicizing gaze, </w:t>
      </w:r>
      <w:r w:rsidR="00EE3041" w:rsidRPr="003851FA">
        <w:t xml:space="preserve">the gaze that (indiscriminately) wills a </w:t>
      </w:r>
      <w:r w:rsidR="00F772AE" w:rsidRPr="003851FA">
        <w:t xml:space="preserve">political </w:t>
      </w:r>
      <w:r w:rsidR="00F772AE" w:rsidRPr="003851FA">
        <w:rPr>
          <w:i/>
        </w:rPr>
        <w:t>subject matter</w:t>
      </w:r>
      <w:r w:rsidR="00F772AE" w:rsidRPr="003851FA">
        <w:t xml:space="preserve"> </w:t>
      </w:r>
      <w:r w:rsidR="00F772AE" w:rsidRPr="003851FA">
        <w:lastRenderedPageBreak/>
        <w:t xml:space="preserve">into </w:t>
      </w:r>
      <w:r w:rsidR="003B3DDB" w:rsidRPr="003851FA">
        <w:t xml:space="preserve">the </w:t>
      </w:r>
      <w:r w:rsidR="00DD64C2" w:rsidRPr="003851FA">
        <w:t>late 1960s</w:t>
      </w:r>
      <w:r w:rsidR="00C8682C" w:rsidRPr="003851FA">
        <w:t xml:space="preserve"> Conceptual work</w:t>
      </w:r>
      <w:r w:rsidR="00EE41AC" w:rsidRPr="003851FA">
        <w:t>,</w:t>
      </w:r>
      <w:r w:rsidR="00C8682C" w:rsidRPr="003851FA">
        <w:t xml:space="preserve"> must itself be understood </w:t>
      </w:r>
      <w:r w:rsidR="008713AA" w:rsidRPr="003851FA">
        <w:t xml:space="preserve">as </w:t>
      </w:r>
      <w:r w:rsidR="003B3DDB" w:rsidRPr="003851FA">
        <w:t xml:space="preserve">a symptom of </w:t>
      </w:r>
      <w:r w:rsidR="00727838" w:rsidRPr="003851FA">
        <w:t xml:space="preserve">its own </w:t>
      </w:r>
      <w:r w:rsidR="00C8682C" w:rsidRPr="003851FA">
        <w:t>historical moment</w:t>
      </w:r>
      <w:r w:rsidR="00727838" w:rsidRPr="003851FA">
        <w:t xml:space="preserve">, a moment that ought not to lie beyond </w:t>
      </w:r>
      <w:r w:rsidR="00644F30" w:rsidRPr="003851FA">
        <w:t>critical scrutiny.</w:t>
      </w:r>
      <w:r w:rsidR="00C8682C" w:rsidRPr="003851FA">
        <w:t xml:space="preserve"> </w:t>
      </w:r>
    </w:p>
    <w:p w14:paraId="305346A5" w14:textId="77777777" w:rsidR="009A3612" w:rsidRPr="003851FA" w:rsidRDefault="009A3612" w:rsidP="00F772AE">
      <w:pPr>
        <w:pStyle w:val="BodyText1"/>
      </w:pPr>
    </w:p>
    <w:p w14:paraId="553B5EAE" w14:textId="2BA32D2D" w:rsidR="00B9673A" w:rsidRPr="003851FA" w:rsidRDefault="00A30821" w:rsidP="00867CB5">
      <w:pPr>
        <w:pStyle w:val="Heading2"/>
      </w:pPr>
      <w:r w:rsidRPr="003851FA">
        <w:t>Word, image and types of racism: 1978–1992 installations</w:t>
      </w:r>
    </w:p>
    <w:p w14:paraId="12E27439" w14:textId="5E78C45A" w:rsidR="001C4580" w:rsidRPr="003851FA" w:rsidRDefault="004D7B74" w:rsidP="00876211">
      <w:pPr>
        <w:pStyle w:val="BodyText1"/>
      </w:pPr>
      <w:r w:rsidRPr="003851FA">
        <w:t>‘When thinking about black female spectators, I remember being punished as a child for staring, for those hard intense direct looks children would give grown-ups, looks that were seen as confrontational, as gestures of resistance, challenges to authority.’</w:t>
      </w:r>
      <w:r w:rsidR="00557626" w:rsidRPr="003851FA">
        <w:rPr>
          <w:rStyle w:val="EndnoteReference"/>
        </w:rPr>
        <w:endnoteReference w:id="54"/>
      </w:r>
      <w:r w:rsidRPr="003851FA">
        <w:t xml:space="preserve"> So begins </w:t>
      </w:r>
      <w:r w:rsidR="00876211" w:rsidRPr="003851FA">
        <w:t xml:space="preserve">bell hooks’ influential essay </w:t>
      </w:r>
      <w:r w:rsidRPr="003851FA">
        <w:t>‘The Oppositional Gaze</w:t>
      </w:r>
      <w:r w:rsidR="002C7250" w:rsidRPr="003851FA">
        <w:t>’</w:t>
      </w:r>
      <w:r w:rsidRPr="003851FA">
        <w:t xml:space="preserve">, in which she </w:t>
      </w:r>
      <w:r w:rsidR="002C7250" w:rsidRPr="003851FA">
        <w:t>diagnoses</w:t>
      </w:r>
      <w:r w:rsidRPr="003851FA">
        <w:t xml:space="preserve"> racist subordination </w:t>
      </w:r>
      <w:r w:rsidR="002C7250" w:rsidRPr="003851FA">
        <w:t xml:space="preserve">as one that crucially involves the </w:t>
      </w:r>
      <w:r w:rsidRPr="003851FA">
        <w:rPr>
          <w:i/>
        </w:rPr>
        <w:t>disciplining</w:t>
      </w:r>
      <w:r w:rsidRPr="003851FA">
        <w:t xml:space="preserve"> of the black gaze</w:t>
      </w:r>
      <w:r w:rsidR="002C7250" w:rsidRPr="003851FA">
        <w:t>. This is a</w:t>
      </w:r>
      <w:r w:rsidR="00876211" w:rsidRPr="003851FA">
        <w:t xml:space="preserve"> process that hooks explores from depictions of </w:t>
      </w:r>
      <w:r w:rsidR="001C4580" w:rsidRPr="003851FA">
        <w:t xml:space="preserve">black people in the white-created television show </w:t>
      </w:r>
      <w:r w:rsidR="001C4580" w:rsidRPr="003851FA">
        <w:rPr>
          <w:i/>
        </w:rPr>
        <w:t xml:space="preserve">Amos ‘n’ Andy </w:t>
      </w:r>
      <w:r w:rsidR="001C4580" w:rsidRPr="003851FA">
        <w:t>(1951-53)</w:t>
      </w:r>
      <w:r w:rsidR="00876211" w:rsidRPr="003851FA">
        <w:t xml:space="preserve">, to </w:t>
      </w:r>
      <w:r w:rsidR="00D3502E" w:rsidRPr="003851FA">
        <w:t xml:space="preserve">the </w:t>
      </w:r>
      <w:r w:rsidR="005A5D81" w:rsidRPr="003851FA">
        <w:t xml:space="preserve">1955 </w:t>
      </w:r>
      <w:r w:rsidR="00D3502E" w:rsidRPr="003851FA">
        <w:t xml:space="preserve">murder of the </w:t>
      </w:r>
      <w:r w:rsidR="005A5D81" w:rsidRPr="003851FA">
        <w:t>fourteen-year-old</w:t>
      </w:r>
      <w:r w:rsidR="00D3502E" w:rsidRPr="003851FA">
        <w:t xml:space="preserve"> Emmet Till</w:t>
      </w:r>
      <w:r w:rsidRPr="003851FA">
        <w:t xml:space="preserve">, </w:t>
      </w:r>
      <w:r w:rsidR="00D3502E" w:rsidRPr="003851FA">
        <w:t>whose looking at a white woman was interpreted as sexual violation</w:t>
      </w:r>
      <w:r w:rsidRPr="003851FA">
        <w:t xml:space="preserve">. </w:t>
      </w:r>
      <w:r w:rsidR="00F826FE" w:rsidRPr="003851FA">
        <w:t>It is this specific</w:t>
      </w:r>
      <w:r w:rsidR="001C4580" w:rsidRPr="003851FA">
        <w:t xml:space="preserve"> structure of domination </w:t>
      </w:r>
      <w:r w:rsidR="00F826FE" w:rsidRPr="003851FA">
        <w:t xml:space="preserve">that cuts out the work </w:t>
      </w:r>
      <w:r w:rsidR="001C4580" w:rsidRPr="003851FA">
        <w:t>for t</w:t>
      </w:r>
      <w:r w:rsidR="00876211" w:rsidRPr="003851FA">
        <w:t>he emancipatory, oppositional gaze</w:t>
      </w:r>
      <w:r w:rsidR="001C4580" w:rsidRPr="003851FA">
        <w:t xml:space="preserve">: </w:t>
      </w:r>
      <w:r w:rsidR="00876211" w:rsidRPr="003851FA">
        <w:t>‘</w:t>
      </w:r>
      <w:r w:rsidRPr="003851FA">
        <w:t>Spaces of agency exist for black people, wherein we can both interrogate the gaze of the Other but also look back, and at one another, naming what we see.</w:t>
      </w:r>
      <w:r w:rsidR="00876211" w:rsidRPr="003851FA">
        <w:t>’</w:t>
      </w:r>
      <w:r w:rsidR="00557626" w:rsidRPr="003851FA">
        <w:rPr>
          <w:rStyle w:val="EndnoteReference"/>
        </w:rPr>
        <w:endnoteReference w:id="55"/>
      </w:r>
      <w:r w:rsidR="001C4580" w:rsidRPr="003851FA">
        <w:t xml:space="preserve"> </w:t>
      </w:r>
    </w:p>
    <w:p w14:paraId="53BE5EC5" w14:textId="7DE12B96" w:rsidR="008C7ABA" w:rsidRPr="003851FA" w:rsidRDefault="00EE0012" w:rsidP="008C7ABA">
      <w:pPr>
        <w:pStyle w:val="BodyText1"/>
      </w:pPr>
      <w:r w:rsidRPr="003851FA">
        <w:tab/>
      </w:r>
      <w:r w:rsidR="00EC4E67" w:rsidRPr="003851FA">
        <w:t xml:space="preserve">As we saw with </w:t>
      </w:r>
      <w:r w:rsidR="00EC4E67" w:rsidRPr="003851FA">
        <w:rPr>
          <w:i/>
        </w:rPr>
        <w:t xml:space="preserve">Four Intruders, </w:t>
      </w:r>
      <w:r w:rsidR="008C7ABA" w:rsidRPr="003851FA">
        <w:t>the viewers’ strategies of disciplining the four ‘intruders’ seem to be those described by hooks</w:t>
      </w:r>
      <w:r w:rsidR="00727838" w:rsidRPr="003851FA">
        <w:t xml:space="preserve"> some ten years later</w:t>
      </w:r>
      <w:r w:rsidR="008C7ABA" w:rsidRPr="003851FA">
        <w:t xml:space="preserve">: </w:t>
      </w:r>
      <w:r w:rsidR="00727838" w:rsidRPr="003851FA">
        <w:t xml:space="preserve">the viewers </w:t>
      </w:r>
      <w:r w:rsidR="008C7ABA" w:rsidRPr="003851FA">
        <w:t xml:space="preserve">ascribe </w:t>
      </w:r>
      <w:r w:rsidR="00727838" w:rsidRPr="003851FA">
        <w:t xml:space="preserve">a motive of hostility </w:t>
      </w:r>
      <w:r w:rsidR="008C7ABA" w:rsidRPr="003851FA">
        <w:t xml:space="preserve">to </w:t>
      </w:r>
      <w:r w:rsidR="00727838" w:rsidRPr="003851FA">
        <w:t xml:space="preserve">the men’s </w:t>
      </w:r>
      <w:r w:rsidR="008C7ABA" w:rsidRPr="003851FA">
        <w:t xml:space="preserve">direct looking. </w:t>
      </w:r>
      <w:r w:rsidR="008F1AD6" w:rsidRPr="003851FA">
        <w:t xml:space="preserve">Returning to </w:t>
      </w:r>
      <w:r w:rsidR="008C7ABA" w:rsidRPr="003851FA">
        <w:t>Piper’s</w:t>
      </w:r>
      <w:r w:rsidR="008F1AD6" w:rsidRPr="003851FA">
        <w:t xml:space="preserve"> installations of 1978-92, I now wish to trace a different kind of continuity between the early and the late work</w:t>
      </w:r>
      <w:r w:rsidR="008C7ABA" w:rsidRPr="003851FA">
        <w:t>,</w:t>
      </w:r>
      <w:r w:rsidR="008F1AD6" w:rsidRPr="003851FA">
        <w:t xml:space="preserve"> not one of a shared subject matter, but rather one of </w:t>
      </w:r>
      <w:r w:rsidR="008C7ABA" w:rsidRPr="003851FA">
        <w:t xml:space="preserve">the shared methodology of scrutinizing the viewer’s consciousness in the act of looking. It is this </w:t>
      </w:r>
      <w:r w:rsidR="008F1AD6" w:rsidRPr="003851FA">
        <w:t>methodology</w:t>
      </w:r>
      <w:r w:rsidR="008C7ABA" w:rsidRPr="003851FA">
        <w:t>, derived from Conceptual art that</w:t>
      </w:r>
      <w:r w:rsidR="008F1AD6" w:rsidRPr="003851FA">
        <w:t>, I will argue,</w:t>
      </w:r>
      <w:r w:rsidR="008C7ABA" w:rsidRPr="003851FA">
        <w:t xml:space="preserve"> allows us to explain the rhetorical efficacy of Piper’s post-Conceptual, anti-racist works.</w:t>
      </w:r>
    </w:p>
    <w:p w14:paraId="108B96E5" w14:textId="7CE052FF" w:rsidR="001932D3" w:rsidRPr="003851FA" w:rsidRDefault="009820F5" w:rsidP="001932D3">
      <w:pPr>
        <w:pStyle w:val="BodyText1"/>
      </w:pPr>
      <w:r w:rsidRPr="003851FA">
        <w:tab/>
      </w:r>
      <w:r w:rsidR="001932D3" w:rsidRPr="003851FA">
        <w:t xml:space="preserve">While the themes of race and gender first explicitly enter Piper’s work in the </w:t>
      </w:r>
      <w:r w:rsidR="001932D3" w:rsidRPr="003851FA">
        <w:rPr>
          <w:i/>
        </w:rPr>
        <w:t xml:space="preserve">Mythic Being </w:t>
      </w:r>
      <w:r w:rsidR="001932D3" w:rsidRPr="003851FA">
        <w:t xml:space="preserve">(1973–1975) series—a series of actions and print media that involve her moustached </w:t>
      </w:r>
      <w:r w:rsidR="001932D3" w:rsidRPr="003851FA">
        <w:lastRenderedPageBreak/>
        <w:t xml:space="preserve">drag persona—I am here primarily concerned with the corpus of her installation-based work, from </w:t>
      </w:r>
      <w:r w:rsidR="001932D3" w:rsidRPr="003851FA">
        <w:rPr>
          <w:i/>
        </w:rPr>
        <w:t xml:space="preserve">Aspects of the Liberal Dilemma </w:t>
      </w:r>
      <w:r w:rsidR="001932D3" w:rsidRPr="003851FA">
        <w:t xml:space="preserve">(1978) to the </w:t>
      </w:r>
      <w:r w:rsidR="001932D3" w:rsidRPr="003851FA">
        <w:rPr>
          <w:i/>
        </w:rPr>
        <w:t xml:space="preserve">Decide Who You Are </w:t>
      </w:r>
      <w:r w:rsidR="001932D3" w:rsidRPr="003851FA">
        <w:t>series (1991–1992). These are characterised by a certain shared aesthetic and presentation:</w:t>
      </w:r>
      <w:r w:rsidR="00D80C94" w:rsidRPr="003851FA">
        <w:t xml:space="preserve"> </w:t>
      </w:r>
      <w:r w:rsidR="001932D3" w:rsidRPr="003851FA">
        <w:t xml:space="preserve">the shift towards an explicitly political subject matter coincides with Piper’s inclusion of found images, often photographs of black people taken from newspapers and advertising. Typically, these are experienced </w:t>
      </w:r>
      <w:r w:rsidR="00D80C94" w:rsidRPr="003851FA">
        <w:t>with</w:t>
      </w:r>
      <w:r w:rsidR="001932D3" w:rsidRPr="003851FA">
        <w:t xml:space="preserve"> Piper’s voiceover, performing a kind of in-character </w:t>
      </w:r>
      <w:r w:rsidR="00D80C94" w:rsidRPr="003851FA">
        <w:t>museum audio</w:t>
      </w:r>
      <w:r w:rsidR="001A0653" w:rsidRPr="003851FA">
        <w:t>-</w:t>
      </w:r>
      <w:r w:rsidR="00D80C94" w:rsidRPr="003851FA">
        <w:t xml:space="preserve">guide </w:t>
      </w:r>
      <w:r w:rsidR="001932D3" w:rsidRPr="003851FA">
        <w:t>commentary, is played on the headphones.</w:t>
      </w:r>
    </w:p>
    <w:p w14:paraId="31CEB020" w14:textId="2C6C2C0A" w:rsidR="00D11CB1" w:rsidRPr="003851FA" w:rsidRDefault="001932D3" w:rsidP="001932D3">
      <w:pPr>
        <w:pStyle w:val="BodyText1"/>
        <w:rPr>
          <w:color w:val="000000"/>
        </w:rPr>
      </w:pPr>
      <w:r w:rsidRPr="003851FA">
        <w:rPr>
          <w:color w:val="000000"/>
        </w:rPr>
        <w:tab/>
        <w:t xml:space="preserve">Piper’s </w:t>
      </w:r>
      <w:r w:rsidRPr="003851FA">
        <w:rPr>
          <w:i/>
          <w:color w:val="000000"/>
        </w:rPr>
        <w:t xml:space="preserve">Close to Home </w:t>
      </w:r>
      <w:r w:rsidRPr="003851FA">
        <w:rPr>
          <w:color w:val="000000"/>
        </w:rPr>
        <w:t>(1987)</w:t>
      </w:r>
      <w:r w:rsidRPr="003851FA">
        <w:rPr>
          <w:i/>
          <w:color w:val="000000"/>
        </w:rPr>
        <w:t xml:space="preserve"> </w:t>
      </w:r>
      <w:r w:rsidRPr="003851FA">
        <w:rPr>
          <w:color w:val="000000"/>
        </w:rPr>
        <w:t>series</w:t>
      </w:r>
      <w:r w:rsidR="009B4ECF" w:rsidRPr="003851FA">
        <w:rPr>
          <w:color w:val="000000"/>
        </w:rPr>
        <w:t>, for example,</w:t>
      </w:r>
      <w:r w:rsidRPr="003851FA">
        <w:rPr>
          <w:color w:val="000000"/>
        </w:rPr>
        <w:t xml:space="preserve"> shows fifteen black and white found photographic images, reproduced from the </w:t>
      </w:r>
      <w:r w:rsidRPr="003851FA">
        <w:rPr>
          <w:i/>
          <w:color w:val="000000"/>
        </w:rPr>
        <w:t xml:space="preserve">Ebony </w:t>
      </w:r>
      <w:r w:rsidRPr="003851FA">
        <w:rPr>
          <w:color w:val="000000"/>
        </w:rPr>
        <w:t xml:space="preserve">magazine, each on a large (22x17 inches) sheet of paper. </w:t>
      </w:r>
      <w:r w:rsidR="00B155AC" w:rsidRPr="003851FA">
        <w:rPr>
          <w:color w:val="000000"/>
        </w:rPr>
        <w:t>We may notice important aesthetic continuities with</w:t>
      </w:r>
      <w:r w:rsidR="0027472B" w:rsidRPr="003851FA">
        <w:rPr>
          <w:color w:val="000000"/>
        </w:rPr>
        <w:t xml:space="preserve"> an early work like </w:t>
      </w:r>
      <w:r w:rsidR="0027472B" w:rsidRPr="003851FA">
        <w:rPr>
          <w:i/>
          <w:color w:val="000000"/>
        </w:rPr>
        <w:t>Hypothesis</w:t>
      </w:r>
      <w:r w:rsidR="00B155AC" w:rsidRPr="003851FA">
        <w:rPr>
          <w:color w:val="000000"/>
        </w:rPr>
        <w:t>: t</w:t>
      </w:r>
      <w:r w:rsidRPr="003851FA">
        <w:rPr>
          <w:color w:val="000000"/>
        </w:rPr>
        <w:t xml:space="preserve">he central </w:t>
      </w:r>
      <w:r w:rsidR="0027472B" w:rsidRPr="003851FA">
        <w:rPr>
          <w:color w:val="000000"/>
        </w:rPr>
        <w:t xml:space="preserve">tenet </w:t>
      </w:r>
      <w:r w:rsidRPr="003851FA">
        <w:rPr>
          <w:color w:val="000000"/>
        </w:rPr>
        <w:t>of the Conc</w:t>
      </w:r>
      <w:r w:rsidR="00B155AC" w:rsidRPr="003851FA">
        <w:rPr>
          <w:color w:val="000000"/>
        </w:rPr>
        <w:t xml:space="preserve">eptualist aesthetic, </w:t>
      </w:r>
      <w:r w:rsidRPr="003851FA">
        <w:rPr>
          <w:color w:val="000000"/>
        </w:rPr>
        <w:t>whereby an image may only ever be present w</w:t>
      </w:r>
      <w:r w:rsidR="00B155AC" w:rsidRPr="003851FA">
        <w:rPr>
          <w:color w:val="000000"/>
        </w:rPr>
        <w:t xml:space="preserve">ithin the context of commentary, </w:t>
      </w:r>
      <w:r w:rsidRPr="003851FA">
        <w:rPr>
          <w:color w:val="000000"/>
        </w:rPr>
        <w:t>is upheld by questionnaires below the images, which are sorted into four categories of</w:t>
      </w:r>
      <w:r w:rsidR="00B155AC" w:rsidRPr="003851FA">
        <w:rPr>
          <w:color w:val="000000"/>
        </w:rPr>
        <w:t xml:space="preserve"> progressive levels of intimacy. These are:</w:t>
      </w:r>
      <w:r w:rsidRPr="003851FA">
        <w:rPr>
          <w:color w:val="000000"/>
        </w:rPr>
        <w:t xml:space="preserve"> I (“Do you have a black colleague at your place of employment?”), II (“Have you ever had a black person visit your place of residence?”), III (“Do you have at least one black friend?”), IV (“Have you ever had a sexual relationship with a black person”?). Within each category, there are multiple choice, follow up questions</w:t>
      </w:r>
      <w:r w:rsidR="00B155AC" w:rsidRPr="003851FA">
        <w:rPr>
          <w:color w:val="000000"/>
        </w:rPr>
        <w:t>,</w:t>
      </w:r>
      <w:r w:rsidRPr="003851FA">
        <w:rPr>
          <w:color w:val="000000"/>
        </w:rPr>
        <w:t xml:space="preserve"> </w:t>
      </w:r>
      <w:r w:rsidR="00D11CB1" w:rsidRPr="003851FA">
        <w:rPr>
          <w:color w:val="000000"/>
        </w:rPr>
        <w:t>which vary with the image</w:t>
      </w:r>
      <w:r w:rsidRPr="003851FA">
        <w:rPr>
          <w:color w:val="000000"/>
        </w:rPr>
        <w:t>: “If yes, in what manner do you socialize in the workplace?” (I.D) or “If yes, what social events did you attend together?” (IV.C) A panel under each questionnaire asks whether we feel uncomfortable at the thought of displaying such questions on the living room wall (</w:t>
      </w:r>
      <w:r w:rsidRPr="003851FA">
        <w:rPr>
          <w:b/>
          <w:color w:val="000000"/>
        </w:rPr>
        <w:t>Figures</w:t>
      </w:r>
      <w:r w:rsidR="009A3612" w:rsidRPr="003851FA">
        <w:rPr>
          <w:b/>
          <w:color w:val="000000"/>
        </w:rPr>
        <w:t xml:space="preserve"> 11–12</w:t>
      </w:r>
      <w:r w:rsidRPr="003851FA">
        <w:rPr>
          <w:b/>
          <w:color w:val="000000"/>
        </w:rPr>
        <w:t>)</w:t>
      </w:r>
      <w:r w:rsidRPr="003851FA">
        <w:rPr>
          <w:color w:val="000000"/>
        </w:rPr>
        <w:t>. The typewritten text instantly recalls what Benjamin Buchloh memorably called the ‘aesthetics of administration’ of Conceptual art;</w:t>
      </w:r>
      <w:r w:rsidRPr="003851FA">
        <w:rPr>
          <w:rStyle w:val="EndnoteReference"/>
          <w:color w:val="000000"/>
        </w:rPr>
        <w:endnoteReference w:id="56"/>
      </w:r>
      <w:r w:rsidRPr="003851FA">
        <w:rPr>
          <w:color w:val="000000"/>
        </w:rPr>
        <w:t xml:space="preserve"> it evokes the spirit of an onerous bureaucratic protocol that is also found in the works</w:t>
      </w:r>
      <w:r w:rsidR="0027472B" w:rsidRPr="003851FA">
        <w:rPr>
          <w:color w:val="000000"/>
        </w:rPr>
        <w:t xml:space="preserve"> of Art &amp; Language or Dan Graham. </w:t>
      </w:r>
      <w:r w:rsidRPr="003851FA">
        <w:rPr>
          <w:color w:val="000000"/>
        </w:rPr>
        <w:t xml:space="preserve">Indeed, even some of the paraphernalia of Conceptual art—such as the Seth Siegelaub’s to-do list, which Adrian Piper would have been faced with as the secretary at his </w:t>
      </w:r>
      <w:r w:rsidRPr="003851FA">
        <w:rPr>
          <w:bCs/>
          <w:i/>
          <w:color w:val="000000"/>
        </w:rPr>
        <w:t>January</w:t>
      </w:r>
      <w:r w:rsidRPr="003851FA">
        <w:rPr>
          <w:i/>
          <w:color w:val="000000"/>
        </w:rPr>
        <w:t xml:space="preserve"> 5–31, 1969 </w:t>
      </w:r>
      <w:r w:rsidRPr="003851FA">
        <w:rPr>
          <w:color w:val="000000"/>
        </w:rPr>
        <w:t xml:space="preserve">show–somewhat </w:t>
      </w:r>
      <w:r w:rsidRPr="003851FA">
        <w:rPr>
          <w:color w:val="000000"/>
        </w:rPr>
        <w:lastRenderedPageBreak/>
        <w:t>resemble the imperious tone of the</w:t>
      </w:r>
      <w:r w:rsidR="00C45D5A" w:rsidRPr="003851FA">
        <w:rPr>
          <w:color w:val="000000"/>
        </w:rPr>
        <w:t>se</w:t>
      </w:r>
      <w:r w:rsidRPr="003851FA">
        <w:rPr>
          <w:color w:val="000000"/>
        </w:rPr>
        <w:t xml:space="preserve"> protocols. </w:t>
      </w:r>
      <w:r w:rsidR="00C45D5A" w:rsidRPr="003851FA">
        <w:rPr>
          <w:b/>
          <w:color w:val="000000"/>
        </w:rPr>
        <w:t>(Figure</w:t>
      </w:r>
      <w:r w:rsidR="00EB7F70" w:rsidRPr="003851FA">
        <w:rPr>
          <w:b/>
          <w:color w:val="000000"/>
        </w:rPr>
        <w:t xml:space="preserve"> 13</w:t>
      </w:r>
      <w:r w:rsidR="00C45D5A" w:rsidRPr="003851FA">
        <w:rPr>
          <w:b/>
          <w:color w:val="000000"/>
        </w:rPr>
        <w:t xml:space="preserve">) </w:t>
      </w:r>
      <w:r w:rsidRPr="003851FA">
        <w:rPr>
          <w:color w:val="000000"/>
        </w:rPr>
        <w:t xml:space="preserve">The ‘commentary’ device will be also familiar from earlier </w:t>
      </w:r>
      <w:r w:rsidR="00D11CB1" w:rsidRPr="003851FA">
        <w:rPr>
          <w:color w:val="000000"/>
        </w:rPr>
        <w:t xml:space="preserve">Conceptual </w:t>
      </w:r>
      <w:r w:rsidRPr="003851FA">
        <w:rPr>
          <w:color w:val="000000"/>
        </w:rPr>
        <w:t>work (</w:t>
      </w:r>
      <w:r w:rsidR="009820F5" w:rsidRPr="003851FA">
        <w:rPr>
          <w:color w:val="000000"/>
        </w:rPr>
        <w:t xml:space="preserve">for example, </w:t>
      </w:r>
      <w:r w:rsidR="00D1583E" w:rsidRPr="003851FA">
        <w:rPr>
          <w:color w:val="000000"/>
        </w:rPr>
        <w:t xml:space="preserve">from </w:t>
      </w:r>
      <w:r w:rsidR="009820F5" w:rsidRPr="003851FA">
        <w:rPr>
          <w:color w:val="000000"/>
        </w:rPr>
        <w:t xml:space="preserve">the essays that accompanied </w:t>
      </w:r>
      <w:r w:rsidRPr="003851FA">
        <w:rPr>
          <w:i/>
          <w:color w:val="000000"/>
        </w:rPr>
        <w:t>Hypothesis</w:t>
      </w:r>
      <w:r w:rsidRPr="003851FA">
        <w:rPr>
          <w:color w:val="000000"/>
        </w:rPr>
        <w:t xml:space="preserve">), even though </w:t>
      </w:r>
      <w:r w:rsidR="00D11CB1" w:rsidRPr="003851FA">
        <w:rPr>
          <w:color w:val="000000"/>
        </w:rPr>
        <w:t>in the 1978-1992 installations</w:t>
      </w:r>
      <w:r w:rsidRPr="003851FA">
        <w:rPr>
          <w:color w:val="000000"/>
        </w:rPr>
        <w:t xml:space="preserve"> the artist’s commentary is turned into a more characterful voiceover. </w:t>
      </w:r>
      <w:r w:rsidR="00384D3D" w:rsidRPr="003851FA">
        <w:rPr>
          <w:color w:val="000000"/>
        </w:rPr>
        <w:t>I</w:t>
      </w:r>
      <w:r w:rsidR="00D11CB1" w:rsidRPr="003851FA">
        <w:rPr>
          <w:color w:val="000000"/>
        </w:rPr>
        <w:t xml:space="preserve">n </w:t>
      </w:r>
      <w:r w:rsidR="00D11CB1" w:rsidRPr="003851FA">
        <w:rPr>
          <w:i/>
          <w:color w:val="000000"/>
        </w:rPr>
        <w:t xml:space="preserve">Four Intruders, </w:t>
      </w:r>
      <w:r w:rsidR="00D11CB1" w:rsidRPr="003851FA">
        <w:rPr>
          <w:color w:val="000000"/>
        </w:rPr>
        <w:t>Piper perform</w:t>
      </w:r>
      <w:r w:rsidR="00384D3D" w:rsidRPr="003851FA">
        <w:rPr>
          <w:color w:val="000000"/>
        </w:rPr>
        <w:t>s</w:t>
      </w:r>
      <w:r w:rsidR="00D11CB1" w:rsidRPr="003851FA">
        <w:rPr>
          <w:color w:val="000000"/>
        </w:rPr>
        <w:t xml:space="preserve"> the roles of possible </w:t>
      </w:r>
      <w:r w:rsidR="00384D3D" w:rsidRPr="003851FA">
        <w:rPr>
          <w:color w:val="000000"/>
        </w:rPr>
        <w:t>viewers;</w:t>
      </w:r>
      <w:r w:rsidR="00D11CB1" w:rsidRPr="003851FA">
        <w:rPr>
          <w:color w:val="000000"/>
        </w:rPr>
        <w:t xml:space="preserve"> i</w:t>
      </w:r>
      <w:r w:rsidRPr="003851FA">
        <w:rPr>
          <w:color w:val="000000"/>
        </w:rPr>
        <w:t xml:space="preserve">n </w:t>
      </w:r>
      <w:r w:rsidRPr="003851FA">
        <w:rPr>
          <w:i/>
          <w:color w:val="000000"/>
        </w:rPr>
        <w:t xml:space="preserve">Close to Home, </w:t>
      </w:r>
      <w:r w:rsidR="00882278" w:rsidRPr="003851FA">
        <w:rPr>
          <w:color w:val="000000"/>
        </w:rPr>
        <w:t>she</w:t>
      </w:r>
      <w:r w:rsidRPr="003851FA">
        <w:rPr>
          <w:color w:val="000000"/>
        </w:rPr>
        <w:t xml:space="preserve"> affects a sarcastically pleading tone</w:t>
      </w:r>
      <w:r w:rsidR="00D11CB1" w:rsidRPr="003851FA">
        <w:rPr>
          <w:color w:val="000000"/>
        </w:rPr>
        <w:t>, apologizing to the viewer whose sensibilities might have been offended by the questionnaire</w:t>
      </w:r>
      <w:r w:rsidRPr="003851FA">
        <w:rPr>
          <w:color w:val="000000"/>
        </w:rPr>
        <w:t xml:space="preserve">: </w:t>
      </w:r>
    </w:p>
    <w:p w14:paraId="4362F5D4" w14:textId="0575551E" w:rsidR="00D11CB1" w:rsidRPr="003851FA" w:rsidRDefault="00D11CB1" w:rsidP="00D11CB1">
      <w:pPr>
        <w:pStyle w:val="Quotation"/>
        <w:rPr>
          <w:color w:val="000000"/>
        </w:rPr>
      </w:pPr>
      <w:r w:rsidRPr="003851FA">
        <w:t xml:space="preserve">Wait. Please. Please don't turn away. I'm. I'm just asking. I, I'm not accusing you of anything, I. I just wanted to know. I know these are difficult issues, and... And nobody's perfect. […] I, I didn't </w:t>
      </w:r>
      <w:r w:rsidR="00C45D5A" w:rsidRPr="003851FA">
        <w:t>mean to antagonize you. […] I,</w:t>
      </w:r>
      <w:r w:rsidRPr="003851FA">
        <w:t xml:space="preserve"> I just I just wanted to know.</w:t>
      </w:r>
      <w:r w:rsidR="001932D3" w:rsidRPr="003851FA">
        <w:rPr>
          <w:rStyle w:val="EndnoteReference"/>
          <w:color w:val="000000"/>
        </w:rPr>
        <w:endnoteReference w:id="57"/>
      </w:r>
      <w:r w:rsidR="001932D3" w:rsidRPr="003851FA">
        <w:rPr>
          <w:color w:val="000000"/>
        </w:rPr>
        <w:t xml:space="preserve"> </w:t>
      </w:r>
    </w:p>
    <w:p w14:paraId="18EBE2F1" w14:textId="2E2B5553" w:rsidR="001932D3" w:rsidRPr="003851FA" w:rsidRDefault="001932D3" w:rsidP="00D11CB1">
      <w:pPr>
        <w:pStyle w:val="BodyText1"/>
        <w:rPr>
          <w:color w:val="000000"/>
        </w:rPr>
      </w:pPr>
      <w:r w:rsidRPr="003851FA">
        <w:rPr>
          <w:color w:val="000000"/>
        </w:rPr>
        <w:t xml:space="preserve">In a later work, </w:t>
      </w:r>
      <w:r w:rsidRPr="003851FA">
        <w:rPr>
          <w:i/>
          <w:color w:val="000000"/>
        </w:rPr>
        <w:t xml:space="preserve">Safe </w:t>
      </w:r>
      <w:r w:rsidRPr="003851FA">
        <w:rPr>
          <w:color w:val="000000"/>
        </w:rPr>
        <w:t xml:space="preserve">(1990), Piper </w:t>
      </w:r>
      <w:r w:rsidR="00C45D5A" w:rsidRPr="003851FA">
        <w:rPr>
          <w:color w:val="000000"/>
        </w:rPr>
        <w:t>personifies</w:t>
      </w:r>
      <w:r w:rsidRPr="003851FA">
        <w:rPr>
          <w:color w:val="000000"/>
        </w:rPr>
        <w:t xml:space="preserve"> the viewer over Bach’s ‘Erbarme Dich’ (‘</w:t>
      </w:r>
      <w:r w:rsidR="00451DAD" w:rsidRPr="003851FA">
        <w:rPr>
          <w:color w:val="000000"/>
        </w:rPr>
        <w:t>take pity’</w:t>
      </w:r>
      <w:r w:rsidRPr="003851FA">
        <w:rPr>
          <w:color w:val="000000"/>
        </w:rPr>
        <w:t xml:space="preserve">) from </w:t>
      </w:r>
      <w:r w:rsidRPr="003851FA">
        <w:rPr>
          <w:i/>
          <w:color w:val="000000"/>
        </w:rPr>
        <w:t>St Matthew Passion.</w:t>
      </w:r>
    </w:p>
    <w:p w14:paraId="1943592E" w14:textId="7DD11E82" w:rsidR="001F3159" w:rsidRPr="003851FA" w:rsidRDefault="001932D3" w:rsidP="00703702">
      <w:pPr>
        <w:pStyle w:val="BodyText1"/>
        <w:rPr>
          <w:color w:val="000000"/>
        </w:rPr>
      </w:pPr>
      <w:r w:rsidRPr="003851FA">
        <w:rPr>
          <w:color w:val="000000"/>
        </w:rPr>
        <w:tab/>
        <w:t xml:space="preserve">In </w:t>
      </w:r>
      <w:r w:rsidR="0054130B" w:rsidRPr="003851FA">
        <w:rPr>
          <w:color w:val="000000"/>
        </w:rPr>
        <w:t>describing</w:t>
      </w:r>
      <w:r w:rsidRPr="003851FA">
        <w:rPr>
          <w:color w:val="000000"/>
        </w:rPr>
        <w:t xml:space="preserve"> </w:t>
      </w:r>
      <w:r w:rsidR="00E51BD2" w:rsidRPr="003851FA">
        <w:rPr>
          <w:color w:val="000000"/>
        </w:rPr>
        <w:t xml:space="preserve">the nature of the viewer </w:t>
      </w:r>
      <w:r w:rsidR="00011740" w:rsidRPr="003851FA">
        <w:rPr>
          <w:color w:val="000000"/>
        </w:rPr>
        <w:t>summoned</w:t>
      </w:r>
      <w:r w:rsidR="00757808" w:rsidRPr="003851FA">
        <w:rPr>
          <w:color w:val="000000"/>
        </w:rPr>
        <w:t xml:space="preserve"> by these voiceovers</w:t>
      </w:r>
      <w:r w:rsidR="00E51BD2" w:rsidRPr="003851FA">
        <w:rPr>
          <w:color w:val="000000"/>
        </w:rPr>
        <w:t xml:space="preserve">, however, </w:t>
      </w:r>
      <w:r w:rsidRPr="003851FA">
        <w:rPr>
          <w:color w:val="000000"/>
        </w:rPr>
        <w:t xml:space="preserve">it is important to emphasize </w:t>
      </w:r>
      <w:r w:rsidR="00E51BD2" w:rsidRPr="003851FA">
        <w:rPr>
          <w:color w:val="000000"/>
        </w:rPr>
        <w:t xml:space="preserve">the shifting context of the 1970s and 1980s, when these works were made. </w:t>
      </w:r>
      <w:r w:rsidR="001E5250" w:rsidRPr="003851FA">
        <w:rPr>
          <w:color w:val="000000"/>
        </w:rPr>
        <w:t xml:space="preserve">America </w:t>
      </w:r>
      <w:r w:rsidRPr="003851FA">
        <w:rPr>
          <w:color w:val="000000"/>
        </w:rPr>
        <w:t>of the late 1970s and 1980s was no longer ‘legally racist’ (the Civil Rights Act of 1968 arguably stamped out the last remaining Jim Crow laws)</w:t>
      </w:r>
      <w:r w:rsidR="00AF1967" w:rsidRPr="003851FA">
        <w:rPr>
          <w:color w:val="000000"/>
        </w:rPr>
        <w:t xml:space="preserve">. </w:t>
      </w:r>
      <w:r w:rsidR="00590F01" w:rsidRPr="003851FA">
        <w:rPr>
          <w:color w:val="000000"/>
        </w:rPr>
        <w:t>W</w:t>
      </w:r>
      <w:r w:rsidR="00C301E8" w:rsidRPr="003851FA">
        <w:rPr>
          <w:color w:val="000000"/>
        </w:rPr>
        <w:t>hile</w:t>
      </w:r>
      <w:r w:rsidR="00590F01" w:rsidRPr="003851FA">
        <w:rPr>
          <w:color w:val="000000"/>
        </w:rPr>
        <w:t>, of course,</w:t>
      </w:r>
      <w:r w:rsidR="00C301E8" w:rsidRPr="003851FA">
        <w:rPr>
          <w:color w:val="000000"/>
        </w:rPr>
        <w:t xml:space="preserve"> the struggle against discrimination continued, </w:t>
      </w:r>
      <w:r w:rsidR="00AF1967" w:rsidRPr="003851FA">
        <w:rPr>
          <w:color w:val="000000"/>
        </w:rPr>
        <w:t>one key</w:t>
      </w:r>
      <w:r w:rsidR="00C301E8" w:rsidRPr="003851FA">
        <w:rPr>
          <w:color w:val="000000"/>
        </w:rPr>
        <w:t xml:space="preserve"> change by </w:t>
      </w:r>
      <w:r w:rsidRPr="003851FA">
        <w:rPr>
          <w:color w:val="000000"/>
        </w:rPr>
        <w:t xml:space="preserve">the </w:t>
      </w:r>
      <w:r w:rsidR="00C301E8" w:rsidRPr="003851FA">
        <w:rPr>
          <w:color w:val="000000"/>
        </w:rPr>
        <w:t xml:space="preserve">late </w:t>
      </w:r>
      <w:r w:rsidRPr="003851FA">
        <w:rPr>
          <w:color w:val="000000"/>
        </w:rPr>
        <w:t>1970s and 1980s,</w:t>
      </w:r>
      <w:r w:rsidR="00590F01" w:rsidRPr="003851FA">
        <w:rPr>
          <w:color w:val="000000"/>
        </w:rPr>
        <w:t xml:space="preserve"> then, </w:t>
      </w:r>
      <w:r w:rsidRPr="003851FA">
        <w:rPr>
          <w:color w:val="000000"/>
        </w:rPr>
        <w:t xml:space="preserve">was the self-perception of white citizens in relation to this struggle. </w:t>
      </w:r>
      <w:r w:rsidR="00E47CC7" w:rsidRPr="003851FA">
        <w:rPr>
          <w:color w:val="000000"/>
        </w:rPr>
        <w:t>As can be seen from the national polls</w:t>
      </w:r>
      <w:r w:rsidR="002415D6" w:rsidRPr="003851FA">
        <w:rPr>
          <w:color w:val="000000"/>
        </w:rPr>
        <w:t xml:space="preserve"> of the period</w:t>
      </w:r>
      <w:r w:rsidR="00E47CC7" w:rsidRPr="003851FA">
        <w:rPr>
          <w:color w:val="000000"/>
        </w:rPr>
        <w:t>,</w:t>
      </w:r>
      <w:r w:rsidRPr="003851FA">
        <w:rPr>
          <w:color w:val="000000"/>
        </w:rPr>
        <w:t xml:space="preserve"> </w:t>
      </w:r>
      <w:r w:rsidR="00711840" w:rsidRPr="003851FA">
        <w:rPr>
          <w:color w:val="000000"/>
        </w:rPr>
        <w:t xml:space="preserve">white </w:t>
      </w:r>
      <w:r w:rsidR="001E5250" w:rsidRPr="003851FA">
        <w:rPr>
          <w:color w:val="000000"/>
        </w:rPr>
        <w:t>America</w:t>
      </w:r>
      <w:r w:rsidRPr="003851FA">
        <w:rPr>
          <w:color w:val="000000"/>
        </w:rPr>
        <w:t xml:space="preserve"> now </w:t>
      </w:r>
      <w:r w:rsidR="002D01C6" w:rsidRPr="003851FA">
        <w:rPr>
          <w:color w:val="000000"/>
        </w:rPr>
        <w:t xml:space="preserve">mostly </w:t>
      </w:r>
      <w:r w:rsidR="00C301E8" w:rsidRPr="003851FA">
        <w:rPr>
          <w:color w:val="000000"/>
        </w:rPr>
        <w:t xml:space="preserve">considered </w:t>
      </w:r>
      <w:r w:rsidR="001E5250" w:rsidRPr="003851FA">
        <w:rPr>
          <w:color w:val="000000"/>
        </w:rPr>
        <w:t xml:space="preserve">itself </w:t>
      </w:r>
      <w:r w:rsidRPr="003851FA">
        <w:rPr>
          <w:color w:val="000000"/>
        </w:rPr>
        <w:t>as on board with the integrationist demands made in the 1960s by civil rights leaders like Martin Luther King</w:t>
      </w:r>
      <w:r w:rsidR="00360B84" w:rsidRPr="003851FA">
        <w:rPr>
          <w:color w:val="000000"/>
        </w:rPr>
        <w:t xml:space="preserve">; problematically, however, </w:t>
      </w:r>
      <w:r w:rsidR="00C5638C" w:rsidRPr="003851FA">
        <w:rPr>
          <w:color w:val="000000"/>
        </w:rPr>
        <w:t xml:space="preserve">white respondents tended to consider </w:t>
      </w:r>
      <w:r w:rsidR="00B07725" w:rsidRPr="003851FA">
        <w:rPr>
          <w:color w:val="000000"/>
        </w:rPr>
        <w:t xml:space="preserve">the struggle against racism as </w:t>
      </w:r>
      <w:r w:rsidR="00C5638C" w:rsidRPr="003851FA">
        <w:rPr>
          <w:color w:val="000000"/>
        </w:rPr>
        <w:t xml:space="preserve">thereby </w:t>
      </w:r>
      <w:r w:rsidR="00B07725" w:rsidRPr="003851FA">
        <w:rPr>
          <w:color w:val="000000"/>
        </w:rPr>
        <w:t>completed</w:t>
      </w:r>
      <w:r w:rsidR="00E47CC7" w:rsidRPr="003851FA">
        <w:rPr>
          <w:color w:val="000000"/>
        </w:rPr>
        <w:t xml:space="preserve"> </w:t>
      </w:r>
      <w:r w:rsidR="00B07725" w:rsidRPr="003851FA">
        <w:rPr>
          <w:color w:val="000000"/>
        </w:rPr>
        <w:t>(</w:t>
      </w:r>
      <w:r w:rsidR="00B07725" w:rsidRPr="003851FA">
        <w:rPr>
          <w:b/>
          <w:color w:val="000000"/>
        </w:rPr>
        <w:t>Table 1</w:t>
      </w:r>
      <w:r w:rsidR="00B07725" w:rsidRPr="003851FA">
        <w:rPr>
          <w:color w:val="000000"/>
        </w:rPr>
        <w:t xml:space="preserve">). From the 1960s to the 1990s, polls showed a steady liberalization of attitudes among white respondents insofar as the ‘in principle’ issues of racial integration are concerned. White respondents gradually but significantly moved towards the near-universal (over 90%) espousal of </w:t>
      </w:r>
      <w:r w:rsidR="009B7C20" w:rsidRPr="003851FA">
        <w:rPr>
          <w:color w:val="000000"/>
        </w:rPr>
        <w:t xml:space="preserve">equal rights </w:t>
      </w:r>
      <w:r w:rsidR="00A978DF" w:rsidRPr="003851FA">
        <w:rPr>
          <w:color w:val="000000"/>
        </w:rPr>
        <w:t>for</w:t>
      </w:r>
      <w:r w:rsidR="009B7C20" w:rsidRPr="003851FA">
        <w:rPr>
          <w:color w:val="000000"/>
        </w:rPr>
        <w:t xml:space="preserve"> employment</w:t>
      </w:r>
      <w:r w:rsidR="00A978DF" w:rsidRPr="003851FA">
        <w:rPr>
          <w:color w:val="000000"/>
        </w:rPr>
        <w:t>,</w:t>
      </w:r>
      <w:r w:rsidR="009B7C20" w:rsidRPr="003851FA">
        <w:rPr>
          <w:color w:val="000000"/>
        </w:rPr>
        <w:t xml:space="preserve"> and </w:t>
      </w:r>
      <w:r w:rsidR="00A978DF" w:rsidRPr="003851FA">
        <w:rPr>
          <w:color w:val="000000"/>
        </w:rPr>
        <w:t xml:space="preserve">embraced the </w:t>
      </w:r>
      <w:r w:rsidR="009B7C20" w:rsidRPr="003851FA">
        <w:rPr>
          <w:color w:val="000000"/>
        </w:rPr>
        <w:t xml:space="preserve">desegregation of schools. </w:t>
      </w:r>
      <w:r w:rsidR="00EC7C54" w:rsidRPr="003851FA">
        <w:rPr>
          <w:color w:val="000000"/>
        </w:rPr>
        <w:t xml:space="preserve">However, </w:t>
      </w:r>
      <w:r w:rsidR="00B07725" w:rsidRPr="003851FA">
        <w:rPr>
          <w:color w:val="000000"/>
        </w:rPr>
        <w:t xml:space="preserve">white respondents </w:t>
      </w:r>
      <w:r w:rsidR="00EC7C54" w:rsidRPr="003851FA">
        <w:rPr>
          <w:color w:val="000000"/>
        </w:rPr>
        <w:t xml:space="preserve">also became </w:t>
      </w:r>
      <w:r w:rsidR="00B07725" w:rsidRPr="003851FA">
        <w:rPr>
          <w:i/>
          <w:color w:val="000000"/>
        </w:rPr>
        <w:t xml:space="preserve">less likely </w:t>
      </w:r>
      <w:r w:rsidR="00B07725" w:rsidRPr="003851FA">
        <w:rPr>
          <w:color w:val="000000"/>
        </w:rPr>
        <w:lastRenderedPageBreak/>
        <w:t xml:space="preserve">to perceive black citizens as victims of discrimination (from 41% in 1977 to 34% in 1996). When it came to </w:t>
      </w:r>
      <w:r w:rsidR="00B07725" w:rsidRPr="003851FA">
        <w:rPr>
          <w:i/>
          <w:color w:val="000000"/>
        </w:rPr>
        <w:t xml:space="preserve">implementing </w:t>
      </w:r>
      <w:r w:rsidR="00EC7C54" w:rsidRPr="003851FA">
        <w:rPr>
          <w:color w:val="000000"/>
        </w:rPr>
        <w:t xml:space="preserve">racial equality by government intervention in schooling or employment practices, the responses either remained unchanged or, in the case of school desegregation, even exhibited a trend towards greater resistance. Acceptance of </w:t>
      </w:r>
      <w:r w:rsidR="00EC7C54" w:rsidRPr="003851FA">
        <w:rPr>
          <w:i/>
          <w:color w:val="000000"/>
        </w:rPr>
        <w:t xml:space="preserve">social </w:t>
      </w:r>
      <w:r w:rsidR="00EC7C54" w:rsidRPr="003851FA">
        <w:rPr>
          <w:color w:val="000000"/>
        </w:rPr>
        <w:t xml:space="preserve">proximity </w:t>
      </w:r>
      <w:r w:rsidR="002A1564" w:rsidRPr="003851FA">
        <w:rPr>
          <w:color w:val="000000"/>
        </w:rPr>
        <w:t>to</w:t>
      </w:r>
      <w:r w:rsidR="00EC7C54" w:rsidRPr="003851FA">
        <w:rPr>
          <w:color w:val="000000"/>
        </w:rPr>
        <w:t xml:space="preserve"> the racially other also lagged: intermarriage moved from </w:t>
      </w:r>
      <w:r w:rsidR="00B07725" w:rsidRPr="003851FA">
        <w:rPr>
          <w:color w:val="000000"/>
        </w:rPr>
        <w:t>27% approval in 1972 to (only) 67% in 1997.</w:t>
      </w:r>
      <w:r w:rsidR="002A1564" w:rsidRPr="003851FA">
        <w:rPr>
          <w:color w:val="000000"/>
        </w:rPr>
        <w:t xml:space="preserve"> Therefore, while black Americans continued to experience inequality and discrimination,</w:t>
      </w:r>
      <w:r w:rsidR="002A1564" w:rsidRPr="003851FA">
        <w:rPr>
          <w:rStyle w:val="EndnoteReference"/>
          <w:color w:val="000000"/>
        </w:rPr>
        <w:endnoteReference w:id="58"/>
      </w:r>
      <w:r w:rsidR="002A1564" w:rsidRPr="003851FA">
        <w:rPr>
          <w:color w:val="000000"/>
        </w:rPr>
        <w:t xml:space="preserve"> white Americans tended to espouse equality in principle </w:t>
      </w:r>
      <w:r w:rsidR="002A1564" w:rsidRPr="003851FA">
        <w:rPr>
          <w:i/>
          <w:color w:val="000000"/>
        </w:rPr>
        <w:t xml:space="preserve">but </w:t>
      </w:r>
      <w:r w:rsidR="002A1564" w:rsidRPr="003851FA">
        <w:rPr>
          <w:color w:val="000000"/>
        </w:rPr>
        <w:t>resist</w:t>
      </w:r>
      <w:r w:rsidR="00CD3C87" w:rsidRPr="003851FA">
        <w:rPr>
          <w:color w:val="000000"/>
        </w:rPr>
        <w:t>ed</w:t>
      </w:r>
      <w:r w:rsidR="002A1564" w:rsidRPr="003851FA">
        <w:rPr>
          <w:color w:val="000000"/>
        </w:rPr>
        <w:t xml:space="preserve"> its implementation.</w:t>
      </w:r>
      <w:r w:rsidR="00CD3C87" w:rsidRPr="003851FA">
        <w:rPr>
          <w:rStyle w:val="EndnoteReference"/>
          <w:color w:val="000000"/>
        </w:rPr>
        <w:t xml:space="preserve"> </w:t>
      </w:r>
      <w:r w:rsidR="00CD3C87" w:rsidRPr="003851FA">
        <w:rPr>
          <w:rStyle w:val="EndnoteReference"/>
          <w:color w:val="000000"/>
        </w:rPr>
        <w:endnoteReference w:id="59"/>
      </w:r>
    </w:p>
    <w:p w14:paraId="43FDA917" w14:textId="6CB6DA49" w:rsidR="00634A66" w:rsidRPr="003851FA" w:rsidRDefault="001F3159" w:rsidP="00494DB4">
      <w:pPr>
        <w:pStyle w:val="BodyText1"/>
        <w:rPr>
          <w:color w:val="000000"/>
        </w:rPr>
      </w:pPr>
      <w:r w:rsidRPr="003851FA">
        <w:rPr>
          <w:color w:val="000000"/>
        </w:rPr>
        <w:tab/>
      </w:r>
      <w:r w:rsidR="00FD6A46" w:rsidRPr="003851FA">
        <w:rPr>
          <w:color w:val="000000"/>
        </w:rPr>
        <w:t>Against this background, the generation of</w:t>
      </w:r>
      <w:r w:rsidR="002255CE" w:rsidRPr="003851FA">
        <w:rPr>
          <w:color w:val="000000"/>
        </w:rPr>
        <w:t xml:space="preserve"> anti-racism activists</w:t>
      </w:r>
      <w:r w:rsidR="00CD3C87" w:rsidRPr="003851FA">
        <w:rPr>
          <w:color w:val="000000"/>
        </w:rPr>
        <w:t xml:space="preserve"> working through the </w:t>
      </w:r>
      <w:r w:rsidR="002255CE" w:rsidRPr="003851FA">
        <w:rPr>
          <w:color w:val="000000"/>
        </w:rPr>
        <w:t xml:space="preserve">1970s </w:t>
      </w:r>
      <w:r w:rsidR="001E17CD" w:rsidRPr="003851FA">
        <w:rPr>
          <w:color w:val="000000"/>
        </w:rPr>
        <w:t>to the 1990s</w:t>
      </w:r>
      <w:r w:rsidR="002255CE" w:rsidRPr="003851FA">
        <w:rPr>
          <w:color w:val="000000"/>
        </w:rPr>
        <w:t xml:space="preserve">, </w:t>
      </w:r>
      <w:r w:rsidR="00AC2FF0" w:rsidRPr="003851FA">
        <w:rPr>
          <w:color w:val="000000"/>
        </w:rPr>
        <w:t>sought to</w:t>
      </w:r>
      <w:r w:rsidR="0084571B" w:rsidRPr="003851FA">
        <w:rPr>
          <w:color w:val="000000"/>
        </w:rPr>
        <w:t xml:space="preserve"> </w:t>
      </w:r>
      <w:r w:rsidR="00AC2FF0" w:rsidRPr="003851FA">
        <w:rPr>
          <w:color w:val="000000"/>
        </w:rPr>
        <w:t xml:space="preserve">disrupt the triumphalist complacency of liberal America and point to subtler, but pervasive forms of racism that </w:t>
      </w:r>
      <w:r w:rsidR="00C3653B" w:rsidRPr="003851FA">
        <w:rPr>
          <w:color w:val="000000"/>
        </w:rPr>
        <w:t xml:space="preserve">still </w:t>
      </w:r>
      <w:r w:rsidR="00AC2FF0" w:rsidRPr="003851FA">
        <w:rPr>
          <w:color w:val="000000"/>
        </w:rPr>
        <w:t xml:space="preserve">persisted. </w:t>
      </w:r>
      <w:r w:rsidRPr="003851FA">
        <w:rPr>
          <w:color w:val="000000"/>
        </w:rPr>
        <w:t>We can notice that focus in the work of feminist writers of colour (e.g. Audre Lorde, Angela Davis, Gloria Evangelina Anzaldúa, bell hooks), critical race theorists (e.g. Derrick Bell, Richard Delgado, Alan Freeman, Kimberlé Crenshaw, Mari Matsuda) and social psychologists (e.g. David Sears, John Dovidio, Patricia Devine, Lawrence Bobo</w:t>
      </w:r>
      <w:r w:rsidR="00EC1845" w:rsidRPr="003851FA">
        <w:rPr>
          <w:color w:val="000000"/>
        </w:rPr>
        <w:t>).</w:t>
      </w:r>
      <w:r w:rsidR="00CD66B3" w:rsidRPr="003851FA">
        <w:rPr>
          <w:color w:val="000000"/>
        </w:rPr>
        <w:t xml:space="preserve"> </w:t>
      </w:r>
      <w:r w:rsidR="00A06DB5" w:rsidRPr="003851FA">
        <w:rPr>
          <w:color w:val="000000"/>
        </w:rPr>
        <w:t xml:space="preserve">In illuminating Piper’s contribution, I will bring her installations into conversation with the work of this latter group. The focus of </w:t>
      </w:r>
      <w:r w:rsidR="00263EA9" w:rsidRPr="003851FA">
        <w:rPr>
          <w:color w:val="000000"/>
        </w:rPr>
        <w:t xml:space="preserve">social psychologists’ focus on </w:t>
      </w:r>
      <w:r w:rsidRPr="003851FA">
        <w:rPr>
          <w:color w:val="000000"/>
        </w:rPr>
        <w:t xml:space="preserve">‘modern,’ ‘symbolic,’ or ‘subtle’ </w:t>
      </w:r>
      <w:r w:rsidR="00263EA9" w:rsidRPr="003851FA">
        <w:rPr>
          <w:color w:val="000000"/>
        </w:rPr>
        <w:t xml:space="preserve">forms of </w:t>
      </w:r>
      <w:r w:rsidRPr="003851FA">
        <w:rPr>
          <w:color w:val="000000"/>
        </w:rPr>
        <w:t>racism</w:t>
      </w:r>
      <w:r w:rsidR="00263EA9" w:rsidRPr="003851FA">
        <w:rPr>
          <w:color w:val="000000"/>
        </w:rPr>
        <w:t xml:space="preserve"> in the 1970s and 1980s </w:t>
      </w:r>
      <w:r w:rsidR="00A06DB5" w:rsidRPr="003851FA">
        <w:rPr>
          <w:color w:val="000000"/>
        </w:rPr>
        <w:t xml:space="preserve">interestingly reflects what I </w:t>
      </w:r>
      <w:r w:rsidR="00A67560" w:rsidRPr="003851FA">
        <w:rPr>
          <w:color w:val="000000"/>
        </w:rPr>
        <w:t xml:space="preserve">take to be </w:t>
      </w:r>
      <w:r w:rsidR="00263EA9" w:rsidRPr="003851FA">
        <w:rPr>
          <w:color w:val="000000"/>
        </w:rPr>
        <w:t xml:space="preserve">Piper’s </w:t>
      </w:r>
      <w:r w:rsidR="00A06DB5" w:rsidRPr="003851FA">
        <w:rPr>
          <w:color w:val="000000"/>
        </w:rPr>
        <w:t xml:space="preserve">contemporaneous </w:t>
      </w:r>
      <w:r w:rsidR="00A67560" w:rsidRPr="003851FA">
        <w:rPr>
          <w:color w:val="000000"/>
        </w:rPr>
        <w:t xml:space="preserve">artistic </w:t>
      </w:r>
      <w:r w:rsidR="00263EA9" w:rsidRPr="003851FA">
        <w:rPr>
          <w:color w:val="000000"/>
        </w:rPr>
        <w:t>investigation into that same set of attitudes.</w:t>
      </w:r>
      <w:r w:rsidRPr="003851FA">
        <w:rPr>
          <w:rStyle w:val="EndnoteReference"/>
          <w:color w:val="000000"/>
        </w:rPr>
        <w:endnoteReference w:id="60"/>
      </w:r>
      <w:r w:rsidR="00D61CCE" w:rsidRPr="003851FA">
        <w:rPr>
          <w:color w:val="000000"/>
        </w:rPr>
        <w:t xml:space="preserve"> </w:t>
      </w:r>
      <w:r w:rsidR="005250DF" w:rsidRPr="003851FA">
        <w:rPr>
          <w:color w:val="000000"/>
        </w:rPr>
        <w:t>As described by social psychology, s</w:t>
      </w:r>
      <w:r w:rsidRPr="003851FA">
        <w:rPr>
          <w:color w:val="000000"/>
        </w:rPr>
        <w:t xml:space="preserve">ubtly racist attitudes, unlike overtly racist ones, are not a matter of </w:t>
      </w:r>
      <w:r w:rsidR="00D61CCE" w:rsidRPr="003851FA">
        <w:rPr>
          <w:color w:val="000000"/>
        </w:rPr>
        <w:t xml:space="preserve">consciously </w:t>
      </w:r>
      <w:r w:rsidRPr="003851FA">
        <w:rPr>
          <w:color w:val="000000"/>
        </w:rPr>
        <w:t xml:space="preserve">endorsing the belief that </w:t>
      </w:r>
      <w:r w:rsidR="00D61CCE" w:rsidRPr="003851FA">
        <w:rPr>
          <w:color w:val="000000"/>
        </w:rPr>
        <w:t xml:space="preserve">the racially other is morally or </w:t>
      </w:r>
      <w:r w:rsidR="008D3267" w:rsidRPr="003851FA">
        <w:rPr>
          <w:color w:val="000000"/>
        </w:rPr>
        <w:t xml:space="preserve">aptitudinally </w:t>
      </w:r>
      <w:r w:rsidRPr="003851FA">
        <w:rPr>
          <w:color w:val="000000"/>
        </w:rPr>
        <w:t>inferior</w:t>
      </w:r>
      <w:r w:rsidR="00494DB4" w:rsidRPr="003851FA">
        <w:rPr>
          <w:color w:val="000000"/>
        </w:rPr>
        <w:t xml:space="preserve">. Instead, they are exhibited as, for example, </w:t>
      </w:r>
      <w:r w:rsidR="001932D3" w:rsidRPr="003851FA">
        <w:rPr>
          <w:color w:val="000000"/>
        </w:rPr>
        <w:t>sublimated hostility towards integration,</w:t>
      </w:r>
      <w:r w:rsidR="001932D3" w:rsidRPr="003851FA">
        <w:rPr>
          <w:rStyle w:val="EndnoteReference"/>
          <w:color w:val="000000"/>
        </w:rPr>
        <w:endnoteReference w:id="61"/>
      </w:r>
      <w:r w:rsidR="00494DB4" w:rsidRPr="003851FA">
        <w:rPr>
          <w:color w:val="000000"/>
        </w:rPr>
        <w:t xml:space="preserve"> implicit biases</w:t>
      </w:r>
      <w:bookmarkStart w:id="2" w:name="_Ref457158083"/>
      <w:r w:rsidR="00494DB4" w:rsidRPr="003851FA">
        <w:rPr>
          <w:rStyle w:val="EndnoteReference"/>
          <w:color w:val="000000"/>
        </w:rPr>
        <w:endnoteReference w:id="62"/>
      </w:r>
      <w:bookmarkEnd w:id="2"/>
      <w:r w:rsidR="00494DB4" w:rsidRPr="003851FA">
        <w:rPr>
          <w:color w:val="000000"/>
        </w:rPr>
        <w:t xml:space="preserve"> or a greater willingness to rationalize a demerit or transgression committed by an ethnically other.</w:t>
      </w:r>
      <w:r w:rsidR="00494DB4" w:rsidRPr="003851FA">
        <w:rPr>
          <w:rStyle w:val="EndnoteReference"/>
          <w:color w:val="000000"/>
        </w:rPr>
        <w:endnoteReference w:id="63"/>
      </w:r>
      <w:r w:rsidR="00494DB4" w:rsidRPr="003851FA">
        <w:rPr>
          <w:color w:val="000000"/>
        </w:rPr>
        <w:t xml:space="preserve"> Crucially, </w:t>
      </w:r>
      <w:r w:rsidR="00BB75E4" w:rsidRPr="003851FA">
        <w:rPr>
          <w:color w:val="000000"/>
        </w:rPr>
        <w:t>these attitudes</w:t>
      </w:r>
      <w:r w:rsidR="00494DB4" w:rsidRPr="003851FA">
        <w:rPr>
          <w:color w:val="000000"/>
        </w:rPr>
        <w:t xml:space="preserve"> are compatible with the subject believing s/he is not racist</w:t>
      </w:r>
      <w:r w:rsidR="00634A66" w:rsidRPr="003851FA">
        <w:rPr>
          <w:color w:val="000000"/>
        </w:rPr>
        <w:t xml:space="preserve">, despite the pernicious </w:t>
      </w:r>
      <w:r w:rsidR="00634A66" w:rsidRPr="003851FA">
        <w:rPr>
          <w:color w:val="000000"/>
        </w:rPr>
        <w:lastRenderedPageBreak/>
        <w:t>effect they may have; this is perhaps most dramatically shown by racial prejudice patterns in jury-based trials.</w:t>
      </w:r>
      <w:r w:rsidR="00634A66" w:rsidRPr="003851FA">
        <w:rPr>
          <w:rStyle w:val="EndnoteReference"/>
          <w:color w:val="000000"/>
        </w:rPr>
        <w:endnoteReference w:id="64"/>
      </w:r>
      <w:r w:rsidR="00634A66" w:rsidRPr="003851FA">
        <w:rPr>
          <w:color w:val="000000"/>
        </w:rPr>
        <w:t xml:space="preserve"> </w:t>
      </w:r>
    </w:p>
    <w:p w14:paraId="417E7B8E" w14:textId="7B3790F9" w:rsidR="000C2505" w:rsidRPr="003851FA" w:rsidRDefault="000C2505" w:rsidP="00A0542A">
      <w:pPr>
        <w:pStyle w:val="BodyText1"/>
        <w:rPr>
          <w:color w:val="000000"/>
        </w:rPr>
      </w:pPr>
      <w:r w:rsidRPr="003851FA">
        <w:rPr>
          <w:color w:val="000000"/>
        </w:rPr>
        <w:tab/>
        <w:t xml:space="preserve">Mapping these studies onto Piper’s installations, we may note that the initial trigger for the viewer’s emotional reaction to the work is </w:t>
      </w:r>
      <w:r w:rsidR="005C532D" w:rsidRPr="003851FA">
        <w:rPr>
          <w:color w:val="000000"/>
        </w:rPr>
        <w:t xml:space="preserve">usually </w:t>
      </w:r>
      <w:r w:rsidRPr="003851FA">
        <w:rPr>
          <w:color w:val="000000"/>
        </w:rPr>
        <w:t>something quite simple, a found photographic image of a black person</w:t>
      </w:r>
      <w:r w:rsidR="00A1359C" w:rsidRPr="003851FA">
        <w:rPr>
          <w:color w:val="000000"/>
        </w:rPr>
        <w:t xml:space="preserve">. </w:t>
      </w:r>
      <w:r w:rsidR="00780814" w:rsidRPr="003851FA">
        <w:rPr>
          <w:color w:val="000000"/>
        </w:rPr>
        <w:t xml:space="preserve">Interestingly, for the </w:t>
      </w:r>
      <w:r w:rsidR="00A0542A" w:rsidRPr="003851FA">
        <w:rPr>
          <w:color w:val="000000"/>
        </w:rPr>
        <w:t xml:space="preserve">viewer </w:t>
      </w:r>
      <w:r w:rsidR="005150DE" w:rsidRPr="003851FA">
        <w:rPr>
          <w:color w:val="000000"/>
        </w:rPr>
        <w:t>implied in</w:t>
      </w:r>
      <w:r w:rsidR="00A0542A" w:rsidRPr="003851FA">
        <w:rPr>
          <w:color w:val="000000"/>
        </w:rPr>
        <w:t xml:space="preserve"> the voiceover, such an image is enough to recognize the work as a piece of ‘political’ art; t</w:t>
      </w:r>
      <w:r w:rsidRPr="003851FA">
        <w:rPr>
          <w:color w:val="000000"/>
        </w:rPr>
        <w:t xml:space="preserve">he central emotion of each piece is therefore not the feeling of flagrant racist dislike of black people, but the </w:t>
      </w:r>
      <w:r w:rsidR="00A0542A" w:rsidRPr="003851FA">
        <w:rPr>
          <w:color w:val="000000"/>
        </w:rPr>
        <w:t xml:space="preserve">comparatively mild </w:t>
      </w:r>
      <w:r w:rsidRPr="003851FA">
        <w:rPr>
          <w:color w:val="000000"/>
        </w:rPr>
        <w:t xml:space="preserve">affective </w:t>
      </w:r>
      <w:r w:rsidR="00A0542A" w:rsidRPr="003851FA">
        <w:rPr>
          <w:color w:val="000000"/>
        </w:rPr>
        <w:t>dislike</w:t>
      </w:r>
      <w:r w:rsidRPr="003851FA">
        <w:rPr>
          <w:color w:val="000000"/>
        </w:rPr>
        <w:t xml:space="preserve"> </w:t>
      </w:r>
      <w:r w:rsidR="00A0542A" w:rsidRPr="003851FA">
        <w:rPr>
          <w:color w:val="000000"/>
        </w:rPr>
        <w:t xml:space="preserve">that one </w:t>
      </w:r>
      <w:r w:rsidRPr="003851FA">
        <w:rPr>
          <w:color w:val="000000"/>
        </w:rPr>
        <w:t>might feel towards</w:t>
      </w:r>
      <w:r w:rsidR="00A0542A" w:rsidRPr="003851FA">
        <w:rPr>
          <w:color w:val="000000"/>
        </w:rPr>
        <w:t xml:space="preserve"> the </w:t>
      </w:r>
      <w:r w:rsidR="00A0542A" w:rsidRPr="003851FA">
        <w:rPr>
          <w:i/>
          <w:color w:val="000000"/>
        </w:rPr>
        <w:t xml:space="preserve">topic </w:t>
      </w:r>
      <w:r w:rsidR="00A0542A" w:rsidRPr="003851FA">
        <w:rPr>
          <w:color w:val="000000"/>
        </w:rPr>
        <w:t>of racism being discussed</w:t>
      </w:r>
      <w:r w:rsidRPr="003851FA">
        <w:rPr>
          <w:color w:val="000000"/>
        </w:rPr>
        <w:t>. This</w:t>
      </w:r>
      <w:r w:rsidR="00A0542A" w:rsidRPr="003851FA">
        <w:rPr>
          <w:color w:val="000000"/>
        </w:rPr>
        <w:t xml:space="preserve"> is similar to what became known as ‘aversive racism,’ the mildly negative feelings that lead to avoidance of the racially other rather than confrontation</w:t>
      </w:r>
      <w:bookmarkStart w:id="3" w:name="_Ref456870201"/>
      <w:r w:rsidR="00A0542A" w:rsidRPr="003851FA">
        <w:rPr>
          <w:color w:val="000000"/>
        </w:rPr>
        <w:t>,</w:t>
      </w:r>
      <w:r w:rsidR="00A0542A" w:rsidRPr="003851FA">
        <w:rPr>
          <w:rStyle w:val="EndnoteReference"/>
          <w:color w:val="000000"/>
        </w:rPr>
        <w:endnoteReference w:id="65"/>
      </w:r>
      <w:bookmarkEnd w:id="3"/>
      <w:r w:rsidR="00A0542A" w:rsidRPr="003851FA">
        <w:rPr>
          <w:color w:val="000000"/>
        </w:rPr>
        <w:t xml:space="preserve"> as well as ‘stereotype threat’, the unwillingness amongst white survey respondents to discuss political issues with a black pollster, due to a</w:t>
      </w:r>
      <w:r w:rsidR="00EE7FBC" w:rsidRPr="003851FA">
        <w:rPr>
          <w:color w:val="000000"/>
        </w:rPr>
        <w:t xml:space="preserve">n </w:t>
      </w:r>
      <w:r w:rsidR="00EE7FBC" w:rsidRPr="003851FA">
        <w:rPr>
          <w:i/>
          <w:color w:val="000000"/>
        </w:rPr>
        <w:t>a priori</w:t>
      </w:r>
      <w:r w:rsidR="00A0542A" w:rsidRPr="003851FA">
        <w:rPr>
          <w:color w:val="000000"/>
        </w:rPr>
        <w:t xml:space="preserve"> worry that they will be perceived as racist.</w:t>
      </w:r>
      <w:r w:rsidRPr="003851FA">
        <w:rPr>
          <w:rStyle w:val="EndnoteReference"/>
          <w:color w:val="000000"/>
        </w:rPr>
        <w:endnoteReference w:id="66"/>
      </w:r>
      <w:r w:rsidRPr="003851FA">
        <w:rPr>
          <w:color w:val="000000"/>
        </w:rPr>
        <w:t xml:space="preserve"> </w:t>
      </w:r>
    </w:p>
    <w:p w14:paraId="06C39221" w14:textId="629F27C5" w:rsidR="008D2589" w:rsidRPr="003851FA" w:rsidRDefault="00FD5F52" w:rsidP="008D2589">
      <w:pPr>
        <w:pStyle w:val="BodyText1"/>
        <w:rPr>
          <w:color w:val="000000"/>
        </w:rPr>
      </w:pPr>
      <w:r w:rsidRPr="003851FA">
        <w:rPr>
          <w:color w:val="000000"/>
        </w:rPr>
        <w:tab/>
        <w:t xml:space="preserve">However, if </w:t>
      </w:r>
      <w:r w:rsidR="00D72F78" w:rsidRPr="003851FA">
        <w:rPr>
          <w:color w:val="000000"/>
        </w:rPr>
        <w:t>in real life such mild tactics of avoidan</w:t>
      </w:r>
      <w:r w:rsidR="00515F26" w:rsidRPr="003851FA">
        <w:rPr>
          <w:color w:val="000000"/>
        </w:rPr>
        <w:t>ce can go unnoticed</w:t>
      </w:r>
      <w:r w:rsidR="0056496D" w:rsidRPr="003851FA">
        <w:rPr>
          <w:color w:val="000000"/>
        </w:rPr>
        <w:t xml:space="preserve"> by the subject</w:t>
      </w:r>
      <w:r w:rsidR="00D72F78" w:rsidRPr="003851FA">
        <w:rPr>
          <w:color w:val="000000"/>
        </w:rPr>
        <w:t xml:space="preserve">, </w:t>
      </w:r>
      <w:r w:rsidR="00515F26" w:rsidRPr="003851FA">
        <w:rPr>
          <w:color w:val="000000"/>
        </w:rPr>
        <w:t>they take centre stage in</w:t>
      </w:r>
      <w:r w:rsidR="008D2589" w:rsidRPr="003851FA">
        <w:rPr>
          <w:color w:val="000000"/>
        </w:rPr>
        <w:t xml:space="preserve"> these installations. As in the early works, one of the key tasks for the installations is to arrest the (viewer’s) consciousness in the</w:t>
      </w:r>
      <w:r w:rsidR="00F97FA1" w:rsidRPr="003851FA">
        <w:rPr>
          <w:color w:val="000000"/>
        </w:rPr>
        <w:t xml:space="preserve"> instantaneous</w:t>
      </w:r>
      <w:r w:rsidR="008D2589" w:rsidRPr="003851FA">
        <w:rPr>
          <w:color w:val="000000"/>
        </w:rPr>
        <w:t xml:space="preserve"> ‘here and now’, the moment Piper came to discuss </w:t>
      </w:r>
      <w:r w:rsidR="00F97FA1" w:rsidRPr="003851FA">
        <w:rPr>
          <w:color w:val="000000"/>
        </w:rPr>
        <w:t xml:space="preserve">later </w:t>
      </w:r>
      <w:r w:rsidR="008D2589" w:rsidRPr="003851FA">
        <w:rPr>
          <w:color w:val="000000"/>
        </w:rPr>
        <w:t>under the heading ‘the indexical present.’</w:t>
      </w:r>
      <w:r w:rsidR="008D2589" w:rsidRPr="003851FA">
        <w:rPr>
          <w:rStyle w:val="EndnoteReference"/>
          <w:color w:val="000000"/>
        </w:rPr>
        <w:endnoteReference w:id="67"/>
      </w:r>
      <w:r w:rsidR="008D2589" w:rsidRPr="003851FA">
        <w:rPr>
          <w:color w:val="000000"/>
        </w:rPr>
        <w:t xml:space="preserve"> </w:t>
      </w:r>
      <w:r w:rsidR="0056496D" w:rsidRPr="003851FA">
        <w:rPr>
          <w:color w:val="000000"/>
        </w:rPr>
        <w:t>However, if</w:t>
      </w:r>
      <w:r w:rsidR="008D2589" w:rsidRPr="003851FA">
        <w:rPr>
          <w:color w:val="000000"/>
        </w:rPr>
        <w:t xml:space="preserve"> </w:t>
      </w:r>
      <w:r w:rsidR="0056496D" w:rsidRPr="003851FA">
        <w:rPr>
          <w:color w:val="000000"/>
        </w:rPr>
        <w:t xml:space="preserve">in </w:t>
      </w:r>
      <w:r w:rsidR="008D2589" w:rsidRPr="003851FA">
        <w:rPr>
          <w:color w:val="000000"/>
        </w:rPr>
        <w:t xml:space="preserve">a work like </w:t>
      </w:r>
      <w:r w:rsidR="008D2589" w:rsidRPr="003851FA">
        <w:rPr>
          <w:i/>
          <w:color w:val="000000"/>
        </w:rPr>
        <w:t xml:space="preserve">Catalysis </w:t>
      </w:r>
      <w:r w:rsidR="008D2589" w:rsidRPr="003851FA">
        <w:rPr>
          <w:color w:val="000000"/>
        </w:rPr>
        <w:t xml:space="preserve">Piper experimented with </w:t>
      </w:r>
      <w:r w:rsidR="00F97FA1" w:rsidRPr="003851FA">
        <w:rPr>
          <w:color w:val="000000"/>
        </w:rPr>
        <w:t xml:space="preserve">the audience’s </w:t>
      </w:r>
      <w:r w:rsidR="0056496D" w:rsidRPr="003851FA">
        <w:rPr>
          <w:color w:val="000000"/>
        </w:rPr>
        <w:t xml:space="preserve">consciousness </w:t>
      </w:r>
      <w:r w:rsidR="008D2589" w:rsidRPr="003851FA">
        <w:rPr>
          <w:color w:val="000000"/>
        </w:rPr>
        <w:t xml:space="preserve">outside of the art </w:t>
      </w:r>
      <w:r w:rsidR="00E54915" w:rsidRPr="003851FA">
        <w:rPr>
          <w:color w:val="000000"/>
        </w:rPr>
        <w:t>environment</w:t>
      </w:r>
      <w:r w:rsidR="008D2589" w:rsidRPr="003851FA">
        <w:rPr>
          <w:color w:val="000000"/>
        </w:rPr>
        <w:t xml:space="preserve">, </w:t>
      </w:r>
      <w:r w:rsidR="0056496D" w:rsidRPr="003851FA">
        <w:rPr>
          <w:color w:val="000000"/>
        </w:rPr>
        <w:t xml:space="preserve">in </w:t>
      </w:r>
      <w:r w:rsidR="008D2589" w:rsidRPr="003851FA">
        <w:rPr>
          <w:color w:val="000000"/>
        </w:rPr>
        <w:t xml:space="preserve">the </w:t>
      </w:r>
      <w:r w:rsidR="00F97FA1" w:rsidRPr="003851FA">
        <w:rPr>
          <w:color w:val="000000"/>
        </w:rPr>
        <w:t xml:space="preserve">1978-92 </w:t>
      </w:r>
      <w:r w:rsidR="008D2589" w:rsidRPr="003851FA">
        <w:rPr>
          <w:color w:val="000000"/>
        </w:rPr>
        <w:t xml:space="preserve">installations </w:t>
      </w:r>
      <w:r w:rsidR="00F97FA1" w:rsidRPr="003851FA">
        <w:rPr>
          <w:color w:val="000000"/>
        </w:rPr>
        <w:t xml:space="preserve">the art </w:t>
      </w:r>
      <w:r w:rsidR="00E54915" w:rsidRPr="003851FA">
        <w:rPr>
          <w:color w:val="000000"/>
        </w:rPr>
        <w:t>setting</w:t>
      </w:r>
      <w:r w:rsidR="008D2589" w:rsidRPr="003851FA">
        <w:rPr>
          <w:color w:val="000000"/>
        </w:rPr>
        <w:t xml:space="preserve"> becomes key for focusing on the present.</w:t>
      </w:r>
      <w:r w:rsidR="0084290F" w:rsidRPr="003851FA">
        <w:rPr>
          <w:color w:val="000000"/>
        </w:rPr>
        <w:t xml:space="preserve"> </w:t>
      </w:r>
      <w:r w:rsidR="008D2589" w:rsidRPr="003851FA">
        <w:rPr>
          <w:color w:val="000000"/>
        </w:rPr>
        <w:t xml:space="preserve">This is most clearly evident in the installation </w:t>
      </w:r>
      <w:r w:rsidR="008D2589" w:rsidRPr="003851FA">
        <w:rPr>
          <w:i/>
          <w:color w:val="000000"/>
        </w:rPr>
        <w:t xml:space="preserve">Aspects of the Liberal Dilemma </w:t>
      </w:r>
      <w:r w:rsidR="008D2589" w:rsidRPr="003851FA">
        <w:rPr>
          <w:color w:val="000000"/>
        </w:rPr>
        <w:t xml:space="preserve">(1978) </w:t>
      </w:r>
      <w:r w:rsidR="00AE41AC" w:rsidRPr="003851FA">
        <w:rPr>
          <w:b/>
          <w:color w:val="000000"/>
        </w:rPr>
        <w:t>(Figure</w:t>
      </w:r>
      <w:r w:rsidR="00EB7F70" w:rsidRPr="003851FA">
        <w:rPr>
          <w:b/>
          <w:color w:val="000000"/>
        </w:rPr>
        <w:t xml:space="preserve"> 14</w:t>
      </w:r>
      <w:r w:rsidR="008D2589" w:rsidRPr="003851FA">
        <w:rPr>
          <w:b/>
          <w:color w:val="000000"/>
        </w:rPr>
        <w:t>)</w:t>
      </w:r>
      <w:r w:rsidR="008D2589" w:rsidRPr="003851FA">
        <w:rPr>
          <w:color w:val="000000"/>
        </w:rPr>
        <w:t xml:space="preserve">. Here a newspaper picture of black </w:t>
      </w:r>
      <w:r w:rsidR="00E54915" w:rsidRPr="003851FA">
        <w:rPr>
          <w:color w:val="000000"/>
        </w:rPr>
        <w:t xml:space="preserve">men is shown out of the original context and </w:t>
      </w:r>
      <w:r w:rsidR="008D2589" w:rsidRPr="003851FA">
        <w:rPr>
          <w:color w:val="000000"/>
        </w:rPr>
        <w:t>covered with reflective Plexiglas that reflects the visitor’s face. The monologue played on a concealed sound system addresses the viewer as ‘you’:</w:t>
      </w:r>
    </w:p>
    <w:p w14:paraId="3B7E875E" w14:textId="6A7A4E73" w:rsidR="008D2589" w:rsidRPr="003851FA" w:rsidRDefault="008D2589" w:rsidP="008D2589">
      <w:pPr>
        <w:pStyle w:val="BodyText1"/>
        <w:ind w:left="360"/>
        <w:rPr>
          <w:color w:val="000000"/>
          <w:sz w:val="22"/>
        </w:rPr>
      </w:pPr>
      <w:r w:rsidRPr="003851FA">
        <w:rPr>
          <w:color w:val="000000"/>
          <w:sz w:val="22"/>
        </w:rPr>
        <w:t>It doesn’t matter who these people are. They’re parts of a piece of art, which is part of an art exhibit, in an art gallery, right here, right now. […] You want to have an aesthetic experience: to be fulfilled, elevated, edified, irritated. […</w:t>
      </w:r>
      <w:r w:rsidR="00DA65CD" w:rsidRPr="003851FA">
        <w:rPr>
          <w:color w:val="000000"/>
          <w:sz w:val="22"/>
        </w:rPr>
        <w:t>]</w:t>
      </w:r>
      <w:r w:rsidR="00F83F1F" w:rsidRPr="003851FA">
        <w:rPr>
          <w:rStyle w:val="EndnoteReference"/>
          <w:color w:val="000000"/>
        </w:rPr>
        <w:endnoteReference w:id="68"/>
      </w:r>
    </w:p>
    <w:p w14:paraId="1678AA6A" w14:textId="09F56C5F" w:rsidR="008D2589" w:rsidRPr="003851FA" w:rsidRDefault="00DA65CD" w:rsidP="00730594">
      <w:pPr>
        <w:pStyle w:val="BodyText1"/>
        <w:rPr>
          <w:color w:val="000000"/>
        </w:rPr>
      </w:pPr>
      <w:r w:rsidRPr="003851FA">
        <w:lastRenderedPageBreak/>
        <w:t xml:space="preserve">As the monologue progresses, the viewer is described as </w:t>
      </w:r>
      <w:r w:rsidR="008D2589" w:rsidRPr="003851FA">
        <w:rPr>
          <w:color w:val="000000"/>
        </w:rPr>
        <w:t>growing increasingly impatient and frustrated by the work,</w:t>
      </w:r>
      <w:r w:rsidRPr="003851FA">
        <w:rPr>
          <w:color w:val="000000"/>
        </w:rPr>
        <w:t xml:space="preserve"> and feeling preached to</w:t>
      </w:r>
      <w:r w:rsidR="008D2589" w:rsidRPr="003851FA">
        <w:rPr>
          <w:color w:val="000000"/>
        </w:rPr>
        <w:t>.</w:t>
      </w:r>
      <w:r w:rsidRPr="003851FA">
        <w:rPr>
          <w:color w:val="000000"/>
        </w:rPr>
        <w:t xml:space="preserve"> </w:t>
      </w:r>
      <w:r w:rsidR="00E54915" w:rsidRPr="003851FA">
        <w:rPr>
          <w:color w:val="000000"/>
        </w:rPr>
        <w:t xml:space="preserve">Interestingly, several studies in unconscious stereotyping, which have revealed the white American subjects’ tendency to more readily associate negative emotions with black faces, are likewise based on trying to capture a ‘here and now’; they </w:t>
      </w:r>
      <w:r w:rsidR="00944F19" w:rsidRPr="003851FA">
        <w:rPr>
          <w:color w:val="000000"/>
        </w:rPr>
        <w:t>measure</w:t>
      </w:r>
      <w:r w:rsidR="00E54915" w:rsidRPr="003851FA">
        <w:rPr>
          <w:color w:val="000000"/>
        </w:rPr>
        <w:t xml:space="preserve"> the speed </w:t>
      </w:r>
      <w:r w:rsidR="00944F19" w:rsidRPr="003851FA">
        <w:rPr>
          <w:color w:val="000000"/>
        </w:rPr>
        <w:t>with which the viewer</w:t>
      </w:r>
      <w:r w:rsidR="00E54915" w:rsidRPr="003851FA">
        <w:rPr>
          <w:color w:val="000000"/>
        </w:rPr>
        <w:t xml:space="preserve"> </w:t>
      </w:r>
      <w:r w:rsidR="00944F19" w:rsidRPr="003851FA">
        <w:rPr>
          <w:color w:val="000000"/>
        </w:rPr>
        <w:t>can associate positive or negative attributes with images of white or black people</w:t>
      </w:r>
      <w:r w:rsidR="00E54915" w:rsidRPr="003851FA">
        <w:rPr>
          <w:color w:val="000000"/>
        </w:rPr>
        <w:t>.</w:t>
      </w:r>
      <w:r w:rsidR="00E54915" w:rsidRPr="003851FA">
        <w:rPr>
          <w:rStyle w:val="EndnoteReference"/>
          <w:color w:val="000000"/>
        </w:rPr>
        <w:endnoteReference w:id="69"/>
      </w:r>
      <w:r w:rsidR="00E54915" w:rsidRPr="003851FA">
        <w:rPr>
          <w:color w:val="000000"/>
        </w:rPr>
        <w:t xml:space="preserve"> </w:t>
      </w:r>
      <w:r w:rsidR="00730594" w:rsidRPr="003851FA">
        <w:rPr>
          <w:color w:val="000000"/>
        </w:rPr>
        <w:t xml:space="preserve">In </w:t>
      </w:r>
      <w:r w:rsidR="00730594" w:rsidRPr="003851FA">
        <w:rPr>
          <w:i/>
          <w:color w:val="000000"/>
        </w:rPr>
        <w:t xml:space="preserve">Aspects of the Liberal Dilemma, </w:t>
      </w:r>
      <w:r w:rsidR="00730594" w:rsidRPr="003851FA">
        <w:rPr>
          <w:color w:val="000000"/>
        </w:rPr>
        <w:t>however, we have a</w:t>
      </w:r>
      <w:r w:rsidR="00857EC7" w:rsidRPr="003851FA">
        <w:rPr>
          <w:color w:val="000000"/>
        </w:rPr>
        <w:t xml:space="preserve"> </w:t>
      </w:r>
      <w:r w:rsidR="00F97FA1" w:rsidRPr="003851FA">
        <w:rPr>
          <w:i/>
          <w:color w:val="000000"/>
        </w:rPr>
        <w:t>prolonged</w:t>
      </w:r>
      <w:r w:rsidR="00F97FA1" w:rsidRPr="003851FA">
        <w:rPr>
          <w:color w:val="000000"/>
        </w:rPr>
        <w:t xml:space="preserve"> </w:t>
      </w:r>
      <w:r w:rsidR="00857EC7" w:rsidRPr="003851FA">
        <w:rPr>
          <w:color w:val="000000"/>
        </w:rPr>
        <w:t xml:space="preserve">fixation on </w:t>
      </w:r>
      <w:r w:rsidR="00730594" w:rsidRPr="003851FA">
        <w:rPr>
          <w:color w:val="000000"/>
        </w:rPr>
        <w:t>that putative initial moment of aversion.</w:t>
      </w:r>
    </w:p>
    <w:p w14:paraId="23FDD293" w14:textId="172DCB9A" w:rsidR="006C53DE" w:rsidRPr="003851FA" w:rsidRDefault="00E46D99" w:rsidP="001932D3">
      <w:pPr>
        <w:pStyle w:val="BodyText1"/>
        <w:rPr>
          <w:b/>
          <w:i/>
          <w:color w:val="000000"/>
        </w:rPr>
      </w:pPr>
      <w:r w:rsidRPr="003851FA">
        <w:rPr>
          <w:color w:val="000000"/>
        </w:rPr>
        <w:tab/>
        <w:t xml:space="preserve">A few of Piper’s later works, like the </w:t>
      </w:r>
      <w:r w:rsidRPr="003851FA">
        <w:rPr>
          <w:i/>
          <w:color w:val="000000"/>
        </w:rPr>
        <w:t xml:space="preserve">Catalysis </w:t>
      </w:r>
      <w:r w:rsidRPr="003851FA">
        <w:rPr>
          <w:color w:val="000000"/>
        </w:rPr>
        <w:t>series</w:t>
      </w:r>
      <w:r w:rsidRPr="003851FA">
        <w:rPr>
          <w:i/>
          <w:color w:val="000000"/>
        </w:rPr>
        <w:t xml:space="preserve">, </w:t>
      </w:r>
      <w:r w:rsidRPr="003851FA">
        <w:rPr>
          <w:color w:val="000000"/>
        </w:rPr>
        <w:t xml:space="preserve">utilise Piper’s own presence as the catalytic effect on the viewer. In the video installation </w:t>
      </w:r>
      <w:r w:rsidRPr="003851FA">
        <w:rPr>
          <w:i/>
          <w:color w:val="000000"/>
        </w:rPr>
        <w:t xml:space="preserve">Cornered </w:t>
      </w:r>
      <w:r w:rsidRPr="003851FA">
        <w:rPr>
          <w:color w:val="000000"/>
        </w:rPr>
        <w:t xml:space="preserve">(1988), however, the artist is no longer a bizarre unannounced presence on the subway: she appears in a neutral blue cardigan and pearls; she is perhaps even conservatively dressed for an art-world presence. She smiles at the viewer, holds our gaze and then announces, plainly, ‘I am black’ </w:t>
      </w:r>
      <w:r w:rsidRPr="003851FA">
        <w:rPr>
          <w:b/>
          <w:color w:val="000000"/>
        </w:rPr>
        <w:t>(Figure</w:t>
      </w:r>
      <w:r w:rsidR="00EB7F70" w:rsidRPr="003851FA">
        <w:rPr>
          <w:b/>
          <w:color w:val="000000"/>
        </w:rPr>
        <w:t>s 16-17</w:t>
      </w:r>
      <w:r w:rsidRPr="003851FA">
        <w:rPr>
          <w:b/>
          <w:color w:val="000000"/>
        </w:rPr>
        <w:t>).</w:t>
      </w:r>
      <w:r w:rsidRPr="003851FA">
        <w:rPr>
          <w:color w:val="000000"/>
        </w:rPr>
        <w:t xml:space="preserve"> Perhaps we feel, Piper asks, that she is making ‘an unnecessary fuss’ by declaring her identity in this way, but if she does not announce her identity, she has to put up with racist remarks that white people make in her presence, believing that she is white.</w:t>
      </w:r>
      <w:r w:rsidRPr="003851FA">
        <w:rPr>
          <w:rStyle w:val="EndnoteReference"/>
          <w:color w:val="000000"/>
        </w:rPr>
        <w:endnoteReference w:id="70"/>
      </w:r>
      <w:r w:rsidRPr="003851FA">
        <w:rPr>
          <w:color w:val="000000"/>
        </w:rPr>
        <w:t xml:space="preserve"> In this way, </w:t>
      </w:r>
      <w:r w:rsidRPr="003851FA">
        <w:rPr>
          <w:i/>
          <w:color w:val="000000"/>
        </w:rPr>
        <w:t xml:space="preserve">Cornered </w:t>
      </w:r>
      <w:r w:rsidRPr="003851FA">
        <w:rPr>
          <w:color w:val="000000"/>
        </w:rPr>
        <w:t>is one of a number of works that thematise Piper’s</w:t>
      </w:r>
      <w:r w:rsidR="003D19B4" w:rsidRPr="003851FA">
        <w:rPr>
          <w:color w:val="000000"/>
        </w:rPr>
        <w:t xml:space="preserve">, and her family’s, </w:t>
      </w:r>
      <w:r w:rsidRPr="003851FA">
        <w:rPr>
          <w:color w:val="000000"/>
        </w:rPr>
        <w:t>personal predicament as black person</w:t>
      </w:r>
      <w:r w:rsidR="003D19B4" w:rsidRPr="003851FA">
        <w:rPr>
          <w:color w:val="000000"/>
        </w:rPr>
        <w:t>s</w:t>
      </w:r>
      <w:r w:rsidRPr="003851FA">
        <w:rPr>
          <w:color w:val="000000"/>
        </w:rPr>
        <w:t xml:space="preserve"> who can ‘pass for’ white</w:t>
      </w:r>
      <w:r w:rsidR="003D19B4" w:rsidRPr="003851FA">
        <w:rPr>
          <w:color w:val="000000"/>
        </w:rPr>
        <w:t>.</w:t>
      </w:r>
      <w:r w:rsidRPr="003851FA">
        <w:rPr>
          <w:rStyle w:val="EndnoteReference"/>
          <w:color w:val="000000"/>
        </w:rPr>
        <w:endnoteReference w:id="71"/>
      </w:r>
      <w:r w:rsidRPr="003851FA">
        <w:rPr>
          <w:color w:val="000000"/>
        </w:rPr>
        <w:t xml:space="preserve"> </w:t>
      </w:r>
      <w:r w:rsidR="001E08D8" w:rsidRPr="003851FA">
        <w:rPr>
          <w:color w:val="000000"/>
        </w:rPr>
        <w:t>Evoking</w:t>
      </w:r>
      <w:r w:rsidR="003D19B4" w:rsidRPr="003851FA">
        <w:rPr>
          <w:color w:val="000000"/>
        </w:rPr>
        <w:t xml:space="preserve"> what has been described as ‘covert racism’, these works thereby </w:t>
      </w:r>
      <w:r w:rsidR="00E74769" w:rsidRPr="003851FA">
        <w:rPr>
          <w:color w:val="000000"/>
        </w:rPr>
        <w:t xml:space="preserve">address the tendency of </w:t>
      </w:r>
      <w:r w:rsidR="003D19B4" w:rsidRPr="003851FA">
        <w:rPr>
          <w:color w:val="000000"/>
        </w:rPr>
        <w:t xml:space="preserve">white subjects to </w:t>
      </w:r>
      <w:r w:rsidRPr="003851FA">
        <w:rPr>
          <w:color w:val="000000"/>
        </w:rPr>
        <w:t>endorse illiberal or racist beliefs in non-public and all-white environments.</w:t>
      </w:r>
      <w:r w:rsidRPr="003851FA">
        <w:rPr>
          <w:rStyle w:val="EndnoteReference"/>
          <w:color w:val="000000"/>
        </w:rPr>
        <w:endnoteReference w:id="72"/>
      </w:r>
      <w:r w:rsidRPr="003851FA">
        <w:rPr>
          <w:color w:val="000000"/>
        </w:rPr>
        <w:t xml:space="preserve"> </w:t>
      </w:r>
      <w:r w:rsidR="003D19B4" w:rsidRPr="003851FA">
        <w:rPr>
          <w:color w:val="000000"/>
        </w:rPr>
        <w:t xml:space="preserve">However, the work is not only notable as a piece of testimony, but for the brilliance of its rhetoric, beginning with </w:t>
      </w:r>
      <w:r w:rsidRPr="003851FA">
        <w:rPr>
          <w:color w:val="000000"/>
        </w:rPr>
        <w:t xml:space="preserve">the </w:t>
      </w:r>
      <w:r w:rsidR="00E74769" w:rsidRPr="003851FA">
        <w:rPr>
          <w:color w:val="000000"/>
        </w:rPr>
        <w:t xml:space="preserve">discomfort that such a simple </w:t>
      </w:r>
      <w:r w:rsidRPr="003851FA">
        <w:rPr>
          <w:color w:val="000000"/>
        </w:rPr>
        <w:t xml:space="preserve">initial remark—‘I am black’—has the power to occasion. </w:t>
      </w:r>
      <w:r w:rsidR="003D19B4" w:rsidRPr="003851FA">
        <w:rPr>
          <w:color w:val="000000"/>
        </w:rPr>
        <w:t xml:space="preserve">If one feels uncomfortable </w:t>
      </w:r>
      <w:r w:rsidR="00C357A4" w:rsidRPr="003851FA">
        <w:rPr>
          <w:color w:val="000000"/>
        </w:rPr>
        <w:t xml:space="preserve">(preached to?) that may </w:t>
      </w:r>
      <w:r w:rsidR="00853808" w:rsidRPr="003851FA">
        <w:rPr>
          <w:color w:val="000000"/>
        </w:rPr>
        <w:t xml:space="preserve">simply </w:t>
      </w:r>
      <w:r w:rsidR="00C357A4" w:rsidRPr="003851FA">
        <w:rPr>
          <w:color w:val="000000"/>
        </w:rPr>
        <w:t xml:space="preserve">be because one </w:t>
      </w:r>
      <w:r w:rsidR="00853808" w:rsidRPr="003851FA">
        <w:rPr>
          <w:color w:val="000000"/>
        </w:rPr>
        <w:t xml:space="preserve">does not want to run the risk of seeming racist, and would prefer to avoid any discussion altogether. The viewer may </w:t>
      </w:r>
      <w:r w:rsidR="003D19B4" w:rsidRPr="003851FA">
        <w:rPr>
          <w:color w:val="000000"/>
        </w:rPr>
        <w:t xml:space="preserve">shrink away from the issue rather than see it, as Piper suggests in the video, as </w:t>
      </w:r>
      <w:r w:rsidR="00853808" w:rsidRPr="003851FA">
        <w:rPr>
          <w:color w:val="000000"/>
        </w:rPr>
        <w:t>‘our’—her and the viewer’s—</w:t>
      </w:r>
      <w:r w:rsidR="003D19B4" w:rsidRPr="003851FA">
        <w:rPr>
          <w:color w:val="000000"/>
        </w:rPr>
        <w:t>problem.</w:t>
      </w:r>
      <w:r w:rsidR="00853808" w:rsidRPr="003851FA">
        <w:rPr>
          <w:color w:val="000000"/>
        </w:rPr>
        <w:t xml:space="preserve"> </w:t>
      </w:r>
      <w:r w:rsidR="00A5212D" w:rsidRPr="003851FA">
        <w:rPr>
          <w:color w:val="000000"/>
        </w:rPr>
        <w:t>The viewer is shown as</w:t>
      </w:r>
      <w:r w:rsidR="003D19B4" w:rsidRPr="003851FA">
        <w:rPr>
          <w:color w:val="000000"/>
        </w:rPr>
        <w:t xml:space="preserve"> cornered by </w:t>
      </w:r>
      <w:r w:rsidR="00A5212D" w:rsidRPr="003851FA">
        <w:rPr>
          <w:color w:val="000000"/>
        </w:rPr>
        <w:t xml:space="preserve">his or her attitudes, </w:t>
      </w:r>
      <w:r w:rsidR="003D19B4" w:rsidRPr="003851FA">
        <w:rPr>
          <w:color w:val="000000"/>
        </w:rPr>
        <w:t xml:space="preserve">as </w:t>
      </w:r>
      <w:r w:rsidR="003D19B4" w:rsidRPr="003851FA">
        <w:rPr>
          <w:color w:val="000000"/>
        </w:rPr>
        <w:lastRenderedPageBreak/>
        <w:t xml:space="preserve">much as the woman in the video is cornered by the objectionable choice between passing for white and </w:t>
      </w:r>
      <w:r w:rsidR="00A5212D" w:rsidRPr="003851FA">
        <w:rPr>
          <w:color w:val="000000"/>
        </w:rPr>
        <w:t>courting hostility</w:t>
      </w:r>
      <w:r w:rsidR="003D19B4" w:rsidRPr="003851FA">
        <w:rPr>
          <w:color w:val="000000"/>
        </w:rPr>
        <w:t>.</w:t>
      </w:r>
    </w:p>
    <w:p w14:paraId="766F901F" w14:textId="0E27E3EA" w:rsidR="001932D3" w:rsidRPr="003851FA" w:rsidRDefault="001932D3" w:rsidP="001932D3">
      <w:pPr>
        <w:pStyle w:val="BodyText1"/>
        <w:rPr>
          <w:color w:val="000000"/>
        </w:rPr>
      </w:pPr>
      <w:r w:rsidRPr="003851FA">
        <w:rPr>
          <w:color w:val="000000"/>
        </w:rPr>
        <w:tab/>
        <w:t xml:space="preserve">There </w:t>
      </w:r>
      <w:r w:rsidRPr="003851FA">
        <w:rPr>
          <w:i/>
          <w:color w:val="000000"/>
        </w:rPr>
        <w:t>is</w:t>
      </w:r>
      <w:r w:rsidR="001E08D8" w:rsidRPr="003851FA">
        <w:rPr>
          <w:i/>
          <w:color w:val="000000"/>
        </w:rPr>
        <w:t>,</w:t>
      </w:r>
      <w:r w:rsidRPr="003851FA">
        <w:rPr>
          <w:color w:val="000000"/>
        </w:rPr>
        <w:t xml:space="preserve"> </w:t>
      </w:r>
      <w:r w:rsidR="006B09F1" w:rsidRPr="003851FA">
        <w:rPr>
          <w:color w:val="000000"/>
        </w:rPr>
        <w:t>then</w:t>
      </w:r>
      <w:r w:rsidR="001E08D8" w:rsidRPr="003851FA">
        <w:rPr>
          <w:color w:val="000000"/>
        </w:rPr>
        <w:t>,</w:t>
      </w:r>
      <w:r w:rsidR="006B09F1" w:rsidRPr="003851FA">
        <w:rPr>
          <w:color w:val="000000"/>
        </w:rPr>
        <w:t xml:space="preserve"> </w:t>
      </w:r>
      <w:r w:rsidRPr="003851FA">
        <w:rPr>
          <w:color w:val="000000"/>
        </w:rPr>
        <w:t>an important structural similarity</w:t>
      </w:r>
      <w:r w:rsidR="006B09F1" w:rsidRPr="003851FA">
        <w:rPr>
          <w:color w:val="000000"/>
        </w:rPr>
        <w:t xml:space="preserve"> </w:t>
      </w:r>
      <w:r w:rsidRPr="003851FA">
        <w:rPr>
          <w:color w:val="000000"/>
        </w:rPr>
        <w:t xml:space="preserve">between the </w:t>
      </w:r>
      <w:r w:rsidR="006B09F1" w:rsidRPr="003851FA">
        <w:rPr>
          <w:color w:val="000000"/>
        </w:rPr>
        <w:t>1968-71</w:t>
      </w:r>
      <w:r w:rsidRPr="003851FA">
        <w:rPr>
          <w:color w:val="000000"/>
        </w:rPr>
        <w:t xml:space="preserve"> and the </w:t>
      </w:r>
      <w:r w:rsidR="006B09F1" w:rsidRPr="003851FA">
        <w:rPr>
          <w:color w:val="000000"/>
        </w:rPr>
        <w:t xml:space="preserve">1978-92 </w:t>
      </w:r>
      <w:r w:rsidRPr="003851FA">
        <w:rPr>
          <w:color w:val="000000"/>
        </w:rPr>
        <w:t>works</w:t>
      </w:r>
      <w:r w:rsidR="006B09F1" w:rsidRPr="003851FA">
        <w:rPr>
          <w:color w:val="000000"/>
        </w:rPr>
        <w:t>, even if we do not take the early works to broach the issue of racism</w:t>
      </w:r>
      <w:r w:rsidRPr="003851FA">
        <w:rPr>
          <w:color w:val="000000"/>
        </w:rPr>
        <w:t>. In the 1978–1992 corpus, Piper’s work continues to build on t</w:t>
      </w:r>
      <w:r w:rsidR="001E08D8" w:rsidRPr="003851FA">
        <w:rPr>
          <w:color w:val="000000"/>
        </w:rPr>
        <w:t xml:space="preserve">he key issues of Conceptual art, some of which were already broached by </w:t>
      </w:r>
      <w:r w:rsidRPr="003851FA">
        <w:rPr>
          <w:color w:val="000000"/>
        </w:rPr>
        <w:t xml:space="preserve">LeWitt: the relationship between the work’s instruction and the audience’s reaction (what Piper termed ‘catalysis’), and the ability of a consciousness to focus on, and self-analyse, the experience of the present moment (the ‘indexical present’). Recalling the strictures of Conceptual drawing that traced the artist’s consciousness in </w:t>
      </w:r>
      <w:r w:rsidRPr="003851FA">
        <w:rPr>
          <w:i/>
          <w:color w:val="000000"/>
        </w:rPr>
        <w:t xml:space="preserve">Hypothesis, </w:t>
      </w:r>
      <w:r w:rsidRPr="003851FA">
        <w:rPr>
          <w:color w:val="000000"/>
        </w:rPr>
        <w:t xml:space="preserve">each of the 1978–92 installations proceeds like a polygon for the viewer’s thought. One is never just confronted with an image, but also with a questionnaire or a voice-over, each forcing a new level of scrutiny upon one’s initial reaction. In </w:t>
      </w:r>
      <w:r w:rsidRPr="003851FA">
        <w:rPr>
          <w:i/>
          <w:color w:val="000000"/>
        </w:rPr>
        <w:t xml:space="preserve">Aspects of the Liberal Dilemma, </w:t>
      </w:r>
      <w:r w:rsidRPr="003851FA">
        <w:rPr>
          <w:color w:val="000000"/>
        </w:rPr>
        <w:t xml:space="preserve">the viewer is even forced to observe his or her own face in the Plexiglas that covers the photograph </w:t>
      </w:r>
      <w:r w:rsidR="00EB7F70" w:rsidRPr="003851FA">
        <w:rPr>
          <w:b/>
          <w:color w:val="000000"/>
        </w:rPr>
        <w:t>(Figure 15</w:t>
      </w:r>
      <w:r w:rsidRPr="003851FA">
        <w:rPr>
          <w:b/>
          <w:color w:val="000000"/>
        </w:rPr>
        <w:t>)</w:t>
      </w:r>
      <w:r w:rsidRPr="003851FA">
        <w:rPr>
          <w:color w:val="000000"/>
        </w:rPr>
        <w:t xml:space="preserve">. Here, then, it is the viewer who draws the line that his or her consciousness has travelled. </w:t>
      </w:r>
      <w:r w:rsidR="002F1E45" w:rsidRPr="003851FA">
        <w:rPr>
          <w:color w:val="000000"/>
        </w:rPr>
        <w:t>The bequest of early Conceptual art to later politically engaged practices, we might then suggest, was not in its subject matter but in its rhetoric.</w:t>
      </w:r>
    </w:p>
    <w:p w14:paraId="1AD21A59" w14:textId="21A82AFA" w:rsidR="00AF3A18" w:rsidRPr="003851FA" w:rsidRDefault="006B09F1" w:rsidP="002322ED">
      <w:pPr>
        <w:pStyle w:val="BodyText1"/>
        <w:rPr>
          <w:color w:val="000000"/>
        </w:rPr>
      </w:pPr>
      <w:r w:rsidRPr="003851FA">
        <w:rPr>
          <w:color w:val="000000"/>
        </w:rPr>
        <w:tab/>
      </w:r>
      <w:r w:rsidR="008F55E3" w:rsidRPr="003851FA">
        <w:rPr>
          <w:color w:val="000000"/>
        </w:rPr>
        <w:t>We</w:t>
      </w:r>
      <w:r w:rsidR="002F1E45" w:rsidRPr="003851FA">
        <w:rPr>
          <w:color w:val="000000"/>
        </w:rPr>
        <w:t xml:space="preserve"> might </w:t>
      </w:r>
      <w:r w:rsidR="008F55E3" w:rsidRPr="003851FA">
        <w:rPr>
          <w:color w:val="000000"/>
        </w:rPr>
        <w:t xml:space="preserve">also </w:t>
      </w:r>
      <w:r w:rsidR="002F1E45" w:rsidRPr="003851FA">
        <w:rPr>
          <w:color w:val="000000"/>
        </w:rPr>
        <w:t>ask again: who exactly is this viewer</w:t>
      </w:r>
      <w:r w:rsidR="008F55E3" w:rsidRPr="003851FA">
        <w:rPr>
          <w:color w:val="000000"/>
        </w:rPr>
        <w:t>?</w:t>
      </w:r>
      <w:r w:rsidR="002F1E45" w:rsidRPr="003851FA">
        <w:rPr>
          <w:color w:val="000000"/>
        </w:rPr>
        <w:t xml:space="preserve"> </w:t>
      </w:r>
      <w:r w:rsidR="002C6F4E" w:rsidRPr="003851FA">
        <w:rPr>
          <w:color w:val="000000"/>
        </w:rPr>
        <w:t>To the four viewers</w:t>
      </w:r>
      <w:r w:rsidR="0084290F" w:rsidRPr="003851FA">
        <w:rPr>
          <w:color w:val="000000"/>
        </w:rPr>
        <w:t xml:space="preserve"> discussed</w:t>
      </w:r>
      <w:r w:rsidR="00A11BC4" w:rsidRPr="003851FA">
        <w:rPr>
          <w:color w:val="000000"/>
        </w:rPr>
        <w:t xml:space="preserve"> in the previous section</w:t>
      </w:r>
      <w:r w:rsidR="0084290F" w:rsidRPr="003851FA">
        <w:rPr>
          <w:color w:val="000000"/>
        </w:rPr>
        <w:t>, we must</w:t>
      </w:r>
      <w:r w:rsidR="007D066E" w:rsidRPr="003851FA">
        <w:rPr>
          <w:color w:val="000000"/>
        </w:rPr>
        <w:t>,</w:t>
      </w:r>
      <w:r w:rsidR="0084290F" w:rsidRPr="003851FA">
        <w:rPr>
          <w:color w:val="000000"/>
        </w:rPr>
        <w:t xml:space="preserve"> </w:t>
      </w:r>
      <w:r w:rsidR="008F55E3" w:rsidRPr="003851FA">
        <w:rPr>
          <w:color w:val="000000"/>
        </w:rPr>
        <w:t>ultimately</w:t>
      </w:r>
      <w:r w:rsidR="007D066E" w:rsidRPr="003851FA">
        <w:rPr>
          <w:color w:val="000000"/>
        </w:rPr>
        <w:t>,</w:t>
      </w:r>
      <w:r w:rsidR="008F55E3" w:rsidRPr="003851FA">
        <w:rPr>
          <w:color w:val="000000"/>
        </w:rPr>
        <w:t xml:space="preserve"> </w:t>
      </w:r>
      <w:r w:rsidR="0084290F" w:rsidRPr="003851FA">
        <w:rPr>
          <w:color w:val="000000"/>
        </w:rPr>
        <w:t>add a fifth</w:t>
      </w:r>
      <w:r w:rsidR="00A11BC4" w:rsidRPr="003851FA">
        <w:rPr>
          <w:color w:val="000000"/>
        </w:rPr>
        <w:t>:</w:t>
      </w:r>
      <w:r w:rsidR="0084290F" w:rsidRPr="003851FA">
        <w:rPr>
          <w:color w:val="000000"/>
        </w:rPr>
        <w:t xml:space="preserve"> an artificial </w:t>
      </w:r>
      <w:r w:rsidR="004A21F3" w:rsidRPr="003851FA">
        <w:rPr>
          <w:color w:val="000000"/>
        </w:rPr>
        <w:t xml:space="preserve">character </w:t>
      </w:r>
      <w:r w:rsidR="0091070A" w:rsidRPr="003851FA">
        <w:rPr>
          <w:color w:val="000000"/>
        </w:rPr>
        <w:t xml:space="preserve">that </w:t>
      </w:r>
      <w:r w:rsidR="002E586D" w:rsidRPr="003851FA">
        <w:rPr>
          <w:color w:val="000000"/>
        </w:rPr>
        <w:t>I</w:t>
      </w:r>
      <w:r w:rsidR="0084290F" w:rsidRPr="003851FA">
        <w:rPr>
          <w:color w:val="000000"/>
        </w:rPr>
        <w:t xml:space="preserve"> </w:t>
      </w:r>
      <w:r w:rsidR="002E586D" w:rsidRPr="003851FA">
        <w:rPr>
          <w:color w:val="000000"/>
        </w:rPr>
        <w:t>have kept referring to, constructed</w:t>
      </w:r>
      <w:r w:rsidR="0084290F" w:rsidRPr="003851FA">
        <w:rPr>
          <w:color w:val="000000"/>
        </w:rPr>
        <w:t xml:space="preserve"> from </w:t>
      </w:r>
      <w:r w:rsidR="004A21F3" w:rsidRPr="003851FA">
        <w:rPr>
          <w:color w:val="000000"/>
        </w:rPr>
        <w:t>the person addressed or impersonated by Piper’s voiceovers</w:t>
      </w:r>
      <w:r w:rsidR="00A11BC4" w:rsidRPr="003851FA">
        <w:rPr>
          <w:color w:val="000000"/>
        </w:rPr>
        <w:t>,</w:t>
      </w:r>
      <w:r w:rsidR="004A21F3" w:rsidRPr="003851FA">
        <w:rPr>
          <w:color w:val="000000"/>
        </w:rPr>
        <w:t xml:space="preserve"> and from the </w:t>
      </w:r>
      <w:r w:rsidR="0002182A" w:rsidRPr="003851FA">
        <w:rPr>
          <w:color w:val="000000"/>
        </w:rPr>
        <w:t xml:space="preserve">socio-historical context of these works. </w:t>
      </w:r>
      <w:r w:rsidR="001F0F7C" w:rsidRPr="003851FA">
        <w:rPr>
          <w:color w:val="000000"/>
        </w:rPr>
        <w:t>T</w:t>
      </w:r>
      <w:r w:rsidR="0084290F" w:rsidRPr="003851FA">
        <w:rPr>
          <w:color w:val="000000"/>
        </w:rPr>
        <w:t xml:space="preserve">his </w:t>
      </w:r>
      <w:r w:rsidR="0028393B" w:rsidRPr="003851FA">
        <w:rPr>
          <w:color w:val="000000"/>
        </w:rPr>
        <w:t xml:space="preserve">fifth, socio-historical, </w:t>
      </w:r>
      <w:r w:rsidR="0084290F" w:rsidRPr="003851FA">
        <w:rPr>
          <w:color w:val="000000"/>
        </w:rPr>
        <w:t xml:space="preserve">viewer is a hypothesis, but a hypothesis </w:t>
      </w:r>
      <w:r w:rsidR="0002182A" w:rsidRPr="003851FA">
        <w:rPr>
          <w:color w:val="000000"/>
        </w:rPr>
        <w:t xml:space="preserve">to </w:t>
      </w:r>
      <w:r w:rsidR="0084290F" w:rsidRPr="003851FA">
        <w:rPr>
          <w:color w:val="000000"/>
        </w:rPr>
        <w:t xml:space="preserve">which the studies </w:t>
      </w:r>
      <w:r w:rsidR="00163FC0" w:rsidRPr="003851FA">
        <w:rPr>
          <w:color w:val="000000"/>
        </w:rPr>
        <w:t>here cited</w:t>
      </w:r>
      <w:r w:rsidR="0028393B" w:rsidRPr="003851FA">
        <w:rPr>
          <w:color w:val="000000"/>
        </w:rPr>
        <w:t xml:space="preserve"> </w:t>
      </w:r>
      <w:r w:rsidR="0084290F" w:rsidRPr="003851FA">
        <w:rPr>
          <w:color w:val="000000"/>
        </w:rPr>
        <w:t xml:space="preserve">add plausibility. </w:t>
      </w:r>
      <w:r w:rsidR="002322ED" w:rsidRPr="003851FA">
        <w:rPr>
          <w:color w:val="000000"/>
        </w:rPr>
        <w:t xml:space="preserve">In other words, if my reading Piper’s </w:t>
      </w:r>
      <w:r w:rsidR="00AF3A18" w:rsidRPr="003851FA">
        <w:rPr>
          <w:color w:val="000000"/>
        </w:rPr>
        <w:t>work</w:t>
      </w:r>
      <w:r w:rsidR="0091070A" w:rsidRPr="003851FA">
        <w:rPr>
          <w:color w:val="000000"/>
        </w:rPr>
        <w:t>s</w:t>
      </w:r>
      <w:r w:rsidR="00AF3A18" w:rsidRPr="003851FA">
        <w:rPr>
          <w:color w:val="000000"/>
        </w:rPr>
        <w:t xml:space="preserve"> side-by-side with social psychology </w:t>
      </w:r>
      <w:r w:rsidR="0091070A" w:rsidRPr="003851FA">
        <w:rPr>
          <w:color w:val="000000"/>
        </w:rPr>
        <w:t xml:space="preserve">seems at all </w:t>
      </w:r>
      <w:r w:rsidR="002322ED" w:rsidRPr="003851FA">
        <w:rPr>
          <w:color w:val="000000"/>
        </w:rPr>
        <w:t xml:space="preserve">convincing, then </w:t>
      </w:r>
      <w:r w:rsidR="0084290F" w:rsidRPr="003851FA">
        <w:rPr>
          <w:color w:val="000000"/>
        </w:rPr>
        <w:t xml:space="preserve">the viewer </w:t>
      </w:r>
      <w:r w:rsidR="0091070A" w:rsidRPr="003851FA">
        <w:rPr>
          <w:color w:val="000000"/>
        </w:rPr>
        <w:t xml:space="preserve">that </w:t>
      </w:r>
      <w:r w:rsidR="004A21F3" w:rsidRPr="003851FA">
        <w:rPr>
          <w:color w:val="000000"/>
        </w:rPr>
        <w:t xml:space="preserve">Piper’s </w:t>
      </w:r>
      <w:r w:rsidR="0084290F" w:rsidRPr="003851FA">
        <w:rPr>
          <w:color w:val="000000"/>
        </w:rPr>
        <w:t xml:space="preserve">installations so masterly evoke is precisely the ‘subtly racist’ </w:t>
      </w:r>
      <w:r w:rsidR="002322ED" w:rsidRPr="003851FA">
        <w:rPr>
          <w:color w:val="000000"/>
        </w:rPr>
        <w:t>subject</w:t>
      </w:r>
      <w:r w:rsidR="0084290F" w:rsidRPr="003851FA">
        <w:rPr>
          <w:color w:val="000000"/>
        </w:rPr>
        <w:t xml:space="preserve"> of liberal</w:t>
      </w:r>
      <w:r w:rsidR="002322ED" w:rsidRPr="003851FA">
        <w:rPr>
          <w:color w:val="000000"/>
        </w:rPr>
        <w:t>, post-civil-rights</w:t>
      </w:r>
      <w:r w:rsidR="0084290F" w:rsidRPr="003851FA">
        <w:rPr>
          <w:color w:val="000000"/>
        </w:rPr>
        <w:t xml:space="preserve"> America. (While I could not find any racism studies pertaining to a gallery-going public, it is interesting that higher education has been shown to correlate with </w:t>
      </w:r>
      <w:r w:rsidR="0084290F" w:rsidRPr="003851FA">
        <w:rPr>
          <w:color w:val="000000"/>
        </w:rPr>
        <w:lastRenderedPageBreak/>
        <w:t>higher commitment to liberal principles, but not to higher commitment to their implementation).</w:t>
      </w:r>
      <w:r w:rsidR="0084290F" w:rsidRPr="003851FA">
        <w:rPr>
          <w:rStyle w:val="EndnoteReference"/>
          <w:color w:val="000000"/>
        </w:rPr>
        <w:endnoteReference w:id="73"/>
      </w:r>
      <w:r w:rsidR="0084290F" w:rsidRPr="003851FA">
        <w:rPr>
          <w:color w:val="000000"/>
        </w:rPr>
        <w:t xml:space="preserve"> </w:t>
      </w:r>
    </w:p>
    <w:p w14:paraId="0DDAD479" w14:textId="409FECA7" w:rsidR="0028393B" w:rsidRPr="003851FA" w:rsidRDefault="00AF3A18" w:rsidP="0091070A">
      <w:pPr>
        <w:pStyle w:val="BodyText1"/>
        <w:rPr>
          <w:color w:val="000000"/>
        </w:rPr>
      </w:pPr>
      <w:r w:rsidRPr="003851FA">
        <w:rPr>
          <w:color w:val="000000"/>
        </w:rPr>
        <w:tab/>
      </w:r>
      <w:r w:rsidR="0084290F" w:rsidRPr="003851FA">
        <w:rPr>
          <w:color w:val="000000"/>
        </w:rPr>
        <w:t>That</w:t>
      </w:r>
      <w:r w:rsidR="00B36FC0" w:rsidRPr="003851FA">
        <w:rPr>
          <w:i/>
          <w:color w:val="000000"/>
        </w:rPr>
        <w:t xml:space="preserve"> </w:t>
      </w:r>
      <w:r w:rsidR="0084290F" w:rsidRPr="003851FA">
        <w:rPr>
          <w:color w:val="000000"/>
        </w:rPr>
        <w:t>is not to suggest</w:t>
      </w:r>
      <w:r w:rsidR="00B36FC0" w:rsidRPr="003851FA">
        <w:rPr>
          <w:color w:val="000000"/>
        </w:rPr>
        <w:t>, of course,</w:t>
      </w:r>
      <w:r w:rsidR="0084290F" w:rsidRPr="003851FA">
        <w:rPr>
          <w:color w:val="000000"/>
        </w:rPr>
        <w:t xml:space="preserve"> that </w:t>
      </w:r>
      <w:r w:rsidR="00BF2DF6" w:rsidRPr="003851FA">
        <w:rPr>
          <w:color w:val="000000"/>
        </w:rPr>
        <w:t xml:space="preserve">any </w:t>
      </w:r>
      <w:r w:rsidR="002F1E45" w:rsidRPr="003851FA">
        <w:rPr>
          <w:i/>
          <w:color w:val="000000"/>
        </w:rPr>
        <w:t xml:space="preserve">individual </w:t>
      </w:r>
      <w:r w:rsidR="00BF2DF6" w:rsidRPr="003851FA">
        <w:rPr>
          <w:color w:val="000000"/>
        </w:rPr>
        <w:t>viewer</w:t>
      </w:r>
      <w:r w:rsidR="00DD625C" w:rsidRPr="003851FA">
        <w:rPr>
          <w:color w:val="000000"/>
        </w:rPr>
        <w:t xml:space="preserve"> </w:t>
      </w:r>
      <w:r w:rsidR="004A21F3" w:rsidRPr="003851FA">
        <w:rPr>
          <w:color w:val="000000"/>
        </w:rPr>
        <w:t>must</w:t>
      </w:r>
      <w:r w:rsidR="00DD625C" w:rsidRPr="003851FA">
        <w:rPr>
          <w:color w:val="000000"/>
        </w:rPr>
        <w:t xml:space="preserve"> </w:t>
      </w:r>
      <w:r w:rsidR="002F1E45" w:rsidRPr="003851FA">
        <w:rPr>
          <w:color w:val="000000"/>
        </w:rPr>
        <w:t xml:space="preserve">have </w:t>
      </w:r>
      <w:r w:rsidR="00DD625C" w:rsidRPr="003851FA">
        <w:rPr>
          <w:color w:val="000000"/>
        </w:rPr>
        <w:t>react</w:t>
      </w:r>
      <w:r w:rsidR="002F1E45" w:rsidRPr="003851FA">
        <w:rPr>
          <w:color w:val="000000"/>
        </w:rPr>
        <w:t>ed</w:t>
      </w:r>
      <w:r w:rsidR="00DD625C" w:rsidRPr="003851FA">
        <w:rPr>
          <w:color w:val="000000"/>
        </w:rPr>
        <w:t xml:space="preserve"> in this way</w:t>
      </w:r>
      <w:r w:rsidR="002F1E45" w:rsidRPr="003851FA">
        <w:rPr>
          <w:color w:val="000000"/>
        </w:rPr>
        <w:t xml:space="preserve"> (though </w:t>
      </w:r>
      <w:r w:rsidR="000E5B40">
        <w:rPr>
          <w:color w:val="000000"/>
        </w:rPr>
        <w:t xml:space="preserve">it suggests </w:t>
      </w:r>
      <w:r w:rsidR="002F1E45" w:rsidRPr="003851FA">
        <w:rPr>
          <w:color w:val="000000"/>
        </w:rPr>
        <w:t>many probably did)</w:t>
      </w:r>
      <w:r w:rsidR="00DD625C" w:rsidRPr="003851FA">
        <w:rPr>
          <w:color w:val="000000"/>
        </w:rPr>
        <w:t>.</w:t>
      </w:r>
      <w:r w:rsidR="00945390" w:rsidRPr="003851FA">
        <w:rPr>
          <w:color w:val="000000"/>
        </w:rPr>
        <w:t xml:space="preserve"> </w:t>
      </w:r>
      <w:r w:rsidR="00B36FC0" w:rsidRPr="003851FA">
        <w:rPr>
          <w:color w:val="000000"/>
        </w:rPr>
        <w:t>It is to argue, rather, that the</w:t>
      </w:r>
      <w:r w:rsidR="00B968F7" w:rsidRPr="003851FA">
        <w:rPr>
          <w:color w:val="000000"/>
        </w:rPr>
        <w:t xml:space="preserve"> rhetorical effectiveness of Piper’s work </w:t>
      </w:r>
      <w:r w:rsidR="0091070A" w:rsidRPr="003851FA">
        <w:rPr>
          <w:color w:val="000000"/>
        </w:rPr>
        <w:t>c</w:t>
      </w:r>
      <w:r w:rsidR="002349D6" w:rsidRPr="003851FA">
        <w:rPr>
          <w:color w:val="000000"/>
        </w:rPr>
        <w:t xml:space="preserve">onsists of making us temporarily inhabit </w:t>
      </w:r>
      <w:r w:rsidR="005851BD" w:rsidRPr="003851FA">
        <w:rPr>
          <w:color w:val="000000"/>
        </w:rPr>
        <w:t xml:space="preserve">a deeply </w:t>
      </w:r>
      <w:r w:rsidR="002349D6" w:rsidRPr="003851FA">
        <w:rPr>
          <w:color w:val="000000"/>
        </w:rPr>
        <w:t xml:space="preserve">familiar character, a deeply </w:t>
      </w:r>
      <w:r w:rsidR="005851BD" w:rsidRPr="003851FA">
        <w:rPr>
          <w:color w:val="000000"/>
        </w:rPr>
        <w:t xml:space="preserve">plausible </w:t>
      </w:r>
      <w:r w:rsidR="002F1E45" w:rsidRPr="003851FA">
        <w:rPr>
          <w:color w:val="000000"/>
        </w:rPr>
        <w:t xml:space="preserve">and recognizable </w:t>
      </w:r>
      <w:r w:rsidR="005851BD" w:rsidRPr="003851FA">
        <w:rPr>
          <w:color w:val="000000"/>
        </w:rPr>
        <w:t xml:space="preserve">picture of the kind of racism </w:t>
      </w:r>
      <w:r w:rsidR="0091070A" w:rsidRPr="003851FA">
        <w:rPr>
          <w:color w:val="000000"/>
        </w:rPr>
        <w:t>that the</w:t>
      </w:r>
      <w:r w:rsidR="005851BD" w:rsidRPr="003851FA">
        <w:rPr>
          <w:color w:val="000000"/>
        </w:rPr>
        <w:t xml:space="preserve"> society</w:t>
      </w:r>
      <w:r w:rsidR="002E586D" w:rsidRPr="003851FA">
        <w:rPr>
          <w:color w:val="000000"/>
        </w:rPr>
        <w:t xml:space="preserve"> now</w:t>
      </w:r>
      <w:r w:rsidR="005851BD" w:rsidRPr="003851FA">
        <w:rPr>
          <w:color w:val="000000"/>
        </w:rPr>
        <w:t xml:space="preserve"> faces. </w:t>
      </w:r>
      <w:r w:rsidR="0028393B" w:rsidRPr="003851FA">
        <w:rPr>
          <w:color w:val="000000"/>
        </w:rPr>
        <w:t xml:space="preserve">What one </w:t>
      </w:r>
      <w:r w:rsidR="002E586D" w:rsidRPr="003851FA">
        <w:rPr>
          <w:color w:val="000000"/>
        </w:rPr>
        <w:t xml:space="preserve">then </w:t>
      </w:r>
      <w:r w:rsidR="0028393B" w:rsidRPr="003851FA">
        <w:rPr>
          <w:i/>
          <w:color w:val="000000"/>
        </w:rPr>
        <w:t>does</w:t>
      </w:r>
      <w:r w:rsidR="0028393B" w:rsidRPr="003851FA">
        <w:rPr>
          <w:color w:val="000000"/>
        </w:rPr>
        <w:t xml:space="preserve"> with that </w:t>
      </w:r>
      <w:r w:rsidR="00BB2C1A">
        <w:rPr>
          <w:color w:val="000000"/>
        </w:rPr>
        <w:t>picture</w:t>
      </w:r>
      <w:r w:rsidR="0028393B" w:rsidRPr="003851FA">
        <w:rPr>
          <w:color w:val="000000"/>
        </w:rPr>
        <w:t>—whether one recognizes</w:t>
      </w:r>
      <w:r w:rsidR="002349D6" w:rsidRPr="003851FA">
        <w:rPr>
          <w:color w:val="000000"/>
        </w:rPr>
        <w:t xml:space="preserve"> in </w:t>
      </w:r>
      <w:r w:rsidR="00BB2C1A">
        <w:rPr>
          <w:color w:val="000000"/>
        </w:rPr>
        <w:t xml:space="preserve">it </w:t>
      </w:r>
      <w:r w:rsidR="0028393B" w:rsidRPr="003851FA">
        <w:rPr>
          <w:color w:val="000000"/>
        </w:rPr>
        <w:t xml:space="preserve">a part of oneself, or of the world, or of one’s aggressors—will depend on one’s personal </w:t>
      </w:r>
      <w:r w:rsidR="00952BD6">
        <w:rPr>
          <w:color w:val="000000"/>
        </w:rPr>
        <w:t xml:space="preserve">reflection </w:t>
      </w:r>
      <w:r w:rsidR="002349D6" w:rsidRPr="003851FA">
        <w:rPr>
          <w:color w:val="000000"/>
        </w:rPr>
        <w:t>and sensibilities</w:t>
      </w:r>
      <w:r w:rsidR="0028393B" w:rsidRPr="003851FA">
        <w:rPr>
          <w:color w:val="000000"/>
        </w:rPr>
        <w:t xml:space="preserve">. At any rate, to return to the question I posed </w:t>
      </w:r>
      <w:r w:rsidR="002349D6" w:rsidRPr="003851FA">
        <w:rPr>
          <w:color w:val="000000"/>
        </w:rPr>
        <w:t>at the beginning of the paper</w:t>
      </w:r>
      <w:r w:rsidR="0028393B" w:rsidRPr="003851FA">
        <w:rPr>
          <w:i/>
          <w:color w:val="000000"/>
        </w:rPr>
        <w:t xml:space="preserve">, </w:t>
      </w:r>
      <w:r w:rsidR="0028393B" w:rsidRPr="003851FA">
        <w:rPr>
          <w:color w:val="000000"/>
        </w:rPr>
        <w:t xml:space="preserve">this is one of the merits of Piper’s discursive art </w:t>
      </w:r>
      <w:r w:rsidR="0028393B" w:rsidRPr="003851FA">
        <w:rPr>
          <w:i/>
          <w:color w:val="000000"/>
        </w:rPr>
        <w:t xml:space="preserve">vis-à-vis </w:t>
      </w:r>
      <w:r w:rsidR="0028393B" w:rsidRPr="003851FA">
        <w:rPr>
          <w:color w:val="000000"/>
        </w:rPr>
        <w:t>‘non-art’ kinds of political discourse: an exacting, uncompromising degree of self-scrutiny in the ‘here and now’, which we simply do not encounter in other registers of discourse.</w:t>
      </w:r>
      <w:r w:rsidR="002F1E45" w:rsidRPr="003851FA">
        <w:rPr>
          <w:color w:val="000000"/>
        </w:rPr>
        <w:t xml:space="preserve"> The same scrutiny of the audience’s internal processes that was developed through abstract investigations of Conceptual art is now presented as a rhetoric designed to display and dismantle a subtly racist viewership.</w:t>
      </w:r>
    </w:p>
    <w:p w14:paraId="7310777D" w14:textId="17CD1E0B" w:rsidR="0028393B" w:rsidRPr="003851FA" w:rsidRDefault="002349D6" w:rsidP="0028393B">
      <w:pPr>
        <w:pStyle w:val="BodyText1"/>
        <w:rPr>
          <w:color w:val="000000"/>
        </w:rPr>
      </w:pPr>
      <w:r w:rsidRPr="003851FA">
        <w:rPr>
          <w:color w:val="000000"/>
        </w:rPr>
        <w:tab/>
      </w:r>
      <w:r w:rsidR="00716127" w:rsidRPr="003851FA">
        <w:rPr>
          <w:color w:val="000000"/>
        </w:rPr>
        <w:t>Finally, it is the same scrutiny we can apply to ourselves as art historians. I have suggested that</w:t>
      </w:r>
      <w:r w:rsidR="004164E1" w:rsidRPr="003851FA">
        <w:rPr>
          <w:color w:val="000000"/>
        </w:rPr>
        <w:t xml:space="preserve"> </w:t>
      </w:r>
      <w:r w:rsidR="00716127" w:rsidRPr="003851FA">
        <w:rPr>
          <w:color w:val="000000"/>
        </w:rPr>
        <w:t xml:space="preserve">the </w:t>
      </w:r>
      <w:r w:rsidR="00F17BF9" w:rsidRPr="003851FA">
        <w:rPr>
          <w:color w:val="000000"/>
        </w:rPr>
        <w:t xml:space="preserve">art historical gaze of the 1990s and 2000s, </w:t>
      </w:r>
      <w:r w:rsidR="004164E1" w:rsidRPr="003851FA">
        <w:rPr>
          <w:color w:val="000000"/>
        </w:rPr>
        <w:t xml:space="preserve">one </w:t>
      </w:r>
      <w:r w:rsidR="00F17BF9" w:rsidRPr="003851FA">
        <w:rPr>
          <w:color w:val="000000"/>
        </w:rPr>
        <w:t xml:space="preserve">which </w:t>
      </w:r>
      <w:r w:rsidR="00716127" w:rsidRPr="003851FA">
        <w:rPr>
          <w:color w:val="000000"/>
        </w:rPr>
        <w:t xml:space="preserve">reliably </w:t>
      </w:r>
      <w:r w:rsidR="00F17BF9" w:rsidRPr="003851FA">
        <w:rPr>
          <w:color w:val="000000"/>
        </w:rPr>
        <w:t>read</w:t>
      </w:r>
      <w:r w:rsidR="004164E1" w:rsidRPr="003851FA">
        <w:rPr>
          <w:color w:val="000000"/>
        </w:rPr>
        <w:t>s</w:t>
      </w:r>
      <w:r w:rsidR="00F17BF9" w:rsidRPr="003851FA">
        <w:rPr>
          <w:color w:val="000000"/>
        </w:rPr>
        <w:t xml:space="preserve"> a political message into </w:t>
      </w:r>
      <w:r w:rsidR="000713D0" w:rsidRPr="003851FA">
        <w:rPr>
          <w:color w:val="000000"/>
        </w:rPr>
        <w:t>Conceptual art of the 1960s</w:t>
      </w:r>
      <w:r w:rsidR="00F17BF9" w:rsidRPr="003851FA">
        <w:rPr>
          <w:color w:val="000000"/>
        </w:rPr>
        <w:t>,</w:t>
      </w:r>
      <w:r w:rsidR="004C1100" w:rsidRPr="003851FA">
        <w:rPr>
          <w:color w:val="000000"/>
        </w:rPr>
        <w:t xml:space="preserve"> </w:t>
      </w:r>
      <w:r w:rsidR="00F17BF9" w:rsidRPr="003851FA">
        <w:rPr>
          <w:color w:val="000000"/>
        </w:rPr>
        <w:t xml:space="preserve">may have grown out of a legitimate concern for a politically more </w:t>
      </w:r>
      <w:r w:rsidR="00716127" w:rsidRPr="003851FA">
        <w:rPr>
          <w:color w:val="000000"/>
        </w:rPr>
        <w:t xml:space="preserve">engaged academia, but also that </w:t>
      </w:r>
      <w:r w:rsidR="000713D0" w:rsidRPr="003851FA">
        <w:rPr>
          <w:color w:val="000000"/>
        </w:rPr>
        <w:t>it has—by now, perhaps—</w:t>
      </w:r>
      <w:r w:rsidR="00F17BF9" w:rsidRPr="003851FA">
        <w:rPr>
          <w:color w:val="000000"/>
        </w:rPr>
        <w:t xml:space="preserve">become </w:t>
      </w:r>
      <w:r w:rsidR="002E2297">
        <w:rPr>
          <w:color w:val="000000"/>
        </w:rPr>
        <w:t xml:space="preserve">a manoeuvre that is </w:t>
      </w:r>
      <w:r w:rsidR="00F17BF9" w:rsidRPr="003851FA">
        <w:rPr>
          <w:color w:val="000000"/>
        </w:rPr>
        <w:t>too predictable and too totalizing to be always useful.</w:t>
      </w:r>
      <w:r w:rsidR="00F216AF" w:rsidRPr="003851FA">
        <w:rPr>
          <w:color w:val="000000"/>
        </w:rPr>
        <w:t xml:space="preserve"> As I tried to suggest with Piper, this gaze can </w:t>
      </w:r>
      <w:r w:rsidR="00F54F55" w:rsidRPr="003851FA">
        <w:rPr>
          <w:color w:val="000000"/>
        </w:rPr>
        <w:t xml:space="preserve">also </w:t>
      </w:r>
      <w:r w:rsidR="00F216AF" w:rsidRPr="003851FA">
        <w:rPr>
          <w:color w:val="000000"/>
        </w:rPr>
        <w:t>unhelpfully fix an</w:t>
      </w:r>
      <w:r w:rsidR="002E2297">
        <w:rPr>
          <w:color w:val="000000"/>
        </w:rPr>
        <w:t xml:space="preserve"> individual artistic subjectivity</w:t>
      </w:r>
      <w:r w:rsidR="00F216AF" w:rsidRPr="003851FA">
        <w:rPr>
          <w:color w:val="000000"/>
        </w:rPr>
        <w:t xml:space="preserve"> into </w:t>
      </w:r>
      <w:r w:rsidR="002E2297">
        <w:rPr>
          <w:color w:val="000000"/>
        </w:rPr>
        <w:t xml:space="preserve">some </w:t>
      </w:r>
      <w:r w:rsidR="00F216AF" w:rsidRPr="003851FA">
        <w:rPr>
          <w:color w:val="000000"/>
        </w:rPr>
        <w:t xml:space="preserve">allotted place. Instead, </w:t>
      </w:r>
      <w:r w:rsidR="0028393B" w:rsidRPr="003851FA">
        <w:rPr>
          <w:color w:val="000000"/>
        </w:rPr>
        <w:t xml:space="preserve">it may be </w:t>
      </w:r>
      <w:r w:rsidR="00F216AF" w:rsidRPr="003851FA">
        <w:rPr>
          <w:color w:val="000000"/>
        </w:rPr>
        <w:t xml:space="preserve">more </w:t>
      </w:r>
      <w:r w:rsidR="0028393B" w:rsidRPr="003851FA">
        <w:rPr>
          <w:color w:val="000000"/>
        </w:rPr>
        <w:t xml:space="preserve">productive to </w:t>
      </w:r>
      <w:r w:rsidR="00F216AF" w:rsidRPr="003851FA">
        <w:rPr>
          <w:color w:val="000000"/>
        </w:rPr>
        <w:t xml:space="preserve">return to </w:t>
      </w:r>
      <w:r w:rsidR="00383B5C" w:rsidRPr="003851FA">
        <w:rPr>
          <w:color w:val="000000"/>
        </w:rPr>
        <w:t>the</w:t>
      </w:r>
      <w:r w:rsidR="00F216AF" w:rsidRPr="003851FA">
        <w:rPr>
          <w:color w:val="000000"/>
        </w:rPr>
        <w:t xml:space="preserve"> abstract investigations of Conceptual art on their own terms, </w:t>
      </w:r>
      <w:r w:rsidR="00716127" w:rsidRPr="003851FA">
        <w:rPr>
          <w:color w:val="000000"/>
        </w:rPr>
        <w:t xml:space="preserve">to </w:t>
      </w:r>
      <w:r w:rsidR="00F216AF" w:rsidRPr="003851FA">
        <w:rPr>
          <w:color w:val="000000"/>
        </w:rPr>
        <w:t xml:space="preserve">think about </w:t>
      </w:r>
      <w:r w:rsidR="0028393B" w:rsidRPr="003851FA">
        <w:rPr>
          <w:color w:val="000000"/>
        </w:rPr>
        <w:t>what</w:t>
      </w:r>
      <w:r w:rsidR="00631A71" w:rsidRPr="003851FA">
        <w:rPr>
          <w:color w:val="000000"/>
        </w:rPr>
        <w:t xml:space="preserve"> </w:t>
      </w:r>
      <w:r w:rsidR="00144A04" w:rsidRPr="003851FA">
        <w:rPr>
          <w:color w:val="000000"/>
        </w:rPr>
        <w:t>rhetorical</w:t>
      </w:r>
      <w:r w:rsidR="0028393B" w:rsidRPr="003851FA">
        <w:rPr>
          <w:color w:val="000000"/>
        </w:rPr>
        <w:t xml:space="preserve"> modes were thereby enabled</w:t>
      </w:r>
      <w:r w:rsidR="004B2CB4">
        <w:rPr>
          <w:color w:val="000000"/>
        </w:rPr>
        <w:t>;</w:t>
      </w:r>
      <w:r w:rsidR="00F216AF" w:rsidRPr="003851FA">
        <w:rPr>
          <w:color w:val="000000"/>
        </w:rPr>
        <w:t xml:space="preserve"> </w:t>
      </w:r>
      <w:r w:rsidR="004B2CB4">
        <w:rPr>
          <w:color w:val="000000"/>
        </w:rPr>
        <w:t>a</w:t>
      </w:r>
      <w:r w:rsidR="00F216AF" w:rsidRPr="003851FA">
        <w:rPr>
          <w:color w:val="000000"/>
        </w:rPr>
        <w:t xml:space="preserve">nd </w:t>
      </w:r>
      <w:r w:rsidR="002E2297">
        <w:rPr>
          <w:color w:val="000000"/>
        </w:rPr>
        <w:t>then</w:t>
      </w:r>
      <w:r w:rsidR="00716127" w:rsidRPr="003851FA">
        <w:rPr>
          <w:color w:val="000000"/>
        </w:rPr>
        <w:t xml:space="preserve"> to </w:t>
      </w:r>
      <w:r w:rsidR="00F216AF" w:rsidRPr="003851FA">
        <w:rPr>
          <w:color w:val="000000"/>
        </w:rPr>
        <w:t>think</w:t>
      </w:r>
      <w:r w:rsidR="003B6539" w:rsidRPr="003851FA">
        <w:rPr>
          <w:color w:val="000000"/>
        </w:rPr>
        <w:t>, perhaps,</w:t>
      </w:r>
      <w:r w:rsidR="00F216AF" w:rsidRPr="003851FA">
        <w:rPr>
          <w:color w:val="000000"/>
        </w:rPr>
        <w:t xml:space="preserve"> </w:t>
      </w:r>
      <w:r w:rsidR="002E2297">
        <w:rPr>
          <w:color w:val="000000"/>
        </w:rPr>
        <w:t xml:space="preserve">about </w:t>
      </w:r>
      <w:r w:rsidR="00F216AF" w:rsidRPr="003851FA">
        <w:rPr>
          <w:color w:val="000000"/>
        </w:rPr>
        <w:t xml:space="preserve">which of these rhetorical modes we may use in our own </w:t>
      </w:r>
      <w:r w:rsidR="00383B5C" w:rsidRPr="003851FA">
        <w:rPr>
          <w:color w:val="000000"/>
        </w:rPr>
        <w:t>st</w:t>
      </w:r>
      <w:r w:rsidR="0069446A" w:rsidRPr="003851FA">
        <w:rPr>
          <w:color w:val="000000"/>
        </w:rPr>
        <w:t>ruggle</w:t>
      </w:r>
      <w:r w:rsidR="008F55E3" w:rsidRPr="003851FA">
        <w:rPr>
          <w:color w:val="000000"/>
        </w:rPr>
        <w:t>s</w:t>
      </w:r>
      <w:r w:rsidR="0028393B" w:rsidRPr="003851FA">
        <w:rPr>
          <w:color w:val="000000"/>
        </w:rPr>
        <w:t>.</w:t>
      </w:r>
    </w:p>
    <w:p w14:paraId="3A96E6BF" w14:textId="0B961406" w:rsidR="006A3155" w:rsidRPr="003851FA" w:rsidRDefault="006A3155" w:rsidP="00B9673A"/>
    <w:p w14:paraId="34ECF01A" w14:textId="11790ECF" w:rsidR="00FD5CE5" w:rsidRPr="003851FA" w:rsidRDefault="00FD5CE5">
      <w:pPr>
        <w:tabs>
          <w:tab w:val="clear" w:pos="360"/>
          <w:tab w:val="clear" w:pos="851"/>
        </w:tabs>
        <w:spacing w:line="240" w:lineRule="auto"/>
      </w:pPr>
      <w:r w:rsidRPr="003851FA">
        <w:br w:type="page"/>
      </w:r>
    </w:p>
    <w:p w14:paraId="6C39C7C7" w14:textId="3FE2714C" w:rsidR="00FD5CE5" w:rsidRPr="00B9673A" w:rsidRDefault="00FD5CE5" w:rsidP="00FD5CE5">
      <w:pPr>
        <w:pStyle w:val="Heading2"/>
        <w:numPr>
          <w:ilvl w:val="0"/>
          <w:numId w:val="0"/>
        </w:numPr>
        <w:ind w:left="425" w:hanging="425"/>
      </w:pPr>
      <w:r w:rsidRPr="003851FA">
        <w:lastRenderedPageBreak/>
        <w:t>Notes</w:t>
      </w:r>
    </w:p>
    <w:sectPr w:rsidR="00FD5CE5" w:rsidRPr="00B9673A" w:rsidSect="009B269C">
      <w:footerReference w:type="default" r:id="rId8"/>
      <w:endnotePr>
        <w:numFmt w:val="decimal"/>
      </w:endnotePr>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45E026" w14:textId="77777777" w:rsidR="00F303F7" w:rsidRDefault="00F303F7" w:rsidP="00172715">
      <w:pPr>
        <w:spacing w:line="240" w:lineRule="auto"/>
      </w:pPr>
      <w:r>
        <w:separator/>
      </w:r>
    </w:p>
  </w:endnote>
  <w:endnote w:type="continuationSeparator" w:id="0">
    <w:p w14:paraId="0FEEBD0A" w14:textId="77777777" w:rsidR="00F303F7" w:rsidRDefault="00F303F7" w:rsidP="00172715">
      <w:pPr>
        <w:spacing w:line="240" w:lineRule="auto"/>
      </w:pPr>
      <w:r>
        <w:continuationSeparator/>
      </w:r>
    </w:p>
  </w:endnote>
  <w:endnote w:id="1">
    <w:p w14:paraId="133F4E5E" w14:textId="72F905F8" w:rsidR="002E586D" w:rsidRPr="00EB7F70" w:rsidRDefault="002E586D" w:rsidP="00FD5CE5">
      <w:pPr>
        <w:pStyle w:val="EndnoteText"/>
        <w:tabs>
          <w:tab w:val="clear" w:pos="360"/>
          <w:tab w:val="left" w:pos="1418"/>
        </w:tabs>
        <w:spacing w:after="240" w:line="360" w:lineRule="auto"/>
        <w:rPr>
          <w:color w:val="000000"/>
          <w:sz w:val="24"/>
          <w:szCs w:val="24"/>
        </w:rPr>
      </w:pPr>
      <w:r w:rsidRPr="00EB7F70">
        <w:rPr>
          <w:rStyle w:val="EndnoteReference"/>
          <w:color w:val="000000"/>
          <w:sz w:val="24"/>
          <w:szCs w:val="24"/>
        </w:rPr>
        <w:endnoteRef/>
      </w:r>
      <w:r w:rsidRPr="00EB7F70">
        <w:rPr>
          <w:color w:val="000000"/>
          <w:sz w:val="24"/>
          <w:szCs w:val="24"/>
        </w:rPr>
        <w:t xml:space="preserve"> </w:t>
      </w:r>
      <w:r w:rsidRPr="00EB7F70">
        <w:rPr>
          <w:color w:val="000000"/>
          <w:sz w:val="24"/>
          <w:szCs w:val="24"/>
        </w:rPr>
        <w:tab/>
        <w:t xml:space="preserve">Adrian Piper, </w:t>
      </w:r>
      <w:r w:rsidRPr="00EB7F70">
        <w:rPr>
          <w:i/>
          <w:color w:val="000000"/>
          <w:sz w:val="24"/>
          <w:szCs w:val="24"/>
        </w:rPr>
        <w:t>Out of Order, Out of Sight</w:t>
      </w:r>
      <w:r w:rsidRPr="00EB7F70">
        <w:rPr>
          <w:color w:val="000000"/>
          <w:sz w:val="24"/>
          <w:szCs w:val="24"/>
        </w:rPr>
        <w:t xml:space="preserve">, 2 vols. (Cambridge, Mass.: MIT Press, 1996), vol. I, 182–5. In notes on the work, Piper describes the four voices as the ‘aestheticizing response’, the ‘liberal response’, the ‘appropriating response’ and the ‘redneck response’ (182). </w:t>
      </w:r>
    </w:p>
  </w:endnote>
  <w:endnote w:id="2">
    <w:p w14:paraId="02EEFE0A" w14:textId="5666EC89"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Adrian Piper, ‘Three Models of Art Production Systems’ in Kynaston McShine (ed.), </w:t>
      </w:r>
      <w:r w:rsidRPr="00EB7F70">
        <w:rPr>
          <w:i/>
          <w:sz w:val="24"/>
          <w:szCs w:val="24"/>
        </w:rPr>
        <w:t>Information</w:t>
      </w:r>
      <w:r w:rsidRPr="00EB7F70">
        <w:rPr>
          <w:sz w:val="24"/>
          <w:szCs w:val="24"/>
        </w:rPr>
        <w:t xml:space="preserve"> (New York: Museum of Modern Art, 1970), 111. Reprinted in Piper, </w:t>
      </w:r>
      <w:r w:rsidRPr="00EB7F70">
        <w:rPr>
          <w:i/>
          <w:sz w:val="24"/>
          <w:szCs w:val="24"/>
        </w:rPr>
        <w:t>Out of Order,</w:t>
      </w:r>
      <w:r w:rsidRPr="00EB7F70">
        <w:rPr>
          <w:sz w:val="24"/>
          <w:szCs w:val="24"/>
        </w:rPr>
        <w:t xml:space="preserve"> vol. II, 13.</w:t>
      </w:r>
    </w:p>
  </w:endnote>
  <w:endnote w:id="3">
    <w:p w14:paraId="060056F2" w14:textId="202E620C"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Miwon Kwon, </w:t>
      </w:r>
      <w:r w:rsidRPr="00EB7F70">
        <w:rPr>
          <w:i/>
          <w:sz w:val="24"/>
          <w:szCs w:val="24"/>
        </w:rPr>
        <w:t>One Place After Another: Site-Specific Art and Locational Identity</w:t>
      </w:r>
      <w:r w:rsidRPr="00EB7F70">
        <w:rPr>
          <w:sz w:val="24"/>
          <w:szCs w:val="24"/>
        </w:rPr>
        <w:t xml:space="preserve"> (Cambridge MA, 2002), 23–29.</w:t>
      </w:r>
    </w:p>
  </w:endnote>
  <w:endnote w:id="4">
    <w:p w14:paraId="5E37872F" w14:textId="7C71A733" w:rsidR="002E586D" w:rsidRPr="00EB7F70" w:rsidRDefault="002E586D" w:rsidP="00E43EE7">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Piper, </w:t>
      </w:r>
      <w:r w:rsidRPr="00EB7F70">
        <w:rPr>
          <w:i/>
          <w:sz w:val="24"/>
          <w:szCs w:val="24"/>
        </w:rPr>
        <w:t xml:space="preserve">Out of Order, </w:t>
      </w:r>
      <w:r w:rsidRPr="00EB7F70">
        <w:rPr>
          <w:sz w:val="24"/>
          <w:szCs w:val="24"/>
        </w:rPr>
        <w:t xml:space="preserve">vol. I, 181-186. Also in: Peggy Zeglin Brand and Carolyn Korsmeyer (eds.), </w:t>
      </w:r>
      <w:r w:rsidRPr="00EB7F70">
        <w:rPr>
          <w:i/>
          <w:sz w:val="24"/>
          <w:szCs w:val="24"/>
        </w:rPr>
        <w:t>Feminism and Tradition in Aesthetics</w:t>
      </w:r>
      <w:r w:rsidRPr="00EB7F70">
        <w:rPr>
          <w:sz w:val="24"/>
          <w:szCs w:val="24"/>
        </w:rPr>
        <w:t>. (University Park: Pennsylvania State University Press, 1995), 235-244. Some of Piper’s works are participatory performances taking places outside of the gallery (</w:t>
      </w:r>
      <w:r w:rsidRPr="00EB7F70">
        <w:rPr>
          <w:i/>
          <w:sz w:val="24"/>
          <w:szCs w:val="24"/>
        </w:rPr>
        <w:t xml:space="preserve">Funk Lessons, </w:t>
      </w:r>
      <w:r w:rsidRPr="00EB7F70">
        <w:rPr>
          <w:sz w:val="24"/>
          <w:szCs w:val="24"/>
        </w:rPr>
        <w:t>1982-1984).</w:t>
      </w:r>
    </w:p>
  </w:endnote>
  <w:endnote w:id="5">
    <w:p w14:paraId="50515431" w14:textId="458D1DE9" w:rsidR="002E586D" w:rsidRPr="00EB7F70" w:rsidRDefault="002E586D" w:rsidP="00FD5CE5">
      <w:pPr>
        <w:pStyle w:val="EndnoteText"/>
        <w:tabs>
          <w:tab w:val="clear" w:pos="360"/>
          <w:tab w:val="left" w:pos="1418"/>
        </w:tabs>
        <w:spacing w:after="240" w:line="360" w:lineRule="auto"/>
        <w:rPr>
          <w:color w:val="000000"/>
          <w:sz w:val="24"/>
          <w:szCs w:val="24"/>
        </w:rPr>
      </w:pPr>
      <w:r w:rsidRPr="00EB7F70">
        <w:rPr>
          <w:rStyle w:val="EndnoteReference"/>
          <w:color w:val="000000"/>
          <w:sz w:val="24"/>
          <w:szCs w:val="24"/>
        </w:rPr>
        <w:endnoteRef/>
      </w:r>
      <w:r w:rsidRPr="00EB7F70">
        <w:rPr>
          <w:color w:val="000000"/>
          <w:sz w:val="24"/>
          <w:szCs w:val="24"/>
        </w:rPr>
        <w:t xml:space="preserve"> </w:t>
      </w:r>
      <w:r w:rsidRPr="00EB7F70">
        <w:rPr>
          <w:color w:val="000000"/>
          <w:sz w:val="24"/>
          <w:szCs w:val="24"/>
        </w:rPr>
        <w:tab/>
        <w:t xml:space="preserve">Piper, </w:t>
      </w:r>
      <w:r w:rsidRPr="00EB7F70">
        <w:rPr>
          <w:i/>
          <w:color w:val="000000"/>
          <w:sz w:val="24"/>
          <w:szCs w:val="24"/>
        </w:rPr>
        <w:t xml:space="preserve">Out of Order, </w:t>
      </w:r>
      <w:r w:rsidRPr="00EB7F70">
        <w:rPr>
          <w:color w:val="000000"/>
          <w:sz w:val="24"/>
          <w:szCs w:val="24"/>
        </w:rPr>
        <w:t>vol. I, 183.</w:t>
      </w:r>
    </w:p>
  </w:endnote>
  <w:endnote w:id="6">
    <w:p w14:paraId="76E1413B" w14:textId="2489E83E" w:rsidR="002E586D" w:rsidRPr="00EB7F70" w:rsidRDefault="002E586D" w:rsidP="00FD5CE5">
      <w:pPr>
        <w:pStyle w:val="EndnoteText"/>
        <w:tabs>
          <w:tab w:val="clear" w:pos="360"/>
          <w:tab w:val="left" w:pos="1418"/>
        </w:tabs>
        <w:spacing w:after="240" w:line="360" w:lineRule="auto"/>
        <w:rPr>
          <w:color w:val="000000"/>
          <w:sz w:val="24"/>
          <w:szCs w:val="24"/>
        </w:rPr>
      </w:pPr>
      <w:r w:rsidRPr="00EB7F70">
        <w:rPr>
          <w:rStyle w:val="EndnoteReference"/>
          <w:sz w:val="24"/>
          <w:szCs w:val="24"/>
        </w:rPr>
        <w:endnoteRef/>
      </w:r>
      <w:r w:rsidRPr="00EB7F70">
        <w:rPr>
          <w:sz w:val="24"/>
          <w:szCs w:val="24"/>
        </w:rPr>
        <w:t xml:space="preserve"> </w:t>
      </w:r>
      <w:r w:rsidRPr="00EB7F70">
        <w:rPr>
          <w:sz w:val="24"/>
          <w:szCs w:val="24"/>
        </w:rPr>
        <w:tab/>
      </w:r>
      <w:r w:rsidRPr="00EB7F70">
        <w:rPr>
          <w:color w:val="000000"/>
          <w:sz w:val="24"/>
          <w:szCs w:val="24"/>
        </w:rPr>
        <w:t xml:space="preserve">For example: Benjamin Buchloh, ‘Conceptual Art 1962–1969: From the Aesthetic of Administration to the Critique of Institutions’, </w:t>
      </w:r>
      <w:r w:rsidRPr="00EB7F70">
        <w:rPr>
          <w:i/>
          <w:color w:val="000000"/>
          <w:sz w:val="24"/>
          <w:szCs w:val="24"/>
        </w:rPr>
        <w:t>October</w:t>
      </w:r>
      <w:r w:rsidRPr="00EB7F70">
        <w:rPr>
          <w:color w:val="000000"/>
          <w:sz w:val="24"/>
          <w:szCs w:val="24"/>
        </w:rPr>
        <w:t xml:space="preserve">, vol. 55, 1990, 105–143, here 131–137, 141–143. </w:t>
      </w:r>
      <w:r w:rsidRPr="00EB7F70">
        <w:rPr>
          <w:sz w:val="24"/>
          <w:szCs w:val="24"/>
        </w:rPr>
        <w:t xml:space="preserve">Hal Foster, ‘The Crux of Minimalism,’ in </w:t>
      </w:r>
      <w:r w:rsidRPr="00EB7F70">
        <w:rPr>
          <w:i/>
          <w:sz w:val="24"/>
          <w:szCs w:val="24"/>
        </w:rPr>
        <w:t>The Return of the Real: The Avant-Garde at the End of the Century</w:t>
      </w:r>
      <w:r w:rsidRPr="00EB7F70">
        <w:rPr>
          <w:sz w:val="24"/>
          <w:szCs w:val="24"/>
        </w:rPr>
        <w:t xml:space="preserve"> (Cambridge, Mass.: MIT Press, 1996), 35–70. </w:t>
      </w:r>
      <w:r w:rsidRPr="00EB7F70">
        <w:rPr>
          <w:color w:val="000000"/>
          <w:sz w:val="24"/>
          <w:szCs w:val="24"/>
        </w:rPr>
        <w:t xml:space="preserve">For critical discussion consider: Eve Meltzer, </w:t>
      </w:r>
      <w:r w:rsidRPr="00EB7F70">
        <w:rPr>
          <w:i/>
          <w:color w:val="000000"/>
          <w:sz w:val="24"/>
          <w:szCs w:val="24"/>
        </w:rPr>
        <w:t xml:space="preserve">Systems We Have Loved: Conceptual Art, Affect, and the Antihumanist Turn </w:t>
      </w:r>
      <w:r w:rsidRPr="00EB7F70">
        <w:rPr>
          <w:color w:val="000000"/>
          <w:sz w:val="24"/>
          <w:szCs w:val="24"/>
        </w:rPr>
        <w:t>(Chicago: University of Chicago Press, 2013), 64–69.</w:t>
      </w:r>
    </w:p>
  </w:endnote>
  <w:endnote w:id="7">
    <w:p w14:paraId="5228A69D" w14:textId="77777777"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Seth Siegelaub Papers, I.A.40. MoMA Archives, New York.</w:t>
      </w:r>
    </w:p>
  </w:endnote>
  <w:endnote w:id="8">
    <w:p w14:paraId="7C8CA8F4" w14:textId="77777777"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r>
      <w:r w:rsidRPr="00EB7F70">
        <w:rPr>
          <w:i/>
          <w:sz w:val="24"/>
          <w:szCs w:val="24"/>
        </w:rPr>
        <w:t xml:space="preserve">Three Untitled Projects </w:t>
      </w:r>
      <w:r w:rsidRPr="00EB7F70">
        <w:rPr>
          <w:sz w:val="24"/>
          <w:szCs w:val="24"/>
        </w:rPr>
        <w:t>(1969), archival material. Adrian Piper Research Archive, Berlin.</w:t>
      </w:r>
    </w:p>
  </w:endnote>
  <w:endnote w:id="9">
    <w:p w14:paraId="3B3A8344" w14:textId="26C9DFF4"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The Museum of Modern Art Exhibition Records, 934.27. The Museum of Modern Art Archives, New York.</w:t>
      </w:r>
    </w:p>
  </w:endnote>
  <w:endnote w:id="10">
    <w:p w14:paraId="60AF5005" w14:textId="035F55C9"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On the relationship between LeWitt, drawing and writing see Anna Lovatt, ‘The Mechanics of Writing: Sol Lewitt, Stéphane Mallarmé and Roland Barthes’, </w:t>
      </w:r>
      <w:r w:rsidRPr="00EB7F70">
        <w:rPr>
          <w:i/>
          <w:sz w:val="24"/>
          <w:szCs w:val="24"/>
        </w:rPr>
        <w:t>Word &amp; Image,</w:t>
      </w:r>
      <w:r w:rsidRPr="00EB7F70">
        <w:rPr>
          <w:sz w:val="24"/>
          <w:szCs w:val="24"/>
        </w:rPr>
        <w:t xml:space="preserve"> vol 28, no 4, 2012,</w:t>
      </w:r>
      <w:r w:rsidRPr="00EB7F70">
        <w:rPr>
          <w:rFonts w:ascii="Segoe UI" w:hAnsi="Segoe UI" w:cs="Segoe UI"/>
          <w:sz w:val="24"/>
          <w:szCs w:val="24"/>
        </w:rPr>
        <w:t xml:space="preserve"> </w:t>
      </w:r>
      <w:r w:rsidRPr="00EB7F70">
        <w:rPr>
          <w:sz w:val="24"/>
          <w:szCs w:val="24"/>
        </w:rPr>
        <w:t xml:space="preserve">374–383. On the alleged Kosuth-LeWitt split as it entered the historiography of Conceptual art see Buchloh, ‘Conceptual Art’, 113–15, 24–29; Peter Osborne, ‘Conceptual Art and/as Philosophy’, in Michael Newman and Jon Bird (eds.) </w:t>
      </w:r>
      <w:r w:rsidRPr="00EB7F70">
        <w:rPr>
          <w:i/>
          <w:sz w:val="24"/>
          <w:szCs w:val="24"/>
        </w:rPr>
        <w:t xml:space="preserve">Rewriting Conceptual Art </w:t>
      </w:r>
      <w:r w:rsidRPr="00EB7F70">
        <w:rPr>
          <w:sz w:val="24"/>
          <w:szCs w:val="24"/>
        </w:rPr>
        <w:t>(London: Reaktion, 1999), 47–65, here 52–61.</w:t>
      </w:r>
    </w:p>
  </w:endnote>
  <w:endnote w:id="11">
    <w:p w14:paraId="0399CEBE" w14:textId="0B26D93E"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Adrian Piper, ‘Sol, 1928–2007’,  </w:t>
      </w:r>
      <w:hyperlink r:id="rId1" w:history="1">
        <w:r w:rsidRPr="00EB7F70">
          <w:rPr>
            <w:rStyle w:val="Hyperlink"/>
            <w:sz w:val="24"/>
            <w:szCs w:val="24"/>
          </w:rPr>
          <w:t>http://www.adrianpiper.com/art/sol.shtml</w:t>
        </w:r>
      </w:hyperlink>
      <w:r w:rsidRPr="00EB7F70">
        <w:rPr>
          <w:sz w:val="24"/>
          <w:szCs w:val="24"/>
        </w:rPr>
        <w:t xml:space="preserve"> (accessed 20th June, 2016). J. P. Bowles, </w:t>
      </w:r>
      <w:r w:rsidRPr="00EB7F70">
        <w:rPr>
          <w:i/>
          <w:sz w:val="24"/>
          <w:szCs w:val="24"/>
        </w:rPr>
        <w:t xml:space="preserve">Adrian Piper: Race, Gender, and Embodiment, </w:t>
      </w:r>
      <w:r w:rsidRPr="00EB7F70">
        <w:rPr>
          <w:sz w:val="24"/>
          <w:szCs w:val="24"/>
        </w:rPr>
        <w:t>(Durham, NC: Duke University Press, 2011), 42.</w:t>
      </w:r>
    </w:p>
  </w:endnote>
  <w:endnote w:id="12">
    <w:p w14:paraId="42D6D86B" w14:textId="54D008B7"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Patsy Norvell and Alexander Alberro (eds.), </w:t>
      </w:r>
      <w:r w:rsidRPr="00EB7F70">
        <w:rPr>
          <w:i/>
          <w:sz w:val="24"/>
          <w:szCs w:val="24"/>
        </w:rPr>
        <w:t>Recording Conceptual Art: Early Interviews with Barry, Huebler, Kaltenbach, Lewitt, Morris, Oppenheim, Siegelaub, Smithson, and Weiner</w:t>
      </w:r>
      <w:r w:rsidRPr="00EB7F70">
        <w:rPr>
          <w:sz w:val="24"/>
          <w:szCs w:val="24"/>
        </w:rPr>
        <w:t xml:space="preserve"> (Berkeley: University of California Press, 2001), 117. See also Sol LeWitt, ‘Paragraphs on Conceptual Art’ (1967), reprinted in Alexander Alberro and Blake Stimson, (eds), </w:t>
      </w:r>
      <w:r w:rsidRPr="00EB7F70">
        <w:rPr>
          <w:i/>
          <w:sz w:val="24"/>
          <w:szCs w:val="24"/>
        </w:rPr>
        <w:t>Conceptual Art: A Critical Anthology</w:t>
      </w:r>
      <w:r w:rsidRPr="00EB7F70">
        <w:rPr>
          <w:sz w:val="24"/>
          <w:szCs w:val="24"/>
        </w:rPr>
        <w:t>, (Cambridge, Mass.: MIT Press, 1999), 12-16, especially 15.</w:t>
      </w:r>
    </w:p>
  </w:endnote>
  <w:endnote w:id="13">
    <w:p w14:paraId="2A00E213" w14:textId="423332B7"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See the accounts by LeWitt’s draftsmen in Susan Cross and Denise Markonish (eds.), </w:t>
      </w:r>
      <w:r w:rsidRPr="00EB7F70">
        <w:rPr>
          <w:i/>
          <w:sz w:val="24"/>
          <w:szCs w:val="24"/>
        </w:rPr>
        <w:t>Sol Lewitt: 100 Views</w:t>
      </w:r>
      <w:r w:rsidRPr="00EB7F70">
        <w:rPr>
          <w:sz w:val="24"/>
          <w:szCs w:val="24"/>
        </w:rPr>
        <w:t>, (New Haven, Conn.: MASS MoCA and Yale University Press, 2009), 108, 127.</w:t>
      </w:r>
    </w:p>
  </w:endnote>
  <w:endnote w:id="14">
    <w:p w14:paraId="4A378404" w14:textId="6117686E" w:rsidR="002E586D" w:rsidRPr="00EB7F70" w:rsidRDefault="002E586D" w:rsidP="00FD5CE5">
      <w:pPr>
        <w:pStyle w:val="NoSpacing"/>
        <w:tabs>
          <w:tab w:val="clear" w:pos="360"/>
          <w:tab w:val="left" w:pos="1418"/>
        </w:tabs>
        <w:spacing w:after="240" w:line="360" w:lineRule="auto"/>
        <w:rPr>
          <w:szCs w:val="24"/>
        </w:rPr>
      </w:pPr>
      <w:r w:rsidRPr="00EB7F70">
        <w:rPr>
          <w:rStyle w:val="EndnoteReference"/>
          <w:szCs w:val="24"/>
        </w:rPr>
        <w:endnoteRef/>
      </w:r>
      <w:r w:rsidRPr="00EB7F70">
        <w:rPr>
          <w:szCs w:val="24"/>
        </w:rPr>
        <w:t xml:space="preserve"> </w:t>
      </w:r>
      <w:r w:rsidRPr="00EB7F70">
        <w:rPr>
          <w:szCs w:val="24"/>
        </w:rPr>
        <w:tab/>
        <w:t xml:space="preserve">Adrian Piper, ‘The Unity of Sol LeWitt’s Oeuvre’ (2009) in Cross and Markonish (eds.), </w:t>
      </w:r>
      <w:r w:rsidRPr="00EB7F70">
        <w:rPr>
          <w:i/>
          <w:szCs w:val="24"/>
        </w:rPr>
        <w:t>Sol Lewitt</w:t>
      </w:r>
      <w:r w:rsidRPr="00EB7F70">
        <w:rPr>
          <w:szCs w:val="24"/>
        </w:rPr>
        <w:t>, 89.</w:t>
      </w:r>
    </w:p>
  </w:endnote>
  <w:endnote w:id="15">
    <w:p w14:paraId="3552C4A2" w14:textId="5538A4A5"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In case the reader would like that biographical curiosity assuaged: it seems that the man in the photograph might be Piper’s then-boyfriend, who has appeared in some of her work around 1968. See Piper, </w:t>
      </w:r>
      <w:r w:rsidRPr="00EB7F70">
        <w:rPr>
          <w:i/>
          <w:sz w:val="24"/>
          <w:szCs w:val="24"/>
        </w:rPr>
        <w:t xml:space="preserve">Out of Order, </w:t>
      </w:r>
      <w:r w:rsidRPr="00EB7F70">
        <w:rPr>
          <w:sz w:val="24"/>
          <w:szCs w:val="24"/>
        </w:rPr>
        <w:t>9-10.</w:t>
      </w:r>
    </w:p>
  </w:endnote>
  <w:endnote w:id="16">
    <w:p w14:paraId="2B0E2041" w14:textId="23EEBF85" w:rsidR="002E586D" w:rsidRPr="00EB7F70" w:rsidRDefault="002E586D" w:rsidP="00FD5CE5">
      <w:pPr>
        <w:pStyle w:val="EndnoteText"/>
        <w:tabs>
          <w:tab w:val="clear" w:pos="360"/>
          <w:tab w:val="left" w:pos="1418"/>
        </w:tabs>
        <w:spacing w:after="240" w:line="360" w:lineRule="auto"/>
        <w:rPr>
          <w:sz w:val="24"/>
          <w:szCs w:val="24"/>
          <w:vertAlign w:val="subscript"/>
        </w:rPr>
      </w:pPr>
      <w:r w:rsidRPr="00EB7F70">
        <w:rPr>
          <w:rStyle w:val="EndnoteReference"/>
          <w:sz w:val="24"/>
          <w:szCs w:val="24"/>
        </w:rPr>
        <w:endnoteRef/>
      </w:r>
      <w:r w:rsidRPr="00EB7F70">
        <w:rPr>
          <w:sz w:val="24"/>
          <w:szCs w:val="24"/>
        </w:rPr>
        <w:t xml:space="preserve"> </w:t>
      </w:r>
      <w:r w:rsidRPr="00EB7F70">
        <w:rPr>
          <w:sz w:val="24"/>
          <w:szCs w:val="24"/>
        </w:rPr>
        <w:tab/>
        <w:t xml:space="preserve">The earliest notes on the series are dated August 1970, and the seventh piece was performed, unannounced, at the </w:t>
      </w:r>
      <w:r w:rsidRPr="00EB7F70">
        <w:rPr>
          <w:i/>
          <w:sz w:val="24"/>
          <w:szCs w:val="24"/>
        </w:rPr>
        <w:t>Before Cort</w:t>
      </w:r>
      <w:r w:rsidRPr="00EB7F70">
        <w:rPr>
          <w:i/>
          <w:sz w:val="24"/>
          <w:szCs w:val="24"/>
        </w:rPr>
        <w:softHyphen/>
        <w:t>és</w:t>
      </w:r>
      <w:r w:rsidRPr="00EB7F70">
        <w:rPr>
          <w:sz w:val="24"/>
          <w:szCs w:val="24"/>
        </w:rPr>
        <w:t xml:space="preserve"> show at the Metropolitan Museum, which closed 3 January 1971.</w:t>
      </w:r>
    </w:p>
  </w:endnote>
  <w:endnote w:id="17">
    <w:p w14:paraId="7990E513" w14:textId="1DEC54D5" w:rsidR="002E586D" w:rsidRPr="00EB7F70" w:rsidRDefault="002E586D" w:rsidP="00FD5CE5">
      <w:pPr>
        <w:pStyle w:val="EndnoteText"/>
        <w:tabs>
          <w:tab w:val="clear" w:pos="360"/>
          <w:tab w:val="left" w:pos="1418"/>
        </w:tabs>
        <w:spacing w:after="240" w:line="360" w:lineRule="auto"/>
        <w:rPr>
          <w:b/>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Lucy Lippard and Adrian Piper, ‘Catalysis: An Interview with Adrian Piper,’ </w:t>
      </w:r>
      <w:r w:rsidRPr="00EB7F70">
        <w:rPr>
          <w:i/>
          <w:sz w:val="24"/>
          <w:szCs w:val="24"/>
        </w:rPr>
        <w:t>The Drama Review,</w:t>
      </w:r>
      <w:r w:rsidRPr="00EB7F70">
        <w:rPr>
          <w:sz w:val="24"/>
          <w:szCs w:val="24"/>
        </w:rPr>
        <w:t xml:space="preserve"> vol. 16, no. 1 (1972), 76–78, here 76.</w:t>
      </w:r>
    </w:p>
  </w:endnote>
  <w:endnote w:id="18">
    <w:p w14:paraId="5F9A0C26" w14:textId="4B0515DA"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rStyle w:val="EndnoteReference"/>
          <w:sz w:val="24"/>
          <w:szCs w:val="24"/>
        </w:rPr>
        <w:t xml:space="preserve"> </w:t>
      </w:r>
      <w:r w:rsidRPr="00EB7F70">
        <w:rPr>
          <w:sz w:val="24"/>
          <w:szCs w:val="24"/>
        </w:rPr>
        <w:tab/>
        <w:t xml:space="preserve">Piper, ‘Talking to Myself: The Ongoing Autobiography of an Art Object’ (1970-1973), </w:t>
      </w:r>
      <w:r w:rsidRPr="00EB7F70">
        <w:rPr>
          <w:i/>
          <w:sz w:val="24"/>
          <w:szCs w:val="24"/>
        </w:rPr>
        <w:t xml:space="preserve">Out of Order, </w:t>
      </w:r>
      <w:r w:rsidRPr="00EB7F70">
        <w:rPr>
          <w:sz w:val="24"/>
          <w:szCs w:val="24"/>
        </w:rPr>
        <w:t>vol. I, 49.</w:t>
      </w:r>
    </w:p>
  </w:endnote>
  <w:endnote w:id="19">
    <w:p w14:paraId="282AD4DE" w14:textId="080FD33C"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Piper, ‘Talking to Myself’, </w:t>
      </w:r>
      <w:r w:rsidRPr="00EB7F70">
        <w:rPr>
          <w:i/>
          <w:sz w:val="24"/>
          <w:szCs w:val="24"/>
        </w:rPr>
        <w:t xml:space="preserve">Out of Order, </w:t>
      </w:r>
      <w:r w:rsidRPr="00EB7F70">
        <w:rPr>
          <w:sz w:val="24"/>
          <w:szCs w:val="24"/>
        </w:rPr>
        <w:t>vol. I, 42.</w:t>
      </w:r>
    </w:p>
  </w:endnote>
  <w:endnote w:id="20">
    <w:p w14:paraId="6B8EB1B7" w14:textId="3F2ECFBD"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Piper, ‘Talking to Myself’, </w:t>
      </w:r>
      <w:r w:rsidRPr="00EB7F70">
        <w:rPr>
          <w:i/>
          <w:sz w:val="24"/>
          <w:szCs w:val="24"/>
        </w:rPr>
        <w:t xml:space="preserve">Out of Order, </w:t>
      </w:r>
      <w:r w:rsidRPr="00EB7F70">
        <w:rPr>
          <w:sz w:val="24"/>
          <w:szCs w:val="24"/>
        </w:rPr>
        <w:t>vol. I, 32.</w:t>
      </w:r>
    </w:p>
  </w:endnote>
  <w:endnote w:id="21">
    <w:p w14:paraId="1D591494" w14:textId="0B5A8603"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Piper, ‘Talking to Myself’, </w:t>
      </w:r>
      <w:r w:rsidRPr="00EB7F70">
        <w:rPr>
          <w:i/>
          <w:sz w:val="24"/>
          <w:szCs w:val="24"/>
        </w:rPr>
        <w:t xml:space="preserve">Out of Order, </w:t>
      </w:r>
      <w:r w:rsidRPr="00EB7F70">
        <w:rPr>
          <w:sz w:val="24"/>
          <w:szCs w:val="24"/>
        </w:rPr>
        <w:t>vol. I, 41.</w:t>
      </w:r>
    </w:p>
  </w:endnote>
  <w:endnote w:id="22">
    <w:p w14:paraId="4844937C" w14:textId="77A41DDA"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Piper, ‘Food for the Spirit’ (1981), </w:t>
      </w:r>
      <w:r w:rsidRPr="00EB7F70">
        <w:rPr>
          <w:i/>
          <w:sz w:val="24"/>
          <w:szCs w:val="24"/>
        </w:rPr>
        <w:t>Out of Order</w:t>
      </w:r>
      <w:r w:rsidRPr="00EB7F70">
        <w:rPr>
          <w:sz w:val="24"/>
          <w:szCs w:val="24"/>
        </w:rPr>
        <w:t xml:space="preserve">, vol. I, 55. </w:t>
      </w:r>
    </w:p>
  </w:endnote>
  <w:endnote w:id="23">
    <w:p w14:paraId="1B5F2832" w14:textId="1E36A84F"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Piper, ‘Food for the Spirit’, </w:t>
      </w:r>
      <w:r w:rsidRPr="00EB7F70">
        <w:rPr>
          <w:i/>
          <w:sz w:val="24"/>
          <w:szCs w:val="24"/>
        </w:rPr>
        <w:t>Out of Order</w:t>
      </w:r>
      <w:r w:rsidRPr="00EB7F70">
        <w:rPr>
          <w:sz w:val="24"/>
          <w:szCs w:val="24"/>
        </w:rPr>
        <w:t>, vol. I, 55.</w:t>
      </w:r>
    </w:p>
  </w:endnote>
  <w:endnote w:id="24">
    <w:p w14:paraId="6CA6798B" w14:textId="6FDD1E9B"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Adrian Piper, ‘Food For the Spirit, July 1971,’ </w:t>
      </w:r>
      <w:r w:rsidRPr="00EB7F70">
        <w:rPr>
          <w:i/>
          <w:sz w:val="24"/>
          <w:szCs w:val="24"/>
        </w:rPr>
        <w:t>High Performance</w:t>
      </w:r>
      <w:r w:rsidRPr="00EB7F70">
        <w:rPr>
          <w:sz w:val="24"/>
          <w:szCs w:val="24"/>
        </w:rPr>
        <w:t>, vol. 4, no. 1 (Spring 1981).</w:t>
      </w:r>
    </w:p>
  </w:endnote>
  <w:endnote w:id="25">
    <w:p w14:paraId="5B45D983" w14:textId="21C2B869" w:rsidR="002E586D" w:rsidRPr="00EB7F70" w:rsidRDefault="002E586D" w:rsidP="00F23D72">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Bowles, </w:t>
      </w:r>
      <w:r w:rsidRPr="00EB7F70">
        <w:rPr>
          <w:i/>
          <w:sz w:val="24"/>
          <w:szCs w:val="24"/>
        </w:rPr>
        <w:t xml:space="preserve">Adrian Piper, </w:t>
      </w:r>
      <w:r w:rsidRPr="00EB7F70">
        <w:rPr>
          <w:sz w:val="24"/>
          <w:szCs w:val="24"/>
        </w:rPr>
        <w:t>170, 190–191.</w:t>
      </w:r>
    </w:p>
  </w:endnote>
  <w:endnote w:id="26">
    <w:p w14:paraId="21B64E7C" w14:textId="13D15FCF" w:rsidR="002E586D" w:rsidRPr="00EB7F70" w:rsidRDefault="002E586D" w:rsidP="00FD5CE5">
      <w:pPr>
        <w:pStyle w:val="EndnoteText"/>
        <w:tabs>
          <w:tab w:val="clear" w:pos="360"/>
          <w:tab w:val="left" w:pos="1418"/>
        </w:tabs>
        <w:spacing w:after="240" w:line="360" w:lineRule="auto"/>
        <w:rPr>
          <w:b/>
          <w:sz w:val="24"/>
          <w:szCs w:val="24"/>
        </w:rPr>
      </w:pPr>
      <w:r w:rsidRPr="00EB7F70">
        <w:rPr>
          <w:rStyle w:val="EndnoteReference"/>
          <w:sz w:val="24"/>
          <w:szCs w:val="24"/>
        </w:rPr>
        <w:endnoteRef/>
      </w:r>
      <w:r w:rsidRPr="00EB7F70">
        <w:rPr>
          <w:sz w:val="24"/>
          <w:szCs w:val="24"/>
        </w:rPr>
        <w:t xml:space="preserve"> </w:t>
      </w:r>
      <w:r w:rsidRPr="00EB7F70">
        <w:rPr>
          <w:sz w:val="24"/>
          <w:szCs w:val="24"/>
        </w:rPr>
        <w:tab/>
        <w:t>Lippard and Piper, ‘Catalysis: An Interview with Adrian Piper’.</w:t>
      </w:r>
    </w:p>
  </w:endnote>
  <w:endnote w:id="27">
    <w:p w14:paraId="6A0F9F5B" w14:textId="1FABC99E"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Piper, ‘Talking to Myself’, </w:t>
      </w:r>
      <w:r w:rsidRPr="00EB7F70">
        <w:rPr>
          <w:i/>
          <w:sz w:val="24"/>
          <w:szCs w:val="24"/>
        </w:rPr>
        <w:t xml:space="preserve">Out of Order, </w:t>
      </w:r>
      <w:r w:rsidRPr="00EB7F70">
        <w:rPr>
          <w:sz w:val="24"/>
          <w:szCs w:val="24"/>
        </w:rPr>
        <w:t>vol. 1, 48.</w:t>
      </w:r>
    </w:p>
  </w:endnote>
  <w:endnote w:id="28">
    <w:p w14:paraId="1F6A2327" w14:textId="167B1182"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The piece was written up as ‘Phillip Zohn Catalysis’ (May 12, 1972) in 1989 and published in 1996. Piper, </w:t>
      </w:r>
      <w:r w:rsidRPr="00EB7F70">
        <w:rPr>
          <w:i/>
          <w:sz w:val="24"/>
          <w:szCs w:val="24"/>
        </w:rPr>
        <w:t xml:space="preserve">Out of Order, </w:t>
      </w:r>
      <w:r w:rsidRPr="00EB7F70">
        <w:rPr>
          <w:sz w:val="24"/>
          <w:szCs w:val="24"/>
        </w:rPr>
        <w:t xml:space="preserve">vol. 1, 49, 57–58. </w:t>
      </w:r>
    </w:p>
  </w:endnote>
  <w:endnote w:id="29">
    <w:p w14:paraId="4C2FEA05" w14:textId="612435D7"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Cf. Jörg Heiser (ed.), </w:t>
      </w:r>
      <w:r w:rsidRPr="00EB7F70">
        <w:rPr>
          <w:i/>
          <w:sz w:val="24"/>
          <w:szCs w:val="24"/>
        </w:rPr>
        <w:t>Romantic Conceptualism</w:t>
      </w:r>
      <w:r w:rsidRPr="00EB7F70">
        <w:rPr>
          <w:sz w:val="24"/>
          <w:szCs w:val="24"/>
        </w:rPr>
        <w:t xml:space="preserve"> (ex.cat.) (Bielefeld: Kerber, 2007).</w:t>
      </w:r>
    </w:p>
  </w:endnote>
  <w:endnote w:id="30">
    <w:p w14:paraId="6712B46F" w14:textId="77777777"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For Piper’s contemporaneous notes on solipsism, see ‘Talking to Myself’, </w:t>
      </w:r>
      <w:r w:rsidRPr="00EB7F70">
        <w:rPr>
          <w:i/>
          <w:sz w:val="24"/>
          <w:szCs w:val="24"/>
        </w:rPr>
        <w:t xml:space="preserve">Out of Order, </w:t>
      </w:r>
      <w:r w:rsidRPr="00EB7F70">
        <w:rPr>
          <w:sz w:val="24"/>
          <w:szCs w:val="24"/>
        </w:rPr>
        <w:t>vol. 1, 47–51.</w:t>
      </w:r>
    </w:p>
  </w:endnote>
  <w:endnote w:id="31">
    <w:p w14:paraId="4427CA4F" w14:textId="0704BFDF"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Bowles, </w:t>
      </w:r>
      <w:r w:rsidRPr="00EB7F70">
        <w:rPr>
          <w:i/>
          <w:sz w:val="24"/>
          <w:szCs w:val="24"/>
        </w:rPr>
        <w:t>Adrian Piper</w:t>
      </w:r>
      <w:r w:rsidRPr="00EB7F70">
        <w:rPr>
          <w:sz w:val="24"/>
          <w:szCs w:val="24"/>
        </w:rPr>
        <w:t>, 120. Bowles here connects Piper’s interest in Kant with Clement Greenberg’s interest in the philosopher.</w:t>
      </w:r>
    </w:p>
  </w:endnote>
  <w:endnote w:id="32">
    <w:p w14:paraId="692C8C5D" w14:textId="55E15F4F"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Amelia Jones, </w:t>
      </w:r>
      <w:r w:rsidRPr="00EB7F70">
        <w:rPr>
          <w:i/>
          <w:sz w:val="24"/>
          <w:szCs w:val="24"/>
        </w:rPr>
        <w:t>Body Art / Performing the Subject</w:t>
      </w:r>
      <w:r w:rsidRPr="00EB7F70">
        <w:rPr>
          <w:sz w:val="24"/>
          <w:szCs w:val="24"/>
        </w:rPr>
        <w:t xml:space="preserve">, (Minneapolis: University of Minnesota Press, 1998), 162. For a similar reading see Joanna Frueh, ‘The Body through Women’s Eyes’ in Norma Broude and Mary D. Garrard, (eds.), </w:t>
      </w:r>
      <w:r w:rsidRPr="00EB7F70">
        <w:rPr>
          <w:i/>
          <w:sz w:val="24"/>
          <w:szCs w:val="24"/>
        </w:rPr>
        <w:t xml:space="preserve">The Power of Feminist Art: The American Movement of the 1970s, History and Impact, </w:t>
      </w:r>
      <w:r w:rsidRPr="00EB7F70">
        <w:rPr>
          <w:sz w:val="24"/>
          <w:szCs w:val="24"/>
        </w:rPr>
        <w:t>(New York: H.N. Abrams, 1994), 190–207, here 194.</w:t>
      </w:r>
    </w:p>
  </w:endnote>
  <w:endnote w:id="33">
    <w:p w14:paraId="6D11AEC3" w14:textId="2D2F07D7"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Bowles, </w:t>
      </w:r>
      <w:r w:rsidRPr="00EB7F70">
        <w:rPr>
          <w:i/>
          <w:sz w:val="24"/>
          <w:szCs w:val="24"/>
        </w:rPr>
        <w:t>Adrian Piper</w:t>
      </w:r>
      <w:r w:rsidRPr="00EB7F70">
        <w:rPr>
          <w:sz w:val="24"/>
          <w:szCs w:val="24"/>
        </w:rPr>
        <w:t>, 208. See also 213-18.</w:t>
      </w:r>
    </w:p>
  </w:endnote>
  <w:endnote w:id="34">
    <w:p w14:paraId="2BE51577" w14:textId="732B9487"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David Marriott, ‘On Racial Etiquette: </w:t>
      </w:r>
      <w:r w:rsidRPr="00EB7F70">
        <w:rPr>
          <w:i/>
          <w:sz w:val="24"/>
          <w:szCs w:val="24"/>
        </w:rPr>
        <w:t>Adrian Piper’s My Calling (Cards)</w:t>
      </w:r>
      <w:r w:rsidRPr="00EB7F70">
        <w:rPr>
          <w:sz w:val="24"/>
          <w:szCs w:val="24"/>
        </w:rPr>
        <w:t xml:space="preserve">,’ </w:t>
      </w:r>
      <w:r w:rsidRPr="00EB7F70">
        <w:rPr>
          <w:i/>
          <w:sz w:val="24"/>
          <w:szCs w:val="24"/>
        </w:rPr>
        <w:t>Postmodern Culture,</w:t>
      </w:r>
      <w:r w:rsidRPr="00EB7F70">
        <w:rPr>
          <w:sz w:val="24"/>
          <w:szCs w:val="24"/>
        </w:rPr>
        <w:t xml:space="preserve"> vol. 24, no. 1, 2013, Section IV.</w:t>
      </w:r>
    </w:p>
  </w:endnote>
  <w:endnote w:id="35">
    <w:p w14:paraId="17E6509A" w14:textId="420BE1FD"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In overviews of performance art, </w:t>
      </w:r>
      <w:r w:rsidRPr="00EB7F70">
        <w:rPr>
          <w:i/>
          <w:sz w:val="24"/>
          <w:szCs w:val="24"/>
        </w:rPr>
        <w:t xml:space="preserve">Catalysis </w:t>
      </w:r>
      <w:r w:rsidRPr="00EB7F70">
        <w:rPr>
          <w:sz w:val="24"/>
          <w:szCs w:val="24"/>
        </w:rPr>
        <w:t xml:space="preserve">is regularly analysed in this way, for example: Christine Ross, ‘The Paradoxical Bodies of Contemporary Art’ in Amelia Jones (ed.), </w:t>
      </w:r>
      <w:r w:rsidRPr="00EB7F70">
        <w:rPr>
          <w:i/>
          <w:sz w:val="24"/>
          <w:szCs w:val="24"/>
        </w:rPr>
        <w:t xml:space="preserve">A Companion to Contemporary Art since 1945, </w:t>
      </w:r>
      <w:r w:rsidRPr="00EB7F70">
        <w:rPr>
          <w:sz w:val="24"/>
          <w:szCs w:val="24"/>
        </w:rPr>
        <w:t xml:space="preserve">(Oxford: Blackwell, 2006), 378–400, here 393. Cf. Anne Rorimer, </w:t>
      </w:r>
      <w:r w:rsidRPr="00EB7F70">
        <w:rPr>
          <w:i/>
          <w:sz w:val="24"/>
          <w:szCs w:val="24"/>
        </w:rPr>
        <w:t xml:space="preserve">New Art in the 60s and 70s </w:t>
      </w:r>
      <w:r w:rsidRPr="00EB7F70">
        <w:rPr>
          <w:sz w:val="24"/>
          <w:szCs w:val="24"/>
        </w:rPr>
        <w:t>(New York: Thames &amp; Hudson, 2004), 162.</w:t>
      </w:r>
    </w:p>
  </w:endnote>
  <w:endnote w:id="36">
    <w:p w14:paraId="2C1A7511" w14:textId="19DC2BCC"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Bowles, </w:t>
      </w:r>
      <w:r w:rsidRPr="00EB7F70">
        <w:rPr>
          <w:i/>
          <w:sz w:val="24"/>
          <w:szCs w:val="24"/>
        </w:rPr>
        <w:t xml:space="preserve">Adrian Piper, </w:t>
      </w:r>
      <w:r w:rsidRPr="00EB7F70">
        <w:rPr>
          <w:sz w:val="24"/>
          <w:szCs w:val="24"/>
        </w:rPr>
        <w:t xml:space="preserve">170–175. </w:t>
      </w:r>
    </w:p>
  </w:endnote>
  <w:endnote w:id="37">
    <w:p w14:paraId="6F34C3F4" w14:textId="2449C05D"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Lippard and Piper, ‘Catalysis’, 77-8.</w:t>
      </w:r>
    </w:p>
  </w:endnote>
  <w:endnote w:id="38">
    <w:p w14:paraId="75B9A3E8" w14:textId="0828E73C"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Piper, </w:t>
      </w:r>
      <w:r w:rsidRPr="00EB7F70">
        <w:rPr>
          <w:i/>
          <w:sz w:val="24"/>
          <w:szCs w:val="24"/>
        </w:rPr>
        <w:t xml:space="preserve">Out of Order, </w:t>
      </w:r>
      <w:r w:rsidRPr="00EB7F70">
        <w:rPr>
          <w:sz w:val="24"/>
          <w:szCs w:val="24"/>
        </w:rPr>
        <w:t>‘Talking to Myself’, vol. 1, 40.</w:t>
      </w:r>
    </w:p>
  </w:endnote>
  <w:endnote w:id="39">
    <w:p w14:paraId="2B96FADF" w14:textId="504513CE"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Piper, </w:t>
      </w:r>
      <w:r w:rsidRPr="00EB7F70">
        <w:rPr>
          <w:i/>
          <w:sz w:val="24"/>
          <w:szCs w:val="24"/>
        </w:rPr>
        <w:t xml:space="preserve">Out of Order, </w:t>
      </w:r>
      <w:r w:rsidRPr="00EB7F70">
        <w:rPr>
          <w:sz w:val="24"/>
          <w:szCs w:val="24"/>
        </w:rPr>
        <w:t>‘Talking to Myself’, vol. 1, 41, 45.</w:t>
      </w:r>
    </w:p>
  </w:endnote>
  <w:endnote w:id="40">
    <w:p w14:paraId="7555F2C1" w14:textId="2B8B77FF"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Piper, </w:t>
      </w:r>
      <w:r w:rsidRPr="00EB7F70">
        <w:rPr>
          <w:i/>
          <w:sz w:val="24"/>
          <w:szCs w:val="24"/>
        </w:rPr>
        <w:t xml:space="preserve">Out of Order, </w:t>
      </w:r>
      <w:r w:rsidRPr="00EB7F70">
        <w:rPr>
          <w:sz w:val="24"/>
          <w:szCs w:val="24"/>
        </w:rPr>
        <w:t>20-21, 55.</w:t>
      </w:r>
    </w:p>
  </w:endnote>
  <w:endnote w:id="41">
    <w:p w14:paraId="63A31014" w14:textId="31CEEC28"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Piper, </w:t>
      </w:r>
      <w:r w:rsidRPr="00EB7F70">
        <w:rPr>
          <w:i/>
          <w:sz w:val="24"/>
          <w:szCs w:val="24"/>
        </w:rPr>
        <w:t xml:space="preserve">Out of Order, </w:t>
      </w:r>
      <w:r w:rsidRPr="00EB7F70">
        <w:rPr>
          <w:sz w:val="24"/>
          <w:szCs w:val="24"/>
        </w:rPr>
        <w:t>‘Talking to Myself’, vol. 1, 41, 45.</w:t>
      </w:r>
    </w:p>
  </w:endnote>
  <w:endnote w:id="42">
    <w:p w14:paraId="29CCED96" w14:textId="4A7A458E"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Piper, ‘About the </w:t>
      </w:r>
      <w:r w:rsidRPr="00EB7F70">
        <w:rPr>
          <w:i/>
          <w:sz w:val="24"/>
          <w:szCs w:val="24"/>
        </w:rPr>
        <w:t xml:space="preserve">Hypothesis </w:t>
      </w:r>
      <w:r w:rsidRPr="00EB7F70">
        <w:rPr>
          <w:sz w:val="24"/>
          <w:szCs w:val="24"/>
        </w:rPr>
        <w:t xml:space="preserve">Series’ (1992), </w:t>
      </w:r>
      <w:r w:rsidRPr="00EB7F70">
        <w:rPr>
          <w:i/>
          <w:sz w:val="24"/>
          <w:szCs w:val="24"/>
        </w:rPr>
        <w:t xml:space="preserve">Out of Order, </w:t>
      </w:r>
      <w:r w:rsidRPr="00EB7F70">
        <w:rPr>
          <w:sz w:val="24"/>
          <w:szCs w:val="24"/>
        </w:rPr>
        <w:t>vol. 1, 19.</w:t>
      </w:r>
    </w:p>
  </w:endnote>
  <w:endnote w:id="43">
    <w:p w14:paraId="76E2DDEC" w14:textId="7B5F6991" w:rsidR="002E586D" w:rsidRPr="00EB7F70" w:rsidRDefault="002E586D" w:rsidP="00FD5CE5">
      <w:pPr>
        <w:pStyle w:val="NoSpacing"/>
        <w:tabs>
          <w:tab w:val="clear" w:pos="360"/>
          <w:tab w:val="left" w:pos="1418"/>
        </w:tabs>
        <w:spacing w:after="240" w:line="360" w:lineRule="auto"/>
        <w:rPr>
          <w:szCs w:val="24"/>
        </w:rPr>
      </w:pPr>
      <w:r w:rsidRPr="00EB7F70">
        <w:rPr>
          <w:rStyle w:val="EndnoteReference"/>
          <w:szCs w:val="24"/>
        </w:rPr>
        <w:endnoteRef/>
      </w:r>
      <w:r w:rsidRPr="00EB7F70">
        <w:rPr>
          <w:szCs w:val="24"/>
        </w:rPr>
        <w:t xml:space="preserve"> </w:t>
      </w:r>
      <w:r w:rsidRPr="00EB7F70">
        <w:rPr>
          <w:szCs w:val="24"/>
        </w:rPr>
        <w:tab/>
        <w:t>For a candid autobiographical account of Piper’s transition from ‘apolitical’ to ‘political’ work, see especially her ‘Flying’ (1987), Out of Order, vol. 1, 223-232.</w:t>
      </w:r>
    </w:p>
  </w:endnote>
  <w:endnote w:id="44">
    <w:p w14:paraId="369DE7C5" w14:textId="0AF698E3"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The institutional politics around </w:t>
      </w:r>
      <w:r w:rsidRPr="00EB7F70">
        <w:rPr>
          <w:i/>
          <w:sz w:val="24"/>
          <w:szCs w:val="24"/>
        </w:rPr>
        <w:t xml:space="preserve">Information </w:t>
      </w:r>
      <w:r w:rsidRPr="00EB7F70">
        <w:rPr>
          <w:sz w:val="24"/>
          <w:szCs w:val="24"/>
        </w:rPr>
        <w:t xml:space="preserve">have been comprehensively researched. Francis Frascina, </w:t>
      </w:r>
      <w:r w:rsidRPr="00EB7F70">
        <w:rPr>
          <w:i/>
          <w:sz w:val="24"/>
          <w:szCs w:val="24"/>
        </w:rPr>
        <w:t>Art, Politics, and Dissent: Aspects of the Art Left in Sixties America</w:t>
      </w:r>
      <w:r w:rsidRPr="00EB7F70">
        <w:rPr>
          <w:sz w:val="24"/>
          <w:szCs w:val="24"/>
        </w:rPr>
        <w:t xml:space="preserve"> (Manchester: Manchester University Press, 1999), 170–85; Julia Bryan-Wilson, </w:t>
      </w:r>
      <w:r w:rsidRPr="00EB7F70">
        <w:rPr>
          <w:i/>
          <w:sz w:val="24"/>
          <w:szCs w:val="24"/>
        </w:rPr>
        <w:t>Art Workers: Radical Practice in the Vietnam War Era</w:t>
      </w:r>
      <w:r w:rsidRPr="00EB7F70">
        <w:rPr>
          <w:sz w:val="24"/>
          <w:szCs w:val="24"/>
        </w:rPr>
        <w:t xml:space="preserve"> (Berkeley: University of California Press, 2009), 13–22, 178–84.</w:t>
      </w:r>
    </w:p>
  </w:endnote>
  <w:endnote w:id="45">
    <w:p w14:paraId="1F4DBA8F" w14:textId="4C738DD7"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Foster, Hal</w:t>
      </w:r>
      <w:r w:rsidRPr="00EB7F70">
        <w:rPr>
          <w:i/>
          <w:sz w:val="24"/>
          <w:szCs w:val="24"/>
        </w:rPr>
        <w:t xml:space="preserve">. The Return of the Real, </w:t>
      </w:r>
      <w:r w:rsidRPr="00EB7F70">
        <w:rPr>
          <w:sz w:val="24"/>
          <w:szCs w:val="24"/>
        </w:rPr>
        <w:t>xiv.</w:t>
      </w:r>
    </w:p>
  </w:endnote>
  <w:endnote w:id="46">
    <w:p w14:paraId="01DBCC16" w14:textId="0D5AB2C4"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Jonathan Flatley, ‘Art Machine’, in Nicholas Baume (ed.), </w:t>
      </w:r>
      <w:r w:rsidRPr="00EB7F70">
        <w:rPr>
          <w:i/>
          <w:sz w:val="24"/>
          <w:szCs w:val="24"/>
        </w:rPr>
        <w:t xml:space="preserve">Sol LeWitt: Incomplete Open Cubes, </w:t>
      </w:r>
      <w:r w:rsidRPr="00EB7F70">
        <w:rPr>
          <w:sz w:val="24"/>
          <w:szCs w:val="24"/>
        </w:rPr>
        <w:t>(Cambridge, Mass.: MIT Press, 2001), 83-101, here 84-85.</w:t>
      </w:r>
    </w:p>
  </w:endnote>
  <w:endnote w:id="47">
    <w:p w14:paraId="213D88AD" w14:textId="1A803FE0"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Kirsten Swenson, </w:t>
      </w:r>
      <w:r w:rsidRPr="00EB7F70">
        <w:rPr>
          <w:i/>
          <w:sz w:val="24"/>
          <w:szCs w:val="24"/>
        </w:rPr>
        <w:t>Irrational Judgments: Eva Hesse, Sol LeWitt, and the 1960s</w:t>
      </w:r>
      <w:r w:rsidRPr="00EB7F70">
        <w:rPr>
          <w:sz w:val="24"/>
          <w:szCs w:val="24"/>
        </w:rPr>
        <w:t xml:space="preserve"> (New Haven: Yale University Press, 2015), 146.</w:t>
      </w:r>
    </w:p>
  </w:endnote>
  <w:endnote w:id="48">
    <w:p w14:paraId="68311E9D" w14:textId="22042F34"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Anna Lovatt, ‘For an Adversarial LeWitt’, in Nicholas Baume (ed.), </w:t>
      </w:r>
      <w:r w:rsidRPr="00EB7F70">
        <w:rPr>
          <w:i/>
          <w:sz w:val="24"/>
          <w:szCs w:val="24"/>
        </w:rPr>
        <w:t>Sol LeWitt: Structures, 1965-2006</w:t>
      </w:r>
      <w:r w:rsidRPr="00EB7F70">
        <w:rPr>
          <w:sz w:val="24"/>
          <w:szCs w:val="24"/>
        </w:rPr>
        <w:t xml:space="preserve"> (New York: Public Art Fund and Yale University Press, 2011), 64-83, here 67.</w:t>
      </w:r>
    </w:p>
  </w:endnote>
  <w:endnote w:id="49">
    <w:p w14:paraId="61B24B4F" w14:textId="6730A460" w:rsidR="002E586D" w:rsidRPr="00EB7F70" w:rsidRDefault="002E586D" w:rsidP="00C50C49">
      <w:pPr>
        <w:pStyle w:val="FootnoteText"/>
      </w:pPr>
      <w:r w:rsidRPr="00EB7F70">
        <w:rPr>
          <w:rStyle w:val="EndnoteReference"/>
        </w:rPr>
        <w:endnoteRef/>
      </w:r>
      <w:r w:rsidRPr="00EB7F70">
        <w:t xml:space="preserve"> </w:t>
      </w:r>
      <w:r w:rsidRPr="00EB7F70">
        <w:tab/>
        <w:t xml:space="preserve">For a recent discussion of the way that even those art historical approaches that attempt to refuse biography and intention tend to appeal to a minimal sense of context of production, see Sam Rose, ‘Close Looking and Conviction’, </w:t>
      </w:r>
      <w:r w:rsidRPr="00EB7F70">
        <w:rPr>
          <w:i/>
        </w:rPr>
        <w:t>Art History</w:t>
      </w:r>
      <w:r w:rsidRPr="00EB7F70">
        <w:t xml:space="preserve"> vol. 40 (February 2017), 156-177.</w:t>
      </w:r>
    </w:p>
  </w:endnote>
  <w:endnote w:id="50">
    <w:p w14:paraId="3B1E2239" w14:textId="35FC090F" w:rsidR="002E586D" w:rsidRPr="00EB7F70" w:rsidRDefault="002E586D" w:rsidP="00C50C49">
      <w:pPr>
        <w:pStyle w:val="FootnoteText"/>
        <w:rPr>
          <w:color w:val="000000"/>
        </w:rPr>
      </w:pPr>
      <w:r w:rsidRPr="00EB7F70">
        <w:rPr>
          <w:rStyle w:val="EndnoteReference"/>
        </w:rPr>
        <w:endnoteRef/>
      </w:r>
      <w:r w:rsidRPr="00EB7F70">
        <w:t xml:space="preserve"> </w:t>
      </w:r>
      <w:r w:rsidRPr="00EB7F70">
        <w:tab/>
        <w:t xml:space="preserve">Cf. English, </w:t>
      </w:r>
      <w:r w:rsidRPr="00EB7F70">
        <w:rPr>
          <w:i/>
        </w:rPr>
        <w:t xml:space="preserve">How to See a Work of Art, </w:t>
      </w:r>
      <w:r w:rsidRPr="00EB7F70">
        <w:t>11, 15. See also all of Introduction and Chapter 1.</w:t>
      </w:r>
    </w:p>
  </w:endnote>
  <w:endnote w:id="51">
    <w:p w14:paraId="7DCA0846" w14:textId="75DBFDC7" w:rsidR="002E586D" w:rsidRPr="00EB7F70" w:rsidRDefault="002E586D" w:rsidP="00FD5CE5">
      <w:pPr>
        <w:pStyle w:val="EndnoteText"/>
        <w:tabs>
          <w:tab w:val="clear" w:pos="360"/>
          <w:tab w:val="left" w:pos="1418"/>
        </w:tabs>
        <w:spacing w:after="240" w:line="360" w:lineRule="auto"/>
        <w:rPr>
          <w:sz w:val="24"/>
          <w:szCs w:val="24"/>
          <w:vertAlign w:val="subscript"/>
        </w:rPr>
      </w:pPr>
      <w:r w:rsidRPr="00EB7F70">
        <w:rPr>
          <w:rStyle w:val="EndnoteReference"/>
          <w:sz w:val="24"/>
          <w:szCs w:val="24"/>
        </w:rPr>
        <w:endnoteRef/>
      </w:r>
      <w:r w:rsidRPr="00EB7F70">
        <w:rPr>
          <w:sz w:val="24"/>
          <w:szCs w:val="24"/>
        </w:rPr>
        <w:t xml:space="preserve"> </w:t>
      </w:r>
      <w:r w:rsidRPr="00EB7F70">
        <w:rPr>
          <w:sz w:val="24"/>
          <w:szCs w:val="24"/>
        </w:rPr>
        <w:tab/>
        <w:t xml:space="preserve">Interestingly, John Bowles briefly floats a similar objection in relation to Amelia Jones’ reading of </w:t>
      </w:r>
      <w:r w:rsidRPr="00EB7F70">
        <w:rPr>
          <w:i/>
          <w:sz w:val="24"/>
          <w:szCs w:val="24"/>
        </w:rPr>
        <w:t xml:space="preserve">Food for the Spirit </w:t>
      </w:r>
      <w:r w:rsidRPr="00EB7F70">
        <w:rPr>
          <w:sz w:val="24"/>
          <w:szCs w:val="24"/>
        </w:rPr>
        <w:t xml:space="preserve">as important ‘simply because it exists as a picture of a black woman “who doesn’t look like one”’ (Bowles, </w:t>
      </w:r>
      <w:r w:rsidRPr="00EB7F70">
        <w:rPr>
          <w:i/>
          <w:sz w:val="24"/>
          <w:szCs w:val="24"/>
        </w:rPr>
        <w:t xml:space="preserve">Adrian Piper, </w:t>
      </w:r>
      <w:r w:rsidRPr="00EB7F70">
        <w:rPr>
          <w:sz w:val="24"/>
          <w:szCs w:val="24"/>
        </w:rPr>
        <w:t xml:space="preserve">211). Yet, surely the same criticism applies to Bowles’ own reading of Piper’s performances; for example, his reading of </w:t>
      </w:r>
      <w:r w:rsidRPr="00EB7F70">
        <w:rPr>
          <w:i/>
          <w:sz w:val="24"/>
          <w:szCs w:val="24"/>
        </w:rPr>
        <w:t xml:space="preserve">Catalysis VII, </w:t>
      </w:r>
      <w:r w:rsidRPr="00EB7F70">
        <w:rPr>
          <w:sz w:val="24"/>
          <w:szCs w:val="24"/>
        </w:rPr>
        <w:t xml:space="preserve">of which he says that the ‘particularities of [Piper’s] appearance articulate a black feminist’s critique of the partnership between Modernism and norms of race, gender, and sexuality’ (Bowles, </w:t>
      </w:r>
      <w:r w:rsidRPr="00EB7F70">
        <w:rPr>
          <w:i/>
          <w:sz w:val="24"/>
          <w:szCs w:val="24"/>
        </w:rPr>
        <w:t xml:space="preserve">Adrian Piper, </w:t>
      </w:r>
      <w:r w:rsidRPr="00EB7F70">
        <w:rPr>
          <w:sz w:val="24"/>
          <w:szCs w:val="24"/>
        </w:rPr>
        <w:t xml:space="preserve">163). For </w:t>
      </w:r>
      <w:r w:rsidRPr="00EB7F70">
        <w:rPr>
          <w:i/>
          <w:sz w:val="24"/>
          <w:szCs w:val="24"/>
        </w:rPr>
        <w:t xml:space="preserve">Catalysis VII </w:t>
      </w:r>
      <w:r w:rsidRPr="00EB7F70">
        <w:rPr>
          <w:sz w:val="24"/>
          <w:szCs w:val="24"/>
        </w:rPr>
        <w:t xml:space="preserve">walked to the Metropolitan Museum </w:t>
      </w:r>
      <w:r w:rsidRPr="00EB7F70">
        <w:rPr>
          <w:i/>
          <w:sz w:val="24"/>
          <w:szCs w:val="24"/>
        </w:rPr>
        <w:t>Before Cort</w:t>
      </w:r>
      <w:r w:rsidRPr="00EB7F70">
        <w:rPr>
          <w:i/>
          <w:sz w:val="24"/>
          <w:szCs w:val="24"/>
        </w:rPr>
        <w:softHyphen/>
        <w:t xml:space="preserve">és </w:t>
      </w:r>
      <w:r w:rsidRPr="00EB7F70">
        <w:rPr>
          <w:sz w:val="24"/>
          <w:szCs w:val="24"/>
        </w:rPr>
        <w:t>show, with a purse filled with ketchup and chewing huge amounts of bubble gum.</w:t>
      </w:r>
    </w:p>
  </w:endnote>
  <w:endnote w:id="52">
    <w:p w14:paraId="6870570B" w14:textId="104A9A1B"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For further discussion of these points, see also W. J. T. Mitchell, </w:t>
      </w:r>
      <w:r w:rsidRPr="00EB7F70">
        <w:rPr>
          <w:i/>
          <w:sz w:val="24"/>
          <w:szCs w:val="24"/>
        </w:rPr>
        <w:t>Seeing through Race</w:t>
      </w:r>
      <w:r w:rsidRPr="00EB7F70">
        <w:rPr>
          <w:sz w:val="24"/>
          <w:szCs w:val="24"/>
        </w:rPr>
        <w:t xml:space="preserve">, (Cambridge, Mass.: Harvard University Press, 2012), and Darby English, </w:t>
      </w:r>
      <w:r w:rsidRPr="00EB7F70">
        <w:rPr>
          <w:i/>
          <w:sz w:val="24"/>
          <w:szCs w:val="24"/>
        </w:rPr>
        <w:t>1971: A Year in the Life of Color</w:t>
      </w:r>
      <w:r w:rsidRPr="00EB7F70">
        <w:rPr>
          <w:sz w:val="24"/>
          <w:szCs w:val="24"/>
        </w:rPr>
        <w:t>, (Chicago: University of Chicago, 2016). Important precedents and parallels of this discussion are drawn from feminist art history. One seminal text is Anne Wagner,</w:t>
      </w:r>
      <w:r w:rsidRPr="00EB7F70">
        <w:rPr>
          <w:i/>
          <w:sz w:val="24"/>
          <w:szCs w:val="24"/>
        </w:rPr>
        <w:t xml:space="preserve"> Three Artists (Three Women): Modernism and the Art of Hesse, Krasner, and O'Keeffe</w:t>
      </w:r>
      <w:r w:rsidRPr="00EB7F70">
        <w:rPr>
          <w:sz w:val="24"/>
          <w:szCs w:val="24"/>
        </w:rPr>
        <w:t>, (Berkeley, CA: University of California Press, 1998).</w:t>
      </w:r>
    </w:p>
  </w:endnote>
  <w:endnote w:id="53">
    <w:p w14:paraId="3693AE92" w14:textId="2A6AD62F" w:rsidR="002E586D" w:rsidRPr="00EB7F70" w:rsidRDefault="002E586D" w:rsidP="00EE3041">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Cf. Lorraine O’Grady, “Olympia’s Maid: Reclaiming Black Female Subjectivity”, in Joanna Frueh, Cassandra L. Langer and Arlene Raven (eds.) </w:t>
      </w:r>
      <w:r w:rsidRPr="00EB7F70">
        <w:rPr>
          <w:i/>
          <w:sz w:val="24"/>
          <w:szCs w:val="24"/>
        </w:rPr>
        <w:t xml:space="preserve">New Feminist Criticism: Art, Identity, Action, </w:t>
      </w:r>
      <w:r w:rsidRPr="00EB7F70">
        <w:rPr>
          <w:sz w:val="24"/>
          <w:szCs w:val="24"/>
        </w:rPr>
        <w:t>(New York: Icon, 1994), 156.</w:t>
      </w:r>
    </w:p>
  </w:endnote>
  <w:endnote w:id="54">
    <w:p w14:paraId="5A119699" w14:textId="2DBFC204"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bell hooks, </w:t>
      </w:r>
      <w:r w:rsidRPr="00EB7F70">
        <w:rPr>
          <w:i/>
          <w:sz w:val="24"/>
          <w:szCs w:val="24"/>
        </w:rPr>
        <w:t>Black Looks: Race and Representation</w:t>
      </w:r>
      <w:r w:rsidRPr="00EB7F70">
        <w:rPr>
          <w:sz w:val="24"/>
          <w:szCs w:val="24"/>
        </w:rPr>
        <w:t>, (Boston, MA: South End Press, 1992), 115.</w:t>
      </w:r>
    </w:p>
  </w:endnote>
  <w:endnote w:id="55">
    <w:p w14:paraId="0FB15947" w14:textId="7E841C69"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bell hooks, </w:t>
      </w:r>
      <w:r w:rsidRPr="00EB7F70">
        <w:rPr>
          <w:i/>
          <w:sz w:val="24"/>
          <w:szCs w:val="24"/>
        </w:rPr>
        <w:t xml:space="preserve">Black Looks, </w:t>
      </w:r>
      <w:r w:rsidRPr="00EB7F70">
        <w:rPr>
          <w:sz w:val="24"/>
          <w:szCs w:val="24"/>
        </w:rPr>
        <w:t>116.</w:t>
      </w:r>
    </w:p>
  </w:endnote>
  <w:endnote w:id="56">
    <w:p w14:paraId="18A1B772" w14:textId="77777777" w:rsidR="002E586D" w:rsidRPr="00EB7F70" w:rsidRDefault="002E586D" w:rsidP="00FD5CE5">
      <w:pPr>
        <w:pStyle w:val="EndnoteText"/>
        <w:tabs>
          <w:tab w:val="clear" w:pos="360"/>
          <w:tab w:val="left" w:pos="1418"/>
        </w:tabs>
        <w:spacing w:after="240" w:line="360" w:lineRule="auto"/>
        <w:rPr>
          <w:color w:val="000000"/>
          <w:sz w:val="24"/>
          <w:szCs w:val="24"/>
        </w:rPr>
      </w:pPr>
      <w:r w:rsidRPr="00EB7F70">
        <w:rPr>
          <w:rStyle w:val="EndnoteReference"/>
          <w:color w:val="000000"/>
          <w:sz w:val="24"/>
          <w:szCs w:val="24"/>
        </w:rPr>
        <w:endnoteRef/>
      </w:r>
      <w:r w:rsidRPr="00EB7F70">
        <w:rPr>
          <w:color w:val="000000"/>
          <w:sz w:val="24"/>
          <w:szCs w:val="24"/>
        </w:rPr>
        <w:t xml:space="preserve"> </w:t>
      </w:r>
      <w:r w:rsidRPr="00EB7F70">
        <w:rPr>
          <w:color w:val="000000"/>
          <w:sz w:val="24"/>
          <w:szCs w:val="24"/>
        </w:rPr>
        <w:tab/>
        <w:t>Buchloh, ‘Conceptual Art.’</w:t>
      </w:r>
    </w:p>
  </w:endnote>
  <w:endnote w:id="57">
    <w:p w14:paraId="26A17E09" w14:textId="77777777"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i/>
          <w:sz w:val="24"/>
          <w:szCs w:val="24"/>
        </w:rPr>
        <w:t xml:space="preserve"> </w:t>
      </w:r>
      <w:r w:rsidRPr="00EB7F70">
        <w:rPr>
          <w:i/>
          <w:sz w:val="24"/>
          <w:szCs w:val="24"/>
        </w:rPr>
        <w:tab/>
      </w:r>
      <w:r w:rsidRPr="00EB7F70">
        <w:rPr>
          <w:sz w:val="24"/>
          <w:szCs w:val="24"/>
        </w:rPr>
        <w:t>Transcribed from the original tape (1987) at the Adrian Piper Research Archive, Berlin on 18th July, 2013</w:t>
      </w:r>
      <w:r w:rsidRPr="00EB7F70">
        <w:rPr>
          <w:i/>
          <w:sz w:val="24"/>
          <w:szCs w:val="24"/>
        </w:rPr>
        <w:t>.</w:t>
      </w:r>
    </w:p>
  </w:endnote>
  <w:endnote w:id="58">
    <w:p w14:paraId="6472F3BC" w14:textId="4F380843"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For a recent overview see Fredrick C. Harris and Robert C. Lieberman (eds.) </w:t>
      </w:r>
      <w:r w:rsidRPr="00EB7F70">
        <w:rPr>
          <w:i/>
          <w:sz w:val="24"/>
          <w:szCs w:val="24"/>
        </w:rPr>
        <w:t xml:space="preserve">Beyond Discrimination: Racial Inequality in a Postracist Era, </w:t>
      </w:r>
      <w:r w:rsidRPr="00EB7F70">
        <w:rPr>
          <w:sz w:val="24"/>
          <w:szCs w:val="24"/>
        </w:rPr>
        <w:t>(New York: Russel Sage Foundation, 2013).</w:t>
      </w:r>
    </w:p>
  </w:endnote>
  <w:endnote w:id="59">
    <w:p w14:paraId="02AFB73C" w14:textId="7CAC647E"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r>
      <w:bookmarkStart w:id="1" w:name="_Hlk488221843"/>
      <w:r w:rsidRPr="00EB7F70">
        <w:rPr>
          <w:sz w:val="24"/>
          <w:szCs w:val="24"/>
        </w:rPr>
        <w:t xml:space="preserve">This became known as the principle-implementation paradox. For discussion see Howard Schuman </w:t>
      </w:r>
      <w:r w:rsidRPr="00EB7F70">
        <w:rPr>
          <w:i/>
          <w:sz w:val="24"/>
          <w:szCs w:val="24"/>
        </w:rPr>
        <w:t>et al., Racial Attitudes in America: Trends and Interpretations</w:t>
      </w:r>
      <w:r w:rsidRPr="00EB7F70">
        <w:rPr>
          <w:sz w:val="24"/>
          <w:szCs w:val="24"/>
        </w:rPr>
        <w:t xml:space="preserve">, revised edn., (Cambridge MA: Harvard University Press, 1997), 121-122, 191-195. For a synthesis that includes American attitudes to 2012, see Lawrence D. Bobo </w:t>
      </w:r>
      <w:r w:rsidRPr="00EB7F70">
        <w:rPr>
          <w:i/>
          <w:sz w:val="24"/>
          <w:szCs w:val="24"/>
        </w:rPr>
        <w:t xml:space="preserve">et al. </w:t>
      </w:r>
      <w:r w:rsidRPr="00EB7F70">
        <w:rPr>
          <w:sz w:val="24"/>
          <w:szCs w:val="24"/>
        </w:rPr>
        <w:t>‘The Real Record on Racial Attitudes,’ in Peter V. Marsden (ed.),</w:t>
      </w:r>
      <w:r w:rsidRPr="00EB7F70">
        <w:rPr>
          <w:i/>
          <w:sz w:val="24"/>
          <w:szCs w:val="24"/>
        </w:rPr>
        <w:t xml:space="preserve"> Social Trends in American Life Findings from the General Social Survey since 1972 </w:t>
      </w:r>
      <w:r w:rsidRPr="00EB7F70">
        <w:rPr>
          <w:sz w:val="24"/>
          <w:szCs w:val="24"/>
        </w:rPr>
        <w:t>(Princeton:</w:t>
      </w:r>
      <w:r w:rsidRPr="00EB7F70">
        <w:rPr>
          <w:i/>
          <w:sz w:val="24"/>
          <w:szCs w:val="24"/>
        </w:rPr>
        <w:t xml:space="preserve"> </w:t>
      </w:r>
      <w:r w:rsidRPr="00EB7F70">
        <w:rPr>
          <w:sz w:val="24"/>
          <w:szCs w:val="24"/>
        </w:rPr>
        <w:t>Princeton University Press, 2012), 38–83.</w:t>
      </w:r>
      <w:bookmarkEnd w:id="1"/>
    </w:p>
  </w:endnote>
  <w:endnote w:id="60">
    <w:p w14:paraId="2B1E9E9A" w14:textId="6672EA74"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For an overview see David O. Sears </w:t>
      </w:r>
      <w:r w:rsidRPr="00EB7F70">
        <w:rPr>
          <w:i/>
          <w:sz w:val="24"/>
          <w:szCs w:val="24"/>
        </w:rPr>
        <w:t>et al.</w:t>
      </w:r>
      <w:r w:rsidRPr="00EB7F70">
        <w:rPr>
          <w:sz w:val="24"/>
          <w:szCs w:val="24"/>
        </w:rPr>
        <w:t>, ‘Race in American Politics,’ in David O. Sears, Jim Sidanius, and Lawrence Bobo</w:t>
      </w:r>
      <w:r w:rsidRPr="00EB7F70">
        <w:rPr>
          <w:i/>
          <w:sz w:val="24"/>
          <w:szCs w:val="24"/>
        </w:rPr>
        <w:t xml:space="preserve"> </w:t>
      </w:r>
      <w:r w:rsidRPr="00EB7F70">
        <w:rPr>
          <w:sz w:val="24"/>
          <w:szCs w:val="24"/>
        </w:rPr>
        <w:t xml:space="preserve">(eds.), </w:t>
      </w:r>
      <w:r w:rsidRPr="00EB7F70">
        <w:rPr>
          <w:i/>
          <w:sz w:val="24"/>
          <w:szCs w:val="24"/>
        </w:rPr>
        <w:t xml:space="preserve">Racialized Politics: The Debate About Racism in America, </w:t>
      </w:r>
      <w:r w:rsidRPr="00EB7F70">
        <w:rPr>
          <w:sz w:val="24"/>
          <w:szCs w:val="24"/>
        </w:rPr>
        <w:t>(Chicago: University of Chicago Press, 2000), 1–45, here 16–31. In examples of individual studies, I will, where possible, limit myself to those that coincide with the period of Piper’s works (1978-1992). If I could not locate studies for this period, I cite more recent ones.</w:t>
      </w:r>
    </w:p>
  </w:endnote>
  <w:endnote w:id="61">
    <w:p w14:paraId="75A63C57" w14:textId="5DCBBCF2"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E.g. David O Sears, Carl P Hensler, and Leslie K Speer, ‘Whites’ Opposition to “Busing”: Self-Interest or Symbolic Politics?,’ </w:t>
      </w:r>
      <w:r w:rsidRPr="00EB7F70">
        <w:rPr>
          <w:i/>
          <w:sz w:val="24"/>
          <w:szCs w:val="24"/>
        </w:rPr>
        <w:t>American Political Science Review</w:t>
      </w:r>
      <w:r w:rsidRPr="00EB7F70">
        <w:rPr>
          <w:sz w:val="24"/>
          <w:szCs w:val="24"/>
        </w:rPr>
        <w:t xml:space="preserve"> 73: 2, 1979: 369–384; David O. Sears, ‘Symbolic Racism,’ in P.A Katz and D.A. Taylor (eds.), </w:t>
      </w:r>
      <w:r w:rsidRPr="00EB7F70">
        <w:rPr>
          <w:i/>
          <w:sz w:val="24"/>
          <w:szCs w:val="24"/>
        </w:rPr>
        <w:t>Eliminating Racism: Profiles in Controversy</w:t>
      </w:r>
      <w:r w:rsidRPr="00EB7F70">
        <w:rPr>
          <w:sz w:val="24"/>
          <w:szCs w:val="24"/>
        </w:rPr>
        <w:t xml:space="preserve"> (New York: Plenum, 1988).</w:t>
      </w:r>
    </w:p>
  </w:endnote>
  <w:endnote w:id="62">
    <w:p w14:paraId="588CCD22" w14:textId="7C1FA073"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Patricia G Devine, ‘Stereotypes and Prejudice: Their Automatic and Controlled Components,’ </w:t>
      </w:r>
      <w:r w:rsidRPr="00EB7F70">
        <w:rPr>
          <w:i/>
          <w:sz w:val="24"/>
          <w:szCs w:val="24"/>
        </w:rPr>
        <w:t>Journal of Personality and Social Psychology,</w:t>
      </w:r>
      <w:r w:rsidRPr="00EB7F70">
        <w:rPr>
          <w:sz w:val="24"/>
          <w:szCs w:val="24"/>
        </w:rPr>
        <w:t xml:space="preserve"> 56: 1, 1989, 5–18; John F Dovidio et al., ‘On the Nature of Prejudice: Automatic and Controlled Processes’, </w:t>
      </w:r>
      <w:r w:rsidRPr="00EB7F70">
        <w:rPr>
          <w:i/>
          <w:sz w:val="24"/>
          <w:szCs w:val="24"/>
        </w:rPr>
        <w:t>Journal of Experimental Social Psychology,</w:t>
      </w:r>
      <w:r w:rsidRPr="00EB7F70">
        <w:rPr>
          <w:sz w:val="24"/>
          <w:szCs w:val="24"/>
        </w:rPr>
        <w:t xml:space="preserve"> 33: 5, 1997, 510</w:t>
      </w:r>
      <w:r w:rsidRPr="00EB7F70">
        <w:rPr>
          <w:sz w:val="24"/>
          <w:szCs w:val="24"/>
        </w:rPr>
        <w:softHyphen/>
        <w:t xml:space="preserve">–540. </w:t>
      </w:r>
    </w:p>
  </w:endnote>
  <w:endnote w:id="63">
    <w:p w14:paraId="6619A2AC" w14:textId="093F29AD" w:rsidR="002E586D" w:rsidRPr="00EB7F70" w:rsidRDefault="002E586D" w:rsidP="00FD5CE5">
      <w:pPr>
        <w:pStyle w:val="EndnoteText"/>
        <w:tabs>
          <w:tab w:val="clear" w:pos="360"/>
          <w:tab w:val="left" w:pos="1418"/>
        </w:tabs>
        <w:spacing w:after="240" w:line="360" w:lineRule="auto"/>
        <w:rPr>
          <w:b/>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Philip Atiba Goff ‘A Measure of Justice: What Policing Racial Bias Research Reveals’ in Harris and Lieberman (eds.), </w:t>
      </w:r>
      <w:r w:rsidRPr="00EB7F70">
        <w:rPr>
          <w:i/>
          <w:sz w:val="24"/>
          <w:szCs w:val="24"/>
        </w:rPr>
        <w:t xml:space="preserve">Beyond Discrimination, </w:t>
      </w:r>
      <w:r w:rsidRPr="00EB7F70">
        <w:rPr>
          <w:sz w:val="24"/>
          <w:szCs w:val="24"/>
        </w:rPr>
        <w:t>157–185, here 158–171.</w:t>
      </w:r>
    </w:p>
  </w:endnote>
  <w:endnote w:id="64">
    <w:p w14:paraId="0B215972" w14:textId="46A1170E"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Jennifer L Eberhardt </w:t>
      </w:r>
      <w:r w:rsidRPr="00EB7F70">
        <w:rPr>
          <w:i/>
          <w:sz w:val="24"/>
          <w:szCs w:val="24"/>
        </w:rPr>
        <w:t>et al.</w:t>
      </w:r>
      <w:r w:rsidRPr="00EB7F70">
        <w:rPr>
          <w:sz w:val="24"/>
          <w:szCs w:val="24"/>
        </w:rPr>
        <w:t xml:space="preserve">, ‘Looking Deathworthy: Perceived Stereotypicality of Black Defendants Predicts Capital-Sentencing Outcomes,’ </w:t>
      </w:r>
      <w:r w:rsidRPr="00EB7F70">
        <w:rPr>
          <w:i/>
          <w:sz w:val="24"/>
          <w:szCs w:val="24"/>
        </w:rPr>
        <w:t>Psychological Science</w:t>
      </w:r>
      <w:r w:rsidRPr="00EB7F70">
        <w:rPr>
          <w:sz w:val="24"/>
          <w:szCs w:val="24"/>
        </w:rPr>
        <w:t xml:space="preserve"> 17: 5, 2006, 583–586.</w:t>
      </w:r>
    </w:p>
  </w:endnote>
  <w:endnote w:id="65">
    <w:p w14:paraId="1B0AD036" w14:textId="2EC09A92"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Samuel L Gaertner and John F Dovidio, ‘The Subtlety of White Racism, Arousal, and Helping Behavior’, </w:t>
      </w:r>
      <w:r w:rsidRPr="00EB7F70">
        <w:rPr>
          <w:i/>
          <w:sz w:val="24"/>
          <w:szCs w:val="24"/>
        </w:rPr>
        <w:t>Journal of Personality and Social Psychology,</w:t>
      </w:r>
      <w:r w:rsidRPr="00EB7F70">
        <w:rPr>
          <w:sz w:val="24"/>
          <w:szCs w:val="24"/>
        </w:rPr>
        <w:t xml:space="preserve"> 35: 10, 1977, 691. Samuel L Gaertner and John F Dovidio, ‘The Aversive Form of Racism’, in Samuel L Gaertner and John F Dovidio (eds.) </w:t>
      </w:r>
      <w:r w:rsidRPr="00EB7F70">
        <w:rPr>
          <w:i/>
          <w:sz w:val="24"/>
          <w:szCs w:val="24"/>
        </w:rPr>
        <w:t>Prejudice, Discrimination, and Racism</w:t>
      </w:r>
      <w:r w:rsidRPr="00EB7F70">
        <w:rPr>
          <w:sz w:val="24"/>
          <w:szCs w:val="24"/>
        </w:rPr>
        <w:t>, (Orlando, FL: Academic Press, 1986).</w:t>
      </w:r>
    </w:p>
  </w:endnote>
  <w:endnote w:id="66">
    <w:p w14:paraId="2CCCB016" w14:textId="77777777"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Goff, ‘A Measure of Justice,’ 174–175.</w:t>
      </w:r>
    </w:p>
  </w:endnote>
  <w:endnote w:id="67">
    <w:p w14:paraId="4747DF72" w14:textId="6D083448" w:rsidR="002E586D" w:rsidRPr="00EB7F70" w:rsidRDefault="002E586D" w:rsidP="00FD5CE5">
      <w:pPr>
        <w:pStyle w:val="EndnoteText"/>
        <w:tabs>
          <w:tab w:val="clear" w:pos="360"/>
          <w:tab w:val="left" w:pos="1418"/>
        </w:tabs>
        <w:spacing w:after="240" w:line="360" w:lineRule="auto"/>
        <w:rPr>
          <w:i/>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Piper, ‘On Conceptual Art’ (1988), </w:t>
      </w:r>
      <w:r w:rsidRPr="00EB7F70">
        <w:rPr>
          <w:i/>
          <w:sz w:val="24"/>
          <w:szCs w:val="24"/>
        </w:rPr>
        <w:t xml:space="preserve">Out of Order, </w:t>
      </w:r>
      <w:r w:rsidRPr="00EB7F70">
        <w:rPr>
          <w:sz w:val="24"/>
          <w:szCs w:val="24"/>
        </w:rPr>
        <w:t xml:space="preserve">vol. 1, 241–242. Piper, ‘Xenophobia and the Indexical Present I: Essay’ (1989), </w:t>
      </w:r>
      <w:r w:rsidRPr="00EB7F70">
        <w:rPr>
          <w:i/>
          <w:sz w:val="24"/>
          <w:szCs w:val="24"/>
        </w:rPr>
        <w:t xml:space="preserve">Out of Order, </w:t>
      </w:r>
      <w:r w:rsidRPr="00EB7F70">
        <w:rPr>
          <w:sz w:val="24"/>
          <w:szCs w:val="24"/>
        </w:rPr>
        <w:t>vol. 1, 247–248.</w:t>
      </w:r>
    </w:p>
  </w:endnote>
  <w:endnote w:id="68">
    <w:p w14:paraId="71208218" w14:textId="4413CDA3" w:rsidR="002E586D" w:rsidRPr="00EB7F70" w:rsidRDefault="002E586D" w:rsidP="00FD5CE5">
      <w:pPr>
        <w:pStyle w:val="EndnoteText"/>
        <w:tabs>
          <w:tab w:val="clear" w:pos="360"/>
          <w:tab w:val="left" w:pos="1418"/>
        </w:tabs>
        <w:spacing w:after="240" w:line="360" w:lineRule="auto"/>
        <w:rPr>
          <w:color w:val="000000"/>
          <w:sz w:val="24"/>
          <w:szCs w:val="24"/>
        </w:rPr>
      </w:pPr>
      <w:r w:rsidRPr="00EB7F70">
        <w:rPr>
          <w:rStyle w:val="EndnoteReference"/>
          <w:color w:val="000000"/>
          <w:sz w:val="24"/>
          <w:szCs w:val="24"/>
        </w:rPr>
        <w:endnoteRef/>
      </w:r>
      <w:r w:rsidRPr="00EB7F70">
        <w:rPr>
          <w:color w:val="000000"/>
          <w:sz w:val="24"/>
          <w:szCs w:val="24"/>
        </w:rPr>
        <w:t xml:space="preserve"> </w:t>
      </w:r>
      <w:r w:rsidRPr="00EB7F70">
        <w:rPr>
          <w:color w:val="000000"/>
          <w:sz w:val="24"/>
          <w:szCs w:val="24"/>
        </w:rPr>
        <w:tab/>
        <w:t xml:space="preserve">Piper, ‘Aspects of the Liberal Dilemma’ (1978), </w:t>
      </w:r>
      <w:r w:rsidRPr="00EB7F70">
        <w:rPr>
          <w:i/>
          <w:color w:val="000000"/>
          <w:sz w:val="24"/>
          <w:szCs w:val="24"/>
        </w:rPr>
        <w:t>Out of Order</w:t>
      </w:r>
      <w:r w:rsidRPr="00EB7F70">
        <w:rPr>
          <w:color w:val="000000"/>
          <w:sz w:val="24"/>
          <w:szCs w:val="24"/>
        </w:rPr>
        <w:t>, vol. 1, 169–70.</w:t>
      </w:r>
    </w:p>
  </w:endnote>
  <w:endnote w:id="69">
    <w:p w14:paraId="340199A3" w14:textId="49A2DAAE"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See note </w:t>
      </w:r>
      <w:r w:rsidRPr="00EB7F70">
        <w:rPr>
          <w:sz w:val="24"/>
          <w:szCs w:val="24"/>
        </w:rPr>
        <w:fldChar w:fldCharType="begin"/>
      </w:r>
      <w:r w:rsidRPr="00EB7F70">
        <w:rPr>
          <w:sz w:val="24"/>
          <w:szCs w:val="24"/>
        </w:rPr>
        <w:instrText xml:space="preserve"> NOTEREF _Ref457158083 \h </w:instrText>
      </w:r>
      <w:r w:rsidR="00EB7F70">
        <w:rPr>
          <w:sz w:val="24"/>
          <w:szCs w:val="24"/>
        </w:rPr>
        <w:instrText xml:space="preserve"> \* MERGEFORMAT </w:instrText>
      </w:r>
      <w:r w:rsidRPr="00EB7F70">
        <w:rPr>
          <w:sz w:val="24"/>
          <w:szCs w:val="24"/>
        </w:rPr>
      </w:r>
      <w:r w:rsidRPr="00EB7F70">
        <w:rPr>
          <w:sz w:val="24"/>
          <w:szCs w:val="24"/>
        </w:rPr>
        <w:fldChar w:fldCharType="separate"/>
      </w:r>
      <w:r w:rsidR="00DE44B0">
        <w:rPr>
          <w:sz w:val="24"/>
          <w:szCs w:val="24"/>
        </w:rPr>
        <w:t>62</w:t>
      </w:r>
      <w:r w:rsidRPr="00EB7F70">
        <w:rPr>
          <w:sz w:val="24"/>
          <w:szCs w:val="24"/>
        </w:rPr>
        <w:fldChar w:fldCharType="end"/>
      </w:r>
      <w:r w:rsidRPr="00EB7F70">
        <w:rPr>
          <w:sz w:val="24"/>
          <w:szCs w:val="24"/>
        </w:rPr>
        <w:t xml:space="preserve">. For a recent, ongoing study of implicit bias see Project Implicit, Harvard University: </w:t>
      </w:r>
      <w:hyperlink r:id="rId2" w:history="1">
        <w:r w:rsidRPr="00EB7F70">
          <w:rPr>
            <w:rStyle w:val="Hyperlink"/>
            <w:sz w:val="24"/>
            <w:szCs w:val="24"/>
          </w:rPr>
          <w:t>http://</w:t>
        </w:r>
        <w:r w:rsidRPr="00EB7F70">
          <w:rPr>
            <w:rStyle w:val="Hyperlink"/>
            <w:bCs/>
            <w:sz w:val="24"/>
            <w:szCs w:val="24"/>
          </w:rPr>
          <w:t>implicit.harvard.edu/implicit</w:t>
        </w:r>
      </w:hyperlink>
      <w:r w:rsidRPr="00EB7F70">
        <w:rPr>
          <w:bCs/>
          <w:sz w:val="24"/>
          <w:szCs w:val="24"/>
        </w:rPr>
        <w:t xml:space="preserve"> (accessed 20 July 2016).</w:t>
      </w:r>
    </w:p>
  </w:endnote>
  <w:endnote w:id="70">
    <w:p w14:paraId="565A02DF" w14:textId="3443AC17"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The transcript for </w:t>
      </w:r>
      <w:r w:rsidRPr="00EB7F70">
        <w:rPr>
          <w:i/>
          <w:sz w:val="24"/>
          <w:szCs w:val="24"/>
        </w:rPr>
        <w:t xml:space="preserve">Cornered </w:t>
      </w:r>
      <w:r w:rsidRPr="00EB7F70">
        <w:rPr>
          <w:sz w:val="24"/>
          <w:szCs w:val="24"/>
        </w:rPr>
        <w:t xml:space="preserve">has been published in Zoya Kocur and Simon Leung (eds.), </w:t>
      </w:r>
      <w:r w:rsidRPr="00EB7F70">
        <w:rPr>
          <w:i/>
          <w:sz w:val="24"/>
          <w:szCs w:val="24"/>
        </w:rPr>
        <w:t>Theory in Contemporary Art since 1985</w:t>
      </w:r>
      <w:r w:rsidRPr="00EB7F70">
        <w:rPr>
          <w:sz w:val="24"/>
          <w:szCs w:val="24"/>
        </w:rPr>
        <w:t>, (Malden, MA: Blackwell, 2005), Chapter 14.</w:t>
      </w:r>
    </w:p>
  </w:endnote>
  <w:endnote w:id="71">
    <w:p w14:paraId="562CF9FB" w14:textId="77777777"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The video in </w:t>
      </w:r>
      <w:r w:rsidRPr="00EB7F70">
        <w:rPr>
          <w:i/>
          <w:sz w:val="24"/>
          <w:szCs w:val="24"/>
        </w:rPr>
        <w:t xml:space="preserve">Cornered </w:t>
      </w:r>
      <w:r w:rsidRPr="00EB7F70">
        <w:rPr>
          <w:sz w:val="24"/>
          <w:szCs w:val="24"/>
        </w:rPr>
        <w:t xml:space="preserve">is displayed as part of an installation that includes the birth certificates of Piper’s parents. Other works that make use of Piper’s biography include her </w:t>
      </w:r>
      <w:r w:rsidRPr="00EB7F70">
        <w:rPr>
          <w:i/>
          <w:sz w:val="24"/>
          <w:szCs w:val="24"/>
        </w:rPr>
        <w:t xml:space="preserve">Political Self-Portrait </w:t>
      </w:r>
      <w:r w:rsidRPr="00EB7F70">
        <w:rPr>
          <w:sz w:val="24"/>
          <w:szCs w:val="24"/>
        </w:rPr>
        <w:t>series (1978–1980).</w:t>
      </w:r>
    </w:p>
  </w:endnote>
  <w:endnote w:id="72">
    <w:p w14:paraId="167EEB47" w14:textId="563A79E5"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Bern P Allen, ‘Social Distance and Admiration Reactions of “Unprejudiced” Whites’, </w:t>
      </w:r>
      <w:r w:rsidRPr="00EB7F70">
        <w:rPr>
          <w:i/>
          <w:sz w:val="24"/>
          <w:szCs w:val="24"/>
        </w:rPr>
        <w:t>Journal of Personality</w:t>
      </w:r>
      <w:r w:rsidRPr="00EB7F70">
        <w:rPr>
          <w:sz w:val="24"/>
          <w:szCs w:val="24"/>
        </w:rPr>
        <w:t xml:space="preserve"> 43: 4, 1975, 709–726; Shirley Hatchett and Howard Schuman, ‘White Respondents and Race-of-Interviewer Effects’, </w:t>
      </w:r>
      <w:r w:rsidRPr="00EB7F70">
        <w:rPr>
          <w:i/>
          <w:sz w:val="24"/>
          <w:szCs w:val="24"/>
        </w:rPr>
        <w:t>The Public Opinion Quarterly,</w:t>
      </w:r>
      <w:r w:rsidRPr="00EB7F70">
        <w:rPr>
          <w:sz w:val="24"/>
          <w:szCs w:val="24"/>
        </w:rPr>
        <w:t xml:space="preserve"> 39: 4, 1975, 523–528.</w:t>
      </w:r>
    </w:p>
  </w:endnote>
  <w:endnote w:id="73">
    <w:p w14:paraId="190C3A7D" w14:textId="736B7048" w:rsidR="002E586D" w:rsidRPr="00EB7F70" w:rsidRDefault="002E586D" w:rsidP="00FD5CE5">
      <w:pPr>
        <w:pStyle w:val="EndnoteText"/>
        <w:tabs>
          <w:tab w:val="clear" w:pos="360"/>
          <w:tab w:val="left" w:pos="1418"/>
        </w:tabs>
        <w:spacing w:after="240" w:line="360" w:lineRule="auto"/>
        <w:rPr>
          <w:sz w:val="24"/>
          <w:szCs w:val="24"/>
        </w:rPr>
      </w:pPr>
      <w:r w:rsidRPr="00EB7F70">
        <w:rPr>
          <w:rStyle w:val="EndnoteReference"/>
          <w:sz w:val="24"/>
          <w:szCs w:val="24"/>
        </w:rPr>
        <w:endnoteRef/>
      </w:r>
      <w:r w:rsidRPr="00EB7F70">
        <w:rPr>
          <w:sz w:val="24"/>
          <w:szCs w:val="24"/>
        </w:rPr>
        <w:t xml:space="preserve"> </w:t>
      </w:r>
      <w:r w:rsidRPr="00EB7F70">
        <w:rPr>
          <w:sz w:val="24"/>
          <w:szCs w:val="24"/>
        </w:rPr>
        <w:tab/>
        <w:t xml:space="preserve">Indeed, higher levels of education resulted in </w:t>
      </w:r>
      <w:r w:rsidRPr="00EB7F70">
        <w:rPr>
          <w:i/>
          <w:sz w:val="24"/>
          <w:szCs w:val="24"/>
        </w:rPr>
        <w:t>less</w:t>
      </w:r>
      <w:r w:rsidRPr="00EB7F70">
        <w:rPr>
          <w:sz w:val="24"/>
          <w:szCs w:val="24"/>
        </w:rPr>
        <w:t xml:space="preserve"> liberal attitudes on some issues of implementation, such as preferential treatment: Schuman </w:t>
      </w:r>
      <w:r w:rsidRPr="00EB7F70">
        <w:rPr>
          <w:i/>
          <w:sz w:val="24"/>
          <w:szCs w:val="24"/>
        </w:rPr>
        <w:t>et al.</w:t>
      </w:r>
      <w:r w:rsidRPr="00EB7F70">
        <w:rPr>
          <w:sz w:val="24"/>
          <w:szCs w:val="24"/>
        </w:rPr>
        <w:t xml:space="preserve">, </w:t>
      </w:r>
      <w:r w:rsidRPr="00EB7F70">
        <w:rPr>
          <w:i/>
          <w:sz w:val="24"/>
          <w:szCs w:val="24"/>
        </w:rPr>
        <w:t xml:space="preserve">Racial Attitudes in America, </w:t>
      </w:r>
      <w:r w:rsidRPr="00EB7F70">
        <w:rPr>
          <w:sz w:val="24"/>
          <w:szCs w:val="24"/>
        </w:rPr>
        <w:t xml:space="preserve">231-234. Similar results continue to be reported today: Geoffrey T. Wodtke, ‘Are Smart People Less Racist? Verbal Ability, Anti-Black Prejudice, and the Principle-Policy Paradox,’ </w:t>
      </w:r>
      <w:r w:rsidRPr="00EB7F70">
        <w:rPr>
          <w:i/>
          <w:sz w:val="24"/>
          <w:szCs w:val="24"/>
        </w:rPr>
        <w:t xml:space="preserve">Social Problems, </w:t>
      </w:r>
      <w:r w:rsidRPr="00EB7F70">
        <w:rPr>
          <w:sz w:val="24"/>
          <w:szCs w:val="24"/>
        </w:rPr>
        <w:t>63: 1, 2016, 21–45.</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altName w:val="Calibri"/>
    <w:panose1 w:val="020B0502040204020203"/>
    <w:charset w:val="00"/>
    <w:family w:val="swiss"/>
    <w:pitch w:val="variable"/>
    <w:sig w:usb0="E4002EFF" w:usb1="C000E47F" w:usb2="00000009" w:usb3="00000000" w:csb0="000001FF" w:csb1="00000000"/>
  </w:font>
  <w:font w:name="Times-Roman">
    <w:altName w:val="Times New Roman"/>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BAF81F" w14:textId="533E9130" w:rsidR="002E586D" w:rsidRDefault="002E586D" w:rsidP="00E4337C">
    <w:pPr>
      <w:pStyle w:val="Footer"/>
      <w:jc w:val="right"/>
    </w:pPr>
    <w:r>
      <w:fldChar w:fldCharType="begin"/>
    </w:r>
    <w:r>
      <w:instrText xml:space="preserve"> PAGE   \* MERGEFORMAT </w:instrText>
    </w:r>
    <w:r>
      <w:fldChar w:fldCharType="separate"/>
    </w:r>
    <w:r w:rsidR="005B35A6">
      <w:rPr>
        <w:noProof/>
      </w:rPr>
      <w:t>1</w:t>
    </w:r>
    <w:r>
      <w:rPr>
        <w:noProof/>
      </w:rPr>
      <w:fldChar w:fldCharType="end"/>
    </w:r>
  </w:p>
  <w:p w14:paraId="6BCD8112" w14:textId="77777777" w:rsidR="002E586D" w:rsidRDefault="002E586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F3FFA1D" w14:textId="77777777" w:rsidR="00F303F7" w:rsidRDefault="00F303F7" w:rsidP="00172715">
      <w:pPr>
        <w:spacing w:line="240" w:lineRule="auto"/>
      </w:pPr>
      <w:r>
        <w:separator/>
      </w:r>
    </w:p>
  </w:footnote>
  <w:footnote w:type="continuationSeparator" w:id="0">
    <w:p w14:paraId="79629F3B" w14:textId="77777777" w:rsidR="00F303F7" w:rsidRDefault="00F303F7" w:rsidP="00172715">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7E24AAC"/>
    <w:multiLevelType w:val="multilevel"/>
    <w:tmpl w:val="727C8C4A"/>
    <w:lvl w:ilvl="0">
      <w:start w:val="1"/>
      <w:numFmt w:val="decimal"/>
      <w:pStyle w:val="Heading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4ACF32E3"/>
    <w:multiLevelType w:val="hybridMultilevel"/>
    <w:tmpl w:val="2FBCB328"/>
    <w:lvl w:ilvl="0" w:tplc="A9BAD208">
      <w:start w:val="1"/>
      <w:numFmt w:val="decimal"/>
      <w:lvlText w:val="%1."/>
      <w:lvlJc w:val="left"/>
      <w:pPr>
        <w:ind w:left="540" w:hanging="360"/>
      </w:pPr>
    </w:lvl>
    <w:lvl w:ilvl="1" w:tplc="08090019" w:tentative="1">
      <w:start w:val="1"/>
      <w:numFmt w:val="lowerLetter"/>
      <w:lvlText w:val="%2."/>
      <w:lvlJc w:val="left"/>
      <w:pPr>
        <w:ind w:left="1260" w:hanging="360"/>
      </w:pPr>
    </w:lvl>
    <w:lvl w:ilvl="2" w:tplc="0809001B" w:tentative="1">
      <w:start w:val="1"/>
      <w:numFmt w:val="lowerRoman"/>
      <w:lvlText w:val="%3."/>
      <w:lvlJc w:val="right"/>
      <w:pPr>
        <w:ind w:left="1980" w:hanging="180"/>
      </w:pPr>
    </w:lvl>
    <w:lvl w:ilvl="3" w:tplc="0809000F" w:tentative="1">
      <w:start w:val="1"/>
      <w:numFmt w:val="decimal"/>
      <w:lvlText w:val="%4."/>
      <w:lvlJc w:val="left"/>
      <w:pPr>
        <w:ind w:left="2700" w:hanging="360"/>
      </w:pPr>
    </w:lvl>
    <w:lvl w:ilvl="4" w:tplc="08090019" w:tentative="1">
      <w:start w:val="1"/>
      <w:numFmt w:val="lowerLetter"/>
      <w:lvlText w:val="%5."/>
      <w:lvlJc w:val="left"/>
      <w:pPr>
        <w:ind w:left="3420" w:hanging="360"/>
      </w:pPr>
    </w:lvl>
    <w:lvl w:ilvl="5" w:tplc="0809001B" w:tentative="1">
      <w:start w:val="1"/>
      <w:numFmt w:val="lowerRoman"/>
      <w:lvlText w:val="%6."/>
      <w:lvlJc w:val="right"/>
      <w:pPr>
        <w:ind w:left="4140" w:hanging="180"/>
      </w:pPr>
    </w:lvl>
    <w:lvl w:ilvl="6" w:tplc="0809000F" w:tentative="1">
      <w:start w:val="1"/>
      <w:numFmt w:val="decimal"/>
      <w:lvlText w:val="%7."/>
      <w:lvlJc w:val="left"/>
      <w:pPr>
        <w:ind w:left="4860" w:hanging="360"/>
      </w:pPr>
    </w:lvl>
    <w:lvl w:ilvl="7" w:tplc="08090019" w:tentative="1">
      <w:start w:val="1"/>
      <w:numFmt w:val="lowerLetter"/>
      <w:lvlText w:val="%8."/>
      <w:lvlJc w:val="left"/>
      <w:pPr>
        <w:ind w:left="5580" w:hanging="360"/>
      </w:pPr>
    </w:lvl>
    <w:lvl w:ilvl="8" w:tplc="0809001B" w:tentative="1">
      <w:start w:val="1"/>
      <w:numFmt w:val="lowerRoman"/>
      <w:lvlText w:val="%9."/>
      <w:lvlJc w:val="right"/>
      <w:pPr>
        <w:ind w:left="630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0&lt;/ScanUnformatted&gt;&lt;ScanChanges&gt;0&lt;/ScanChanges&gt;&lt;Suspended&gt;1&lt;/Suspended&gt;&lt;/ENInstantFormat&gt;"/>
  </w:docVars>
  <w:rsids>
    <w:rsidRoot w:val="00172715"/>
    <w:rsid w:val="000002A4"/>
    <w:rsid w:val="000012E3"/>
    <w:rsid w:val="000017DB"/>
    <w:rsid w:val="0000268B"/>
    <w:rsid w:val="00002CBE"/>
    <w:rsid w:val="0000557F"/>
    <w:rsid w:val="00010DD1"/>
    <w:rsid w:val="000110D2"/>
    <w:rsid w:val="00011740"/>
    <w:rsid w:val="00011900"/>
    <w:rsid w:val="00013858"/>
    <w:rsid w:val="00017419"/>
    <w:rsid w:val="00017922"/>
    <w:rsid w:val="000201EC"/>
    <w:rsid w:val="000204A5"/>
    <w:rsid w:val="0002182A"/>
    <w:rsid w:val="00022249"/>
    <w:rsid w:val="000227BB"/>
    <w:rsid w:val="0003030C"/>
    <w:rsid w:val="000317DC"/>
    <w:rsid w:val="00033B6E"/>
    <w:rsid w:val="0003537D"/>
    <w:rsid w:val="00035AF3"/>
    <w:rsid w:val="000363E0"/>
    <w:rsid w:val="00037784"/>
    <w:rsid w:val="000378DB"/>
    <w:rsid w:val="00037B8D"/>
    <w:rsid w:val="000403BF"/>
    <w:rsid w:val="00042462"/>
    <w:rsid w:val="000529B7"/>
    <w:rsid w:val="0005391C"/>
    <w:rsid w:val="000568A7"/>
    <w:rsid w:val="000571E1"/>
    <w:rsid w:val="00057BB4"/>
    <w:rsid w:val="000622A1"/>
    <w:rsid w:val="00062A58"/>
    <w:rsid w:val="00062E4F"/>
    <w:rsid w:val="000654DE"/>
    <w:rsid w:val="00070B61"/>
    <w:rsid w:val="00070CB4"/>
    <w:rsid w:val="000713D0"/>
    <w:rsid w:val="0007178C"/>
    <w:rsid w:val="00072621"/>
    <w:rsid w:val="00073074"/>
    <w:rsid w:val="000738A5"/>
    <w:rsid w:val="00075019"/>
    <w:rsid w:val="00075BB1"/>
    <w:rsid w:val="00075D2C"/>
    <w:rsid w:val="0007766B"/>
    <w:rsid w:val="00080F69"/>
    <w:rsid w:val="000820C7"/>
    <w:rsid w:val="000833A3"/>
    <w:rsid w:val="00083813"/>
    <w:rsid w:val="00083E8C"/>
    <w:rsid w:val="0008454F"/>
    <w:rsid w:val="000863C7"/>
    <w:rsid w:val="000871EA"/>
    <w:rsid w:val="0008758D"/>
    <w:rsid w:val="00087729"/>
    <w:rsid w:val="00092BBA"/>
    <w:rsid w:val="000943CD"/>
    <w:rsid w:val="00094CDF"/>
    <w:rsid w:val="00095085"/>
    <w:rsid w:val="0009537B"/>
    <w:rsid w:val="000957E1"/>
    <w:rsid w:val="000A09C0"/>
    <w:rsid w:val="000A2E67"/>
    <w:rsid w:val="000A3E72"/>
    <w:rsid w:val="000A6079"/>
    <w:rsid w:val="000A6E73"/>
    <w:rsid w:val="000B16F1"/>
    <w:rsid w:val="000B27D7"/>
    <w:rsid w:val="000B2FA6"/>
    <w:rsid w:val="000B352A"/>
    <w:rsid w:val="000B5D8D"/>
    <w:rsid w:val="000B63FA"/>
    <w:rsid w:val="000B6913"/>
    <w:rsid w:val="000B6F6E"/>
    <w:rsid w:val="000B78BB"/>
    <w:rsid w:val="000C151F"/>
    <w:rsid w:val="000C2505"/>
    <w:rsid w:val="000C465D"/>
    <w:rsid w:val="000D0649"/>
    <w:rsid w:val="000D189A"/>
    <w:rsid w:val="000D337C"/>
    <w:rsid w:val="000D44F8"/>
    <w:rsid w:val="000D52AA"/>
    <w:rsid w:val="000D5509"/>
    <w:rsid w:val="000D6249"/>
    <w:rsid w:val="000D7248"/>
    <w:rsid w:val="000E00A5"/>
    <w:rsid w:val="000E0148"/>
    <w:rsid w:val="000E1924"/>
    <w:rsid w:val="000E21C1"/>
    <w:rsid w:val="000E42C2"/>
    <w:rsid w:val="000E4ED3"/>
    <w:rsid w:val="000E55C8"/>
    <w:rsid w:val="000E5B40"/>
    <w:rsid w:val="000F123E"/>
    <w:rsid w:val="000F13F0"/>
    <w:rsid w:val="000F1AFD"/>
    <w:rsid w:val="000F72D2"/>
    <w:rsid w:val="00101E27"/>
    <w:rsid w:val="00101E9F"/>
    <w:rsid w:val="0010281B"/>
    <w:rsid w:val="00102A72"/>
    <w:rsid w:val="00103F75"/>
    <w:rsid w:val="00106798"/>
    <w:rsid w:val="001070B9"/>
    <w:rsid w:val="00110CFD"/>
    <w:rsid w:val="00110E77"/>
    <w:rsid w:val="001121D3"/>
    <w:rsid w:val="00112639"/>
    <w:rsid w:val="00112EDD"/>
    <w:rsid w:val="001145B7"/>
    <w:rsid w:val="00114738"/>
    <w:rsid w:val="00121CFB"/>
    <w:rsid w:val="001249F7"/>
    <w:rsid w:val="00125160"/>
    <w:rsid w:val="00125D20"/>
    <w:rsid w:val="001310D8"/>
    <w:rsid w:val="0013158F"/>
    <w:rsid w:val="00131A98"/>
    <w:rsid w:val="00133901"/>
    <w:rsid w:val="00133C3B"/>
    <w:rsid w:val="00134F28"/>
    <w:rsid w:val="001377E3"/>
    <w:rsid w:val="00140A36"/>
    <w:rsid w:val="00141C60"/>
    <w:rsid w:val="00141EA4"/>
    <w:rsid w:val="0014489E"/>
    <w:rsid w:val="00144A04"/>
    <w:rsid w:val="00145EF5"/>
    <w:rsid w:val="0014627F"/>
    <w:rsid w:val="00147487"/>
    <w:rsid w:val="001478FB"/>
    <w:rsid w:val="00147FCE"/>
    <w:rsid w:val="0015230D"/>
    <w:rsid w:val="00153244"/>
    <w:rsid w:val="00155C1C"/>
    <w:rsid w:val="00155F1B"/>
    <w:rsid w:val="0015688E"/>
    <w:rsid w:val="001577A5"/>
    <w:rsid w:val="001603E8"/>
    <w:rsid w:val="0016201A"/>
    <w:rsid w:val="001637D8"/>
    <w:rsid w:val="00163FC0"/>
    <w:rsid w:val="0016466A"/>
    <w:rsid w:val="0016536E"/>
    <w:rsid w:val="00166ACD"/>
    <w:rsid w:val="00166F74"/>
    <w:rsid w:val="00167822"/>
    <w:rsid w:val="00167E1B"/>
    <w:rsid w:val="00170707"/>
    <w:rsid w:val="001713B9"/>
    <w:rsid w:val="00172128"/>
    <w:rsid w:val="001722AE"/>
    <w:rsid w:val="00172715"/>
    <w:rsid w:val="001732D4"/>
    <w:rsid w:val="001803AB"/>
    <w:rsid w:val="00183CE8"/>
    <w:rsid w:val="001907A7"/>
    <w:rsid w:val="00190955"/>
    <w:rsid w:val="001932D3"/>
    <w:rsid w:val="00194E67"/>
    <w:rsid w:val="00195C11"/>
    <w:rsid w:val="00196726"/>
    <w:rsid w:val="00197121"/>
    <w:rsid w:val="001A0653"/>
    <w:rsid w:val="001A4D6A"/>
    <w:rsid w:val="001A6B4C"/>
    <w:rsid w:val="001B264B"/>
    <w:rsid w:val="001B3153"/>
    <w:rsid w:val="001B51E4"/>
    <w:rsid w:val="001B5EC0"/>
    <w:rsid w:val="001B60DA"/>
    <w:rsid w:val="001B6F6A"/>
    <w:rsid w:val="001B725C"/>
    <w:rsid w:val="001C02BB"/>
    <w:rsid w:val="001C258F"/>
    <w:rsid w:val="001C3863"/>
    <w:rsid w:val="001C4188"/>
    <w:rsid w:val="001C4580"/>
    <w:rsid w:val="001C61AE"/>
    <w:rsid w:val="001C6810"/>
    <w:rsid w:val="001C6B07"/>
    <w:rsid w:val="001D025E"/>
    <w:rsid w:val="001D4409"/>
    <w:rsid w:val="001D6770"/>
    <w:rsid w:val="001E08D8"/>
    <w:rsid w:val="001E17CD"/>
    <w:rsid w:val="001E2A1F"/>
    <w:rsid w:val="001E3FDF"/>
    <w:rsid w:val="001E43A2"/>
    <w:rsid w:val="001E5250"/>
    <w:rsid w:val="001E7C06"/>
    <w:rsid w:val="001F0DB5"/>
    <w:rsid w:val="001F0F7C"/>
    <w:rsid w:val="001F3159"/>
    <w:rsid w:val="001F5F73"/>
    <w:rsid w:val="001F63E3"/>
    <w:rsid w:val="00200C41"/>
    <w:rsid w:val="00200D9A"/>
    <w:rsid w:val="0020114A"/>
    <w:rsid w:val="002051D6"/>
    <w:rsid w:val="00205B7D"/>
    <w:rsid w:val="0020678E"/>
    <w:rsid w:val="00206BE0"/>
    <w:rsid w:val="00214142"/>
    <w:rsid w:val="00215056"/>
    <w:rsid w:val="002170B7"/>
    <w:rsid w:val="00217203"/>
    <w:rsid w:val="00217E13"/>
    <w:rsid w:val="00220F20"/>
    <w:rsid w:val="00221227"/>
    <w:rsid w:val="00221E88"/>
    <w:rsid w:val="00222324"/>
    <w:rsid w:val="0022234B"/>
    <w:rsid w:val="002227E3"/>
    <w:rsid w:val="00223BF3"/>
    <w:rsid w:val="00224532"/>
    <w:rsid w:val="002255CE"/>
    <w:rsid w:val="00226362"/>
    <w:rsid w:val="00226523"/>
    <w:rsid w:val="002267C4"/>
    <w:rsid w:val="00226D19"/>
    <w:rsid w:val="00231338"/>
    <w:rsid w:val="002322ED"/>
    <w:rsid w:val="0023312D"/>
    <w:rsid w:val="002349D6"/>
    <w:rsid w:val="00235644"/>
    <w:rsid w:val="00235E84"/>
    <w:rsid w:val="00237A08"/>
    <w:rsid w:val="00241179"/>
    <w:rsid w:val="00241288"/>
    <w:rsid w:val="002415D6"/>
    <w:rsid w:val="0024274A"/>
    <w:rsid w:val="00243F90"/>
    <w:rsid w:val="00245B6C"/>
    <w:rsid w:val="00250796"/>
    <w:rsid w:val="00250D4E"/>
    <w:rsid w:val="00253158"/>
    <w:rsid w:val="00255BCD"/>
    <w:rsid w:val="002577E1"/>
    <w:rsid w:val="00257E9E"/>
    <w:rsid w:val="002602E1"/>
    <w:rsid w:val="00260373"/>
    <w:rsid w:val="0026060A"/>
    <w:rsid w:val="00260B51"/>
    <w:rsid w:val="00261BEB"/>
    <w:rsid w:val="00263EA9"/>
    <w:rsid w:val="00265176"/>
    <w:rsid w:val="00267350"/>
    <w:rsid w:val="00272888"/>
    <w:rsid w:val="002731B3"/>
    <w:rsid w:val="0027326A"/>
    <w:rsid w:val="002740F8"/>
    <w:rsid w:val="0027472B"/>
    <w:rsid w:val="00275083"/>
    <w:rsid w:val="00276727"/>
    <w:rsid w:val="00276C4D"/>
    <w:rsid w:val="00280A89"/>
    <w:rsid w:val="00281C32"/>
    <w:rsid w:val="002827BE"/>
    <w:rsid w:val="0028393B"/>
    <w:rsid w:val="002840AE"/>
    <w:rsid w:val="00284893"/>
    <w:rsid w:val="00286399"/>
    <w:rsid w:val="00290DCB"/>
    <w:rsid w:val="00290E0B"/>
    <w:rsid w:val="0029191D"/>
    <w:rsid w:val="002939D3"/>
    <w:rsid w:val="00295FA8"/>
    <w:rsid w:val="00296CDB"/>
    <w:rsid w:val="002A1564"/>
    <w:rsid w:val="002A3A4B"/>
    <w:rsid w:val="002A4A86"/>
    <w:rsid w:val="002A4BC2"/>
    <w:rsid w:val="002A6EDC"/>
    <w:rsid w:val="002A7DBF"/>
    <w:rsid w:val="002B42CB"/>
    <w:rsid w:val="002B7E9C"/>
    <w:rsid w:val="002C2EDB"/>
    <w:rsid w:val="002C30DC"/>
    <w:rsid w:val="002C43E1"/>
    <w:rsid w:val="002C4472"/>
    <w:rsid w:val="002C5314"/>
    <w:rsid w:val="002C5562"/>
    <w:rsid w:val="002C6EB7"/>
    <w:rsid w:val="002C6F4E"/>
    <w:rsid w:val="002C7250"/>
    <w:rsid w:val="002D01C6"/>
    <w:rsid w:val="002D5222"/>
    <w:rsid w:val="002D76E6"/>
    <w:rsid w:val="002E01D5"/>
    <w:rsid w:val="002E0792"/>
    <w:rsid w:val="002E2297"/>
    <w:rsid w:val="002E28BC"/>
    <w:rsid w:val="002E3738"/>
    <w:rsid w:val="002E3BE8"/>
    <w:rsid w:val="002E4B83"/>
    <w:rsid w:val="002E586D"/>
    <w:rsid w:val="002E67DE"/>
    <w:rsid w:val="002E6D48"/>
    <w:rsid w:val="002F179E"/>
    <w:rsid w:val="002F1E45"/>
    <w:rsid w:val="002F34E8"/>
    <w:rsid w:val="002F396F"/>
    <w:rsid w:val="002F4CFE"/>
    <w:rsid w:val="002F57E8"/>
    <w:rsid w:val="002F5A91"/>
    <w:rsid w:val="002F5C51"/>
    <w:rsid w:val="002F5FAA"/>
    <w:rsid w:val="002F6EB8"/>
    <w:rsid w:val="00300074"/>
    <w:rsid w:val="00300EFB"/>
    <w:rsid w:val="00301189"/>
    <w:rsid w:val="0030340C"/>
    <w:rsid w:val="00303AD4"/>
    <w:rsid w:val="00306906"/>
    <w:rsid w:val="0030756D"/>
    <w:rsid w:val="00307978"/>
    <w:rsid w:val="003130A7"/>
    <w:rsid w:val="00313C46"/>
    <w:rsid w:val="0031481C"/>
    <w:rsid w:val="00315BB9"/>
    <w:rsid w:val="00315F5F"/>
    <w:rsid w:val="00317FAE"/>
    <w:rsid w:val="0032021E"/>
    <w:rsid w:val="00321B19"/>
    <w:rsid w:val="003238D8"/>
    <w:rsid w:val="00324108"/>
    <w:rsid w:val="00326B88"/>
    <w:rsid w:val="00330038"/>
    <w:rsid w:val="00330272"/>
    <w:rsid w:val="00330CFD"/>
    <w:rsid w:val="003329A2"/>
    <w:rsid w:val="00333AB0"/>
    <w:rsid w:val="0033542B"/>
    <w:rsid w:val="003405B6"/>
    <w:rsid w:val="00341BE2"/>
    <w:rsid w:val="003445C8"/>
    <w:rsid w:val="00344E10"/>
    <w:rsid w:val="00345A7E"/>
    <w:rsid w:val="00347527"/>
    <w:rsid w:val="00353E53"/>
    <w:rsid w:val="00357F59"/>
    <w:rsid w:val="0036057B"/>
    <w:rsid w:val="00360879"/>
    <w:rsid w:val="00360B84"/>
    <w:rsid w:val="00360DD4"/>
    <w:rsid w:val="003629B2"/>
    <w:rsid w:val="00364595"/>
    <w:rsid w:val="003664AE"/>
    <w:rsid w:val="00366C91"/>
    <w:rsid w:val="0037344C"/>
    <w:rsid w:val="00374D33"/>
    <w:rsid w:val="00376862"/>
    <w:rsid w:val="00376A44"/>
    <w:rsid w:val="00377B38"/>
    <w:rsid w:val="00382CD2"/>
    <w:rsid w:val="00382E7E"/>
    <w:rsid w:val="003838CE"/>
    <w:rsid w:val="00383B5C"/>
    <w:rsid w:val="00384B10"/>
    <w:rsid w:val="00384D3D"/>
    <w:rsid w:val="003851FA"/>
    <w:rsid w:val="00390111"/>
    <w:rsid w:val="00391FB7"/>
    <w:rsid w:val="00392896"/>
    <w:rsid w:val="0039475B"/>
    <w:rsid w:val="00394D27"/>
    <w:rsid w:val="003953AA"/>
    <w:rsid w:val="003959A8"/>
    <w:rsid w:val="00396290"/>
    <w:rsid w:val="003A0966"/>
    <w:rsid w:val="003A3A62"/>
    <w:rsid w:val="003A5651"/>
    <w:rsid w:val="003A5AD4"/>
    <w:rsid w:val="003A7401"/>
    <w:rsid w:val="003B2D4F"/>
    <w:rsid w:val="003B3DDB"/>
    <w:rsid w:val="003B4E97"/>
    <w:rsid w:val="003B5356"/>
    <w:rsid w:val="003B6539"/>
    <w:rsid w:val="003B6DC2"/>
    <w:rsid w:val="003C06B2"/>
    <w:rsid w:val="003C0CBD"/>
    <w:rsid w:val="003C45B8"/>
    <w:rsid w:val="003C5E07"/>
    <w:rsid w:val="003C677C"/>
    <w:rsid w:val="003D0A00"/>
    <w:rsid w:val="003D19B4"/>
    <w:rsid w:val="003D1AF0"/>
    <w:rsid w:val="003D2DED"/>
    <w:rsid w:val="003D404A"/>
    <w:rsid w:val="003D5401"/>
    <w:rsid w:val="003D7D95"/>
    <w:rsid w:val="003E00C0"/>
    <w:rsid w:val="003E1519"/>
    <w:rsid w:val="003E3002"/>
    <w:rsid w:val="003E59D2"/>
    <w:rsid w:val="003E7608"/>
    <w:rsid w:val="003F3905"/>
    <w:rsid w:val="003F52C9"/>
    <w:rsid w:val="003F5A58"/>
    <w:rsid w:val="003F6CF5"/>
    <w:rsid w:val="00401A85"/>
    <w:rsid w:val="00402D80"/>
    <w:rsid w:val="004034B3"/>
    <w:rsid w:val="00405BD6"/>
    <w:rsid w:val="0040633B"/>
    <w:rsid w:val="00406B93"/>
    <w:rsid w:val="00406D11"/>
    <w:rsid w:val="004077F6"/>
    <w:rsid w:val="00407F2B"/>
    <w:rsid w:val="004164E1"/>
    <w:rsid w:val="0042450A"/>
    <w:rsid w:val="00425741"/>
    <w:rsid w:val="00431063"/>
    <w:rsid w:val="00431A50"/>
    <w:rsid w:val="00434329"/>
    <w:rsid w:val="00434782"/>
    <w:rsid w:val="00434E9A"/>
    <w:rsid w:val="0043645E"/>
    <w:rsid w:val="00437102"/>
    <w:rsid w:val="0044067D"/>
    <w:rsid w:val="00441E3D"/>
    <w:rsid w:val="004427E5"/>
    <w:rsid w:val="00442CBB"/>
    <w:rsid w:val="00443B0F"/>
    <w:rsid w:val="0044663A"/>
    <w:rsid w:val="00447DE2"/>
    <w:rsid w:val="00451DAD"/>
    <w:rsid w:val="0045293A"/>
    <w:rsid w:val="00452EBB"/>
    <w:rsid w:val="004532A8"/>
    <w:rsid w:val="00454B0D"/>
    <w:rsid w:val="004630A1"/>
    <w:rsid w:val="004654A5"/>
    <w:rsid w:val="00466889"/>
    <w:rsid w:val="00467BF8"/>
    <w:rsid w:val="00472567"/>
    <w:rsid w:val="00472981"/>
    <w:rsid w:val="0047417C"/>
    <w:rsid w:val="00476AFE"/>
    <w:rsid w:val="004812A5"/>
    <w:rsid w:val="004837BA"/>
    <w:rsid w:val="0048441D"/>
    <w:rsid w:val="0048502D"/>
    <w:rsid w:val="0049393B"/>
    <w:rsid w:val="00494D93"/>
    <w:rsid w:val="00494DB4"/>
    <w:rsid w:val="00496047"/>
    <w:rsid w:val="00497178"/>
    <w:rsid w:val="00497275"/>
    <w:rsid w:val="00497282"/>
    <w:rsid w:val="00497C06"/>
    <w:rsid w:val="004A0C98"/>
    <w:rsid w:val="004A14B7"/>
    <w:rsid w:val="004A2157"/>
    <w:rsid w:val="004A21F3"/>
    <w:rsid w:val="004A257E"/>
    <w:rsid w:val="004A2E95"/>
    <w:rsid w:val="004A4F5D"/>
    <w:rsid w:val="004A5625"/>
    <w:rsid w:val="004A5D81"/>
    <w:rsid w:val="004B2CB4"/>
    <w:rsid w:val="004B3839"/>
    <w:rsid w:val="004B49DF"/>
    <w:rsid w:val="004B5FB9"/>
    <w:rsid w:val="004B6D41"/>
    <w:rsid w:val="004C0821"/>
    <w:rsid w:val="004C1100"/>
    <w:rsid w:val="004C1AB0"/>
    <w:rsid w:val="004C22C8"/>
    <w:rsid w:val="004C27F3"/>
    <w:rsid w:val="004C2CFE"/>
    <w:rsid w:val="004C5D74"/>
    <w:rsid w:val="004C6C2E"/>
    <w:rsid w:val="004C704D"/>
    <w:rsid w:val="004D2BF5"/>
    <w:rsid w:val="004D4DEF"/>
    <w:rsid w:val="004D7B74"/>
    <w:rsid w:val="004E0EC2"/>
    <w:rsid w:val="004E5CA9"/>
    <w:rsid w:val="004E6BEE"/>
    <w:rsid w:val="004E7DE9"/>
    <w:rsid w:val="004F17AE"/>
    <w:rsid w:val="004F1B1C"/>
    <w:rsid w:val="004F21BD"/>
    <w:rsid w:val="004F3A29"/>
    <w:rsid w:val="004F3EE7"/>
    <w:rsid w:val="004F460A"/>
    <w:rsid w:val="004F689D"/>
    <w:rsid w:val="005037C9"/>
    <w:rsid w:val="00504586"/>
    <w:rsid w:val="00504EC2"/>
    <w:rsid w:val="005052BB"/>
    <w:rsid w:val="00505588"/>
    <w:rsid w:val="005075FE"/>
    <w:rsid w:val="00511896"/>
    <w:rsid w:val="00512D48"/>
    <w:rsid w:val="00513376"/>
    <w:rsid w:val="005150DE"/>
    <w:rsid w:val="005158E1"/>
    <w:rsid w:val="00515F26"/>
    <w:rsid w:val="005178A7"/>
    <w:rsid w:val="00522936"/>
    <w:rsid w:val="005250DF"/>
    <w:rsid w:val="00527EF2"/>
    <w:rsid w:val="0053103F"/>
    <w:rsid w:val="0053124F"/>
    <w:rsid w:val="005341AF"/>
    <w:rsid w:val="0053483D"/>
    <w:rsid w:val="005352B9"/>
    <w:rsid w:val="00536D6F"/>
    <w:rsid w:val="005370DF"/>
    <w:rsid w:val="005371C8"/>
    <w:rsid w:val="00537E58"/>
    <w:rsid w:val="0054130B"/>
    <w:rsid w:val="00544280"/>
    <w:rsid w:val="00544FBB"/>
    <w:rsid w:val="005457BF"/>
    <w:rsid w:val="00550BB6"/>
    <w:rsid w:val="005533F0"/>
    <w:rsid w:val="0055426A"/>
    <w:rsid w:val="005545DC"/>
    <w:rsid w:val="00555344"/>
    <w:rsid w:val="00555882"/>
    <w:rsid w:val="0055629A"/>
    <w:rsid w:val="00557626"/>
    <w:rsid w:val="005617E9"/>
    <w:rsid w:val="00561952"/>
    <w:rsid w:val="00562211"/>
    <w:rsid w:val="0056496D"/>
    <w:rsid w:val="00564E01"/>
    <w:rsid w:val="005652BE"/>
    <w:rsid w:val="00566FE6"/>
    <w:rsid w:val="00570557"/>
    <w:rsid w:val="005709D8"/>
    <w:rsid w:val="00571DBA"/>
    <w:rsid w:val="00573313"/>
    <w:rsid w:val="00580824"/>
    <w:rsid w:val="005814DE"/>
    <w:rsid w:val="00582495"/>
    <w:rsid w:val="005846EB"/>
    <w:rsid w:val="005851BD"/>
    <w:rsid w:val="00590340"/>
    <w:rsid w:val="00590F01"/>
    <w:rsid w:val="0059150F"/>
    <w:rsid w:val="00594993"/>
    <w:rsid w:val="005955D2"/>
    <w:rsid w:val="00597009"/>
    <w:rsid w:val="00597D29"/>
    <w:rsid w:val="005A0491"/>
    <w:rsid w:val="005A1446"/>
    <w:rsid w:val="005A3179"/>
    <w:rsid w:val="005A4B84"/>
    <w:rsid w:val="005A5D81"/>
    <w:rsid w:val="005B05CF"/>
    <w:rsid w:val="005B1350"/>
    <w:rsid w:val="005B35A6"/>
    <w:rsid w:val="005B43ED"/>
    <w:rsid w:val="005B6EB7"/>
    <w:rsid w:val="005C4F4A"/>
    <w:rsid w:val="005C532D"/>
    <w:rsid w:val="005C7CE3"/>
    <w:rsid w:val="005C7DE2"/>
    <w:rsid w:val="005D0CD7"/>
    <w:rsid w:val="005D5C5B"/>
    <w:rsid w:val="005D67DF"/>
    <w:rsid w:val="005D76A4"/>
    <w:rsid w:val="005D7F44"/>
    <w:rsid w:val="005E2DAE"/>
    <w:rsid w:val="005E3784"/>
    <w:rsid w:val="005E567E"/>
    <w:rsid w:val="005E77F1"/>
    <w:rsid w:val="005F32FF"/>
    <w:rsid w:val="005F475F"/>
    <w:rsid w:val="005F482E"/>
    <w:rsid w:val="005F64C9"/>
    <w:rsid w:val="005F7107"/>
    <w:rsid w:val="005F7DFD"/>
    <w:rsid w:val="00601681"/>
    <w:rsid w:val="00601BB4"/>
    <w:rsid w:val="0060249A"/>
    <w:rsid w:val="00602DFA"/>
    <w:rsid w:val="006037D6"/>
    <w:rsid w:val="00604A55"/>
    <w:rsid w:val="00604B35"/>
    <w:rsid w:val="006067BF"/>
    <w:rsid w:val="006079A2"/>
    <w:rsid w:val="00611655"/>
    <w:rsid w:val="00616D3D"/>
    <w:rsid w:val="00621706"/>
    <w:rsid w:val="006220C9"/>
    <w:rsid w:val="00623893"/>
    <w:rsid w:val="006238B4"/>
    <w:rsid w:val="006305E6"/>
    <w:rsid w:val="00631A71"/>
    <w:rsid w:val="00632754"/>
    <w:rsid w:val="00633210"/>
    <w:rsid w:val="006341C5"/>
    <w:rsid w:val="00634A66"/>
    <w:rsid w:val="0063729F"/>
    <w:rsid w:val="00640588"/>
    <w:rsid w:val="00640D07"/>
    <w:rsid w:val="00642914"/>
    <w:rsid w:val="00644626"/>
    <w:rsid w:val="00644F30"/>
    <w:rsid w:val="006459B7"/>
    <w:rsid w:val="006463C9"/>
    <w:rsid w:val="00646FD3"/>
    <w:rsid w:val="00650085"/>
    <w:rsid w:val="00650757"/>
    <w:rsid w:val="0065444A"/>
    <w:rsid w:val="00656012"/>
    <w:rsid w:val="006575A5"/>
    <w:rsid w:val="00660F33"/>
    <w:rsid w:val="00665812"/>
    <w:rsid w:val="0066632D"/>
    <w:rsid w:val="00666EAA"/>
    <w:rsid w:val="0067010D"/>
    <w:rsid w:val="00670284"/>
    <w:rsid w:val="00671A03"/>
    <w:rsid w:val="00671B90"/>
    <w:rsid w:val="00672239"/>
    <w:rsid w:val="00674D63"/>
    <w:rsid w:val="00675F30"/>
    <w:rsid w:val="00676D43"/>
    <w:rsid w:val="00677FBA"/>
    <w:rsid w:val="00680C25"/>
    <w:rsid w:val="006841CE"/>
    <w:rsid w:val="006852C9"/>
    <w:rsid w:val="00686F1D"/>
    <w:rsid w:val="006873E7"/>
    <w:rsid w:val="00687A6E"/>
    <w:rsid w:val="00693CE3"/>
    <w:rsid w:val="0069446A"/>
    <w:rsid w:val="006A023D"/>
    <w:rsid w:val="006A2478"/>
    <w:rsid w:val="006A3155"/>
    <w:rsid w:val="006A38FC"/>
    <w:rsid w:val="006A4A13"/>
    <w:rsid w:val="006A6245"/>
    <w:rsid w:val="006A782D"/>
    <w:rsid w:val="006B09F1"/>
    <w:rsid w:val="006B3DF0"/>
    <w:rsid w:val="006B3E5E"/>
    <w:rsid w:val="006B4F42"/>
    <w:rsid w:val="006B657C"/>
    <w:rsid w:val="006B71BE"/>
    <w:rsid w:val="006C0AB1"/>
    <w:rsid w:val="006C29A0"/>
    <w:rsid w:val="006C3770"/>
    <w:rsid w:val="006C53DE"/>
    <w:rsid w:val="006C61AD"/>
    <w:rsid w:val="006C67A5"/>
    <w:rsid w:val="006D67D7"/>
    <w:rsid w:val="006D7AE5"/>
    <w:rsid w:val="006E72B4"/>
    <w:rsid w:val="006E73CD"/>
    <w:rsid w:val="006E7526"/>
    <w:rsid w:val="00703702"/>
    <w:rsid w:val="00704824"/>
    <w:rsid w:val="00707050"/>
    <w:rsid w:val="00707A4C"/>
    <w:rsid w:val="00711840"/>
    <w:rsid w:val="0071373F"/>
    <w:rsid w:val="00716127"/>
    <w:rsid w:val="00720C03"/>
    <w:rsid w:val="00722900"/>
    <w:rsid w:val="007231A7"/>
    <w:rsid w:val="007231AF"/>
    <w:rsid w:val="007234EE"/>
    <w:rsid w:val="007246BE"/>
    <w:rsid w:val="00724D0F"/>
    <w:rsid w:val="00725511"/>
    <w:rsid w:val="00725697"/>
    <w:rsid w:val="00725DD6"/>
    <w:rsid w:val="00725F06"/>
    <w:rsid w:val="0072609A"/>
    <w:rsid w:val="00727838"/>
    <w:rsid w:val="00730594"/>
    <w:rsid w:val="00730AB5"/>
    <w:rsid w:val="00732F1F"/>
    <w:rsid w:val="00733A81"/>
    <w:rsid w:val="007344A6"/>
    <w:rsid w:val="0073580A"/>
    <w:rsid w:val="00735A2A"/>
    <w:rsid w:val="00736452"/>
    <w:rsid w:val="00737E29"/>
    <w:rsid w:val="007417A0"/>
    <w:rsid w:val="00741A04"/>
    <w:rsid w:val="00742E71"/>
    <w:rsid w:val="007452A8"/>
    <w:rsid w:val="00745939"/>
    <w:rsid w:val="0074624F"/>
    <w:rsid w:val="00746A16"/>
    <w:rsid w:val="00754BB4"/>
    <w:rsid w:val="00754DF5"/>
    <w:rsid w:val="00755207"/>
    <w:rsid w:val="00755391"/>
    <w:rsid w:val="00757808"/>
    <w:rsid w:val="00760D19"/>
    <w:rsid w:val="00760F8A"/>
    <w:rsid w:val="00761485"/>
    <w:rsid w:val="00764463"/>
    <w:rsid w:val="00767844"/>
    <w:rsid w:val="007743B6"/>
    <w:rsid w:val="00774417"/>
    <w:rsid w:val="0077500F"/>
    <w:rsid w:val="00775561"/>
    <w:rsid w:val="00775B58"/>
    <w:rsid w:val="007760F7"/>
    <w:rsid w:val="007768E0"/>
    <w:rsid w:val="00780814"/>
    <w:rsid w:val="00783B76"/>
    <w:rsid w:val="00784848"/>
    <w:rsid w:val="007851B5"/>
    <w:rsid w:val="0078753C"/>
    <w:rsid w:val="00795628"/>
    <w:rsid w:val="00795C46"/>
    <w:rsid w:val="007972D9"/>
    <w:rsid w:val="007A5743"/>
    <w:rsid w:val="007A67A7"/>
    <w:rsid w:val="007B2FF0"/>
    <w:rsid w:val="007B77FD"/>
    <w:rsid w:val="007C34B8"/>
    <w:rsid w:val="007C4770"/>
    <w:rsid w:val="007C5A81"/>
    <w:rsid w:val="007C5CBE"/>
    <w:rsid w:val="007D066E"/>
    <w:rsid w:val="007D0BE2"/>
    <w:rsid w:val="007D40BE"/>
    <w:rsid w:val="007D4966"/>
    <w:rsid w:val="007D4D14"/>
    <w:rsid w:val="007D60E0"/>
    <w:rsid w:val="007E5572"/>
    <w:rsid w:val="007E6236"/>
    <w:rsid w:val="007F0F38"/>
    <w:rsid w:val="007F19E2"/>
    <w:rsid w:val="007F2AB8"/>
    <w:rsid w:val="007F471F"/>
    <w:rsid w:val="007F7809"/>
    <w:rsid w:val="007F7A4A"/>
    <w:rsid w:val="007F7E58"/>
    <w:rsid w:val="00800301"/>
    <w:rsid w:val="00800FD2"/>
    <w:rsid w:val="00802602"/>
    <w:rsid w:val="00802F61"/>
    <w:rsid w:val="00804ADD"/>
    <w:rsid w:val="0080527E"/>
    <w:rsid w:val="00807D0F"/>
    <w:rsid w:val="008125B0"/>
    <w:rsid w:val="00816BD5"/>
    <w:rsid w:val="00821F3A"/>
    <w:rsid w:val="0082283B"/>
    <w:rsid w:val="00822A0A"/>
    <w:rsid w:val="00823AAD"/>
    <w:rsid w:val="00827D98"/>
    <w:rsid w:val="00827F50"/>
    <w:rsid w:val="00830020"/>
    <w:rsid w:val="0083043C"/>
    <w:rsid w:val="008312BB"/>
    <w:rsid w:val="008314AF"/>
    <w:rsid w:val="0083221A"/>
    <w:rsid w:val="00832848"/>
    <w:rsid w:val="00833DA8"/>
    <w:rsid w:val="008345F7"/>
    <w:rsid w:val="00835851"/>
    <w:rsid w:val="00841223"/>
    <w:rsid w:val="008427FC"/>
    <w:rsid w:val="008428CF"/>
    <w:rsid w:val="0084290F"/>
    <w:rsid w:val="0084571B"/>
    <w:rsid w:val="00850FD2"/>
    <w:rsid w:val="00851541"/>
    <w:rsid w:val="00853808"/>
    <w:rsid w:val="0085537C"/>
    <w:rsid w:val="008573B8"/>
    <w:rsid w:val="00857EC7"/>
    <w:rsid w:val="008601EA"/>
    <w:rsid w:val="00860C8A"/>
    <w:rsid w:val="00861F29"/>
    <w:rsid w:val="00863088"/>
    <w:rsid w:val="008630C9"/>
    <w:rsid w:val="00863E88"/>
    <w:rsid w:val="008650C2"/>
    <w:rsid w:val="0086787A"/>
    <w:rsid w:val="00867CB5"/>
    <w:rsid w:val="008713AA"/>
    <w:rsid w:val="00872ABB"/>
    <w:rsid w:val="0087558D"/>
    <w:rsid w:val="00876211"/>
    <w:rsid w:val="0088125D"/>
    <w:rsid w:val="00882278"/>
    <w:rsid w:val="00882AB0"/>
    <w:rsid w:val="00883FD2"/>
    <w:rsid w:val="008841FF"/>
    <w:rsid w:val="00885289"/>
    <w:rsid w:val="008858B2"/>
    <w:rsid w:val="0088758D"/>
    <w:rsid w:val="00891181"/>
    <w:rsid w:val="0089352D"/>
    <w:rsid w:val="00895123"/>
    <w:rsid w:val="008A0954"/>
    <w:rsid w:val="008A3ABD"/>
    <w:rsid w:val="008A3F81"/>
    <w:rsid w:val="008A4021"/>
    <w:rsid w:val="008A4F5F"/>
    <w:rsid w:val="008A79AE"/>
    <w:rsid w:val="008A79F9"/>
    <w:rsid w:val="008B0270"/>
    <w:rsid w:val="008B4155"/>
    <w:rsid w:val="008B45C1"/>
    <w:rsid w:val="008B46BF"/>
    <w:rsid w:val="008B5346"/>
    <w:rsid w:val="008B5990"/>
    <w:rsid w:val="008B6E4E"/>
    <w:rsid w:val="008C29A9"/>
    <w:rsid w:val="008C2C4D"/>
    <w:rsid w:val="008C31D1"/>
    <w:rsid w:val="008C3C2A"/>
    <w:rsid w:val="008C4045"/>
    <w:rsid w:val="008C48EE"/>
    <w:rsid w:val="008C574D"/>
    <w:rsid w:val="008C7893"/>
    <w:rsid w:val="008C7ABA"/>
    <w:rsid w:val="008D2589"/>
    <w:rsid w:val="008D2F95"/>
    <w:rsid w:val="008D3267"/>
    <w:rsid w:val="008D3731"/>
    <w:rsid w:val="008E0808"/>
    <w:rsid w:val="008E3962"/>
    <w:rsid w:val="008E5144"/>
    <w:rsid w:val="008E5BBE"/>
    <w:rsid w:val="008E6D82"/>
    <w:rsid w:val="008F1165"/>
    <w:rsid w:val="008F1795"/>
    <w:rsid w:val="008F1AD6"/>
    <w:rsid w:val="008F1BF4"/>
    <w:rsid w:val="008F4070"/>
    <w:rsid w:val="008F50CA"/>
    <w:rsid w:val="008F55E3"/>
    <w:rsid w:val="0090044F"/>
    <w:rsid w:val="009008B7"/>
    <w:rsid w:val="009029D2"/>
    <w:rsid w:val="00905B2B"/>
    <w:rsid w:val="00907613"/>
    <w:rsid w:val="0091070A"/>
    <w:rsid w:val="00911B30"/>
    <w:rsid w:val="00915613"/>
    <w:rsid w:val="0091579A"/>
    <w:rsid w:val="009176F4"/>
    <w:rsid w:val="0092203A"/>
    <w:rsid w:val="00923A19"/>
    <w:rsid w:val="00924442"/>
    <w:rsid w:val="00925EB2"/>
    <w:rsid w:val="00931054"/>
    <w:rsid w:val="009333FF"/>
    <w:rsid w:val="00933704"/>
    <w:rsid w:val="00933723"/>
    <w:rsid w:val="00933765"/>
    <w:rsid w:val="009350EA"/>
    <w:rsid w:val="00936891"/>
    <w:rsid w:val="0093757F"/>
    <w:rsid w:val="00940624"/>
    <w:rsid w:val="0094452A"/>
    <w:rsid w:val="0094452C"/>
    <w:rsid w:val="00944F19"/>
    <w:rsid w:val="00945390"/>
    <w:rsid w:val="00947186"/>
    <w:rsid w:val="0095088E"/>
    <w:rsid w:val="00952BD6"/>
    <w:rsid w:val="00952C21"/>
    <w:rsid w:val="0095431D"/>
    <w:rsid w:val="00955FAF"/>
    <w:rsid w:val="00962A2D"/>
    <w:rsid w:val="00964C4D"/>
    <w:rsid w:val="009651A0"/>
    <w:rsid w:val="00965BBE"/>
    <w:rsid w:val="00966FA1"/>
    <w:rsid w:val="009676B7"/>
    <w:rsid w:val="00967922"/>
    <w:rsid w:val="009701A9"/>
    <w:rsid w:val="00970545"/>
    <w:rsid w:val="00971A9A"/>
    <w:rsid w:val="00971F05"/>
    <w:rsid w:val="00972320"/>
    <w:rsid w:val="0097360F"/>
    <w:rsid w:val="0097424D"/>
    <w:rsid w:val="00975127"/>
    <w:rsid w:val="009768E8"/>
    <w:rsid w:val="00977ED9"/>
    <w:rsid w:val="00980A94"/>
    <w:rsid w:val="00980E19"/>
    <w:rsid w:val="009811FB"/>
    <w:rsid w:val="00981560"/>
    <w:rsid w:val="009815B4"/>
    <w:rsid w:val="00981A3E"/>
    <w:rsid w:val="009820F5"/>
    <w:rsid w:val="00982464"/>
    <w:rsid w:val="009827B8"/>
    <w:rsid w:val="009853BB"/>
    <w:rsid w:val="00985C9D"/>
    <w:rsid w:val="00987607"/>
    <w:rsid w:val="009876C1"/>
    <w:rsid w:val="00987CB3"/>
    <w:rsid w:val="00990148"/>
    <w:rsid w:val="0099195D"/>
    <w:rsid w:val="00995D21"/>
    <w:rsid w:val="009967DD"/>
    <w:rsid w:val="00996A52"/>
    <w:rsid w:val="009A0C26"/>
    <w:rsid w:val="009A0F29"/>
    <w:rsid w:val="009A3612"/>
    <w:rsid w:val="009A5F08"/>
    <w:rsid w:val="009A62A5"/>
    <w:rsid w:val="009A6813"/>
    <w:rsid w:val="009A776A"/>
    <w:rsid w:val="009B0126"/>
    <w:rsid w:val="009B1144"/>
    <w:rsid w:val="009B116A"/>
    <w:rsid w:val="009B12FC"/>
    <w:rsid w:val="009B175A"/>
    <w:rsid w:val="009B269C"/>
    <w:rsid w:val="009B2A43"/>
    <w:rsid w:val="009B2F95"/>
    <w:rsid w:val="009B3D7D"/>
    <w:rsid w:val="009B3F7B"/>
    <w:rsid w:val="009B4ECF"/>
    <w:rsid w:val="009B5181"/>
    <w:rsid w:val="009B6D49"/>
    <w:rsid w:val="009B7C20"/>
    <w:rsid w:val="009C04E4"/>
    <w:rsid w:val="009C0627"/>
    <w:rsid w:val="009C21DC"/>
    <w:rsid w:val="009C2715"/>
    <w:rsid w:val="009C4383"/>
    <w:rsid w:val="009C5277"/>
    <w:rsid w:val="009C5607"/>
    <w:rsid w:val="009C61D3"/>
    <w:rsid w:val="009D2840"/>
    <w:rsid w:val="009D2F1F"/>
    <w:rsid w:val="009D4252"/>
    <w:rsid w:val="009E0D74"/>
    <w:rsid w:val="009E5CD4"/>
    <w:rsid w:val="009E5F59"/>
    <w:rsid w:val="009E68B2"/>
    <w:rsid w:val="009F0D09"/>
    <w:rsid w:val="009F1256"/>
    <w:rsid w:val="009F1B50"/>
    <w:rsid w:val="009F3122"/>
    <w:rsid w:val="009F4A68"/>
    <w:rsid w:val="009F6E50"/>
    <w:rsid w:val="009F74AE"/>
    <w:rsid w:val="00A00142"/>
    <w:rsid w:val="00A0159C"/>
    <w:rsid w:val="00A01D68"/>
    <w:rsid w:val="00A029AB"/>
    <w:rsid w:val="00A029D9"/>
    <w:rsid w:val="00A0542A"/>
    <w:rsid w:val="00A058B3"/>
    <w:rsid w:val="00A05E86"/>
    <w:rsid w:val="00A06DB5"/>
    <w:rsid w:val="00A06EB8"/>
    <w:rsid w:val="00A078EC"/>
    <w:rsid w:val="00A11BC4"/>
    <w:rsid w:val="00A1359C"/>
    <w:rsid w:val="00A17A8B"/>
    <w:rsid w:val="00A17C44"/>
    <w:rsid w:val="00A20061"/>
    <w:rsid w:val="00A2035E"/>
    <w:rsid w:val="00A209C5"/>
    <w:rsid w:val="00A2315F"/>
    <w:rsid w:val="00A248FD"/>
    <w:rsid w:val="00A270C9"/>
    <w:rsid w:val="00A30821"/>
    <w:rsid w:val="00A3182F"/>
    <w:rsid w:val="00A326C8"/>
    <w:rsid w:val="00A32A49"/>
    <w:rsid w:val="00A33A37"/>
    <w:rsid w:val="00A36EB9"/>
    <w:rsid w:val="00A37457"/>
    <w:rsid w:val="00A376CC"/>
    <w:rsid w:val="00A40A12"/>
    <w:rsid w:val="00A40F3E"/>
    <w:rsid w:val="00A41F0E"/>
    <w:rsid w:val="00A42DE0"/>
    <w:rsid w:val="00A42F28"/>
    <w:rsid w:val="00A43C94"/>
    <w:rsid w:val="00A47101"/>
    <w:rsid w:val="00A47F52"/>
    <w:rsid w:val="00A51BA1"/>
    <w:rsid w:val="00A5212D"/>
    <w:rsid w:val="00A54F39"/>
    <w:rsid w:val="00A574A7"/>
    <w:rsid w:val="00A603A5"/>
    <w:rsid w:val="00A604A8"/>
    <w:rsid w:val="00A61DE0"/>
    <w:rsid w:val="00A625A4"/>
    <w:rsid w:val="00A6500D"/>
    <w:rsid w:val="00A67560"/>
    <w:rsid w:val="00A678CD"/>
    <w:rsid w:val="00A700CE"/>
    <w:rsid w:val="00A702C4"/>
    <w:rsid w:val="00A70DF2"/>
    <w:rsid w:val="00A74219"/>
    <w:rsid w:val="00A76829"/>
    <w:rsid w:val="00A775D7"/>
    <w:rsid w:val="00A77700"/>
    <w:rsid w:val="00A77913"/>
    <w:rsid w:val="00A77E42"/>
    <w:rsid w:val="00A807D6"/>
    <w:rsid w:val="00A82589"/>
    <w:rsid w:val="00A82919"/>
    <w:rsid w:val="00A8353C"/>
    <w:rsid w:val="00A83560"/>
    <w:rsid w:val="00A86D0E"/>
    <w:rsid w:val="00A87825"/>
    <w:rsid w:val="00A919C4"/>
    <w:rsid w:val="00A93E0E"/>
    <w:rsid w:val="00A94636"/>
    <w:rsid w:val="00A95ECF"/>
    <w:rsid w:val="00A978DF"/>
    <w:rsid w:val="00A97FE4"/>
    <w:rsid w:val="00AA0A03"/>
    <w:rsid w:val="00AA1A76"/>
    <w:rsid w:val="00AA26B8"/>
    <w:rsid w:val="00AA35BD"/>
    <w:rsid w:val="00AA53DF"/>
    <w:rsid w:val="00AA618F"/>
    <w:rsid w:val="00AA75FE"/>
    <w:rsid w:val="00AB146C"/>
    <w:rsid w:val="00AB1E43"/>
    <w:rsid w:val="00AB3365"/>
    <w:rsid w:val="00AC2FF0"/>
    <w:rsid w:val="00AC4A50"/>
    <w:rsid w:val="00AC5118"/>
    <w:rsid w:val="00AC5CBE"/>
    <w:rsid w:val="00AC6582"/>
    <w:rsid w:val="00AC779A"/>
    <w:rsid w:val="00AD4874"/>
    <w:rsid w:val="00AD54CB"/>
    <w:rsid w:val="00AD6079"/>
    <w:rsid w:val="00AE0361"/>
    <w:rsid w:val="00AE0931"/>
    <w:rsid w:val="00AE3768"/>
    <w:rsid w:val="00AE3C8F"/>
    <w:rsid w:val="00AE41AC"/>
    <w:rsid w:val="00AE5136"/>
    <w:rsid w:val="00AE7BD5"/>
    <w:rsid w:val="00AE7DB7"/>
    <w:rsid w:val="00AF1967"/>
    <w:rsid w:val="00AF3A18"/>
    <w:rsid w:val="00AF48EA"/>
    <w:rsid w:val="00AF6D7A"/>
    <w:rsid w:val="00AF7241"/>
    <w:rsid w:val="00B01544"/>
    <w:rsid w:val="00B01A21"/>
    <w:rsid w:val="00B05670"/>
    <w:rsid w:val="00B07725"/>
    <w:rsid w:val="00B10E57"/>
    <w:rsid w:val="00B112F2"/>
    <w:rsid w:val="00B11537"/>
    <w:rsid w:val="00B13820"/>
    <w:rsid w:val="00B155AC"/>
    <w:rsid w:val="00B22E33"/>
    <w:rsid w:val="00B23035"/>
    <w:rsid w:val="00B27450"/>
    <w:rsid w:val="00B27C9E"/>
    <w:rsid w:val="00B326B4"/>
    <w:rsid w:val="00B32732"/>
    <w:rsid w:val="00B33421"/>
    <w:rsid w:val="00B35A62"/>
    <w:rsid w:val="00B36FC0"/>
    <w:rsid w:val="00B3796B"/>
    <w:rsid w:val="00B42EA7"/>
    <w:rsid w:val="00B45981"/>
    <w:rsid w:val="00B473A2"/>
    <w:rsid w:val="00B47AF0"/>
    <w:rsid w:val="00B531AC"/>
    <w:rsid w:val="00B555FE"/>
    <w:rsid w:val="00B56A4C"/>
    <w:rsid w:val="00B56B40"/>
    <w:rsid w:val="00B57AAC"/>
    <w:rsid w:val="00B61A09"/>
    <w:rsid w:val="00B6273E"/>
    <w:rsid w:val="00B639F3"/>
    <w:rsid w:val="00B6419D"/>
    <w:rsid w:val="00B64E5E"/>
    <w:rsid w:val="00B70D69"/>
    <w:rsid w:val="00B7101B"/>
    <w:rsid w:val="00B7303B"/>
    <w:rsid w:val="00B73165"/>
    <w:rsid w:val="00B73491"/>
    <w:rsid w:val="00B746BF"/>
    <w:rsid w:val="00B74D7E"/>
    <w:rsid w:val="00B756D9"/>
    <w:rsid w:val="00B80A07"/>
    <w:rsid w:val="00B80B23"/>
    <w:rsid w:val="00B82345"/>
    <w:rsid w:val="00B82FEE"/>
    <w:rsid w:val="00B84B57"/>
    <w:rsid w:val="00B84B5B"/>
    <w:rsid w:val="00B87C52"/>
    <w:rsid w:val="00B93E8D"/>
    <w:rsid w:val="00B95173"/>
    <w:rsid w:val="00B9525B"/>
    <w:rsid w:val="00B95B9D"/>
    <w:rsid w:val="00B9673A"/>
    <w:rsid w:val="00B968F7"/>
    <w:rsid w:val="00B978CF"/>
    <w:rsid w:val="00BA1BA8"/>
    <w:rsid w:val="00BA209A"/>
    <w:rsid w:val="00BA2CFA"/>
    <w:rsid w:val="00BA452C"/>
    <w:rsid w:val="00BA4746"/>
    <w:rsid w:val="00BA68CB"/>
    <w:rsid w:val="00BB0838"/>
    <w:rsid w:val="00BB2C1A"/>
    <w:rsid w:val="00BB4935"/>
    <w:rsid w:val="00BB494F"/>
    <w:rsid w:val="00BB580C"/>
    <w:rsid w:val="00BB5DFD"/>
    <w:rsid w:val="00BB62F3"/>
    <w:rsid w:val="00BB75E4"/>
    <w:rsid w:val="00BC159C"/>
    <w:rsid w:val="00BC1A75"/>
    <w:rsid w:val="00BC2A91"/>
    <w:rsid w:val="00BC368F"/>
    <w:rsid w:val="00BC528A"/>
    <w:rsid w:val="00BD0111"/>
    <w:rsid w:val="00BD132C"/>
    <w:rsid w:val="00BD28D0"/>
    <w:rsid w:val="00BD2B3C"/>
    <w:rsid w:val="00BD2DDA"/>
    <w:rsid w:val="00BD3124"/>
    <w:rsid w:val="00BE03F1"/>
    <w:rsid w:val="00BE139F"/>
    <w:rsid w:val="00BE3243"/>
    <w:rsid w:val="00BE3ACF"/>
    <w:rsid w:val="00BE6B34"/>
    <w:rsid w:val="00BE6B87"/>
    <w:rsid w:val="00BF083E"/>
    <w:rsid w:val="00BF0C94"/>
    <w:rsid w:val="00BF0F86"/>
    <w:rsid w:val="00BF10C1"/>
    <w:rsid w:val="00BF224E"/>
    <w:rsid w:val="00BF2DF6"/>
    <w:rsid w:val="00BF7A94"/>
    <w:rsid w:val="00C002FA"/>
    <w:rsid w:val="00C04D67"/>
    <w:rsid w:val="00C0525D"/>
    <w:rsid w:val="00C05420"/>
    <w:rsid w:val="00C061FF"/>
    <w:rsid w:val="00C10164"/>
    <w:rsid w:val="00C114E0"/>
    <w:rsid w:val="00C11526"/>
    <w:rsid w:val="00C1335D"/>
    <w:rsid w:val="00C14A3E"/>
    <w:rsid w:val="00C15304"/>
    <w:rsid w:val="00C1673E"/>
    <w:rsid w:val="00C16C46"/>
    <w:rsid w:val="00C17388"/>
    <w:rsid w:val="00C17F67"/>
    <w:rsid w:val="00C20F2B"/>
    <w:rsid w:val="00C21705"/>
    <w:rsid w:val="00C227CB"/>
    <w:rsid w:val="00C227E4"/>
    <w:rsid w:val="00C23189"/>
    <w:rsid w:val="00C25E4A"/>
    <w:rsid w:val="00C301E8"/>
    <w:rsid w:val="00C31333"/>
    <w:rsid w:val="00C323BB"/>
    <w:rsid w:val="00C3451C"/>
    <w:rsid w:val="00C353BA"/>
    <w:rsid w:val="00C357A4"/>
    <w:rsid w:val="00C359F9"/>
    <w:rsid w:val="00C35AE7"/>
    <w:rsid w:val="00C35FC9"/>
    <w:rsid w:val="00C360A0"/>
    <w:rsid w:val="00C3653B"/>
    <w:rsid w:val="00C40724"/>
    <w:rsid w:val="00C412AD"/>
    <w:rsid w:val="00C44289"/>
    <w:rsid w:val="00C4582F"/>
    <w:rsid w:val="00C45D5A"/>
    <w:rsid w:val="00C45F60"/>
    <w:rsid w:val="00C47744"/>
    <w:rsid w:val="00C50B64"/>
    <w:rsid w:val="00C50C49"/>
    <w:rsid w:val="00C52C18"/>
    <w:rsid w:val="00C5638C"/>
    <w:rsid w:val="00C566B9"/>
    <w:rsid w:val="00C56FF8"/>
    <w:rsid w:val="00C61670"/>
    <w:rsid w:val="00C61AFB"/>
    <w:rsid w:val="00C62CAE"/>
    <w:rsid w:val="00C6400B"/>
    <w:rsid w:val="00C650DA"/>
    <w:rsid w:val="00C6576F"/>
    <w:rsid w:val="00C67039"/>
    <w:rsid w:val="00C7109E"/>
    <w:rsid w:val="00C71F14"/>
    <w:rsid w:val="00C72049"/>
    <w:rsid w:val="00C725A7"/>
    <w:rsid w:val="00C72AAA"/>
    <w:rsid w:val="00C758F3"/>
    <w:rsid w:val="00C7762F"/>
    <w:rsid w:val="00C806B8"/>
    <w:rsid w:val="00C8260C"/>
    <w:rsid w:val="00C84595"/>
    <w:rsid w:val="00C84DC3"/>
    <w:rsid w:val="00C85E18"/>
    <w:rsid w:val="00C864A1"/>
    <w:rsid w:val="00C8682C"/>
    <w:rsid w:val="00C902C2"/>
    <w:rsid w:val="00C9055C"/>
    <w:rsid w:val="00C90B16"/>
    <w:rsid w:val="00C92903"/>
    <w:rsid w:val="00C95746"/>
    <w:rsid w:val="00C96F14"/>
    <w:rsid w:val="00C97259"/>
    <w:rsid w:val="00CA065D"/>
    <w:rsid w:val="00CA105A"/>
    <w:rsid w:val="00CA5F98"/>
    <w:rsid w:val="00CB1BCC"/>
    <w:rsid w:val="00CB3621"/>
    <w:rsid w:val="00CB3F34"/>
    <w:rsid w:val="00CB5FB7"/>
    <w:rsid w:val="00CB68E6"/>
    <w:rsid w:val="00CC19D7"/>
    <w:rsid w:val="00CC23BF"/>
    <w:rsid w:val="00CC4439"/>
    <w:rsid w:val="00CC54BC"/>
    <w:rsid w:val="00CC555A"/>
    <w:rsid w:val="00CC6EE0"/>
    <w:rsid w:val="00CC72C2"/>
    <w:rsid w:val="00CC7E07"/>
    <w:rsid w:val="00CD04D3"/>
    <w:rsid w:val="00CD0881"/>
    <w:rsid w:val="00CD1A8C"/>
    <w:rsid w:val="00CD2A31"/>
    <w:rsid w:val="00CD2D9D"/>
    <w:rsid w:val="00CD3C87"/>
    <w:rsid w:val="00CD56F0"/>
    <w:rsid w:val="00CD66B3"/>
    <w:rsid w:val="00CD6902"/>
    <w:rsid w:val="00CD7834"/>
    <w:rsid w:val="00CE0F76"/>
    <w:rsid w:val="00CE2283"/>
    <w:rsid w:val="00CE5A75"/>
    <w:rsid w:val="00CE689F"/>
    <w:rsid w:val="00CE7D78"/>
    <w:rsid w:val="00CE7E75"/>
    <w:rsid w:val="00CF04E6"/>
    <w:rsid w:val="00CF1000"/>
    <w:rsid w:val="00CF11C6"/>
    <w:rsid w:val="00CF1AA0"/>
    <w:rsid w:val="00CF2335"/>
    <w:rsid w:val="00CF28A7"/>
    <w:rsid w:val="00CF2A5C"/>
    <w:rsid w:val="00CF2E86"/>
    <w:rsid w:val="00CF3D1E"/>
    <w:rsid w:val="00CF4778"/>
    <w:rsid w:val="00CF505C"/>
    <w:rsid w:val="00CF5F29"/>
    <w:rsid w:val="00CF7380"/>
    <w:rsid w:val="00CF7588"/>
    <w:rsid w:val="00D02B16"/>
    <w:rsid w:val="00D02CC9"/>
    <w:rsid w:val="00D0336C"/>
    <w:rsid w:val="00D04405"/>
    <w:rsid w:val="00D05EE5"/>
    <w:rsid w:val="00D10F7D"/>
    <w:rsid w:val="00D11CB1"/>
    <w:rsid w:val="00D12C72"/>
    <w:rsid w:val="00D13701"/>
    <w:rsid w:val="00D13A94"/>
    <w:rsid w:val="00D14CA4"/>
    <w:rsid w:val="00D1583E"/>
    <w:rsid w:val="00D165A1"/>
    <w:rsid w:val="00D22F51"/>
    <w:rsid w:val="00D23E6C"/>
    <w:rsid w:val="00D243CE"/>
    <w:rsid w:val="00D25324"/>
    <w:rsid w:val="00D254A7"/>
    <w:rsid w:val="00D257E0"/>
    <w:rsid w:val="00D30BE4"/>
    <w:rsid w:val="00D31885"/>
    <w:rsid w:val="00D33F45"/>
    <w:rsid w:val="00D3502E"/>
    <w:rsid w:val="00D3657E"/>
    <w:rsid w:val="00D36585"/>
    <w:rsid w:val="00D37FB4"/>
    <w:rsid w:val="00D40BD6"/>
    <w:rsid w:val="00D41B81"/>
    <w:rsid w:val="00D42389"/>
    <w:rsid w:val="00D436C6"/>
    <w:rsid w:val="00D43C9D"/>
    <w:rsid w:val="00D457FD"/>
    <w:rsid w:val="00D47679"/>
    <w:rsid w:val="00D50D7F"/>
    <w:rsid w:val="00D532C6"/>
    <w:rsid w:val="00D546D2"/>
    <w:rsid w:val="00D5533E"/>
    <w:rsid w:val="00D55850"/>
    <w:rsid w:val="00D56C1B"/>
    <w:rsid w:val="00D60772"/>
    <w:rsid w:val="00D61CB9"/>
    <w:rsid w:val="00D61CCE"/>
    <w:rsid w:val="00D6546D"/>
    <w:rsid w:val="00D6766A"/>
    <w:rsid w:val="00D70420"/>
    <w:rsid w:val="00D714C6"/>
    <w:rsid w:val="00D7208A"/>
    <w:rsid w:val="00D72F78"/>
    <w:rsid w:val="00D73B0D"/>
    <w:rsid w:val="00D7400B"/>
    <w:rsid w:val="00D77BFA"/>
    <w:rsid w:val="00D8096C"/>
    <w:rsid w:val="00D80C94"/>
    <w:rsid w:val="00D80E79"/>
    <w:rsid w:val="00D81BDD"/>
    <w:rsid w:val="00D8626B"/>
    <w:rsid w:val="00D90672"/>
    <w:rsid w:val="00D9242D"/>
    <w:rsid w:val="00D95106"/>
    <w:rsid w:val="00D97D86"/>
    <w:rsid w:val="00D97EFD"/>
    <w:rsid w:val="00DA2567"/>
    <w:rsid w:val="00DA2D00"/>
    <w:rsid w:val="00DA30B2"/>
    <w:rsid w:val="00DA5093"/>
    <w:rsid w:val="00DA50F7"/>
    <w:rsid w:val="00DA56FA"/>
    <w:rsid w:val="00DA65CD"/>
    <w:rsid w:val="00DB03F4"/>
    <w:rsid w:val="00DB217A"/>
    <w:rsid w:val="00DB3AD9"/>
    <w:rsid w:val="00DB4467"/>
    <w:rsid w:val="00DB4F03"/>
    <w:rsid w:val="00DC1F0F"/>
    <w:rsid w:val="00DC2C76"/>
    <w:rsid w:val="00DC392D"/>
    <w:rsid w:val="00DC5BE0"/>
    <w:rsid w:val="00DC61C5"/>
    <w:rsid w:val="00DC6DAC"/>
    <w:rsid w:val="00DC6E29"/>
    <w:rsid w:val="00DD271D"/>
    <w:rsid w:val="00DD3E13"/>
    <w:rsid w:val="00DD5283"/>
    <w:rsid w:val="00DD625C"/>
    <w:rsid w:val="00DD64C2"/>
    <w:rsid w:val="00DD6556"/>
    <w:rsid w:val="00DD6D88"/>
    <w:rsid w:val="00DD6F57"/>
    <w:rsid w:val="00DD7478"/>
    <w:rsid w:val="00DE1081"/>
    <w:rsid w:val="00DE1AF7"/>
    <w:rsid w:val="00DE37A4"/>
    <w:rsid w:val="00DE3B44"/>
    <w:rsid w:val="00DE44B0"/>
    <w:rsid w:val="00DE4902"/>
    <w:rsid w:val="00DE5375"/>
    <w:rsid w:val="00DE57F9"/>
    <w:rsid w:val="00DE713B"/>
    <w:rsid w:val="00DF181F"/>
    <w:rsid w:val="00DF22EE"/>
    <w:rsid w:val="00DF50EA"/>
    <w:rsid w:val="00DF59EA"/>
    <w:rsid w:val="00DF5C89"/>
    <w:rsid w:val="00E00DC2"/>
    <w:rsid w:val="00E0259E"/>
    <w:rsid w:val="00E02CDB"/>
    <w:rsid w:val="00E04790"/>
    <w:rsid w:val="00E108F5"/>
    <w:rsid w:val="00E120D6"/>
    <w:rsid w:val="00E143F4"/>
    <w:rsid w:val="00E145D2"/>
    <w:rsid w:val="00E16517"/>
    <w:rsid w:val="00E166B2"/>
    <w:rsid w:val="00E172ED"/>
    <w:rsid w:val="00E23619"/>
    <w:rsid w:val="00E2723F"/>
    <w:rsid w:val="00E30B57"/>
    <w:rsid w:val="00E33597"/>
    <w:rsid w:val="00E359DE"/>
    <w:rsid w:val="00E37878"/>
    <w:rsid w:val="00E4337C"/>
    <w:rsid w:val="00E43EE7"/>
    <w:rsid w:val="00E46611"/>
    <w:rsid w:val="00E46D99"/>
    <w:rsid w:val="00E47CC7"/>
    <w:rsid w:val="00E51880"/>
    <w:rsid w:val="00E51BD2"/>
    <w:rsid w:val="00E51FC8"/>
    <w:rsid w:val="00E54890"/>
    <w:rsid w:val="00E54915"/>
    <w:rsid w:val="00E5542F"/>
    <w:rsid w:val="00E57BAA"/>
    <w:rsid w:val="00E606BD"/>
    <w:rsid w:val="00E6380F"/>
    <w:rsid w:val="00E63A80"/>
    <w:rsid w:val="00E63D88"/>
    <w:rsid w:val="00E65F57"/>
    <w:rsid w:val="00E679D7"/>
    <w:rsid w:val="00E703FD"/>
    <w:rsid w:val="00E71C39"/>
    <w:rsid w:val="00E73507"/>
    <w:rsid w:val="00E74513"/>
    <w:rsid w:val="00E74769"/>
    <w:rsid w:val="00E75358"/>
    <w:rsid w:val="00E77AF3"/>
    <w:rsid w:val="00E80990"/>
    <w:rsid w:val="00E80E49"/>
    <w:rsid w:val="00E8358B"/>
    <w:rsid w:val="00E8469D"/>
    <w:rsid w:val="00E85DE1"/>
    <w:rsid w:val="00E919BB"/>
    <w:rsid w:val="00E95E6F"/>
    <w:rsid w:val="00E96CB6"/>
    <w:rsid w:val="00EA0142"/>
    <w:rsid w:val="00EA02C1"/>
    <w:rsid w:val="00EA413B"/>
    <w:rsid w:val="00EA58A3"/>
    <w:rsid w:val="00EA65AF"/>
    <w:rsid w:val="00EA6A5F"/>
    <w:rsid w:val="00EA7ADA"/>
    <w:rsid w:val="00EB04DA"/>
    <w:rsid w:val="00EB5525"/>
    <w:rsid w:val="00EB67C4"/>
    <w:rsid w:val="00EB6AC3"/>
    <w:rsid w:val="00EB7F70"/>
    <w:rsid w:val="00EC0289"/>
    <w:rsid w:val="00EC1845"/>
    <w:rsid w:val="00EC4D51"/>
    <w:rsid w:val="00EC4E67"/>
    <w:rsid w:val="00EC6675"/>
    <w:rsid w:val="00EC6B88"/>
    <w:rsid w:val="00EC7C54"/>
    <w:rsid w:val="00ED17AA"/>
    <w:rsid w:val="00ED290B"/>
    <w:rsid w:val="00ED3912"/>
    <w:rsid w:val="00ED414B"/>
    <w:rsid w:val="00ED4C7D"/>
    <w:rsid w:val="00ED5970"/>
    <w:rsid w:val="00ED5C7C"/>
    <w:rsid w:val="00EE0012"/>
    <w:rsid w:val="00EE1664"/>
    <w:rsid w:val="00EE3041"/>
    <w:rsid w:val="00EE41AC"/>
    <w:rsid w:val="00EE4328"/>
    <w:rsid w:val="00EE4E27"/>
    <w:rsid w:val="00EE69FA"/>
    <w:rsid w:val="00EE7254"/>
    <w:rsid w:val="00EE7FBC"/>
    <w:rsid w:val="00EF0452"/>
    <w:rsid w:val="00EF5074"/>
    <w:rsid w:val="00EF54EF"/>
    <w:rsid w:val="00EF5B9D"/>
    <w:rsid w:val="00EF6258"/>
    <w:rsid w:val="00EF7CBD"/>
    <w:rsid w:val="00F02191"/>
    <w:rsid w:val="00F02469"/>
    <w:rsid w:val="00F024B3"/>
    <w:rsid w:val="00F02914"/>
    <w:rsid w:val="00F03266"/>
    <w:rsid w:val="00F0491A"/>
    <w:rsid w:val="00F1081A"/>
    <w:rsid w:val="00F110CD"/>
    <w:rsid w:val="00F1184F"/>
    <w:rsid w:val="00F14F48"/>
    <w:rsid w:val="00F151FF"/>
    <w:rsid w:val="00F15C4B"/>
    <w:rsid w:val="00F16764"/>
    <w:rsid w:val="00F17BF9"/>
    <w:rsid w:val="00F216AF"/>
    <w:rsid w:val="00F2234E"/>
    <w:rsid w:val="00F232EE"/>
    <w:rsid w:val="00F23942"/>
    <w:rsid w:val="00F23D72"/>
    <w:rsid w:val="00F24DA1"/>
    <w:rsid w:val="00F27085"/>
    <w:rsid w:val="00F2759A"/>
    <w:rsid w:val="00F27EC2"/>
    <w:rsid w:val="00F303F7"/>
    <w:rsid w:val="00F30AAC"/>
    <w:rsid w:val="00F32C19"/>
    <w:rsid w:val="00F32D73"/>
    <w:rsid w:val="00F3531C"/>
    <w:rsid w:val="00F43120"/>
    <w:rsid w:val="00F43179"/>
    <w:rsid w:val="00F43FA3"/>
    <w:rsid w:val="00F44241"/>
    <w:rsid w:val="00F45EFD"/>
    <w:rsid w:val="00F50D76"/>
    <w:rsid w:val="00F51D42"/>
    <w:rsid w:val="00F54F55"/>
    <w:rsid w:val="00F551C9"/>
    <w:rsid w:val="00F56720"/>
    <w:rsid w:val="00F579C7"/>
    <w:rsid w:val="00F603CB"/>
    <w:rsid w:val="00F60B05"/>
    <w:rsid w:val="00F60E4F"/>
    <w:rsid w:val="00F6159C"/>
    <w:rsid w:val="00F61994"/>
    <w:rsid w:val="00F623F4"/>
    <w:rsid w:val="00F62907"/>
    <w:rsid w:val="00F636AB"/>
    <w:rsid w:val="00F63B8B"/>
    <w:rsid w:val="00F65D26"/>
    <w:rsid w:val="00F66D18"/>
    <w:rsid w:val="00F70E32"/>
    <w:rsid w:val="00F71AAE"/>
    <w:rsid w:val="00F7303C"/>
    <w:rsid w:val="00F73EA3"/>
    <w:rsid w:val="00F73F0A"/>
    <w:rsid w:val="00F750EB"/>
    <w:rsid w:val="00F76EFC"/>
    <w:rsid w:val="00F77238"/>
    <w:rsid w:val="00F772AE"/>
    <w:rsid w:val="00F81D9B"/>
    <w:rsid w:val="00F826FE"/>
    <w:rsid w:val="00F82FD3"/>
    <w:rsid w:val="00F831F1"/>
    <w:rsid w:val="00F83D35"/>
    <w:rsid w:val="00F83F1F"/>
    <w:rsid w:val="00F86D2F"/>
    <w:rsid w:val="00F879C8"/>
    <w:rsid w:val="00F91E2B"/>
    <w:rsid w:val="00F94020"/>
    <w:rsid w:val="00F94FAC"/>
    <w:rsid w:val="00F97FA1"/>
    <w:rsid w:val="00FA21BD"/>
    <w:rsid w:val="00FA28AB"/>
    <w:rsid w:val="00FA3AE8"/>
    <w:rsid w:val="00FA44BB"/>
    <w:rsid w:val="00FA7411"/>
    <w:rsid w:val="00FA7886"/>
    <w:rsid w:val="00FB5A4B"/>
    <w:rsid w:val="00FB652B"/>
    <w:rsid w:val="00FC399D"/>
    <w:rsid w:val="00FC3CC1"/>
    <w:rsid w:val="00FC4402"/>
    <w:rsid w:val="00FC675B"/>
    <w:rsid w:val="00FC6CCC"/>
    <w:rsid w:val="00FC770D"/>
    <w:rsid w:val="00FD02AC"/>
    <w:rsid w:val="00FD22E6"/>
    <w:rsid w:val="00FD357E"/>
    <w:rsid w:val="00FD5CE5"/>
    <w:rsid w:val="00FD5F52"/>
    <w:rsid w:val="00FD6A46"/>
    <w:rsid w:val="00FE5EAD"/>
    <w:rsid w:val="00FE6F32"/>
    <w:rsid w:val="00FE76C8"/>
    <w:rsid w:val="00FF3488"/>
    <w:rsid w:val="00FF3C42"/>
    <w:rsid w:val="00FF42D1"/>
    <w:rsid w:val="00FF761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62DD6F9"/>
  <w15:docId w15:val="{A8A71ABA-E9DF-464F-BAE1-0D2EF8D28E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13"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72715"/>
    <w:pPr>
      <w:tabs>
        <w:tab w:val="left" w:pos="360"/>
        <w:tab w:val="left" w:pos="851"/>
      </w:tabs>
      <w:spacing w:line="264" w:lineRule="auto"/>
    </w:pPr>
    <w:rPr>
      <w:rFonts w:ascii="Times New Roman" w:hAnsi="Times New Roman"/>
      <w:sz w:val="24"/>
      <w:lang w:eastAsia="en-US"/>
    </w:rPr>
  </w:style>
  <w:style w:type="paragraph" w:styleId="Heading1">
    <w:name w:val="heading 1"/>
    <w:basedOn w:val="Normal"/>
    <w:next w:val="Normal"/>
    <w:link w:val="Heading1Char"/>
    <w:qFormat/>
    <w:rsid w:val="00172715"/>
    <w:pPr>
      <w:keepNext/>
      <w:spacing w:after="1440" w:line="240" w:lineRule="auto"/>
      <w:contextualSpacing/>
      <w:outlineLvl w:val="0"/>
    </w:pPr>
    <w:rPr>
      <w:rFonts w:ascii="Palatino Linotype" w:hAnsi="Palatino Linotype"/>
      <w:b/>
      <w:sz w:val="36"/>
      <w:szCs w:val="36"/>
    </w:rPr>
  </w:style>
  <w:style w:type="paragraph" w:styleId="Heading2">
    <w:name w:val="heading 2"/>
    <w:basedOn w:val="Normal"/>
    <w:next w:val="Normal"/>
    <w:link w:val="Heading2Char"/>
    <w:qFormat/>
    <w:rsid w:val="00172715"/>
    <w:pPr>
      <w:keepNext/>
      <w:numPr>
        <w:numId w:val="1"/>
      </w:numPr>
      <w:tabs>
        <w:tab w:val="clear" w:pos="720"/>
      </w:tabs>
      <w:spacing w:after="120" w:line="360" w:lineRule="auto"/>
      <w:ind w:left="425" w:hanging="425"/>
      <w:outlineLvl w:val="1"/>
    </w:pPr>
    <w:rPr>
      <w:rFonts w:ascii="Palatino Linotype" w:hAnsi="Palatino Linotype"/>
      <w:b/>
      <w:bCs/>
      <w:sz w:val="28"/>
      <w:szCs w:val="28"/>
    </w:rPr>
  </w:style>
  <w:style w:type="paragraph" w:styleId="Heading3">
    <w:name w:val="heading 3"/>
    <w:basedOn w:val="Normal"/>
    <w:next w:val="Normal"/>
    <w:link w:val="Heading3Char"/>
    <w:uiPriority w:val="9"/>
    <w:semiHidden/>
    <w:unhideWhenUsed/>
    <w:rsid w:val="00172715"/>
    <w:pPr>
      <w:keepNext/>
      <w:keepLines/>
      <w:spacing w:before="80" w:line="240" w:lineRule="auto"/>
      <w:outlineLvl w:val="2"/>
    </w:pPr>
    <w:rPr>
      <w:rFonts w:ascii="Calibri Light" w:eastAsia="MS Gothic" w:hAnsi="Calibri Light"/>
      <w:color w:val="404040"/>
      <w:sz w:val="26"/>
      <w:szCs w:val="26"/>
    </w:rPr>
  </w:style>
  <w:style w:type="paragraph" w:styleId="Heading4">
    <w:name w:val="heading 4"/>
    <w:basedOn w:val="Normal"/>
    <w:next w:val="Normal"/>
    <w:link w:val="Heading4Char"/>
    <w:uiPriority w:val="9"/>
    <w:semiHidden/>
    <w:unhideWhenUsed/>
    <w:qFormat/>
    <w:rsid w:val="00172715"/>
    <w:pPr>
      <w:keepNext/>
      <w:keepLines/>
      <w:spacing w:before="40"/>
      <w:outlineLvl w:val="3"/>
    </w:pPr>
    <w:rPr>
      <w:rFonts w:ascii="Calibri Light" w:eastAsia="MS Gothic" w:hAnsi="Calibri Light"/>
      <w:i/>
      <w:iCs/>
      <w:color w:val="2E74B5"/>
    </w:rPr>
  </w:style>
  <w:style w:type="paragraph" w:styleId="Heading5">
    <w:name w:val="heading 5"/>
    <w:basedOn w:val="Normal"/>
    <w:next w:val="Normal"/>
    <w:link w:val="Heading5Char"/>
    <w:uiPriority w:val="9"/>
    <w:semiHidden/>
    <w:unhideWhenUsed/>
    <w:qFormat/>
    <w:rsid w:val="00172715"/>
    <w:pPr>
      <w:keepNext/>
      <w:keepLines/>
      <w:spacing w:before="40"/>
      <w:outlineLvl w:val="4"/>
    </w:pPr>
    <w:rPr>
      <w:rFonts w:ascii="Calibri Light" w:eastAsia="MS Gothic" w:hAnsi="Calibri Light"/>
      <w:color w:val="2E74B5"/>
    </w:rPr>
  </w:style>
  <w:style w:type="paragraph" w:styleId="Heading6">
    <w:name w:val="heading 6"/>
    <w:basedOn w:val="Normal"/>
    <w:next w:val="Normal"/>
    <w:link w:val="Heading6Char"/>
    <w:uiPriority w:val="9"/>
    <w:semiHidden/>
    <w:unhideWhenUsed/>
    <w:qFormat/>
    <w:rsid w:val="00172715"/>
    <w:pPr>
      <w:keepNext/>
      <w:keepLines/>
      <w:spacing w:before="40"/>
      <w:outlineLvl w:val="5"/>
    </w:pPr>
    <w:rPr>
      <w:rFonts w:ascii="Calibri Light" w:eastAsia="MS Gothic" w:hAnsi="Calibri Light"/>
      <w:color w:val="1F4D78"/>
    </w:rPr>
  </w:style>
  <w:style w:type="paragraph" w:styleId="Heading7">
    <w:name w:val="heading 7"/>
    <w:basedOn w:val="Normal"/>
    <w:next w:val="Normal"/>
    <w:link w:val="Heading7Char"/>
    <w:uiPriority w:val="9"/>
    <w:semiHidden/>
    <w:unhideWhenUsed/>
    <w:qFormat/>
    <w:rsid w:val="00172715"/>
    <w:pPr>
      <w:keepNext/>
      <w:keepLines/>
      <w:spacing w:before="40"/>
      <w:outlineLvl w:val="6"/>
    </w:pPr>
    <w:rPr>
      <w:rFonts w:ascii="Calibri Light" w:eastAsia="MS Gothic" w:hAnsi="Calibri Light"/>
      <w:i/>
      <w:iCs/>
      <w:color w:val="1F4D78"/>
    </w:rPr>
  </w:style>
  <w:style w:type="paragraph" w:styleId="Heading8">
    <w:name w:val="heading 8"/>
    <w:basedOn w:val="Normal"/>
    <w:next w:val="Normal"/>
    <w:link w:val="Heading8Char"/>
    <w:uiPriority w:val="9"/>
    <w:semiHidden/>
    <w:unhideWhenUsed/>
    <w:qFormat/>
    <w:rsid w:val="00172715"/>
    <w:pPr>
      <w:keepNext/>
      <w:keepLines/>
      <w:spacing w:before="40"/>
      <w:outlineLvl w:val="7"/>
    </w:pPr>
    <w:rPr>
      <w:rFonts w:ascii="Calibri Light" w:eastAsia="MS Gothic" w:hAnsi="Calibri Light"/>
      <w:color w:val="272727"/>
      <w:sz w:val="21"/>
      <w:szCs w:val="21"/>
    </w:rPr>
  </w:style>
  <w:style w:type="paragraph" w:styleId="Heading9">
    <w:name w:val="heading 9"/>
    <w:basedOn w:val="Normal"/>
    <w:next w:val="Normal"/>
    <w:link w:val="Heading9Char"/>
    <w:uiPriority w:val="9"/>
    <w:semiHidden/>
    <w:unhideWhenUsed/>
    <w:qFormat/>
    <w:rsid w:val="00172715"/>
    <w:pPr>
      <w:keepNext/>
      <w:keepLines/>
      <w:spacing w:before="40"/>
      <w:outlineLvl w:val="8"/>
    </w:pPr>
    <w:rPr>
      <w:rFonts w:ascii="Calibri Light" w:eastAsia="MS Gothic" w:hAnsi="Calibri Light"/>
      <w:i/>
      <w:iCs/>
      <w:color w:val="272727"/>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172715"/>
    <w:rPr>
      <w:rFonts w:ascii="Palatino Linotype" w:eastAsia="Calibri" w:hAnsi="Palatino Linotype" w:cs="Times New Roman"/>
      <w:b/>
      <w:sz w:val="36"/>
      <w:szCs w:val="36"/>
    </w:rPr>
  </w:style>
  <w:style w:type="character" w:customStyle="1" w:styleId="Heading2Char">
    <w:name w:val="Heading 2 Char"/>
    <w:link w:val="Heading2"/>
    <w:rsid w:val="00172715"/>
    <w:rPr>
      <w:rFonts w:ascii="Palatino Linotype" w:eastAsia="Calibri" w:hAnsi="Palatino Linotype" w:cs="Times New Roman"/>
      <w:b/>
      <w:bCs/>
      <w:sz w:val="28"/>
      <w:szCs w:val="28"/>
    </w:rPr>
  </w:style>
  <w:style w:type="character" w:customStyle="1" w:styleId="Heading3Char">
    <w:name w:val="Heading 3 Char"/>
    <w:link w:val="Heading3"/>
    <w:uiPriority w:val="9"/>
    <w:semiHidden/>
    <w:rsid w:val="00172715"/>
    <w:rPr>
      <w:rFonts w:ascii="Calibri Light" w:eastAsia="MS Gothic" w:hAnsi="Calibri Light" w:cs="Times New Roman"/>
      <w:color w:val="404040"/>
      <w:sz w:val="26"/>
      <w:szCs w:val="26"/>
    </w:rPr>
  </w:style>
  <w:style w:type="character" w:customStyle="1" w:styleId="Heading4Char">
    <w:name w:val="Heading 4 Char"/>
    <w:link w:val="Heading4"/>
    <w:uiPriority w:val="9"/>
    <w:semiHidden/>
    <w:rsid w:val="00172715"/>
    <w:rPr>
      <w:rFonts w:ascii="Calibri Light" w:eastAsia="MS Gothic" w:hAnsi="Calibri Light" w:cs="Times New Roman"/>
      <w:i/>
      <w:iCs/>
      <w:color w:val="2E74B5"/>
      <w:sz w:val="24"/>
      <w:szCs w:val="20"/>
    </w:rPr>
  </w:style>
  <w:style w:type="character" w:customStyle="1" w:styleId="Heading5Char">
    <w:name w:val="Heading 5 Char"/>
    <w:link w:val="Heading5"/>
    <w:uiPriority w:val="9"/>
    <w:semiHidden/>
    <w:rsid w:val="00172715"/>
    <w:rPr>
      <w:rFonts w:ascii="Calibri Light" w:eastAsia="MS Gothic" w:hAnsi="Calibri Light" w:cs="Times New Roman"/>
      <w:color w:val="2E74B5"/>
      <w:sz w:val="24"/>
      <w:szCs w:val="20"/>
    </w:rPr>
  </w:style>
  <w:style w:type="character" w:customStyle="1" w:styleId="Heading6Char">
    <w:name w:val="Heading 6 Char"/>
    <w:link w:val="Heading6"/>
    <w:uiPriority w:val="9"/>
    <w:semiHidden/>
    <w:rsid w:val="00172715"/>
    <w:rPr>
      <w:rFonts w:ascii="Calibri Light" w:eastAsia="MS Gothic" w:hAnsi="Calibri Light" w:cs="Times New Roman"/>
      <w:color w:val="1F4D78"/>
      <w:sz w:val="24"/>
      <w:szCs w:val="20"/>
    </w:rPr>
  </w:style>
  <w:style w:type="character" w:customStyle="1" w:styleId="Heading7Char">
    <w:name w:val="Heading 7 Char"/>
    <w:link w:val="Heading7"/>
    <w:uiPriority w:val="9"/>
    <w:semiHidden/>
    <w:rsid w:val="00172715"/>
    <w:rPr>
      <w:rFonts w:ascii="Calibri Light" w:eastAsia="MS Gothic" w:hAnsi="Calibri Light" w:cs="Times New Roman"/>
      <w:i/>
      <w:iCs/>
      <w:color w:val="1F4D78"/>
      <w:sz w:val="24"/>
      <w:szCs w:val="20"/>
    </w:rPr>
  </w:style>
  <w:style w:type="character" w:customStyle="1" w:styleId="Heading8Char">
    <w:name w:val="Heading 8 Char"/>
    <w:link w:val="Heading8"/>
    <w:uiPriority w:val="9"/>
    <w:semiHidden/>
    <w:rsid w:val="00172715"/>
    <w:rPr>
      <w:rFonts w:ascii="Calibri Light" w:eastAsia="MS Gothic" w:hAnsi="Calibri Light" w:cs="Times New Roman"/>
      <w:color w:val="272727"/>
      <w:sz w:val="21"/>
      <w:szCs w:val="21"/>
    </w:rPr>
  </w:style>
  <w:style w:type="character" w:customStyle="1" w:styleId="Heading9Char">
    <w:name w:val="Heading 9 Char"/>
    <w:link w:val="Heading9"/>
    <w:uiPriority w:val="9"/>
    <w:semiHidden/>
    <w:rsid w:val="00172715"/>
    <w:rPr>
      <w:rFonts w:ascii="Calibri Light" w:eastAsia="MS Gothic" w:hAnsi="Calibri Light" w:cs="Times New Roman"/>
      <w:i/>
      <w:iCs/>
      <w:color w:val="272727"/>
      <w:sz w:val="21"/>
      <w:szCs w:val="21"/>
    </w:rPr>
  </w:style>
  <w:style w:type="paragraph" w:customStyle="1" w:styleId="Quotation">
    <w:name w:val="Quotation"/>
    <w:basedOn w:val="Normal"/>
    <w:qFormat/>
    <w:rsid w:val="00172715"/>
    <w:pPr>
      <w:tabs>
        <w:tab w:val="clear" w:pos="360"/>
      </w:tabs>
      <w:spacing w:before="120" w:after="240"/>
      <w:ind w:left="851"/>
    </w:pPr>
  </w:style>
  <w:style w:type="paragraph" w:customStyle="1" w:styleId="EndNoteBibliography">
    <w:name w:val="EndNote Bibliography"/>
    <w:basedOn w:val="Normal"/>
    <w:link w:val="EndNoteBibliographyChar"/>
    <w:uiPriority w:val="19"/>
    <w:qFormat/>
    <w:rsid w:val="00172715"/>
    <w:pPr>
      <w:spacing w:after="120" w:line="240" w:lineRule="auto"/>
      <w:ind w:left="720" w:hanging="720"/>
    </w:pPr>
    <w:rPr>
      <w:noProof/>
      <w:szCs w:val="24"/>
    </w:rPr>
  </w:style>
  <w:style w:type="character" w:customStyle="1" w:styleId="EndNoteBibliographyChar">
    <w:name w:val="EndNote Bibliography Char"/>
    <w:link w:val="EndNoteBibliography"/>
    <w:uiPriority w:val="19"/>
    <w:rsid w:val="00172715"/>
    <w:rPr>
      <w:rFonts w:ascii="Times New Roman" w:eastAsia="Calibri" w:hAnsi="Times New Roman" w:cs="Times New Roman"/>
      <w:noProof/>
      <w:sz w:val="24"/>
      <w:szCs w:val="24"/>
    </w:rPr>
  </w:style>
  <w:style w:type="paragraph" w:customStyle="1" w:styleId="Formalargument">
    <w:name w:val="Formal argument"/>
    <w:basedOn w:val="Normal"/>
    <w:link w:val="FormalargumentChar"/>
    <w:qFormat/>
    <w:rsid w:val="00172715"/>
    <w:pPr>
      <w:tabs>
        <w:tab w:val="num" w:pos="360"/>
      </w:tabs>
      <w:spacing w:before="120" w:after="240"/>
      <w:ind w:left="1208" w:hanging="357"/>
      <w:contextualSpacing/>
    </w:pPr>
    <w:rPr>
      <w:sz w:val="22"/>
    </w:rPr>
  </w:style>
  <w:style w:type="character" w:customStyle="1" w:styleId="FormalargumentChar">
    <w:name w:val="Formal argument Char"/>
    <w:link w:val="Formalargument"/>
    <w:rsid w:val="00172715"/>
    <w:rPr>
      <w:rFonts w:ascii="Times New Roman" w:eastAsia="Calibri" w:hAnsi="Times New Roman" w:cs="Times New Roman"/>
      <w:szCs w:val="20"/>
    </w:rPr>
  </w:style>
  <w:style w:type="paragraph" w:customStyle="1" w:styleId="BodyText1">
    <w:name w:val="Body Text1"/>
    <w:basedOn w:val="Normal"/>
    <w:link w:val="BodytextChar"/>
    <w:qFormat/>
    <w:rsid w:val="00172715"/>
    <w:pPr>
      <w:spacing w:line="480" w:lineRule="auto"/>
    </w:pPr>
  </w:style>
  <w:style w:type="character" w:customStyle="1" w:styleId="BodytextChar">
    <w:name w:val="Body text Char"/>
    <w:link w:val="BodyText1"/>
    <w:rsid w:val="00172715"/>
    <w:rPr>
      <w:rFonts w:ascii="Times New Roman" w:eastAsia="Calibri" w:hAnsi="Times New Roman" w:cs="Times New Roman"/>
      <w:sz w:val="24"/>
      <w:szCs w:val="20"/>
    </w:rPr>
  </w:style>
  <w:style w:type="paragraph" w:styleId="FootnoteText">
    <w:name w:val="footnote text"/>
    <w:basedOn w:val="NoSpacing"/>
    <w:link w:val="FootnoteTextChar"/>
    <w:autoRedefine/>
    <w:qFormat/>
    <w:rsid w:val="00C50C49"/>
    <w:pPr>
      <w:tabs>
        <w:tab w:val="clear" w:pos="360"/>
        <w:tab w:val="left" w:pos="1418"/>
      </w:tabs>
      <w:spacing w:after="240" w:line="360" w:lineRule="auto"/>
    </w:pPr>
    <w:rPr>
      <w:szCs w:val="24"/>
    </w:rPr>
  </w:style>
  <w:style w:type="character" w:customStyle="1" w:styleId="FootnoteTextChar">
    <w:name w:val="Footnote Text Char"/>
    <w:link w:val="FootnoteText"/>
    <w:rsid w:val="00C50C49"/>
    <w:rPr>
      <w:rFonts w:ascii="Times New Roman" w:hAnsi="Times New Roman"/>
      <w:sz w:val="24"/>
      <w:szCs w:val="24"/>
      <w:lang w:eastAsia="en-US"/>
    </w:rPr>
  </w:style>
  <w:style w:type="paragraph" w:styleId="Caption">
    <w:name w:val="caption"/>
    <w:basedOn w:val="Normal"/>
    <w:next w:val="Normal"/>
    <w:uiPriority w:val="13"/>
    <w:qFormat/>
    <w:rsid w:val="00172715"/>
    <w:pPr>
      <w:spacing w:before="120" w:after="120"/>
    </w:pPr>
    <w:rPr>
      <w:b/>
      <w:bCs/>
      <w:sz w:val="20"/>
    </w:rPr>
  </w:style>
  <w:style w:type="paragraph" w:styleId="Title">
    <w:name w:val="Title"/>
    <w:basedOn w:val="Normal"/>
    <w:next w:val="Normal"/>
    <w:link w:val="TitleChar"/>
    <w:uiPriority w:val="10"/>
    <w:qFormat/>
    <w:rsid w:val="00172715"/>
    <w:pPr>
      <w:spacing w:line="240" w:lineRule="auto"/>
      <w:contextualSpacing/>
    </w:pPr>
    <w:rPr>
      <w:rFonts w:ascii="Palatino Linotype" w:eastAsia="MS Gothic" w:hAnsi="Palatino Linotype"/>
      <w:spacing w:val="-10"/>
      <w:kern w:val="28"/>
      <w:sz w:val="56"/>
      <w:szCs w:val="56"/>
    </w:rPr>
  </w:style>
  <w:style w:type="character" w:customStyle="1" w:styleId="TitleChar">
    <w:name w:val="Title Char"/>
    <w:link w:val="Title"/>
    <w:uiPriority w:val="10"/>
    <w:rsid w:val="00172715"/>
    <w:rPr>
      <w:rFonts w:ascii="Palatino Linotype" w:eastAsia="MS Gothic" w:hAnsi="Palatino Linotype" w:cs="Times New Roman"/>
      <w:spacing w:val="-10"/>
      <w:kern w:val="28"/>
      <w:sz w:val="56"/>
      <w:szCs w:val="56"/>
    </w:rPr>
  </w:style>
  <w:style w:type="paragraph" w:styleId="ListParagraph">
    <w:name w:val="List Paragraph"/>
    <w:basedOn w:val="Normal"/>
    <w:uiPriority w:val="34"/>
    <w:qFormat/>
    <w:rsid w:val="00172715"/>
    <w:pPr>
      <w:ind w:left="720"/>
      <w:contextualSpacing/>
    </w:pPr>
  </w:style>
  <w:style w:type="character" w:styleId="FootnoteReference">
    <w:name w:val="footnote reference"/>
    <w:semiHidden/>
    <w:unhideWhenUsed/>
    <w:rsid w:val="00172715"/>
    <w:rPr>
      <w:vertAlign w:val="superscript"/>
    </w:rPr>
  </w:style>
  <w:style w:type="character" w:styleId="CommentReference">
    <w:name w:val="annotation reference"/>
    <w:uiPriority w:val="99"/>
    <w:semiHidden/>
    <w:unhideWhenUsed/>
    <w:rsid w:val="00172715"/>
    <w:rPr>
      <w:sz w:val="16"/>
      <w:szCs w:val="16"/>
    </w:rPr>
  </w:style>
  <w:style w:type="paragraph" w:styleId="CommentText">
    <w:name w:val="annotation text"/>
    <w:basedOn w:val="Normal"/>
    <w:link w:val="CommentTextChar"/>
    <w:uiPriority w:val="99"/>
    <w:unhideWhenUsed/>
    <w:rsid w:val="00172715"/>
    <w:pPr>
      <w:spacing w:line="240" w:lineRule="auto"/>
    </w:pPr>
    <w:rPr>
      <w:sz w:val="20"/>
    </w:rPr>
  </w:style>
  <w:style w:type="character" w:customStyle="1" w:styleId="CommentTextChar">
    <w:name w:val="Comment Text Char"/>
    <w:link w:val="CommentText"/>
    <w:uiPriority w:val="99"/>
    <w:rsid w:val="00172715"/>
    <w:rPr>
      <w:rFonts w:ascii="Times New Roman" w:eastAsia="Calibri"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172715"/>
    <w:rPr>
      <w:b/>
      <w:bCs/>
    </w:rPr>
  </w:style>
  <w:style w:type="character" w:customStyle="1" w:styleId="CommentSubjectChar">
    <w:name w:val="Comment Subject Char"/>
    <w:link w:val="CommentSubject"/>
    <w:uiPriority w:val="99"/>
    <w:semiHidden/>
    <w:rsid w:val="00172715"/>
    <w:rPr>
      <w:rFonts w:ascii="Times New Roman" w:eastAsia="Calibri" w:hAnsi="Times New Roman" w:cs="Times New Roman"/>
      <w:b/>
      <w:bCs/>
      <w:sz w:val="20"/>
      <w:szCs w:val="20"/>
    </w:rPr>
  </w:style>
  <w:style w:type="paragraph" w:styleId="BalloonText">
    <w:name w:val="Balloon Text"/>
    <w:basedOn w:val="Normal"/>
    <w:link w:val="BalloonTextChar"/>
    <w:uiPriority w:val="99"/>
    <w:semiHidden/>
    <w:unhideWhenUsed/>
    <w:rsid w:val="00172715"/>
    <w:pPr>
      <w:spacing w:line="240" w:lineRule="auto"/>
    </w:pPr>
    <w:rPr>
      <w:rFonts w:ascii="Segoe UI" w:hAnsi="Segoe UI" w:cs="Segoe UI"/>
      <w:sz w:val="18"/>
      <w:szCs w:val="18"/>
    </w:rPr>
  </w:style>
  <w:style w:type="character" w:customStyle="1" w:styleId="BalloonTextChar">
    <w:name w:val="Balloon Text Char"/>
    <w:link w:val="BalloonText"/>
    <w:uiPriority w:val="99"/>
    <w:semiHidden/>
    <w:rsid w:val="00172715"/>
    <w:rPr>
      <w:rFonts w:ascii="Segoe UI" w:eastAsia="Calibri" w:hAnsi="Segoe UI" w:cs="Segoe UI"/>
      <w:sz w:val="18"/>
      <w:szCs w:val="18"/>
    </w:rPr>
  </w:style>
  <w:style w:type="character" w:styleId="Hyperlink">
    <w:name w:val="Hyperlink"/>
    <w:uiPriority w:val="99"/>
    <w:unhideWhenUsed/>
    <w:rsid w:val="00172715"/>
    <w:rPr>
      <w:color w:val="0563C1"/>
      <w:u w:val="single"/>
    </w:rPr>
  </w:style>
  <w:style w:type="paragraph" w:styleId="Header">
    <w:name w:val="header"/>
    <w:basedOn w:val="Normal"/>
    <w:link w:val="HeaderChar"/>
    <w:uiPriority w:val="99"/>
    <w:unhideWhenUsed/>
    <w:rsid w:val="00172715"/>
    <w:pPr>
      <w:tabs>
        <w:tab w:val="clear" w:pos="360"/>
        <w:tab w:val="clear" w:pos="851"/>
        <w:tab w:val="center" w:pos="4513"/>
        <w:tab w:val="right" w:pos="9026"/>
      </w:tabs>
      <w:spacing w:line="240" w:lineRule="auto"/>
    </w:pPr>
  </w:style>
  <w:style w:type="character" w:customStyle="1" w:styleId="HeaderChar">
    <w:name w:val="Header Char"/>
    <w:link w:val="Header"/>
    <w:uiPriority w:val="99"/>
    <w:rsid w:val="00172715"/>
    <w:rPr>
      <w:rFonts w:ascii="Times New Roman" w:eastAsia="Calibri" w:hAnsi="Times New Roman" w:cs="Times New Roman"/>
      <w:sz w:val="24"/>
      <w:szCs w:val="20"/>
    </w:rPr>
  </w:style>
  <w:style w:type="paragraph" w:styleId="Footer">
    <w:name w:val="footer"/>
    <w:basedOn w:val="Normal"/>
    <w:link w:val="FooterChar"/>
    <w:uiPriority w:val="99"/>
    <w:unhideWhenUsed/>
    <w:rsid w:val="00172715"/>
    <w:pPr>
      <w:tabs>
        <w:tab w:val="clear" w:pos="360"/>
        <w:tab w:val="clear" w:pos="851"/>
        <w:tab w:val="center" w:pos="4513"/>
        <w:tab w:val="right" w:pos="9026"/>
      </w:tabs>
      <w:spacing w:line="240" w:lineRule="auto"/>
    </w:pPr>
  </w:style>
  <w:style w:type="character" w:customStyle="1" w:styleId="FooterChar">
    <w:name w:val="Footer Char"/>
    <w:link w:val="Footer"/>
    <w:uiPriority w:val="99"/>
    <w:rsid w:val="00172715"/>
    <w:rPr>
      <w:rFonts w:ascii="Times New Roman" w:eastAsia="Calibri" w:hAnsi="Times New Roman" w:cs="Times New Roman"/>
      <w:sz w:val="24"/>
      <w:szCs w:val="20"/>
    </w:rPr>
  </w:style>
  <w:style w:type="character" w:styleId="FollowedHyperlink">
    <w:name w:val="FollowedHyperlink"/>
    <w:uiPriority w:val="99"/>
    <w:semiHidden/>
    <w:unhideWhenUsed/>
    <w:rsid w:val="00172715"/>
    <w:rPr>
      <w:color w:val="954F72"/>
      <w:u w:val="single"/>
    </w:rPr>
  </w:style>
  <w:style w:type="paragraph" w:styleId="NormalWeb">
    <w:name w:val="Normal (Web)"/>
    <w:basedOn w:val="Normal"/>
    <w:uiPriority w:val="99"/>
    <w:semiHidden/>
    <w:unhideWhenUsed/>
    <w:rsid w:val="00172715"/>
    <w:pPr>
      <w:tabs>
        <w:tab w:val="clear" w:pos="360"/>
        <w:tab w:val="clear" w:pos="851"/>
      </w:tabs>
      <w:spacing w:before="100" w:beforeAutospacing="1" w:after="100" w:afterAutospacing="1" w:line="240" w:lineRule="auto"/>
    </w:pPr>
    <w:rPr>
      <w:rFonts w:eastAsia="Times New Roman"/>
      <w:szCs w:val="24"/>
      <w:lang w:eastAsia="en-GB"/>
    </w:rPr>
  </w:style>
  <w:style w:type="paragraph" w:styleId="Subtitle">
    <w:name w:val="Subtitle"/>
    <w:basedOn w:val="Normal"/>
    <w:next w:val="Normal"/>
    <w:link w:val="SubtitleChar"/>
    <w:uiPriority w:val="11"/>
    <w:rsid w:val="00172715"/>
    <w:pPr>
      <w:numPr>
        <w:ilvl w:val="1"/>
      </w:numPr>
      <w:spacing w:after="240" w:line="240" w:lineRule="auto"/>
    </w:pPr>
    <w:rPr>
      <w:rFonts w:ascii="Calibri Light" w:eastAsia="MS Gothic" w:hAnsi="Calibri Light"/>
      <w:color w:val="404040"/>
      <w:sz w:val="30"/>
      <w:szCs w:val="30"/>
    </w:rPr>
  </w:style>
  <w:style w:type="character" w:customStyle="1" w:styleId="SubtitleChar">
    <w:name w:val="Subtitle Char"/>
    <w:link w:val="Subtitle"/>
    <w:uiPriority w:val="11"/>
    <w:rsid w:val="00172715"/>
    <w:rPr>
      <w:rFonts w:ascii="Calibri Light" w:eastAsia="MS Gothic" w:hAnsi="Calibri Light" w:cs="Times New Roman"/>
      <w:color w:val="404040"/>
      <w:sz w:val="30"/>
      <w:szCs w:val="30"/>
    </w:rPr>
  </w:style>
  <w:style w:type="character" w:styleId="Strong">
    <w:name w:val="Strong"/>
    <w:uiPriority w:val="22"/>
    <w:rsid w:val="00172715"/>
    <w:rPr>
      <w:b/>
      <w:bCs/>
    </w:rPr>
  </w:style>
  <w:style w:type="character" w:styleId="Emphasis">
    <w:name w:val="Emphasis"/>
    <w:uiPriority w:val="20"/>
    <w:qFormat/>
    <w:rsid w:val="00172715"/>
    <w:rPr>
      <w:i/>
      <w:iCs/>
    </w:rPr>
  </w:style>
  <w:style w:type="paragraph" w:styleId="NoSpacing">
    <w:name w:val="No Spacing"/>
    <w:uiPriority w:val="1"/>
    <w:qFormat/>
    <w:rsid w:val="00172715"/>
    <w:pPr>
      <w:tabs>
        <w:tab w:val="left" w:pos="360"/>
        <w:tab w:val="left" w:pos="851"/>
      </w:tabs>
    </w:pPr>
    <w:rPr>
      <w:rFonts w:ascii="Times New Roman" w:hAnsi="Times New Roman"/>
      <w:sz w:val="24"/>
      <w:lang w:eastAsia="en-US"/>
    </w:rPr>
  </w:style>
  <w:style w:type="paragraph" w:styleId="Quote">
    <w:name w:val="Quote"/>
    <w:basedOn w:val="Normal"/>
    <w:next w:val="Normal"/>
    <w:link w:val="QuoteChar"/>
    <w:uiPriority w:val="29"/>
    <w:rsid w:val="00172715"/>
    <w:pPr>
      <w:spacing w:before="240" w:after="240" w:line="252" w:lineRule="auto"/>
      <w:ind w:left="864" w:right="864"/>
      <w:jc w:val="center"/>
    </w:pPr>
    <w:rPr>
      <w:i/>
      <w:iCs/>
    </w:rPr>
  </w:style>
  <w:style w:type="character" w:customStyle="1" w:styleId="QuoteChar">
    <w:name w:val="Quote Char"/>
    <w:link w:val="Quote"/>
    <w:uiPriority w:val="29"/>
    <w:rsid w:val="00172715"/>
    <w:rPr>
      <w:rFonts w:ascii="Times New Roman" w:eastAsia="Calibri" w:hAnsi="Times New Roman" w:cs="Times New Roman"/>
      <w:i/>
      <w:iCs/>
      <w:sz w:val="24"/>
      <w:szCs w:val="20"/>
    </w:rPr>
  </w:style>
  <w:style w:type="paragraph" w:styleId="IntenseQuote">
    <w:name w:val="Intense Quote"/>
    <w:basedOn w:val="Normal"/>
    <w:next w:val="Normal"/>
    <w:link w:val="IntenseQuoteChar"/>
    <w:uiPriority w:val="30"/>
    <w:qFormat/>
    <w:rsid w:val="00172715"/>
    <w:pPr>
      <w:pBdr>
        <w:top w:val="single" w:sz="4" w:space="10" w:color="5B9BD5"/>
        <w:bottom w:val="single" w:sz="4" w:space="10" w:color="5B9BD5"/>
      </w:pBdr>
      <w:spacing w:before="360" w:after="360"/>
      <w:ind w:left="864" w:right="864"/>
      <w:jc w:val="center"/>
    </w:pPr>
    <w:rPr>
      <w:i/>
      <w:iCs/>
      <w:color w:val="5B9BD5"/>
    </w:rPr>
  </w:style>
  <w:style w:type="character" w:customStyle="1" w:styleId="IntenseQuoteChar">
    <w:name w:val="Intense Quote Char"/>
    <w:link w:val="IntenseQuote"/>
    <w:uiPriority w:val="30"/>
    <w:rsid w:val="00172715"/>
    <w:rPr>
      <w:rFonts w:ascii="Times New Roman" w:eastAsia="Calibri" w:hAnsi="Times New Roman" w:cs="Times New Roman"/>
      <w:i/>
      <w:iCs/>
      <w:color w:val="5B9BD5"/>
      <w:sz w:val="24"/>
      <w:szCs w:val="20"/>
    </w:rPr>
  </w:style>
  <w:style w:type="character" w:styleId="SubtleEmphasis">
    <w:name w:val="Subtle Emphasis"/>
    <w:uiPriority w:val="19"/>
    <w:rsid w:val="00172715"/>
    <w:rPr>
      <w:i/>
      <w:iCs/>
      <w:color w:val="595959"/>
    </w:rPr>
  </w:style>
  <w:style w:type="character" w:styleId="IntenseEmphasis">
    <w:name w:val="Intense Emphasis"/>
    <w:uiPriority w:val="21"/>
    <w:rsid w:val="00172715"/>
    <w:rPr>
      <w:b/>
      <w:bCs/>
      <w:i/>
      <w:iCs/>
    </w:rPr>
  </w:style>
  <w:style w:type="character" w:styleId="SubtleReference">
    <w:name w:val="Subtle Reference"/>
    <w:uiPriority w:val="31"/>
    <w:qFormat/>
    <w:rsid w:val="00172715"/>
    <w:rPr>
      <w:smallCaps/>
      <w:color w:val="5A5A5A"/>
    </w:rPr>
  </w:style>
  <w:style w:type="character" w:styleId="IntenseReference">
    <w:name w:val="Intense Reference"/>
    <w:uiPriority w:val="32"/>
    <w:qFormat/>
    <w:rsid w:val="00172715"/>
    <w:rPr>
      <w:b/>
      <w:bCs/>
      <w:smallCaps/>
      <w:color w:val="5B9BD5"/>
      <w:spacing w:val="5"/>
    </w:rPr>
  </w:style>
  <w:style w:type="character" w:styleId="BookTitle">
    <w:name w:val="Book Title"/>
    <w:uiPriority w:val="33"/>
    <w:rsid w:val="00172715"/>
    <w:rPr>
      <w:b/>
      <w:bCs/>
      <w:smallCaps/>
    </w:rPr>
  </w:style>
  <w:style w:type="paragraph" w:styleId="TOCHeading">
    <w:name w:val="TOC Heading"/>
    <w:basedOn w:val="Heading1"/>
    <w:next w:val="Normal"/>
    <w:uiPriority w:val="39"/>
    <w:semiHidden/>
    <w:unhideWhenUsed/>
    <w:qFormat/>
    <w:rsid w:val="00172715"/>
    <w:pPr>
      <w:keepLines/>
      <w:spacing w:before="240" w:after="0" w:line="264" w:lineRule="auto"/>
      <w:contextualSpacing w:val="0"/>
      <w:outlineLvl w:val="9"/>
    </w:pPr>
    <w:rPr>
      <w:rFonts w:ascii="Calibri Light" w:eastAsia="MS Gothic" w:hAnsi="Calibri Light"/>
      <w:b w:val="0"/>
      <w:color w:val="2E74B5"/>
      <w:sz w:val="32"/>
      <w:szCs w:val="32"/>
    </w:rPr>
  </w:style>
  <w:style w:type="paragraph" w:customStyle="1" w:styleId="EndNoteBibliographyTitle">
    <w:name w:val="EndNote Bibliography Title"/>
    <w:basedOn w:val="Normal"/>
    <w:link w:val="EndNoteBibliographyTitleChar"/>
    <w:rsid w:val="00172715"/>
    <w:pPr>
      <w:jc w:val="center"/>
    </w:pPr>
    <w:rPr>
      <w:noProof/>
      <w:lang w:val="en-US"/>
    </w:rPr>
  </w:style>
  <w:style w:type="character" w:customStyle="1" w:styleId="EndNoteBibliographyTitleChar">
    <w:name w:val="EndNote Bibliography Title Char"/>
    <w:link w:val="EndNoteBibliographyTitle"/>
    <w:rsid w:val="00172715"/>
    <w:rPr>
      <w:rFonts w:ascii="Times New Roman" w:eastAsia="Calibri" w:hAnsi="Times New Roman" w:cs="Times New Roman"/>
      <w:b w:val="0"/>
      <w:noProof/>
      <w:sz w:val="24"/>
      <w:szCs w:val="20"/>
      <w:lang w:val="en-US"/>
    </w:rPr>
  </w:style>
  <w:style w:type="paragraph" w:styleId="EndnoteText">
    <w:name w:val="endnote text"/>
    <w:basedOn w:val="Normal"/>
    <w:link w:val="EndnoteTextChar"/>
    <w:uiPriority w:val="99"/>
    <w:unhideWhenUsed/>
    <w:rsid w:val="00172715"/>
    <w:pPr>
      <w:spacing w:line="240" w:lineRule="auto"/>
    </w:pPr>
    <w:rPr>
      <w:sz w:val="20"/>
    </w:rPr>
  </w:style>
  <w:style w:type="character" w:customStyle="1" w:styleId="EndnoteTextChar">
    <w:name w:val="Endnote Text Char"/>
    <w:link w:val="EndnoteText"/>
    <w:uiPriority w:val="99"/>
    <w:rsid w:val="00172715"/>
    <w:rPr>
      <w:rFonts w:ascii="Times New Roman" w:eastAsia="Calibri" w:hAnsi="Times New Roman" w:cs="Times New Roman"/>
      <w:sz w:val="20"/>
      <w:szCs w:val="20"/>
    </w:rPr>
  </w:style>
  <w:style w:type="character" w:styleId="EndnoteReference">
    <w:name w:val="endnote reference"/>
    <w:uiPriority w:val="99"/>
    <w:semiHidden/>
    <w:unhideWhenUsed/>
    <w:rsid w:val="00172715"/>
    <w:rPr>
      <w:vertAlign w:val="superscript"/>
    </w:rPr>
  </w:style>
  <w:style w:type="paragraph" w:customStyle="1" w:styleId="paragraph-count">
    <w:name w:val="paragraph-count"/>
    <w:basedOn w:val="Normal"/>
    <w:rsid w:val="00736452"/>
    <w:pPr>
      <w:tabs>
        <w:tab w:val="clear" w:pos="360"/>
        <w:tab w:val="clear" w:pos="851"/>
      </w:tabs>
      <w:spacing w:before="100" w:beforeAutospacing="1" w:after="100" w:afterAutospacing="1" w:line="240" w:lineRule="auto"/>
    </w:pPr>
    <w:rPr>
      <w:rFonts w:eastAsia="Times New Roman"/>
      <w:szCs w:val="24"/>
      <w:lang w:eastAsia="en-GB"/>
    </w:rPr>
  </w:style>
  <w:style w:type="character" w:styleId="HTMLCite">
    <w:name w:val="HTML Cite"/>
    <w:basedOn w:val="DefaultParagraphFont"/>
    <w:uiPriority w:val="99"/>
    <w:semiHidden/>
    <w:unhideWhenUsed/>
    <w:rsid w:val="00BA68CB"/>
    <w:rPr>
      <w:i/>
      <w:iCs/>
    </w:rPr>
  </w:style>
  <w:style w:type="character" w:customStyle="1" w:styleId="fontstyle01">
    <w:name w:val="fontstyle01"/>
    <w:basedOn w:val="DefaultParagraphFont"/>
    <w:rsid w:val="004D7B74"/>
    <w:rPr>
      <w:rFonts w:ascii="Times-Roman" w:hAnsi="Times-Roman" w:hint="default"/>
      <w:b w:val="0"/>
      <w:bCs w:val="0"/>
      <w:i w:val="0"/>
      <w:iCs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717349">
      <w:bodyDiv w:val="1"/>
      <w:marLeft w:val="0"/>
      <w:marRight w:val="0"/>
      <w:marTop w:val="0"/>
      <w:marBottom w:val="0"/>
      <w:divBdr>
        <w:top w:val="none" w:sz="0" w:space="0" w:color="auto"/>
        <w:left w:val="none" w:sz="0" w:space="0" w:color="auto"/>
        <w:bottom w:val="none" w:sz="0" w:space="0" w:color="auto"/>
        <w:right w:val="none" w:sz="0" w:space="0" w:color="auto"/>
      </w:divBdr>
    </w:div>
    <w:div w:id="76483771">
      <w:bodyDiv w:val="1"/>
      <w:marLeft w:val="0"/>
      <w:marRight w:val="0"/>
      <w:marTop w:val="0"/>
      <w:marBottom w:val="0"/>
      <w:divBdr>
        <w:top w:val="none" w:sz="0" w:space="0" w:color="auto"/>
        <w:left w:val="none" w:sz="0" w:space="0" w:color="auto"/>
        <w:bottom w:val="none" w:sz="0" w:space="0" w:color="auto"/>
        <w:right w:val="none" w:sz="0" w:space="0" w:color="auto"/>
      </w:divBdr>
    </w:div>
    <w:div w:id="226192663">
      <w:bodyDiv w:val="1"/>
      <w:marLeft w:val="0"/>
      <w:marRight w:val="0"/>
      <w:marTop w:val="0"/>
      <w:marBottom w:val="0"/>
      <w:divBdr>
        <w:top w:val="none" w:sz="0" w:space="0" w:color="auto"/>
        <w:left w:val="none" w:sz="0" w:space="0" w:color="auto"/>
        <w:bottom w:val="none" w:sz="0" w:space="0" w:color="auto"/>
        <w:right w:val="none" w:sz="0" w:space="0" w:color="auto"/>
      </w:divBdr>
    </w:div>
    <w:div w:id="238907345">
      <w:bodyDiv w:val="1"/>
      <w:marLeft w:val="0"/>
      <w:marRight w:val="0"/>
      <w:marTop w:val="0"/>
      <w:marBottom w:val="0"/>
      <w:divBdr>
        <w:top w:val="none" w:sz="0" w:space="0" w:color="auto"/>
        <w:left w:val="none" w:sz="0" w:space="0" w:color="auto"/>
        <w:bottom w:val="none" w:sz="0" w:space="0" w:color="auto"/>
        <w:right w:val="none" w:sz="0" w:space="0" w:color="auto"/>
      </w:divBdr>
    </w:div>
    <w:div w:id="594362909">
      <w:bodyDiv w:val="1"/>
      <w:marLeft w:val="0"/>
      <w:marRight w:val="0"/>
      <w:marTop w:val="0"/>
      <w:marBottom w:val="0"/>
      <w:divBdr>
        <w:top w:val="none" w:sz="0" w:space="0" w:color="auto"/>
        <w:left w:val="none" w:sz="0" w:space="0" w:color="auto"/>
        <w:bottom w:val="none" w:sz="0" w:space="0" w:color="auto"/>
        <w:right w:val="none" w:sz="0" w:space="0" w:color="auto"/>
      </w:divBdr>
    </w:div>
    <w:div w:id="826091402">
      <w:bodyDiv w:val="1"/>
      <w:marLeft w:val="0"/>
      <w:marRight w:val="0"/>
      <w:marTop w:val="0"/>
      <w:marBottom w:val="0"/>
      <w:divBdr>
        <w:top w:val="none" w:sz="0" w:space="0" w:color="auto"/>
        <w:left w:val="none" w:sz="0" w:space="0" w:color="auto"/>
        <w:bottom w:val="none" w:sz="0" w:space="0" w:color="auto"/>
        <w:right w:val="none" w:sz="0" w:space="0" w:color="auto"/>
      </w:divBdr>
    </w:div>
    <w:div w:id="920792732">
      <w:bodyDiv w:val="1"/>
      <w:marLeft w:val="0"/>
      <w:marRight w:val="0"/>
      <w:marTop w:val="0"/>
      <w:marBottom w:val="0"/>
      <w:divBdr>
        <w:top w:val="none" w:sz="0" w:space="0" w:color="auto"/>
        <w:left w:val="none" w:sz="0" w:space="0" w:color="auto"/>
        <w:bottom w:val="none" w:sz="0" w:space="0" w:color="auto"/>
        <w:right w:val="none" w:sz="0" w:space="0" w:color="auto"/>
      </w:divBdr>
    </w:div>
    <w:div w:id="1016080137">
      <w:bodyDiv w:val="1"/>
      <w:marLeft w:val="0"/>
      <w:marRight w:val="0"/>
      <w:marTop w:val="0"/>
      <w:marBottom w:val="0"/>
      <w:divBdr>
        <w:top w:val="none" w:sz="0" w:space="0" w:color="auto"/>
        <w:left w:val="none" w:sz="0" w:space="0" w:color="auto"/>
        <w:bottom w:val="none" w:sz="0" w:space="0" w:color="auto"/>
        <w:right w:val="none" w:sz="0" w:space="0" w:color="auto"/>
      </w:divBdr>
    </w:div>
    <w:div w:id="1175538137">
      <w:bodyDiv w:val="1"/>
      <w:marLeft w:val="0"/>
      <w:marRight w:val="0"/>
      <w:marTop w:val="0"/>
      <w:marBottom w:val="0"/>
      <w:divBdr>
        <w:top w:val="none" w:sz="0" w:space="0" w:color="auto"/>
        <w:left w:val="none" w:sz="0" w:space="0" w:color="auto"/>
        <w:bottom w:val="none" w:sz="0" w:space="0" w:color="auto"/>
        <w:right w:val="none" w:sz="0" w:space="0" w:color="auto"/>
      </w:divBdr>
    </w:div>
    <w:div w:id="1178229767">
      <w:bodyDiv w:val="1"/>
      <w:marLeft w:val="0"/>
      <w:marRight w:val="0"/>
      <w:marTop w:val="0"/>
      <w:marBottom w:val="0"/>
      <w:divBdr>
        <w:top w:val="none" w:sz="0" w:space="0" w:color="auto"/>
        <w:left w:val="none" w:sz="0" w:space="0" w:color="auto"/>
        <w:bottom w:val="none" w:sz="0" w:space="0" w:color="auto"/>
        <w:right w:val="none" w:sz="0" w:space="0" w:color="auto"/>
      </w:divBdr>
    </w:div>
    <w:div w:id="1283685115">
      <w:bodyDiv w:val="1"/>
      <w:marLeft w:val="0"/>
      <w:marRight w:val="0"/>
      <w:marTop w:val="0"/>
      <w:marBottom w:val="0"/>
      <w:divBdr>
        <w:top w:val="none" w:sz="0" w:space="0" w:color="auto"/>
        <w:left w:val="none" w:sz="0" w:space="0" w:color="auto"/>
        <w:bottom w:val="none" w:sz="0" w:space="0" w:color="auto"/>
        <w:right w:val="none" w:sz="0" w:space="0" w:color="auto"/>
      </w:divBdr>
    </w:div>
    <w:div w:id="1475177879">
      <w:bodyDiv w:val="1"/>
      <w:marLeft w:val="0"/>
      <w:marRight w:val="0"/>
      <w:marTop w:val="0"/>
      <w:marBottom w:val="0"/>
      <w:divBdr>
        <w:top w:val="none" w:sz="0" w:space="0" w:color="auto"/>
        <w:left w:val="none" w:sz="0" w:space="0" w:color="auto"/>
        <w:bottom w:val="none" w:sz="0" w:space="0" w:color="auto"/>
        <w:right w:val="none" w:sz="0" w:space="0" w:color="auto"/>
      </w:divBdr>
    </w:div>
    <w:div w:id="1477642149">
      <w:bodyDiv w:val="1"/>
      <w:marLeft w:val="0"/>
      <w:marRight w:val="0"/>
      <w:marTop w:val="0"/>
      <w:marBottom w:val="0"/>
      <w:divBdr>
        <w:top w:val="none" w:sz="0" w:space="0" w:color="auto"/>
        <w:left w:val="none" w:sz="0" w:space="0" w:color="auto"/>
        <w:bottom w:val="none" w:sz="0" w:space="0" w:color="auto"/>
        <w:right w:val="none" w:sz="0" w:space="0" w:color="auto"/>
      </w:divBdr>
    </w:div>
    <w:div w:id="1589071864">
      <w:bodyDiv w:val="1"/>
      <w:marLeft w:val="0"/>
      <w:marRight w:val="0"/>
      <w:marTop w:val="0"/>
      <w:marBottom w:val="0"/>
      <w:divBdr>
        <w:top w:val="none" w:sz="0" w:space="0" w:color="auto"/>
        <w:left w:val="none" w:sz="0" w:space="0" w:color="auto"/>
        <w:bottom w:val="none" w:sz="0" w:space="0" w:color="auto"/>
        <w:right w:val="none" w:sz="0" w:space="0" w:color="auto"/>
      </w:divBdr>
    </w:div>
    <w:div w:id="19898186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endnotes.xml.rels><?xml version="1.0" encoding="UTF-8" standalone="yes"?>
<Relationships xmlns="http://schemas.openxmlformats.org/package/2006/relationships"><Relationship Id="rId2" Type="http://schemas.openxmlformats.org/officeDocument/2006/relationships/hyperlink" Target="http://implicit.harvard.edu/implicit" TargetMode="External"/><Relationship Id="rId1" Type="http://schemas.openxmlformats.org/officeDocument/2006/relationships/hyperlink" Target="http://www.adrianpiper.com/art/sol.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BFCA3D-8F65-4DC7-96A2-2FE69F78BF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7514</Words>
  <Characters>42833</Characters>
  <Application>Microsoft Office Word</Application>
  <DocSecurity>0</DocSecurity>
  <Lines>356</Lines>
  <Paragraphs>100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50247</CharactersWithSpaces>
  <SharedDoc>false</SharedDoc>
  <HLinks>
    <vt:vector size="36" baseType="variant">
      <vt:variant>
        <vt:i4>917519</vt:i4>
      </vt:variant>
      <vt:variant>
        <vt:i4>15</vt:i4>
      </vt:variant>
      <vt:variant>
        <vt:i4>0</vt:i4>
      </vt:variant>
      <vt:variant>
        <vt:i4>5</vt:i4>
      </vt:variant>
      <vt:variant>
        <vt:lpwstr>http://www.adrianpiper.com/art/safe.shtml</vt:lpwstr>
      </vt:variant>
      <vt:variant>
        <vt:lpwstr/>
      </vt:variant>
      <vt:variant>
        <vt:i4>655369</vt:i4>
      </vt:variant>
      <vt:variant>
        <vt:i4>12</vt:i4>
      </vt:variant>
      <vt:variant>
        <vt:i4>0</vt:i4>
      </vt:variant>
      <vt:variant>
        <vt:i4>5</vt:i4>
      </vt:variant>
      <vt:variant>
        <vt:lpwstr>http://implicit.harvard.edu/implicit</vt:lpwstr>
      </vt:variant>
      <vt:variant>
        <vt:lpwstr/>
      </vt:variant>
      <vt:variant>
        <vt:i4>917586</vt:i4>
      </vt:variant>
      <vt:variant>
        <vt:i4>9</vt:i4>
      </vt:variant>
      <vt:variant>
        <vt:i4>0</vt:i4>
      </vt:variant>
      <vt:variant>
        <vt:i4>5</vt:i4>
      </vt:variant>
      <vt:variant>
        <vt:lpwstr>https://muse.jhu.edu/</vt:lpwstr>
      </vt:variant>
      <vt:variant>
        <vt:lpwstr/>
      </vt:variant>
      <vt:variant>
        <vt:i4>4784135</vt:i4>
      </vt:variant>
      <vt:variant>
        <vt:i4>6</vt:i4>
      </vt:variant>
      <vt:variant>
        <vt:i4>0</vt:i4>
      </vt:variant>
      <vt:variant>
        <vt:i4>5</vt:i4>
      </vt:variant>
      <vt:variant>
        <vt:lpwstr>http://www.adrianpiper.com/art/Over_the_Edge/interview.shtml</vt:lpwstr>
      </vt:variant>
      <vt:variant>
        <vt:lpwstr/>
      </vt:variant>
      <vt:variant>
        <vt:i4>4456520</vt:i4>
      </vt:variant>
      <vt:variant>
        <vt:i4>3</vt:i4>
      </vt:variant>
      <vt:variant>
        <vt:i4>0</vt:i4>
      </vt:variant>
      <vt:variant>
        <vt:i4>5</vt:i4>
      </vt:variant>
      <vt:variant>
        <vt:lpwstr>http://www.adrianpiper.com/art/sol.shtml</vt:lpwstr>
      </vt:variant>
      <vt:variant>
        <vt:lpwstr/>
      </vt:variant>
      <vt:variant>
        <vt:i4>4456520</vt:i4>
      </vt:variant>
      <vt:variant>
        <vt:i4>0</vt:i4>
      </vt:variant>
      <vt:variant>
        <vt:i4>0</vt:i4>
      </vt:variant>
      <vt:variant>
        <vt:i4>5</vt:i4>
      </vt:variant>
      <vt:variant>
        <vt:lpwstr>http://www.adrianpiper.com/art/sol.shtml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Vid Simoniti</dc:creator>
  <cp:keywords/>
  <dc:description/>
  <cp:lastModifiedBy>Vid Simoniti</cp:lastModifiedBy>
  <cp:revision>2</cp:revision>
  <dcterms:created xsi:type="dcterms:W3CDTF">2017-09-13T15:46:00Z</dcterms:created>
  <dcterms:modified xsi:type="dcterms:W3CDTF">2017-09-13T15:46:00Z</dcterms:modified>
</cp:coreProperties>
</file>