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DC9086" w14:textId="77777777" w:rsidR="00974D18" w:rsidRPr="00842A01" w:rsidRDefault="00974D18" w:rsidP="00974D18">
      <w:pPr>
        <w:spacing w:line="480" w:lineRule="auto"/>
        <w:jc w:val="both"/>
        <w:rPr>
          <w:rFonts w:ascii="Times New Roman" w:hAnsi="Times New Roman" w:cs="Times New Roman"/>
        </w:rPr>
      </w:pPr>
      <w:r w:rsidRPr="00842A01">
        <w:rPr>
          <w:rFonts w:ascii="Times New Roman" w:eastAsia="Times New Roman" w:hAnsi="Times New Roman" w:cs="Times New Roman"/>
          <w:b/>
          <w:bCs/>
          <w:color w:val="212121"/>
          <w:lang w:eastAsia="en-SG"/>
        </w:rPr>
        <w:t>Asymmetrical atrophy of thalamic subnuclei in Alzheimer’s disease and amyloid-positive mild cognitive impairment is associated with key clinical features</w:t>
      </w:r>
      <w:r w:rsidRPr="00842A01">
        <w:rPr>
          <w:rFonts w:ascii="Times New Roman" w:hAnsi="Times New Roman" w:cs="Times New Roman"/>
        </w:rPr>
        <w:t xml:space="preserve"> </w:t>
      </w:r>
    </w:p>
    <w:p w14:paraId="266686A6" w14:textId="1A1BAD85" w:rsidR="00633136" w:rsidRPr="00842A01" w:rsidRDefault="00831129" w:rsidP="007D7F72">
      <w:pPr>
        <w:spacing w:line="276" w:lineRule="auto"/>
        <w:jc w:val="both"/>
        <w:rPr>
          <w:rFonts w:ascii="Times New Roman" w:hAnsi="Times New Roman" w:cs="Times New Roman"/>
          <w:vertAlign w:val="superscript"/>
        </w:rPr>
      </w:pPr>
      <w:r w:rsidRPr="00842A01">
        <w:rPr>
          <w:rFonts w:ascii="Times New Roman" w:hAnsi="Times New Roman" w:cs="Times New Roman"/>
        </w:rPr>
        <w:t>Audrey Low,</w:t>
      </w:r>
      <w:r w:rsidRPr="00842A01">
        <w:rPr>
          <w:rFonts w:ascii="Times New Roman" w:hAnsi="Times New Roman" w:cs="Times New Roman"/>
          <w:vertAlign w:val="superscript"/>
        </w:rPr>
        <w:t>a</w:t>
      </w:r>
      <w:r w:rsidRPr="00842A01">
        <w:rPr>
          <w:rFonts w:ascii="Times New Roman" w:hAnsi="Times New Roman" w:cs="Times New Roman"/>
        </w:rPr>
        <w:t xml:space="preserve"> Elijah Mak,</w:t>
      </w:r>
      <w:r w:rsidRPr="00842A01">
        <w:rPr>
          <w:rFonts w:ascii="Times New Roman" w:hAnsi="Times New Roman" w:cs="Times New Roman"/>
          <w:vertAlign w:val="superscript"/>
        </w:rPr>
        <w:t>a</w:t>
      </w:r>
      <w:r w:rsidRPr="00842A01">
        <w:rPr>
          <w:rFonts w:ascii="Times New Roman" w:hAnsi="Times New Roman" w:cs="Times New Roman"/>
        </w:rPr>
        <w:t xml:space="preserve"> Maura Malpetti,</w:t>
      </w:r>
      <w:r w:rsidRPr="00842A01">
        <w:rPr>
          <w:rFonts w:ascii="Times New Roman" w:hAnsi="Times New Roman" w:cs="Times New Roman"/>
          <w:vertAlign w:val="superscript"/>
        </w:rPr>
        <w:t>b</w:t>
      </w:r>
      <w:r w:rsidRPr="00842A01">
        <w:rPr>
          <w:rFonts w:ascii="Times New Roman" w:hAnsi="Times New Roman" w:cs="Times New Roman"/>
        </w:rPr>
        <w:t xml:space="preserve"> Leonidas Chouliaras,</w:t>
      </w:r>
      <w:r w:rsidR="008C127B" w:rsidRPr="00842A01">
        <w:rPr>
          <w:rFonts w:ascii="Times New Roman" w:hAnsi="Times New Roman" w:cs="Times New Roman"/>
          <w:vertAlign w:val="superscript"/>
        </w:rPr>
        <w:t>a</w:t>
      </w:r>
      <w:r w:rsidRPr="00842A01">
        <w:rPr>
          <w:rFonts w:ascii="Times New Roman" w:hAnsi="Times New Roman" w:cs="Times New Roman"/>
        </w:rPr>
        <w:t xml:space="preserve"> Nicolas Nicastro,</w:t>
      </w:r>
      <w:r w:rsidR="008C127B" w:rsidRPr="00842A01">
        <w:rPr>
          <w:rFonts w:ascii="Times New Roman" w:hAnsi="Times New Roman" w:cs="Times New Roman"/>
          <w:vertAlign w:val="superscript"/>
        </w:rPr>
        <w:t>a</w:t>
      </w:r>
      <w:r w:rsidRPr="00842A01">
        <w:rPr>
          <w:rFonts w:ascii="Times New Roman" w:hAnsi="Times New Roman" w:cs="Times New Roman"/>
        </w:rPr>
        <w:t xml:space="preserve"> Li Su,</w:t>
      </w:r>
      <w:r w:rsidR="008C127B" w:rsidRPr="00842A01">
        <w:rPr>
          <w:rFonts w:ascii="Times New Roman" w:hAnsi="Times New Roman" w:cs="Times New Roman"/>
          <w:vertAlign w:val="superscript"/>
        </w:rPr>
        <w:t>a</w:t>
      </w:r>
      <w:r w:rsidRPr="00842A01">
        <w:rPr>
          <w:rFonts w:ascii="Times New Roman" w:hAnsi="Times New Roman" w:cs="Times New Roman"/>
        </w:rPr>
        <w:t xml:space="preserve"> Negin Holland,</w:t>
      </w:r>
      <w:r w:rsidRPr="00842A01">
        <w:rPr>
          <w:rFonts w:ascii="Times New Roman" w:hAnsi="Times New Roman" w:cs="Times New Roman"/>
          <w:vertAlign w:val="superscript"/>
        </w:rPr>
        <w:t>b</w:t>
      </w:r>
      <w:r w:rsidRPr="00842A01">
        <w:rPr>
          <w:rFonts w:ascii="Times New Roman" w:hAnsi="Times New Roman" w:cs="Times New Roman"/>
        </w:rPr>
        <w:t xml:space="preserve"> Timothy Rittman,</w:t>
      </w:r>
      <w:r w:rsidRPr="00842A01">
        <w:rPr>
          <w:rFonts w:ascii="Times New Roman" w:hAnsi="Times New Roman" w:cs="Times New Roman"/>
          <w:vertAlign w:val="superscript"/>
        </w:rPr>
        <w:t>b</w:t>
      </w:r>
      <w:r w:rsidRPr="00842A01">
        <w:rPr>
          <w:rFonts w:ascii="Times New Roman" w:hAnsi="Times New Roman" w:cs="Times New Roman"/>
        </w:rPr>
        <w:t xml:space="preserve"> Patricia </w:t>
      </w:r>
      <w:r w:rsidRPr="00842A01">
        <w:rPr>
          <w:rFonts w:ascii="Times New Roman" w:hAnsi="Times New Roman" w:cs="Times New Roman"/>
          <w:bCs/>
          <w:color w:val="212121"/>
          <w:shd w:val="clear" w:color="auto" w:fill="FFFFFF"/>
          <w:lang w:val="en-US"/>
        </w:rPr>
        <w:t>Vázquez Rodríguez</w:t>
      </w:r>
      <w:r w:rsidRPr="00842A01">
        <w:rPr>
          <w:rFonts w:ascii="Times New Roman" w:hAnsi="Times New Roman" w:cs="Times New Roman"/>
        </w:rPr>
        <w:t>,</w:t>
      </w:r>
      <w:r w:rsidRPr="00842A01">
        <w:rPr>
          <w:rFonts w:ascii="Times New Roman" w:hAnsi="Times New Roman" w:cs="Times New Roman"/>
          <w:vertAlign w:val="superscript"/>
        </w:rPr>
        <w:t>b</w:t>
      </w:r>
      <w:r w:rsidRPr="00842A01">
        <w:rPr>
          <w:rFonts w:ascii="Times New Roman" w:hAnsi="Times New Roman" w:cs="Times New Roman"/>
        </w:rPr>
        <w:t xml:space="preserve"> Luca Passamonti,</w:t>
      </w:r>
      <w:r w:rsidRPr="00842A01">
        <w:rPr>
          <w:rFonts w:ascii="Times New Roman" w:hAnsi="Times New Roman" w:cs="Times New Roman"/>
          <w:vertAlign w:val="superscript"/>
        </w:rPr>
        <w:t>b</w:t>
      </w:r>
      <w:r w:rsidRPr="00842A01">
        <w:rPr>
          <w:rFonts w:ascii="Times New Roman" w:hAnsi="Times New Roman" w:cs="Times New Roman"/>
        </w:rPr>
        <w:t xml:space="preserve"> </w:t>
      </w:r>
      <w:r w:rsidR="008C127B" w:rsidRPr="00842A01">
        <w:rPr>
          <w:rFonts w:ascii="Times New Roman" w:hAnsi="Times New Roman" w:cs="Times New Roman"/>
        </w:rPr>
        <w:t xml:space="preserve">W </w:t>
      </w:r>
      <w:r w:rsidRPr="00842A01">
        <w:rPr>
          <w:rFonts w:ascii="Times New Roman" w:hAnsi="Times New Roman" w:cs="Times New Roman"/>
        </w:rPr>
        <w:t>Richard Bevan-Jones,</w:t>
      </w:r>
      <w:r w:rsidR="008C127B" w:rsidRPr="00842A01">
        <w:rPr>
          <w:rFonts w:ascii="Times New Roman" w:hAnsi="Times New Roman" w:cs="Times New Roman"/>
          <w:vertAlign w:val="superscript"/>
        </w:rPr>
        <w:t>b</w:t>
      </w:r>
      <w:r w:rsidRPr="00842A01">
        <w:rPr>
          <w:rFonts w:ascii="Times New Roman" w:hAnsi="Times New Roman" w:cs="Times New Roman"/>
        </w:rPr>
        <w:t xml:space="preserve"> </w:t>
      </w:r>
      <w:r w:rsidR="008C1AAB" w:rsidRPr="00842A01">
        <w:rPr>
          <w:rFonts w:ascii="Times New Roman" w:hAnsi="Times New Roman" w:cs="Times New Roman"/>
        </w:rPr>
        <w:t>P</w:t>
      </w:r>
      <w:r w:rsidR="009F106A" w:rsidRPr="00842A01">
        <w:rPr>
          <w:rFonts w:ascii="Times New Roman" w:hAnsi="Times New Roman" w:cs="Times New Roman"/>
        </w:rPr>
        <w:t>P</w:t>
      </w:r>
      <w:r w:rsidR="008C1AAB" w:rsidRPr="00842A01">
        <w:rPr>
          <w:rFonts w:ascii="Times New Roman" w:hAnsi="Times New Roman" w:cs="Times New Roman"/>
        </w:rPr>
        <w:t xml:space="preserve"> </w:t>
      </w:r>
      <w:r w:rsidRPr="00842A01">
        <w:rPr>
          <w:rFonts w:ascii="Times New Roman" w:hAnsi="Times New Roman" w:cs="Times New Roman"/>
        </w:rPr>
        <w:t>Simon Jones,</w:t>
      </w:r>
      <w:r w:rsidR="008C127B" w:rsidRPr="00842A01">
        <w:rPr>
          <w:rFonts w:ascii="Times New Roman" w:hAnsi="Times New Roman" w:cs="Times New Roman"/>
          <w:vertAlign w:val="superscript"/>
        </w:rPr>
        <w:t>b</w:t>
      </w:r>
      <w:r w:rsidRPr="00842A01">
        <w:rPr>
          <w:rFonts w:ascii="Times New Roman" w:hAnsi="Times New Roman" w:cs="Times New Roman"/>
        </w:rPr>
        <w:t xml:space="preserve"> James B. Rowe,</w:t>
      </w:r>
      <w:r w:rsidR="008C127B" w:rsidRPr="00842A01">
        <w:rPr>
          <w:rFonts w:ascii="Times New Roman" w:hAnsi="Times New Roman" w:cs="Times New Roman"/>
          <w:vertAlign w:val="superscript"/>
        </w:rPr>
        <w:t>b</w:t>
      </w:r>
      <w:r w:rsidR="00F133A2" w:rsidRPr="00842A01">
        <w:rPr>
          <w:rFonts w:ascii="Times New Roman" w:hAnsi="Times New Roman" w:cs="Times New Roman"/>
          <w:vertAlign w:val="superscript"/>
        </w:rPr>
        <w:t>*</w:t>
      </w:r>
      <w:r w:rsidRPr="00842A01">
        <w:rPr>
          <w:rFonts w:ascii="Times New Roman" w:hAnsi="Times New Roman" w:cs="Times New Roman"/>
        </w:rPr>
        <w:t xml:space="preserve"> John T. O’Brien</w:t>
      </w:r>
      <w:r w:rsidR="008C127B" w:rsidRPr="00842A01">
        <w:rPr>
          <w:rFonts w:ascii="Times New Roman" w:hAnsi="Times New Roman" w:cs="Times New Roman"/>
        </w:rPr>
        <w:t>.</w:t>
      </w:r>
      <w:r w:rsidR="008C127B" w:rsidRPr="00842A01">
        <w:rPr>
          <w:rFonts w:ascii="Times New Roman" w:hAnsi="Times New Roman" w:cs="Times New Roman"/>
          <w:vertAlign w:val="superscript"/>
        </w:rPr>
        <w:t>a</w:t>
      </w:r>
      <w:r w:rsidR="00F133A2" w:rsidRPr="00842A01">
        <w:rPr>
          <w:rFonts w:ascii="Times New Roman" w:hAnsi="Times New Roman" w:cs="Times New Roman"/>
          <w:vertAlign w:val="superscript"/>
        </w:rPr>
        <w:t>*</w:t>
      </w:r>
    </w:p>
    <w:p w14:paraId="46484FDE" w14:textId="77777777" w:rsidR="007D7F72" w:rsidRPr="00842A01" w:rsidRDefault="007D7F72" w:rsidP="007D7F72">
      <w:pPr>
        <w:spacing w:line="276" w:lineRule="auto"/>
        <w:jc w:val="both"/>
        <w:rPr>
          <w:rFonts w:ascii="Times New Roman" w:hAnsi="Times New Roman" w:cs="Times New Roman"/>
        </w:rPr>
      </w:pPr>
    </w:p>
    <w:p w14:paraId="5F2CCF03" w14:textId="77777777" w:rsidR="00633136" w:rsidRPr="00842A01" w:rsidRDefault="00633136" w:rsidP="007D7F72">
      <w:pPr>
        <w:spacing w:line="480" w:lineRule="auto"/>
        <w:jc w:val="both"/>
        <w:rPr>
          <w:rFonts w:ascii="Times New Roman" w:hAnsi="Times New Roman" w:cs="Times New Roman"/>
        </w:rPr>
      </w:pPr>
      <w:r w:rsidRPr="00842A01">
        <w:rPr>
          <w:rFonts w:ascii="Times New Roman" w:hAnsi="Times New Roman" w:cs="Times New Roman"/>
          <w:vertAlign w:val="superscript"/>
        </w:rPr>
        <w:t>a</w:t>
      </w:r>
      <w:r w:rsidRPr="00842A01">
        <w:rPr>
          <w:rFonts w:ascii="Times New Roman" w:hAnsi="Times New Roman" w:cs="Times New Roman"/>
        </w:rPr>
        <w:t xml:space="preserve"> Department of Psychiatry, University of Cambridge, United Kingdom </w:t>
      </w:r>
    </w:p>
    <w:p w14:paraId="550E9E59" w14:textId="77777777" w:rsidR="00D06057" w:rsidRPr="00842A01" w:rsidRDefault="00831129" w:rsidP="007D7F72">
      <w:pPr>
        <w:spacing w:line="480" w:lineRule="auto"/>
        <w:jc w:val="both"/>
        <w:rPr>
          <w:rFonts w:ascii="Times New Roman" w:hAnsi="Times New Roman" w:cs="Times New Roman"/>
        </w:rPr>
      </w:pPr>
      <w:r w:rsidRPr="00842A01">
        <w:rPr>
          <w:rFonts w:ascii="Times New Roman" w:hAnsi="Times New Roman" w:cs="Times New Roman"/>
          <w:vertAlign w:val="superscript"/>
        </w:rPr>
        <w:t>b</w:t>
      </w:r>
      <w:r w:rsidRPr="00842A01">
        <w:rPr>
          <w:rFonts w:ascii="Times New Roman" w:hAnsi="Times New Roman" w:cs="Times New Roman"/>
        </w:rPr>
        <w:t xml:space="preserve"> Department of Clinical Neurosciences, University of Cambridge, United Kingdom</w:t>
      </w:r>
    </w:p>
    <w:p w14:paraId="2CDDAAA1" w14:textId="77777777" w:rsidR="00F133A2" w:rsidRPr="00842A01" w:rsidRDefault="00F133A2" w:rsidP="007D7F72">
      <w:pPr>
        <w:spacing w:line="480" w:lineRule="auto"/>
        <w:jc w:val="both"/>
        <w:rPr>
          <w:rFonts w:ascii="Times New Roman" w:hAnsi="Times New Roman" w:cs="Times New Roman"/>
        </w:rPr>
      </w:pPr>
      <w:r w:rsidRPr="00842A01">
        <w:rPr>
          <w:rFonts w:ascii="Times New Roman" w:hAnsi="Times New Roman" w:cs="Times New Roman"/>
        </w:rPr>
        <w:t>* Joint senior authors</w:t>
      </w:r>
    </w:p>
    <w:p w14:paraId="4EE7A45A" w14:textId="77777777" w:rsidR="00633136" w:rsidRPr="00842A01" w:rsidRDefault="00633136" w:rsidP="00F133A2">
      <w:pPr>
        <w:spacing w:line="480" w:lineRule="auto"/>
        <w:jc w:val="both"/>
        <w:rPr>
          <w:vertAlign w:val="superscript"/>
        </w:rPr>
      </w:pPr>
    </w:p>
    <w:p w14:paraId="2798DD93" w14:textId="77777777" w:rsidR="00633136" w:rsidRPr="00842A01" w:rsidRDefault="00633136" w:rsidP="00633136">
      <w:pPr>
        <w:spacing w:line="480" w:lineRule="auto"/>
        <w:jc w:val="both"/>
        <w:rPr>
          <w:rFonts w:ascii="Times New Roman" w:hAnsi="Times New Roman" w:cs="Times New Roman"/>
          <w:b/>
        </w:rPr>
      </w:pPr>
      <w:r w:rsidRPr="00842A01">
        <w:rPr>
          <w:rFonts w:ascii="Times New Roman" w:hAnsi="Times New Roman" w:cs="Times New Roman"/>
          <w:b/>
        </w:rPr>
        <w:t>Corresponding Author:</w:t>
      </w:r>
    </w:p>
    <w:p w14:paraId="2E7911D1"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rPr>
        <w:t>Professor John T. O’Brien</w:t>
      </w:r>
    </w:p>
    <w:p w14:paraId="75AD485A"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rPr>
        <w:t>Foundation Professor of Old Age Psychiatry</w:t>
      </w:r>
    </w:p>
    <w:p w14:paraId="13BDA533"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rPr>
        <w:t>Department of Psychiatry, University of Cambridge</w:t>
      </w:r>
    </w:p>
    <w:p w14:paraId="6D775CC8"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rPr>
        <w:t>School of Clinical Medicine, Box 189, Level E4 Cambridge Biomedical Campus</w:t>
      </w:r>
    </w:p>
    <w:p w14:paraId="172F5AE5"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rPr>
        <w:t xml:space="preserve">Cambridge, CB2 0SP, UK. </w:t>
      </w:r>
    </w:p>
    <w:p w14:paraId="0EBECEF2"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rPr>
        <w:t>E-mail address: john.obrien@medschl.cam.ac.uk (J.T. O’Brien)</w:t>
      </w:r>
    </w:p>
    <w:p w14:paraId="4915E5E4" w14:textId="77777777" w:rsidR="00633136" w:rsidRPr="00842A01" w:rsidRDefault="00633136" w:rsidP="00633136">
      <w:pPr>
        <w:spacing w:line="480" w:lineRule="auto"/>
        <w:jc w:val="both"/>
        <w:rPr>
          <w:rFonts w:ascii="Times New Roman" w:hAnsi="Times New Roman" w:cs="Times New Roman"/>
        </w:rPr>
      </w:pPr>
    </w:p>
    <w:p w14:paraId="68213CB5"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b/>
        </w:rPr>
        <w:t>Word count:</w:t>
      </w:r>
      <w:r w:rsidR="005745A5" w:rsidRPr="00842A01">
        <w:rPr>
          <w:rFonts w:ascii="Times New Roman" w:hAnsi="Times New Roman" w:cs="Times New Roman"/>
        </w:rPr>
        <w:t xml:space="preserve"> 3499</w:t>
      </w:r>
      <w:r w:rsidRPr="00842A01">
        <w:rPr>
          <w:rFonts w:ascii="Times New Roman" w:hAnsi="Times New Roman" w:cs="Times New Roman"/>
        </w:rPr>
        <w:t xml:space="preserve"> words</w:t>
      </w:r>
      <w:r w:rsidR="00BD6CA6" w:rsidRPr="00842A01">
        <w:rPr>
          <w:rFonts w:ascii="Times New Roman" w:hAnsi="Times New Roman" w:cs="Times New Roman"/>
        </w:rPr>
        <w:t xml:space="preserve"> (</w:t>
      </w:r>
      <w:r w:rsidR="00F96C7B" w:rsidRPr="00842A01">
        <w:rPr>
          <w:rFonts w:ascii="Times New Roman" w:hAnsi="Times New Roman" w:cs="Times New Roman"/>
        </w:rPr>
        <w:t>Max 3500</w:t>
      </w:r>
      <w:r w:rsidR="00BD6CA6" w:rsidRPr="00842A01">
        <w:rPr>
          <w:rFonts w:ascii="Times New Roman" w:hAnsi="Times New Roman" w:cs="Times New Roman"/>
        </w:rPr>
        <w:t>)</w:t>
      </w:r>
    </w:p>
    <w:p w14:paraId="5E22E6A3" w14:textId="77777777"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b/>
        </w:rPr>
        <w:t>Abstract:</w:t>
      </w:r>
      <w:r w:rsidR="00342B0E" w:rsidRPr="00842A01">
        <w:rPr>
          <w:rFonts w:ascii="Times New Roman" w:hAnsi="Times New Roman" w:cs="Times New Roman"/>
        </w:rPr>
        <w:t xml:space="preserve"> 143</w:t>
      </w:r>
      <w:r w:rsidRPr="00842A01">
        <w:rPr>
          <w:rFonts w:ascii="Times New Roman" w:hAnsi="Times New Roman" w:cs="Times New Roman"/>
        </w:rPr>
        <w:t xml:space="preserve"> words</w:t>
      </w:r>
      <w:r w:rsidR="00932B36" w:rsidRPr="00842A01">
        <w:rPr>
          <w:rFonts w:ascii="Times New Roman" w:hAnsi="Times New Roman" w:cs="Times New Roman"/>
        </w:rPr>
        <w:t xml:space="preserve"> </w:t>
      </w:r>
      <w:r w:rsidR="00F96C7B" w:rsidRPr="00842A01">
        <w:rPr>
          <w:rFonts w:ascii="Times New Roman" w:hAnsi="Times New Roman" w:cs="Times New Roman"/>
        </w:rPr>
        <w:t>(Max 150)</w:t>
      </w:r>
    </w:p>
    <w:p w14:paraId="7BF6D0DB" w14:textId="18CAEC65"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b/>
        </w:rPr>
        <w:t>Number of Tables:</w:t>
      </w:r>
      <w:r w:rsidR="006967BE" w:rsidRPr="00842A01">
        <w:rPr>
          <w:rFonts w:ascii="Times New Roman" w:hAnsi="Times New Roman" w:cs="Times New Roman"/>
        </w:rPr>
        <w:t xml:space="preserve"> 2</w:t>
      </w:r>
      <w:r w:rsidRPr="00842A01">
        <w:rPr>
          <w:rFonts w:ascii="Times New Roman" w:hAnsi="Times New Roman" w:cs="Times New Roman"/>
        </w:rPr>
        <w:t xml:space="preserve"> </w:t>
      </w:r>
    </w:p>
    <w:p w14:paraId="46B75300" w14:textId="39C28239" w:rsidR="00633136" w:rsidRPr="00842A01" w:rsidRDefault="00633136" w:rsidP="00633136">
      <w:pPr>
        <w:spacing w:line="480" w:lineRule="auto"/>
        <w:jc w:val="both"/>
        <w:rPr>
          <w:rFonts w:ascii="Times New Roman" w:hAnsi="Times New Roman" w:cs="Times New Roman"/>
        </w:rPr>
      </w:pPr>
      <w:r w:rsidRPr="00842A01">
        <w:rPr>
          <w:rFonts w:ascii="Times New Roman" w:hAnsi="Times New Roman" w:cs="Times New Roman"/>
          <w:b/>
        </w:rPr>
        <w:t>Number of Figures:</w:t>
      </w:r>
      <w:r w:rsidR="006967BE" w:rsidRPr="00842A01">
        <w:rPr>
          <w:rFonts w:ascii="Times New Roman" w:hAnsi="Times New Roman" w:cs="Times New Roman"/>
        </w:rPr>
        <w:t xml:space="preserve"> 4</w:t>
      </w:r>
    </w:p>
    <w:p w14:paraId="01F80125" w14:textId="77777777" w:rsidR="00BD6CA6" w:rsidRPr="00842A01" w:rsidRDefault="00BD6CA6" w:rsidP="00633136">
      <w:pPr>
        <w:spacing w:line="480" w:lineRule="auto"/>
        <w:jc w:val="both"/>
        <w:rPr>
          <w:rFonts w:ascii="Times New Roman" w:hAnsi="Times New Roman" w:cs="Times New Roman"/>
          <w:b/>
        </w:rPr>
      </w:pPr>
      <w:r w:rsidRPr="00842A01">
        <w:rPr>
          <w:rFonts w:ascii="Times New Roman" w:hAnsi="Times New Roman" w:cs="Times New Roman"/>
          <w:b/>
        </w:rPr>
        <w:t>References:</w:t>
      </w:r>
      <w:r w:rsidR="00F96C7B" w:rsidRPr="00842A01">
        <w:rPr>
          <w:rFonts w:ascii="Times New Roman" w:hAnsi="Times New Roman" w:cs="Times New Roman"/>
        </w:rPr>
        <w:t xml:space="preserve"> 50 (Max 50)</w:t>
      </w:r>
    </w:p>
    <w:p w14:paraId="22508943" w14:textId="77777777" w:rsidR="0070664B" w:rsidRPr="00842A01" w:rsidRDefault="0070664B" w:rsidP="004A08EC">
      <w:pPr>
        <w:spacing w:line="480" w:lineRule="auto"/>
        <w:jc w:val="both"/>
        <w:rPr>
          <w:rFonts w:ascii="Times New Roman" w:hAnsi="Times New Roman" w:cs="Times New Roman"/>
          <w:b/>
        </w:rPr>
      </w:pPr>
      <w:r w:rsidRPr="00842A01">
        <w:rPr>
          <w:rFonts w:ascii="Times New Roman" w:hAnsi="Times New Roman" w:cs="Times New Roman"/>
          <w:b/>
        </w:rPr>
        <w:lastRenderedPageBreak/>
        <w:t>ABSTRACT</w:t>
      </w:r>
    </w:p>
    <w:p w14:paraId="06AE9840" w14:textId="2E5E1E10" w:rsidR="00D06057" w:rsidRPr="00842A01" w:rsidRDefault="00B7314A" w:rsidP="004A08EC">
      <w:pPr>
        <w:spacing w:line="480" w:lineRule="auto"/>
        <w:jc w:val="both"/>
        <w:rPr>
          <w:rFonts w:ascii="Times New Roman" w:hAnsi="Times New Roman" w:cs="Times New Roman"/>
        </w:rPr>
      </w:pPr>
      <w:r w:rsidRPr="00842A01">
        <w:rPr>
          <w:rFonts w:ascii="Times New Roman" w:hAnsi="Times New Roman" w:cs="Times New Roman"/>
          <w:b/>
        </w:rPr>
        <w:t>INTRODUCTION</w:t>
      </w:r>
      <w:r w:rsidR="00BA4F24" w:rsidRPr="00842A01">
        <w:rPr>
          <w:rFonts w:ascii="Times New Roman" w:hAnsi="Times New Roman" w:cs="Times New Roman"/>
          <w:b/>
        </w:rPr>
        <w:t xml:space="preserve">: </w:t>
      </w:r>
      <w:r w:rsidR="00D06057" w:rsidRPr="00842A01">
        <w:rPr>
          <w:rFonts w:ascii="Times New Roman" w:hAnsi="Times New Roman" w:cs="Times New Roman"/>
        </w:rPr>
        <w:t>While widespread cortical asymmetries have been identified in Alzheimer’s disease</w:t>
      </w:r>
      <w:r w:rsidR="004C49C0" w:rsidRPr="00842A01">
        <w:rPr>
          <w:rFonts w:ascii="Times New Roman" w:hAnsi="Times New Roman" w:cs="Times New Roman"/>
        </w:rPr>
        <w:t xml:space="preserve"> (AD)</w:t>
      </w:r>
      <w:r w:rsidR="00D06057" w:rsidRPr="00842A01">
        <w:rPr>
          <w:rFonts w:ascii="Times New Roman" w:hAnsi="Times New Roman" w:cs="Times New Roman"/>
        </w:rPr>
        <w:t xml:space="preserve">, thalamic asymmetries and their relevance to clinical </w:t>
      </w:r>
      <w:r w:rsidR="00A4053C" w:rsidRPr="00842A01">
        <w:rPr>
          <w:rFonts w:ascii="Times New Roman" w:hAnsi="Times New Roman" w:cs="Times New Roman"/>
        </w:rPr>
        <w:t xml:space="preserve">severity </w:t>
      </w:r>
      <w:r w:rsidR="00342B0E" w:rsidRPr="00842A01">
        <w:rPr>
          <w:rFonts w:ascii="Times New Roman" w:hAnsi="Times New Roman" w:cs="Times New Roman"/>
        </w:rPr>
        <w:t>in AD</w:t>
      </w:r>
      <w:r w:rsidR="00D06057" w:rsidRPr="00842A01">
        <w:rPr>
          <w:rFonts w:ascii="Times New Roman" w:hAnsi="Times New Roman" w:cs="Times New Roman"/>
        </w:rPr>
        <w:t xml:space="preserve"> remain unclear. </w:t>
      </w:r>
    </w:p>
    <w:p w14:paraId="73138F9C" w14:textId="26D7CA81" w:rsidR="00D06057" w:rsidRPr="00842A01" w:rsidRDefault="00B7314A" w:rsidP="004A08EC">
      <w:pPr>
        <w:spacing w:line="480" w:lineRule="auto"/>
        <w:jc w:val="both"/>
        <w:rPr>
          <w:rFonts w:ascii="Times New Roman" w:hAnsi="Times New Roman" w:cs="Times New Roman"/>
        </w:rPr>
      </w:pPr>
      <w:r w:rsidRPr="00842A01">
        <w:rPr>
          <w:rFonts w:ascii="Times New Roman" w:hAnsi="Times New Roman" w:cs="Times New Roman"/>
          <w:b/>
        </w:rPr>
        <w:t>METHODS:</w:t>
      </w:r>
      <w:r w:rsidRPr="00842A01">
        <w:rPr>
          <w:rFonts w:ascii="Times New Roman" w:hAnsi="Times New Roman" w:cs="Times New Roman"/>
        </w:rPr>
        <w:t xml:space="preserve"> </w:t>
      </w:r>
      <w:r w:rsidR="00D06057" w:rsidRPr="00842A01">
        <w:rPr>
          <w:rFonts w:ascii="Times New Roman" w:hAnsi="Times New Roman" w:cs="Times New Roman"/>
        </w:rPr>
        <w:t xml:space="preserve">Lateralization indices (LI) </w:t>
      </w:r>
      <w:r w:rsidR="00A4053C" w:rsidRPr="00842A01">
        <w:rPr>
          <w:rFonts w:ascii="Times New Roman" w:hAnsi="Times New Roman" w:cs="Times New Roman"/>
        </w:rPr>
        <w:t xml:space="preserve">were </w:t>
      </w:r>
      <w:r w:rsidR="00D06057" w:rsidRPr="00842A01">
        <w:rPr>
          <w:rFonts w:ascii="Times New Roman" w:hAnsi="Times New Roman" w:cs="Times New Roman"/>
        </w:rPr>
        <w:t xml:space="preserve">computed for individual thalamic subnuclei of </w:t>
      </w:r>
      <w:r w:rsidR="00BF762E" w:rsidRPr="00842A01">
        <w:rPr>
          <w:rFonts w:ascii="Times New Roman" w:hAnsi="Times New Roman" w:cs="Times New Roman"/>
        </w:rPr>
        <w:t>65</w:t>
      </w:r>
      <w:r w:rsidR="00D06057" w:rsidRPr="00842A01">
        <w:rPr>
          <w:rFonts w:ascii="Times New Roman" w:hAnsi="Times New Roman" w:cs="Times New Roman"/>
        </w:rPr>
        <w:t xml:space="preserve"> participants </w:t>
      </w:r>
      <w:r w:rsidR="00BF762E" w:rsidRPr="00842A01">
        <w:rPr>
          <w:rFonts w:ascii="Times New Roman" w:hAnsi="Times New Roman" w:cs="Times New Roman"/>
        </w:rPr>
        <w:t>(33 healthy controls, 14</w:t>
      </w:r>
      <w:r w:rsidR="00D06057" w:rsidRPr="00842A01">
        <w:rPr>
          <w:rFonts w:ascii="Times New Roman" w:hAnsi="Times New Roman" w:cs="Times New Roman"/>
        </w:rPr>
        <w:t xml:space="preserve"> </w:t>
      </w:r>
      <w:r w:rsidR="00D1164E" w:rsidRPr="00842A01">
        <w:rPr>
          <w:rFonts w:ascii="Times New Roman" w:hAnsi="Times New Roman" w:cs="Times New Roman"/>
        </w:rPr>
        <w:t>amyloid-positive</w:t>
      </w:r>
      <w:r w:rsidR="007A44E1" w:rsidRPr="00842A01">
        <w:rPr>
          <w:rFonts w:ascii="Times New Roman" w:hAnsi="Times New Roman" w:cs="Times New Roman"/>
        </w:rPr>
        <w:t xml:space="preserve"> patients with</w:t>
      </w:r>
      <w:r w:rsidR="00D1164E" w:rsidRPr="00842A01">
        <w:rPr>
          <w:rFonts w:ascii="Times New Roman" w:hAnsi="Times New Roman" w:cs="Times New Roman"/>
        </w:rPr>
        <w:t xml:space="preserve"> </w:t>
      </w:r>
      <w:r w:rsidR="00FB5D72" w:rsidRPr="00842A01">
        <w:rPr>
          <w:rFonts w:ascii="Times New Roman" w:hAnsi="Times New Roman" w:cs="Times New Roman"/>
        </w:rPr>
        <w:t>mild cognitive impairment</w:t>
      </w:r>
      <w:r w:rsidR="00A4053C" w:rsidRPr="00842A01">
        <w:rPr>
          <w:rFonts w:ascii="Times New Roman" w:hAnsi="Times New Roman" w:cs="Times New Roman"/>
        </w:rPr>
        <w:t xml:space="preserve">, </w:t>
      </w:r>
      <w:r w:rsidR="00D1164E" w:rsidRPr="00842A01">
        <w:rPr>
          <w:rFonts w:ascii="Times New Roman" w:hAnsi="Times New Roman" w:cs="Times New Roman"/>
        </w:rPr>
        <w:t>MCI</w:t>
      </w:r>
      <w:r w:rsidR="00BF762E" w:rsidRPr="00842A01">
        <w:rPr>
          <w:rFonts w:ascii="Times New Roman" w:hAnsi="Times New Roman" w:cs="Times New Roman"/>
        </w:rPr>
        <w:t>,</w:t>
      </w:r>
      <w:r w:rsidR="00D06057" w:rsidRPr="00842A01">
        <w:rPr>
          <w:rFonts w:ascii="Times New Roman" w:hAnsi="Times New Roman" w:cs="Times New Roman"/>
        </w:rPr>
        <w:t xml:space="preserve"> </w:t>
      </w:r>
      <w:r w:rsidR="00A4053C" w:rsidRPr="00842A01">
        <w:rPr>
          <w:rFonts w:ascii="Times New Roman" w:hAnsi="Times New Roman" w:cs="Times New Roman"/>
        </w:rPr>
        <w:t xml:space="preserve">and </w:t>
      </w:r>
      <w:r w:rsidR="00D06057" w:rsidRPr="00842A01">
        <w:rPr>
          <w:rFonts w:ascii="Times New Roman" w:hAnsi="Times New Roman" w:cs="Times New Roman"/>
        </w:rPr>
        <w:t>18</w:t>
      </w:r>
      <w:r w:rsidR="007A44E1" w:rsidRPr="00842A01">
        <w:rPr>
          <w:rFonts w:ascii="Times New Roman" w:hAnsi="Times New Roman" w:cs="Times New Roman"/>
        </w:rPr>
        <w:t xml:space="preserve"> patients with </w:t>
      </w:r>
      <w:r w:rsidR="00D06057" w:rsidRPr="00842A01">
        <w:rPr>
          <w:rFonts w:ascii="Times New Roman" w:hAnsi="Times New Roman" w:cs="Times New Roman"/>
        </w:rPr>
        <w:t>AD</w:t>
      </w:r>
      <w:r w:rsidR="007A44E1" w:rsidRPr="00842A01">
        <w:rPr>
          <w:rFonts w:ascii="Times New Roman" w:hAnsi="Times New Roman" w:cs="Times New Roman"/>
        </w:rPr>
        <w:t xml:space="preserve"> dementia</w:t>
      </w:r>
      <w:r w:rsidR="00D06057" w:rsidRPr="00842A01">
        <w:rPr>
          <w:rFonts w:ascii="Times New Roman" w:hAnsi="Times New Roman" w:cs="Times New Roman"/>
        </w:rPr>
        <w:t xml:space="preserve">). </w:t>
      </w:r>
      <w:r w:rsidR="00A4053C" w:rsidRPr="00842A01">
        <w:rPr>
          <w:rFonts w:ascii="Times New Roman" w:hAnsi="Times New Roman" w:cs="Times New Roman"/>
        </w:rPr>
        <w:t xml:space="preserve">We </w:t>
      </w:r>
      <w:r w:rsidR="00D06057" w:rsidRPr="00842A01">
        <w:rPr>
          <w:rFonts w:ascii="Times New Roman" w:hAnsi="Times New Roman" w:cs="Times New Roman"/>
        </w:rPr>
        <w:t xml:space="preserve">compared </w:t>
      </w:r>
      <w:r w:rsidR="00A4053C" w:rsidRPr="00842A01">
        <w:rPr>
          <w:rFonts w:ascii="Times New Roman" w:hAnsi="Times New Roman" w:cs="Times New Roman"/>
        </w:rPr>
        <w:t xml:space="preserve">LI </w:t>
      </w:r>
      <w:r w:rsidR="00D06057" w:rsidRPr="00842A01">
        <w:rPr>
          <w:rFonts w:ascii="Times New Roman" w:hAnsi="Times New Roman" w:cs="Times New Roman"/>
        </w:rPr>
        <w:t xml:space="preserve">across diagnostic groups and </w:t>
      </w:r>
      <w:r w:rsidR="00A4053C" w:rsidRPr="00842A01">
        <w:rPr>
          <w:rFonts w:ascii="Times New Roman" w:hAnsi="Times New Roman" w:cs="Times New Roman"/>
        </w:rPr>
        <w:t>correlated</w:t>
      </w:r>
      <w:r w:rsidR="00D06057" w:rsidRPr="00842A01">
        <w:rPr>
          <w:rFonts w:ascii="Times New Roman" w:hAnsi="Times New Roman" w:cs="Times New Roman"/>
        </w:rPr>
        <w:t xml:space="preserve"> with clinical measures.</w:t>
      </w:r>
    </w:p>
    <w:p w14:paraId="507954FF" w14:textId="1E13A38E" w:rsidR="005D06E5" w:rsidRPr="00842A01" w:rsidRDefault="00B7314A" w:rsidP="00973A20">
      <w:pPr>
        <w:spacing w:line="480" w:lineRule="auto"/>
        <w:jc w:val="both"/>
        <w:rPr>
          <w:rFonts w:ascii="Times New Roman" w:hAnsi="Times New Roman" w:cs="Times New Roman"/>
        </w:rPr>
      </w:pPr>
      <w:r w:rsidRPr="00842A01">
        <w:rPr>
          <w:rFonts w:ascii="Times New Roman" w:hAnsi="Times New Roman" w:cs="Times New Roman"/>
          <w:b/>
        </w:rPr>
        <w:t>RESULTS:</w:t>
      </w:r>
      <w:r w:rsidR="00973A20" w:rsidRPr="00842A01">
        <w:rPr>
          <w:rFonts w:ascii="Times New Roman" w:hAnsi="Times New Roman" w:cs="Times New Roman"/>
        </w:rPr>
        <w:t xml:space="preserve"> </w:t>
      </w:r>
      <w:r w:rsidR="00D06057" w:rsidRPr="00842A01">
        <w:rPr>
          <w:rFonts w:ascii="Times New Roman" w:hAnsi="Times New Roman" w:cs="Times New Roman"/>
        </w:rPr>
        <w:t xml:space="preserve">While </w:t>
      </w:r>
      <w:r w:rsidR="00A4053C" w:rsidRPr="00842A01">
        <w:rPr>
          <w:rFonts w:ascii="Times New Roman" w:hAnsi="Times New Roman" w:cs="Times New Roman"/>
        </w:rPr>
        <w:t xml:space="preserve">overall </w:t>
      </w:r>
      <w:r w:rsidR="00D06057" w:rsidRPr="00842A01">
        <w:rPr>
          <w:rFonts w:ascii="Times New Roman" w:hAnsi="Times New Roman" w:cs="Times New Roman"/>
        </w:rPr>
        <w:t xml:space="preserve">asymmetry of the thalamus did not differ between groups, </w:t>
      </w:r>
      <w:r w:rsidR="00973A20" w:rsidRPr="00842A01">
        <w:rPr>
          <w:rFonts w:ascii="Times New Roman" w:hAnsi="Times New Roman" w:cs="Times New Roman"/>
        </w:rPr>
        <w:t>greater leftward lateralization of atrophy in the ventral</w:t>
      </w:r>
      <w:r w:rsidR="00D06057" w:rsidRPr="00842A01">
        <w:rPr>
          <w:rFonts w:ascii="Times New Roman" w:hAnsi="Times New Roman" w:cs="Times New Roman"/>
        </w:rPr>
        <w:t xml:space="preserve"> nuclei was demonstrated in AD,</w:t>
      </w:r>
      <w:r w:rsidR="00973A20" w:rsidRPr="00842A01">
        <w:rPr>
          <w:rFonts w:ascii="Times New Roman" w:hAnsi="Times New Roman" w:cs="Times New Roman"/>
        </w:rPr>
        <w:t xml:space="preserve"> compared to </w:t>
      </w:r>
      <w:r w:rsidR="00BF762E" w:rsidRPr="00842A01">
        <w:rPr>
          <w:rFonts w:ascii="Times New Roman" w:hAnsi="Times New Roman" w:cs="Times New Roman"/>
        </w:rPr>
        <w:t xml:space="preserve">controls and </w:t>
      </w:r>
      <w:r w:rsidR="00D1164E" w:rsidRPr="00842A01">
        <w:rPr>
          <w:rFonts w:ascii="Times New Roman" w:hAnsi="Times New Roman" w:cs="Times New Roman"/>
        </w:rPr>
        <w:t>amyloid-positive MCI</w:t>
      </w:r>
      <w:r w:rsidR="007A44E1" w:rsidRPr="00842A01">
        <w:rPr>
          <w:rFonts w:ascii="Times New Roman" w:hAnsi="Times New Roman" w:cs="Times New Roman"/>
        </w:rPr>
        <w:t xml:space="preserve"> group</w:t>
      </w:r>
      <w:r w:rsidR="00973A20" w:rsidRPr="00842A01">
        <w:rPr>
          <w:rFonts w:ascii="Times New Roman" w:hAnsi="Times New Roman" w:cs="Times New Roman"/>
        </w:rPr>
        <w:t>.</w:t>
      </w:r>
      <w:r w:rsidR="005D06E5" w:rsidRPr="00842A01">
        <w:rPr>
          <w:rFonts w:ascii="Times New Roman" w:hAnsi="Times New Roman" w:cs="Times New Roman"/>
        </w:rPr>
        <w:t xml:space="preserve"> </w:t>
      </w:r>
      <w:r w:rsidR="00D06057" w:rsidRPr="00842A01">
        <w:rPr>
          <w:rFonts w:ascii="Times New Roman" w:hAnsi="Times New Roman" w:cs="Times New Roman"/>
        </w:rPr>
        <w:t>Increased</w:t>
      </w:r>
      <w:r w:rsidR="005D06E5" w:rsidRPr="00842A01">
        <w:rPr>
          <w:rFonts w:ascii="Times New Roman" w:hAnsi="Times New Roman" w:cs="Times New Roman"/>
        </w:rPr>
        <w:t xml:space="preserve"> </w:t>
      </w:r>
      <w:r w:rsidR="00D06057" w:rsidRPr="00842A01">
        <w:rPr>
          <w:rFonts w:ascii="Times New Roman" w:hAnsi="Times New Roman" w:cs="Times New Roman"/>
        </w:rPr>
        <w:t>posterior ventrolateral and ventromedial nuclei</w:t>
      </w:r>
      <w:r w:rsidR="005D06E5" w:rsidRPr="00842A01">
        <w:rPr>
          <w:rFonts w:ascii="Times New Roman" w:hAnsi="Times New Roman" w:cs="Times New Roman"/>
        </w:rPr>
        <w:t xml:space="preserve"> </w:t>
      </w:r>
      <w:r w:rsidR="00D06057" w:rsidRPr="00842A01">
        <w:rPr>
          <w:rFonts w:ascii="Times New Roman" w:hAnsi="Times New Roman" w:cs="Times New Roman"/>
        </w:rPr>
        <w:t>asymmetry</w:t>
      </w:r>
      <w:r w:rsidR="00A4053C" w:rsidRPr="00842A01">
        <w:rPr>
          <w:rFonts w:ascii="Times New Roman" w:hAnsi="Times New Roman" w:cs="Times New Roman"/>
        </w:rPr>
        <w:t xml:space="preserve"> </w:t>
      </w:r>
      <w:r w:rsidR="005D06E5" w:rsidRPr="00842A01">
        <w:rPr>
          <w:rFonts w:ascii="Times New Roman" w:hAnsi="Times New Roman" w:cs="Times New Roman"/>
        </w:rPr>
        <w:t>were associated with</w:t>
      </w:r>
      <w:r w:rsidR="00F2351B" w:rsidRPr="00842A01">
        <w:rPr>
          <w:rFonts w:ascii="Times New Roman" w:hAnsi="Times New Roman" w:cs="Times New Roman"/>
        </w:rPr>
        <w:t xml:space="preserve"> worse cognitive dysfunction, informant-reported neuropsychiatric symptoms, and functional ability</w:t>
      </w:r>
      <w:r w:rsidR="00973A20" w:rsidRPr="00842A01">
        <w:rPr>
          <w:rFonts w:ascii="Times New Roman" w:hAnsi="Times New Roman" w:cs="Times New Roman"/>
        </w:rPr>
        <w:t>.</w:t>
      </w:r>
    </w:p>
    <w:p w14:paraId="59BEA841" w14:textId="7196AF9C" w:rsidR="004C49C0" w:rsidRPr="00842A01" w:rsidRDefault="00BF762E" w:rsidP="004C49C0">
      <w:pPr>
        <w:spacing w:line="480" w:lineRule="auto"/>
        <w:jc w:val="both"/>
        <w:rPr>
          <w:rFonts w:ascii="Times New Roman" w:hAnsi="Times New Roman" w:cs="Times New Roman"/>
        </w:rPr>
      </w:pPr>
      <w:r w:rsidRPr="00842A01">
        <w:rPr>
          <w:rFonts w:ascii="Times New Roman" w:hAnsi="Times New Roman" w:cs="Times New Roman"/>
          <w:b/>
        </w:rPr>
        <w:t>DISCUSSION</w:t>
      </w:r>
      <w:r w:rsidR="00B7314A" w:rsidRPr="00842A01">
        <w:rPr>
          <w:rFonts w:ascii="Times New Roman" w:hAnsi="Times New Roman" w:cs="Times New Roman"/>
          <w:b/>
        </w:rPr>
        <w:t xml:space="preserve">: </w:t>
      </w:r>
      <w:r w:rsidR="00137406" w:rsidRPr="00842A01">
        <w:rPr>
          <w:rFonts w:ascii="Times New Roman" w:hAnsi="Times New Roman" w:cs="Times New Roman"/>
        </w:rPr>
        <w:t>Left</w:t>
      </w:r>
      <w:r w:rsidR="00D06057" w:rsidRPr="00842A01">
        <w:rPr>
          <w:rFonts w:ascii="Times New Roman" w:hAnsi="Times New Roman" w:cs="Times New Roman"/>
        </w:rPr>
        <w:t>ward</w:t>
      </w:r>
      <w:r w:rsidR="00137406" w:rsidRPr="00842A01">
        <w:rPr>
          <w:rFonts w:ascii="Times New Roman" w:hAnsi="Times New Roman" w:cs="Times New Roman"/>
        </w:rPr>
        <w:t xml:space="preserve"> </w:t>
      </w:r>
      <w:r w:rsidR="004C49C0" w:rsidRPr="00842A01">
        <w:rPr>
          <w:rFonts w:ascii="Times New Roman" w:hAnsi="Times New Roman" w:cs="Times New Roman"/>
        </w:rPr>
        <w:t xml:space="preserve">ventral thalamic </w:t>
      </w:r>
      <w:r w:rsidR="00137406" w:rsidRPr="00842A01">
        <w:rPr>
          <w:rFonts w:ascii="Times New Roman" w:hAnsi="Times New Roman" w:cs="Times New Roman"/>
        </w:rPr>
        <w:t xml:space="preserve">atrophy </w:t>
      </w:r>
      <w:r w:rsidR="00FA2F22" w:rsidRPr="00842A01">
        <w:rPr>
          <w:rFonts w:ascii="Times New Roman" w:hAnsi="Times New Roman" w:cs="Times New Roman"/>
        </w:rPr>
        <w:t>was associated with disease severity in AD</w:t>
      </w:r>
      <w:r w:rsidR="004C49C0" w:rsidRPr="00842A01">
        <w:rPr>
          <w:rFonts w:ascii="Times New Roman" w:hAnsi="Times New Roman" w:cs="Times New Roman"/>
        </w:rPr>
        <w:t xml:space="preserve">. </w:t>
      </w:r>
      <w:r w:rsidR="00A4053C" w:rsidRPr="00842A01">
        <w:rPr>
          <w:rFonts w:ascii="Times New Roman" w:hAnsi="Times New Roman" w:cs="Times New Roman"/>
        </w:rPr>
        <w:t>Our f</w:t>
      </w:r>
      <w:r w:rsidR="004C49C0" w:rsidRPr="00842A01">
        <w:rPr>
          <w:rFonts w:ascii="Times New Roman" w:hAnsi="Times New Roman" w:cs="Times New Roman"/>
        </w:rPr>
        <w:t>indings suggest the clinically relevant involvement of thalam</w:t>
      </w:r>
      <w:r w:rsidR="00A4053C" w:rsidRPr="00842A01">
        <w:rPr>
          <w:rFonts w:ascii="Times New Roman" w:hAnsi="Times New Roman" w:cs="Times New Roman"/>
        </w:rPr>
        <w:t>ic nuclei</w:t>
      </w:r>
      <w:r w:rsidR="004C49C0" w:rsidRPr="00842A01">
        <w:rPr>
          <w:rFonts w:ascii="Times New Roman" w:hAnsi="Times New Roman" w:cs="Times New Roman"/>
        </w:rPr>
        <w:t xml:space="preserve"> in the pathophysiology of AD.</w:t>
      </w:r>
      <w:r w:rsidR="004C49C0" w:rsidRPr="00842A01">
        <w:rPr>
          <w:rFonts w:ascii="Times New Roman" w:hAnsi="Times New Roman" w:cs="Times New Roman"/>
          <w:b/>
        </w:rPr>
        <w:br w:type="page"/>
      </w:r>
    </w:p>
    <w:p w14:paraId="0249BBDB" w14:textId="77777777" w:rsidR="006E6D6B" w:rsidRPr="00842A01" w:rsidRDefault="00F0530F" w:rsidP="00F20201">
      <w:pPr>
        <w:pStyle w:val="ListParagraph"/>
        <w:numPr>
          <w:ilvl w:val="0"/>
          <w:numId w:val="20"/>
        </w:numPr>
        <w:spacing w:line="480" w:lineRule="auto"/>
        <w:rPr>
          <w:rFonts w:ascii="Times New Roman" w:hAnsi="Times New Roman" w:cs="Times New Roman"/>
          <w:b/>
        </w:rPr>
      </w:pPr>
      <w:r w:rsidRPr="00842A01">
        <w:rPr>
          <w:rFonts w:ascii="Times New Roman" w:hAnsi="Times New Roman" w:cs="Times New Roman"/>
          <w:b/>
        </w:rPr>
        <w:lastRenderedPageBreak/>
        <w:t>INTRODUCTION</w:t>
      </w:r>
      <w:r w:rsidR="0091697E" w:rsidRPr="00842A01">
        <w:rPr>
          <w:rFonts w:ascii="Times New Roman" w:hAnsi="Times New Roman" w:cs="Times New Roman"/>
          <w:color w:val="000000"/>
          <w:shd w:val="clear" w:color="auto" w:fill="FFFFFF"/>
        </w:rPr>
        <w:tab/>
      </w:r>
    </w:p>
    <w:p w14:paraId="340DDCD1" w14:textId="14CD1383" w:rsidR="0050140B" w:rsidRPr="00842A01" w:rsidRDefault="0057661C" w:rsidP="0049568D">
      <w:pPr>
        <w:spacing w:line="480" w:lineRule="auto"/>
        <w:jc w:val="both"/>
        <w:rPr>
          <w:rFonts w:ascii="Times New Roman" w:hAnsi="Times New Roman" w:cs="Times New Roman"/>
        </w:rPr>
      </w:pPr>
      <w:r w:rsidRPr="00842A01">
        <w:rPr>
          <w:rFonts w:ascii="Times New Roman" w:hAnsi="Times New Roman" w:cs="Times New Roman"/>
        </w:rPr>
        <w:t xml:space="preserve">Alzheimer’s disease (AD) is </w:t>
      </w:r>
      <w:r w:rsidR="006E6D6B" w:rsidRPr="00842A01">
        <w:rPr>
          <w:rFonts w:ascii="Times New Roman" w:hAnsi="Times New Roman" w:cs="Times New Roman"/>
        </w:rPr>
        <w:t>the most common neurodegenerative disease</w:t>
      </w:r>
      <w:r w:rsidR="005E0658" w:rsidRPr="00842A01">
        <w:rPr>
          <w:rFonts w:ascii="Times New Roman" w:hAnsi="Times New Roman" w:cs="Times New Roman"/>
        </w:rPr>
        <w:t xml:space="preserve"> worldwide</w:t>
      </w:r>
      <w:r w:rsidR="006E6D6B" w:rsidRPr="00842A01">
        <w:rPr>
          <w:rFonts w:ascii="Times New Roman" w:hAnsi="Times New Roman" w:cs="Times New Roman"/>
        </w:rPr>
        <w:t>, affecting</w:t>
      </w:r>
      <w:r w:rsidR="006E6D6B" w:rsidRPr="00842A01">
        <w:rPr>
          <w:rFonts w:ascii="Times New Roman" w:hAnsi="Times New Roman" w:cs="Times New Roman"/>
          <w:color w:val="000000"/>
          <w:shd w:val="clear" w:color="auto" w:fill="FFFFFF"/>
        </w:rPr>
        <w:t xml:space="preserve"> more </w:t>
      </w:r>
      <w:r w:rsidR="00F130AF" w:rsidRPr="00842A01">
        <w:rPr>
          <w:rFonts w:ascii="Times New Roman" w:hAnsi="Times New Roman" w:cs="Times New Roman"/>
          <w:color w:val="000000"/>
          <w:shd w:val="clear" w:color="auto" w:fill="FFFFFF"/>
        </w:rPr>
        <w:t xml:space="preserve">than 35 million people </w:t>
      </w:r>
      <w:r w:rsidR="00442A24" w:rsidRPr="00842A01">
        <w:rPr>
          <w:rFonts w:ascii="Times New Roman" w:hAnsi="Times New Roman" w:cs="Times New Roman"/>
          <w:color w:val="000000"/>
          <w:shd w:val="clear" w:color="auto" w:fill="FFFFFF"/>
        </w:rPr>
        <w:fldChar w:fldCharType="begin" w:fldLock="1"/>
      </w:r>
      <w:r w:rsidR="00C41E42" w:rsidRPr="00842A01">
        <w:rPr>
          <w:rFonts w:ascii="Times New Roman" w:hAnsi="Times New Roman" w:cs="Times New Roman"/>
          <w:color w:val="000000"/>
          <w:shd w:val="clear" w:color="auto" w:fill="FFFFFF"/>
        </w:rPr>
        <w:instrText>ADDIN CSL_CITATION {"citationItems":[{"id":"ITEM-1","itemData":{"DOI":"10.1103/PhysRevLett.78.4414","ISBN":"0034-0561","ISSN":"0031-9007","abstract":"OBJECTIVE: Genetic susceptibility, low birth weight (LBW), and aging are key\\netiological factors in the development of type 2 diabetes. LBW is common among\\ntwins. It is unknown whether twin status per se is associated with risk of type 2\\ndiabetes, and valid concordance rates of type 2 diabetes in twins on a lifetime\\nperspective are lacking. RESEARCH DESIGN AND METHODS: A clinical study was done\\non a population-based cohort of same-sex elderly monozygotic (MZ) and dizygotic\\n(DZ) twins (n = 297) and singleton control subjects (C) (n = 71) including\\nmeasures of anthropometry and glucose tolerance. In addition, type 2 diabetes\\nincidence cases in twins (n = 626) and singletons (n = 553) were identified\\nthrough the National Diabetes Register. RESULTS: Twins were more abdominally\\nobese, insulin resistant, and glucose intolerant, as evidenced by a higher A1C\\n(%) (means +/- SD) (MZ: 6.0 +/- 1.0, DZ: 5.8 +/- 0.7, C: 5.6 +/- 0.3, P = 0.004) \\nand 120-min post-oral glucose tolerance test plasma glucose levels (in mmol/l)\\n(MZ: 8.6 +/- 4.6, DZ: 8.4 +/- 3.9, C: 6.8 +/- 2.4, P = 0.003) compared with\\nsingletons. Importantly, twins had a higher prevalence of type 2 diabetes (MZ:\\n17.5% [95% CI 14.4-20.6], DZ: 15.7% [13.1-18.3], C: 5.6% [3.0-8.2], P = 0.03)\\ntogether with a 60% higher incidence rate of type 2 diabetes compared with\\nsingletons. Cumulative concordance rates of type 2 diabetes to the age of 84\\nyears were similar among elderly MZ (0.76 [0.68-0.84]) and DZ (0.71 [0.63-0.78]) \\ntwins. CONCLUSIONS: Twin status per se is associated with abdominal obesity,\\ninsulin resistance, and increased prevalence of type 2 diabetes in elderly twins.\\nThe data support a quantitatively significant impact of the fetal environment as \\nopposed to genetics on risk of type 2 diabetes.","author":[{"dropping-particle":"","family":"Patterson","given":"Christina","non-dropping-particle":"","parse-names":false,"suffix":""}],"id":"ITEM-1","issued":{"date-parts":[["2018"]]},"number-of-pages":"1-48","title":"World Alzheimer Report 2018 - The state of the art of dementia research: New frontiers","type":"report"},"uris":["http://www.mendeley.com/documents/?uuid=e80a4bb2-977c-4020-ad6f-742c9fd7383e"]}],"mendeley":{"formattedCitation":"[1]","plainTextFormattedCitation":"[1]","previouslyFormattedCitation":"[1]"},"properties":{"noteIndex":0},"schema":"https://github.com/citation-style-language/schema/raw/master/csl-citation.json"}</w:instrText>
      </w:r>
      <w:r w:rsidR="00442A24" w:rsidRPr="00842A01">
        <w:rPr>
          <w:rFonts w:ascii="Times New Roman" w:hAnsi="Times New Roman" w:cs="Times New Roman"/>
          <w:color w:val="000000"/>
          <w:shd w:val="clear" w:color="auto" w:fill="FFFFFF"/>
        </w:rPr>
        <w:fldChar w:fldCharType="separate"/>
      </w:r>
      <w:r w:rsidR="00F96C7B" w:rsidRPr="00842A01">
        <w:rPr>
          <w:rFonts w:ascii="Times New Roman" w:hAnsi="Times New Roman" w:cs="Times New Roman"/>
          <w:noProof/>
          <w:color w:val="000000"/>
          <w:shd w:val="clear" w:color="auto" w:fill="FFFFFF"/>
        </w:rPr>
        <w:t>[1]</w:t>
      </w:r>
      <w:r w:rsidR="00442A24" w:rsidRPr="00842A01">
        <w:rPr>
          <w:rFonts w:ascii="Times New Roman" w:hAnsi="Times New Roman" w:cs="Times New Roman"/>
          <w:color w:val="000000"/>
          <w:shd w:val="clear" w:color="auto" w:fill="FFFFFF"/>
        </w:rPr>
        <w:fldChar w:fldCharType="end"/>
      </w:r>
      <w:r w:rsidR="00F130AF" w:rsidRPr="00842A01">
        <w:rPr>
          <w:rFonts w:ascii="Times New Roman" w:hAnsi="Times New Roman" w:cs="Times New Roman"/>
          <w:color w:val="000000"/>
          <w:shd w:val="clear" w:color="auto" w:fill="FFFFFF"/>
        </w:rPr>
        <w:t xml:space="preserve">. </w:t>
      </w:r>
      <w:r w:rsidR="00A4053C" w:rsidRPr="00842A01">
        <w:rPr>
          <w:rFonts w:ascii="Times New Roman" w:hAnsi="Times New Roman" w:cs="Times New Roman"/>
          <w:color w:val="000000"/>
          <w:shd w:val="clear" w:color="auto" w:fill="FFFFFF"/>
        </w:rPr>
        <w:t>T</w:t>
      </w:r>
      <w:r w:rsidR="00407D72" w:rsidRPr="00842A01">
        <w:rPr>
          <w:rFonts w:ascii="Times New Roman" w:hAnsi="Times New Roman" w:cs="Times New Roman"/>
          <w:color w:val="000000"/>
          <w:shd w:val="clear" w:color="auto" w:fill="FFFFFF"/>
        </w:rPr>
        <w:t xml:space="preserve">he cerebral atrophy characteristic of AD </w:t>
      </w:r>
      <w:r w:rsidR="00342B0E" w:rsidRPr="00842A01">
        <w:rPr>
          <w:rFonts w:ascii="Times New Roman" w:hAnsi="Times New Roman" w:cs="Times New Roman"/>
          <w:color w:val="000000"/>
          <w:shd w:val="clear" w:color="auto" w:fill="FFFFFF"/>
        </w:rPr>
        <w:t>is</w:t>
      </w:r>
      <w:r w:rsidR="00407D72" w:rsidRPr="00842A01">
        <w:rPr>
          <w:rFonts w:ascii="Times New Roman" w:hAnsi="Times New Roman" w:cs="Times New Roman"/>
          <w:color w:val="000000"/>
          <w:shd w:val="clear" w:color="auto" w:fill="FFFFFF"/>
        </w:rPr>
        <w:t xml:space="preserve"> </w:t>
      </w:r>
      <w:r w:rsidR="00A4053C" w:rsidRPr="00842A01">
        <w:rPr>
          <w:rFonts w:ascii="Times New Roman" w:hAnsi="Times New Roman" w:cs="Times New Roman"/>
          <w:color w:val="000000"/>
          <w:shd w:val="clear" w:color="auto" w:fill="FFFFFF"/>
        </w:rPr>
        <w:t>bilateral, but may not</w:t>
      </w:r>
      <w:r w:rsidR="00407D72" w:rsidRPr="00842A01">
        <w:rPr>
          <w:rFonts w:ascii="Times New Roman" w:hAnsi="Times New Roman" w:cs="Times New Roman"/>
          <w:color w:val="000000"/>
          <w:shd w:val="clear" w:color="auto" w:fill="FFFFFF"/>
        </w:rPr>
        <w:t xml:space="preserve"> be symmetrical across hemispheres. </w:t>
      </w:r>
      <w:r w:rsidR="00A4053C" w:rsidRPr="00842A01">
        <w:rPr>
          <w:rFonts w:ascii="Times New Roman" w:hAnsi="Times New Roman" w:cs="Times New Roman"/>
          <w:color w:val="000000"/>
          <w:shd w:val="clear" w:color="auto" w:fill="FFFFFF"/>
        </w:rPr>
        <w:t>W</w:t>
      </w:r>
      <w:r w:rsidR="00407D72" w:rsidRPr="00842A01">
        <w:rPr>
          <w:rFonts w:ascii="Times New Roman" w:hAnsi="Times New Roman" w:cs="Times New Roman"/>
          <w:color w:val="000000"/>
          <w:shd w:val="clear" w:color="auto" w:fill="FFFFFF"/>
        </w:rPr>
        <w:t xml:space="preserve">ith the advent of </w:t>
      </w:r>
      <w:r w:rsidR="00407D72" w:rsidRPr="00842A01">
        <w:rPr>
          <w:rFonts w:ascii="Times New Roman" w:eastAsia="Calibri" w:hAnsi="Times New Roman" w:cs="Times New Roman"/>
          <w:lang w:val="en-GB"/>
        </w:rPr>
        <w:t xml:space="preserve">high resolution magnetic resonance imaging (MRI), detailed brain atlases, probabilistic models of neuroanatomy, and advanced </w:t>
      </w:r>
      <w:r w:rsidR="00D1164E" w:rsidRPr="00842A01">
        <w:rPr>
          <w:rFonts w:ascii="Times New Roman" w:eastAsia="Calibri" w:hAnsi="Times New Roman" w:cs="Times New Roman"/>
          <w:lang w:val="en-GB"/>
        </w:rPr>
        <w:t>neuro</w:t>
      </w:r>
      <w:r w:rsidR="00407D72" w:rsidRPr="00842A01">
        <w:rPr>
          <w:rFonts w:ascii="Times New Roman" w:eastAsia="Calibri" w:hAnsi="Times New Roman" w:cs="Times New Roman"/>
          <w:lang w:val="en-GB"/>
        </w:rPr>
        <w:t xml:space="preserve">imaging segmentation tools, there is a growing body of </w:t>
      </w:r>
      <w:r w:rsidR="00A4053C" w:rsidRPr="00842A01">
        <w:rPr>
          <w:rFonts w:ascii="Times New Roman" w:eastAsia="Calibri" w:hAnsi="Times New Roman" w:cs="Times New Roman"/>
          <w:lang w:val="en-GB"/>
        </w:rPr>
        <w:t>evidence</w:t>
      </w:r>
      <w:r w:rsidR="00407D72" w:rsidRPr="00842A01">
        <w:rPr>
          <w:rFonts w:ascii="Times New Roman" w:eastAsia="Calibri" w:hAnsi="Times New Roman" w:cs="Times New Roman"/>
          <w:lang w:val="en-GB"/>
        </w:rPr>
        <w:t xml:space="preserve"> that AD </w:t>
      </w:r>
      <w:r w:rsidR="00A4053C" w:rsidRPr="00842A01">
        <w:rPr>
          <w:rFonts w:ascii="Times New Roman" w:eastAsia="Calibri" w:hAnsi="Times New Roman" w:cs="Times New Roman"/>
          <w:lang w:val="en-GB"/>
        </w:rPr>
        <w:t>is</w:t>
      </w:r>
      <w:r w:rsidR="00407D72" w:rsidRPr="00842A01">
        <w:rPr>
          <w:rFonts w:ascii="Times New Roman" w:eastAsia="Calibri" w:hAnsi="Times New Roman" w:cs="Times New Roman"/>
          <w:lang w:val="en-GB"/>
        </w:rPr>
        <w:t xml:space="preserve"> asymmetrical</w:t>
      </w:r>
      <w:r w:rsidR="009A310F" w:rsidRPr="00842A01">
        <w:rPr>
          <w:rFonts w:ascii="Times New Roman" w:eastAsia="Calibri" w:hAnsi="Times New Roman" w:cs="Times New Roman"/>
          <w:lang w:val="en-GB"/>
        </w:rPr>
        <w:t xml:space="preserve"> </w:t>
      </w:r>
      <w:r w:rsidR="000F5BEC" w:rsidRPr="00842A01">
        <w:rPr>
          <w:rFonts w:ascii="Times New Roman" w:eastAsia="Calibri" w:hAnsi="Times New Roman" w:cs="Times New Roman"/>
          <w:lang w:val="en-GB"/>
        </w:rPr>
        <w:fldChar w:fldCharType="begin" w:fldLock="1"/>
      </w:r>
      <w:r w:rsidR="003C1EAF" w:rsidRPr="00842A01">
        <w:rPr>
          <w:rFonts w:ascii="Times New Roman" w:eastAsia="Calibri" w:hAnsi="Times New Roman" w:cs="Times New Roman"/>
          <w:lang w:val="en-GB"/>
        </w:rPr>
        <w:instrText>ADDIN CSL_CITATION {"citationItems":[{"id":"ITEM-1","itemData":{"DOI":"10.1016/j.neurobiolaging.2011.06.026","ISSN":"1558-1497 (Electronic)","PMID":"21907459","abstract":"There are functional and structural neocortical hemispheric asymmetries in people with normal cognition. These asymmetries may be altered in patients with Alzheimer's disease (AD) because there is a loss of neuronal connectivity in the heteromodal cortex. The purpose of this study is to test the hypothesis that individuals with amnestic mild cognitive impairment (aMCI), mild AD, and moderate to severe AD have progressive reductions in thickness asymmetries of the heteromodal neocortex. Right-handed elderly volunteers including normal cognition (NC), aMCI, and AD underwent 3-D volume imaging for cortical thickness. Although the cortical asymmetry pattern observed in normal cognition brains was generally maintained in aMCI and AD, there was a progressive decrease in the degree of asymmetry, especially in the inferior parietal lobule. A reduction of neocortical asymmetries may be a characteristic sign that occurs in patients with AD. Future studies are needed to evaluate whether this loss is specific to AD and if measurements of asymmetry can be used as diagnostic markers and for monitoring disease progression.","author":[{"dropping-particle":"","family":"Kim","given":"Jong Hun","non-dropping-particle":"","parse-names":false,"suffix":""},{"dropping-particle":"","family":"Lee","given":"Jong Weon","non-dropping-particle":"","parse-names":false,"suffix":""},{"dropping-particle":"","family":"Kim","given":"Geon Ha","non-dropping-particle":"","parse-names":false,"suffix":""},{"dropping-particle":"","family":"Roh","given":"Jee Hoon","non-dropping-particle":"","parse-names":false,"suffix":""},{"dropping-particle":"","family":"Kim","given":"Min-Jeong","non-dropping-particle":"","parse-names":false,"suffix":""},{"dropping-particle":"","family":"Seo","given":"Sang Won","non-dropping-particle":"","parse-names":false,"suffix":""},{"dropping-particle":"","family":"Kim","given":"Sung Tae","non-dropping-particle":"","parse-names":false,"suffix":""},{"dropping-particle":"","family":"Jeon","given":"Seun","non-dropping-particle":"","parse-names":false,"suffix":""},{"dropping-particle":"","family":"Lee","given":"Jong-Min","non-dropping-particle":"","parse-names":false,"suffix":""},{"dropping-particle":"","family":"Heilman","given":"Kenneth M","non-dropping-particle":"","parse-names":false,"suffix":""},{"dropping-particle":"","family":"Na","given":"Duk L","non-dropping-particle":"","parse-names":false,"suffix":""}],"container-title":"Neurobiology of aging","id":"ITEM-1","issue":"9","issued":{"date-parts":[["2012","9"]]},"language":"eng","page":"1959-1966","publisher-place":"United States","title":"Cortical asymmetries in normal, mild cognitive impairment, and Alzheimer's disease.","type":"article-journal","volume":"33"},"uris":["http://www.mendeley.com/documents/?uuid=b753eb27-ca7f-42b3-8840-09555b8e693d"]},{"id":"ITEM-2","itemData":{"DOI":"10.1002/hbm.22157","ISSN":"1097-0193 (Electronic)","PMID":"22927141","abstract":"Laterality of human brain varies under healthy aging and diseased conditions. The alterations in hemispheric asymmetry may embed distinct biomarkers linked to the disease dynamics. Statistical parametric mapping based on high-resolution magnetic resonance imaging (MRI) and image processing techniques have allowed automated characterization of morphological features across the entire brain. In this study, 149 subjects grouped in healthy young, healthy elderly, mild cognitive impairment (MCI), and Alzheimer's disease (AD) were investigated using multivariate analysis for regional cerebral laterality indexed by surface area, curvature index, cortical thickness, and subjacent white matter volume measured on high-resolution MR images. Asymmetry alteration of MCI and AD were characterized by marked region-specific reduction, while healthy elderly featured a distinct laterality shift in the limbic system in addition to regional asymmetry loss. Lack of the laterality shift in limbic system and early loss of asymmetry in entorhinal cortex may be biomarkers to identify preclinical AD among other dementia. Multivariate analysis of hemispheric asymmetry may provide information helpful for monitoring the disease progress and improving the management of MCI and AD.","author":[{"dropping-particle":"","family":"Long","given":"Xiaojing","non-dropping-particle":"","parse-names":false,"suffix":""},{"dropping-particle":"","family":"Zhang","given":"Lijuan","non-dropping-particle":"","parse-names":false,"suffix":""},{"dropping-particle":"","family":"Liao","given":"Weiqi","non-dropping-particle":"","parse-names":false,"suffix":""},{"dropping-particle":"","family":"Jiang","given":"Chunxiang","non-dropping-particle":"","parse-names":false,"suffix":""},{"dropping-particle":"","family":"Qiu","given":"Bensheng","non-dropping-particle":"","parse-names":false,"suffix":""},{"dropping-particle":"","family":"Alzheimer's Disease Neuroimaging Initiative","given":"","non-dropping-particle":"","parse-names":false,"suffix":""}],"container-title":"Human brain mapping","id":"ITEM-2","issue":"12","issued":{"date-parts":[["2013","12"]]},"language":"eng","page":"3400-3410","publisher-place":"United States","title":"Distinct laterality alterations distinguish mild cognitive impairment and Alzheimer's disease from healthy aging: statistical parametric mapping with high resolution MRI.","type":"article-journal","volume":"34"},"uris":["http://www.mendeley.com/documents/?uuid=2c2135c2-d36c-4d02-baf7-1dbc71f55b2d"]},{"id":"ITEM-3","itemData":{"DOI":"10.3233/JAD-2011-110041","ISBN":"2011110041","ISSN":"18758908","PMID":"21422522","abstract":"In Alzheimer's disease (AD), brain atrophy has been proposed to be left lateralized. Here, we reinvestigated the asymmetry and lateralization (i.e., asymmetry directed toward one hemisphere) of grey-matter (GM) distribution in 35 patients with AD, 24 patients with amnestic mild cognitive impairment (aMCI, a state of increased risk for AD), and 30 age-matched healthy controls (HC). We analyzed GM distribution by applying voxel-based morphometry (VBM) including analyses for asymmetry and lateralization. When comparing MCI with AD patients, VBM revealed GM loss in the entorhinal, temporoparietal, dorsofrontal, and occipital cortices as well as in the precuneus; when comparing HCs with MCI patients, we found similar differences, which were less pronounced especially within the temporoparietal cortex and precuneus. Analyses of regional asymmetry and regional lateralization as well as global lateralization did not yield significant results. However, lobar asymmetry of the temporal, parietal, and occipital lobes increased from HC to AD. Moreover, in aMCI and AD patients, performance of language-based neuropsychological tests correlated with lateralization of GM loss to the left hemisphere. We conclude that, in principle, brain atrophy in AD is asymmetric rather than lateralized. At the individual level however, asymmetry contributes to cognitive deficits.","author":[{"dropping-particle":"","family":"Derflinger","given":"Sabine","non-dropping-particle":"","parse-names":false,"suffix":""},{"dropping-particle":"","family":"Sorg","given":"Christian","non-dropping-particle":"","parse-names":false,"suffix":""},{"dropping-particle":"","family":"Gaser","given":"Christian","non-dropping-particle":"","parse-names":false,"suffix":""},{"dropping-particle":"","family":"Myers","given":"Nicholas","non-dropping-particle":"","parse-names":false,"suffix":""},{"dropping-particle":"","family":"Arsic","given":"Milan","non-dropping-particle":"","parse-names":false,"suffix":""},{"dropping-particle":"","family":"Kurz","given":"Alexander","non-dropping-particle":"","parse-names":false,"suffix":""},{"dropping-particle":"","family":"Zimmer","given":"Claus","non-dropping-particle":"","parse-names":false,"suffix":""},{"dropping-particle":"","family":"Wohlschläger","given":"Afra","non-dropping-particle":"","parse-names":false,"suffix":""},{"dropping-particle":"","family":"Mühlau","given":"Mark","non-dropping-particle":"","parse-names":false,"suffix":""}],"container-title":"Journal of Alzheimer's Disease","id":"ITEM-3","issue":"2","issued":{"date-parts":[["2011"]]},"page":"347-357","publisher":"IOS Press","title":"Grey-matter atrophy in Alzheimer's disease is asymmetric but not lateralized","type":"article-journal","volume":"25"},"uris":["http://www.mendeley.com/documents/?uuid=7f09dd68-b5a3-4030-8fbe-e84e141e07a8"]},{"id":"ITEM-4","itemData":{"DOI":"10.1093/brain/aww243","ISSN":"1460-2156","abstract":"Structural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Initiative","given":"","non-dropping-particle":"","parse-names":false,"suffix":""}],"container-title":"Brain","edition":"2016/10/10","id":"ITEM-4","issue":"Pt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mendeley":{"formattedCitation":"[2–5]","plainTextFormattedCitation":"[2–5]","previouslyFormattedCitation":"[2–5]"},"properties":{"noteIndex":0},"schema":"https://github.com/citation-style-language/schema/raw/master/csl-citation.json"}</w:instrText>
      </w:r>
      <w:r w:rsidR="000F5BEC" w:rsidRPr="00842A01">
        <w:rPr>
          <w:rFonts w:ascii="Times New Roman" w:eastAsia="Calibri" w:hAnsi="Times New Roman" w:cs="Times New Roman"/>
          <w:lang w:val="en-GB"/>
        </w:rPr>
        <w:fldChar w:fldCharType="separate"/>
      </w:r>
      <w:r w:rsidR="000F5BEC" w:rsidRPr="00842A01">
        <w:rPr>
          <w:rFonts w:ascii="Times New Roman" w:eastAsia="Calibri" w:hAnsi="Times New Roman" w:cs="Times New Roman"/>
          <w:noProof/>
          <w:lang w:val="en-GB"/>
        </w:rPr>
        <w:t>[2–5]</w:t>
      </w:r>
      <w:r w:rsidR="000F5BEC" w:rsidRPr="00842A01">
        <w:rPr>
          <w:rFonts w:ascii="Times New Roman" w:eastAsia="Calibri" w:hAnsi="Times New Roman" w:cs="Times New Roman"/>
          <w:lang w:val="en-GB"/>
        </w:rPr>
        <w:fldChar w:fldCharType="end"/>
      </w:r>
      <w:r w:rsidR="00D1164E" w:rsidRPr="00842A01">
        <w:rPr>
          <w:rFonts w:ascii="Times New Roman" w:eastAsia="Calibri" w:hAnsi="Times New Roman" w:cs="Times New Roman"/>
          <w:lang w:val="en-GB"/>
        </w:rPr>
        <w:t>. This has been supported by studies which have found that</w:t>
      </w:r>
      <w:r w:rsidR="00407D72" w:rsidRPr="00842A01">
        <w:rPr>
          <w:rFonts w:ascii="Times New Roman" w:eastAsia="Calibri" w:hAnsi="Times New Roman" w:cs="Times New Roman"/>
          <w:lang w:val="en-GB"/>
        </w:rPr>
        <w:t xml:space="preserve"> </w:t>
      </w:r>
      <w:r w:rsidR="00930E09" w:rsidRPr="00842A01">
        <w:rPr>
          <w:rFonts w:ascii="Times New Roman" w:hAnsi="Times New Roman" w:cs="Times New Roman"/>
        </w:rPr>
        <w:t xml:space="preserve">AD </w:t>
      </w:r>
      <w:r w:rsidR="00D1164E" w:rsidRPr="00842A01">
        <w:rPr>
          <w:rFonts w:ascii="Times New Roman" w:hAnsi="Times New Roman" w:cs="Times New Roman"/>
        </w:rPr>
        <w:t>is</w:t>
      </w:r>
      <w:r w:rsidR="00930E09" w:rsidRPr="00842A01">
        <w:rPr>
          <w:rFonts w:ascii="Times New Roman" w:hAnsi="Times New Roman" w:cs="Times New Roman"/>
        </w:rPr>
        <w:t xml:space="preserve"> associated with asymmetrical </w:t>
      </w:r>
      <w:r w:rsidR="00F44EB4" w:rsidRPr="00842A01">
        <w:rPr>
          <w:rFonts w:ascii="Times New Roman" w:hAnsi="Times New Roman" w:cs="Times New Roman"/>
        </w:rPr>
        <w:t xml:space="preserve">cortical thinning </w:t>
      </w:r>
      <w:r w:rsidR="00F44EB4" w:rsidRPr="00842A01">
        <w:rPr>
          <w:rFonts w:ascii="Times New Roman" w:hAnsi="Times New Roman" w:cs="Times New Roman"/>
        </w:rPr>
        <w:fldChar w:fldCharType="begin" w:fldLock="1"/>
      </w:r>
      <w:r w:rsidR="00C41E42" w:rsidRPr="00842A01">
        <w:rPr>
          <w:rFonts w:ascii="Times New Roman" w:hAnsi="Times New Roman" w:cs="Times New Roman"/>
        </w:rPr>
        <w:instrText>ADDIN CSL_CITATION {"citationItems":[{"id":"ITEM-1","itemData":{"DOI":"10.1016/j.neurobiolaging.2011.06.026","ISSN":"1558-1497 (Electronic)","PMID":"21907459","abstract":"There are functional and structural neocortical hemispheric asymmetries in people with normal cognition. These asymmetries may be altered in patients with Alzheimer's disease (AD) because there is a loss of neuronal connectivity in the heteromodal cortex. The purpose of this study is to test the hypothesis that individuals with amnestic mild cognitive impairment (aMCI), mild AD, and moderate to severe AD have progressive reductions in thickness asymmetries of the heteromodal neocortex. Right-handed elderly volunteers including normal cognition (NC), aMCI, and AD underwent 3-D volume imaging for cortical thickness. Although the cortical asymmetry pattern observed in normal cognition brains was generally maintained in aMCI and AD, there was a progressive decrease in the degree of asymmetry, especially in the inferior parietal lobule. A reduction of neocortical asymmetries may be a characteristic sign that occurs in patients with AD. Future studies are needed to evaluate whether this loss is specific to AD and if measurements of asymmetry can be used as diagnostic markers and for monitoring disease progression.","author":[{"dropping-particle":"","family":"Kim","given":"Jong Hun","non-dropping-particle":"","parse-names":false,"suffix":""},{"dropping-particle":"","family":"Lee","given":"Jong Weon","non-dropping-particle":"","parse-names":false,"suffix":""},{"dropping-particle":"","family":"Kim","given":"Geon Ha","non-dropping-particle":"","parse-names":false,"suffix":""},{"dropping-particle":"","family":"Roh","given":"Jee Hoon","non-dropping-particle":"","parse-names":false,"suffix":""},{"dropping-particle":"","family":"Kim","given":"Min-Jeong","non-dropping-particle":"","parse-names":false,"suffix":""},{"dropping-particle":"","family":"Seo","given":"Sang Won","non-dropping-particle":"","parse-names":false,"suffix":""},{"dropping-particle":"","family":"Kim","given":"Sung Tae","non-dropping-particle":"","parse-names":false,"suffix":""},{"dropping-particle":"","family":"Jeon","given":"Seun","non-dropping-particle":"","parse-names":false,"suffix":""},{"dropping-particle":"","family":"Lee","given":"Jong-Min","non-dropping-particle":"","parse-names":false,"suffix":""},{"dropping-particle":"","family":"Heilman","given":"Kenneth M","non-dropping-particle":"","parse-names":false,"suffix":""},{"dropping-particle":"","family":"Na","given":"Duk L","non-dropping-particle":"","parse-names":false,"suffix":""}],"container-title":"Neurobiology of aging","id":"ITEM-1","issue":"9","issued":{"date-parts":[["2012","9"]]},"language":"eng","page":"1959-1966","publisher-place":"United States","title":"Cortical asymmetries in normal, mild cognitive impairment, and Alzheimer's disease.","type":"article-journal","volume":"33"},"uris":["http://www.mendeley.com/documents/?uuid=b753eb27-ca7f-42b3-8840-09555b8e693d"]}],"mendeley":{"formattedCitation":"[2]","plainTextFormattedCitation":"[2]","previouslyFormattedCitation":"[2]"},"properties":{"noteIndex":0},"schema":"https://github.com/citation-style-language/schema/raw/master/csl-citation.json"}</w:instrText>
      </w:r>
      <w:r w:rsidR="00F44EB4" w:rsidRPr="00842A01">
        <w:rPr>
          <w:rFonts w:ascii="Times New Roman" w:hAnsi="Times New Roman" w:cs="Times New Roman"/>
        </w:rPr>
        <w:fldChar w:fldCharType="separate"/>
      </w:r>
      <w:r w:rsidR="00F96C7B" w:rsidRPr="00842A01">
        <w:rPr>
          <w:rFonts w:ascii="Times New Roman" w:hAnsi="Times New Roman" w:cs="Times New Roman"/>
          <w:noProof/>
        </w:rPr>
        <w:t>[2]</w:t>
      </w:r>
      <w:r w:rsidR="00F44EB4" w:rsidRPr="00842A01">
        <w:rPr>
          <w:rFonts w:ascii="Times New Roman" w:hAnsi="Times New Roman" w:cs="Times New Roman"/>
        </w:rPr>
        <w:fldChar w:fldCharType="end"/>
      </w:r>
      <w:r w:rsidR="00F44EB4" w:rsidRPr="00842A01">
        <w:rPr>
          <w:rFonts w:ascii="Times New Roman" w:hAnsi="Times New Roman" w:cs="Times New Roman"/>
        </w:rPr>
        <w:t xml:space="preserve">, cortical surface area </w:t>
      </w:r>
      <w:r w:rsidR="00F44EB4" w:rsidRPr="00842A01">
        <w:rPr>
          <w:rFonts w:ascii="Times New Roman" w:hAnsi="Times New Roman" w:cs="Times New Roman"/>
        </w:rPr>
        <w:fldChar w:fldCharType="begin" w:fldLock="1"/>
      </w:r>
      <w:r w:rsidR="0018331A" w:rsidRPr="00842A01">
        <w:rPr>
          <w:rFonts w:ascii="Times New Roman" w:hAnsi="Times New Roman" w:cs="Times New Roman"/>
        </w:rPr>
        <w:instrText>ADDIN CSL_CITATION {"citationItems":[{"id":"ITEM-1","itemData":{"DOI":"10.1002/hbm.22157","ISSN":"1097-0193 (Electronic)","PMID":"22927141","abstract":"Laterality of human brain varies under healthy aging and diseased conditions. The alterations in hemispheric asymmetry may embed distinct biomarkers linked to the disease dynamics. Statistical parametric mapping based on high-resolution magnetic resonance imaging (MRI) and image processing techniques have allowed automated characterization of morphological features across the entire brain. In this study, 149 subjects grouped in healthy young, healthy elderly, mild cognitive impairment (MCI), and Alzheimer's disease (AD) were investigated using multivariate analysis for regional cerebral laterality indexed by surface area, curvature index, cortical thickness, and subjacent white matter volume measured on high-resolution MR images. Asymmetry alteration of MCI and AD were characterized by marked region-specific reduction, while healthy elderly featured a distinct laterality shift in the limbic system in addition to regional asymmetry loss. Lack of the laterality shift in limbic system and early loss of asymmetry in entorhinal cortex may be biomarkers to identify preclinical AD among other dementia. Multivariate analysis of hemispheric asymmetry may provide information helpful for monitoring the disease progress and improving the management of MCI and AD.","author":[{"dropping-particle":"","family":"Long","given":"Xiaojing","non-dropping-particle":"","parse-names":false,"suffix":""},{"dropping-particle":"","family":"Zhang","given":"Lijuan","non-dropping-particle":"","parse-names":false,"suffix":""},{"dropping-particle":"","family":"Liao","given":"Weiqi","non-dropping-particle":"","parse-names":false,"suffix":""},{"dropping-particle":"","family":"Jiang","given":"Chunxiang","non-dropping-particle":"","parse-names":false,"suffix":""},{"dropping-particle":"","family":"Qiu","given":"Bensheng","non-dropping-particle":"","parse-names":false,"suffix":""},{"dropping-particle":"","family":"Alzheimer's Disease Neuroimaging Initiative","given":"","non-dropping-particle":"","parse-names":false,"suffix":""}],"container-title":"Human brain mapping","id":"ITEM-1","issue":"12","issued":{"date-parts":[["2013","12"]]},"language":"eng","page":"3400-3410","publisher-place":"United States","title":"Distinct laterality alterations distinguish mild cognitive impairment and Alzheimer's disease from healthy aging: statistical parametric mapping with high resolution MRI.","type":"article-journal","volume":"34"},"uris":["http://www.mendeley.com/documents/?uuid=2c2135c2-d36c-4d02-baf7-1dbc71f55b2d"]}],"mendeley":{"formattedCitation":"[3]","plainTextFormattedCitation":"[3]","previouslyFormattedCitation":"[3]"},"properties":{"noteIndex":0},"schema":"https://github.com/citation-style-language/schema/raw/master/csl-citation.json"}</w:instrText>
      </w:r>
      <w:r w:rsidR="00F44EB4" w:rsidRPr="00842A01">
        <w:rPr>
          <w:rFonts w:ascii="Times New Roman" w:hAnsi="Times New Roman" w:cs="Times New Roman"/>
        </w:rPr>
        <w:fldChar w:fldCharType="separate"/>
      </w:r>
      <w:r w:rsidR="0018331A" w:rsidRPr="00842A01">
        <w:rPr>
          <w:rFonts w:ascii="Times New Roman" w:hAnsi="Times New Roman" w:cs="Times New Roman"/>
          <w:noProof/>
        </w:rPr>
        <w:t>[3]</w:t>
      </w:r>
      <w:r w:rsidR="00F44EB4" w:rsidRPr="00842A01">
        <w:rPr>
          <w:rFonts w:ascii="Times New Roman" w:hAnsi="Times New Roman" w:cs="Times New Roman"/>
        </w:rPr>
        <w:fldChar w:fldCharType="end"/>
      </w:r>
      <w:r w:rsidR="00F44EB4" w:rsidRPr="00842A01">
        <w:rPr>
          <w:rFonts w:ascii="Times New Roman" w:hAnsi="Times New Roman" w:cs="Times New Roman"/>
        </w:rPr>
        <w:t>, and global cerebral atrophy</w:t>
      </w:r>
      <w:r w:rsidR="00930E09" w:rsidRPr="00842A01">
        <w:rPr>
          <w:rFonts w:ascii="Times New Roman" w:hAnsi="Times New Roman" w:cs="Times New Roman"/>
        </w:rPr>
        <w:t xml:space="preserve"> </w:t>
      </w:r>
      <w:r w:rsidR="00930E09" w:rsidRPr="00842A01">
        <w:rPr>
          <w:rFonts w:ascii="Times New Roman" w:hAnsi="Times New Roman" w:cs="Times New Roman"/>
        </w:rPr>
        <w:fldChar w:fldCharType="begin" w:fldLock="1"/>
      </w:r>
      <w:r w:rsidR="0018331A" w:rsidRPr="00842A01">
        <w:rPr>
          <w:rFonts w:ascii="Times New Roman" w:hAnsi="Times New Roman" w:cs="Times New Roman"/>
        </w:rPr>
        <w:instrText>ADDIN CSL_CITATION {"citationItems":[{"id":"ITEM-1","itemData":{"DOI":"10.3233/JAD-2011-110041","ISBN":"2011110041","ISSN":"18758908","PMID":"21422522","abstract":"In Alzheimer's disease (AD), brain atrophy has been proposed to be left lateralized. Here, we reinvestigated the asymmetry and lateralization (i.e., asymmetry directed toward one hemisphere) of grey-matter (GM) distribution in 35 patients with AD, 24 patients with amnestic mild cognitive impairment (aMCI, a state of increased risk for AD), and 30 age-matched healthy controls (HC). We analyzed GM distribution by applying voxel-based morphometry (VBM) including analyses for asymmetry and lateralization. When comparing MCI with AD patients, VBM revealed GM loss in the entorhinal, temporoparietal, dorsofrontal, and occipital cortices as well as in the precuneus; when comparing HCs with MCI patients, we found similar differences, which were less pronounced especially within the temporoparietal cortex and precuneus. Analyses of regional asymmetry and regional lateralization as well as global lateralization did not yield significant results. However, lobar asymmetry of the temporal, parietal, and occipital lobes increased from HC to AD. Moreover, in aMCI and AD patients, performance of language-based neuropsychological tests correlated with lateralization of GM loss to the left hemisphere. We conclude that, in principle, brain atrophy in AD is asymmetric rather than lateralized. At the individual level however, asymmetry contributes to cognitive deficits.","author":[{"dropping-particle":"","family":"Derflinger","given":"Sabine","non-dropping-particle":"","parse-names":false,"suffix":""},{"dropping-particle":"","family":"Sorg","given":"Christian","non-dropping-particle":"","parse-names":false,"suffix":""},{"dropping-particle":"","family":"Gaser","given":"Christian","non-dropping-particle":"","parse-names":false,"suffix":""},{"dropping-particle":"","family":"Myers","given":"Nicholas","non-dropping-particle":"","parse-names":false,"suffix":""},{"dropping-particle":"","family":"Arsic","given":"Milan","non-dropping-particle":"","parse-names":false,"suffix":""},{"dropping-particle":"","family":"Kurz","given":"Alexander","non-dropping-particle":"","parse-names":false,"suffix":""},{"dropping-particle":"","family":"Zimmer","given":"Claus","non-dropping-particle":"","parse-names":false,"suffix":""},{"dropping-particle":"","family":"Wohlschläger","given":"Afra","non-dropping-particle":"","parse-names":false,"suffix":""},{"dropping-particle":"","family":"Mühlau","given":"Mark","non-dropping-particle":"","parse-names":false,"suffix":""}],"container-title":"Journal of Alzheimer's Disease","id":"ITEM-1","issue":"2","issued":{"date-parts":[["2011"]]},"page":"347-357","publisher":"IOS Press","title":"Grey-matter atrophy in Alzheimer's disease is asymmetric but not lateralized","type":"article-journal","volume":"25"},"uris":["http://www.mendeley.com/documents/?uuid=7f09dd68-b5a3-4030-8fbe-e84e141e07a8"]}],"mendeley":{"formattedCitation":"[4]","plainTextFormattedCitation":"[4]","previouslyFormattedCitation":"[4]"},"properties":{"noteIndex":0},"schema":"https://github.com/citation-style-language/schema/raw/master/csl-citation.json"}</w:instrText>
      </w:r>
      <w:r w:rsidR="00930E09" w:rsidRPr="00842A01">
        <w:rPr>
          <w:rFonts w:ascii="Times New Roman" w:hAnsi="Times New Roman" w:cs="Times New Roman"/>
        </w:rPr>
        <w:fldChar w:fldCharType="separate"/>
      </w:r>
      <w:r w:rsidR="0018331A" w:rsidRPr="00842A01">
        <w:rPr>
          <w:rFonts w:ascii="Times New Roman" w:hAnsi="Times New Roman" w:cs="Times New Roman"/>
          <w:noProof/>
        </w:rPr>
        <w:t>[4]</w:t>
      </w:r>
      <w:r w:rsidR="00930E09" w:rsidRPr="00842A01">
        <w:rPr>
          <w:rFonts w:ascii="Times New Roman" w:hAnsi="Times New Roman" w:cs="Times New Roman"/>
        </w:rPr>
        <w:fldChar w:fldCharType="end"/>
      </w:r>
      <w:r w:rsidR="0050140B" w:rsidRPr="00842A01">
        <w:rPr>
          <w:rFonts w:ascii="Times New Roman" w:hAnsi="Times New Roman" w:cs="Times New Roman"/>
        </w:rPr>
        <w:t xml:space="preserve"> across hemispheres</w:t>
      </w:r>
      <w:r w:rsidR="00F44EB4" w:rsidRPr="00842A01">
        <w:rPr>
          <w:rFonts w:ascii="Times New Roman" w:hAnsi="Times New Roman" w:cs="Times New Roman"/>
        </w:rPr>
        <w:t>.</w:t>
      </w:r>
      <w:r w:rsidR="00460EC2" w:rsidRPr="00842A01">
        <w:rPr>
          <w:rFonts w:ascii="Times New Roman" w:hAnsi="Times New Roman" w:cs="Times New Roman"/>
        </w:rPr>
        <w:t xml:space="preserve"> </w:t>
      </w:r>
    </w:p>
    <w:p w14:paraId="37AF8A15" w14:textId="209996F9" w:rsidR="0050140B" w:rsidRPr="00842A01" w:rsidRDefault="0050140B" w:rsidP="0050140B">
      <w:pPr>
        <w:spacing w:line="480" w:lineRule="auto"/>
        <w:ind w:firstLine="720"/>
        <w:jc w:val="both"/>
        <w:rPr>
          <w:rFonts w:ascii="Times New Roman" w:hAnsi="Times New Roman" w:cs="Times New Roman"/>
        </w:rPr>
      </w:pPr>
      <w:r w:rsidRPr="00842A01">
        <w:rPr>
          <w:rFonts w:ascii="Times New Roman" w:hAnsi="Times New Roman" w:cs="Times New Roman"/>
        </w:rPr>
        <w:t xml:space="preserve">The degree of cerebral asymmetry in AD has been associated with poorer cognitive outcomes </w:t>
      </w:r>
      <w:r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{"citationItems":[{"id":"ITEM-1","itemData":{"DOI":"10.1093/brain/awv229","ISSN":"1460-2156 (Electronic)","PMID":"26280595","abstract":"Clinical Alzheimer's disease affects both cerebral hemispheres to a similar degree in clinically typical cases. However, in atypical variants like logopenic progressive aphasia, neurodegeneration often presents asymmetrically. Yet, no in vivo imaging study has investigated whether lateralized neurodegeneration corresponds to lateralized amyloid-beta burden. Therefore, using combined (11)C-Pittsburgh compound B and (18)F-fluorodeoxyglucose positron emission tomography, we explored whether asymmetric amyloid-beta deposition in Alzheimer's disease is associated with asymmetric hypometabolism and clinical symptoms. From our database of patients who underwent positron emission tomography with both (11)C-Pittsburgh compound B and (18)F-fluorodeoxyglucose (n = 132), we included all amyloid-positive patients with prodromal or mild-to-moderate Alzheimer's disease (n = 69). The relationship between (11)C-Pittsburgh compound B binding potential and (18)F-fluorodeoxyglucose uptake was assessed in atlas-based regions of interest covering the entire cerebral cortex. Lateralizations of amyloid-beta and hypometabolism were tested for associations with each other and with type and severity of cognitive symptoms. Positive correlations between asymmetries of Pittsburgh compound B binding potential and hypometabolism were detected in 6 of 25 regions (angular gyrus, middle frontal gyrus, middle occipital gyrus, superior parietal gyrus, inferior and middle temporal gyrus), i.e. hypometabolism was more pronounced on the side of greater amyloid-beta deposition (range: r = 0.41 to 0.53, all P &lt; 0.001). Stronger leftward asymmetry of amyloid-beta deposition was associated with more severe language impairment (P &lt; 0.05), and stronger rightward asymmetry with more severe visuospatial impairment (at trend level, P = 0.073). Similarly, patients with predominance of language deficits showed more left-lateralized amyloid-beta burden and hypometabolism than patients with predominant visuospatial impairment and vice versa in several cortical regions. Associations between amyloid-beta deposition and hypometabolism or cognitive impairment were predominantly observed in brain regions with high amyloid-beta load. The relationship between asymmetries of amyloid-beta deposition and hypometabolism in cortical regions with high amyloid-beta load is in line with the detrimental effect of amyloid-beta burden on neuronal function. Asymmetries were also concordant with lateralized cognitive symptom…","author":[{"dropping-particle":"","family":"Frings","given":"Lars","non-dropping-particle":"","parse-names":false,"suffix":""},{"dropping-particle":"","family":"Hellwig","given":"Sabine","non-dropping-particle":"","parse-names":false,"suffix":""},{"dropping-particle":"","family":"Spehl","given":"Timo S","non-dropping-particle":"","parse-names":false,"suffix":""},{"dropping-particle":"","family":"Bormann","given":"Tobias","non-dropping-particle":"","parse-names":false,"suffix":""},{"dropping-particle":"","family":"Buchert","given":"Ralph","non-dropping-particle":"","parse-names":false,"suffix":""},{"dropping-particle":"","family":"Vach","given":"Werner","non-dropping-particle":"","parse-names":false,"suffix":""},{"dropping-particle":"","family":"Minkova","given":"Lora","non-dropping-particle":"","parse-names":false,"suffix":""},{"dropping-particle":"","family":"Heimbach","given":"Bernhard","non-dropping-particle":"","parse-names":false,"suffix":""},{"dropping-particle":"","family":"Kloppel","given":"Stefan","non-dropping-particle":"","parse-names":false,"suffix":""},{"dropping-particle":"","family":"Meyer","given":"Philipp T","non-dropping-particle":"","parse-names":false,"suffix":""}],"container-title":"Brain : a journal of neurology","id":"ITEM-1","issue":"Pt 10","issued":{"date-parts":[["2015","10"]]},"language":"eng","page":"3089-3099","publisher-place":"England","title":"Asymmetries of amyloid-beta burden and neuronal dysfunction are positively correlated in Alzheimer's disease.","type":"article-journal","volume":"138"},"uris":["http://www.mendeley.com/documents/?uuid=3c1c48fe-568e-47dd-bc10-1d9f9c361f3a"]}],"mendeley":{"formattedCitation":"[6]","plainTextFormattedCitation":"[6]","previouslyFormattedCitation":"[6]"},"properties":{"noteIndex":0},"schema":"https://github.com/citation-style-language/schema/raw/master/csl-citation.json"}</w:instrText>
      </w:r>
      <w:r w:rsidRPr="00842A01">
        <w:rPr>
          <w:rFonts w:ascii="Times New Roman" w:hAnsi="Times New Roman" w:cs="Times New Roman"/>
        </w:rPr>
        <w:fldChar w:fldCharType="separate"/>
      </w:r>
      <w:r w:rsidR="000F5BEC" w:rsidRPr="00842A01">
        <w:rPr>
          <w:rFonts w:ascii="Times New Roman" w:hAnsi="Times New Roman" w:cs="Times New Roman"/>
          <w:noProof/>
        </w:rPr>
        <w:t>[6]</w:t>
      </w:r>
      <w:r w:rsidRPr="00842A01">
        <w:rPr>
          <w:rFonts w:ascii="Times New Roman" w:hAnsi="Times New Roman" w:cs="Times New Roman"/>
        </w:rPr>
        <w:fldChar w:fldCharType="end"/>
      </w:r>
      <w:r w:rsidRPr="00842A01">
        <w:rPr>
          <w:rFonts w:ascii="Times New Roman" w:hAnsi="Times New Roman" w:cs="Times New Roman"/>
        </w:rPr>
        <w:t xml:space="preserve">, greater disease severity </w:t>
      </w:r>
      <w:r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{"citationItems":[{"id":"ITEM-1","itemData":{"DOI":"10.1016/S0197-4580(00)00238-4","ISSN":"0197-4580","abstract":"The sensitivity of MRI volumetric measures to detect cognitive dysfunction is examined in 39 participants of an epidemiological field study (age 75–85, MMSE 19–30). According to Clinical dementia rating (CDR), 17 subjects had normal cognition (CDR 0), 12 had questionable (CDR 0.5) and 10 mild dementia (CDR 1). Discriminant analysis based on four hippocampal measures resulted in a correct classification of 76.9% of all subjects. Left-sided and posterior hippocampal measures were more responsible for group discrimination than right-sided and anterior measures. In CDR 0.5, a significant hippocampal volume reduction of 14.3% vs.11.3% (left vs. right) relative to normal was found. The right hippocampus was significantly greater than the left in CDR 0 and CDR 0.5, but not in CDR 1. The magnitude of non-directional hippocampal asymmetry increased with decreasing cognitive state. We conclude that hippocampal atrophy is sensitive to detect cognitive dysfunction and subjects at risk for Alzheimer’s disease in the elderly population.","author":[{"dropping-particle":"","family":"Wolf","given":"H","non-dropping-particle":"","parse-names":false,"suffix":""},{"dropping-particle":"","family":"Grunwald","given":"M","non-dropping-particle":"","parse-names":false,"suffix":""},{"dropping-particle":"","family":"Kruggel","given":"F","non-dropping-particle":"","parse-names":false,"suffix":""},{"dropping-particle":"","family":"Riedel-Heller","given":"S G","non-dropping-particle":"","parse-names":false,"suffix":""},{"dropping-particle":"","family":"Angerhöfer","given":"S","non-dropping-particle":"","parse-names":false,"suffix":""},{"dropping-particle":"","family":"Hojjatoleslami","given":"A","non-dropping-particle":"","parse-names":false,"suffix":""},{"dropping-particle":"","family":"Hensel","given":"A","non-dropping-particle":"","parse-names":false,"suffix":""},{"dropping-particle":"","family":"Arendt","given":"T","non-dropping-particle":"","parse-names":false,"suffix":""},{"dropping-particle":"","family":"Gertz","given":"H.-J","non-dropping-particle":"","parse-names":false,"suffix":""}],"container-title":"Neurobiology of Aging","id":"ITEM-1","issue":"2","issued":{"date-parts":[["2001"]]},"page":"177-186","title":"Hippocampal volume discriminates between normal cognition; questionable and mild dementia in the elderly","type":"article-journal","volume":"22"},"uris":["http://www.mendeley.com/documents/?uuid=ac1a3bb5-f9dc-4c89-a16d-3ee28701ef7b"]}],"mendeley":{"formattedCitation":"[7]","plainTextFormattedCitation":"[7]","previouslyFormattedCitation":"[7]"},"properties":{"noteIndex":0},"schema":"https://github.com/citation-style-language/schema/raw/master/csl-citation.json"}</w:instrText>
      </w:r>
      <w:r w:rsidRPr="00842A01">
        <w:rPr>
          <w:rFonts w:ascii="Times New Roman" w:hAnsi="Times New Roman" w:cs="Times New Roman"/>
        </w:rPr>
        <w:fldChar w:fldCharType="separate"/>
      </w:r>
      <w:r w:rsidR="000F5BEC" w:rsidRPr="00842A01">
        <w:rPr>
          <w:rFonts w:ascii="Times New Roman" w:hAnsi="Times New Roman" w:cs="Times New Roman"/>
          <w:noProof/>
        </w:rPr>
        <w:t>[7]</w:t>
      </w:r>
      <w:r w:rsidRPr="00842A01">
        <w:rPr>
          <w:rFonts w:ascii="Times New Roman" w:hAnsi="Times New Roman" w:cs="Times New Roman"/>
        </w:rPr>
        <w:fldChar w:fldCharType="end"/>
      </w:r>
      <w:r w:rsidRPr="00842A01">
        <w:rPr>
          <w:rFonts w:ascii="Times New Roman" w:hAnsi="Times New Roman" w:cs="Times New Roman"/>
        </w:rPr>
        <w:t xml:space="preserve">, and neuropsychiatric symptoms </w:t>
      </w:r>
      <w:r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{"citationItems":[{"id":"ITEM-1","itemData":{"DOI":"10.1136/jnnp.69.2.187","ISBN":"0022-3050","ISSN":"00223050","PMID":"10896691","abstract":"OBJECTIVE: To test the hypothesis that delusions are associated with asymmetric involvement of the temporal lobe regions in Alzheimer's disease.\\n\\nMETHODS: Temporal lobe atrophy was assessed with a linear measure of width of the temporal horn (WTH) taken from CT films. Temporal asymmetry was computed as the right/left (R/L) ratio of the WTH in 22 non-delusional and 19 delusional patients with Alzheimer's disease. Delusional patients had paranoid delusions (of theft, jealousy, persecution). None of the patients had misidentifications or other delusions of non-paranoid content.\\n\\nRESULTS: The R/L ratio indicated symmetric temporal horn size in the non-delusional (mean 1. 05 (SD 0.20), and right greater than left temporal horn in the delusional patients (mean 1.30, (SD 0.46); t=2.27, df=39, p=0.03). When patients were stratified into three groups according to the R/L ratio, 47% of the delusional (9/19) and 14% of the non-delusional patients (3/21; chi(2)=5.6, df=1, p=0.02) showed right markedly greater than left WTH.\\n\\nCONCLUSIONS: Predominantly right involvement of the medial temporal lobe might be a determinant of paranoid delusions in the mild stages of Alzheimer's disease.","author":[{"dropping-particle":"","family":"Geroldi","given":"Cristina","non-dropping-particle":"","parse-names":false,"suffix":""},{"dropping-particle":"","family":"Akkawi","given":"Nabil Maalikjy","non-dropping-particle":"","parse-names":false,"suffix":""},{"dropping-particle":"","family":"Galluzzi","given":"Samantha","non-dropping-particle":"","parse-names":false,"suffix":""},{"dropping-particle":"","family":"Ubezio","given":"MariaChiara","non-dropping-particle":"","parse-names":false,"suffix":""},{"dropping-particle":"","family":"Binetti","given":"Giuliano","non-dropping-particle":"","parse-names":false,"suffix":""},{"dropping-particle":"","family":"Zanetti","given":"Orazio","non-dropping-particle":"","parse-names":false,"suffix":""},{"dropping-particle":"","family":"Trabucchi","given":"Marco","non-dropping-particle":"","parse-names":false,"suffix":""},{"dropping-particle":"","family":"Frisoni","given":"Giovanni B.","non-dropping-particle":"","parse-names":false,"suffix":""}],"container-title":"Journal of Neurology Neurosurgery and Psychiatry","id":"ITEM-1","issue":"2","issued":{"date-parts":[["2000"]]},"page":"187-191","title":"Temporal lobe asymmetry in patients with Alzheimer's disease with delusions","type":"article-journal","volume":"69"},"uris":["http://www.mendeley.com/documents/?uuid=f72d74cf-f730-482e-9491-023f33418bdd"]},{"id":"ITEM-2","itemData":{"DOI":"10.1093/brain/awn151","ISSN":"1460-2156 (Electronic)","PMID":"18669506","abstract":"Alzheimer's disease research has largely concentrated on the study of cognitive decline, but the associated behavioural and neuropsychiatric symptoms are of equal importance in the clinical profile of the disease. There is emerging evidence that regional differences in brain atrophy may align with variant disease presentations. The objective of this study was to identify the regions of decreased grey matter (GM) volume which were associated with specific neuropsychiatric behaviours in patients with mild Alzheimer's disease. Voxel-based morphometry was used to correlate GM derived from T(1)-weighted MRI images of 31 patients with mild Alzheimer's disease and specific neuropsychiatric symptoms and behaviours measured by the Neuropsychiatric Inventory. Delusions were associated with decreased GM density in the left frontal lobe, in the right frontoparietal cortex and in the left claustrum. Apathy was associated with GM density loss in the anterior cingulate and frontal cortex bilaterally, the head of the left caudate nucleus and in bilateral putamen. Agitation was associated with decreased GM values in the left insula, and in anterior cingulate cortex bilaterally. Neuropsychiatric symptoms of Alzheimer's disease seem to associate with neurodegeneration of specific neural networks supporting personal memory, reality monitoring, processing of reward, interoceptive sensations and subjective emotional experience. The study of neurodegenerative disorders such as Alzheimer's disease using voxel-based morphometry and other imaging modalities may further the understanding of the neural structures that mediate the genesis of abnormal behaviours.","author":[{"dropping-particle":"","family":"Bruen","given":"Peita D","non-dropping-particle":"","parse-names":false,"suffix":""},{"dropping-particle":"","family":"McGeown","given":"William J","non-dropping-particle":"","parse-names":false,"suffix":""},{"dropping-particle":"","family":"Shanks","given":"Michael F","non-dropping-particle":"","parse-names":false,"suffix":""},{"dropping-particle":"","family":"Venneri","given":"Annalena","non-dropping-particle":"","parse-names":false,"suffix":""}],"container-title":"Brain : a journal of neurology","id":"ITEM-2","issue":"Pt 9","issued":{"date-parts":[["2008","9"]]},"language":"eng","page":"2455-2463","publisher-place":"England","title":"Neuroanatomical correlates of neuropsychiatric symptoms in Alzheimer's disease.","type":"article-journal","volume":"131"},"uris":["http://www.mendeley.com/documents/?uuid=17994c0e-7b5e-4eaa-986c-3053e6d5fc21"]}],"mendeley":{"formattedCitation":"[8,9]","plainTextFormattedCitation":"[8,9]","previouslyFormattedCitation":"[8,9]"},"properties":{"noteIndex":0},"schema":"https://github.com/citation-style-language/schema/raw/master/csl-citation.json"}</w:instrText>
      </w:r>
      <w:r w:rsidRPr="00842A01">
        <w:rPr>
          <w:rFonts w:ascii="Times New Roman" w:hAnsi="Times New Roman" w:cs="Times New Roman"/>
        </w:rPr>
        <w:fldChar w:fldCharType="separate"/>
      </w:r>
      <w:r w:rsidR="000F5BEC" w:rsidRPr="00842A01">
        <w:rPr>
          <w:rFonts w:ascii="Times New Roman" w:hAnsi="Times New Roman" w:cs="Times New Roman"/>
          <w:noProof/>
        </w:rPr>
        <w:t>[8,9]</w:t>
      </w:r>
      <w:r w:rsidRPr="00842A01">
        <w:rPr>
          <w:rFonts w:ascii="Times New Roman" w:hAnsi="Times New Roman" w:cs="Times New Roman"/>
        </w:rPr>
        <w:fldChar w:fldCharType="end"/>
      </w:r>
      <w:r w:rsidRPr="00842A01">
        <w:rPr>
          <w:rFonts w:ascii="Times New Roman" w:hAnsi="Times New Roman" w:cs="Times New Roman"/>
        </w:rPr>
        <w:t>. In general, the asymmetrical cerebral involvement in AD is considered to be non-directional, or as Derflinger</w:t>
      </w:r>
      <w:r w:rsidR="0049568D" w:rsidRPr="00842A01">
        <w:rPr>
          <w:rFonts w:ascii="Times New Roman" w:hAnsi="Times New Roman" w:cs="Times New Roman"/>
        </w:rPr>
        <w:t xml:space="preserve"> and colleagues (2011) describe</w:t>
      </w:r>
      <w:r w:rsidRPr="00842A01">
        <w:rPr>
          <w:rFonts w:ascii="Times New Roman" w:hAnsi="Times New Roman" w:cs="Times New Roman"/>
        </w:rPr>
        <w:t xml:space="preserve"> it, “asymmetric but not lateralized” </w:t>
      </w:r>
      <w:r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{"citationItems":[{"id":"ITEM-1","itemData":{"DOI":"10.3233/JAD-2011-110041","ISBN":"2011110041","ISSN":"18758908","PMID":"21422522","abstract":"In Alzheimer's disease (AD), brain atrophy has been proposed to be left lateralized. Here, we reinvestigated the asymmetry and lateralization (i.e., asymmetry directed toward one hemisphere) of grey-matter (GM) distribution in 35 patients with AD, 24 patients with amnestic mild cognitive impairment (aMCI, a state of increased risk for AD), and 30 age-matched healthy controls (HC). We analyzed GM distribution by applying voxel-based morphometry (VBM) including analyses for asymmetry and lateralization. When comparing MCI with AD patients, VBM revealed GM loss in the entorhinal, temporoparietal, dorsofrontal, and occipital cortices as well as in the precuneus; when comparing HCs with MCI patients, we found similar differences, which were less pronounced especially within the temporoparietal cortex and precuneus. Analyses of regional asymmetry and regional lateralization as well as global lateralization did not yield significant results. However, lobar asymmetry of the temporal, parietal, and occipital lobes increased from HC to AD. Moreover, in aMCI and AD patients, performance of language-based neuropsychological tests correlated with lateralization of GM loss to the left hemisphere. We conclude that, in principle, brain atrophy in AD is asymmetric rather than lateralized. At the individual level however, asymmetry contributes to cognitive deficits.","author":[{"dropping-particle":"","family":"Derflinger","given":"Sabine","non-dropping-particle":"","parse-names":false,"suffix":""},{"dropping-particle":"","family":"Sorg","given":"Christian","non-dropping-particle":"","parse-names":false,"suffix":""},{"dropping-particle":"","family":"Gaser","given":"Christian","non-dropping-particle":"","parse-names":false,"suffix":""},{"dropping-particle":"","family":"Myers","given":"Nicholas","non-dropping-particle":"","parse-names":false,"suffix":""},{"dropping-particle":"","family":"Arsic","given":"Milan","non-dropping-particle":"","parse-names":false,"suffix":""},{"dropping-particle":"","family":"Kurz","given":"Alexander","non-dropping-particle":"","parse-names":false,"suffix":""},{"dropping-particle":"","family":"Zimmer","given":"Claus","non-dropping-particle":"","parse-names":false,"suffix":""},{"dropping-particle":"","family":"Wohlschläger","given":"Afra","non-dropping-particle":"","parse-names":false,"suffix":""},{"dropping-particle":"","family":"Mühlau","given":"Mark","non-dropping-particle":"","parse-names":false,"suffix":""}],"container-title":"Journal of Alzheimer's Disease","id":"ITEM-1","issue":"2","issued":{"date-parts":[["2011"]]},"page":"347-357","publisher":"IOS Press","title":"Grey-matter atrophy in Alzheimer's disease is asymmetric but not lateralized","type":"article-journal","volume":"25"},"uris":["http://www.mendeley.com/documents/?uuid=7f09dd68-b5a3-4030-8fbe-e84e141e07a8"]},{"id":"ITEM-2","itemData":{"DOI":"10.1093/brain/aww243","ISSN":"1460-2156","abstract":"Structural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Initiative","given":"","non-dropping-particle":"","parse-names":false,"suffix":""}],"container-title":"Brain","edition":"2016/10/10","id":"ITEM-2","issue":"Pt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mendeley":{"formattedCitation":"[4,5]","plainTextFormattedCitation":"[4,5]","previouslyFormattedCitation":"[4,5]"},"properties":{"noteIndex":0},"schema":"https://github.com/citation-style-language/schema/raw/master/csl-citation.json"}</w:instrText>
      </w:r>
      <w:r w:rsidRPr="00842A01">
        <w:rPr>
          <w:rFonts w:ascii="Times New Roman" w:hAnsi="Times New Roman" w:cs="Times New Roman"/>
        </w:rPr>
        <w:fldChar w:fldCharType="separate"/>
      </w:r>
      <w:r w:rsidR="000F5BEC" w:rsidRPr="00842A01">
        <w:rPr>
          <w:rFonts w:ascii="Times New Roman" w:hAnsi="Times New Roman" w:cs="Times New Roman"/>
          <w:noProof/>
        </w:rPr>
        <w:t>[4,5]</w:t>
      </w:r>
      <w:r w:rsidRPr="00842A01">
        <w:rPr>
          <w:rFonts w:ascii="Times New Roman" w:hAnsi="Times New Roman" w:cs="Times New Roman"/>
        </w:rPr>
        <w:fldChar w:fldCharType="end"/>
      </w:r>
      <w:r w:rsidRPr="00842A01">
        <w:rPr>
          <w:rFonts w:ascii="Times New Roman" w:hAnsi="Times New Roman" w:cs="Times New Roman"/>
        </w:rPr>
        <w:t xml:space="preserve">. However, a number of studies have reported consistent left-lateralised damage in AD, particularly to the hippocampus and white matter integrity </w:t>
      </w:r>
      <w:r w:rsidRPr="00842A01">
        <w:rPr>
          <w:rFonts w:ascii="Times New Roman" w:hAnsi="Times New Roman" w:cs="Times New Roman"/>
        </w:rPr>
        <w:fldChar w:fldCharType="begin" w:fldLock="1"/>
      </w:r>
      <w:r w:rsidR="0018331A" w:rsidRPr="00842A01">
        <w:rPr>
          <w:rFonts w:ascii="Times New Roman" w:hAnsi="Times New Roman" w:cs="Times New Roman"/>
        </w:rPr>
        <w:instrText>ADDIN CSL_CITATION {"citationItems":[{"id":"ITEM-1","itemData":{"ISSN":"1529-2401 (Electronic)","PMID":"12574429","abstract":"We detected and mapped a dynamically spreading wave of gray matter loss in the brains of patients with Alzheimer's disease (AD). The loss pattern was visualized in four dimensions as it spread over time from temporal and limbic cortices into frontal and occipital brain regions, sparing sensorimotor cortices. The shifting deficits were asymmetric (left hemisphere &gt; right hemisphere) and correlated with progressively declining cognitive status (p &lt; 0.0006). Novel brain mapping methods allowed us to visualize dynamic patterns of atrophy in 52 high-resolution magnetic resonance image scans of 12 patients with AD (age 68.4 +/- 1.9 years) and 14 elderly matched controls (age 71.4 +/- 0.9 years) scanned longitudinally (two scans; interscan interval 2.1 +/- 0.4 years). A cortical pattern matching technique encoded changes in brain shape and tissue distribution across subjects and time. Cortical atrophy occurred in a well defined sequence as the disease progressed, mirroring the sequence of neurofibrillary tangle accumulation observed in cross sections at autopsy. Advancing deficits were visualized as dynamic maps that change over time. Frontal regions, spared early in the disease, showed pervasive deficits later (&gt;15% loss). The maps distinguished different phases of AD and differentiated AD from normal aging. Local gray matter loss rates (5.3 +/- 2.3% per year in AD v 0.9 +/- 0.9% per year in controls) were faster in the left hemisphere (p &lt; 0.029) than the right. Transient barriers to disease progression appeared at limbic/frontal boundaries. This degenerative sequence, observed in vivo as it developed, provides the first quantitative, dynamic visualization of cortical atrophic rates in normal elderly populations and in those with dementia.","author":[{"dropping-particle":"","family":"Thompson","given":"Paul M","non-dropping-particle":"","parse-names":false,"suffix":""},{"dropping-particle":"","family":"Hayashi","given":"Kiralee M","non-dropping-particle":"","parse-names":false,"suffix":""},{"dropping-particle":"","family":"Zubicaray","given":"Greig","non-dropping-particle":"de","parse-names":false,"suffix":""},{"dropping-particle":"","family":"Janke","given":"Andrew L","non-dropping-particle":"","parse-names":false,"suffix":""},{"dropping-particle":"","family":"Rose","given":"Stephen E","non-dropping-particle":"","parse-names":false,"suffix":""},{"dropping-particle":"","family":"Semple","given":"James","non-dropping-particle":"","parse-names":false,"suffix":""},{"dropping-particle":"","family":"Herman","given":"David","non-dropping-particle":"","parse-names":false,"suffix":""},{"dropping-particle":"","family":"Hong","given":"Michael S","non-dropping-particle":"","parse-names":false,"suffix":""},{"dropping-particle":"","family":"Dittmer","given":"Stephanie S","non-dropping-particle":"","parse-names":false,"suffix":""},{"dropping-particle":"","family":"Doddrell","given":"David M","non-dropping-particle":"","parse-names":false,"suffix":""},{"dropping-particle":"","family":"Toga","given":"Arthur W","non-dropping-particle":"","parse-names":false,"suffix":""}],"container-title":"The Journal of Neuroscience","id":"ITEM-1","issue":"3","issued":{"date-parts":[["2003","2"]]},"language":"eng","page":"994-1005","publisher-place":"United States","title":"Dynamics of gray matter loss in Alzheimer's disease.","type":"article-journal","volume":"23"},"uris":["http://www.mendeley.com/documents/?uuid=fbb0f343-0665-48db-a26b-6a7918e85093"]},{"id":"ITEM-2","itemData":{"DOI":"10.1007/s00429-015-1075-y","ISSN":"1863-2661 (Electronic)","PMID":"26084875","abstract":"Distinct lines of research demonstrated that patients with amnestic mild cognitive impairment (aMCI), a potential precursor of Alzheimer disease (AD), are particularly impaired in remembering relations between items and that the use of emotional targets can facilitate memory in patients with AD. We link these findings by examining learning through positive and negative feedback in patients with aMCI, and explore its anatomic underpinnings with diffusion tensor imaging and tractography. Compared to healthy controls, patients with single-domain aMCI were impaired in learning from positive feedback, while learning from negative outcomes was preserved. Among pathways within the brain circuit involved in feedback learning, abnormal white matter microstructure was observed in tracts, which connect left-hemispheric amygdala with hippocampus and entorhinal cortex. In all participants, reduced white matter integrity in this left fiber tract was specifically associated with learning from positive outcomes. Microstructure of right-hemispheric tracts between amygdala and entorhinal cortex was related to learning from negative feedback, and was not compromised in aMCI patients. Our results provide new insight into how anatomical connections might contribute to impaired and preserved aspects of learning behaviors in the early AD process and indicate potential compensatory mechanisms.","author":[{"dropping-particle":"","family":"Wessa","given":"Michele","non-dropping-particle":"","parse-names":false,"suffix":""},{"dropping-particle":"V","family":"King","given":"Andrea","non-dropping-particle":"","parse-names":false,"suffix":""},{"dropping-particle":"","family":"Meyer","given":"Patric","non-dropping-particle":"","parse-names":false,"suffix":""},{"dropping-particle":"","family":"Frolich","given":"Lutz","non-dropping-particle":"","parse-names":false,"suffix":""},{"dropping-particle":"","family":"Flor","given":"Herta","non-dropping-particle":"","parse-names":false,"suffix":""},{"dropping-particle":"","family":"Poupon","given":"Cyril","non-dropping-particle":"","parse-names":false,"suffix":""},{"dropping-particle":"","family":"Hoppstadter","given":"Michael","non-dropping-particle":"","parse-names":false,"suffix":""},{"dropping-particle":"","family":"Linke","given":"Julia","non-dropping-particle":"","parse-names":false,"suffix":""}],"container-title":"Brain structure &amp; function","id":"ITEM-2","issue":"5","issued":{"date-parts":[["2016","6"]]},"language":"eng","page":"2831-2846","publisher-place":"Germany","title":"Impaired and preserved aspects of feedback learning in aMCI: contributions of structural connectivity.","type":"article-journal","volume":"221"},"uris":["http://www.mendeley.com/documents/?uuid=ce2701e7-fefa-475c-a242-06beeea9eb19"]},{"id":"ITEM-3","itemData":{"DOI":"10.1002/hipo.20573","ISBN":"1098-1063 (Electronic)\\r1050-9631 (Linking)","ISSN":"10509631","PMID":"19309039","abstract":"Numerous studies have reported a smaller hippocampal volume in Alzheimer's disease (AD) patients than in aging controls. However, in mild cognitive impairment (MCI), the results are inconsistent. Moreover, the left-right asymmetry of the hippocampus receives less research attention. In this article, meta-analyses are designed to determine the extent of hippocampal atrophy in MCI and AD, and to evaluate the asymmetry pattern of the hippocampal volume in control, MCI, and AD groups. From 14 studies including 365 MCI patients and 382 controls, significant atrophy is found in both the left [Effect size (ES), 0.92; 95% confidence interval (CI), 0.72-1.11] and right (ES, 0.78; 95% CI, 0.57-0.98) hippocampus, which is lower than that in AD (ES, 1.60, 95% CI, 1.37-1.84, in left; ES, 1.52, 95% CI, 1.31-1.72, in right). Comparing with aging controls, the average volume reduction weighted by sample size is 12.9% and 11.1% in left and right hippocampus in MCI, and 24.2% and 23.1% in left and right hippocampus in AD, respectively. The findings show a bilateral hippocampal volume loss in MCI and the extent of atrophy is less than that in AD. By comparing the left and right hippocampal volume, a consistent left-less-than-right asymmetry pattern is found, but with different extents in control (ES, 0.39), MCI (ES, 0.56), and AD (ES, 0.30) group.","author":[{"dropping-particle":"","family":"Shi","given":"Feng","non-dropping-particle":"","parse-names":false,"suffix":""},{"dropping-particle":"","family":"Liu","given":"Bing","non-dropping-particle":"","parse-names":false,"suffix":""},{"dropping-particle":"","family":"Zhou","given":"Yuan","non-dropping-particle":"","parse-names":false,"suffix":""},{"dropping-particle":"","family":"Yu","given":"Chunshui","non-dropping-particle":"","parse-names":false,"suffix":""},{"dropping-particle":"","family":"Jiang","given":"Tianzi","non-dropping-particle":"","parse-names":false,"suffix":""}],"container-title":"Hippocampus","id":"ITEM-3","issue":"11","issued":{"date-parts":[["2009"]]},"page":"1055 - 1064","title":"Hippocampal volume and asymmetry in mild cognitive impairment and Alzheimer's disease: Meta-analyses of MRI studies","type":"article-journal","volume":"19"},"uris":["http://www.mendeley.com/documents/?uuid=0302ffa5-ffb6-4ecc-9beb-69b0631c050f"]},{"id":"ITEM-4","itemData":{"DOI":"10.3389/fnagi.2017.00261","ISSN":"1663-4365","abstract":"A large number of morphology-based studies have previously reported a variety of regional abnormalities in hemispheric asymmetry in Alzheimer's disease (AD). Recently, neuroimaging studies have revealed changes in the topological organization of the structural network in AD. However, little is known about the alterations in topological asymmetries. In the present study, we used diffusion tensor image tractography to construct the hemispheric brain white matter networks of 25 AD patients, 95 mild cognitive impairment (MCI) patients, and 48 normal control (NC) subjects. Graph theoretical approaches were then employed to estimate hemispheric topological properties. Rightward asymmetry in both global and local network efficiencies were observed between the two hemispheres only in AD patients. The brain regions/nodes exhibiting increased rightward asymmetry in both AD and MCI patients were primarily located in the parahippocampal gyrus and cuneus. The observed rightward asymmetry was attributed to changes in the topological properties of the left hemisphere in AD patients. Finally, we found that the abnormal hemispheric asymmetries of brain network properties were significantly correlated with memory performance (Rey's Auditory Verbal Learning Test). Our findings provide new insights into the lateralized nature of hemispheric disconnectivity and highlight the potential for using hemispheric asymmetry of brain network measures as biomarkers for AD.","author":[{"dropping-particle":"","family":"Yang","given":"Cheng","non-dropping-particle":"","parse-names":false,"suffix":""},{"dropping-particle":"","family":"Zhong","given":"Suyu","non-dropping-particle":"","parse-names":false,"suffix":""},{"dropping-particle":"","family":"Zhou","given":"Xiaolong","non-dropping-particle":"","parse-names":false,"suffix":""},{"dropping-particle":"","family":"Wei","given":"Long","non-dropping-particle":"","parse-names":false,"suffix":""},{"dropping-particle":"","family":"Wang","given":"Lijia","non-dropping-particle":"","parse-names":false,"suffix":""},{"dropping-particle":"","family":"Nie","given":"Shengdong","non-dropping-particle":"","parse-names":false,"suffix":""}],"container-title":"Frontiers in aging neuroscience","id":"ITEM-4","issued":{"date-parts":[["2017","8","7"]]},"page":"261","publisher":"Frontiers Media S.A.","title":"The Abnormality of Topological Asymmetry between Hemispheric Brain White Matter Networks in Alzheimer's Disease and Mild Cognitive Impairment","type":"article-journal","volume":"9"},"uris":["http://www.mendeley.com/documents/?uuid=334c1e39-d72c-4a56-9430-bdbe0e500f73"]},{"id":"ITEM-5","itemData":{"DOI":"10.1016/j.pscychresns.2011.07.016","abstract":"Hemispheric asymmetry of the human hippocampus is well established, but poorly understood. We studied 110 healthy subjects with 3-Tesla MRI to explore the anatomical and functional correlates of the R&gt;L volume asymmetry. We found that the asymmetry is limited to the anterior hippocampus (hemisphere × region interaction: F(1,109) = 42.6, p &lt; .001). Anterior hippocampal volume was correlated strongly with the volumes of all four cortical lobes. In contrast, posterior hippocampal volume was correlated strongly only with occipital lobe volume, moderately with the parietal and temporal lobe volumes and not with the frontal lobe volume. The degree of R&gt;L anterior hippocampal volume asymmetry predicted performance on a measure of basic cognitive abilities. This provides evidence for regional specificity and functional implications of the well-known hemispheric asymmetry of hippocampal volume. We suggest that the developmental profile, genetic mechanisms and functional implications of R&gt;L anterior hippocampal volume asymmetry in the human brain deserve further study.","author":[{"dropping-particle":"","family":"Woolard","given":"Austin","non-dropping-particle":"","parse-names":false,"suffix":""},{"dropping-particle":"","family":"Heckers","given":"Stephan","non-dropping-particle":"","parse-names":false,"suffix":""}],"container-title":"Psychiatry Research","id":"ITEM-5","issue":"1","issued":{"date-parts":[["2012"]]},"page":"48-53","title":"Anatomical and functional correlates of human hippocampal volume asymmetry","type":"article-journal","volume":"201"},"uris":["http://www.mendeley.com/documents/?uuid=50000156-228d-47b9-921a-ec710ec09e58"]}],"mendeley":{"formattedCitation":"[10–14]","plainTextFormattedCitation":"[10–14]","previouslyFormattedCitation":"[10–14]"},"properties":{"noteIndex":0},"schema":"https://github.com/citation-style-language/schema/raw/master/csl-citation.json"}</w:instrText>
      </w:r>
      <w:r w:rsidRPr="00842A01">
        <w:rPr>
          <w:rFonts w:ascii="Times New Roman" w:hAnsi="Times New Roman" w:cs="Times New Roman"/>
        </w:rPr>
        <w:fldChar w:fldCharType="separate"/>
      </w:r>
      <w:r w:rsidR="0018331A" w:rsidRPr="00842A01">
        <w:rPr>
          <w:rFonts w:ascii="Times New Roman" w:hAnsi="Times New Roman" w:cs="Times New Roman"/>
          <w:noProof/>
        </w:rPr>
        <w:t>[10–14]</w:t>
      </w:r>
      <w:r w:rsidRPr="00842A01">
        <w:rPr>
          <w:rFonts w:ascii="Times New Roman" w:hAnsi="Times New Roman" w:cs="Times New Roman"/>
        </w:rPr>
        <w:fldChar w:fldCharType="end"/>
      </w:r>
      <w:r w:rsidRPr="00842A01">
        <w:rPr>
          <w:rFonts w:ascii="Times New Roman" w:hAnsi="Times New Roman" w:cs="Times New Roman"/>
        </w:rPr>
        <w:t xml:space="preserve">, and also in terms of amyloid and tau pathology </w:t>
      </w:r>
      <w:r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{"citationItems":[{"id":"ITEM-1","itemData":{"DOI":"10.3233/JAD-170740","ISSN":"1875-8908","abstract":"BACKGROUND: Despite common pathology, Alzheimer's disease (AD) can have multiple clinical presentations which pathological studies suggest result from differences in the regional distribution of tau pathology. Positron emission tomography (PET) ligands are now available that can detect tau proteins in vivo and hence can be used to investigate the biological mechanisms underlying atypical AD. OBJECTIVE: To assess regional patterns of tau uptake on PET imaging in two atypical AD variants, posterior cortical atrophy (PCA) and logopenic progressive aphasia (lvPPA). METHODS: Eighteen PCA and 19 lvPPA subjects that showed amyloid-β deposition on PET underwent tau-PET imaging with [18F]AV-1451. Group comparisons of tau uptake in PCA and lvPPA were performed using voxel-level and regional-level analyses. We also assessed the degree of lobar tau asymmetry and correlated regional tau uptake to age and performance on clinical evaluations. RESULTS: Both syndromes showed diffuse tau uptake throughout all cortical regions, although PCA showed greater uptake in occipital regions compared to lvPPA, and lvPPA showed greater uptake in left frontal and temporal regions compared to PCA. While lvPPA showed predominant left-asymmetric tau deposition, PCA was more bilateral. Younger subjects showed greater tau uptake bilaterally in frontal and parietal lobes than older subjects, and sentence repetition, Boston naming test, simultanagnosia, and visuoperceptual function showed specific regional tau correlates. CONCLUSION: Tau deposition is closely related to clinical presentation in atypical AD with age playing a role in determining the degree of cortical tau deposition.","author":[{"dropping-particle":"","family":"Tetzloff","given":"Katerina A","non-dropping-particle":"","parse-names":false,"suffix":""},{"dropping-particle":"","family":"Graff-Radford","given":"Jonathan","non-dropping-particle":"","parse-names":false,"suffix":""},{"dropping-particle":"","family":"Martin","given":"Peter R","non-dropping-particle":"","parse-names":false,"suffix":""},{"dropping-particle":"","family":"Tosakulwong","given":"Nirubol","non-dropping-particle":"","parse-names":false,"suffix":""},{"dropping-particle":"","family":"Machulda","given":"Mary M","non-dropping-particle":"","parse-names":false,"suffix":""},{"dropping-particle":"","family":"Duffy","given":"Joseph R","non-dropping-particle":"","parse-names":false,"suffix":""},{"dropping-particle":"","family":"Clark","given":"Heather M","non-dropping-particle":"","parse-names":false,"suffix":""},{"dropping-particle":"","family":"Senjem","given":"Matthew L","non-dropping-particle":"","parse-names":false,"suffix":""},{"dropping-particle":"","family":"Schwarz","given":"Christopher G","non-dropping-particle":"","parse-names":false,"suffix":""},{"dropping-particle":"","family":"Spychalla","given":"Anthony J","non-dropping-particle":"","parse-names":false,"suffix":""},{"dropping-particle":"","family":"Drubach","given":"Daniel A","non-dropping-particle":"","parse-names":false,"suffix":""},{"dropping-particle":"","family":"Jack","given":"Clifford R","non-dropping-particle":"","parse-names":false,"suffix":""},{"dropping-particle":"","family":"Lowe","given":"Val J","non-dropping-particle":"","parse-names":false,"suffix":""},{"dropping-particle":"","family":"Josephs","given":"Keith A","non-dropping-particle":"","parse-names":false,"suffix":""},{"dropping-particle":"","family":"Whitwell","given":"Jennifer L","non-dropping-particle":"","parse-names":false,"suffix":""}],"container-title":"Journal of Alzheimer's disease : JAD","id":"ITEM-1","issue":"4","issued":{"date-parts":[["2018"]]},"language":"eng","page":"1713-1724","title":"Regional Distribution, Asymmetry, and Clinical Correlates of Tau Uptake on [18F]AV-1451 PET in Atypical Alzheimer's Disease","type":"article-journal","volume":"62"},"uris":["http://www.mendeley.com/documents/?uuid=6d501063-9d17-40ea-b14e-79a1734b14b4"]},{"id":"ITEM-2","itemData":{"DOI":"10.1093/brain/awv229","ISSN":"1460-2156 (Electronic)","PMID":"26280595","abstract":"Clinical Alzheimer's disease affects both cerebral hemispheres to a similar degree in clinically typical cases. However, in atypical variants like logopenic progressive aphasia, neurodegeneration often presents asymmetrically. Yet, no in vivo imaging study has investigated whether lateralized neurodegeneration corresponds to lateralized amyloid-beta burden. Therefore, using combined (11)C-Pittsburgh compound B and (18)F-fluorodeoxyglucose positron emission tomography, we explored whether asymmetric amyloid-beta deposition in Alzheimer's disease is associated with asymmetric hypometabolism and clinical symptoms. From our database of patients who underwent positron emission tomography with both (11)C-Pittsburgh compound B and (18)F-fluorodeoxyglucose (n = 132), we included all amyloid-positive patients with prodromal or mild-to-moderate Alzheimer's disease (n = 69). The relationship between (11)C-Pittsburgh compound B binding potential and (18)F-fluorodeoxyglucose uptake was assessed in atlas-based regions of interest covering the entire cerebral cortex. Lateralizations of amyloid-beta and hypometabolism were tested for associations with each other and with type and severity of cognitive symptoms. Positive correlations between asymmetries of Pittsburgh compound B binding potential and hypometabolism were detected in 6 of 25 regions (angular gyrus, middle frontal gyrus, middle occipital gyrus, superior parietal gyrus, inferior and middle temporal gyrus), i.e. hypometabolism was more pronounced on the side of greater amyloid-beta deposition (range: r = 0.41 to 0.53, all P &lt; 0.001). Stronger leftward asymmetry of amyloid-beta deposition was associated with more severe language impairment (P &lt; 0.05), and stronger rightward asymmetry with more severe visuospatial impairment (at trend level, P = 0.073). Similarly, patients with predominance of language deficits showed more left-lateralized amyloid-beta burden and hypometabolism than patients with predominant visuospatial impairment and vice versa in several cortical regions. Associations between amyloid-beta deposition and hypometabolism or cognitive impairment were predominantly observed in brain regions with high amyloid-beta load. The relationship between asymmetries of amyloid-beta deposition and hypometabolism in cortical regions with high amyloid-beta load is in line with the detrimental effect of amyloid-beta burden on neuronal function. Asymmetries were also concordant with lateralized cognitive symptom…","author":[{"dropping-particle":"","family":"Frings","given":"Lars","non-dropping-particle":"","parse-names":false,"suffix":""},{"dropping-particle":"","family":"Hellwig","given":"Sabine","non-dropping-particle":"","parse-names":false,"suffix":""},{"dropping-particle":"","family":"Spehl","given":"Timo S","non-dropping-particle":"","parse-names":false,"suffix":""},{"dropping-particle":"","family":"Bormann","given":"Tobias","non-dropping-particle":"","parse-names":false,"suffix":""},{"dropping-particle":"","family":"Buchert","given":"Ralph","non-dropping-particle":"","parse-names":false,"suffix":""},{"dropping-particle":"","family":"Vach","given":"Werner","non-dropping-particle":"","parse-names":false,"suffix":""},{"dropping-particle":"","family":"Minkova","given":"Lora","non-dropping-particle":"","parse-names":false,"suffix":""},{"dropping-particle":"","family":"Heimbach","given":"Bernhard","non-dropping-particle":"","parse-names":false,"suffix":""},{"dropping-particle":"","family":"Kloppel","given":"Stefan","non-dropping-particle":"","parse-names":false,"suffix":""},{"dropping-particle":"","family":"Meyer","given":"Philipp T","non-dropping-particle":"","parse-names":false,"suffix":""}],"container-title":"Brain : a journal of neurology","id":"ITEM-2","issue":"Pt 10","issued":{"date-parts":[["2015","10"]]},"language":"eng","page":"3089-3099","publisher-place":"England","title":"Asymmetries of amyloid-beta burden and neuronal dysfunction are positively correlated in Alzheimer's disease.","type":"article-journal","volume":"138"},"uris":["http://www.mendeley.com/documents/?uuid=3c1c48fe-568e-47dd-bc10-1d9f9c361f3a"]}],"mendeley":{"formattedCitation":"[6,15]","plainTextFormattedCitation":"[6,15]","previouslyFormattedCitation":"[6,15]"},"properties":{"noteIndex":0},"schema":"https://github.com/citation-style-language/schema/raw/master/csl-citation.json"}</w:instrText>
      </w:r>
      <w:r w:rsidRPr="00842A01">
        <w:rPr>
          <w:rFonts w:ascii="Times New Roman" w:hAnsi="Times New Roman" w:cs="Times New Roman"/>
        </w:rPr>
        <w:fldChar w:fldCharType="separate"/>
      </w:r>
      <w:r w:rsidR="000F5BEC" w:rsidRPr="00842A01">
        <w:rPr>
          <w:rFonts w:ascii="Times New Roman" w:hAnsi="Times New Roman" w:cs="Times New Roman"/>
          <w:noProof/>
        </w:rPr>
        <w:t>[6,15]</w:t>
      </w:r>
      <w:r w:rsidRPr="00842A01">
        <w:rPr>
          <w:rFonts w:ascii="Times New Roman" w:hAnsi="Times New Roman" w:cs="Times New Roman"/>
        </w:rPr>
        <w:fldChar w:fldCharType="end"/>
      </w:r>
      <w:r w:rsidRPr="00842A01">
        <w:rPr>
          <w:rFonts w:ascii="Times New Roman" w:hAnsi="Times New Roman" w:cs="Times New Roman"/>
        </w:rPr>
        <w:t xml:space="preserve">. Furthermore, the degree of leftward cerebral asymmetry has been associated with disease progression and progressively declining cognitive performance </w:t>
      </w:r>
      <w:r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{"citationItems":[{"id":"ITEM-1","itemData":{"ISSN":"1529-2401 (Electronic)","PMID":"12574429","abstract":"We detected and mapped a dynamically spreading wave of gray matter loss in the brains of patients with Alzheimer's disease (AD). The loss pattern was visualized in four dimensions as it spread over time from temporal and limbic cortices into frontal and occipital brain regions, sparing sensorimotor cortices. The shifting deficits were asymmetric (left hemisphere &gt; right hemisphere) and correlated with progressively declining cognitive status (p &lt; 0.0006). Novel brain mapping methods allowed us to visualize dynamic patterns of atrophy in 52 high-resolution magnetic resonance image scans of 12 patients with AD (age 68.4 +/- 1.9 years) and 14 elderly matched controls (age 71.4 +/- 0.9 years) scanned longitudinally (two scans; interscan interval 2.1 +/- 0.4 years). A cortical pattern matching technique encoded changes in brain shape and tissue distribution across subjects and time. Cortical atrophy occurred in a well defined sequence as the disease progressed, mirroring the sequence of neurofibrillary tangle accumulation observed in cross sections at autopsy. Advancing deficits were visualized as dynamic maps that change over time. Frontal regions, spared early in the disease, showed pervasive deficits later (&gt;15% loss). The maps distinguished different phases of AD and differentiated AD from normal aging. Local gray matter loss rates (5.3 +/- 2.3% per year in AD v 0.9 +/- 0.9% per year in controls) were faster in the left hemisphere (p &lt; 0.029) than the right. Transient barriers to disease progression appeared at limbic/frontal boundaries. This degenerative sequence, observed in vivo as it developed, provides the first quantitative, dynamic visualization of cortical atrophic rates in normal elderly populations and in those with dementia.","author":[{"dropping-particle":"","family":"Thompson","given":"Paul M","non-dropping-particle":"","parse-names":false,"suffix":""},{"dropping-particle":"","family":"Hayashi","given":"Kiralee M","non-dropping-particle":"","parse-names":false,"suffix":""},{"dropping-particle":"","family":"Zubicaray","given":"Greig","non-dropping-particle":"de","parse-names":false,"suffix":""},{"dropping-particle":"","family":"Janke","given":"Andrew L","non-dropping-particle":"","parse-names":false,"suffix":""},{"dropping-particle":"","family":"Rose","given":"Stephen E","non-dropping-particle":"","parse-names":false,"suffix":""},{"dropping-particle":"","family":"Semple","given":"James","non-dropping-particle":"","parse-names":false,"suffix":""},{"dropping-particle":"","family":"Herman","given":"David","non-dropping-particle":"","parse-names":false,"suffix":""},{"dropping-particle":"","family":"Hong","given":"Michael S","non-dropping-particle":"","parse-names":false,"suffix":""},{"dropping-particle":"","family":"Dittmer","given":"Stephanie S","non-dropping-particle":"","parse-names":false,"suffix":""},{"dropping-particle":"","family":"Doddrell","given":"David M","non-dropping-particle":"","parse-names":false,"suffix":""},{"dropping-particle":"","family":"Toga","given":"Arthur W","non-dropping-particle":"","parse-names":false,"suffix":""}],"container-title":"The Journal of Neuroscience","id":"ITEM-1","issue":"3","issued":{"date-parts":[["2003","2"]]},"language":"eng","page":"994-1005","publisher-place":"United States","title":"Dynamics of gray matter loss in Alzheimer's disease.","type":"article-journal","volume":"23"},"uris":["http://www.mendeley.com/documents/?uuid=fbb0f343-0665-48db-a26b-6a7918e85093"]},{"id":"ITEM-2","itemData":{"DOI":"10.3389/fnagi.2017.00261","ISSN":"1663-4365","abstract":"A large number of morphology-based studies have previously reported a variety of regional abnormalities in hemispheric asymmetry in Alzheimer's disease (AD). Recently, neuroimaging studies have revealed changes in the topological organization of the structural network in AD. However, little is known about the alterations in topological asymmetries. In the present study, we used diffusion tensor image tractography to construct the hemispheric brain white matter networks of 25 AD patients, 95 mild cognitive impairment (MCI) patients, and 48 normal control (NC) subjects. Graph theoretical approaches were then employed to estimate hemispheric topological properties. Rightward asymmetry in both global and local network efficiencies were observed between the two hemispheres only in AD patients. The brain regions/nodes exhibiting increased rightward asymmetry in both AD and MCI patients were primarily located in the parahippocampal gyrus and cuneus. The observed rightward asymmetry was attributed to changes in the topological properties of the left hemisphere in AD patients. Finally, we found that the abnormal hemispheric asymmetries of brain network properties were significantly correlated with memory performance (Rey's Auditory Verbal Learning Test). Our findings provide new insights into the lateralized nature of hemispheric disconnectivity and highlight the potential for using hemispheric asymmetry of brain network measures as biomarkers for AD.","author":[{"dropping-particle":"","family":"Yang","given":"Cheng","non-dropping-particle":"","parse-names":false,"suffix":""},{"dropping-particle":"","family":"Zhong","given":"Suyu","non-dropping-particle":"","parse-names":false,"suffix":""},{"dropping-particle":"","family":"Zhou","given":"Xiaolong","non-dropping-particle":"","parse-names":false,"suffix":""},{"dropping-particle":"","family":"Wei","given":"Long","non-dropping-particle":"","parse-names":false,"suffix":""},{"dropping-particle":"","family":"Wang","given":"Lijia","non-dropping-particle":"","parse-names":false,"suffix":""},{"dropping-particle":"","family":"Nie","given":"Shengdong","non-dropping-particle":"","parse-names":false,"suffix":""}],"container-title":"Frontiers in aging neuroscience","id":"ITEM-2","issued":{"date-parts":[["2017","8","7"]]},"page":"261","publisher":"Frontiers Media S.A.","title":"The Abnormality of Topological Asymmetry between Hemispheric Brain White Matter Networks in Alzheimer's Disease and Mild Cognitive Impairment","type":"article-journal","volume":"9"},"uris":["http://www.mendeley.com/documents/?uuid=334c1e39-d72c-4a56-9430-bdbe0e500f73"]},{"id":"ITEM-3","itemData":{"DOI":"10.1093/brain/awv229","ISSN":"1460-2156 (Electronic)","PMID":"26280595","abstract":"Clinical Alzheimer's disease affects both cerebral hemispheres to a similar degree in clinically typical cases. However, in atypical variants like logopenic progressive aphasia, neurodegeneration often presents asymmetrically. Yet, no in vivo imaging study has investigated whether lateralized neurodegeneration corresponds to lateralized amyloid-beta burden. Therefore, using combined (11)C-Pittsburgh compound B and (18)F-fluorodeoxyglucose positron emission tomography, we explored whether asymmetric amyloid-beta deposition in Alzheimer's disease is associated with asymmetric hypometabolism and clinical symptoms. From our database of patients who underwent positron emission tomography with both (11)C-Pittsburgh compound B and (18)F-fluorodeoxyglucose (n = 132), we included all amyloid-positive patients with prodromal or mild-to-moderate Alzheimer's disease (n = 69). The relationship between (11)C-Pittsburgh compound B binding potential and (18)F-fluorodeoxyglucose uptake was assessed in atlas-based regions of interest covering the entire cerebral cortex. Lateralizations of amyloid-beta and hypometabolism were tested for associations with each other and with type and severity of cognitive symptoms. Positive correlations between asymmetries of Pittsburgh compound B binding potential and hypometabolism were detected in 6 of 25 regions (angular gyrus, middle frontal gyrus, middle occipital gyrus, superior parietal gyrus, inferior and middle temporal gyrus), i.e. hypometabolism was more pronounced on the side of greater amyloid-beta deposition (range: r = 0.41 to 0.53, all P &lt; 0.001). Stronger leftward asymmetry of amyloid-beta deposition was associated with more severe language impairment (P &lt; 0.05), and stronger rightward asymmetry with more severe visuospatial impairment (at trend level, P = 0.073). Similarly, patients with predominance of language deficits showed more left-lateralized amyloid-beta burden and hypometabolism than patients with predominant visuospatial impairment and vice versa in several cortical regions. Associations between amyloid-beta deposition and hypometabolism or cognitive impairment were predominantly observed in brain regions with high amyloid-beta load. The relationship between asymmetries of amyloid-beta deposition and hypometabolism in cortical regions with high amyloid-beta load is in line with the detrimental effect of amyloid-beta burden on neuronal function. Asymmetries were also concordant with lateralized cognitive symptom…","author":[{"dropping-particle":"","family":"Frings","given":"Lars","non-dropping-particle":"","parse-names":false,"suffix":""},{"dropping-particle":"","family":"Hellwig","given":"Sabine","non-dropping-particle":"","parse-names":false,"suffix":""},{"dropping-particle":"","family":"Spehl","given":"Timo S","non-dropping-particle":"","parse-names":false,"suffix":""},{"dropping-particle":"","family":"Bormann","given":"Tobias","non-dropping-particle":"","parse-names":false,"suffix":""},{"dropping-particle":"","family":"Buchert","given":"Ralph","non-dropping-particle":"","parse-names":false,"suffix":""},{"dropping-particle":"","family":"Vach","given":"Werner","non-dropping-particle":"","parse-names":false,"suffix":""},{"dropping-particle":"","family":"Minkova","given":"Lora","non-dropping-particle":"","parse-names":false,"suffix":""},{"dropping-particle":"","family":"Heimbach","given":"Bernhard","non-dropping-particle":"","parse-names":false,"suffix":""},{"dropping-particle":"","family":"Kloppel","given":"Stefan","non-dropping-particle":"","parse-names":false,"suffix":""},{"dropping-particle":"","family":"Meyer","given":"Philipp T","non-dropping-particle":"","parse-names":false,"suffix":""}],"container-title":"Brain : a journal of neurology","id":"ITEM-3","issue":"Pt 10","issued":{"date-parts":[["2015","10"]]},"language":"eng","page":"3089-3099","publisher-place":"England","title":"Asymmetries of amyloid-beta burden and neuronal dysfunction are positively correlated in Alzheimer's disease.","type":"article-journal","volume":"138"},"uris":["http://www.mendeley.com/documents/?uuid=3c1c48fe-568e-47dd-bc10-1d9f9c361f3a"]},{"id":"ITEM-4","itemData":{"DOI":"10.1016/j.pscychresns.2011.07.016","abstract":"Hemispheric asymmetry of the human hippocampus is well established, but poorly understood. We studied 110 healthy subjects with 3-Tesla MRI to explore the anatomical and functional correlates of the R&gt;L volume asymmetry. We found that the asymmetry is limited to the anterior hippocampus (hemisphere × region interaction: F(1,109) = 42.6, p &lt; .001). Anterior hippocampal volume was correlated strongly with the volumes of all four cortical lobes. In contrast, posterior hippocampal volume was correlated strongly only with occipital lobe volume, moderately with the parietal and temporal lobe volumes and not with the frontal lobe volume. The degree of R&gt;L anterior hippocampal volume asymmetry predicted performance on a measure of basic cognitive abilities. This provides evidence for regional specificity and functional implications of the well-known hemispheric asymmetry of hippocampal volume. We suggest that the developmental profile, genetic mechanisms and functional implications of R&gt;L anterior hippocampal volume asymmetry in the human brain deserve further study.","author":[{"dropping-particle":"","family":"Woolard","given":"Austin","non-dropping-particle":"","parse-names":false,"suffix":""},{"dropping-particle":"","family":"Heckers","given":"Stephan","non-dropping-particle":"","parse-names":false,"suffix":""}],"container-title":"Psychiatry Research","id":"ITEM-4","issue":"1","issued":{"date-parts":[["2012"]]},"page":"48-53","title":"Anatomical and functional correlates of human hippocampal volume asymmetry","type":"article-journal","volume":"201"},"uris":["http://www.mendeley.com/documents/?uuid=50000156-228d-47b9-921a-ec710ec09e58"]}],"mendeley":{"formattedCitation":"[6,10,13,14]","plainTextFormattedCitation":"[6,10,13,14]","previouslyFormattedCitation":"[6,10,13,14]"},"properties":{"noteIndex":0},"schema":"https://github.com/citation-style-language/schema/raw/master/csl-citation.json"}</w:instrText>
      </w:r>
      <w:r w:rsidRPr="00842A01">
        <w:rPr>
          <w:rFonts w:ascii="Times New Roman" w:hAnsi="Times New Roman" w:cs="Times New Roman"/>
        </w:rPr>
        <w:fldChar w:fldCharType="separate"/>
      </w:r>
      <w:r w:rsidR="000F5BEC" w:rsidRPr="00842A01">
        <w:rPr>
          <w:rFonts w:ascii="Times New Roman" w:hAnsi="Times New Roman" w:cs="Times New Roman"/>
          <w:noProof/>
        </w:rPr>
        <w:t>[6,10,13,14]</w:t>
      </w:r>
      <w:r w:rsidRPr="00842A01">
        <w:rPr>
          <w:rFonts w:ascii="Times New Roman" w:hAnsi="Times New Roman" w:cs="Times New Roman"/>
        </w:rPr>
        <w:fldChar w:fldCharType="end"/>
      </w:r>
      <w:r w:rsidRPr="00842A01">
        <w:rPr>
          <w:rFonts w:ascii="Times New Roman" w:hAnsi="Times New Roman" w:cs="Times New Roman"/>
        </w:rPr>
        <w:t>.</w:t>
      </w:r>
    </w:p>
    <w:p w14:paraId="61B865CC" w14:textId="158020C2" w:rsidR="003638DE" w:rsidRPr="00842A01" w:rsidRDefault="00895A3A" w:rsidP="00503DA2">
      <w:pPr>
        <w:spacing w:line="480" w:lineRule="auto"/>
        <w:jc w:val="both"/>
        <w:rPr>
          <w:rFonts w:ascii="Times New Roman" w:hAnsi="Times New Roman" w:cs="Times New Roman"/>
        </w:rPr>
      </w:pPr>
      <w:r w:rsidRPr="00842A01">
        <w:rPr>
          <w:rFonts w:ascii="Times New Roman" w:hAnsi="Times New Roman" w:cs="Times New Roman"/>
        </w:rPr>
        <w:tab/>
      </w:r>
      <w:r w:rsidR="00A4053C" w:rsidRPr="00842A01">
        <w:rPr>
          <w:rFonts w:ascii="Times New Roman" w:hAnsi="Times New Roman" w:cs="Times New Roman"/>
        </w:rPr>
        <w:t>A</w:t>
      </w:r>
      <w:r w:rsidR="00F44EB4" w:rsidRPr="00842A01">
        <w:rPr>
          <w:rFonts w:ascii="Times New Roman" w:hAnsi="Times New Roman" w:cs="Times New Roman"/>
        </w:rPr>
        <w:t>trophy</w:t>
      </w:r>
      <w:r w:rsidR="006A2A31" w:rsidRPr="00842A01">
        <w:rPr>
          <w:rFonts w:ascii="Times New Roman" w:hAnsi="Times New Roman" w:cs="Times New Roman"/>
        </w:rPr>
        <w:t xml:space="preserve"> in AD</w:t>
      </w:r>
      <w:r w:rsidR="00F44EB4" w:rsidRPr="00842A01">
        <w:rPr>
          <w:rFonts w:ascii="Times New Roman" w:hAnsi="Times New Roman" w:cs="Times New Roman"/>
        </w:rPr>
        <w:t xml:space="preserve"> </w:t>
      </w:r>
      <w:r w:rsidR="00A4053C" w:rsidRPr="00842A01">
        <w:rPr>
          <w:rFonts w:ascii="Times New Roman" w:hAnsi="Times New Roman" w:cs="Times New Roman"/>
        </w:rPr>
        <w:t>is</w:t>
      </w:r>
      <w:r w:rsidR="006A2A31" w:rsidRPr="00842A01">
        <w:rPr>
          <w:rFonts w:ascii="Times New Roman" w:hAnsi="Times New Roman" w:cs="Times New Roman"/>
        </w:rPr>
        <w:t xml:space="preserve"> asymmetrical </w:t>
      </w:r>
      <w:r w:rsidR="00F44EB4" w:rsidRPr="00842A01">
        <w:rPr>
          <w:rFonts w:ascii="Times New Roman" w:hAnsi="Times New Roman" w:cs="Times New Roman"/>
        </w:rPr>
        <w:t xml:space="preserve">across a wide range of </w:t>
      </w:r>
      <w:r w:rsidR="006A2A31" w:rsidRPr="00842A01">
        <w:rPr>
          <w:rFonts w:ascii="Times New Roman" w:hAnsi="Times New Roman" w:cs="Times New Roman"/>
        </w:rPr>
        <w:t xml:space="preserve">brain structures, </w:t>
      </w:r>
      <w:r w:rsidR="00F44EB4" w:rsidRPr="00842A01">
        <w:rPr>
          <w:rFonts w:ascii="Times New Roman" w:hAnsi="Times New Roman" w:cs="Times New Roman"/>
        </w:rPr>
        <w:t xml:space="preserve">such as </w:t>
      </w:r>
      <w:r w:rsidR="00930E09" w:rsidRPr="00842A01">
        <w:rPr>
          <w:rFonts w:ascii="Times New Roman" w:hAnsi="Times New Roman" w:cs="Times New Roman"/>
        </w:rPr>
        <w:t xml:space="preserve">the medial temporal lobe </w:t>
      </w:r>
      <w:r w:rsidR="00930E09" w:rsidRPr="00842A01">
        <w:rPr>
          <w:rFonts w:ascii="Times New Roman" w:hAnsi="Times New Roman" w:cs="Times New Roman"/>
        </w:rPr>
        <w:fldChar w:fldCharType="begin" w:fldLock="1"/>
      </w:r>
      <w:r w:rsidR="00C2270B" w:rsidRPr="00842A01">
        <w:rPr>
          <w:rFonts w:ascii="Times New Roman" w:hAnsi="Times New Roman" w:cs="Times New Roman"/>
        </w:rPr>
        <w:instrText>ADDIN CSL_CITATION {"citationItems":[{"id":"ITEM-1","itemData":{"DOI":"10.1136/jnnp.2004.035600","ISSN":"0022-3050 (Print)","PMID":"15607988","abstract":"BACKGROUND: Mild cognitive impairment (MCI) is the most widely used concept in classifying cognitive impairment in the elderly who do not fulfil the criteria for dementia. MCI is considered to confer an increased risk of progressing to dementia and most often Alzheimer's disease (AD). Various approaches such as imaging of the brain have been applied to predict the conversion of MCI to dementia. A number of volumetric magnetic resonance imaging (MRI) studies have detected atrophy of the medial temporal lobe in subjects with MCI, but for the other cerebral regions the results have been inconsistent. OBJECTIVE: To study the pattern of brain atrophy in MCI. METHODS: Thirty two controls and 51 individuals with MCI deriving from population based cohorts were studied by MRI using voxel based morphometry. The threshold of t maps was set at p &lt; 0.001. RESULTS: Individuals with MCI had significant unilateral atrophy in the medial temporal lobe on the right side. Less extensive atrophy was found elsewhere-for example, in the temporal lobe, left superior parietal lobule, left anterior cingulate gyrus, and bilaterally in the thalami. CONCLUSIONS: The MRI findings in MCI resemble those seen in early AD.","author":[{"dropping-particle":"","family":"Pennanen","given":"C","non-dropping-particle":"","parse-names":false,"suffix":""},{"dropping-particle":"","family":"Testa","given":"C","non-dropping-particle":"","parse-names":false,"suffix":""},{"dropping-particle":"","family":"Laakso","given":"M P","non-dropping-particle":"","parse-names":false,"suffix":""},{"dropping-particle":"","family":"Hallikainen","given":"M","non-dropping-particle":"","parse-names":false,"suffix":""},{"dropping-particle":"","family":"Helkala","given":"E-L","non-dropping-particle":"","parse-names":false,"suffix":""},{"dropping-particle":"","family":"Hanninen","given":"T","non-dropping-particle":"","parse-names":false,"suffix":""},{"dropping-particle":"","family":"Kivipelto","given":"M","non-dropping-particle":"","parse-names":false,"suffix":""},{"dropping-particle":"","family":"Kononen","given":"M","non-dropping-particle":"","parse-names":false,"suffix":""},{"dropping-particle":"","family":"Nissinen","given":"A","non-dropping-particle":"","parse-names":false,"suffix":""},{"dropping-particle":"","family":"Tervo","given":"S","non-dropping-particle":"","parse-names":false,"suffix":""},{"dropping-particle":"","family":"Vanhanen","given":"M","non-dropping-particle":"","parse-names":false,"suffix":""},{"dropping-particle":"","family":"Vanninen","given":"R","non-dropping-particle":"","parse-names":false,"suffix":""},{"dropping-particle":"","family":"Frisoni","given":"G B","non-dropping-particle":"","parse-names":false,"suffix":""},{"dropping-particle":"","family":"Soininen","given":"H","non-dropping-particle":"","parse-names":false,"suffix":""}],"container-title":"Journal of neurology, neurosurgery, and psychiatry","id":"ITEM-1","issue":"1","issued":{"date-parts":[["2005","1"]]},"language":"eng","page":"11-14","publisher-place":"England","title":"A voxel based morphometry study on mild cognitive impairment.","type":"article-journal","volume":"76"},"uris":["http://www.mendeley.com/documents/?uuid=dae649f0-405d-4cc9-8dcd-14b942ef8d95"]}],"mendeley":{"formattedCitation":"[16]","plainTextFormattedCitation":"[16]","previouslyFormattedCitation":"[16]"},"properties":{"noteIndex":0},"schema":"https://github.com/citation-style-language/schema/raw/master/csl-citation.json"}</w:instrText>
      </w:r>
      <w:r w:rsidR="00930E09" w:rsidRPr="00842A01">
        <w:rPr>
          <w:rFonts w:ascii="Times New Roman" w:hAnsi="Times New Roman" w:cs="Times New Roman"/>
        </w:rPr>
        <w:fldChar w:fldCharType="separate"/>
      </w:r>
      <w:r w:rsidR="0018331A" w:rsidRPr="00842A01">
        <w:rPr>
          <w:rFonts w:ascii="Times New Roman" w:hAnsi="Times New Roman" w:cs="Times New Roman"/>
          <w:noProof/>
        </w:rPr>
        <w:t>[16]</w:t>
      </w:r>
      <w:r w:rsidR="00930E09" w:rsidRPr="00842A01">
        <w:rPr>
          <w:rFonts w:ascii="Times New Roman" w:hAnsi="Times New Roman" w:cs="Times New Roman"/>
        </w:rPr>
        <w:fldChar w:fldCharType="end"/>
      </w:r>
      <w:r w:rsidR="00930E09" w:rsidRPr="00842A01">
        <w:rPr>
          <w:rFonts w:ascii="Times New Roman" w:hAnsi="Times New Roman" w:cs="Times New Roman"/>
        </w:rPr>
        <w:t xml:space="preserve">, hippocampus </w:t>
      </w:r>
      <w:r w:rsidR="00930E09"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{"citationItems":[{"id":"ITEM-1","itemData":{"DOI":"10.3389/fnins.2018.00576","ISSN":"1662-4548","abstract":"Objective: It is well-known that the hippocampus presents significant asymmetry in Alzheimer's disease (AD) and that difference in volumes between left and right exists and varies with disease progression. However, few works investigated whether the asymmetry degree of subfields of hippocampus changes through the continuum from Mild Cognitive Impairment (MCI) to AD. Thus, aim of the present work was to evaluate the Asymmetry Index (AI) of hippocampal substructures as possible MRI biomarkers of Dementia. Moreover, we aimed to assess whether the subfields presented peculiar differences between left and right hemispheres. We also investigated the relationship between the asymmetry magnitude in hippocampal subfields and the decline of verbal memory as assessed by Rey's auditory verbal learning test (RAVLT). Methods: Four-hundred subjects were selected from ADNI, equally divided into healthy controls (HC), AD, stable MCI (sMCI), and progressive MCI (pMCI). The structural baseline T1s were processed with FreeSurfer 6.0 and volumes of whole hippocampus (WH) and 12 subfields were extracted. The AI was calculated as: (|Left-Right|/(Left+Right))(*)100. ANCOVA was used for evaluating AI differences between diagnoses, while paired t-test was applied for assessing changes between left and right volumes, separately for each group. Partial correlation was performed for exploring relationship between RAVLT summary scores (Immediate, Learning, Forgetting, Percent Forgetting) and hippocampal substructures AI. The statistical threshold was Bonferroni corrected p &lt; 0.05/13 = 0.0038. Results: We found a general trend of increased degree of asymmetry with increasing severity of diagnosis. Indeed, AD presented the higher magnitude of asymmetry compared with HC, sMCI and pMCI, in the WH (AI mean 5.13 ± 4.29 SD) and in each of its twelve subfields. Moreover, we found in AD a significant negative correlation (r = -0.33, p = 0.00065) between the AI of parasubiculum (mean 12.70 ± 9.59 SD) and the RAVLT Learning score (mean 1.70 ± 1.62 SD). Conclusions: Our findings showed that hippocampal subfields AI varies differently among the four groups HC, sMCI, pMCI, and AD. Moreover, we found-for the first time-that hippocampal substructures had different sub-patterns of lateralization compared with the whole hippocampus. Importantly, the severity in learning rate was correlated with pathological high degree of asymmetry in parasubiculum of AD patients.","author":[{"dropping-particle":"","family":"Sarica","given":"Alessia","non-dropping-particle":"","parse-names":false,"suffix":""},{"dropping-particle":"","family":"Vasta","given":"Roberta","non-dropping-particle":"","parse-names":false,"suffix":""},{"dropping-particle":"","family":"Novellino","given":"Fabiana","non-dropping-particle":"","parse-names":false,"suffix":""},{"dropping-particle":"","family":"Vaccaro","given":"Maria Grazia","non-dropping-particle":"","parse-names":false,"suffix":""},{"dropping-particle":"","family":"Cerasa","given":"Antonio","non-dropping-particle":"","parse-names":false,"suffix":""},{"dropping-particle":"","family":"Quattrone","given":"Aldo","non-dropping-particle":"","parse-names":false,"suffix":""},{"dropping-particle":"","family":"Alzheimer's Disease Neuroimaging Initiative","given":"","non-dropping-particle":"","parse-names":false,"suffix":""}],"container-title":"Frontiers in neuroscience","id":"ITEM-1","issued":{"date-parts":[["2018","8","21"]]},"page":"576","publisher":"Frontiers Media S.A.","title":"MRI Asymmetry Index of Hippocampal Subfields Increases Through the Continuum From the Mild Cognitive Impairment to the Alzheimer's Disease","type":"article-journal","volume":"12"},"uris":["http://www.mendeley.com/documents/?uuid=cafe5e93-23d4-4b98-b90a-d301ba2477bc"]},{"id":"ITEM-2","itemData":{"DOI":"10.1002/hipo.20573","ISBN":"1098-1063 (Electronic)\\r1050-9631 (Linking)","ISSN":"10509631","PMID":"19309039","abstract":"Numerous studies have reported a smaller hippocampal volume in Alzheimer's disease (AD) patients than in aging controls. However, in mild cognitive impairment (MCI), the results are inconsistent. Moreover, the left-right asymmetry of the hippocampus receives less research attention. In this article, meta-analyses are designed to determine the extent of hippocampal atrophy in MCI and AD, and to evaluate the asymmetry pattern of the hippocampal volume in control, MCI, and AD groups. From 14 studies including 365 MCI patients and 382 controls, significant atrophy is found in both the left [Effect size (ES), 0.92; 95% confidence interval (CI), 0.72-1.11] and right (ES, 0.78; 95% CI, 0.57-0.98) hippocampus, which is lower than that in AD (ES, 1.60, 95% CI, 1.37-1.84, in left; ES, 1.52, 95% CI, 1.31-1.72, in right). Comparing with aging controls, the average volume reduction weighted by sample size is 12.9% and 11.1% in left and right hippocampus in MCI, and 24.2% and 23.1% in left and right hippocampus in AD, respectively. The findings show a bilateral hippocampal volume loss in MCI and the extent of atrophy is less than that in AD. By comparing the left and right hippocampal volume, a consistent left-less-than-right asymmetry pattern is found, but with different extents in control (ES, 0.39), MCI (ES, 0.56), and AD (ES, 0.30) group.","author":[{"dropping-particle":"","family":"Shi","given":"Feng","non-dropping-particle":"","parse-names":false,"suffix":""},{"dropping-particle":"","family":"Liu","given":"Bing","non-dropping-particle":"","parse-names":false,"suffix":""},{"dropping-particle":"","family":"Zhou","given":"Yuan","non-dropping-particle":"","parse-names":false,"suffix":""},{"dropping-particle":"","family":"Yu","given":"Chunshui","non-dropping-particle":"","parse-names":false,"suffix":""},{"dropping-particle":"","family":"Jiang","given":"Tianzi","non-dropping-particle":"","parse-names":false,"suffix":""}],"container-title":"Hippocampus","id":"ITEM-2","issue":"11","issued":{"date-parts":[["2009"]]},"page":"1055 - 1064","title":"Hippocampal volume and asymmetry in mild cognitive impairment and Alzheimer's disease: Meta-analyses of MRI studies","type":"article-journal","volume":"19"},"uris":["http://www.mendeley.com/documents/?uuid=0302ffa5-ffb6-4ecc-9beb-69b0631c050f"]},{"id":"ITEM-3","itemData":{"DOI":"10.1016/j.neurobiolaging.2011.06.026","ISSN":"1558-1497 (Electronic)","PMID":"21907459","abstract":"There are functional and structural neocortical hemispheric asymmetries in people with normal cognition. These asymmetries may be altered in patients with Alzheimer's disease (AD) because there is a loss of neuronal connectivity in the heteromodal cortex. The purpose of this study is to test the hypothesis that individuals with amnestic mild cognitive impairment (aMCI), mild AD, and moderate to severe AD have progressive reductions in thickness asymmetries of the heteromodal neocortex. Right-handed elderly volunteers including normal cognition (NC), aMCI, and AD underwent 3-D volume imaging for cortical thickness. Although the cortical asymmetry pattern observed in normal cognition brains was generally maintained in aMCI and AD, there was a progressive decrease in the degree of asymmetry, especially in the inferior parietal lobule. A reduction of neocortical asymmetries may be a characteristic sign that occurs in patients with AD. Future studies are needed to evaluate whether this loss is specific to AD and if measurements of asymmetry can be used as diagnostic markers and for monitoring disease progression.","author":[{"dropping-particle":"","family":"Kim","given":"Jong Hun","non-dropping-particle":"","parse-names":false,"suffix":""},{"dropping-particle":"","family":"Lee","given":"Jong Weon","non-dropping-particle":"","parse-names":false,"suffix":""},{"dropping-particle":"","family":"Kim","given":"Geon Ha","non-dropping-particle":"","parse-names":false,"suffix":""},{"dropping-particle":"","family":"Roh","given":"Jee Hoon","non-dropping-particle":"","parse-names":false,"suffix":""},{"dropping-particle":"","family":"Kim","given":"Min-Jeong","non-dropping-particle":"","parse-names":false,"suffix":""},{"dropping-particle":"","family":"Seo","given":"Sang Won","non-dropping-particle":"","parse-names":false,"suffix":""},{"dropping-particle":"","family":"Kim","given":"Sung Tae","non-dropping-particle":"","parse-names":false,"suffix":""},{"dropping-particle":"","family":"Jeon","given":"Seun","non-dropping-particle":"","parse-names":false,"suffix":""},{"dropping-particle":"","family":"Lee","given":"Jong-Min","non-dropping-particle":"","parse-names":false,"suffix":""},{"dropping-particle":"","family":"Heilman","given":"Kenneth M","non-dropping-particle":"","parse-names":false,"suffix":""},{"dropping-particle":"","family":"Na","given":"Duk L","non-dropping-particle":"","parse-names":false,"suffix":""}],"container-title":"Neurobiology of aging","id":"ITEM-3","issue":"9","issued":{"date-parts":[["2012","9"]]},"language":"eng","page":"1959-1966","publisher-place":"United States","title":"Cortical asymmetries in normal, mild cognitive impairment, and Alzheimer's disease.","type":"article-journal","volume":"33"},"uris":["http://www.mendeley.com/documents/?uuid=b753eb27-ca7f-42b3-8840-09555b8e693d"]},{"id":"ITEM-4","itemData":{"DOI":"10.1093/brain/aww243","ISSN":"1460-2156","abstract":"Structural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Initiative","given":"","non-dropping-particle":"","parse-names":false,"suffix":""}],"container-title":"Brain","edition":"2016/10/10","id":"ITEM-4","issue":"Pt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mendeley":{"formattedCitation":"[2,5,12,17]","plainTextFormattedCitation":"[2,5,12,17]","previouslyFormattedCitation":"[2,5,12,17]"},"properties":{"noteIndex":0},"schema":"https://github.com/citation-style-language/schema/raw/master/csl-citation.json"}</w:instrText>
      </w:r>
      <w:r w:rsidR="00930E09" w:rsidRPr="00842A01">
        <w:rPr>
          <w:rFonts w:ascii="Times New Roman" w:hAnsi="Times New Roman" w:cs="Times New Roman"/>
        </w:rPr>
        <w:fldChar w:fldCharType="separate"/>
      </w:r>
      <w:r w:rsidR="000F5BEC" w:rsidRPr="00842A01">
        <w:rPr>
          <w:rFonts w:ascii="Times New Roman" w:hAnsi="Times New Roman" w:cs="Times New Roman"/>
          <w:noProof/>
        </w:rPr>
        <w:t>[2,5,12,17]</w:t>
      </w:r>
      <w:r w:rsidR="00930E09" w:rsidRPr="00842A01">
        <w:rPr>
          <w:rFonts w:ascii="Times New Roman" w:hAnsi="Times New Roman" w:cs="Times New Roman"/>
        </w:rPr>
        <w:fldChar w:fldCharType="end"/>
      </w:r>
      <w:r w:rsidR="00930E09" w:rsidRPr="00842A01">
        <w:rPr>
          <w:rFonts w:ascii="Times New Roman" w:hAnsi="Times New Roman" w:cs="Times New Roman"/>
        </w:rPr>
        <w:t xml:space="preserve">, amygdala </w:t>
      </w:r>
      <w:r w:rsidR="00930E09"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Initiative","given":"","non-dropping-particle":"","parse-names":false,"suffix":""}],"container-title":"Brain","edition":"2016/10/10","id":"ITEM-1","issue":"Pt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mendeley":{"formattedCitation":"[5]","plainTextFormattedCitation":"[5]","previouslyFormattedCitation":"[5]"},"properties":{"noteIndex":0},"schema":"https://github.com/citation-style-language/schema/raw/master/csl-citation.json"}</w:instrText>
      </w:r>
      <w:r w:rsidR="00930E09" w:rsidRPr="00842A01">
        <w:rPr>
          <w:rFonts w:ascii="Times New Roman" w:hAnsi="Times New Roman" w:cs="Times New Roman"/>
        </w:rPr>
        <w:fldChar w:fldCharType="separate"/>
      </w:r>
      <w:r w:rsidR="000F5BEC" w:rsidRPr="00842A01">
        <w:rPr>
          <w:rFonts w:ascii="Times New Roman" w:hAnsi="Times New Roman" w:cs="Times New Roman"/>
          <w:noProof/>
        </w:rPr>
        <w:t>[5]</w:t>
      </w:r>
      <w:r w:rsidR="00930E09" w:rsidRPr="00842A01">
        <w:rPr>
          <w:rFonts w:ascii="Times New Roman" w:hAnsi="Times New Roman" w:cs="Times New Roman"/>
        </w:rPr>
        <w:fldChar w:fldCharType="end"/>
      </w:r>
      <w:r w:rsidR="00930E09" w:rsidRPr="00842A01">
        <w:rPr>
          <w:rFonts w:ascii="Times New Roman" w:hAnsi="Times New Roman" w:cs="Times New Roman"/>
        </w:rPr>
        <w:t xml:space="preserve">, and caudate </w:t>
      </w:r>
      <w:r w:rsidR="00930E09"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Initiative","given":"","non-dropping-particle":"","parse-names":false,"suffix":""}],"container-title":"Brain","edition":"2016/10/10","id":"ITEM-1","issue":"Pt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mendeley":{"formattedCitation":"[5]","plainTextFormattedCitation":"[5]","previouslyFormattedCitation":"[5]"},"properties":{"noteIndex":0},"schema":"https://github.com/citation-style-language/schema/raw/master/csl-citation.json"}</w:instrText>
      </w:r>
      <w:r w:rsidR="00930E09" w:rsidRPr="00842A01">
        <w:rPr>
          <w:rFonts w:ascii="Times New Roman" w:hAnsi="Times New Roman" w:cs="Times New Roman"/>
        </w:rPr>
        <w:fldChar w:fldCharType="separate"/>
      </w:r>
      <w:r w:rsidR="000F5BEC" w:rsidRPr="00842A01">
        <w:rPr>
          <w:rFonts w:ascii="Times New Roman" w:hAnsi="Times New Roman" w:cs="Times New Roman"/>
          <w:noProof/>
        </w:rPr>
        <w:t>[5]</w:t>
      </w:r>
      <w:r w:rsidR="00930E09" w:rsidRPr="00842A01">
        <w:rPr>
          <w:rFonts w:ascii="Times New Roman" w:hAnsi="Times New Roman" w:cs="Times New Roman"/>
        </w:rPr>
        <w:fldChar w:fldCharType="end"/>
      </w:r>
      <w:r w:rsidR="00930E09" w:rsidRPr="00842A01">
        <w:rPr>
          <w:rFonts w:ascii="Times New Roman" w:hAnsi="Times New Roman" w:cs="Times New Roman"/>
        </w:rPr>
        <w:t xml:space="preserve">. </w:t>
      </w:r>
      <w:r w:rsidR="00F44EB4" w:rsidRPr="00842A01">
        <w:rPr>
          <w:rFonts w:ascii="Times New Roman" w:hAnsi="Times New Roman" w:cs="Times New Roman"/>
        </w:rPr>
        <w:t xml:space="preserve">Asymmetries have also been </w:t>
      </w:r>
      <w:r w:rsidR="00404E26" w:rsidRPr="00842A01">
        <w:rPr>
          <w:rFonts w:ascii="Times New Roman" w:hAnsi="Times New Roman" w:cs="Times New Roman"/>
        </w:rPr>
        <w:t>found</w:t>
      </w:r>
      <w:r w:rsidR="00F44EB4" w:rsidRPr="00842A01">
        <w:rPr>
          <w:rFonts w:ascii="Times New Roman" w:hAnsi="Times New Roman" w:cs="Times New Roman"/>
        </w:rPr>
        <w:t xml:space="preserve"> </w:t>
      </w:r>
      <w:r w:rsidR="00503DA2" w:rsidRPr="00842A01">
        <w:rPr>
          <w:rFonts w:ascii="Times New Roman" w:hAnsi="Times New Roman" w:cs="Times New Roman"/>
        </w:rPr>
        <w:t>in terms of white matter integrity</w:t>
      </w:r>
      <w:r w:rsidR="009B7A06" w:rsidRPr="00842A01">
        <w:rPr>
          <w:rFonts w:ascii="Times New Roman" w:hAnsi="Times New Roman" w:cs="Times New Roman"/>
        </w:rPr>
        <w:t>,</w:t>
      </w:r>
      <w:r w:rsidR="007827BD" w:rsidRPr="00842A01">
        <w:rPr>
          <w:rFonts w:ascii="Times New Roman" w:hAnsi="Times New Roman" w:cs="Times New Roman"/>
        </w:rPr>
        <w:t xml:space="preserve"> </w:t>
      </w:r>
      <w:r w:rsidR="009B7A06" w:rsidRPr="00842A01">
        <w:rPr>
          <w:rFonts w:ascii="Times New Roman" w:hAnsi="Times New Roman" w:cs="Times New Roman"/>
        </w:rPr>
        <w:t xml:space="preserve">neural </w:t>
      </w:r>
      <w:r w:rsidR="007827BD" w:rsidRPr="00842A01">
        <w:rPr>
          <w:rFonts w:ascii="Times New Roman" w:hAnsi="Times New Roman" w:cs="Times New Roman"/>
        </w:rPr>
        <w:t>connectivity</w:t>
      </w:r>
      <w:r w:rsidR="00503DA2" w:rsidRPr="00842A01">
        <w:rPr>
          <w:rFonts w:ascii="Times New Roman" w:hAnsi="Times New Roman" w:cs="Times New Roman"/>
        </w:rPr>
        <w:t xml:space="preserve">  </w:t>
      </w:r>
      <w:r w:rsidR="00503DA2" w:rsidRPr="00842A01">
        <w:rPr>
          <w:rFonts w:ascii="Times New Roman" w:hAnsi="Times New Roman" w:cs="Times New Roman"/>
        </w:rPr>
        <w:fldChar w:fldCharType="begin" w:fldLock="1"/>
      </w:r>
      <w:r w:rsidR="0018331A" w:rsidRPr="00842A01">
        <w:rPr>
          <w:rFonts w:ascii="Times New Roman" w:hAnsi="Times New Roman" w:cs="Times New Roman"/>
        </w:rPr>
        <w:instrText>ADDIN CSL_CITATION {"citationItems":[{"id":"ITEM-1","itemData":{"DOI":"10.1007/s00429-015-1075-y","ISSN":"1863-2661 (Electronic)","PMID":"26084875","abstract":"Distinct lines of research demonstrated that patients with amnestic mild cognitive impairment (aMCI), a potential precursor of Alzheimer disease (AD), are particularly impaired in remembering relations between items and that the use of emotional targets can facilitate memory in patients with AD. We link these findings by examining learning through positive and negative feedback in patients with aMCI, and explore its anatomic underpinnings with diffusion tensor imaging and tractography. Compared to healthy controls, patients with single-domain aMCI were impaired in learning from positive feedback, while learning from negative outcomes was preserved. Among pathways within the brain circuit involved in feedback learning, abnormal white matter microstructure was observed in tracts, which connect left-hemispheric amygdala with hippocampus and entorhinal cortex. In all participants, reduced white matter integrity in this left fiber tract was specifically associated with learning from positive outcomes. Microstructure of right-hemispheric tracts between amygdala and entorhinal cortex was related to learning from negative feedback, and was not compromised in aMCI patients. Our results provide new insight into how anatomical connections might contribute to impaired and preserved aspects of learning behaviors in the early AD process and indicate potential compensatory mechanisms.","author":[{"dropping-particle":"","family":"Wessa","given":"Michele","non-dropping-particle":"","parse-names":false,"suffix":""},{"dropping-particle":"V","family":"King","given":"Andrea","non-dropping-particle":"","parse-names":false,"suffix":""},{"dropping-particle":"","family":"Meyer","given":"Patric","non-dropping-particle":"","parse-names":false,"suffix":""},{"dropping-particle":"","family":"Frolich","given":"Lutz","non-dropping-particle":"","parse-names":false,"suffix":""},{"dropping-particle":"","family":"Flor","given":"Herta","non-dropping-particle":"","parse-names":false,"suffix":""},{"dropping-particle":"","family":"Poupon","given":"Cyril","non-dropping-particle":"","parse-names":false,"suffix":""},{"dropping-particle":"","family":"Hoppstadter","given":"Michael","non-dropping-particle":"","parse-names":false,"suffix":""},{"dropping-particle":"","family":"Linke","given":"Julia","non-dropping-particle":"","parse-names":false,"suffix":""}],"container-title":"Brain structure &amp; function","id":"ITEM-1","issue":"5","issued":{"date-parts":[["2016","6"]]},"language":"eng","page":"2831-2846","publisher-place":"Germany","title":"Impaired and preserved aspects of feedback learning in aMCI: contributions of structural connectivity.","type":"article-journal","volume":"221"},"uris":["http://www.mendeley.com/documents/?uuid=ce2701e7-fefa-475c-a242-06beeea9eb19"]},{"id":"ITEM-2","itemData":{"DOI":"10.3389/fnagi.2017.00261","ISSN":"1663-4365","abstract":"A large number of morphology-based studies have previously reported a variety of regional abnormalities in hemispheric asymmetry in Alzheimer's disease (AD). Recently, neuroimaging studies have revealed changes in the topological organization of the structural network in AD. However, little is known about the alterations in topological asymmetries. In the present study, we used diffusion tensor image tractography to construct the hemispheric brain white matter networks of 25 AD patients, 95 mild cognitive impairment (MCI) patients, and 48 normal control (NC) subjects. Graph theoretical approaches were then employed to estimate hemispheric topological properties. Rightward asymmetry in both global and local network efficiencies were observed between the two hemispheres only in AD patients. The brain regions/nodes exhibiting increased rightward asymmetry in both AD and MCI patients were primarily located in the parahippocampal gyrus and cuneus. The observed rightward asymmetry was attributed to changes in the topological properties of the left hemisphere in AD patients. Finally, we found that the abnormal hemispheric asymmetries of brain network properties were significantly correlated with memory performance (Rey's Auditory Verbal Learning Test). Our findings provide new insights into the lateralized nature of hemispheric disconnectivity and highlight the potential for using hemispheric asymmetry of brain network measures as biomarkers for AD.","author":[{"dropping-particle":"","family":"Yang","given":"Cheng","non-dropping-particle":"","parse-names":false,"suffix":""},{"dropping-particle":"","family":"Zhong","given":"Suyu","non-dropping-particle":"","parse-names":false,"suffix":""},{"dropping-particle":"","family":"Zhou","given":"Xiaolong","non-dropping-particle":"","parse-names":false,"suffix":""},{"dropping-particle":"","family":"Wei","given":"Long","non-dropping-particle":"","parse-names":false,"suffix":""},{"dropping-particle":"","family":"Wang","given":"Lijia","non-dropping-particle":"","parse-names":false,"suffix":""},{"dropping-particle":"","family":"Nie","given":"Shengdong","non-dropping-particle":"","parse-names":false,"suffix":""}],"container-title":"Frontiers in aging neuroscience","id":"ITEM-2","issued":{"date-parts":[["2017","8","7"]]},"page":"261","publisher":"Frontiers Media S.A.","title":"The Abnormality of Topological Asymmetry between Hemispheric Brain White Matter Networks in Alzheimer's Disease and Mild Cognitive Impairment","type":"article-journal","volume":"9"},"uris":["http://www.mendeley.com/documents/?uuid=334c1e39-d72c-4a56-9430-bdbe0e500f73"]}],"mendeley":{"formattedCitation":"[11,13]","plainTextFormattedCitation":"[11,13]","previouslyFormattedCitation":"[11,13]"},"properties":{"noteIndex":0},"schema":"https://github.com/citation-style-language/schema/raw/master/csl-citation.json"}</w:instrText>
      </w:r>
      <w:r w:rsidR="00503DA2" w:rsidRPr="00842A01">
        <w:rPr>
          <w:rFonts w:ascii="Times New Roman" w:hAnsi="Times New Roman" w:cs="Times New Roman"/>
        </w:rPr>
        <w:fldChar w:fldCharType="separate"/>
      </w:r>
      <w:r w:rsidR="0018331A" w:rsidRPr="00842A01">
        <w:rPr>
          <w:rFonts w:ascii="Times New Roman" w:hAnsi="Times New Roman" w:cs="Times New Roman"/>
          <w:noProof/>
        </w:rPr>
        <w:t>[11,13]</w:t>
      </w:r>
      <w:r w:rsidR="00503DA2" w:rsidRPr="00842A01">
        <w:rPr>
          <w:rFonts w:ascii="Times New Roman" w:hAnsi="Times New Roman" w:cs="Times New Roman"/>
        </w:rPr>
        <w:fldChar w:fldCharType="end"/>
      </w:r>
      <w:r w:rsidR="00A4053C" w:rsidRPr="00842A01">
        <w:rPr>
          <w:rFonts w:ascii="Times New Roman" w:hAnsi="Times New Roman" w:cs="Times New Roman"/>
        </w:rPr>
        <w:t xml:space="preserve"> and c</w:t>
      </w:r>
      <w:r w:rsidR="00503DA2" w:rsidRPr="00842A01">
        <w:rPr>
          <w:rFonts w:ascii="Times New Roman" w:hAnsi="Times New Roman" w:cs="Times New Roman"/>
        </w:rPr>
        <w:t>erebral metabolism</w:t>
      </w:r>
      <w:r w:rsidR="00A4053C" w:rsidRPr="00842A01">
        <w:rPr>
          <w:rFonts w:ascii="Times New Roman" w:hAnsi="Times New Roman" w:cs="Times New Roman"/>
        </w:rPr>
        <w:t xml:space="preserve"> </w:t>
      </w:r>
      <w:r w:rsidR="00503DA2"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{"citationItems":[{"id":"ITEM-1","itemData":{"DOI":"10.1212/wnl.36.10.1390","ISSN":"0028-3878","author":[{"dropping-particle":"","family":"Grady","given":"C L","non-dropping-particle":"","parse-names":false,"suffix":""},{"dropping-particle":"V","family":"Haxby","given":"J","non-dropping-particle":"","parse-names":false,"suffix":""},{"dropping-particle":"","family":"Schlageter","given":"N L","non-dropping-particle":"","parse-names":false,"suffix":""},{"dropping-particle":"","family":"Berg","given":"G","non-dropping-particle":"","parse-names":false,"suffix":""},{"dropping-particle":"","family":"Rapoport","given":"S I","non-dropping-particle":"","parse-names":false,"suffix":""}],"container-title":"Neurology","id":"ITEM-1","issue":"10","issued":{"date-parts":[["1986"]]},"page":"1390-1392","publisher":"Ovid Technologies (Wolters Kluwer Health)","title":"Stability of metabolic and neuropsychological asymmetries in dementia of the Alzheimer type","type":"article-journal","volume":"36"},"uris":["http://www.mendeley.com/documents/?uuid=ae4bf028-a887-4d79-ad6e-ab5d0a3f9c0a"]},{"id":"ITEM-2","itemData":{"DOI":"10.1093/brain/awv229","ISSN":"1460-2156 (Electronic)","PMID":"26280595","abstract":"Clinical Alzheimer's disease affects both cerebral hemispheres to a similar degree in clinically typical cases. However, in atypical variants like logopenic progressive aphasia, neurodegeneration often presents asymmetrically. Yet, no in vivo imaging study has investigated whether lateralized neurodegeneration corresponds to lateralized amyloid-beta burden. Therefore, using combined (11)C-Pittsburgh compound B and (18)F-fluorodeoxyglucose positron emission tomography, we explored whether asymmetric amyloid-beta deposition in Alzheimer's disease is associated with asymmetric hypometabolism and clinical symptoms. From our database of patients who underwent positron emission tomography with both (11)C-Pittsburgh compound B and (18)F-fluorodeoxyglucose (n = 132), we included all amyloid-positive patients with prodromal or mild-to-moderate Alzheimer's disease (n = 69). The relationship between (11)C-Pittsburgh compound B binding potential and (18)F-fluorodeoxyglucose uptake was assessed in atlas-based regions of interest covering the entire cerebral cortex. Lateralizations of amyloid-beta and hypometabolism were tested for associations with each other and with type and severity of cognitive symptoms. Positive correlations between asymmetries of Pittsburgh compound B binding potential and hypometabolism were detected in 6 of 25 regions (angular gyrus, middle frontal gyrus, middle occipital gyrus, superior parietal gyrus, inferior and middle temporal gyrus), i.e. hypometabolism was more pronounced on the side of greater amyloid-beta deposition (range: r = 0.41 to 0.53, all P &lt; 0.001). Stronger leftward asymmetry of amyloid-beta deposition was associated with more severe language impairment (P &lt; 0.05), and stronger rightward asymmetry with more severe visuospatial impairment (at trend level, P = 0.073). Similarly, patients with predominance of language deficits showed more left-lateralized amyloid-beta burden and hypometabolism than patients with predominant visuospatial impairment and vice versa in several cortical regions. Associations between amyloid-beta deposition and hypometabolism or cognitive impairment were predominantly observed in brain regions with high amyloid-beta load. The relationship between asymmetries of amyloid-beta deposition and hypometabolism in cortical regions with high amyloid-beta load is in line with the detrimental effect of amyloid-beta burden on neuronal function. Asymmetries were also concordant with lateralized cognitive symptom…","author":[{"dropping-particle":"","family":"Frings","given":"Lars","non-dropping-particle":"","parse-names":false,"suffix":""},{"dropping-particle":"","family":"Hellwig","given":"Sabine","non-dropping-particle":"","parse-names":false,"suffix":""},{"dropping-particle":"","family":"Spehl","given":"Timo S","non-dropping-particle":"","parse-names":false,"suffix":""},{"dropping-particle":"","family":"Bormann","given":"Tobias","non-dropping-particle":"","parse-names":false,"suffix":""},{"dropping-particle":"","family":"Buchert","given":"Ralph","non-dropping-particle":"","parse-names":false,"suffix":""},{"dropping-particle":"","family":"Vach","given":"Werner","non-dropping-particle":"","parse-names":false,"suffix":""},{"dropping-particle":"","family":"Minkova","given":"Lora","non-dropping-particle":"","parse-names":false,"suffix":""},{"dropping-particle":"","family":"Heimbach","given":"Bernhard","non-dropping-particle":"","parse-names":false,"suffix":""},{"dropping-particle":"","family":"Kloppel","given":"Stefan","non-dropping-particle":"","parse-names":false,"suffix":""},{"dropping-particle":"","family":"Meyer","given":"Philipp T","non-dropping-particle":"","parse-names":false,"suffix":""}],"container-title":"Brain : a journal of neurology","id":"ITEM-2","issue":"Pt 10","issued":{"date-parts":[["2015","10"]]},"language":"eng","page":"3089-3099","publisher-place":"England","title":"Asymmetries of amyloid-beta burden and neuronal dysfunction are positively correlated in Alzheimer's disease.","type":"article-journal","volume":"138"},"uris":["http://www.mendeley.com/documents/?uuid=3c1c48fe-568e-47dd-bc10-1d9f9c361f3a"]}],"mendeley":{"formattedCitation":"[6,18]","plainTextFormattedCitation":"[6,18]","previouslyFormattedCitation":"[6,18]"},"properties":{"noteIndex":0},"schema":"https://github.com/citation-style-language/schema/raw/master/csl-citation.json"}</w:instrText>
      </w:r>
      <w:r w:rsidR="00503DA2" w:rsidRPr="00842A01">
        <w:rPr>
          <w:rFonts w:ascii="Times New Roman" w:hAnsi="Times New Roman" w:cs="Times New Roman"/>
        </w:rPr>
        <w:fldChar w:fldCharType="separate"/>
      </w:r>
      <w:r w:rsidR="000F5BEC" w:rsidRPr="00842A01">
        <w:rPr>
          <w:rFonts w:ascii="Times New Roman" w:hAnsi="Times New Roman" w:cs="Times New Roman"/>
          <w:noProof/>
        </w:rPr>
        <w:t>[6,18]</w:t>
      </w:r>
      <w:r w:rsidR="00503DA2" w:rsidRPr="00842A01">
        <w:rPr>
          <w:rFonts w:ascii="Times New Roman" w:hAnsi="Times New Roman" w:cs="Times New Roman"/>
        </w:rPr>
        <w:fldChar w:fldCharType="end"/>
      </w:r>
      <w:r w:rsidR="00503DA2" w:rsidRPr="00842A01">
        <w:rPr>
          <w:rFonts w:ascii="Times New Roman" w:hAnsi="Times New Roman" w:cs="Times New Roman"/>
        </w:rPr>
        <w:t xml:space="preserve">. </w:t>
      </w:r>
      <w:r w:rsidR="00A4053C" w:rsidRPr="00842A01">
        <w:rPr>
          <w:rFonts w:ascii="Times New Roman" w:hAnsi="Times New Roman" w:cs="Times New Roman"/>
        </w:rPr>
        <w:t>P</w:t>
      </w:r>
      <w:r w:rsidR="00503DA2" w:rsidRPr="00842A01">
        <w:rPr>
          <w:rFonts w:ascii="Times New Roman" w:hAnsi="Times New Roman" w:cs="Times New Roman"/>
        </w:rPr>
        <w:t xml:space="preserve">athological markers of amyloid-β deposition </w:t>
      </w:r>
      <w:r w:rsidR="00503DA2"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{"citationItems":[{"id":"ITEM-1","itemData":{"DOI":"10.1093/brain/awv229","ISSN":"1460-2156 (Electronic)","PMID":"26280595","abstract":"Clinical Alzheimer's disease affects both cerebral hemispheres to a similar degree in clinically typical cases. However, in atypical variants like logopenic progressive aphasia, neurodegeneration often presents asymmetrically. Yet, no in vivo imaging study has investigated whether lateralized neurodegeneration corresponds to lateralized amyloid-beta burden. Therefore, using combined (11)C-Pittsburgh compound B and (18)F-fluorodeoxyglucose positron emission tomography, we explored whether asymmetric amyloid-beta deposition in Alzheimer's disease is associated with asymmetric hypometabolism and clinical symptoms. From our database of patients who underwent positron emission tomography with both (11)C-Pittsburgh compound B and (18)F-fluorodeoxyglucose (n = 132), we included all amyloid-positive patients with prodromal or mild-to-moderate Alzheimer's disease (n = 69). The relationship between (11)C-Pittsburgh compound B binding potential and (18)F-fluorodeoxyglucose uptake was assessed in atlas-based regions of interest covering the entire cerebral cortex. Lateralizations of amyloid-beta and hypometabolism were tested for associations with each other and with type and severity of cognitive symptoms. Positive correlations between asymmetries of Pittsburgh compound B binding potential and hypometabolism were detected in 6 of 25 regions (angular gyrus, middle frontal gyrus, middle occipital gyrus, superior parietal gyrus, inferior and middle temporal gyrus), i.e. hypometabolism was more pronounced on the side of greater amyloid-beta deposition (range: r = 0.41 to 0.53, all P &lt; 0.001). Stronger leftward asymmetry of amyloid-beta deposition was associated with more severe language impairment (P &lt; 0.05), and stronger rightward asymmetry with more severe visuospatial impairment (at trend level, P = 0.073). Similarly, patients with predominance of language deficits showed more left-lateralized amyloid-beta burden and hypometabolism than patients with predominant visuospatial impairment and vice versa in several cortical regions. Associations between amyloid-beta deposition and hypometabolism or cognitive impairment were predominantly observed in brain regions with high amyloid-beta load. The relationship between asymmetries of amyloid-beta deposition and hypometabolism in cortical regions with high amyloid-beta load is in line with the detrimental effect of amyloid-beta burden on neuronal function. Asymmetries were also concordant with lateralized cognitive symptom…","author":[{"dropping-particle":"","family":"Frings","given":"Lars","non-dropping-particle":"","parse-names":false,"suffix":""},{"dropping-particle":"","family":"Hellwig","given":"Sabine","non-dropping-particle":"","parse-names":false,"suffix":""},{"dropping-particle":"","family":"Spehl","given":"Timo S","non-dropping-particle":"","parse-names":false,"suffix":""},{"dropping-particle":"","family":"Bormann","given":"Tobias","non-dropping-particle":"","parse-names":false,"suffix":""},{"dropping-particle":"","family":"Buchert","given":"Ralph","non-dropping-particle":"","parse-names":false,"suffix":""},{"dropping-particle":"","family":"Vach","given":"Werner","non-dropping-particle":"","parse-names":false,"suffix":""},{"dropping-particle":"","family":"Minkova","given":"Lora","non-dropping-particle":"","parse-names":false,"suffix":""},{"dropping-particle":"","family":"Heimbach","given":"Bernhard","non-dropping-particle":"","parse-names":false,"suffix":""},{"dropping-particle":"","family":"Kloppel","given":"Stefan","non-dropping-particle":"","parse-names":false,"suffix":""},{"dropping-particle":"","family":"Meyer","given":"Philipp T","non-dropping-particle":"","parse-names":false,"suffix":""}],"container-title":"Brain : a journal of neurology","id":"ITEM-1","issue":"Pt 10","issued":{"date-parts":[["2015","10"]]},"language":"eng","page":"3089-3099","publisher-place":"England","title":"Asymmetries of amyloid-beta burden and neuronal dysfunction are positively correlated in Alzheimer's disease.","type":"article-journal","volume":"138"},"uris":["http://www.mendeley.com/documents/?uuid=3c1c48fe-568e-47dd-bc10-1d9f9c361f3a"]}],"mendeley":{"formattedCitation":"[6]","plainTextFormattedCitation":"[6]","previouslyFormattedCitation":"[6]"},"properties":{"noteIndex":0},"schema":"https://github.com/citation-style-language/schema/raw/master/csl-citation.json"}</w:instrText>
      </w:r>
      <w:r w:rsidR="00503DA2" w:rsidRPr="00842A01">
        <w:rPr>
          <w:rFonts w:ascii="Times New Roman" w:hAnsi="Times New Roman" w:cs="Times New Roman"/>
        </w:rPr>
        <w:fldChar w:fldCharType="separate"/>
      </w:r>
      <w:r w:rsidR="000F5BEC" w:rsidRPr="00842A01">
        <w:rPr>
          <w:rFonts w:ascii="Times New Roman" w:hAnsi="Times New Roman" w:cs="Times New Roman"/>
          <w:noProof/>
        </w:rPr>
        <w:t>[6]</w:t>
      </w:r>
      <w:r w:rsidR="00503DA2" w:rsidRPr="00842A01">
        <w:rPr>
          <w:rFonts w:ascii="Times New Roman" w:hAnsi="Times New Roman" w:cs="Times New Roman"/>
        </w:rPr>
        <w:fldChar w:fldCharType="end"/>
      </w:r>
      <w:r w:rsidR="00503DA2" w:rsidRPr="00842A01">
        <w:rPr>
          <w:rFonts w:ascii="Times New Roman" w:hAnsi="Times New Roman" w:cs="Times New Roman"/>
        </w:rPr>
        <w:t xml:space="preserve">, and tau pathology </w:t>
      </w:r>
      <w:r w:rsidR="00503DA2" w:rsidRPr="00842A01">
        <w:rPr>
          <w:rFonts w:ascii="Times New Roman" w:hAnsi="Times New Roman" w:cs="Times New Roman"/>
        </w:rPr>
        <w:fldChar w:fldCharType="begin" w:fldLock="1"/>
      </w:r>
      <w:r w:rsidR="0041424D" w:rsidRPr="00842A01">
        <w:rPr>
          <w:rFonts w:ascii="Times New Roman" w:hAnsi="Times New Roman" w:cs="Times New Roman"/>
        </w:rPr>
        <w:instrText>ADDIN CSL_CITATION {"citationItems":[{"id":"ITEM-1","itemData":{"DOI":"10.3233/JAD-170740","ISSN":"1875-8908","abstract":"BACKGROUND: Despite common pathology, Alzheimer's disease (AD) can have multiple clinical presentations which pathological studies suggest result from differences in the regional distribution of tau pathology. Positron emission tomography (PET) ligands are now available that can detect tau proteins in vivo and hence can be used to investigate the biological mechanisms underlying atypical AD. OBJECTIVE: To assess regional patterns of tau uptake on PET imaging in two atypical AD variants, posterior cortical atrophy (PCA) and logopenic progressive aphasia (lvPPA). METHODS: Eighteen PCA and 19 lvPPA subjects that showed amyloid-β deposition on PET underwent tau-PET imaging with [18F]AV-1451. Group comparisons of tau uptake in PCA and lvPPA were performed using voxel-level and regional-level analyses. We also assessed the degree of lobar tau asymmetry and correlated regional tau uptake to age and performance on clinical evaluations. RESULTS: Both syndromes showed diffuse tau uptake throughout all cortical regions, although PCA showed greater uptake in occipital regions compared to lvPPA, and lvPPA showed greater uptake in left frontal and temporal regions compared to PCA. While lvPPA showed predominant left-asymmetric tau deposition, PCA was more bilateral. Younger subjects showed greater tau uptake bilaterally in frontal and parietal lobes than older subjects, and sentence repetition, Boston naming test, simultanagnosia, and visuoperceptual function showed specific regional tau correlates. CONCLUSION: Tau deposition is closely related to clinical presentation in atypical AD with age playing a role in determining the degree of cortical tau deposition.","author":[{"dropping-particle":"","family":"Tetzloff","given":"Katerina A","non-dropping-particle":"","parse-names":false,"suffix":""},{"dropping-particle":"","family":"Graff-Radford","given":"Jonathan","non-dropping-particle":"","parse-names":false,"suffix":""},{"dropping-particle":"","family":"Martin","given":"Peter R","non-dropping-particle":"","parse-names":false,"suffix":""},{"dropping-particle":"","family":"Tosakulwong","given":"Nirubol","non-dropping-particle":"","parse-names":false,"suffix":""},{"dropping-particle":"","family":"Machulda","given":"Mary M","non-dropping-particle":"","parse-names":false,"suffix":""},{"dropping-particle":"","family":"Duffy","given":"Joseph R","non-dropping-particle":"","parse-names":false,"suffix":""},{"dropping-particle":"","family":"Clark","given":"Heather M","non-dropping-particle":"","parse-names":false,"suffix":""},{"dropping-particle":"","family":"Senjem","given":"Matthew L","non-dropping-particle":"","parse-names":false,"suffix":""},{"dropping-particle":"","family":"Schwarz","given":"Christopher G","non-dropping-particle":"","parse-names":false,"suffix":""},{"dropping-particle":"","family":"Spychalla","given":"Anthony J","non-dropping-particle":"","parse-names":false,"suffix":""},{"dropping-particle":"","family":"Drubach","given":"Daniel A","non-dropping-particle":"","parse-names":false,"suffix":""},{"dropping-particle":"","family":"Jack","given":"Clifford R","non-dropping-particle":"","parse-names":false,"suffix":""},{"dropping-particle":"","family":"Lowe","given":"Val J","non-dropping-particle":"","parse-names":false,"suffix":""},{"dropping-particle":"","family":"Josephs","given":"Keith A","non-dropping-particle":"","parse-names":false,"suffix":""},{"dropping-particle":"","family":"Whitwell","given":"Jennifer L","non-dropping-particle":"","parse-names":false,"suffix":""}],"container-title":"Journal of Alzheimer's disease : JAD","id":"ITEM-1","issue":"4","issued":{"date-parts":[["2018"]]},"language":"eng","page":"1713-1724","title":"Regional Distribution, Asymmetry, and Clinical Correlates of Tau Uptake on [18F]AV-1451 PET in Atypical Alzheimer's Disease","type":"article-journal","volume":"62"},"uris":["http://www.mendeley.com/documents/?uuid=6d501063-9d17-40ea-b14e-79a1734b14b4"]}],"mendeley":{"formattedCitation":"[15]","plainTextFormattedCitation":"[15]","previouslyFormattedCitation":"[15]"},"properties":{"noteIndex":0},"schema":"https://github.com/citation-style-language/schema/raw/master/csl-citation.json"}</w:instrText>
      </w:r>
      <w:r w:rsidR="00503DA2" w:rsidRPr="00842A01">
        <w:rPr>
          <w:rFonts w:ascii="Times New Roman" w:hAnsi="Times New Roman" w:cs="Times New Roman"/>
        </w:rPr>
        <w:fldChar w:fldCharType="separate"/>
      </w:r>
      <w:r w:rsidR="00261C05" w:rsidRPr="00842A01">
        <w:rPr>
          <w:rFonts w:ascii="Times New Roman" w:hAnsi="Times New Roman" w:cs="Times New Roman"/>
          <w:noProof/>
        </w:rPr>
        <w:t>[15]</w:t>
      </w:r>
      <w:r w:rsidR="00503DA2" w:rsidRPr="00842A01">
        <w:rPr>
          <w:rFonts w:ascii="Times New Roman" w:hAnsi="Times New Roman" w:cs="Times New Roman"/>
        </w:rPr>
        <w:fldChar w:fldCharType="end"/>
      </w:r>
      <w:r w:rsidR="00503DA2" w:rsidRPr="00842A01">
        <w:rPr>
          <w:rFonts w:ascii="Times New Roman" w:hAnsi="Times New Roman" w:cs="Times New Roman"/>
        </w:rPr>
        <w:t xml:space="preserve"> are also asymmetrical</w:t>
      </w:r>
      <w:r w:rsidR="00A4053C" w:rsidRPr="00842A01">
        <w:rPr>
          <w:rFonts w:ascii="Times New Roman" w:hAnsi="Times New Roman" w:cs="Times New Roman"/>
        </w:rPr>
        <w:t>. A</w:t>
      </w:r>
      <w:r w:rsidR="00910568" w:rsidRPr="00842A01">
        <w:rPr>
          <w:rFonts w:ascii="Times New Roman" w:hAnsi="Times New Roman" w:cs="Times New Roman"/>
        </w:rPr>
        <w:t xml:space="preserve">myloid and tau asymmetry </w:t>
      </w:r>
      <w:r w:rsidR="00A4053C" w:rsidRPr="00842A01">
        <w:rPr>
          <w:rFonts w:ascii="Times New Roman" w:hAnsi="Times New Roman" w:cs="Times New Roman"/>
        </w:rPr>
        <w:t>are</w:t>
      </w:r>
      <w:r w:rsidR="00910568" w:rsidRPr="00842A01">
        <w:rPr>
          <w:rFonts w:ascii="Times New Roman" w:hAnsi="Times New Roman" w:cs="Times New Roman"/>
        </w:rPr>
        <w:t xml:space="preserve"> positively correlated across regions typically affected with AD pathology, </w:t>
      </w:r>
      <w:r w:rsidR="0012001D" w:rsidRPr="00842A01">
        <w:rPr>
          <w:rFonts w:ascii="Times New Roman" w:hAnsi="Times New Roman" w:cs="Times New Roman"/>
        </w:rPr>
        <w:t xml:space="preserve">suggesting that the two pathologies interact locally </w:t>
      </w:r>
      <w:r w:rsidR="00AB584D" w:rsidRPr="00842A01">
        <w:rPr>
          <w:rFonts w:ascii="Times New Roman" w:hAnsi="Times New Roman" w:cs="Times New Roman"/>
        </w:rPr>
        <w:fldChar w:fldCharType="begin" w:fldLock="1"/>
      </w:r>
      <w:r w:rsidR="0041424D" w:rsidRPr="00842A01">
        <w:rPr>
          <w:rFonts w:ascii="Times New Roman" w:hAnsi="Times New Roman" w:cs="Times New Roman"/>
        </w:rPr>
        <w:instrText>ADDIN CSL_CITATION {"citationItems":[{"id":"ITEM-1","itemData":{"DOI":"10.1016/j.jalz.2018.06.2047","ISSN":"1552-5260","author":[{"dropping-particle":"","family":"Jacobs","given":"Heidi I L","non-dropping-particle":"","parse-names":false,"suffix":""},{"dropping-particle":"","family":"Hanseeuw","given":"Bernard J","non-dropping-particle":"","parse-names":false,"suffix":""},{"dropping-particle":"","family":"Vannini","given":"Patrizia","non-dropping-particle":"","parse-names":false,"suffix":""},{"dropping-particle":"","family":"Price","given":"Julie C","non-dropping-particle":"","parse-names":false,"suffix":""},{"dropping-particle":"","family":"Dutta","given":"Joyita","non-dropping-particle":"","parse-names":false,"suffix":""},{"dropping-particle":"","family":"Becker","given":"Alex","non-dropping-particle":"","parse-names":false,"suffix":""},{"dropping-particle":"","family":"Pase","given":"Matthew P","non-dropping-particle":"","parse-names":false,"suffix":""},{"dropping-particle":"","family":"Satizabal","given":"Claudia L","non-dropping-particle":"","parse-names":false,"suffix":""},{"dropping-particle":"","family":"Beiser","given":"Alexa S","non-dropping-particle":"","parse-names":false,"suffix":""},{"dropping-particle":"","family":"Demissie","given":"Serkalem","non-dropping-particle":"","parse-names":false,"suffix":""},{"dropping-particle":"","family":"Daniluk","given":"Dan","non-dropping-particle":"","parse-names":false,"suffix":""},{"dropping-particle":"","family":"Schafer","given":"Colin","non-dropping-particle":"","parse-names":false,"suffix":""},{"dropping-particle":"","family":"Peets","given":"Bryanne","non-dropping-particle":"","parse-names":false,"suffix":""},{"dropping-particle":"","family":"Killiany","given":"Ronald","non-dropping-particle":"","parse-names":false,"suffix":""},{"dropping-particle":"","family":"Sperling","given":"Reisa A","non-dropping-particle":"","parse-names":false,"suffix":""},{"dropping-particle":"","family":"DeCarli","given":"Charlie S","non-dropping-particle":"","parse-names":false,"suffix":""},{"dropping-particle":"","family":"Seshadri","given":"Sudha","non-dropping-particle":"","parse-names":false,"suffix":""},{"dropping-particle":"","family":"Johnson","given":"Keith A","non-dropping-particle":"","parse-names":false,"suffix":""}],"container-title":"Alzheimer's &amp; Dementia","id":"ITEM-1","issue":"7","issued":{"date-parts":[["2018","7","1"]]},"note":"doi: 10.1016/j.jalz.2018.06.2047","page":"4-5","publisher":"Elsevier","title":"Regional Asymmetries in Amyloid and Tau Go Together: Evidence for Local Interaction","type":"article-journal","volume":"14"},"uris":["http://www.mendeley.com/documents/?uuid=7c0ac72a-873f-4d31-bb87-9431b249d72d"]}],"mendeley":{"formattedCitation":"[19]","plainTextFormattedCitation":"[19]","previouslyFormattedCitation":"[19]"},"properties":{"noteIndex":0},"schema":"https://github.com/citation-style-language/schema/raw/master/csl-citation.json"}</w:instrText>
      </w:r>
      <w:r w:rsidR="00AB584D" w:rsidRPr="00842A01">
        <w:rPr>
          <w:rFonts w:ascii="Times New Roman" w:hAnsi="Times New Roman" w:cs="Times New Roman"/>
        </w:rPr>
        <w:fldChar w:fldCharType="separate"/>
      </w:r>
      <w:r w:rsidR="00261C05" w:rsidRPr="00842A01">
        <w:rPr>
          <w:rFonts w:ascii="Times New Roman" w:hAnsi="Times New Roman" w:cs="Times New Roman"/>
          <w:noProof/>
        </w:rPr>
        <w:t>[19]</w:t>
      </w:r>
      <w:r w:rsidR="00AB584D" w:rsidRPr="00842A01">
        <w:rPr>
          <w:rFonts w:ascii="Times New Roman" w:hAnsi="Times New Roman" w:cs="Times New Roman"/>
        </w:rPr>
        <w:fldChar w:fldCharType="end"/>
      </w:r>
      <w:r w:rsidR="00AB584D" w:rsidRPr="00842A01">
        <w:rPr>
          <w:rFonts w:ascii="Times New Roman" w:hAnsi="Times New Roman" w:cs="Times New Roman"/>
        </w:rPr>
        <w:t>. Additionally, asymmetries</w:t>
      </w:r>
      <w:r w:rsidR="00A4053C" w:rsidRPr="00842A01">
        <w:rPr>
          <w:rFonts w:ascii="Times New Roman" w:hAnsi="Times New Roman" w:cs="Times New Roman"/>
        </w:rPr>
        <w:t xml:space="preserve"> </w:t>
      </w:r>
      <w:r w:rsidR="00460EC2" w:rsidRPr="00842A01">
        <w:rPr>
          <w:rFonts w:ascii="Times New Roman" w:hAnsi="Times New Roman" w:cs="Times New Roman"/>
        </w:rPr>
        <w:t>in</w:t>
      </w:r>
      <w:r w:rsidR="00AB584D" w:rsidRPr="00842A01">
        <w:rPr>
          <w:rFonts w:ascii="Times New Roman" w:hAnsi="Times New Roman" w:cs="Times New Roman"/>
        </w:rPr>
        <w:t xml:space="preserve"> different cerebral structures have also been found to correlate with one another, which might suggest a common u</w:t>
      </w:r>
      <w:r w:rsidR="009B7A06" w:rsidRPr="00842A01">
        <w:rPr>
          <w:rFonts w:ascii="Times New Roman" w:hAnsi="Times New Roman" w:cs="Times New Roman"/>
        </w:rPr>
        <w:t>nderlying pathology driving asymmetrical alterations</w:t>
      </w:r>
      <w:r w:rsidR="00AB584D" w:rsidRPr="00842A01">
        <w:rPr>
          <w:rFonts w:ascii="Times New Roman" w:hAnsi="Times New Roman" w:cs="Times New Roman"/>
        </w:rPr>
        <w:t xml:space="preserve"> </w:t>
      </w:r>
      <w:r w:rsidR="00AB584D" w:rsidRPr="00842A01">
        <w:rPr>
          <w:rFonts w:ascii="Times New Roman" w:hAnsi="Times New Roman" w:cs="Times New Roman"/>
        </w:rPr>
        <w:fldChar w:fldCharType="begin" w:fldLock="1"/>
      </w:r>
      <w:r w:rsidR="0041424D" w:rsidRPr="00842A01">
        <w:rPr>
          <w:rFonts w:ascii="Times New Roman" w:hAnsi="Times New Roman" w:cs="Times New Roman"/>
        </w:rPr>
        <w:instrText>ADDIN CSL_CITATION {"citationItems":[{"id":"ITEM-1","itemData":{"DOI":"10.1212/WNL.39.4.541","abstract":"We detected croased cerebellar as well as uncrossed basal ganglia and thalamic diaschisis in Alzheimer&amp;#039;s disease by positron emission tomography (PET) using 18F-fluorodeoxyglucose. We studied a series of 26 consecutive, clinically diagnosed Alzheimer cases, including 6 proven by later autopsy, and compared them with 9 age-matched controls. We calculated asymmetry indices (AIs) of cerebral metabolic rate for matched left-right regions of interest (ROIs) and determined the extent of diaschisis by correlative analyses. For the Alzheimer pup, we found cerebellar Ah correlated negatively, and thalamic AIs positively, with those of the cerebral hemisphere and fmntal, temporal, parietal, and angular cortices, while basal ganglia AIs correlated positively with frontal cortical AIs. The only significant correlation of AIs for normal subject a was between the thalamus and cerebral hemisphere. These data indicate that PET is a sensitive technique for detecting diaschisis.","author":[{"dropping-particle":"","family":"Akiyama","given":"H","non-dropping-particle":"","parse-names":false,"suffix":""},{"dropping-particle":"","family":"Harrop","given":"R","non-dropping-particle":"","parse-names":false,"suffix":""},{"dropping-particle":"","family":"McGeer","given":"P L","non-dropping-particle":"","parse-names":false,"suffix":""},{"dropping-particle":"","family":"Peppard","given":"R","non-dropping-particle":"","parse-names":false,"suffix":""},{"dropping-particle":"","family":"McGeer","given":"E G","non-dropping-particle":"","parse-names":false,"suffix":""}],"container-title":"Neurology","id":"ITEM-1","issue":"4","issued":{"date-parts":[["1989","4","1"]]},"page":"541 - 548","title":"Crossed cerebellar and uncrossed basal ganglia and thalamic diaschisis in Alzheimer's disease","type":"article-journal","volume":"39"},"uris":["http://www.mendeley.com/documents/?uuid=8b9525eb-1913-4052-a1a7-e9f8b856eaeb"]}],"mendeley":{"formattedCitation":"[20]","plainTextFormattedCitation":"[20]","previouslyFormattedCitation":"[20]"},"properties":{"noteIndex":0},"schema":"https://github.com/citation-style-language/schema/raw/master/csl-citation.json"}</w:instrText>
      </w:r>
      <w:r w:rsidR="00AB584D" w:rsidRPr="00842A01">
        <w:rPr>
          <w:rFonts w:ascii="Times New Roman" w:hAnsi="Times New Roman" w:cs="Times New Roman"/>
        </w:rPr>
        <w:fldChar w:fldCharType="separate"/>
      </w:r>
      <w:r w:rsidR="00261C05" w:rsidRPr="00842A01">
        <w:rPr>
          <w:rFonts w:ascii="Times New Roman" w:hAnsi="Times New Roman" w:cs="Times New Roman"/>
          <w:noProof/>
        </w:rPr>
        <w:t>[20]</w:t>
      </w:r>
      <w:r w:rsidR="00AB584D" w:rsidRPr="00842A01">
        <w:rPr>
          <w:rFonts w:ascii="Times New Roman" w:hAnsi="Times New Roman" w:cs="Times New Roman"/>
        </w:rPr>
        <w:fldChar w:fldCharType="end"/>
      </w:r>
      <w:r w:rsidR="00C60A7E" w:rsidRPr="00842A01">
        <w:rPr>
          <w:rFonts w:ascii="Times New Roman" w:hAnsi="Times New Roman" w:cs="Times New Roman"/>
        </w:rPr>
        <w:t xml:space="preserve">. </w:t>
      </w:r>
    </w:p>
    <w:p w14:paraId="79A879B2" w14:textId="048286B2" w:rsidR="00231E82" w:rsidRPr="00842A01" w:rsidRDefault="006A134A" w:rsidP="00231E82">
      <w:pPr>
        <w:spacing w:line="480" w:lineRule="auto"/>
        <w:jc w:val="both"/>
        <w:rPr>
          <w:rFonts w:ascii="Times New Roman" w:hAnsi="Times New Roman" w:cs="Times New Roman"/>
          <w:color w:val="000000"/>
          <w:shd w:val="clear" w:color="auto" w:fill="FFFFFF"/>
        </w:rPr>
      </w:pPr>
      <w:r w:rsidRPr="00842A01">
        <w:rPr>
          <w:rFonts w:ascii="Times New Roman" w:hAnsi="Times New Roman" w:cs="Times New Roman"/>
        </w:rPr>
        <w:tab/>
      </w:r>
      <w:r w:rsidR="00314D9B" w:rsidRPr="00842A01">
        <w:rPr>
          <w:rFonts w:ascii="Times New Roman" w:hAnsi="Times New Roman" w:cs="Times New Roman"/>
        </w:rPr>
        <w:t xml:space="preserve">Most studies assessing </w:t>
      </w:r>
      <w:r w:rsidR="00231E82" w:rsidRPr="00842A01">
        <w:rPr>
          <w:rFonts w:ascii="Times New Roman" w:hAnsi="Times New Roman" w:cs="Times New Roman"/>
        </w:rPr>
        <w:t>cerebral</w:t>
      </w:r>
      <w:r w:rsidR="00314D9B" w:rsidRPr="00842A01">
        <w:rPr>
          <w:rFonts w:ascii="Times New Roman" w:hAnsi="Times New Roman" w:cs="Times New Roman"/>
        </w:rPr>
        <w:t xml:space="preserve"> asymmetry in AD have</w:t>
      </w:r>
      <w:r w:rsidR="00231E82" w:rsidRPr="00842A01">
        <w:rPr>
          <w:rFonts w:ascii="Times New Roman" w:hAnsi="Times New Roman" w:cs="Times New Roman"/>
        </w:rPr>
        <w:t xml:space="preserve"> largely focused on the hippocampus</w:t>
      </w:r>
      <w:r w:rsidR="006B2ECA" w:rsidRPr="00842A01">
        <w:rPr>
          <w:rFonts w:ascii="Times New Roman" w:hAnsi="Times New Roman" w:cs="Times New Roman"/>
        </w:rPr>
        <w:t>.</w:t>
      </w:r>
      <w:r w:rsidR="00231E82" w:rsidRPr="00842A01">
        <w:rPr>
          <w:rFonts w:ascii="Times New Roman" w:hAnsi="Times New Roman" w:cs="Times New Roman"/>
        </w:rPr>
        <w:t xml:space="preserve"> </w:t>
      </w:r>
      <w:r w:rsidR="00507AE8" w:rsidRPr="00842A01">
        <w:rPr>
          <w:rFonts w:ascii="Times New Roman" w:hAnsi="Times New Roman" w:cs="Times New Roman"/>
        </w:rPr>
        <w:t xml:space="preserve">However, </w:t>
      </w:r>
      <w:r w:rsidR="00231E82" w:rsidRPr="00842A01">
        <w:rPr>
          <w:rFonts w:ascii="Times New Roman" w:hAnsi="Times New Roman" w:cs="Times New Roman"/>
          <w:color w:val="000000"/>
          <w:shd w:val="clear" w:color="auto" w:fill="FFFFFF"/>
        </w:rPr>
        <w:t>str</w:t>
      </w:r>
      <w:r w:rsidR="00507AE8" w:rsidRPr="00842A01">
        <w:rPr>
          <w:rFonts w:ascii="Times New Roman" w:hAnsi="Times New Roman" w:cs="Times New Roman"/>
          <w:color w:val="000000"/>
          <w:shd w:val="clear" w:color="auto" w:fill="FFFFFF"/>
        </w:rPr>
        <w:t xml:space="preserve">uctures in the Papez circuit have </w:t>
      </w:r>
      <w:r w:rsidR="009F1418" w:rsidRPr="00842A01">
        <w:rPr>
          <w:rFonts w:ascii="Times New Roman" w:hAnsi="Times New Roman" w:cs="Times New Roman"/>
          <w:color w:val="000000"/>
          <w:shd w:val="clear" w:color="auto" w:fill="FFFFFF"/>
        </w:rPr>
        <w:t xml:space="preserve">also </w:t>
      </w:r>
      <w:r w:rsidR="00507AE8" w:rsidRPr="00842A01">
        <w:rPr>
          <w:rFonts w:ascii="Times New Roman" w:hAnsi="Times New Roman" w:cs="Times New Roman"/>
          <w:color w:val="000000"/>
          <w:shd w:val="clear" w:color="auto" w:fill="FFFFFF"/>
        </w:rPr>
        <w:t>been</w:t>
      </w:r>
      <w:r w:rsidR="00231E82" w:rsidRPr="00842A01">
        <w:rPr>
          <w:rFonts w:ascii="Times New Roman" w:hAnsi="Times New Roman" w:cs="Times New Roman"/>
          <w:color w:val="000000"/>
          <w:shd w:val="clear" w:color="auto" w:fill="FFFFFF"/>
        </w:rPr>
        <w:t xml:space="preserve"> implicated in AD pathology </w:t>
      </w:r>
      <w:r w:rsidR="00231E82" w:rsidRPr="00842A01">
        <w:rPr>
          <w:rFonts w:ascii="Times New Roman" w:hAnsi="Times New Roman" w:cs="Times New Roman"/>
          <w:color w:val="000000"/>
          <w:shd w:val="clear" w:color="auto" w:fill="FFFFFF"/>
        </w:rPr>
        <w:fldChar w:fldCharType="begin" w:fldLock="1"/>
      </w:r>
      <w:r w:rsidR="0041424D" w:rsidRPr="00842A01">
        <w:rPr>
          <w:rFonts w:ascii="Times New Roman" w:hAnsi="Times New Roman" w:cs="Times New Roman"/>
          <w:color w:val="000000"/>
          <w:shd w:val="clear" w:color="auto" w:fill="FFFFFF"/>
        </w:rPr>
        <w:instrText>ADDIN CSL_CITATION {"citationItems":[{"id":"ITEM-1","itemData":{"DOI":"10.1093/brain/aww083","ISSN":"1460-2156 (Electronic)","PMID":"27190025","abstract":"It is widely assumed that incipient protein pathology in the medial temporal lobe instigates the loss of episodic memory in Alzheimer's disease, one of the earliest cognitive deficits in this type of dementia. Within this region, the hippocampus is seen as the most vital for episodic memory. Consequently, research into the causes of memory loss in Alzheimer's disease continues to centre on hippocampal dysfunction and how disease-modifying therapies in this region can potentially alleviate memory symptomology. The present review questions this entrenched notion by bringing together findings from post-mortem studies, non-invasive imaging (including studies of presymptomatic, at-risk cases) and genetically modified animal models. The combined evidence indicates that the loss of episodic memory in early Alzheimer's disease reflects much wider neurodegeneration in an extended mnemonic system (Papez circuit), which critically involves the limbic thalamus. Within this system, the anterior thalamic nuclei are prominent, both for their vital contributions to episodic memory and for how these same nuclei appear vulnerable in prodromal Alzheimer's disease. As thalamic abnormalities occur in some of the earliest stages of the disease, the idea that such changes are merely secondary to medial temporal lobe dysfunctions is challenged. This alternate view is further strengthened by the interdependent relationship between the anterior thalamic nuclei and retrosplenial cortex, given how dysfunctions in the latter cortical area provide some of the earliest in vivo imaging evidence of prodromal Alzheimer's disease. Appreciating the importance of the anterior thalamic nuclei for memory and attention provides a more balanced understanding of Alzheimer's disease. Furthermore, this refocus on the limbic thalamus, as well as the rest of Papez circuit, would have significant implications for the diagnostics, modelling, and experimental treatment of cognitive symptoms in Alzheimer's disease.","author":[{"dropping-particle":"","family":"Aggleton","given":"John P","non-dropping-particle":"","parse-names":false,"suffix":""},{"dropping-particle":"","family":"Pralus","given":"Agathe","non-dropping-particle":"","parse-names":false,"suffix":""},{"dropping-particle":"","family":"Nelson","given":"Andrew J D","non-dropping-particle":"","parse-names":false,"suffix":""},{"dropping-particle":"","family":"Hornberger","given":"Michael","non-dropping-particle":"","parse-names":false,"suffix":""}],"container-title":"Brain","id":"ITEM-1","issue":"Pt 7","issued":{"date-parts":[["2016","7"]]},"language":"eng","page":"1877-1890","publisher-place":"England","title":"Thalamic pathology and memory loss in early Alzheimer's disease: moving the focus from the medial temporal lobe to Papez circuit.","type":"article-journal","volume":"139"},"uris":["http://www.mendeley.com/documents/?uuid=7df14679-8aa5-4f69-9fef-986afa63004c"]}],"mendeley":{"formattedCitation":"[21]","plainTextFormattedCitation":"[21]","previouslyFormattedCitation":"[21]"},"properties":{"noteIndex":0},"schema":"https://github.com/citation-style-language/schema/raw/master/csl-citation.json"}</w:instrText>
      </w:r>
      <w:r w:rsidR="00231E82" w:rsidRPr="00842A01">
        <w:rPr>
          <w:rFonts w:ascii="Times New Roman" w:hAnsi="Times New Roman" w:cs="Times New Roman"/>
          <w:color w:val="000000"/>
          <w:shd w:val="clear" w:color="auto" w:fill="FFFFFF"/>
        </w:rPr>
        <w:fldChar w:fldCharType="separate"/>
      </w:r>
      <w:r w:rsidR="00261C05" w:rsidRPr="00842A01">
        <w:rPr>
          <w:rFonts w:ascii="Times New Roman" w:hAnsi="Times New Roman" w:cs="Times New Roman"/>
          <w:noProof/>
          <w:color w:val="000000"/>
          <w:shd w:val="clear" w:color="auto" w:fill="FFFFFF"/>
        </w:rPr>
        <w:t>[21]</w:t>
      </w:r>
      <w:r w:rsidR="00231E82" w:rsidRPr="00842A01">
        <w:rPr>
          <w:rFonts w:ascii="Times New Roman" w:hAnsi="Times New Roman" w:cs="Times New Roman"/>
          <w:color w:val="000000"/>
          <w:shd w:val="clear" w:color="auto" w:fill="FFFFFF"/>
        </w:rPr>
        <w:fldChar w:fldCharType="end"/>
      </w:r>
      <w:r w:rsidR="00231E82" w:rsidRPr="00842A01">
        <w:rPr>
          <w:rFonts w:ascii="Times New Roman" w:hAnsi="Times New Roman" w:cs="Times New Roman"/>
          <w:color w:val="000000"/>
          <w:shd w:val="clear" w:color="auto" w:fill="FFFFFF"/>
        </w:rPr>
        <w:t xml:space="preserve">. One </w:t>
      </w:r>
      <w:r w:rsidR="00342B0E" w:rsidRPr="00842A01">
        <w:rPr>
          <w:rFonts w:ascii="Times New Roman" w:hAnsi="Times New Roman" w:cs="Times New Roman"/>
          <w:color w:val="000000"/>
          <w:shd w:val="clear" w:color="auto" w:fill="FFFFFF"/>
        </w:rPr>
        <w:t xml:space="preserve">such </w:t>
      </w:r>
      <w:r w:rsidR="00231E82" w:rsidRPr="00842A01">
        <w:rPr>
          <w:rFonts w:ascii="Times New Roman" w:hAnsi="Times New Roman" w:cs="Times New Roman"/>
          <w:color w:val="000000"/>
          <w:shd w:val="clear" w:color="auto" w:fill="FFFFFF"/>
        </w:rPr>
        <w:lastRenderedPageBreak/>
        <w:t xml:space="preserve">structure </w:t>
      </w:r>
      <w:r w:rsidR="00342B0E" w:rsidRPr="00842A01">
        <w:rPr>
          <w:rFonts w:ascii="Times New Roman" w:hAnsi="Times New Roman" w:cs="Times New Roman"/>
          <w:color w:val="000000"/>
          <w:shd w:val="clear" w:color="auto" w:fill="FFFFFF"/>
        </w:rPr>
        <w:t xml:space="preserve">of importance </w:t>
      </w:r>
      <w:r w:rsidR="00231E82" w:rsidRPr="00842A01">
        <w:rPr>
          <w:rFonts w:ascii="Times New Roman" w:hAnsi="Times New Roman" w:cs="Times New Roman"/>
          <w:color w:val="000000"/>
          <w:shd w:val="clear" w:color="auto" w:fill="FFFFFF"/>
        </w:rPr>
        <w:t xml:space="preserve">is the thalamus </w:t>
      </w:r>
      <w:r w:rsidR="00231E82"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{"citationItems":[{"id":"ITEM-1","itemData":{"DOI":"10.1016/j.neuroimage.2009.09.001","ISSN":"1095-9572 (Electronic)","PMID":"19744568","abstract":"Alzheimer's disease (AD) is associated with neuronal loss not only in the hippocampus and amygdala but also in the thalamus. Anterodorsal, centromedial, and pulvinar nuclei are the main sites of degeneration in AD. Here we combined shape analysis and diffusion tensor imaging (DTI) tractography to study degeneration in AD in the thalamus and its connections. Structural and diffusion tensor MRI scans were obtained from 16 AD patients and 22 demographically similar healthy volunteers. The thalamus, hippocampus, and amygdala were automatically segmented using our locally developed algorithm, and group comparisons were carried out for each surface vertex. We also employed probabilistic diffusion tractography to obtain connectivity measures between individual thalamic voxels and hippocampus/amygdala voxels and to segment the internal medullary lamina (IML). Shape analysis showed significant bilateral regional atrophy in the dorsal-medial part of the thalamus in AD patients compared to controls. Probabilistic tractography demonstrated that these regions are mainly connected with the hippocampus, temporal, and prefrontal cortex. Intrathalamic FA comparisons showed reductions in the anterodorsal region of thalamus. Intrathalamic tractography from this region revealed that the IML was significantly smaller in AD patients than in controls. We suggest that these changes can be attributed to the degeneration of the anterodorsal and intralaminar nuclei, respectively. In addition, based on previous neuropathological reports, ventral and dorsal-medial shape change in the thalamus in AD patients is likely to be driven by IML atrophy. This combined shape and connectivity analysis provides MRI evidence of regional thalamic degeneration in AD.","author":[{"dropping-particle":"","family":"Zarei","given":"Mojtaba","non-dropping-particle":"","parse-names":false,"suffix":""},{"dropping-particle":"","family":"Patenaude","given":"Brian","non-dropping-particle":"","parse-names":false,"suffix":""},{"dropping-particle":"","family":"Damoiseaux","given":"Jessica","non-dropping-particle":"","parse-names":false,"suffix":""},{"dropping-particle":"","family":"Morgese","given":"Ciro","non-dropping-particle":"","parse-names":false,"suffix":""},{"dropping-particle":"","family":"Smith","given":"Steve","non-dropping-particle":"","parse-names":false,"suffix":""},{"dropping-particle":"","family":"Matthews","given":"Paul M","non-dropping-particle":"","parse-names":false,"suffix":""},{"dropping-particle":"","family":"Barkhof","given":"Frederik","non-dropping-particle":"","parse-names":false,"suffix":""},{"dropping-particle":"","family":"Rombouts","given":"Serge A","non-dropping-particle":"","parse-names":false,"suffix":""},{"dropping-particle":"","family":"Sanz-Arigita","given":"Ernesto","non-dropping-particle":"","parse-names":false,"suffix":""},{"dropping-particle":"","family":"Jenkinson","given":"Mark","non-dropping-particle":"","parse-names":false,"suffix":""}],"container-title":"NeuroImage","id":"ITEM-1","issue":"1","issued":{"date-parts":[["2010","1"]]},"language":"eng","page":"1-8","publisher-place":"United States","title":"Combining shape and connectivity analysis: an MRI study of thalamic degeneration in Alzheimer's disease.","type":"article-journal","volume":"49"},"uris":["http://www.mendeley.com/documents/?uuid=64a0e5a4-eb4d-44a1-b133-5010796f25af"]}],"mendeley":{"formattedCitation":"[22]","plainTextFormattedCitation":"[22]","previouslyFormattedCitation":"[22]"},"properties":{"noteIndex":0},"schema":"https://github.com/citation-style-language/schema/raw/master/csl-citation.json"}</w:instrText>
      </w:r>
      <w:r w:rsidR="00231E82" w:rsidRPr="00842A01">
        <w:rPr>
          <w:rFonts w:ascii="Times New Roman" w:hAnsi="Times New Roman" w:cs="Times New Roman"/>
        </w:rPr>
        <w:fldChar w:fldCharType="separate"/>
      </w:r>
      <w:r w:rsidR="00552CC9" w:rsidRPr="00842A01">
        <w:rPr>
          <w:rFonts w:ascii="Times New Roman" w:hAnsi="Times New Roman" w:cs="Times New Roman"/>
          <w:noProof/>
        </w:rPr>
        <w:t>[22]</w:t>
      </w:r>
      <w:r w:rsidR="00231E82" w:rsidRPr="00842A01">
        <w:rPr>
          <w:rFonts w:ascii="Times New Roman" w:hAnsi="Times New Roman" w:cs="Times New Roman"/>
        </w:rPr>
        <w:fldChar w:fldCharType="end"/>
      </w:r>
      <w:r w:rsidR="00231E82" w:rsidRPr="00842A01">
        <w:rPr>
          <w:rFonts w:ascii="Times New Roman" w:hAnsi="Times New Roman" w:cs="Times New Roman"/>
          <w:color w:val="000000"/>
          <w:shd w:val="clear" w:color="auto" w:fill="FFFFFF"/>
        </w:rPr>
        <w:t xml:space="preserve">, known for its function as a primary relay station, </w:t>
      </w:r>
      <w:r w:rsidR="003638DE" w:rsidRPr="00842A01">
        <w:rPr>
          <w:rFonts w:ascii="Times New Roman" w:hAnsi="Times New Roman" w:cs="Times New Roman"/>
          <w:color w:val="000000"/>
          <w:shd w:val="clear" w:color="auto" w:fill="FFFFFF"/>
        </w:rPr>
        <w:t>with</w:t>
      </w:r>
      <w:r w:rsidR="00231E82" w:rsidRPr="00842A01">
        <w:rPr>
          <w:rFonts w:ascii="Times New Roman" w:hAnsi="Times New Roman" w:cs="Times New Roman"/>
          <w:color w:val="000000"/>
          <w:shd w:val="clear" w:color="auto" w:fill="FFFFFF"/>
        </w:rPr>
        <w:t xml:space="preserve"> a crucial role in the coordination and integration of cerebral processes. Although the Braak staging of AD pathology heavily emphasizes hippocampal changes, marked neurofibrillary deposits in the thalamus have also been found at the same </w:t>
      </w:r>
      <w:r w:rsidR="003638DE" w:rsidRPr="00842A01">
        <w:rPr>
          <w:rFonts w:ascii="Times New Roman" w:hAnsi="Times New Roman" w:cs="Times New Roman"/>
          <w:color w:val="000000"/>
          <w:shd w:val="clear" w:color="auto" w:fill="FFFFFF"/>
        </w:rPr>
        <w:t xml:space="preserve">stage </w:t>
      </w:r>
      <w:r w:rsidR="00231E82" w:rsidRPr="00842A01">
        <w:rPr>
          <w:rFonts w:ascii="Times New Roman" w:hAnsi="Times New Roman" w:cs="Times New Roman"/>
          <w:color w:val="000000"/>
          <w:shd w:val="clear" w:color="auto" w:fill="FFFFFF"/>
        </w:rPr>
        <w:t xml:space="preserve">as the hippocampus (Stages III – IV), ahead of changes in other regions </w:t>
      </w:r>
      <w:r w:rsidR="00231E82" w:rsidRPr="00842A01">
        <w:rPr>
          <w:rFonts w:ascii="Times New Roman" w:hAnsi="Times New Roman" w:cs="Times New Roman"/>
          <w:color w:val="000000"/>
          <w:shd w:val="clear" w:color="auto" w:fill="FFFFFF"/>
        </w:rPr>
        <w:fldChar w:fldCharType="begin" w:fldLock="1"/>
      </w:r>
      <w:r w:rsidR="00BE7F71" w:rsidRPr="00842A01">
        <w:rPr>
          <w:rFonts w:ascii="Times New Roman" w:hAnsi="Times New Roman" w:cs="Times New Roman"/>
          <w:color w:val="000000"/>
          <w:shd w:val="clear" w:color="auto" w:fill="FFFFFF"/>
        </w:rPr>
        <w:instrText>ADDIN CSL_CITATION {"citationItems":[{"id":"ITEM-1","itemData":{"ISSN":"0001-6322 (Print)","PMID":"1759558","abstract":"Eighty-three brains obtained at autopsy from nondemented and demented individuals were examined for extracellular amyloid deposits and intraneuronal neurofibrillary changes. The distribution pattern and packing density of amyloid deposits turned out to be of limited significance for differentiation of neuropathological stages. Neurofibrillary changes occurred in the form of neuritic plaques, neurofibrillary tangles and neuropil threads. The distribution of neuritic plaques varied widely not only within architectonic units but also from one individual to another. Neurofibrillary tangles and neuropil threads, in contrast, exhibited a characteristic distribution pattern permitting the differentiation of six stages. The first two stages were characterized by an either mild or severe alteration of the transentorhinal layer Pre-alpha (transentorhinal stages I-II). The two forms of limbic stages (stages III-IV) were marked by a conspicuous affection of layer Pre-alpha in both transentorhinal region and proper entorhinal cortex. In addition, there was mild involvement of the first Ammon's horn sector. The hallmark of the two isocortical stages (stages V-VI) was the destruction of virtually all isocortical association areas. The investigation showed that recognition of the six stages required qualitative evaluation of only a few key preparations.","author":[{"dropping-particle":"","family":"Braak","given":"H","non-dropping-particle":"","parse-names":false,"suffix":""},{"dropping-particle":"","family":"Braak","given":"E","non-dropping-particle":"","parse-names":false,"suffix":""}],"container-title":"Acta Neuropathologica","id":"ITEM-1","issue":"4","issued":{"date-parts":[["1991"]]},"language":"eng","page":"239-259","publisher-place":"Germany","title":"Neuropathological stageing of Alzheimer-related changes.","type":"article-journal","volume":"82"},"uris":["http://www.mendeley.com/documents/?uuid=2acdeaea-c5d4-4fc0-ab83-bd49c41dd7a6"]}],"mendeley":{"formattedCitation":"[23]","plainTextFormattedCitation":"[23]","previouslyFormattedCitation":"[23]"},"properties":{"noteIndex":0},"schema":"https://github.com/citation-style-language/schema/raw/master/csl-citation.json"}</w:instrText>
      </w:r>
      <w:r w:rsidR="00231E82" w:rsidRPr="00842A01">
        <w:rPr>
          <w:rFonts w:ascii="Times New Roman" w:hAnsi="Times New Roman" w:cs="Times New Roman"/>
          <w:color w:val="000000"/>
          <w:shd w:val="clear" w:color="auto" w:fill="FFFFFF"/>
        </w:rPr>
        <w:fldChar w:fldCharType="separate"/>
      </w:r>
      <w:r w:rsidR="00552CC9" w:rsidRPr="00842A01">
        <w:rPr>
          <w:rFonts w:ascii="Times New Roman" w:hAnsi="Times New Roman" w:cs="Times New Roman"/>
          <w:noProof/>
          <w:color w:val="000000"/>
          <w:shd w:val="clear" w:color="auto" w:fill="FFFFFF"/>
        </w:rPr>
        <w:t>[23]</w:t>
      </w:r>
      <w:r w:rsidR="00231E82" w:rsidRPr="00842A01">
        <w:rPr>
          <w:rFonts w:ascii="Times New Roman" w:hAnsi="Times New Roman" w:cs="Times New Roman"/>
          <w:color w:val="000000"/>
          <w:shd w:val="clear" w:color="auto" w:fill="FFFFFF"/>
        </w:rPr>
        <w:fldChar w:fldCharType="end"/>
      </w:r>
      <w:r w:rsidR="00231E82" w:rsidRPr="00842A01">
        <w:rPr>
          <w:rFonts w:ascii="Times New Roman" w:hAnsi="Times New Roman" w:cs="Times New Roman"/>
          <w:color w:val="000000"/>
          <w:shd w:val="clear" w:color="auto" w:fill="FFFFFF"/>
        </w:rPr>
        <w:t>.</w:t>
      </w:r>
    </w:p>
    <w:p w14:paraId="4F518D1C" w14:textId="1AC16FAA" w:rsidR="003638DE" w:rsidRPr="00842A01" w:rsidRDefault="006A134A" w:rsidP="007D5E86">
      <w:pPr>
        <w:spacing w:line="480" w:lineRule="auto"/>
        <w:jc w:val="both"/>
        <w:rPr>
          <w:rFonts w:ascii="Times New Roman" w:hAnsi="Times New Roman" w:cs="Times New Roman"/>
        </w:rPr>
      </w:pPr>
      <w:r w:rsidRPr="00842A01">
        <w:rPr>
          <w:rFonts w:ascii="Times New Roman" w:hAnsi="Times New Roman" w:cs="Times New Roman"/>
        </w:rPr>
        <w:tab/>
      </w:r>
      <w:r w:rsidR="003638DE" w:rsidRPr="00842A01">
        <w:rPr>
          <w:rFonts w:ascii="Times New Roman" w:hAnsi="Times New Roman" w:cs="Times New Roman"/>
        </w:rPr>
        <w:t>W</w:t>
      </w:r>
      <w:r w:rsidR="00AF60A8" w:rsidRPr="00842A01">
        <w:rPr>
          <w:rFonts w:ascii="Times New Roman" w:hAnsi="Times New Roman" w:cs="Times New Roman"/>
        </w:rPr>
        <w:t>hile the prevalence of asymmetrical cerebral alteratio</w:t>
      </w:r>
      <w:r w:rsidRPr="00842A01">
        <w:rPr>
          <w:rFonts w:ascii="Times New Roman" w:hAnsi="Times New Roman" w:cs="Times New Roman"/>
        </w:rPr>
        <w:t xml:space="preserve">ns has been well-established across the brain in </w:t>
      </w:r>
      <w:r w:rsidR="00AF60A8" w:rsidRPr="00842A01">
        <w:rPr>
          <w:rFonts w:ascii="Times New Roman" w:hAnsi="Times New Roman" w:cs="Times New Roman"/>
        </w:rPr>
        <w:t xml:space="preserve">AD, there </w:t>
      </w:r>
      <w:r w:rsidR="003638DE" w:rsidRPr="00842A01">
        <w:rPr>
          <w:rFonts w:ascii="Times New Roman" w:hAnsi="Times New Roman" w:cs="Times New Roman"/>
        </w:rPr>
        <w:t>are few</w:t>
      </w:r>
      <w:r w:rsidR="00AF60A8" w:rsidRPr="00842A01">
        <w:rPr>
          <w:rFonts w:ascii="Times New Roman" w:hAnsi="Times New Roman" w:cs="Times New Roman"/>
        </w:rPr>
        <w:t xml:space="preserve"> studies investigating as</w:t>
      </w:r>
      <w:r w:rsidRPr="00842A01">
        <w:rPr>
          <w:rFonts w:ascii="Times New Roman" w:hAnsi="Times New Roman" w:cs="Times New Roman"/>
        </w:rPr>
        <w:t>ymmetries of the human thalamus</w:t>
      </w:r>
      <w:r w:rsidR="001C2A26" w:rsidRPr="00842A01">
        <w:rPr>
          <w:rFonts w:ascii="Times New Roman" w:hAnsi="Times New Roman" w:cs="Times New Roman"/>
        </w:rPr>
        <w:t xml:space="preserve">. </w:t>
      </w:r>
      <w:r w:rsidR="003638DE" w:rsidRPr="00842A01">
        <w:rPr>
          <w:rFonts w:ascii="Times New Roman" w:hAnsi="Times New Roman" w:cs="Times New Roman"/>
        </w:rPr>
        <w:t>T</w:t>
      </w:r>
      <w:r w:rsidR="008B7B4E" w:rsidRPr="00842A01">
        <w:rPr>
          <w:rFonts w:ascii="Times New Roman" w:hAnsi="Times New Roman" w:cs="Times New Roman"/>
        </w:rPr>
        <w:t>he thalamus is highly connected through thalamo-cortical projection</w:t>
      </w:r>
      <w:r w:rsidR="00BE7107" w:rsidRPr="00842A01">
        <w:rPr>
          <w:rFonts w:ascii="Times New Roman" w:hAnsi="Times New Roman" w:cs="Times New Roman"/>
        </w:rPr>
        <w:t>s, and c</w:t>
      </w:r>
      <w:r w:rsidR="00314D9B" w:rsidRPr="00842A01">
        <w:rPr>
          <w:rFonts w:ascii="Times New Roman" w:hAnsi="Times New Roman" w:cs="Times New Roman"/>
        </w:rPr>
        <w:t>ortical a</w:t>
      </w:r>
      <w:r w:rsidR="008B7B4E" w:rsidRPr="00842A01">
        <w:rPr>
          <w:rFonts w:ascii="Times New Roman" w:hAnsi="Times New Roman" w:cs="Times New Roman"/>
        </w:rPr>
        <w:t>symmetries in AD have been associated with asymmetries of the thalamus, suggesting that similar patterns of asymmetries should</w:t>
      </w:r>
      <w:r w:rsidR="00460EC2" w:rsidRPr="00842A01">
        <w:rPr>
          <w:rFonts w:ascii="Times New Roman" w:hAnsi="Times New Roman" w:cs="Times New Roman"/>
        </w:rPr>
        <w:t xml:space="preserve"> also</w:t>
      </w:r>
      <w:r w:rsidR="008B7B4E" w:rsidRPr="00842A01">
        <w:rPr>
          <w:rFonts w:ascii="Times New Roman" w:hAnsi="Times New Roman" w:cs="Times New Roman"/>
        </w:rPr>
        <w:t xml:space="preserve"> be present in the thalamus of AD patients too </w:t>
      </w:r>
      <w:r w:rsidR="00973CFA" w:rsidRPr="00842A01">
        <w:rPr>
          <w:rFonts w:ascii="Times New Roman" w:hAnsi="Times New Roman" w:cs="Times New Roman"/>
        </w:rPr>
        <w:fldChar w:fldCharType="begin" w:fldLock="1"/>
      </w:r>
      <w:r w:rsidR="0041424D" w:rsidRPr="00842A01">
        <w:rPr>
          <w:rFonts w:ascii="Times New Roman" w:hAnsi="Times New Roman" w:cs="Times New Roman"/>
        </w:rPr>
        <w:instrText>ADDIN CSL_CITATION {"citationItems":[{"id":"ITEM-1","itemData":{"DOI":"10.1212/WNL.39.4.541","abstract":"We detected croased cerebellar as well as uncrossed basal ganglia and thalamic diaschisis in Alzheimer&amp;#039;s disease by positron emission tomography (PET) using 18F-fluorodeoxyglucose. We studied a series of 26 consecutive, clinically diagnosed Alzheimer cases, including 6 proven by later autopsy, and compared them with 9 age-matched controls. We calculated asymmetry indices (AIs) of cerebral metabolic rate for matched left-right regions of interest (ROIs) and determined the extent of diaschisis by correlative analyses. For the Alzheimer pup, we found cerebellar Ah correlated negatively, and thalamic AIs positively, with those of the cerebral hemisphere and fmntal, temporal, parietal, and angular cortices, while basal ganglia AIs correlated positively with frontal cortical AIs. The only significant correlation of AIs for normal subject a was between the thalamus and cerebral hemisphere. These data indicate that PET is a sensitive technique for detecting diaschisis.","author":[{"dropping-particle":"","family":"Akiyama","given":"H","non-dropping-particle":"","parse-names":false,"suffix":""},{"dropping-particle":"","family":"Harrop","given":"R","non-dropping-particle":"","parse-names":false,"suffix":""},{"dropping-particle":"","family":"McGeer","given":"P L","non-dropping-particle":"","parse-names":false,"suffix":""},{"dropping-particle":"","family":"Peppard","given":"R","non-dropping-particle":"","parse-names":false,"suffix":""},{"dropping-particle":"","family":"McGeer","given":"E G","non-dropping-particle":"","parse-names":false,"suffix":""}],"container-title":"Neurology","id":"ITEM-1","issue":"4","issued":{"date-parts":[["1989","4","1"]]},"page":"541 - 548","title":"Crossed cerebellar and uncrossed basal ganglia and thalamic diaschisis in Alzheimer's disease","type":"article-journal","volume":"39"},"uris":["http://www.mendeley.com/documents/?uuid=8b9525eb-1913-4052-a1a7-e9f8b856eaeb"]}],"mendeley":{"formattedCitation":"[20]","plainTextFormattedCitation":"[20]","previouslyFormattedCitation":"[20]"},"properties":{"noteIndex":0},"schema":"https://github.com/citation-style-language/schema/raw/master/csl-citation.json"}</w:instrText>
      </w:r>
      <w:r w:rsidR="00973CFA" w:rsidRPr="00842A01">
        <w:rPr>
          <w:rFonts w:ascii="Times New Roman" w:hAnsi="Times New Roman" w:cs="Times New Roman"/>
        </w:rPr>
        <w:fldChar w:fldCharType="separate"/>
      </w:r>
      <w:r w:rsidR="00261C05" w:rsidRPr="00842A01">
        <w:rPr>
          <w:rFonts w:ascii="Times New Roman" w:hAnsi="Times New Roman" w:cs="Times New Roman"/>
          <w:noProof/>
        </w:rPr>
        <w:t>[20]</w:t>
      </w:r>
      <w:r w:rsidR="00973CFA" w:rsidRPr="00842A01">
        <w:rPr>
          <w:rFonts w:ascii="Times New Roman" w:hAnsi="Times New Roman" w:cs="Times New Roman"/>
        </w:rPr>
        <w:fldChar w:fldCharType="end"/>
      </w:r>
      <w:r w:rsidR="00320162" w:rsidRPr="00842A01">
        <w:rPr>
          <w:rFonts w:ascii="Times New Roman" w:hAnsi="Times New Roman" w:cs="Times New Roman"/>
        </w:rPr>
        <w:t>. However,</w:t>
      </w:r>
      <w:r w:rsidR="00460EC2" w:rsidRPr="00842A01">
        <w:rPr>
          <w:rFonts w:ascii="Times New Roman" w:hAnsi="Times New Roman" w:cs="Times New Roman"/>
        </w:rPr>
        <w:t xml:space="preserve"> </w:t>
      </w:r>
      <w:r w:rsidR="007D46A8" w:rsidRPr="00842A01">
        <w:rPr>
          <w:rFonts w:ascii="Times New Roman" w:hAnsi="Times New Roman" w:cs="Times New Roman"/>
        </w:rPr>
        <w:t xml:space="preserve">investigations examining the thalamus as a uniform structure have reported a lack of significant asymmetry </w:t>
      </w:r>
      <w:r w:rsidR="00796C0A"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{"citationItems":[{"id":"ITEM-1","itemData":{"DOI":"10.3174/ajnr.A2232","ISSN":"1936-959X (Electronic)","PMID":"20966061","abstract":"BACKGROUND AND PURPOSE: TA is a branch of image processing that seeks to reduce image information by extracting texture descriptors from the image. TA of MR images of anatomic structures in mild AD and aMCI is not well-studied. Our objective was to attempt to find differences among patients with aMCI and mild AD and normal-aging subjects, by using TA applied to the MR images of the CC and the thalami of these groups of subjects. MATERIALS AND METHODS: TA was applied to the MR images of 17 patients with aMCI, 16 patients with mild AD, and 16 normal-aging subjects. The TA approach was based on the GLCM. MR images were T1-weighted and were obtained in the sagittal and axial planes. The CC and thalami were manually segmented for each subject, and 44 texture parameters were computed for each of these structures. RESULTS: TA parameters showed differences among the 3 groups for the CC and thalamus. A pair-wise comparison among groups showed differences for AD-control and aMCI-AD for the CC; and for AD-control, aMCI-AD, and aMCI-control for the thalamus. CONCLUSIONS: TA is a useful technique to aid in the detection of tissue alterations in MR images of mild AD and aMCI and has the potential to become a helpful tool in the diagnosis and understanding of these pathologies.","author":[{"dropping-particle":"","family":"Oliveira","given":"M S","non-dropping-particle":"de","parse-names":false,"suffix":""},{"dropping-particle":"","family":"Balthazar","given":"M L F","non-dropping-particle":"","parse-names":false,"suffix":""},{"dropping-particle":"","family":"D'Abreu","given":"A","non-dropping-particle":"","parse-names":false,"suffix":""},{"dropping-particle":"","family":"Yasuda","given":"C L","non-dropping-particle":"","parse-names":false,"suffix":""},{"dropping-particle":"","family":"Damasceno","given":"B P","non-dropping-particle":"","parse-names":false,"suffix":""},{"dropping-particle":"","family":"Cendes","given":"F","non-dropping-particle":"","parse-names":false,"suffix":""},{"dropping-particle":"","family":"Castellano","given":"G","non-dropping-particle":"","parse-names":false,"suffix":""}],"container-title":"AJNR. American journal of neuroradiology","id":"ITEM-1","issue":"1","issued":{"date-parts":[["2011","1"]]},"language":"eng","page":"60-66","publisher-place":"United States","title":"MR imaging texture analysis of the corpus callosum and thalamus in amnestic mild  cognitive impairment and mild Alzheimer disease.","type":"article-journal","volume":"32"},"uris":["http://www.mendeley.com/documents/?uuid=4303a7e9-94bd-449f-b364-0a9770523afd"]},{"id":"ITEM-2","itemData":{"DOI":"10.1093/brain/aww243","ISSN":"1460-2156","abstract":"Structural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Initiative","given":"","non-dropping-particle":"","parse-names":false,"suffix":""}],"container-title":"Brain","edition":"2016/10/10","id":"ITEM-2","issue":"Pt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amygdala","type":"article-journal","volume":"139"},"uris":["http://www.mendeley.com/documents/?uuid=a3608b08-d653-4ac7-a5a8-1431f6615fb1"]},{"id":"ITEM-3","itemData":{"DOI":"10.1016/j.neuroimage.2011.03.014","ISSN":"1095-9572","abstract":"This paper presents a novel, publicly available repository of anatomically segmented brain images of healthy subjects as well as patients with mild cognitive impairment and Alzheimer's disease. The underlying magnetic resonance images have been obtained from the Alzheimer's Disease Neuroimaging Initiative (ADNI) database. T1-weighted screening and baseline images (1.5T and 3T) have been processed with the multi-atlas based MAPER procedure, resulting in labels for 83 regions covering the whole brain in 816 subjects. Selected segmentations were subjected to visual assessment. The segmentations are self-consistent, as evidenced by strong agreement between segmentations of paired images acquired at different field strengths (Jaccard coefficient: 0.802±0.0146). Morphometric comparisons between diagnostic groups (normal; stable mild cognitive impairment; mild cognitive impairment with progression to Alzheimer's disease; Alzheimer's disease) showed highly significant group differences for individual regions, the majority of which were located in the temporal lobe. Additionally, significant effects were seen in the parietal lobe. Increased left/right asymmetry was found in posterior cortical regions. An automatically derived white-matter hypointensities index was found to be a suitable means of quantifying white-matter disease. This repository of segmentations is a potentially valuable resource to researchers working with ADNI data.","author":[{"dropping-particle":"","family":"Heckemann","given":"Rolf A","non-dropping-particle":"","parse-names":false,"suffix":""},{"dropping-particle":"","family":"Keihaninejad","given":"Shiva","non-dropping-particle":"","parse-names":false,"suffix":""},{"dropping-particle":"","family":"Aljabar","given":"Paul","non-dropping-particle":"","parse-names":false,"suffix":""},{"dropping-particle":"","family":"Gray","given":"Katherine R","non-dropping-particle":"","parse-names":false,"suffix":""},{"dropping-particle":"","family":"Nielsen","given":"Casper","non-dropping-particle":"","parse-names":false,"suffix":""},{"dropping-particle":"","family":"Rueckert","given":"Daniel","non-dropping-particle":"","parse-names":false,"suffix":""},{"dropping-particle":"V","family":"Hajnal","given":"Joseph","non-dropping-particle":"","parse-names":false,"suffix":""},{"dropping-particle":"","family":"Hammers","given":"Alexander","non-dropping-particle":"","parse-names":false,"suffix":""},{"dropping-particle":"","family":"Alzheimer's Disease Neuroimaging Initiative","given":"","non-dropping-particle":"","parse-names":false,"suffix":""}],"container-title":"NeuroImage","id":"ITEM-3","issue":"4","issued":{"date-parts":[["2011","6","15"]]},"page":"2024-2037","publisher":"Academic Press","title":"Automatic morphometry in Alzheimer's disease and mild cognitive impairment","type":"article-journal","volume":"56"},"uris":["http://www.mendeley.com/documents/?uuid=cac039d7-13e1-49da-adf3-68b501874c72"]}],"mendeley":{"formattedCitation":"[5,24,25]","plainTextFormattedCitation":"[5,24,25]","previouslyFormattedCitation":"[5,24,25]"},"properties":{"noteIndex":0},"schema":"https://github.com/citation-style-language/schema/raw/master/csl-citation.json"}</w:instrText>
      </w:r>
      <w:r w:rsidR="00796C0A" w:rsidRPr="00842A01">
        <w:rPr>
          <w:rFonts w:ascii="Times New Roman" w:hAnsi="Times New Roman" w:cs="Times New Roman"/>
        </w:rPr>
        <w:fldChar w:fldCharType="separate"/>
      </w:r>
      <w:r w:rsidR="00552CC9" w:rsidRPr="00842A01">
        <w:rPr>
          <w:rFonts w:ascii="Times New Roman" w:hAnsi="Times New Roman" w:cs="Times New Roman"/>
          <w:noProof/>
        </w:rPr>
        <w:t>[5,24,25]</w:t>
      </w:r>
      <w:r w:rsidR="00796C0A" w:rsidRPr="00842A01">
        <w:rPr>
          <w:rFonts w:ascii="Times New Roman" w:hAnsi="Times New Roman" w:cs="Times New Roman"/>
        </w:rPr>
        <w:fldChar w:fldCharType="end"/>
      </w:r>
      <w:r w:rsidR="00796C0A" w:rsidRPr="00842A01">
        <w:rPr>
          <w:rFonts w:ascii="Times New Roman" w:hAnsi="Times New Roman" w:cs="Times New Roman"/>
        </w:rPr>
        <w:t>.</w:t>
      </w:r>
      <w:r w:rsidR="00051F97" w:rsidRPr="00842A01">
        <w:rPr>
          <w:rFonts w:ascii="Times New Roman" w:hAnsi="Times New Roman" w:cs="Times New Roman"/>
        </w:rPr>
        <w:t xml:space="preserve"> </w:t>
      </w:r>
    </w:p>
    <w:p w14:paraId="31212CA6" w14:textId="3CD4EFDD" w:rsidR="00F75276" w:rsidRPr="00842A01" w:rsidRDefault="0049568D" w:rsidP="0049568D">
      <w:pPr>
        <w:spacing w:line="480" w:lineRule="auto"/>
        <w:jc w:val="both"/>
        <w:rPr>
          <w:rFonts w:ascii="Times New Roman" w:hAnsi="Times New Roman" w:cs="Times New Roman"/>
        </w:rPr>
      </w:pPr>
      <w:r w:rsidRPr="00842A01">
        <w:rPr>
          <w:rFonts w:ascii="Times New Roman" w:hAnsi="Times New Roman" w:cs="Times New Roman"/>
        </w:rPr>
        <w:tab/>
      </w:r>
      <w:r w:rsidR="00051F97" w:rsidRPr="00842A01">
        <w:rPr>
          <w:rFonts w:ascii="Times New Roman" w:hAnsi="Times New Roman" w:cs="Times New Roman"/>
        </w:rPr>
        <w:t>We hypothesize</w:t>
      </w:r>
      <w:r w:rsidR="003638DE" w:rsidRPr="00842A01">
        <w:rPr>
          <w:rFonts w:ascii="Times New Roman" w:hAnsi="Times New Roman" w:cs="Times New Roman"/>
        </w:rPr>
        <w:t>d</w:t>
      </w:r>
      <w:r w:rsidR="00051F97" w:rsidRPr="00842A01">
        <w:rPr>
          <w:rFonts w:ascii="Times New Roman" w:hAnsi="Times New Roman" w:cs="Times New Roman"/>
        </w:rPr>
        <w:t xml:space="preserve"> that thalamic asymmetries in AD could be masked when examining the thalamus as a uniform structure, and that asymmetries may be confined to specific subnuclei</w:t>
      </w:r>
      <w:r w:rsidR="00087089" w:rsidRPr="00842A01">
        <w:rPr>
          <w:rFonts w:ascii="Times New Roman" w:hAnsi="Times New Roman" w:cs="Times New Roman"/>
        </w:rPr>
        <w:t>.</w:t>
      </w:r>
      <w:r w:rsidR="007D5E86" w:rsidRPr="00842A01">
        <w:rPr>
          <w:rFonts w:ascii="Times New Roman" w:hAnsi="Times New Roman" w:cs="Times New Roman"/>
        </w:rPr>
        <w:t xml:space="preserve"> </w:t>
      </w:r>
      <w:r w:rsidR="00087089" w:rsidRPr="00842A01">
        <w:rPr>
          <w:rFonts w:ascii="Times New Roman" w:hAnsi="Times New Roman" w:cs="Times New Roman"/>
        </w:rPr>
        <w:t>G</w:t>
      </w:r>
      <w:r w:rsidR="007D5E86" w:rsidRPr="00842A01">
        <w:rPr>
          <w:rFonts w:ascii="Times New Roman" w:hAnsi="Times New Roman" w:cs="Times New Roman"/>
        </w:rPr>
        <w:t>iven the growing evidence that individual thalamic subnuclei are distinct in morphology, fu</w:t>
      </w:r>
      <w:r w:rsidR="00087089" w:rsidRPr="00842A01">
        <w:rPr>
          <w:rFonts w:ascii="Times New Roman" w:hAnsi="Times New Roman" w:cs="Times New Roman"/>
        </w:rPr>
        <w:t>nction, and neural connectivity,</w:t>
      </w:r>
      <w:r w:rsidR="007D5E86" w:rsidRPr="00842A01">
        <w:rPr>
          <w:rFonts w:ascii="Times New Roman" w:hAnsi="Times New Roman" w:cs="Times New Roman"/>
        </w:rPr>
        <w:t xml:space="preserve"> the information derived from individual subnuclei may demonstrate increased sensitivity to pathological changes in AD and clinical correlates. </w:t>
      </w:r>
      <w:r w:rsidR="003C1EAF" w:rsidRPr="00842A01">
        <w:rPr>
          <w:rFonts w:ascii="Times New Roman" w:hAnsi="Times New Roman" w:cs="Times New Roman"/>
        </w:rPr>
        <w:t xml:space="preserve">Understanding the asymmetry of brain atrophy </w:t>
      </w:r>
      <w:r w:rsidR="007D5E86" w:rsidRPr="00842A01">
        <w:rPr>
          <w:rFonts w:ascii="Times New Roman" w:hAnsi="Times New Roman" w:cs="Times New Roman"/>
        </w:rPr>
        <w:t>provide</w:t>
      </w:r>
      <w:r w:rsidR="003C1EAF" w:rsidRPr="00842A01">
        <w:rPr>
          <w:rFonts w:ascii="Times New Roman" w:hAnsi="Times New Roman" w:cs="Times New Roman"/>
        </w:rPr>
        <w:t>s</w:t>
      </w:r>
      <w:r w:rsidR="007D5E86" w:rsidRPr="00842A01">
        <w:rPr>
          <w:rFonts w:ascii="Times New Roman" w:hAnsi="Times New Roman" w:cs="Times New Roman"/>
        </w:rPr>
        <w:t xml:space="preserve"> useful disease-related information concerning disease </w:t>
      </w:r>
      <w:r w:rsidR="00344C2E" w:rsidRPr="00842A01">
        <w:rPr>
          <w:rFonts w:ascii="Times New Roman" w:hAnsi="Times New Roman" w:cs="Times New Roman"/>
        </w:rPr>
        <w:t>a</w:t>
      </w:r>
      <w:r w:rsidR="007D5E86" w:rsidRPr="00842A01">
        <w:rPr>
          <w:rFonts w:ascii="Times New Roman" w:hAnsi="Times New Roman" w:cs="Times New Roman"/>
        </w:rPr>
        <w:t xml:space="preserve">etiology, clinical </w:t>
      </w:r>
      <w:r w:rsidR="009B66E3" w:rsidRPr="00842A01">
        <w:rPr>
          <w:rFonts w:ascii="Times New Roman" w:hAnsi="Times New Roman" w:cs="Times New Roman"/>
        </w:rPr>
        <w:t>measures</w:t>
      </w:r>
      <w:r w:rsidR="007467F2" w:rsidRPr="00842A01">
        <w:rPr>
          <w:rFonts w:ascii="Times New Roman" w:hAnsi="Times New Roman" w:cs="Times New Roman"/>
        </w:rPr>
        <w:t>, and disease progression</w:t>
      </w:r>
      <w:r w:rsidR="007D5E86" w:rsidRPr="00842A01">
        <w:rPr>
          <w:rFonts w:ascii="Times New Roman" w:hAnsi="Times New Roman" w:cs="Times New Roman"/>
        </w:rPr>
        <w:t xml:space="preserve"> </w:t>
      </w:r>
      <w:r w:rsidR="007D5E86"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{"citationItems":[{"id":"ITEM-1","itemData":{"DOI":"10.3389/fnins.2018.00576","ISSN":"1662-4548","abstract":"Objective: It is well-known that the hippocampus presents significant asymmetry in Alzheimer's disease (AD) and that difference in volumes between left and right exists and varies with disease progression. However, few works investigated whether the asymmetry degree of subfields of hippocampus changes through the continuum from Mild Cognitive Impairment (MCI) to AD. Thus, aim of the present work was to evaluate the Asymmetry Index (AI) of hippocampal substructures as possible MRI biomarkers of Dementia. Moreover, we aimed to assess whether the subfields presented peculiar differences between left and right hemispheres. We also investigated the relationship between the asymmetry magnitude in hippocampal subfields and the decline of verbal memory as assessed by Rey's auditory verbal learning test (RAVLT). Methods: Four-hundred subjects were selected from ADNI, equally divided into healthy controls (HC), AD, stable MCI (sMCI), and progressive MCI (pMCI). The structural baseline T1s were processed with FreeSurfer 6.0 and volumes of whole hippocampus (WH) and 12 subfields were extracted. The AI was calculated as: (|Left-Right|/(Left+Right))(*)100. ANCOVA was used for evaluating AI differences between diagnoses, while paired t-test was applied for assessing changes between left and right volumes, separately for each group. Partial correlation was performed for exploring relationship between RAVLT summary scores (Immediate, Learning, Forgetting, Percent Forgetting) and hippocampal substructures AI. The statistical threshold was Bonferroni corrected p &lt; 0.05/13 = 0.0038. Results: We found a general trend of increased degree of asymmetry with increasing severity of diagnosis. Indeed, AD presented the higher magnitude of asymmetry compared with HC, sMCI and pMCI, in the WH (AI mean 5.13 ± 4.29 SD) and in each of its twelve subfields. Moreover, we found in AD a significant negative correlation (r = -0.33, p = 0.00065) between the AI of parasubiculum (mean 12.70 ± 9.59 SD) and the RAVLT Learning score (mean 1.70 ± 1.62 SD). Conclusions: Our findings showed that hippocampal subfields AI varies differently among the four groups HC, sMCI, pMCI, and AD. Moreover, we found-for the first time-that hippocampal substructures had different sub-patterns of lateralization compared with the whole hippocampus. Importantly, the severity in learning rate was correlated with pathological high degree of asymmetry in parasubiculum of AD patients.","author":[{"dropping-particle":"","family":"Sarica","given":"Alessia","non-dropping-particle":"","parse-names":false,"suffix":""},{"dropping-particle":"","family":"Vasta","given":"Roberta","non-dropping-particle":"","parse-names":false,"suffix":""},{"dropping-particle":"","family":"Novellino","given":"Fabiana","non-dropping-particle":"","parse-names":false,"suffix":""},{"dropping-particle":"","family":"Vaccaro","given":"Maria Grazia","non-dropping-particle":"","parse-names":false,"suffix":""},{"dropping-particle":"","family":"Cerasa","given":"Antonio","non-dropping-particle":"","parse-names":false,"suffix":""},{"dropping-particle":"","family":"Quattrone","given":"Aldo","non-dropping-particle":"","parse-names":false,"suffix":""},{"dropping-particle":"","family":"Alzheimer's Disease Neuroimaging Initiative","given":"","non-dropping-particle":"","parse-names":false,"suffix":""}],"container-title":"Frontiers in neuroscience","id":"ITEM-1","issued":{"date-parts":[["2018","8","21"]]},"page":"576","publisher":"Frontiers Media S.A.","title":"MRI Asymmetry Index of Hippocampal Subfields Increases Through the Continuum From the Mild Cognitive Impairment to the Alzheimer's Disease","type":"article-journal","volume":"12"},"uris":["http://www.mendeley.com/documents/?uuid=cafe5e93-23d4-4b98-b90a-d301ba2477bc"]},{"id":"ITEM-2","itemData":{"DOI":"10.1016/S0197-4580(00)00238-4","ISSN":"0197-4580","abstract":"The sensitivity of MRI volumetric measures to detect cognitive dysfunction is examined in 39 participants of an epidemiological field study (age 75–85, MMSE 19–30). According to Clinical dementia rating (CDR), 17 subjects had normal cognition (CDR 0), 12 had questionable (CDR 0.5) and 10 mild dementia (CDR 1). Discriminant analysis based on four hippocampal measures resulted in a correct classification of 76.9% of all subjects. Left-sided and posterior hippocampal measures were more responsible for group discrimination than right-sided and anterior measures. In CDR 0.5, a significant hippocampal volume reduction of 14.3% vs.11.3% (left vs. right) relative to normal was found. The right hippocampus was significantly greater than the left in CDR 0 and CDR 0.5, but not in CDR 1. The magnitude of non-directional hippocampal asymmetry increased with decreasing cognitive state. We conclude that hippocampal atrophy is sensitive to detect cognitive dysfunction and subjects at risk for Alzheimer’s disease in the elderly population.","author":[{"dropping-particle":"","family":"Wolf","given":"H","non-dropping-particle":"","parse-names":false,"suffix":""},{"dropping-particle":"","family":"Grunwald","given":"M","non-dropping-particle":"","parse-names":false,"suffix":""},{"dropping-particle":"","family":"Kruggel","given":"F","non-dropping-particle":"","parse-names":false,"suffix":""},{"dropping-particle":"","family":"Riedel-Heller","given":"S G","non-dropping-particle":"","parse-names":false,"suffix":""},{"dropping-particle":"","family":"Angerhöfer","given":"S","non-dropping-particle":"","parse-names":false,"suffix":""},{"dropping-particle":"","family":"Hojjatoleslami","given":"A","non-dropping-particle":"","parse-names":false,"suffix":""},{"dropping-particle":"","family":"Hensel","given":"A","non-dropping-particle":"","parse-names":false,"suffix":""},{"dropping-particle":"","family":"Arendt","given":"T","non-dropping-particle":"","parse-names":false,"suffix":""},{"dropping-particle":"","family":"Gertz","given":"H.-J","non-dropping-particle":"","parse-names":false,"suffix":""}],"container-title":"Neurobiology of Aging","id":"ITEM-2","issue":"2","issued":{"date-parts":[["2001"]]},"page":"177-186","title":"Hippocampal volume discriminates between normal cognition; questionable and mild dementia in the elderly","type":"article-journal","volume":"22"},"uris":["http://www.mendeley.com/documents/?uuid=ac1a3bb5-f9dc-4c89-a16d-3ee28701ef7b"]},{"id":"ITEM-3","itemData":{"DOI":"10.3389/fneur.2017.00399","ISSN":"1664-2295","abstract":"Deep gray matter structures are associated with memory and other important functions that are impaired in Alzheimer's disease (AD) and mild cognitive impairment (MCI). However, systematic characterization of the subregional atrophy and deformations in these structures in AD and MCI still need more investigations. In this article, we combined complex volumetry- and vertex-based analysis to investigate the pattern of subregional structural alterations in deep gray matter structures and its association with global clinical scores in AD (n = 30) and MCI patients (n = 30), compared to normal controls (NCs, n = 30). Among all seven pairs of structures, the bilateral hippocampi and nucleus accumbens showed significant atrophy in AD compared with NCs (p &lt; 0.05). But only the subregional atrophy in the dorsal-medial part of the left hippocampus, the ventral part of right hippocampus, and the left nucleus accumbens, the posterior part of the right nucleus accumbens correlated with the worse clinical scores of MMSE and MOCA (p &lt; 0.05). Furthermore, the medial-ventral part of right thalamus significantly shrank and correlated with clinical scores without decreasing in its whole volume (p &gt; 0.05). In conclusion, the atrophy of these four subregions in bilateral hippocampi and nucleus accumbens was associated with cognitive impairment of patients, which might be potential target regions of treatment in AD. The surface analysis could provide additional information to volume comparison in finding the early pathological progress in deep gray matter structures.","author":[{"dropping-particle":"","family":"Nie","given":"Xiuling","non-dropping-particle":"","parse-names":false,"suffix":""},{"dropping-particle":"","family":"Sun","given":"Yu","non-dropping-particle":"","parse-names":false,"suffix":""},{"dropping-particle":"","family":"Wan","given":"Suiren","non-dropping-particle":"","parse-names":false,"suffix":""},{"dropping-particle":"","family":"Zhao","given":"Hui","non-dropping-particle":"","parse-names":false,"suffix":""},{"dropping-particle":"","family":"Liu","given":"Renyuan","non-dropping-particle":"","parse-names":false,"suffix":""},{"dropping-particle":"","family":"Li","given":"Xueping","non-dropping-particle":"","parse-names":false,"suffix":""},{"dropping-particle":"","family":"Wu","given":"Sichu","non-dropping-particle":"","parse-names":false,"suffix":""},{"dropping-particle":"","family":"Nedelska","given":"Zuzana","non-dropping-particle":"","parse-names":false,"suffix":""},{"dropping-particle":"","family":"Hort","given":"Jakub","non-dropping-particle":"","parse-names":false,"suffix":""},{"dropping-particle":"","family":"Qing","given":"Zhao","non-dropping-particle":"","parse-names":false,"suffix":""},{"dropping-particle":"","family":"Xu","given":"Yun","non-dropping-particle":"","parse-names":false,"suffix":""},{"dropping-particle":"","family":"Zhang","given":"Bing","non-dropping-particle":"","parse-names":false,"suffix":""}],"container-title":"Frontiers in neurology","id":"ITEM-3","issue":"August","issued":{"date-parts":[["2017","8","15"]]},"language":"eng","page":"399","publisher":"Frontiers Media S.A.","title":"Subregional Structural Alterations in Hippocampus and Nucleus Accumbens Correlate with the Clinical Impairment in Patients with Alzheimer's Disease Clinical Spectrum: Parallel Combining Volume and Vertex-Based Approach","type":"article-journal","volume":"8"},"uris":["http://www.mendeley.com/documents/?uuid=efd0b612-e42c-41ed-ab4d-aee657c42395"]}],"mendeley":{"formattedCitation":"[7,17,26]","plainTextFormattedCitation":"[7,17,26]","previouslyFormattedCitation":"[7,17,26]"},"properties":{"noteIndex":0},"schema":"https://github.com/citation-style-language/schema/raw/master/csl-citation.json"}</w:instrText>
      </w:r>
      <w:r w:rsidR="007D5E86" w:rsidRPr="00842A01">
        <w:rPr>
          <w:rFonts w:ascii="Times New Roman" w:hAnsi="Times New Roman" w:cs="Times New Roman"/>
        </w:rPr>
        <w:fldChar w:fldCharType="separate"/>
      </w:r>
      <w:r w:rsidR="00552CC9" w:rsidRPr="00842A01">
        <w:rPr>
          <w:rFonts w:ascii="Times New Roman" w:hAnsi="Times New Roman" w:cs="Times New Roman"/>
          <w:noProof/>
        </w:rPr>
        <w:t>[7,17,26]</w:t>
      </w:r>
      <w:r w:rsidR="007D5E86" w:rsidRPr="00842A01">
        <w:rPr>
          <w:rFonts w:ascii="Times New Roman" w:hAnsi="Times New Roman" w:cs="Times New Roman"/>
        </w:rPr>
        <w:fldChar w:fldCharType="end"/>
      </w:r>
      <w:r w:rsidR="003C1EAF" w:rsidRPr="00842A01">
        <w:rPr>
          <w:rFonts w:ascii="Times New Roman" w:hAnsi="Times New Roman" w:cs="Times New Roman"/>
        </w:rPr>
        <w:t xml:space="preserve">. </w:t>
      </w:r>
      <w:r w:rsidR="00E3478A" w:rsidRPr="00842A01">
        <w:rPr>
          <w:rFonts w:ascii="Times New Roman" w:hAnsi="Times New Roman" w:cs="Times New Roman"/>
        </w:rPr>
        <w:t xml:space="preserve"> </w:t>
      </w:r>
      <w:r w:rsidR="003C1EAF" w:rsidRPr="00842A01">
        <w:rPr>
          <w:rFonts w:ascii="Times New Roman" w:hAnsi="Times New Roman" w:cs="Times New Roman"/>
        </w:rPr>
        <w:t xml:space="preserve">Measures of cerebral asymmetry could even be more accurate than absolute bi-hemispheric measurements in detecting some disorders </w:t>
      </w:r>
      <w:r w:rsidR="003C1EAF"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{"citationItems":[{"id":"ITEM-1","itemData":{"DOI":"10.1148/radiol.2501072153","ISSN":"1527-1315 (Electronic)","PMID":"19092095","abstract":"PURPOSE: To investigate whether cortical thickness analysis in individuals with an at-risk mental state (ARMS) might contribute to early detection of psychosis. MATERIALS AND METHODS: Ethics committee approval and written informed consent were obtained. Cortical thickness was analyzed because early disease-related morphometric changes were expected to be most pronounced in the cerebral cortex. With the assumption of progressive change in cortical thickness from control subjects, to those with an ARMS, and then to those who have had a first episode (FE) of psychosis, the brain regions that substantially differ between those with FE psychosis and control subjects were identified. Whether these regions help discriminate between the ARMS group and control subjects was tested. Because normal interindividual variation of cortical thickness, even for control subjects, may exceed that expected with early disease-related changes, intraindividual cortical thickness asymmetry was analyzed. Twenty age- and sex-matched individuals for each group (ARMS group, FE group, and control subjects) were recruited within a prospective early-detection study. High-spatial-resolution magnetization-prepared rapid gradient-echo magnetic resonance (MR) brain images were acquired with a 1.5-T MR imager. Cortical thickness asymmetry was analyzed in 41 anatomic regions corresponding to the Talairach standard brain atlas. RESULTS: Direct cortical thickness analysis did not help distinguish between groups. Cortical thickness asymmetry analysis helped distinguish between groups (P = .007); variability increased from control subjects, to the ARMS group, and then to the FE group in seven anatomic regions (P &lt; .0001). Cortical thickness asymmetry in these regions helped distinguish the FE group from control subjects (P = .0006; sensitivity, 70.0%; specificity, 85.0%) and showed a trend toward helping to distinguish the ARMS group from control subjects (P = .06; sensitivity, 75.0%; specificity, 65.0%). CONCLUSION: Cortical thickness asymmetry analysis is more accurate than direct cortical thickness measurement in distinguishing the control from the FE group and might contribute to early detection of an ARMS.","author":[{"dropping-particle":"","family":"Haller","given":"Sven","non-dropping-particle":"","parse-names":false,"suffix":""},{"dropping-particle":"","family":"Borgwardt","given":"Stefan J","non-dropping-particle":"","parse-names":false,"suffix":""},{"dropping-particle":"","family":"Schindler","given":"Christian","non-dropping-particle":"","parse-names":false,"suffix":""},{"dropping-particle":"","family":"Aston","given":"Jacqueline","non-dropping-particle":"","parse-names":false,"suffix":""},{"dropping-particle":"","family":"Radue","given":"Ernst W","non-dropping-particle":"","parse-names":false,"suffix":""},{"dropping-particle":"","family":"Riecher-Rossler","given":"Anita","non-dropping-particle":"","parse-names":false,"suffix":""}],"container-title":"Radiology","id":"ITEM-1","issue":"1","issued":{"date-parts":[["2009","1"]]},"language":"eng","page":"212-221","publisher-place":"United States","title":"Can cortical thickness asymmetry analysis contribute to detection of at-risk mental state and first-episode psychosis? A pilot study.","type":"article-journal","volume":"250"},"uris":["http://www.mendeley.com/documents/?uuid=776049e5-a759-400b-9ec1-007886f38423"]}],"mendeley":{"formattedCitation":"[27]","plainTextFormattedCitation":"[27]","previouslyFormattedCitation":"[27]"},"properties":{"noteIndex":0},"schema":"https://github.com/citation-style-language/schema/raw/master/csl-citation.json"}</w:instrText>
      </w:r>
      <w:r w:rsidR="003C1EAF" w:rsidRPr="00842A01">
        <w:rPr>
          <w:rFonts w:ascii="Times New Roman" w:hAnsi="Times New Roman" w:cs="Times New Roman"/>
        </w:rPr>
        <w:fldChar w:fldCharType="separate"/>
      </w:r>
      <w:r w:rsidR="00552CC9" w:rsidRPr="00842A01">
        <w:rPr>
          <w:rFonts w:ascii="Times New Roman" w:hAnsi="Times New Roman" w:cs="Times New Roman"/>
          <w:noProof/>
        </w:rPr>
        <w:t>[27]</w:t>
      </w:r>
      <w:r w:rsidR="003C1EAF" w:rsidRPr="00842A01">
        <w:rPr>
          <w:rFonts w:ascii="Times New Roman" w:hAnsi="Times New Roman" w:cs="Times New Roman"/>
        </w:rPr>
        <w:fldChar w:fldCharType="end"/>
      </w:r>
      <w:r w:rsidR="003C1EAF" w:rsidRPr="00842A01">
        <w:rPr>
          <w:rFonts w:ascii="Times New Roman" w:hAnsi="Times New Roman" w:cs="Times New Roman"/>
        </w:rPr>
        <w:t>.</w:t>
      </w:r>
      <w:r w:rsidR="007D5E86" w:rsidRPr="00842A01">
        <w:rPr>
          <w:rFonts w:ascii="Times New Roman" w:hAnsi="Times New Roman" w:cs="Times New Roman"/>
        </w:rPr>
        <w:t xml:space="preserve"> </w:t>
      </w:r>
      <w:r w:rsidR="00E3146C" w:rsidRPr="00842A01">
        <w:rPr>
          <w:rFonts w:ascii="Times New Roman" w:hAnsi="Times New Roman" w:cs="Times New Roman"/>
        </w:rPr>
        <w:t xml:space="preserve">Using a novel probabilistic atlas </w:t>
      </w:r>
      <w:r w:rsidR="00E3146C"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{"citationItems":[{"id":"ITEM-1","itemData":{"DOI":"10.1016/j.neuroimage.2018.08.012","ISSN":"10959572","PMID":"19330216","abstract":"The human thalamus is a brain structure that comprises numerous, highly specific nuclei. Since these nuclei are known to have different functions and to be connected to different areas of the cerebral cortex, it is of great interest for the neuroimaging community to study their volume, shape and connectivity in vivo with MRI. In this study, we present a probabilistic atlas of the thalamic nuclei built using ex vivo brain MRI scans and histological data, as well as the application of the atlas to in vivo MRI segmentation. The atlas was built using manual delineation of 26 thalamic nuclei on the serial histology of 12 whole thalami from six autopsy samples, combined with manual segmentations of the whole thalamus and surrounding structures (caudate, putamen, hippocampus, etc.) made on in vivo brain MR data from 39 subjects. The 3D structure of the histological data and corresponding manual segmentations was recovered using the ex vivo MRI as reference frame, and stacks of blockface photographs acquired during the sectioning as intermediate target. The atlas, which was encoded as an adaptive tetrahedral mesh, shows a good agreement with previous histological studies of the thalamus in terms of volumes of representative nuclei. When applied to segmentation of in vivo scans using Bayesian inference, the atlas shows excellent test-retest reliability, robustness to changes in input MRI contrast, and ability to detect differential thalamic effects in subjects with Alzheimer's disease. The probabilistic atlas and companion segmentation tool are publicly available as part of the neuroimaging package FreeSurfer.","author":[{"dropping-particle":"","family":"Iglesias","given":"Juan Eugenio","non-dropping-particle":"","parse-names":false,"suffix":""},{"dropping-particle":"","family":"Insausti","given":"Ricardo","non-dropping-particle":"","parse-names":false,"suffix":""},{"dropping-particle":"","family":"Lerma-Usabiaga","given":"Garikoitz","non-dropping-particle":"","parse-names":false,"suffix":""},{"dropping-particle":"","family":"Bocchetta","given":"Martina","non-dropping-particle":"","parse-names":false,"suffix":""},{"dropping-particle":"","family":"Leemput","given":"Koen","non-dropping-particle":"Van","parse-names":false,"suffix":""},{"dropping-particle":"","family":"Greve","given":"Douglas N.","non-dropping-particle":"","parse-names":false,"suffix":""},{"dropping-particle":"","family":"Kouwe","given":"Andre","non-dropping-particle":"van der","parse-names":false,"suffix":""},{"dropping-particle":"","family":"Alzheimer's Disease Neuroimaging Initiative","given":"","non-dropping-particle":"","parse-names":false,"suffix":""},{"dropping-particle":"","family":"Fischl","given":"Bruce","non-dropping-particle":"","parse-names":false,"suffix":""},{"dropping-particle":"","family":"Caballero-Gaudes","given":"César","non-dropping-particle":"","parse-names":false,"suffix":""},{"dropping-particle":"","family":"Paz-Alonso","given":"Pedro M","non-dropping-particle":"","parse-names":false,"suffix":""}],"container-title":"NeuroImage","id":"ITEM-1","issue":"2002","issued":{"date-parts":[["2018"]]},"page":"314-326","title":"A probabilistic atlas of the human thalamic nuclei combining ex vivo MRI and histology","type":"article-journal","volume":"183"},"uris":["http://www.mendeley.com/documents/?uuid=17745db7-3c70-4785-af45-513d1558650a"]}],"mendeley":{"formattedCitation":"[28]","plainTextFormattedCitation":"[28]","previouslyFormattedCitation":"[28]"},"properties":{"noteIndex":0},"schema":"https://github.com/citation-style-language/schema/raw/master/csl-citation.json"}</w:instrText>
      </w:r>
      <w:r w:rsidR="00E3146C" w:rsidRPr="00842A01">
        <w:rPr>
          <w:rFonts w:ascii="Times New Roman" w:hAnsi="Times New Roman" w:cs="Times New Roman"/>
        </w:rPr>
        <w:fldChar w:fldCharType="separate"/>
      </w:r>
      <w:r w:rsidR="00552CC9" w:rsidRPr="00842A01">
        <w:rPr>
          <w:rFonts w:ascii="Times New Roman" w:hAnsi="Times New Roman" w:cs="Times New Roman"/>
          <w:noProof/>
        </w:rPr>
        <w:t>[28]</w:t>
      </w:r>
      <w:r w:rsidR="00E3146C" w:rsidRPr="00842A01">
        <w:rPr>
          <w:rFonts w:ascii="Times New Roman" w:hAnsi="Times New Roman" w:cs="Times New Roman"/>
        </w:rPr>
        <w:fldChar w:fldCharType="end"/>
      </w:r>
      <w:r w:rsidR="00E3146C" w:rsidRPr="00842A01">
        <w:rPr>
          <w:rFonts w:ascii="Times New Roman" w:hAnsi="Times New Roman" w:cs="Times New Roman"/>
        </w:rPr>
        <w:t xml:space="preserve">, we aimed to </w:t>
      </w:r>
      <w:r w:rsidR="00F1240D" w:rsidRPr="00842A01">
        <w:rPr>
          <w:rFonts w:ascii="Times New Roman" w:hAnsi="Times New Roman" w:cs="Times New Roman"/>
        </w:rPr>
        <w:t xml:space="preserve">examine whether the extent of thalamic asymmetry varied at a subnuclei level between healthy participants, </w:t>
      </w:r>
      <w:r w:rsidR="00F1240D" w:rsidRPr="00842A01">
        <w:rPr>
          <w:rFonts w:ascii="Times New Roman" w:eastAsia="Calibri" w:hAnsi="Times New Roman" w:cs="Times New Roman"/>
          <w:lang w:val="en-GB"/>
        </w:rPr>
        <w:t xml:space="preserve">patients with </w:t>
      </w:r>
      <w:r w:rsidR="00E3146C" w:rsidRPr="00842A01">
        <w:rPr>
          <w:rFonts w:ascii="Times New Roman" w:eastAsia="Calibri" w:hAnsi="Times New Roman" w:cs="Times New Roman"/>
          <w:lang w:val="en-GB"/>
        </w:rPr>
        <w:t>mild cognitive impairment (MCI) and clinical AD</w:t>
      </w:r>
      <w:r w:rsidR="00F1240D" w:rsidRPr="00842A01">
        <w:rPr>
          <w:rFonts w:ascii="Times New Roman" w:eastAsia="Calibri" w:hAnsi="Times New Roman" w:cs="Times New Roman"/>
          <w:lang w:val="en-GB"/>
        </w:rPr>
        <w:t>, and associations with measures of clinical severity.</w:t>
      </w:r>
      <w:r w:rsidR="00E3146C" w:rsidRPr="00842A01">
        <w:rPr>
          <w:rFonts w:ascii="Times New Roman" w:eastAsia="Calibri" w:hAnsi="Times New Roman" w:cs="Times New Roman"/>
          <w:lang w:val="en-GB"/>
        </w:rPr>
        <w:t xml:space="preserve"> </w:t>
      </w:r>
      <w:r w:rsidR="00E3146C" w:rsidRPr="00842A01">
        <w:rPr>
          <w:rFonts w:ascii="Times New Roman" w:hAnsi="Times New Roman" w:cs="Times New Roman"/>
        </w:rPr>
        <w:t xml:space="preserve">Given the novelty of our investigation, this study employed an exploratory approach to </w:t>
      </w:r>
      <w:r w:rsidR="003C1EAF" w:rsidRPr="00842A01">
        <w:rPr>
          <w:rFonts w:ascii="Times New Roman" w:hAnsi="Times New Roman" w:cs="Times New Roman"/>
        </w:rPr>
        <w:t xml:space="preserve">determine </w:t>
      </w:r>
      <w:r w:rsidR="00F1240D" w:rsidRPr="00842A01">
        <w:rPr>
          <w:rFonts w:ascii="Times New Roman" w:hAnsi="Times New Roman" w:cs="Times New Roman"/>
        </w:rPr>
        <w:t xml:space="preserve">the clinical relevance of differential thalamic </w:t>
      </w:r>
      <w:r w:rsidR="00F75276" w:rsidRPr="00842A01">
        <w:rPr>
          <w:rFonts w:ascii="Times New Roman" w:hAnsi="Times New Roman" w:cs="Times New Roman"/>
        </w:rPr>
        <w:t>atrophy</w:t>
      </w:r>
      <w:r w:rsidR="003C1EAF" w:rsidRPr="00842A01">
        <w:rPr>
          <w:rFonts w:ascii="Times New Roman" w:hAnsi="Times New Roman" w:cs="Times New Roman"/>
        </w:rPr>
        <w:t>.</w:t>
      </w:r>
    </w:p>
    <w:p w14:paraId="6F249F58" w14:textId="6D017BF5" w:rsidR="008B607B" w:rsidRPr="00842A01" w:rsidRDefault="008B607B">
      <w:pPr>
        <w:rPr>
          <w:rFonts w:ascii="Times New Roman" w:hAnsi="Times New Roman" w:cs="Times New Roman"/>
        </w:rPr>
      </w:pPr>
      <w:r w:rsidRPr="00842A01">
        <w:rPr>
          <w:rFonts w:ascii="Times New Roman" w:hAnsi="Times New Roman" w:cs="Times New Roman"/>
        </w:rPr>
        <w:br w:type="page"/>
      </w:r>
    </w:p>
    <w:p w14:paraId="29E4B635" w14:textId="77777777" w:rsidR="00C37856" w:rsidRPr="00842A01" w:rsidRDefault="00FC6504" w:rsidP="00F20201">
      <w:pPr>
        <w:pStyle w:val="ListParagraph"/>
        <w:numPr>
          <w:ilvl w:val="0"/>
          <w:numId w:val="20"/>
        </w:numPr>
        <w:spacing w:line="480" w:lineRule="auto"/>
        <w:rPr>
          <w:rFonts w:ascii="Times New Roman" w:hAnsi="Times New Roman" w:cs="Times New Roman"/>
          <w:b/>
        </w:rPr>
      </w:pPr>
      <w:r w:rsidRPr="00842A01">
        <w:rPr>
          <w:rFonts w:ascii="Times New Roman" w:hAnsi="Times New Roman" w:cs="Times New Roman"/>
          <w:b/>
        </w:rPr>
        <w:lastRenderedPageBreak/>
        <w:t>METHODS</w:t>
      </w:r>
    </w:p>
    <w:p w14:paraId="462EE08D" w14:textId="05B65903" w:rsidR="00D13BF4" w:rsidRPr="00842A01" w:rsidRDefault="002028A5" w:rsidP="004A08EC">
      <w:pPr>
        <w:spacing w:line="480" w:lineRule="auto"/>
        <w:jc w:val="both"/>
        <w:rPr>
          <w:rFonts w:ascii="Times New Roman" w:hAnsi="Times New Roman" w:cs="Times New Roman"/>
        </w:rPr>
      </w:pPr>
      <w:r w:rsidRPr="00842A01">
        <w:rPr>
          <w:rFonts w:ascii="Times New Roman" w:hAnsi="Times New Roman" w:cs="Times New Roman"/>
        </w:rPr>
        <w:t xml:space="preserve">The  study cohort comprised of </w:t>
      </w:r>
      <w:r w:rsidR="00890984" w:rsidRPr="00842A01">
        <w:rPr>
          <w:rFonts w:ascii="Times New Roman" w:hAnsi="Times New Roman" w:cs="Times New Roman"/>
        </w:rPr>
        <w:t>65</w:t>
      </w:r>
      <w:r w:rsidR="00041718" w:rsidRPr="00842A01">
        <w:rPr>
          <w:rFonts w:ascii="Times New Roman" w:hAnsi="Times New Roman" w:cs="Times New Roman"/>
        </w:rPr>
        <w:t xml:space="preserve"> participants </w:t>
      </w:r>
      <w:r w:rsidR="00591CAC" w:rsidRPr="00842A01">
        <w:rPr>
          <w:rFonts w:ascii="Times New Roman" w:hAnsi="Times New Roman" w:cs="Times New Roman"/>
        </w:rPr>
        <w:t xml:space="preserve">(33 healthy controls, </w:t>
      </w:r>
      <w:r w:rsidR="008C67B5" w:rsidRPr="00842A01">
        <w:rPr>
          <w:rFonts w:ascii="Times New Roman" w:hAnsi="Times New Roman" w:cs="Times New Roman"/>
        </w:rPr>
        <w:t>14</w:t>
      </w:r>
      <w:r w:rsidR="00591CAC" w:rsidRPr="00842A01">
        <w:rPr>
          <w:rFonts w:ascii="Times New Roman" w:hAnsi="Times New Roman" w:cs="Times New Roman"/>
        </w:rPr>
        <w:t xml:space="preserve"> </w:t>
      </w:r>
      <w:r w:rsidR="004B599A" w:rsidRPr="00842A01">
        <w:rPr>
          <w:rFonts w:ascii="Times New Roman" w:hAnsi="Times New Roman" w:cs="Times New Roman"/>
        </w:rPr>
        <w:t xml:space="preserve">PET </w:t>
      </w:r>
      <w:r w:rsidR="00D5388D" w:rsidRPr="00842A01">
        <w:rPr>
          <w:rFonts w:ascii="Times New Roman" w:hAnsi="Times New Roman" w:cs="Times New Roman"/>
        </w:rPr>
        <w:t xml:space="preserve">amyloid-positive patients </w:t>
      </w:r>
      <w:r w:rsidR="00AC06E8" w:rsidRPr="00842A01">
        <w:rPr>
          <w:rFonts w:ascii="Times New Roman" w:hAnsi="Times New Roman" w:cs="Times New Roman"/>
        </w:rPr>
        <w:t xml:space="preserve">with </w:t>
      </w:r>
      <w:r w:rsidR="00591CAC" w:rsidRPr="00842A01">
        <w:rPr>
          <w:rFonts w:ascii="Times New Roman" w:hAnsi="Times New Roman" w:cs="Times New Roman"/>
        </w:rPr>
        <w:t>MCI, 18</w:t>
      </w:r>
      <w:r w:rsidR="00C37856" w:rsidRPr="00842A01">
        <w:rPr>
          <w:rFonts w:ascii="Times New Roman" w:hAnsi="Times New Roman" w:cs="Times New Roman"/>
        </w:rPr>
        <w:t xml:space="preserve"> </w:t>
      </w:r>
      <w:r w:rsidR="00AC06E8" w:rsidRPr="00842A01">
        <w:rPr>
          <w:rFonts w:ascii="Times New Roman" w:hAnsi="Times New Roman" w:cs="Times New Roman"/>
        </w:rPr>
        <w:t xml:space="preserve">patients with </w:t>
      </w:r>
      <w:r w:rsidR="00C37856" w:rsidRPr="00842A01">
        <w:rPr>
          <w:rFonts w:ascii="Times New Roman" w:hAnsi="Times New Roman" w:cs="Times New Roman"/>
        </w:rPr>
        <w:t>AD</w:t>
      </w:r>
      <w:r w:rsidR="00AC06E8" w:rsidRPr="00842A01">
        <w:rPr>
          <w:rFonts w:ascii="Times New Roman" w:hAnsi="Times New Roman" w:cs="Times New Roman"/>
        </w:rPr>
        <w:t xml:space="preserve"> dementia</w:t>
      </w:r>
      <w:r w:rsidR="00C37856" w:rsidRPr="00842A01">
        <w:rPr>
          <w:rFonts w:ascii="Times New Roman" w:hAnsi="Times New Roman" w:cs="Times New Roman"/>
        </w:rPr>
        <w:t xml:space="preserve">) </w:t>
      </w:r>
      <w:r w:rsidR="00727A5B" w:rsidRPr="00842A01">
        <w:rPr>
          <w:rFonts w:ascii="Times New Roman" w:hAnsi="Times New Roman" w:cs="Times New Roman"/>
        </w:rPr>
        <w:t xml:space="preserve">above the age of 50 </w:t>
      </w:r>
      <w:r w:rsidR="00C37856" w:rsidRPr="00842A01">
        <w:rPr>
          <w:rFonts w:ascii="Times New Roman" w:hAnsi="Times New Roman" w:cs="Times New Roman"/>
        </w:rPr>
        <w:t xml:space="preserve">as part of the Neuroinflammation in Memory and Related Other Disorders (NIMROD) study, a multimodal </w:t>
      </w:r>
      <w:r w:rsidR="00785540" w:rsidRPr="00842A01">
        <w:rPr>
          <w:rFonts w:ascii="Times New Roman" w:hAnsi="Times New Roman" w:cs="Times New Roman"/>
        </w:rPr>
        <w:t xml:space="preserve">imaging </w:t>
      </w:r>
      <w:r w:rsidR="00C37856" w:rsidRPr="00842A01">
        <w:rPr>
          <w:rFonts w:ascii="Times New Roman" w:hAnsi="Times New Roman" w:cs="Times New Roman"/>
        </w:rPr>
        <w:t>cohort study</w:t>
      </w:r>
      <w:r w:rsidR="00F63928" w:rsidRPr="00842A01">
        <w:rPr>
          <w:rFonts w:ascii="Times New Roman" w:hAnsi="Times New Roman" w:cs="Times New Roman"/>
        </w:rPr>
        <w:t xml:space="preserve"> </w:t>
      </w:r>
      <w:r w:rsidR="00F63928"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{"citationItems":[{"id":"ITEM-1","itemData":{"DOI":"10.1136/bmjopen-2016-013187","ISSN":"2044-6055 (Electronic)","PMID":"28064175","abstract":"INTRODUCTION: Inflammation of the central nervous system is increasingly regarded as having a role in cognitive disorders such as dementia and depression, but it is not clear how such inflammation relates to other aspects of neuropathology, structural and functional changes in the brain and symptoms (as assessed via clinical and neuropsychological assessment and MRI). This study will explore these pathophysiological mechanisms using positron emission tomography (PET) which allows in vivo imaging of inflammation, amyloid and tau deposition, together with neuropsychological profiling, MRI and peripheral biomarker analysis. METHODS AND ANALYSIS: Using PET imaging of the ligand [(11)C]PK11195, we will test for increased neuroinflammation in vivo in patients with Alzheimer's disease, Lewy body dementia, frontotemporal dementia, progressive supranuclear palsy, late-onset depression and mild cognitive impairment, when compared to healthy controls. We will assess whether areas of inflammatory change are associated with amyloid and tau deposition (assessed using (11)C-labelled Pittsburgh Compound B ([(11)C]PiB) and (18)F-labelled AV-1451, respectively), as well as structural and connectivity markers found on MRI. Inflammatory biomarker analysis and immune-phenotyping of peripheral blood monocytes will determine the correlation between central inflammation and peripheral inflammation. Finally, we will examine whether central inflammatory markers seen on PET imaging are associated with global and domain specific cognitive impairments or predict cognitive decline over 12 months. ETHICS AND DISSEMINATION: The study protocol was approved by the local ethics committee, East of England-Cambridge Central Research Ethics Committee (reference: 13/EE/0104). The study is also Administration of Radioactive Substances Advisory Committee (ARSAC) approved as part of this process. Data will be disseminated by presentation at national and international conferences and by publication, predominantly in journals of clinical neuroscience, neurology and psychiatry.","author":[{"dropping-particle":"","family":"Bevan-Jones","given":"W Richard","non-dropping-particle":"","parse-names":false,"suffix":""},{"dropping-particle":"","family":"Surendranathan","given":"Ajenthan","non-dropping-particle":"","parse-names":false,"suffix":""},{"dropping-particle":"","family":"Passamonti","given":"Luca","non-dropping-particle":"","parse-names":false,"suffix":""},{"dropping-particle":"","family":"Vazquez Rodriguez","given":"Patricia","non-dropping-particle":"","parse-names":false,"suffix":""},{"dropping-particle":"","family":"Arnold","given":"Robert","non-dropping-particle":"","parse-names":false,"suffix":""},{"dropping-particle":"","family":"Mak","given":"Elijah","non-dropping-particle":"","parse-names":false,"suffix":""},{"dropping-particle":"","family":"Su","given":"Li","non-dropping-particle":"","parse-names":false,"suffix":""},{"dropping-particle":"","family":"Coles","given":"Jonathan P","non-dropping-particle":"","parse-names":false,"suffix":""},{"dropping-particle":"","family":"Fryer","given":"Tim D","non-dropping-particle":"","parse-names":false,"suffix":""},{"dropping-particle":"","family":"Hong","given":"Young T","non-dropping-particle":"","parse-names":false,"suffix":""},{"dropping-particle":"","family":"Williams","given":"Guy","non-dropping-particle":"","parse-names":false,"suffix":""},{"dropping-particle":"","family":"Aigbirhio","given":"Franklin","non-dropping-particle":"","parse-names":false,"suffix":""},{"dropping-particle":"","family":"Rowe","given":"James B","non-dropping-particle":"","parse-names":false,"suffix":""},{"dropping-particle":"","family":"O'Brien","given":"John T","non-dropping-particle":"","parse-names":false,"suffix":""}],"container-title":"BMJ Open","id":"ITEM-1","issue":"1","issued":{"date-parts":[["2017","1"]]},"language":"eng","page":"e013187","publisher-place":"England","title":"Neuroimaging of Inflammation in Memory and Related Other Disorders (NIMROD) study protocol: a deep phenotyping cohort study of the role of brain inflammation in dementia, depression and other neurological illnesses.","type":"article-journal","volume":"7"},"uris":["http://www.mendeley.com/documents/?uuid=859cfeb6-0306-43e3-ad14-044d8ef2c8de"]}],"mendeley":{"formattedCitation":"[29]","plainTextFormattedCitation":"[29]","previouslyFormattedCitation":"[29]"},"properties":{"noteIndex":0},"schema":"https://github.com/citation-style-language/schema/raw/master/csl-citation.json"}</w:instrText>
      </w:r>
      <w:r w:rsidR="00F63928" w:rsidRPr="00842A01">
        <w:rPr>
          <w:rFonts w:ascii="Times New Roman" w:hAnsi="Times New Roman" w:cs="Times New Roman"/>
        </w:rPr>
        <w:fldChar w:fldCharType="separate"/>
      </w:r>
      <w:r w:rsidR="00552CC9" w:rsidRPr="00842A01">
        <w:rPr>
          <w:rFonts w:ascii="Times New Roman" w:hAnsi="Times New Roman" w:cs="Times New Roman"/>
          <w:noProof/>
        </w:rPr>
        <w:t>[29]</w:t>
      </w:r>
      <w:r w:rsidR="00F63928" w:rsidRPr="00842A01">
        <w:rPr>
          <w:rFonts w:ascii="Times New Roman" w:hAnsi="Times New Roman" w:cs="Times New Roman"/>
        </w:rPr>
        <w:fldChar w:fldCharType="end"/>
      </w:r>
      <w:r w:rsidR="00482032" w:rsidRPr="00842A01">
        <w:rPr>
          <w:rFonts w:ascii="Times New Roman" w:hAnsi="Times New Roman" w:cs="Times New Roman"/>
        </w:rPr>
        <w:t xml:space="preserve">. MCI and AD participants were recruited from </w:t>
      </w:r>
      <w:r w:rsidR="00504E99" w:rsidRPr="00842A01">
        <w:rPr>
          <w:rFonts w:ascii="Times New Roman" w:hAnsi="Times New Roman" w:cs="Times New Roman"/>
        </w:rPr>
        <w:t>memory</w:t>
      </w:r>
      <w:r w:rsidR="00482032" w:rsidRPr="00842A01">
        <w:rPr>
          <w:rFonts w:ascii="Times New Roman" w:hAnsi="Times New Roman" w:cs="Times New Roman"/>
        </w:rPr>
        <w:t xml:space="preserve"> clinics in and around Cambridgeshire, including the regions of Lincolnshire, Bedfordshire, Norfolk, Suffolk, Hertfordshire and Essex, or via the Dementias and Neurodegeneration specialty of the UK Clinical Research Network (DeNDRoN) or the Join Dementia Research (JDR) platform</w:t>
      </w:r>
      <w:r w:rsidR="00F63928" w:rsidRPr="00842A01">
        <w:rPr>
          <w:rFonts w:ascii="Times New Roman" w:hAnsi="Times New Roman" w:cs="Times New Roman"/>
        </w:rPr>
        <w:t xml:space="preserve"> </w:t>
      </w:r>
      <w:r w:rsidR="006E3CC5" w:rsidRPr="00842A01">
        <w:rPr>
          <w:rFonts w:ascii="Times New Roman" w:hAnsi="Times New Roman" w:cs="Times New Roman"/>
        </w:rPr>
        <w:t>(https://www.joinde</w:t>
      </w:r>
      <w:r w:rsidR="00F63928" w:rsidRPr="00842A01">
        <w:rPr>
          <w:rFonts w:ascii="Times New Roman" w:hAnsi="Times New Roman" w:cs="Times New Roman"/>
        </w:rPr>
        <w:t>mentiaresearch.nihr.ac.uk)</w:t>
      </w:r>
      <w:r w:rsidR="00482032" w:rsidRPr="00842A01">
        <w:rPr>
          <w:rFonts w:ascii="Times New Roman" w:hAnsi="Times New Roman" w:cs="Times New Roman"/>
        </w:rPr>
        <w:t xml:space="preserve">. </w:t>
      </w:r>
      <w:r w:rsidR="00727A5B" w:rsidRPr="00842A01">
        <w:rPr>
          <w:rFonts w:ascii="Times New Roman" w:hAnsi="Times New Roman" w:cs="Times New Roman"/>
        </w:rPr>
        <w:t xml:space="preserve">MCI was defined as participants </w:t>
      </w:r>
      <w:r w:rsidR="00785540" w:rsidRPr="00842A01">
        <w:rPr>
          <w:rFonts w:ascii="Times New Roman" w:hAnsi="Times New Roman" w:cs="Times New Roman"/>
        </w:rPr>
        <w:t xml:space="preserve">who </w:t>
      </w:r>
      <w:r w:rsidR="00344C2E" w:rsidRPr="00842A01">
        <w:rPr>
          <w:rFonts w:ascii="Times New Roman" w:hAnsi="Times New Roman" w:cs="Times New Roman"/>
        </w:rPr>
        <w:t>did not meet criteria for a probable AD</w:t>
      </w:r>
      <w:r w:rsidR="00785540" w:rsidRPr="00842A01">
        <w:rPr>
          <w:rFonts w:ascii="Times New Roman" w:hAnsi="Times New Roman" w:cs="Times New Roman"/>
        </w:rPr>
        <w:t xml:space="preserve">, </w:t>
      </w:r>
      <w:r w:rsidR="00344C2E" w:rsidRPr="00842A01">
        <w:rPr>
          <w:rFonts w:ascii="Times New Roman" w:hAnsi="Times New Roman" w:cs="Times New Roman"/>
        </w:rPr>
        <w:t xml:space="preserve"> </w:t>
      </w:r>
      <w:r w:rsidR="00344C2E" w:rsidRPr="00842A01">
        <w:rPr>
          <w:rFonts w:ascii="Times New Roman" w:eastAsia="Times New Roman" w:hAnsi="Times New Roman" w:cs="Times New Roman"/>
          <w:lang w:eastAsia="en-SG"/>
        </w:rPr>
        <w:t xml:space="preserve">but had memory impairments beyond what is expected for age and education not explained by another diagnosis, and </w:t>
      </w:r>
      <w:r w:rsidR="00785540" w:rsidRPr="00842A01">
        <w:rPr>
          <w:rFonts w:ascii="Times New Roman" w:hAnsi="Times New Roman" w:cs="Times New Roman"/>
        </w:rPr>
        <w:t xml:space="preserve">had </w:t>
      </w:r>
      <w:r w:rsidR="00727A5B" w:rsidRPr="00842A01">
        <w:rPr>
          <w:rFonts w:ascii="Times New Roman" w:hAnsi="Times New Roman" w:cs="Times New Roman"/>
        </w:rPr>
        <w:t xml:space="preserve"> a </w:t>
      </w:r>
      <w:r w:rsidR="00727A5B" w:rsidRPr="00842A01">
        <w:rPr>
          <w:rFonts w:ascii="Times New Roman" w:eastAsia="Times New Roman" w:hAnsi="Times New Roman" w:cs="Times New Roman"/>
          <w:lang w:eastAsia="en-SG"/>
        </w:rPr>
        <w:t xml:space="preserve">Mini-Mental State Examination (MMSE) &gt;24, </w:t>
      </w:r>
      <w:r w:rsidR="007031FC" w:rsidRPr="00842A01">
        <w:rPr>
          <w:rFonts w:ascii="Times New Roman" w:eastAsia="Times New Roman" w:hAnsi="Times New Roman" w:cs="Times New Roman"/>
          <w:lang w:eastAsia="en-SG"/>
        </w:rPr>
        <w:fldChar w:fldCharType="begin" w:fldLock="1"/>
      </w:r>
      <w:r w:rsidR="00BE7F71" w:rsidRPr="00842A01">
        <w:rPr>
          <w:rFonts w:ascii="Times New Roman" w:eastAsia="Times New Roman" w:hAnsi="Times New Roman" w:cs="Times New Roman"/>
          <w:lang w:eastAsia="en-SG"/>
        </w:rPr>
        <w:instrText>ADDIN CSL_CITATION {"citationItems":[{"id":"ITEM-1","itemData":{"DOI":"10.1016/j.jalz.2011.03.008","ISSN":"1552-5260","author":[{"dropping-particle":"","family":"Albert","given":"Marilyn S","non-dropping-particle":"","parse-names":false,"suffix":""},{"dropping-particle":"","family":"DeKosky","given":"Steven T","non-dropping-particle":"","parse-names":false,"suffix":""},{"dropping-particle":"","family":"Dickson","given":"Dennis","non-dropping-particle":"","parse-names":false,"suffix":""},{"dropping-particle":"","family":"Dubois","given":"Bruno","non-dropping-particle":"","parse-names":false,"suffix":""},{"dropping-particle":"","family":"Feldman","given":"Howard H","non-dropping-particle":"","parse-names":false,"suffix":""},{"dropping-particle":"","family":"Fox","given":"Nick C","non-dropping-particle":"","parse-names":false,"suffix":""},{"dropping-particle":"","family":"Gamst","given":"Anthony","non-dropping-particle":"","parse-names":false,"suffix":""},{"dropping-particle":"","family":"Holtzman","given":"David M","non-dropping-particle":"","parse-names":false,"suffix":""},{"dropping-particle":"","family":"Jagust","given":"William J","non-dropping-particle":"","parse-names":false,"suffix":""},{"dropping-particle":"","family":"Petersen","given":"Ronald C","non-dropping-particle":"","parse-names":false,"suffix":""},{"dropping-particle":"","family":"Snyder","given":"Peter J","non-dropping-particle":"","parse-names":false,"suffix":""},{"dropping-particle":"","family":"Carrillo","given":"Maria C","non-dropping-particle":"","parse-names":false,"suffix":""},{"dropping-particle":"","family":"Thies","given":"Bill","non-dropping-particle":"","parse-names":false,"suffix":""},{"dropping-particle":"","family":"Phelps","given":"Creighton H","non-dropping-particle":"","parse-names":false,"suffix":""}],"container-title":"Alzheimer's &amp; Dementia","id":"ITEM-1","issue":"3","issued":{"date-parts":[["2011"]]},"page":"270-279","publisher":"Elsevier BV","title":"The diagnosis of mild cognitive impairment due to Alzheimer’s disease: Recommendations from the National Institute on Aging-Alzheimer’s Association workgroups on diagnostic guidelines for Alzheimer's disease","type":"article-journal","volume":"7"},"uris":["http://www.mendeley.com/documents/?uuid=bd3928d2-b8f0-4622-b9c2-c05208cd1163"]}],"mendeley":{"formattedCitation":"[30]","plainTextFormattedCitation":"[30]","previouslyFormattedCitation":"[30]"},"properties":{"noteIndex":0},"schema":"https://github.com/citation-style-language/schema/raw/master/csl-citation.json"}</w:instrText>
      </w:r>
      <w:r w:rsidR="007031FC" w:rsidRPr="00842A01">
        <w:rPr>
          <w:rFonts w:ascii="Times New Roman" w:eastAsia="Times New Roman" w:hAnsi="Times New Roman" w:cs="Times New Roman"/>
          <w:lang w:eastAsia="en-SG"/>
        </w:rPr>
        <w:fldChar w:fldCharType="separate"/>
      </w:r>
      <w:r w:rsidR="00552CC9" w:rsidRPr="00842A01">
        <w:rPr>
          <w:rFonts w:ascii="Times New Roman" w:eastAsia="Times New Roman" w:hAnsi="Times New Roman" w:cs="Times New Roman"/>
          <w:noProof/>
          <w:lang w:eastAsia="en-SG"/>
        </w:rPr>
        <w:t>[30]</w:t>
      </w:r>
      <w:r w:rsidR="007031FC" w:rsidRPr="00842A01">
        <w:rPr>
          <w:rFonts w:ascii="Times New Roman" w:eastAsia="Times New Roman" w:hAnsi="Times New Roman" w:cs="Times New Roman"/>
          <w:lang w:eastAsia="en-SG"/>
        </w:rPr>
        <w:fldChar w:fldCharType="end"/>
      </w:r>
      <w:r w:rsidR="00727A5B" w:rsidRPr="00842A01">
        <w:rPr>
          <w:rFonts w:ascii="Times New Roman" w:eastAsia="Times New Roman" w:hAnsi="Times New Roman" w:cs="Times New Roman"/>
          <w:lang w:eastAsia="en-SG"/>
        </w:rPr>
        <w:t>.</w:t>
      </w:r>
      <w:r w:rsidR="00475E06" w:rsidRPr="00842A01">
        <w:rPr>
          <w:rFonts w:ascii="Times New Roman" w:eastAsia="Times New Roman" w:hAnsi="Times New Roman" w:cs="Times New Roman"/>
          <w:lang w:eastAsia="en-SG"/>
        </w:rPr>
        <w:t xml:space="preserve"> </w:t>
      </w:r>
      <w:bookmarkStart w:id="0" w:name="OLE_LINK5"/>
      <w:bookmarkStart w:id="1" w:name="OLE_LINK6"/>
      <w:r w:rsidR="008C67B5" w:rsidRPr="00842A01">
        <w:rPr>
          <w:rFonts w:ascii="Times New Roman" w:eastAsia="Times New Roman" w:hAnsi="Times New Roman" w:cs="Times New Roman"/>
          <w:lang w:eastAsia="en-SG"/>
        </w:rPr>
        <w:t xml:space="preserve">Only amyloid positive MCI patients were included in this study, as defined by an average </w:t>
      </w:r>
      <w:r w:rsidR="003B726E" w:rsidRPr="00842A01">
        <w:rPr>
          <w:rFonts w:ascii="Times New Roman" w:eastAsia="Times New Roman" w:hAnsi="Times New Roman" w:cs="Times New Roman"/>
          <w:vertAlign w:val="superscript"/>
          <w:lang w:eastAsia="en-SG"/>
        </w:rPr>
        <w:t>11</w:t>
      </w:r>
      <w:r w:rsidR="003B726E" w:rsidRPr="00842A01">
        <w:rPr>
          <w:rFonts w:ascii="Times New Roman" w:eastAsia="Times New Roman" w:hAnsi="Times New Roman" w:cs="Times New Roman"/>
          <w:lang w:eastAsia="en-SG"/>
        </w:rPr>
        <w:t xml:space="preserve">C Pittsburgh Compound-B standardized </w:t>
      </w:r>
      <w:r w:rsidR="000C18B1" w:rsidRPr="00842A01">
        <w:rPr>
          <w:rFonts w:ascii="Times New Roman" w:eastAsia="Times New Roman" w:hAnsi="Times New Roman" w:cs="Times New Roman"/>
          <w:lang w:eastAsia="en-SG"/>
        </w:rPr>
        <w:t xml:space="preserve">cortical/cerebellar uptake </w:t>
      </w:r>
      <w:r w:rsidR="00344C2E" w:rsidRPr="00842A01">
        <w:rPr>
          <w:rFonts w:ascii="Times New Roman" w:eastAsia="Times New Roman" w:hAnsi="Times New Roman" w:cs="Times New Roman"/>
          <w:lang w:eastAsia="en-SG"/>
        </w:rPr>
        <w:t xml:space="preserve">ratio </w:t>
      </w:r>
      <w:r w:rsidR="003B726E" w:rsidRPr="00842A01">
        <w:rPr>
          <w:rFonts w:ascii="Times New Roman" w:eastAsia="Times New Roman" w:hAnsi="Times New Roman" w:cs="Times New Roman"/>
          <w:lang w:eastAsia="en-SG"/>
        </w:rPr>
        <w:t>of above 1.5.</w:t>
      </w:r>
      <w:r w:rsidR="008C67B5" w:rsidRPr="00842A01">
        <w:rPr>
          <w:rFonts w:ascii="Times New Roman" w:eastAsia="Times New Roman" w:hAnsi="Times New Roman" w:cs="Times New Roman"/>
          <w:lang w:eastAsia="en-SG"/>
        </w:rPr>
        <w:t xml:space="preserve"> </w:t>
      </w:r>
      <w:r w:rsidR="00C15CBF" w:rsidRPr="00842A01">
        <w:rPr>
          <w:rFonts w:ascii="Times New Roman" w:eastAsia="Times New Roman" w:hAnsi="Times New Roman" w:cs="Times New Roman"/>
          <w:lang w:eastAsia="en-SG"/>
        </w:rPr>
        <w:t xml:space="preserve">Probable AD was defined according to the National Institute on Aging-Alzheimer's Association (NIA-AA) diagnostic guidelines </w:t>
      </w:r>
      <w:bookmarkEnd w:id="0"/>
      <w:bookmarkEnd w:id="1"/>
      <w:r w:rsidR="00F63928" w:rsidRPr="00842A01">
        <w:rPr>
          <w:rFonts w:ascii="Times New Roman" w:eastAsia="Times New Roman" w:hAnsi="Times New Roman" w:cs="Times New Roman"/>
          <w:lang w:eastAsia="en-SG"/>
        </w:rPr>
        <w:fldChar w:fldCharType="begin" w:fldLock="1"/>
      </w:r>
      <w:r w:rsidR="00BE7F71" w:rsidRPr="00842A01">
        <w:rPr>
          <w:rFonts w:ascii="Times New Roman" w:eastAsia="Times New Roman" w:hAnsi="Times New Roman" w:cs="Times New Roman"/>
          <w:lang w:eastAsia="en-SG"/>
        </w:rPr>
        <w:instrText>ADDIN CSL_CITATION {"citationItems":[{"id":"ITEM-1","itemData":{"DOI":"10.1016/j.jalz.2011.03.005","ISSN":"1552-5260","author":[{"dropping-particle":"","family":"McKhann","given":"Guy M","non-dropping-particle":"","parse-names":false,"suffix":""},{"dropping-particle":"","family":"Knopman","given":"David S","non-dropping-particle":"","parse-names":false,"suffix":""},{"dropping-particle":"","family":"Chertkow","given":"Howard","non-dropping-particle":"","parse-names":false,"suffix":""},{"dropping-particle":"","family":"Hyman","given":"Bradley T","non-dropping-particle":"","parse-names":false,"suffix":""},{"dropping-particle":"","family":"Jack","given":"Clifford R","non-dropping-particle":"","parse-names":false,"suffix":""},{"dropping-particle":"","family":"Kawas","given":"Claudia H","non-dropping-particle":"","parse-names":false,"suffix":""},{"dropping-particle":"","family":"Klunk","given":"William E","non-dropping-particle":"","parse-names":false,"suffix":""},{"dropping-particle":"","family":"Koroshetz","given":"Walter J","non-dropping-particle":"","parse-names":false,"suffix":""},{"dropping-particle":"","family":"Manly","given":"Jennifer J","non-dropping-particle":"","parse-names":false,"suffix":""},{"dropping-particle":"","family":"Mayeux","given":"Richard","non-dropping-particle":"","parse-names":false,"suffix":""},{"dropping-particle":"","family":"Mohs","given":"Richard C","non-dropping-particle":"","parse-names":false,"suffix":""},{"dropping-particle":"","family":"Morris","given":"John C","non-dropping-particle":"","parse-names":false,"suffix":""},{"dropping-particle":"","family":"Rossor","given":"Martin N","non-dropping-particle":"","parse-names":false,"suffix":""},{"dropping-particle":"","family":"Scheltens","given":"Philip","non-dropping-particle":"","parse-names":false,"suffix":""},{"dropping-particle":"","family":"Carrillo","given":"Maria C","non-dropping-particle":"","parse-names":false,"suffix":""},{"dropping-particle":"","family":"Thies","given":"Bill","non-dropping-particle":"","parse-names":false,"suffix":""},{"dropping-particle":"","family":"Weintraub","given":"Sandra","non-dropping-particle":"","parse-names":false,"suffix":""},{"dropping-particle":"","family":"Phelps","given":"Creighton H","non-dropping-particle":"","parse-names":false,"suffix":""}],"container-title":"Alzheimer's &amp; Dementia","id":"ITEM-1","issue":"3","issued":{"date-parts":[["2011"]]},"page":"263-269","publisher":"Elsevier BV","title":"The diagnosis of dementia due to Alzheimer’s disease: Recommendations from the National Institute on Aging-Alzheimer’s Association workgroups on diagnostic guidelines for Alzheimer's disease","type":"article-journal","volume":"7"},"uris":["http://www.mendeley.com/documents/?uuid=ea6d2c88-f7a8-4f3d-8608-780aeba2a0e1"]}],"mendeley":{"formattedCitation":"[31]","plainTextFormattedCitation":"[31]","previouslyFormattedCitation":"[31]"},"properties":{"noteIndex":0},"schema":"https://github.com/citation-style-language/schema/raw/master/csl-citation.json"}</w:instrText>
      </w:r>
      <w:r w:rsidR="00F63928" w:rsidRPr="00842A01">
        <w:rPr>
          <w:rFonts w:ascii="Times New Roman" w:eastAsia="Times New Roman" w:hAnsi="Times New Roman" w:cs="Times New Roman"/>
          <w:lang w:eastAsia="en-SG"/>
        </w:rPr>
        <w:fldChar w:fldCharType="separate"/>
      </w:r>
      <w:r w:rsidR="00552CC9" w:rsidRPr="00842A01">
        <w:rPr>
          <w:rFonts w:ascii="Times New Roman" w:eastAsia="Times New Roman" w:hAnsi="Times New Roman" w:cs="Times New Roman"/>
          <w:noProof/>
          <w:lang w:eastAsia="en-SG"/>
        </w:rPr>
        <w:t>[31]</w:t>
      </w:r>
      <w:r w:rsidR="00F63928" w:rsidRPr="00842A01">
        <w:rPr>
          <w:rFonts w:ascii="Times New Roman" w:eastAsia="Times New Roman" w:hAnsi="Times New Roman" w:cs="Times New Roman"/>
          <w:lang w:eastAsia="en-SG"/>
        </w:rPr>
        <w:fldChar w:fldCharType="end"/>
      </w:r>
      <w:r w:rsidR="00F63928" w:rsidRPr="00842A01">
        <w:rPr>
          <w:rFonts w:ascii="Times New Roman" w:eastAsia="Times New Roman" w:hAnsi="Times New Roman" w:cs="Times New Roman"/>
          <w:lang w:eastAsia="en-SG"/>
        </w:rPr>
        <w:t xml:space="preserve">. </w:t>
      </w:r>
      <w:r w:rsidR="00C15CBF" w:rsidRPr="00842A01">
        <w:rPr>
          <w:rFonts w:ascii="Times New Roman" w:hAnsi="Times New Roman" w:cs="Times New Roman"/>
        </w:rPr>
        <w:t xml:space="preserve">Healthy controls were recruited from DeNDRON, JDR, </w:t>
      </w:r>
      <w:r w:rsidR="00333F1B" w:rsidRPr="00842A01">
        <w:rPr>
          <w:rFonts w:ascii="Times New Roman" w:hAnsi="Times New Roman" w:cs="Times New Roman"/>
        </w:rPr>
        <w:t xml:space="preserve">and amongst </w:t>
      </w:r>
      <w:r w:rsidR="00C15CBF" w:rsidRPr="00842A01">
        <w:rPr>
          <w:rFonts w:ascii="Times New Roman" w:hAnsi="Times New Roman" w:cs="Times New Roman"/>
        </w:rPr>
        <w:t>friends</w:t>
      </w:r>
      <w:r w:rsidR="00AE4E27" w:rsidRPr="00842A01">
        <w:rPr>
          <w:rFonts w:ascii="Times New Roman" w:hAnsi="Times New Roman" w:cs="Times New Roman"/>
        </w:rPr>
        <w:t xml:space="preserve">, partners, and spouses </w:t>
      </w:r>
      <w:r w:rsidR="00C15CBF" w:rsidRPr="00842A01">
        <w:rPr>
          <w:rFonts w:ascii="Times New Roman" w:hAnsi="Times New Roman" w:cs="Times New Roman"/>
        </w:rPr>
        <w:t xml:space="preserve">of patients. Healthy controls were required to have MMSE &gt; 26, </w:t>
      </w:r>
      <w:r w:rsidR="00344C2E" w:rsidRPr="00842A01">
        <w:rPr>
          <w:rFonts w:ascii="Times New Roman" w:hAnsi="Times New Roman" w:cs="Times New Roman"/>
        </w:rPr>
        <w:t xml:space="preserve">in the </w:t>
      </w:r>
      <w:r w:rsidR="00C15CBF" w:rsidRPr="00842A01">
        <w:rPr>
          <w:rFonts w:ascii="Times New Roman" w:hAnsi="Times New Roman" w:cs="Times New Roman"/>
        </w:rPr>
        <w:t>absence of regular memory symptoms, symp</w:t>
      </w:r>
      <w:r w:rsidR="00434FF6" w:rsidRPr="00842A01">
        <w:rPr>
          <w:rFonts w:ascii="Times New Roman" w:hAnsi="Times New Roman" w:cs="Times New Roman"/>
        </w:rPr>
        <w:t>toms suggestive of dementia, or</w:t>
      </w:r>
      <w:r w:rsidR="00C15CBF" w:rsidRPr="00842A01">
        <w:rPr>
          <w:rFonts w:ascii="Times New Roman" w:hAnsi="Times New Roman" w:cs="Times New Roman"/>
        </w:rPr>
        <w:t xml:space="preserve"> unstable or significant medical illness. </w:t>
      </w:r>
      <w:r w:rsidR="00B7581D" w:rsidRPr="00842A01">
        <w:rPr>
          <w:rFonts w:ascii="Times New Roman" w:hAnsi="Times New Roman" w:cs="Times New Roman"/>
        </w:rPr>
        <w:t>All participants underwent detailed clinical and neuropsychological assessments</w:t>
      </w:r>
      <w:r w:rsidR="006442B9" w:rsidRPr="00842A01">
        <w:rPr>
          <w:rFonts w:ascii="Times New Roman" w:hAnsi="Times New Roman" w:cs="Times New Roman"/>
        </w:rPr>
        <w:t xml:space="preserve">. </w:t>
      </w:r>
      <w:r w:rsidR="0074205D" w:rsidRPr="00842A01">
        <w:rPr>
          <w:rFonts w:ascii="Times New Roman" w:hAnsi="Times New Roman" w:cs="Times New Roman"/>
        </w:rPr>
        <w:t xml:space="preserve">Global cognition </w:t>
      </w:r>
      <w:r w:rsidR="006C71EF" w:rsidRPr="00842A01">
        <w:rPr>
          <w:rFonts w:ascii="Times New Roman" w:hAnsi="Times New Roman" w:cs="Times New Roman"/>
        </w:rPr>
        <w:t xml:space="preserve">was assessed using the </w:t>
      </w:r>
      <w:r w:rsidR="001B72B5" w:rsidRPr="00842A01">
        <w:rPr>
          <w:rFonts w:ascii="Times New Roman" w:hAnsi="Times New Roman" w:cs="Times New Roman"/>
        </w:rPr>
        <w:t xml:space="preserve">MMSE </w:t>
      </w:r>
      <w:r w:rsidR="006C71EF" w:rsidRPr="00842A01">
        <w:rPr>
          <w:rFonts w:ascii="Times New Roman" w:hAnsi="Times New Roman" w:cs="Times New Roman"/>
        </w:rPr>
        <w:t>and</w:t>
      </w:r>
      <w:r w:rsidR="00B7581D" w:rsidRPr="00842A01">
        <w:rPr>
          <w:rFonts w:ascii="Times New Roman" w:hAnsi="Times New Roman" w:cs="Times New Roman"/>
        </w:rPr>
        <w:t xml:space="preserve"> Addenbrooke’s Cognit</w:t>
      </w:r>
      <w:r w:rsidR="006C71EF" w:rsidRPr="00842A01">
        <w:rPr>
          <w:rFonts w:ascii="Times New Roman" w:hAnsi="Times New Roman" w:cs="Times New Roman"/>
        </w:rPr>
        <w:t>ive Examinatio</w:t>
      </w:r>
      <w:r w:rsidR="001B72B5" w:rsidRPr="00842A01">
        <w:rPr>
          <w:rFonts w:ascii="Times New Roman" w:hAnsi="Times New Roman" w:cs="Times New Roman"/>
        </w:rPr>
        <w:t xml:space="preserve">n-Revised (ACE-R), </w:t>
      </w:r>
      <w:r w:rsidR="00785540" w:rsidRPr="00842A01">
        <w:rPr>
          <w:rFonts w:ascii="Times New Roman" w:hAnsi="Times New Roman" w:cs="Times New Roman"/>
        </w:rPr>
        <w:t>episodic</w:t>
      </w:r>
      <w:r w:rsidR="006C71EF" w:rsidRPr="00842A01">
        <w:rPr>
          <w:rFonts w:ascii="Times New Roman" w:hAnsi="Times New Roman" w:cs="Times New Roman"/>
        </w:rPr>
        <w:t xml:space="preserve"> memory was assessed using the Rey Audito</w:t>
      </w:r>
      <w:r w:rsidR="00331D2C" w:rsidRPr="00842A01">
        <w:rPr>
          <w:rFonts w:ascii="Times New Roman" w:hAnsi="Times New Roman" w:cs="Times New Roman"/>
        </w:rPr>
        <w:t>ry Verbal Learning test (RAVLT)</w:t>
      </w:r>
      <w:r w:rsidR="00B13179" w:rsidRPr="00842A01">
        <w:rPr>
          <w:rFonts w:ascii="Times New Roman" w:hAnsi="Times New Roman" w:cs="Times New Roman"/>
        </w:rPr>
        <w:t xml:space="preserve"> total score</w:t>
      </w:r>
      <w:r w:rsidR="00331D2C" w:rsidRPr="00842A01">
        <w:rPr>
          <w:rFonts w:ascii="Times New Roman" w:hAnsi="Times New Roman" w:cs="Times New Roman"/>
        </w:rPr>
        <w:t xml:space="preserve">, and language was assessed using a </w:t>
      </w:r>
      <w:r w:rsidR="00AC7AA4" w:rsidRPr="00842A01">
        <w:rPr>
          <w:rFonts w:ascii="Times New Roman" w:hAnsi="Times New Roman" w:cs="Times New Roman"/>
        </w:rPr>
        <w:t>combined verbal fluency score obtained from ACE-R subscales</w:t>
      </w:r>
      <w:r w:rsidR="00331D2C" w:rsidRPr="00842A01">
        <w:rPr>
          <w:rFonts w:ascii="Times New Roman" w:hAnsi="Times New Roman" w:cs="Times New Roman"/>
        </w:rPr>
        <w:t xml:space="preserve">. </w:t>
      </w:r>
      <w:r w:rsidR="007A04CD" w:rsidRPr="00842A01">
        <w:rPr>
          <w:rFonts w:ascii="Times New Roman" w:hAnsi="Times New Roman" w:cs="Times New Roman"/>
        </w:rPr>
        <w:t xml:space="preserve">For MCI and AD participants, ability to carry out everyday activities was measured using </w:t>
      </w:r>
      <w:r w:rsidR="00BD4657" w:rsidRPr="00842A01">
        <w:rPr>
          <w:rFonts w:ascii="Times New Roman" w:hAnsi="Times New Roman" w:cs="Times New Roman"/>
        </w:rPr>
        <w:t>the informant completed</w:t>
      </w:r>
      <w:r w:rsidR="007A04CD" w:rsidRPr="00842A01">
        <w:rPr>
          <w:rFonts w:ascii="Times New Roman" w:hAnsi="Times New Roman" w:cs="Times New Roman"/>
        </w:rPr>
        <w:t xml:space="preserve"> Bristol Activities of Daily Living Scale </w:t>
      </w:r>
      <w:r w:rsidR="00F84EE6" w:rsidRPr="00842A01">
        <w:rPr>
          <w:rFonts w:ascii="Times New Roman" w:hAnsi="Times New Roman" w:cs="Times New Roman"/>
        </w:rPr>
        <w:t xml:space="preserve">(BADL) </w:t>
      </w:r>
      <w:r w:rsidR="007A04CD" w:rsidRPr="00842A01">
        <w:rPr>
          <w:rFonts w:ascii="Times New Roman" w:hAnsi="Times New Roman" w:cs="Times New Roman"/>
        </w:rPr>
        <w:t>and n</w:t>
      </w:r>
      <w:r w:rsidR="006C71EF" w:rsidRPr="00842A01">
        <w:rPr>
          <w:rFonts w:ascii="Times New Roman" w:hAnsi="Times New Roman" w:cs="Times New Roman"/>
        </w:rPr>
        <w:t xml:space="preserve">europsychiatric symptoms </w:t>
      </w:r>
      <w:r w:rsidR="00BD4657" w:rsidRPr="00842A01">
        <w:rPr>
          <w:rFonts w:ascii="Times New Roman" w:hAnsi="Times New Roman" w:cs="Times New Roman"/>
        </w:rPr>
        <w:t xml:space="preserve">assessed </w:t>
      </w:r>
      <w:r w:rsidR="006C71EF" w:rsidRPr="00842A01">
        <w:rPr>
          <w:rFonts w:ascii="Times New Roman" w:hAnsi="Times New Roman" w:cs="Times New Roman"/>
        </w:rPr>
        <w:t>using</w:t>
      </w:r>
      <w:r w:rsidR="007D744E" w:rsidRPr="00842A01">
        <w:rPr>
          <w:rFonts w:ascii="Times New Roman" w:hAnsi="Times New Roman" w:cs="Times New Roman"/>
        </w:rPr>
        <w:t xml:space="preserve"> the Neuropsychiatric Inventory </w:t>
      </w:r>
      <w:r w:rsidR="006C71EF" w:rsidRPr="00842A01">
        <w:rPr>
          <w:rFonts w:ascii="Times New Roman" w:hAnsi="Times New Roman" w:cs="Times New Roman"/>
        </w:rPr>
        <w:t xml:space="preserve">(NPI). </w:t>
      </w:r>
      <w:r w:rsidR="007D744E" w:rsidRPr="00842A01">
        <w:rPr>
          <w:rFonts w:ascii="Times New Roman" w:hAnsi="Times New Roman" w:cs="Times New Roman"/>
        </w:rPr>
        <w:t xml:space="preserve">The detailed procedures have been previously described </w:t>
      </w:r>
      <w:r w:rsidR="007D744E"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{"citationItems":[{"id":"ITEM-1","itemData":{"DOI":"10.1136/bmjopen-2016-013187","ISSN":"2044-6055 (Electronic)","PMID":"28064175","abstract":"INTRODUCTION: Inflammation of the central nervous system is increasingly regarded as having a role in cognitive disorders such as dementia and depression, but it is not clear how such inflammation relates to other aspects of neuropathology, structural and functional changes in the brain and symptoms (as assessed via clinical and neuropsychological assessment and MRI). This study will explore these pathophysiological mechanisms using positron emission tomography (PET) which allows in vivo imaging of inflammation, amyloid and tau deposition, together with neuropsychological profiling, MRI and peripheral biomarker analysis. METHODS AND ANALYSIS: Using PET imaging of the ligand [(11)C]PK11195, we will test for increased neuroinflammation in vivo in patients with Alzheimer's disease, Lewy body dementia, frontotemporal dementia, progressive supranuclear palsy, late-onset depression and mild cognitive impairment, when compared to healthy controls. We will assess whether areas of inflammatory change are associated with amyloid and tau deposition (assessed using (11)C-labelled Pittsburgh Compound B ([(11)C]PiB) and (18)F-labelled AV-1451, respectively), as well as structural and connectivity markers found on MRI. Inflammatory biomarker analysis and immune-phenotyping of peripheral blood monocytes will determine the correlation between central inflammation and peripheral inflammation. Finally, we will examine whether central inflammatory markers seen on PET imaging are associated with global and domain specific cognitive impairments or predict cognitive decline over 12 months. ETHICS AND DISSEMINATION: The study protocol was approved by the local ethics committee, East of England-Cambridge Central Research Ethics Committee (reference: 13/EE/0104). The study is also Administration of Radioactive Substances Advisory Committee (ARSAC) approved as part of this process. Data will be disseminated by presentation at national and international conferences and by publication, predominantly in journals of clinical neuroscience, neurology and psychiatry.","author":[{"dropping-particle":"","family":"Bevan-Jones","given":"W Richard","non-dropping-particle":"","parse-names":false,"suffix":""},{"dropping-particle":"","family":"Surendranathan","given":"Ajenthan","non-dropping-particle":"","parse-names":false,"suffix":""},{"dropping-particle":"","family":"Passamonti","given":"Luca","non-dropping-particle":"","parse-names":false,"suffix":""},{"dropping-particle":"","family":"Vazquez Rodriguez","given":"Patricia","non-dropping-particle":"","parse-names":false,"suffix":""},{"dropping-particle":"","family":"Arnold","given":"Robert","non-dropping-particle":"","parse-names":false,"suffix":""},{"dropping-particle":"","family":"Mak","given":"Elijah","non-dropping-particle":"","parse-names":false,"suffix":""},{"dropping-particle":"","family":"Su","given":"Li","non-dropping-particle":"","parse-names":false,"suffix":""},{"dropping-particle":"","family":"Coles","given":"Jonathan P","non-dropping-particle":"","parse-names":false,"suffix":""},{"dropping-particle":"","family":"Fryer","given":"Tim D","non-dropping-particle":"","parse-names":false,"suffix":""},{"dropping-particle":"","family":"Hong","given":"Young T","non-dropping-particle":"","parse-names":false,"suffix":""},{"dropping-particle":"","family":"Williams","given":"Guy","non-dropping-particle":"","parse-names":false,"suffix":""},{"dropping-particle":"","family":"Aigbirhio","given":"Franklin","non-dropping-particle":"","parse-names":false,"suffix":""},{"dropping-particle":"","family":"Rowe","given":"James B","non-dropping-particle":"","parse-names":false,"suffix":""},{"dropping-particle":"","family":"O'Brien","given":"John T","non-dropping-particle":"","parse-names":false,"suffix":""}],"container-title":"BMJ Open","id":"ITEM-1","issue":"1","issued":{"date-parts":[["2017","1"]]},"language":"eng","page":"e013187","publisher-place":"England","title":"Neuroimaging of Inflammation in Memory and Related Other Disorders (NIMROD) study protocol: a deep phenotyping cohort study of the role of brain inflammation in dementia, depression and other neurological illnesses.","type":"article-journal","volume":"7"},"uris":["http://www.mendeley.com/documents/?uuid=859cfeb6-0306-43e3-ad14-044d8ef2c8de"]}],"mendeley":{"formattedCitation":"[29]","plainTextFormattedCitation":"[29]","previouslyFormattedCitation":"[29]"},"properties":{"noteIndex":0},"schema":"https://github.com/citation-style-language/schema/raw/master/csl-citation.json"}</w:instrText>
      </w:r>
      <w:r w:rsidR="007D744E" w:rsidRPr="00842A01">
        <w:rPr>
          <w:rFonts w:ascii="Times New Roman" w:hAnsi="Times New Roman" w:cs="Times New Roman"/>
        </w:rPr>
        <w:fldChar w:fldCharType="separate"/>
      </w:r>
      <w:r w:rsidR="00552CC9" w:rsidRPr="00842A01">
        <w:rPr>
          <w:rFonts w:ascii="Times New Roman" w:hAnsi="Times New Roman" w:cs="Times New Roman"/>
          <w:noProof/>
        </w:rPr>
        <w:t>[29]</w:t>
      </w:r>
      <w:r w:rsidR="007D744E" w:rsidRPr="00842A01">
        <w:rPr>
          <w:rFonts w:ascii="Times New Roman" w:hAnsi="Times New Roman" w:cs="Times New Roman"/>
        </w:rPr>
        <w:fldChar w:fldCharType="end"/>
      </w:r>
      <w:r w:rsidR="00D13BF4" w:rsidRPr="00842A01">
        <w:rPr>
          <w:rFonts w:ascii="Times New Roman" w:hAnsi="Times New Roman" w:cs="Times New Roman"/>
        </w:rPr>
        <w:t>.</w:t>
      </w:r>
    </w:p>
    <w:p w14:paraId="0F695E23" w14:textId="77777777" w:rsidR="00DE68B2" w:rsidRPr="00842A01" w:rsidRDefault="00DE68B2">
      <w:pPr>
        <w:rPr>
          <w:rFonts w:ascii="Times New Roman" w:hAnsi="Times New Roman" w:cs="Times New Roman"/>
        </w:rPr>
      </w:pPr>
      <w:r w:rsidRPr="00842A01">
        <w:rPr>
          <w:rFonts w:ascii="Times New Roman" w:hAnsi="Times New Roman" w:cs="Times New Roman"/>
        </w:rPr>
        <w:br w:type="page"/>
      </w:r>
    </w:p>
    <w:p w14:paraId="584D212E" w14:textId="77777777" w:rsidR="004A2215" w:rsidRPr="00842A01" w:rsidRDefault="00B600DD" w:rsidP="00F20201">
      <w:pPr>
        <w:pStyle w:val="ListParagraph"/>
        <w:numPr>
          <w:ilvl w:val="1"/>
          <w:numId w:val="20"/>
        </w:numPr>
        <w:spacing w:line="480" w:lineRule="auto"/>
        <w:jc w:val="both"/>
        <w:rPr>
          <w:rFonts w:ascii="Times New Roman" w:eastAsia="Times New Roman" w:hAnsi="Times New Roman" w:cs="Times New Roman"/>
          <w:b/>
          <w:lang w:eastAsia="en-SG"/>
        </w:rPr>
      </w:pPr>
      <w:r w:rsidRPr="00842A01">
        <w:rPr>
          <w:rFonts w:ascii="Times New Roman" w:eastAsia="Times New Roman" w:hAnsi="Times New Roman" w:cs="Times New Roman"/>
          <w:b/>
          <w:lang w:eastAsia="en-SG"/>
        </w:rPr>
        <w:lastRenderedPageBreak/>
        <w:t>Image acquisition</w:t>
      </w:r>
      <w:r w:rsidR="003933C1" w:rsidRPr="00842A01">
        <w:rPr>
          <w:rFonts w:ascii="Times New Roman" w:eastAsia="Times New Roman" w:hAnsi="Times New Roman" w:cs="Times New Roman"/>
          <w:b/>
          <w:lang w:eastAsia="en-SG"/>
        </w:rPr>
        <w:t xml:space="preserve"> and processing </w:t>
      </w:r>
    </w:p>
    <w:p w14:paraId="21FED1F5" w14:textId="64F32BA7" w:rsidR="00032C06" w:rsidRPr="00842A01" w:rsidRDefault="00BA45B5" w:rsidP="004A08EC">
      <w:pPr>
        <w:shd w:val="clear" w:color="auto" w:fill="FFFFFF"/>
        <w:spacing w:line="480" w:lineRule="auto"/>
        <w:jc w:val="both"/>
        <w:rPr>
          <w:rFonts w:ascii="Times New Roman" w:eastAsia="Times New Roman" w:hAnsi="Times New Roman" w:cs="Times New Roman"/>
          <w:lang w:eastAsia="en-SG"/>
        </w:rPr>
      </w:pPr>
      <w:r w:rsidRPr="00842A01">
        <w:rPr>
          <w:rFonts w:ascii="Times New Roman" w:eastAsia="Times New Roman" w:hAnsi="Times New Roman" w:cs="Times New Roman"/>
          <w:lang w:eastAsia="en-SG"/>
        </w:rPr>
        <w:tab/>
      </w:r>
      <w:r w:rsidR="00395412" w:rsidRPr="00842A01">
        <w:rPr>
          <w:rFonts w:ascii="Times New Roman" w:eastAsia="Times New Roman" w:hAnsi="Times New Roman" w:cs="Times New Roman"/>
          <w:lang w:eastAsia="en-SG"/>
        </w:rPr>
        <w:t xml:space="preserve">Participants underwent T1-weighted </w:t>
      </w:r>
      <w:r w:rsidR="006373DB" w:rsidRPr="00842A01">
        <w:rPr>
          <w:rFonts w:ascii="Times New Roman" w:eastAsia="Times New Roman" w:hAnsi="Times New Roman" w:cs="Times New Roman"/>
          <w:lang w:eastAsia="en-SG"/>
        </w:rPr>
        <w:t xml:space="preserve">brain </w:t>
      </w:r>
      <w:r w:rsidR="00395412" w:rsidRPr="00842A01">
        <w:rPr>
          <w:rFonts w:ascii="Times New Roman" w:eastAsia="Times New Roman" w:hAnsi="Times New Roman" w:cs="Times New Roman"/>
          <w:lang w:eastAsia="en-SG"/>
        </w:rPr>
        <w:t>magnetic resonance imaging (MRI) at the Wolfs</w:t>
      </w:r>
      <w:r w:rsidR="006373DB" w:rsidRPr="00842A01">
        <w:rPr>
          <w:rFonts w:ascii="Times New Roman" w:eastAsia="Times New Roman" w:hAnsi="Times New Roman" w:cs="Times New Roman"/>
          <w:lang w:eastAsia="en-SG"/>
        </w:rPr>
        <w:t>on Brain Imaging Centre using a</w:t>
      </w:r>
      <w:r w:rsidR="00395412" w:rsidRPr="00842A01">
        <w:rPr>
          <w:rFonts w:ascii="Times New Roman" w:eastAsia="Times New Roman" w:hAnsi="Times New Roman" w:cs="Times New Roman"/>
          <w:lang w:eastAsia="en-SG"/>
        </w:rPr>
        <w:t xml:space="preserve"> </w:t>
      </w:r>
      <w:r w:rsidR="006373DB" w:rsidRPr="00842A01">
        <w:rPr>
          <w:rFonts w:ascii="Times New Roman" w:eastAsia="Times New Roman" w:hAnsi="Times New Roman" w:cs="Times New Roman"/>
          <w:lang w:eastAsia="en-SG"/>
        </w:rPr>
        <w:t>magnetization prepared rapid gradient echo (</w:t>
      </w:r>
      <w:r w:rsidR="00395412" w:rsidRPr="00842A01">
        <w:rPr>
          <w:rFonts w:ascii="Times New Roman" w:eastAsia="Times New Roman" w:hAnsi="Times New Roman" w:cs="Times New Roman"/>
          <w:lang w:eastAsia="en-SG"/>
        </w:rPr>
        <w:t>MPRAGE</w:t>
      </w:r>
      <w:r w:rsidR="006373DB" w:rsidRPr="00842A01">
        <w:rPr>
          <w:rFonts w:ascii="Times New Roman" w:eastAsia="Times New Roman" w:hAnsi="Times New Roman" w:cs="Times New Roman"/>
          <w:lang w:eastAsia="en-SG"/>
        </w:rPr>
        <w:t>)</w:t>
      </w:r>
      <w:r w:rsidR="00395412" w:rsidRPr="00842A01">
        <w:rPr>
          <w:rFonts w:ascii="Times New Roman" w:eastAsia="Times New Roman" w:hAnsi="Times New Roman" w:cs="Times New Roman"/>
          <w:lang w:eastAsia="en-SG"/>
        </w:rPr>
        <w:t xml:space="preserve"> sequence (176 slices, 1.0 mm thickness, repetition time = 2300 ms, echo time = 2.98 ms, field of view = 256 x 240 mm², flip angle = 9°, voxel size = 1.0 x 1.0 x 1.0 mm³) on a Siemens 3 T Tim Trio or Verio (Siemens H</w:t>
      </w:r>
      <w:r w:rsidR="00032C06" w:rsidRPr="00842A01">
        <w:rPr>
          <w:rFonts w:ascii="Times New Roman" w:eastAsia="Times New Roman" w:hAnsi="Times New Roman" w:cs="Times New Roman"/>
          <w:lang w:eastAsia="en-SG"/>
        </w:rPr>
        <w:t xml:space="preserve">ealthcare, Erlangen, Germany). </w:t>
      </w:r>
    </w:p>
    <w:p w14:paraId="0E05B9FC" w14:textId="2608A14F" w:rsidR="003B2708" w:rsidRPr="00842A01" w:rsidRDefault="00BA45B5" w:rsidP="004A08EC">
      <w:pPr>
        <w:autoSpaceDE w:val="0"/>
        <w:autoSpaceDN w:val="0"/>
        <w:adjustRightInd w:val="0"/>
        <w:spacing w:line="480" w:lineRule="auto"/>
        <w:jc w:val="both"/>
        <w:rPr>
          <w:rFonts w:ascii="Times New Roman" w:eastAsia="Times New Roman" w:hAnsi="Times New Roman" w:cs="Times New Roman"/>
          <w:lang w:eastAsia="en-SG"/>
        </w:rPr>
      </w:pPr>
      <w:r w:rsidRPr="00842A01">
        <w:rPr>
          <w:rFonts w:ascii="Times New Roman" w:eastAsia="Times New Roman" w:hAnsi="Times New Roman" w:cs="Times New Roman"/>
          <w:lang w:eastAsia="en-SG"/>
        </w:rPr>
        <w:tab/>
      </w:r>
      <w:r w:rsidR="00395412" w:rsidRPr="00842A01">
        <w:rPr>
          <w:rFonts w:ascii="Times New Roman" w:eastAsia="Times New Roman" w:hAnsi="Times New Roman" w:cs="Times New Roman"/>
          <w:lang w:eastAsia="en-SG"/>
        </w:rPr>
        <w:t xml:space="preserve">To segment the thalami into individual subnuclei, we </w:t>
      </w:r>
      <w:r w:rsidR="00DD0FB1" w:rsidRPr="00842A01">
        <w:rPr>
          <w:rFonts w:ascii="Times New Roman" w:eastAsia="Times New Roman" w:hAnsi="Times New Roman" w:cs="Times New Roman"/>
          <w:lang w:eastAsia="en-SG"/>
        </w:rPr>
        <w:t>used</w:t>
      </w:r>
      <w:r w:rsidR="00395412" w:rsidRPr="00842A01">
        <w:rPr>
          <w:rFonts w:ascii="Times New Roman" w:eastAsia="Times New Roman" w:hAnsi="Times New Roman" w:cs="Times New Roman"/>
          <w:lang w:eastAsia="en-SG"/>
        </w:rPr>
        <w:t xml:space="preserve"> an automated segmentation tool in </w:t>
      </w:r>
      <w:r w:rsidR="00F133A2" w:rsidRPr="00842A01">
        <w:rPr>
          <w:rFonts w:ascii="Times New Roman" w:eastAsia="Times New Roman" w:hAnsi="Times New Roman" w:cs="Times New Roman"/>
          <w:lang w:eastAsia="en-SG"/>
        </w:rPr>
        <w:t>a development</w:t>
      </w:r>
      <w:r w:rsidR="000B423A" w:rsidRPr="00842A01">
        <w:rPr>
          <w:rFonts w:ascii="Times New Roman" w:eastAsia="Times New Roman" w:hAnsi="Times New Roman" w:cs="Times New Roman"/>
          <w:lang w:eastAsia="en-SG"/>
        </w:rPr>
        <w:t>al</w:t>
      </w:r>
      <w:r w:rsidR="00F133A2" w:rsidRPr="00842A01">
        <w:rPr>
          <w:rFonts w:ascii="Times New Roman" w:eastAsia="Times New Roman" w:hAnsi="Times New Roman" w:cs="Times New Roman"/>
          <w:lang w:eastAsia="en-SG"/>
        </w:rPr>
        <w:t xml:space="preserve"> version of </w:t>
      </w:r>
      <w:r w:rsidR="00395412" w:rsidRPr="00842A01">
        <w:rPr>
          <w:rFonts w:ascii="Times New Roman" w:eastAsia="Times New Roman" w:hAnsi="Times New Roman" w:cs="Times New Roman"/>
          <w:lang w:eastAsia="en-SG"/>
        </w:rPr>
        <w:t>FreeSurfer</w:t>
      </w:r>
      <w:r w:rsidR="00BE7107" w:rsidRPr="00842A01">
        <w:rPr>
          <w:rFonts w:ascii="Times New Roman" w:eastAsia="Times New Roman" w:hAnsi="Times New Roman" w:cs="Times New Roman"/>
          <w:lang w:eastAsia="en-SG"/>
        </w:rPr>
        <w:t xml:space="preserve"> 6.0 (December 2018)</w:t>
      </w:r>
      <w:r w:rsidR="00F210A4" w:rsidRPr="00842A01">
        <w:rPr>
          <w:rFonts w:ascii="Times New Roman" w:eastAsia="Times New Roman" w:hAnsi="Times New Roman" w:cs="Times New Roman"/>
          <w:lang w:eastAsia="en-SG"/>
        </w:rPr>
        <w:t xml:space="preserve"> (</w:t>
      </w:r>
      <w:hyperlink r:id="rId8" w:history="1">
        <w:r w:rsidR="00F210A4" w:rsidRPr="00842A01">
          <w:rPr>
            <w:rStyle w:val="Hyperlink"/>
            <w:rFonts w:ascii="Times New Roman" w:eastAsia="Times New Roman" w:hAnsi="Times New Roman" w:cs="Times New Roman"/>
            <w:color w:val="auto"/>
            <w:lang w:eastAsia="en-SG"/>
          </w:rPr>
          <w:t>http://surfer.nmr.mgh.harvard.edu/</w:t>
        </w:r>
      </w:hyperlink>
      <w:r w:rsidR="00F210A4" w:rsidRPr="00842A01">
        <w:rPr>
          <w:rFonts w:ascii="Times New Roman" w:eastAsia="Times New Roman" w:hAnsi="Times New Roman" w:cs="Times New Roman"/>
          <w:lang w:eastAsia="en-SG"/>
        </w:rPr>
        <w:t>)</w:t>
      </w:r>
      <w:r w:rsidR="00395412" w:rsidRPr="00842A01">
        <w:rPr>
          <w:rFonts w:ascii="Times New Roman" w:eastAsia="Times New Roman" w:hAnsi="Times New Roman" w:cs="Times New Roman"/>
          <w:lang w:eastAsia="en-SG"/>
        </w:rPr>
        <w:t xml:space="preserve"> based on a </w:t>
      </w:r>
      <w:r w:rsidR="00DD0FB1" w:rsidRPr="00842A01">
        <w:rPr>
          <w:rFonts w:ascii="Times New Roman" w:eastAsia="Times New Roman" w:hAnsi="Times New Roman" w:cs="Times New Roman"/>
          <w:lang w:eastAsia="en-SG"/>
        </w:rPr>
        <w:t xml:space="preserve">novel </w:t>
      </w:r>
      <w:r w:rsidR="00395412" w:rsidRPr="00842A01">
        <w:rPr>
          <w:rFonts w:ascii="Times New Roman" w:eastAsia="Times New Roman" w:hAnsi="Times New Roman" w:cs="Times New Roman"/>
          <w:lang w:eastAsia="en-SG"/>
        </w:rPr>
        <w:t xml:space="preserve">probabilistic atlas built using </w:t>
      </w:r>
      <w:r w:rsidR="00395412" w:rsidRPr="00842A01">
        <w:rPr>
          <w:rFonts w:ascii="Times New Roman" w:eastAsia="Times New Roman" w:hAnsi="Times New Roman" w:cs="Times New Roman"/>
          <w:i/>
          <w:lang w:eastAsia="en-SG"/>
        </w:rPr>
        <w:t>ex vivo</w:t>
      </w:r>
      <w:r w:rsidR="00395412" w:rsidRPr="00842A01">
        <w:rPr>
          <w:rFonts w:ascii="Times New Roman" w:eastAsia="Times New Roman" w:hAnsi="Times New Roman" w:cs="Times New Roman"/>
          <w:lang w:eastAsia="en-SG"/>
        </w:rPr>
        <w:t xml:space="preserve"> brain MRI scans and histological data</w:t>
      </w:r>
      <w:r w:rsidR="009B084F" w:rsidRPr="00842A01">
        <w:rPr>
          <w:rFonts w:ascii="Times New Roman" w:eastAsia="Times New Roman" w:hAnsi="Times New Roman" w:cs="Times New Roman"/>
          <w:lang w:eastAsia="en-SG"/>
        </w:rPr>
        <w:t xml:space="preserve"> – technical details have been previously described</w:t>
      </w:r>
      <w:r w:rsidR="00395412" w:rsidRPr="00842A01">
        <w:rPr>
          <w:rFonts w:ascii="Times New Roman" w:eastAsia="Times New Roman" w:hAnsi="Times New Roman" w:cs="Times New Roman"/>
          <w:lang w:eastAsia="en-SG"/>
        </w:rPr>
        <w:t xml:space="preserve"> </w:t>
      </w:r>
      <w:r w:rsidR="00D91018" w:rsidRPr="00842A01">
        <w:rPr>
          <w:rFonts w:ascii="Times New Roman" w:eastAsia="Times New Roman" w:hAnsi="Times New Roman" w:cs="Times New Roman"/>
          <w:lang w:eastAsia="en-SG"/>
        </w:rPr>
        <w:fldChar w:fldCharType="begin" w:fldLock="1"/>
      </w:r>
      <w:r w:rsidR="00BE7F71" w:rsidRPr="00842A01">
        <w:rPr>
          <w:rFonts w:ascii="Times New Roman" w:eastAsia="Times New Roman" w:hAnsi="Times New Roman" w:cs="Times New Roman"/>
          <w:lang w:eastAsia="en-SG"/>
        </w:rPr>
        <w:instrText>ADDIN CSL_CITATION {"citationItems":[{"id":"ITEM-1","itemData":{"DOI":"10.1016/j.neuroimage.2018.08.012","ISSN":"10959572","PMID":"19330216","abstract":"The human thalamus is a brain structure that comprises numerous, highly specific nuclei. Since these nuclei are known to have different functions and to be connected to different areas of the cerebral cortex, it is of great interest for the neuroimaging community to study their volume, shape and connectivity in vivo with MRI. In this study, we present a probabilistic atlas of the thalamic nuclei built using ex vivo brain MRI scans and histological data, as well as the application of the atlas to in vivo MRI segmentation. The atlas was built using manual delineation of 26 thalamic nuclei on the serial histology of 12 whole thalami from six autopsy samples, combined with manual segmentations of the whole thalamus and surrounding structures (caudate, putamen, hippocampus, etc.) made on in vivo brain MR data from 39 subjects. The 3D structure of the histological data and corresponding manual segmentations was recovered using the ex vivo MRI as reference frame, and stacks of blockface photographs acquired during the sectioning as intermediate target. The atlas, which was encoded as an adaptive tetrahedral mesh, shows a good agreement with previous histological studies of the thalamus in terms of volumes of representative nuclei. When applied to segmentation of in vivo scans using Bayesian inference, the atlas shows excellent test-retest reliability, robustness to changes in input MRI contrast, and ability to detect differential thalamic effects in subjects with Alzheimer's disease. The probabilistic atlas and companion segmentation tool are publicly available as part of the neuroimaging package FreeSurfer.","author":[{"dropping-particle":"","family":"Iglesias","given":"Juan Eugenio","non-dropping-particle":"","parse-names":false,"suffix":""},{"dropping-particle":"","family":"Insausti","given":"Ricardo","non-dropping-particle":"","parse-names":false,"suffix":""},{"dropping-particle":"","family":"Lerma-Usabiaga","given":"Garikoitz","non-dropping-particle":"","parse-names":false,"suffix":""},{"dropping-particle":"","family":"Bocchetta","given":"Martina","non-dropping-particle":"","parse-names":false,"suffix":""},{"dropping-particle":"","family":"Leemput","given":"Koen","non-dropping-particle":"Van","parse-names":false,"suffix":""},{"dropping-particle":"","family":"Greve","given":"Douglas N.","non-dropping-particle":"","parse-names":false,"suffix":""},{"dropping-particle":"","family":"Kouwe","given":"Andre","non-dropping-particle":"van der","parse-names":false,"suffix":""},{"dropping-particle":"","family":"Alzheimer's Disease Neuroimaging Initiative","given":"","non-dropping-particle":"","parse-names":false,"suffix":""},{"dropping-particle":"","family":"Fischl","given":"Bruce","non-dropping-particle":"","parse-names":false,"suffix":""},{"dropping-particle":"","family":"Caballero-Gaudes","given":"César","non-dropping-particle":"","parse-names":false,"suffix":""},{"dropping-particle":"","family":"Paz-Alonso","given":"Pedro M","non-dropping-particle":"","parse-names":false,"suffix":""}],"container-title":"NeuroImage","id":"ITEM-1","issue":"2002","issued":{"date-parts":[["2018"]]},"page":"314-326","title":"A probabilistic atlas of the human thalamic nuclei combining ex vivo MRI and histology","type":"article-journal","volume":"183"},"uris":["http://www.mendeley.com/documents/?uuid=17745db7-3c70-4785-af45-513d1558650a"]}],"mendeley":{"formattedCitation":"[28]","plainTextFormattedCitation":"[28]","previouslyFormattedCitation":"[28]"},"properties":{"noteIndex":0},"schema":"https://github.com/citation-style-language/schema/raw/master/csl-citation.json"}</w:instrText>
      </w:r>
      <w:r w:rsidR="00D91018" w:rsidRPr="00842A01">
        <w:rPr>
          <w:rFonts w:ascii="Times New Roman" w:eastAsia="Times New Roman" w:hAnsi="Times New Roman" w:cs="Times New Roman"/>
          <w:lang w:eastAsia="en-SG"/>
        </w:rPr>
        <w:fldChar w:fldCharType="separate"/>
      </w:r>
      <w:r w:rsidR="00552CC9" w:rsidRPr="00842A01">
        <w:rPr>
          <w:rFonts w:ascii="Times New Roman" w:eastAsia="Times New Roman" w:hAnsi="Times New Roman" w:cs="Times New Roman"/>
          <w:noProof/>
          <w:lang w:eastAsia="en-SG"/>
        </w:rPr>
        <w:t>[28]</w:t>
      </w:r>
      <w:r w:rsidR="00D91018" w:rsidRPr="00842A01">
        <w:rPr>
          <w:rFonts w:ascii="Times New Roman" w:eastAsia="Times New Roman" w:hAnsi="Times New Roman" w:cs="Times New Roman"/>
          <w:lang w:eastAsia="en-SG"/>
        </w:rPr>
        <w:fldChar w:fldCharType="end"/>
      </w:r>
      <w:r w:rsidR="00090DE6" w:rsidRPr="00842A01">
        <w:rPr>
          <w:rFonts w:ascii="Times New Roman" w:eastAsia="Times New Roman" w:hAnsi="Times New Roman" w:cs="Times New Roman"/>
          <w:lang w:eastAsia="en-SG"/>
        </w:rPr>
        <w:t xml:space="preserve"> </w:t>
      </w:r>
      <w:r w:rsidR="001262D8" w:rsidRPr="00842A01">
        <w:rPr>
          <w:rFonts w:ascii="Times New Roman" w:eastAsia="Times New Roman" w:hAnsi="Times New Roman" w:cs="Times New Roman"/>
          <w:lang w:eastAsia="en-SG"/>
        </w:rPr>
        <w:t>(Fig. 1)</w:t>
      </w:r>
      <w:r w:rsidR="003F2EC3" w:rsidRPr="00842A01">
        <w:rPr>
          <w:rFonts w:ascii="Times New Roman" w:eastAsia="Times New Roman" w:hAnsi="Times New Roman" w:cs="Times New Roman"/>
          <w:lang w:eastAsia="en-SG"/>
        </w:rPr>
        <w:t xml:space="preserve">. </w:t>
      </w:r>
      <w:r w:rsidR="00395412" w:rsidRPr="00842A01">
        <w:rPr>
          <w:rFonts w:ascii="Times New Roman" w:eastAsia="Times New Roman" w:hAnsi="Times New Roman" w:cs="Times New Roman"/>
          <w:lang w:eastAsia="en-SG"/>
        </w:rPr>
        <w:t xml:space="preserve">This atlas has been validated against </w:t>
      </w:r>
      <w:r w:rsidR="003F2EC3" w:rsidRPr="00842A01">
        <w:rPr>
          <w:rFonts w:ascii="Times New Roman" w:eastAsia="Times New Roman" w:hAnsi="Times New Roman" w:cs="Times New Roman"/>
          <w:lang w:eastAsia="en-SG"/>
        </w:rPr>
        <w:t>earlier atlases</w:t>
      </w:r>
      <w:r w:rsidR="00D91018" w:rsidRPr="00842A01">
        <w:rPr>
          <w:rFonts w:ascii="Times New Roman" w:eastAsia="Times New Roman" w:hAnsi="Times New Roman" w:cs="Times New Roman"/>
          <w:lang w:eastAsia="en-SG"/>
        </w:rPr>
        <w:t>, demonstrates excellent test-retest reliability</w:t>
      </w:r>
      <w:r w:rsidR="003F2EC3" w:rsidRPr="00842A01">
        <w:rPr>
          <w:rFonts w:ascii="Times New Roman" w:eastAsia="Times New Roman" w:hAnsi="Times New Roman" w:cs="Times New Roman"/>
          <w:lang w:eastAsia="en-SG"/>
        </w:rPr>
        <w:t xml:space="preserve">, and is an improvement to previous atlases due to its probabilistic nature and ability to segment scans of arbitrary MRI contrasts </w:t>
      </w:r>
      <w:r w:rsidR="003F2EC3" w:rsidRPr="00842A01">
        <w:rPr>
          <w:rFonts w:ascii="Times New Roman" w:eastAsia="Times New Roman" w:hAnsi="Times New Roman" w:cs="Times New Roman"/>
          <w:lang w:eastAsia="en-SG"/>
        </w:rPr>
        <w:fldChar w:fldCharType="begin" w:fldLock="1"/>
      </w:r>
      <w:r w:rsidR="00BE7F71" w:rsidRPr="00842A01">
        <w:rPr>
          <w:rFonts w:ascii="Times New Roman" w:eastAsia="Times New Roman" w:hAnsi="Times New Roman" w:cs="Times New Roman"/>
          <w:lang w:eastAsia="en-SG"/>
        </w:rPr>
        <w:instrText>ADDIN CSL_CITATION {"citationItems":[{"id":"ITEM-1","itemData":{"DOI":"10.1016/j.neuroimage.2018.08.012","ISSN":"10959572","PMID":"19330216","abstract":"The human thalamus is a brain structure that comprises numerous, highly specific nuclei. Since these nuclei are known to have different functions and to be connected to different areas of the cerebral cortex, it is of great interest for the neuroimaging community to study their volume, shape and connectivity in vivo with MRI. In this study, we present a probabilistic atlas of the thalamic nuclei built using ex vivo brain MRI scans and histological data, as well as the application of the atlas to in vivo MRI segmentation. The atlas was built using manual delineation of 26 thalamic nuclei on the serial histology of 12 whole thalami from six autopsy samples, combined with manual segmentations of the whole thalamus and surrounding structures (caudate, putamen, hippocampus, etc.) made on in vivo brain MR data from 39 subjects. The 3D structure of the histological data and corresponding manual segmentations was recovered using the ex vivo MRI as reference frame, and stacks of blockface photographs acquired during the sectioning as intermediate target. The atlas, which was encoded as an adaptive tetrahedral mesh, shows a good agreement with previous histological studies of the thalamus in terms of volumes of representative nuclei. When applied to segmentation of in vivo scans using Bayesian inference, the atlas shows excellent test-retest reliability, robustness to changes in input MRI contrast, and ability to detect differential thalamic effects in subjects with Alzheimer's disease. The probabilistic atlas and companion segmentation tool are publicly available as part of the neuroimaging package FreeSurfer.","author":[{"dropping-particle":"","family":"Iglesias","given":"Juan Eugenio","non-dropping-particle":"","parse-names":false,"suffix":""},{"dropping-particle":"","family":"Insausti","given":"Ricardo","non-dropping-particle":"","parse-names":false,"suffix":""},{"dropping-particle":"","family":"Lerma-Usabiaga","given":"Garikoitz","non-dropping-particle":"","parse-names":false,"suffix":""},{"dropping-particle":"","family":"Bocchetta","given":"Martina","non-dropping-particle":"","parse-names":false,"suffix":""},{"dropping-particle":"","family":"Leemput","given":"Koen","non-dropping-particle":"Van","parse-names":false,"suffix":""},{"dropping-particle":"","family":"Greve","given":"Douglas N.","non-dropping-particle":"","parse-names":false,"suffix":""},{"dropping-particle":"","family":"Kouwe","given":"Andre","non-dropping-particle":"van der","parse-names":false,"suffix":""},{"dropping-particle":"","family":"Alzheimer's Disease Neuroimaging Initiative","given":"","non-dropping-particle":"","parse-names":false,"suffix":""},{"dropping-particle":"","family":"Fischl","given":"Bruce","non-dropping-particle":"","parse-names":false,"suffix":""},{"dropping-particle":"","family":"Caballero-Gaudes","given":"César","non-dropping-particle":"","parse-names":false,"suffix":""},{"dropping-particle":"","family":"Paz-Alonso","given":"Pedro M","non-dropping-particle":"","parse-names":false,"suffix":""}],"container-title":"NeuroImage","id":"ITEM-1","issue":"2002","issued":{"date-parts":[["2018"]]},"page":"314-326","title":"A probabilistic atlas of the human thalamic nuclei combining ex vivo MRI and histology","type":"article-journal","volume":"183"},"uris":["http://www.mendeley.com/documents/?uuid=17745db7-3c70-4785-af45-513d1558650a"]}],"mendeley":{"formattedCitation":"[28]","plainTextFormattedCitation":"[28]","previouslyFormattedCitation":"[28]"},"properties":{"noteIndex":0},"schema":"https://github.com/citation-style-language/schema/raw/master/csl-citation.json"}</w:instrText>
      </w:r>
      <w:r w:rsidR="003F2EC3" w:rsidRPr="00842A01">
        <w:rPr>
          <w:rFonts w:ascii="Times New Roman" w:eastAsia="Times New Roman" w:hAnsi="Times New Roman" w:cs="Times New Roman"/>
          <w:lang w:eastAsia="en-SG"/>
        </w:rPr>
        <w:fldChar w:fldCharType="separate"/>
      </w:r>
      <w:r w:rsidR="00552CC9" w:rsidRPr="00842A01">
        <w:rPr>
          <w:rFonts w:ascii="Times New Roman" w:eastAsia="Times New Roman" w:hAnsi="Times New Roman" w:cs="Times New Roman"/>
          <w:noProof/>
          <w:lang w:eastAsia="en-SG"/>
        </w:rPr>
        <w:t>[28]</w:t>
      </w:r>
      <w:r w:rsidR="003F2EC3" w:rsidRPr="00842A01">
        <w:rPr>
          <w:rFonts w:ascii="Times New Roman" w:eastAsia="Times New Roman" w:hAnsi="Times New Roman" w:cs="Times New Roman"/>
          <w:lang w:eastAsia="en-SG"/>
        </w:rPr>
        <w:fldChar w:fldCharType="end"/>
      </w:r>
      <w:r w:rsidR="003F2EC3" w:rsidRPr="00842A01">
        <w:rPr>
          <w:rFonts w:ascii="Times New Roman" w:eastAsia="Times New Roman" w:hAnsi="Times New Roman" w:cs="Times New Roman"/>
          <w:lang w:eastAsia="en-SG"/>
        </w:rPr>
        <w:t xml:space="preserve">. </w:t>
      </w:r>
      <w:r w:rsidR="009B084F" w:rsidRPr="00842A01">
        <w:rPr>
          <w:rFonts w:ascii="Times New Roman" w:eastAsia="Times New Roman" w:hAnsi="Times New Roman" w:cs="Times New Roman"/>
          <w:lang w:eastAsia="en-SG"/>
        </w:rPr>
        <w:t>Twenty-six subnuclei from each hemisphere were</w:t>
      </w:r>
      <w:r w:rsidR="00FC6887" w:rsidRPr="00842A01">
        <w:rPr>
          <w:rFonts w:ascii="Times New Roman" w:eastAsia="Times New Roman" w:hAnsi="Times New Roman" w:cs="Times New Roman"/>
          <w:lang w:eastAsia="en-SG"/>
        </w:rPr>
        <w:t xml:space="preserve"> obtained for each participant. </w:t>
      </w:r>
      <w:r w:rsidR="002028A5" w:rsidRPr="00842A01">
        <w:rPr>
          <w:rFonts w:ascii="Times New Roman" w:eastAsia="Times New Roman" w:hAnsi="Times New Roman" w:cs="Times New Roman"/>
          <w:lang w:eastAsia="en-SG"/>
        </w:rPr>
        <w:t xml:space="preserve">The 26 subnuclei were grouped into six major thalamic regions </w:t>
      </w:r>
      <w:r w:rsidR="008C5A72" w:rsidRPr="00842A01">
        <w:rPr>
          <w:rFonts w:ascii="Times New Roman" w:eastAsia="Times New Roman" w:hAnsi="Times New Roman" w:cs="Times New Roman"/>
          <w:lang w:eastAsia="en-SG"/>
        </w:rPr>
        <w:fldChar w:fldCharType="begin" w:fldLock="1"/>
      </w:r>
      <w:r w:rsidR="00BE7F71" w:rsidRPr="00842A01">
        <w:rPr>
          <w:rFonts w:ascii="Times New Roman" w:eastAsia="Times New Roman" w:hAnsi="Times New Roman" w:cs="Times New Roman"/>
          <w:lang w:eastAsia="en-SG"/>
        </w:rPr>
        <w:instrText>ADDIN CSL_CITATION {"citationItems":[{"id":"ITEM-1","itemData":{"DOI":"10.1016/j.neuroimage.2018.08.012","ISSN":"10959572","PMID":"19330216","abstract":"The human thalamus is a brain structure that comprises numerous, highly specific nuclei. Since these nuclei are known to have different functions and to be connected to different areas of the cerebral cortex, it is of great interest for the neuroimaging community to study their volume, shape and connectivity in vivo with MRI. In this study, we present a probabilistic atlas of the thalamic nuclei built using ex vivo brain MRI scans and histological data, as well as the application of the atlas to in vivo MRI segmentation. The atlas was built using manual delineation of 26 thalamic nuclei on the serial histology of 12 whole thalami from six autopsy samples, combined with manual segmentations of the whole thalamus and surrounding structures (caudate, putamen, hippocampus, etc.) made on in vivo brain MR data from 39 subjects. The 3D structure of the histological data and corresponding manual segmentations was recovered using the ex vivo MRI as reference frame, and stacks of blockface photographs acquired during the sectioning as intermediate target. The atlas, which was encoded as an adaptive tetrahedral mesh, shows a good agreement with previous histological studies of the thalamus in terms of volumes of representative nuclei. When applied to segmentation of in vivo scans using Bayesian inference, the atlas shows excellent test-retest reliability, robustness to changes in input MRI contrast, and ability to detect differential thalamic effects in subjects with Alzheimer's disease. The probabilistic atlas and companion segmentation tool are publicly available as part of the neuroimaging package FreeSurfer.","author":[{"dropping-particle":"","family":"Iglesias","given":"Juan Eugenio","non-dropping-particle":"","parse-names":false,"suffix":""},{"dropping-particle":"","family":"Insausti","given":"Ricardo","non-dropping-particle":"","parse-names":false,"suffix":""},{"dropping-particle":"","family":"Lerma-Usabiaga","given":"Garikoitz","non-dropping-particle":"","parse-names":false,"suffix":""},{"dropping-particle":"","family":"Bocchetta","given":"Martina","non-dropping-particle":"","parse-names":false,"suffix":""},{"dropping-particle":"","family":"Leemput","given":"Koen","non-dropping-particle":"Van","parse-names":false,"suffix":""},{"dropping-particle":"","family":"Greve","given":"Douglas N.","non-dropping-particle":"","parse-names":false,"suffix":""},{"dropping-particle":"","family":"Kouwe","given":"Andre","non-dropping-particle":"van der","parse-names":false,"suffix":""},{"dropping-particle":"","family":"Alzheimer's Disease Neuroimaging Initiative","given":"","non-dropping-particle":"","parse-names":false,"suffix":""},{"dropping-particle":"","family":"Fischl","given":"Bruce","non-dropping-particle":"","parse-names":false,"suffix":""},{"dropping-particle":"","family":"Caballero-Gaudes","given":"César","non-dropping-particle":"","parse-names":false,"suffix":""},{"dropping-particle":"","family":"Paz-Alonso","given":"Pedro M","non-dropping-particle":"","parse-names":false,"suffix":""}],"container-title":"NeuroImage","id":"ITEM-1","issue":"2002","issued":{"date-parts":[["2018"]]},"page":"314-326","title":"A probabilistic atlas of the human thalamic nuclei combining ex vivo MRI and histology","type":"article-journal","volume":"183"},"uris":["http://www.mendeley.com/documents/?uuid=17745db7-3c70-4785-af45-513d1558650a"]}],"mendeley":{"formattedCitation":"[28]","plainTextFormattedCitation":"[28]","previouslyFormattedCitation":"[28]"},"properties":{"noteIndex":0},"schema":"https://github.com/citation-style-language/schema/raw/master/csl-citation.json"}</w:instrText>
      </w:r>
      <w:r w:rsidR="008C5A72" w:rsidRPr="00842A01">
        <w:rPr>
          <w:rFonts w:ascii="Times New Roman" w:eastAsia="Times New Roman" w:hAnsi="Times New Roman" w:cs="Times New Roman"/>
          <w:lang w:eastAsia="en-SG"/>
        </w:rPr>
        <w:fldChar w:fldCharType="separate"/>
      </w:r>
      <w:r w:rsidR="00552CC9" w:rsidRPr="00842A01">
        <w:rPr>
          <w:rFonts w:ascii="Times New Roman" w:eastAsia="Times New Roman" w:hAnsi="Times New Roman" w:cs="Times New Roman"/>
          <w:noProof/>
          <w:lang w:eastAsia="en-SG"/>
        </w:rPr>
        <w:t>[28]</w:t>
      </w:r>
      <w:r w:rsidR="008C5A72" w:rsidRPr="00842A01">
        <w:rPr>
          <w:rFonts w:ascii="Times New Roman" w:eastAsia="Times New Roman" w:hAnsi="Times New Roman" w:cs="Times New Roman"/>
          <w:lang w:eastAsia="en-SG"/>
        </w:rPr>
        <w:fldChar w:fldCharType="end"/>
      </w:r>
      <w:r w:rsidR="00FC6887" w:rsidRPr="00842A01">
        <w:rPr>
          <w:rFonts w:ascii="Times New Roman" w:eastAsia="Times New Roman" w:hAnsi="Times New Roman" w:cs="Times New Roman"/>
          <w:lang w:eastAsia="en-SG"/>
        </w:rPr>
        <w:t>, namely the anterior, lateral, ventral, intralaminar</w:t>
      </w:r>
      <w:r w:rsidR="00D71E3B" w:rsidRPr="00842A01">
        <w:rPr>
          <w:rFonts w:ascii="Times New Roman" w:eastAsia="Times New Roman" w:hAnsi="Times New Roman" w:cs="Times New Roman"/>
          <w:lang w:eastAsia="en-SG"/>
        </w:rPr>
        <w:t xml:space="preserve">, medial, and posterior nuclei. </w:t>
      </w:r>
      <w:r w:rsidR="00032C06" w:rsidRPr="00842A01">
        <w:rPr>
          <w:rFonts w:ascii="Times New Roman" w:eastAsia="Times New Roman" w:hAnsi="Times New Roman" w:cs="Times New Roman"/>
          <w:lang w:eastAsia="en-SG"/>
        </w:rPr>
        <w:t>All thalamic segmentations were v</w:t>
      </w:r>
      <w:r w:rsidR="00FC6887" w:rsidRPr="00842A01">
        <w:rPr>
          <w:rFonts w:ascii="Times New Roman" w:eastAsia="Times New Roman" w:hAnsi="Times New Roman" w:cs="Times New Roman"/>
          <w:lang w:eastAsia="en-SG"/>
        </w:rPr>
        <w:t xml:space="preserve">isually inspected for accuracy, and one AD </w:t>
      </w:r>
      <w:r w:rsidR="00E823FD" w:rsidRPr="00842A01">
        <w:rPr>
          <w:rFonts w:ascii="Times New Roman" w:eastAsia="Times New Roman" w:hAnsi="Times New Roman" w:cs="Times New Roman"/>
          <w:lang w:eastAsia="en-SG"/>
        </w:rPr>
        <w:t>participant from the original 66</w:t>
      </w:r>
      <w:r w:rsidR="00FC6887" w:rsidRPr="00842A01">
        <w:rPr>
          <w:rFonts w:ascii="Times New Roman" w:eastAsia="Times New Roman" w:hAnsi="Times New Roman" w:cs="Times New Roman"/>
          <w:lang w:eastAsia="en-SG"/>
        </w:rPr>
        <w:t xml:space="preserve"> re</w:t>
      </w:r>
      <w:r w:rsidR="006373DB" w:rsidRPr="00842A01">
        <w:rPr>
          <w:rFonts w:ascii="Times New Roman" w:eastAsia="Times New Roman" w:hAnsi="Times New Roman" w:cs="Times New Roman"/>
          <w:lang w:eastAsia="en-SG"/>
        </w:rPr>
        <w:t xml:space="preserve">cruited participants was excluded due to </w:t>
      </w:r>
      <w:r w:rsidR="00FC6887" w:rsidRPr="00842A01">
        <w:rPr>
          <w:rFonts w:ascii="Times New Roman" w:eastAsia="Times New Roman" w:hAnsi="Times New Roman" w:cs="Times New Roman"/>
          <w:lang w:eastAsia="en-SG"/>
        </w:rPr>
        <w:t xml:space="preserve">inaccurate segmentation. </w:t>
      </w:r>
      <w:r w:rsidR="006C71EF" w:rsidRPr="00842A01">
        <w:rPr>
          <w:rFonts w:ascii="Times New Roman" w:eastAsia="Times New Roman" w:hAnsi="Times New Roman" w:cs="Times New Roman"/>
          <w:lang w:eastAsia="en-SG"/>
        </w:rPr>
        <w:t>Adopting a well-established definition of cerebral asymmetry</w:t>
      </w:r>
      <w:r w:rsidR="00F23F7B" w:rsidRPr="00842A01">
        <w:rPr>
          <w:rFonts w:ascii="Times New Roman" w:eastAsia="Times New Roman" w:hAnsi="Times New Roman" w:cs="Times New Roman"/>
          <w:lang w:eastAsia="en-SG"/>
        </w:rPr>
        <w:t xml:space="preserve"> </w:t>
      </w:r>
      <w:r w:rsidR="00F23F7B"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{"citationItems":[{"id":"ITEM-1","itemData":{"DOI":"10.3389/fnins.2018.00576","ISSN":"1662-4548","abstract":"Objective: It is well-known that the hippocampus presents significant asymmetry in Alzheimer's disease (AD) and that difference in volumes between left and right exists and varies with disease progression. However, few works investigated whether the asymmetry degree of subfields of hippocampus changes through the continuum from Mild Cognitive Impairment (MCI) to AD. Thus, aim of the present work was to evaluate the Asymmetry Index (AI) of hippocampal substructures as possible MRI biomarkers of Dementia. Moreover, we aimed to assess whether the subfields presented peculiar differences between left and right hemispheres. We also investigated the relationship between the asymmetry magnitude in hippocampal subfields and the decline of verbal memory as assessed by Rey's auditory verbal learning test (RAVLT). Methods: Four-hundred subjects were selected from ADNI, equally divided into healthy controls (HC), AD, stable MCI (sMCI), and progressive MCI (pMCI). The structural baseline T1s were processed with FreeSurfer 6.0 and volumes of whole hippocampus (WH) and 12 subfields were extracted. The AI was calculated as: (|Left-Right|/(Left+Right))(*)100. ANCOVA was used for evaluating AI differences between diagnoses, while paired t-test was applied for assessing changes between left and right volumes, separately for each group. Partial correlation was performed for exploring relationship between RAVLT summary scores (Immediate, Learning, Forgetting, Percent Forgetting) and hippocampal substructures AI. The statistical threshold was Bonferroni corrected p &lt; 0.05/13 = 0.0038. Results: We found a general trend of increased degree of asymmetry with increasing severity of diagnosis. Indeed, AD presented the higher magnitude of asymmetry compared with HC, sMCI and pMCI, in the WH (AI mean 5.13 ± 4.29 SD) and in each of its twelve subfields. Moreover, we found in AD a significant negative correlation (r = -0.33, p = 0.00065) between the AI of parasubiculum (mean 12.70 ± 9.59 SD) and the RAVLT Learning score (mean 1.70 ± 1.62 SD). Conclusions: Our findings showed that hippocampal subfields AI varies differently among the four groups HC, sMCI, pMCI, and AD. Moreover, we found-for the first time-that hippocampal substructures had different sub-patterns of lateralization compared with the whole hippocampus. Importantly, the severity in learning rate was correlated with pathological high degree of asymmetry in parasubiculum of AD patients.","author":[{"dropping-particle":"","family":"Sarica","given":"Alessia","non-dropping-particle":"","parse-names":false,"suffix":""},{"dropping-particle":"","family":"Vasta","given":"Roberta","non-dropping-particle":"","parse-names":false,"suffix":""},{"dropping-particle":"","family":"Novellino","given":"Fabiana","non-dropping-particle":"","parse-names":false,"suffix":""},{"dropping-particle":"","family":"Vaccaro","given":"Maria Grazia","non-dropping-particle":"","parse-names":false,"suffix":""},{"dropping-particle":"","family":"Cerasa","given":"Antonio","non-dropping-particle":"","parse-names":false,"suffix":""},{"dropping-particle":"","family":"Quattrone","given":"Aldo","non-dropping-particle":"","parse-names":false,"suffix":""},{"dropping-particle":"","family":"Alzheimer's Disease Neuroimaging Initiative","given":"","non-dropping-particle":"","parse-names":false,"suffix":""}],"container-title":"Frontiers in neuroscience","id":"ITEM-1","issued":{"date-parts":[["2018","8","21"]]},"page":"576","publisher":"Frontiers Media S.A.","title":"MRI Asymmetry Index of Hippocampal Subfields Increases Through the Continuum From the Mild Cognitive Impairment to the Alzheimer's Disease","type":"article-journal","volume":"12"},"uris":["http://www.mendeley.com/documents/?uuid=cafe5e93-23d4-4b98-b90a-d301ba2477bc"]},{"id":"ITEM-2","itemData":{"DOI":"10.1001/archneur.1984.04050160065018","ISSN":"0003-9942","abstract":"• We examined the relationship between computed tomographic (CT) scan hemispheric asymmetries and postmortem brain asymmetries of the planum pemporale region in the same 15 subjects (right-handed men). A significant correlation was found between occipital length asymmetry visible on the CT scan slice at the level of the bodies of the lateral ventricles and planum temporale length asymmetry found at autopsy. We believe that some CT scan asymmetries may be indexes of underlying anatomic brain asymmetries. These anatomic brain asymmetries, in turn, may underlie some functional asymmetries observed in humans, especially those asymmetries related to language.","author":[{"dropping-particle":"","family":"Pieniadz","given":"Jean M","non-dropping-particle":"","parse-names":false,"suffix":""},{"dropping-particle":"","family":"Naeser","given":"Margaret A","non-dropping-particle":"","parse-names":false,"suffix":""}],"container-title":"Archives of Neurology","id":"ITEM-2","issue":"4","issued":{"date-parts":[["1984","4","1"]]},"page":"403-409","title":"Computed Tomographic Scan Cerebral Asymmetries and Morphologic Brain Asymmetries: Correlation in the Same Cases Post Mortem","type":"article-journal","volume":"41"},"uris":["http://www.mendeley.com/documents/?uuid=cf32aded-2c98-4132-bcc1-9307d165784d"]},{"id":"ITEM-3","itemData":{"DOI":"10.1002/ana.410290314","ISSN":"0364-5134 (Print)","PMID":"2042947","abstract":"Asymmetry of the planum temporale, a language-related intrasylvian area on the superior temporal gyrus, is the most remarkable anatomical left-right asymmetry of the human brain. The in vivo application of magnetic resonance morphometry in 52 healthy volunteers (26 dextrals and 26 sinistrals) revealed that planum temporale asymmetry is correlated with hand dominance. Left-handers had a significantly lesser degree of leftward planum temporale asymmetry than right-handers. Thus, a structural-functional relation exists in cerebral asymmetry. The correlation is likely to reflect language representation. Because familial sinistrality influenced the anatomical pattern in left-handers and planum temporale asymmetry is already present in the newborn, prenatal factors must play an important role in the development of functional laterality.","author":[{"dropping-particle":"","family":"Steinmetz","given":"H","non-dropping-particle":"","parse-names":false,"suffix":""},{"dropping-particle":"","family":"Volkmann","given":"J","non-dropping-particle":"","parse-names":false,"suffix":""},{"dropping-particle":"","family":"Jancke","given":"L","non-dropping-particle":"","parse-names":false,"suffix":""},{"dropping-particle":"","family":"Freund","given":"H J","non-dropping-particle":"","parse-names":false,"suffix":""}],"container-title":"Annals of neurology","id":"ITEM-3","issue":"3","issued":{"date-parts":[["1991","3"]]},"language":"eng","page":"315-319","publisher-place":"United States","title":"Anatomical left-right asymmetry of language-related temporal cortex is different  in left- and right-handers.","type":"article-journal","volume":"29"},"uris":["http://www.mendeley.com/documents/?uuid=6e8fa230-c3a4-4633-bf2c-17f8716857ba"]},{"id":"ITEM-4","itemData":{"DOI":"10.1016/j.pscychresns.2011.07.016","abstract":"Hemispheric asymmetry of the human hippocampus is well established, but poorly understood. We studied 110 healthy subjects with 3-Tesla MRI to explore the anatomical and functional correlates of the R&gt;L volume asymmetry. We found that the asymmetry is limited to the anterior hippocampus (hemisphere × region interaction: F(1,109) = 42.6, p &lt; .001). Anterior hippocampal volume was correlated strongly with the volumes of all four cortical lobes. In contrast, posterior hippocampal volume was correlated strongly only with occipital lobe volume, moderately with the parietal and temporal lobe volumes and not with the frontal lobe volume. The degree of R&gt;L anterior hippocampal volume asymmetry predicted performance on a measure of basic cognitive abilities. This provides evidence for regional specificity and functional implications of the well-known hemispheric asymmetry of hippocampal volume. We suggest that the developmental profile, genetic mechanisms and functional implications of R&gt;L anterior hippocampal volume asymmetry in the human brain deserve further study.","author":[{"dropping-particle":"","family":"Woolard","given":"Austin","non-dropping-particle":"","parse-names":false,"suffix":""},{"dropping-particle":"","family":"Heckers","given":"Stephan","non-dropping-particle":"","parse-names":false,"suffix":""}],"container-title":"Psychiatry Research","id":"ITEM-4","issue":"1","issued":{"date-parts":[["2012"]]},"page":"48-53","title":"Anatomical and functional correlates of human hippocampal volume asymmetry","type":"article-journal","volume":"201"},"uris":["http://www.mendeley.com/documents/?uuid=50000156-228d-47b9-921a-ec710ec09e58"]},{"id":"ITEM-5","itemData":{"DOI":"10.1016/j.neuroimage.2011.03.014","ISSN":"1095-9572","abstract":"This paper presents a novel, publicly available repository of anatomically segmented brain images of healthy subjects as well as patients with mild cognitive impairment and Alzheimer's disease. The underlying magnetic resonance images have been obtained from the Alzheimer's Disease Neuroimaging Initiative (ADNI) database. T1-weighted screening and baseline images (1.5T and 3T) have been processed with the multi-atlas based MAPER procedure, resulting in labels for 83 regions covering the whole brain in 816 subjects. Selected segmentations were subjected to visual assessment. The segmentations are self-consistent, as evidenced by strong agreement between segmentations of paired images acquired at different field strengths (Jaccard coefficient: 0.802±0.0146). Morphometric comparisons between diagnostic groups (normal; stable mild cognitive impairment; mild cognitive impairment with progression to Alzheimer's disease; Alzheimer's disease) showed highly significant group differences for individual regions, the majority of which were located in the temporal lobe. Additionally, significant effects were seen in the parietal lobe. Increased left/right asymmetry was found in posterior cortical regions. An automatically derived white-matter hypointensities index was found to be a suitable means of quantifying white-matter disease. This repository of segmentations is a potentially valuable resource to researchers working with ADNI data.","author":[{"dropping-particle":"","family":"Heckemann","given":"Rolf A","non-dropping-particle":"","parse-names":false,"suffix":""},{"dropping-particle":"","family":"Keihaninejad","given":"Shiva","non-dropping-particle":"","parse-names":false,"suffix":""},{"dropping-particle":"","family":"Aljabar","given":"Paul","non-dropping-particle":"","parse-names":false,"suffix":""},{"dropping-particle":"","family":"Gray","given":"Katherine R","non-dropping-particle":"","parse-names":false,"suffix":""},{"dropping-particle":"","family":"Nielsen","given":"Casper","non-dropping-particle":"","parse-names":false,"suffix":""},{"dropping-particle":"","family":"Rueckert","given":"Daniel","non-dropping-particle":"","parse-names":false,"suffix":""},{"dropping-particle":"V","family":"Hajnal","given":"Joseph","non-dropping-particle":"","parse-names":false,"suffix":""},{"dropping-particle":"","family":"Hammers","given":"Alexander","non-dropping-particle":"","parse-names":false,"suffix":""},{"dropping-particle":"","family":"Alzheimer's Disease Neuroimaging Initiative","given":"","non-dropping-particle":"","parse-names":false,"suffix":""}],"container-title":"NeuroImage","id":"ITEM-5","issue":"4","issued":{"date-parts":[["2011","6","15"]]},"page":"2024-2037","publisher":"Academic Press","title":"Automatic morphometry in Alzheimer's disease and mild cognitive impairment","type":"article-journal","volume":"56"},"uris":["http://www.mendeley.com/documents/?uuid=cac039d7-13e1-49da-adf3-68b501874c72"]}],"mendeley":{"formattedCitation":"[14,17,25,32,33]","plainTextFormattedCitation":"[14,17,25,32,33]","previouslyFormattedCitation":"[14,17,25,32,33]"},"properties":{"noteIndex":0},"schema":"https://github.com/citation-style-language/schema/raw/master/csl-citation.json"}</w:instrText>
      </w:r>
      <w:r w:rsidR="00F23F7B" w:rsidRPr="00842A01">
        <w:rPr>
          <w:rFonts w:ascii="Times New Roman" w:hAnsi="Times New Roman" w:cs="Times New Roman"/>
        </w:rPr>
        <w:fldChar w:fldCharType="separate"/>
      </w:r>
      <w:r w:rsidR="00552CC9" w:rsidRPr="00842A01">
        <w:rPr>
          <w:rFonts w:ascii="Times New Roman" w:hAnsi="Times New Roman" w:cs="Times New Roman"/>
          <w:noProof/>
        </w:rPr>
        <w:t>[14,17,25,32,33]</w:t>
      </w:r>
      <w:r w:rsidR="00F23F7B" w:rsidRPr="00842A01">
        <w:rPr>
          <w:rFonts w:ascii="Times New Roman" w:hAnsi="Times New Roman" w:cs="Times New Roman"/>
        </w:rPr>
        <w:fldChar w:fldCharType="end"/>
      </w:r>
      <w:r w:rsidR="00F23F7B" w:rsidRPr="00842A01">
        <w:rPr>
          <w:rFonts w:ascii="Times New Roman" w:eastAsia="Times New Roman" w:hAnsi="Times New Roman" w:cs="Times New Roman"/>
          <w:lang w:eastAsia="en-SG"/>
        </w:rPr>
        <w:t xml:space="preserve">, </w:t>
      </w:r>
      <w:r w:rsidR="006C71EF" w:rsidRPr="00842A01">
        <w:rPr>
          <w:rFonts w:ascii="Times New Roman" w:eastAsia="Times New Roman" w:hAnsi="Times New Roman" w:cs="Times New Roman"/>
          <w:lang w:eastAsia="en-SG"/>
        </w:rPr>
        <w:t xml:space="preserve">asymmetry between the right and left hemisphere was calculated </w:t>
      </w:r>
      <w:r w:rsidR="00BD4657" w:rsidRPr="00842A01">
        <w:rPr>
          <w:rFonts w:ascii="Times New Roman" w:eastAsia="Times New Roman" w:hAnsi="Times New Roman" w:cs="Times New Roman"/>
          <w:lang w:eastAsia="en-SG"/>
        </w:rPr>
        <w:t xml:space="preserve">for each subject </w:t>
      </w:r>
      <w:r w:rsidR="006C71EF" w:rsidRPr="00842A01">
        <w:rPr>
          <w:rFonts w:ascii="Times New Roman" w:eastAsia="Times New Roman" w:hAnsi="Times New Roman" w:cs="Times New Roman"/>
          <w:lang w:eastAsia="en-SG"/>
        </w:rPr>
        <w:t>as a laterality index (LI) as such: LI = (L – R)/0.5(L+R) * 100%, hence correcting for absolute bilateral volume of each respective structure. Accordingly, a positive LI denotes larger left than right volumes, while a negative LI represents larger right than left volumes.</w:t>
      </w:r>
    </w:p>
    <w:p w14:paraId="0CBCB325" w14:textId="77777777" w:rsidR="001262D8" w:rsidRPr="00842A01" w:rsidRDefault="001262D8" w:rsidP="004A08EC">
      <w:pPr>
        <w:autoSpaceDE w:val="0"/>
        <w:autoSpaceDN w:val="0"/>
        <w:adjustRightInd w:val="0"/>
        <w:spacing w:line="480" w:lineRule="auto"/>
        <w:jc w:val="both"/>
        <w:rPr>
          <w:rFonts w:ascii="Times New Roman" w:eastAsia="Times New Roman" w:hAnsi="Times New Roman" w:cs="Times New Roman"/>
          <w:lang w:eastAsia="en-SG"/>
        </w:rPr>
      </w:pPr>
    </w:p>
    <w:p w14:paraId="3E314791" w14:textId="77777777" w:rsidR="001262D8" w:rsidRPr="00842A01" w:rsidRDefault="001262D8" w:rsidP="004A08EC">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noProof/>
          <w:lang w:eastAsia="en-SG"/>
        </w:rPr>
        <w:lastRenderedPageBreak/>
        <w:drawing>
          <wp:inline distT="0" distB="0" distL="0" distR="0" wp14:anchorId="0935964A" wp14:editId="67D34D3A">
            <wp:extent cx="5689375" cy="1935480"/>
            <wp:effectExtent l="0" t="0" r="6985"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1_Seg.png"/>
                    <pic:cNvPicPr/>
                  </pic:nvPicPr>
                  <pic:blipFill rotWithShape="1">
                    <a:blip r:embed="rId9" cstate="print">
                      <a:extLst>
                        <a:ext uri="{28A0092B-C50C-407E-A947-70E740481C1C}">
                          <a14:useLocalDpi xmlns:a14="http://schemas.microsoft.com/office/drawing/2010/main" val="0"/>
                        </a:ext>
                      </a:extLst>
                    </a:blip>
                    <a:srcRect r="3080" b="33093"/>
                    <a:stretch/>
                  </pic:blipFill>
                  <pic:spPr bwMode="auto">
                    <a:xfrm>
                      <a:off x="0" y="0"/>
                      <a:ext cx="5694926" cy="1937369"/>
                    </a:xfrm>
                    <a:prstGeom prst="rect">
                      <a:avLst/>
                    </a:prstGeom>
                    <a:ln>
                      <a:noFill/>
                    </a:ln>
                    <a:extLst>
                      <a:ext uri="{53640926-AAD7-44D8-BBD7-CCE9431645EC}">
                        <a14:shadowObscured xmlns:a14="http://schemas.microsoft.com/office/drawing/2010/main"/>
                      </a:ext>
                    </a:extLst>
                  </pic:spPr>
                </pic:pic>
              </a:graphicData>
            </a:graphic>
          </wp:inline>
        </w:drawing>
      </w:r>
    </w:p>
    <w:p w14:paraId="03935734" w14:textId="77777777" w:rsidR="001262D8" w:rsidRPr="00842A01" w:rsidRDefault="001262D8" w:rsidP="004A08EC">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b/>
        </w:rPr>
        <w:t xml:space="preserve">Figure 1. </w:t>
      </w:r>
      <w:r w:rsidRPr="00842A01">
        <w:rPr>
          <w:rFonts w:ascii="Times New Roman" w:hAnsi="Times New Roman" w:cs="Times New Roman"/>
        </w:rPr>
        <w:t>Segmentations of thalamic subnuclei in healthy controls (HC) and Alzheimer’s disease (AD)</w:t>
      </w:r>
    </w:p>
    <w:p w14:paraId="46850AFB" w14:textId="77777777" w:rsidR="001262D8" w:rsidRPr="00842A01" w:rsidRDefault="001262D8" w:rsidP="004A08EC">
      <w:pPr>
        <w:spacing w:line="480" w:lineRule="auto"/>
        <w:rPr>
          <w:rFonts w:ascii="Times New Roman" w:hAnsi="Times New Roman" w:cs="Times New Roman"/>
        </w:rPr>
      </w:pPr>
    </w:p>
    <w:p w14:paraId="790315A6" w14:textId="77777777" w:rsidR="00B54D7E" w:rsidRPr="00842A01" w:rsidRDefault="00B54D7E" w:rsidP="00F20201">
      <w:pPr>
        <w:pStyle w:val="ListParagraph"/>
        <w:numPr>
          <w:ilvl w:val="1"/>
          <w:numId w:val="20"/>
        </w:numPr>
        <w:autoSpaceDE w:val="0"/>
        <w:autoSpaceDN w:val="0"/>
        <w:adjustRightInd w:val="0"/>
        <w:spacing w:line="480" w:lineRule="auto"/>
        <w:jc w:val="both"/>
        <w:rPr>
          <w:rFonts w:ascii="Times New Roman" w:hAnsi="Times New Roman" w:cs="Times New Roman"/>
          <w:b/>
        </w:rPr>
      </w:pPr>
      <w:r w:rsidRPr="00842A01">
        <w:rPr>
          <w:rFonts w:ascii="Times New Roman" w:hAnsi="Times New Roman" w:cs="Times New Roman"/>
          <w:b/>
        </w:rPr>
        <w:t>Statistical analysis</w:t>
      </w:r>
    </w:p>
    <w:p w14:paraId="066272AD" w14:textId="53FC5295" w:rsidR="00604F28" w:rsidRPr="00842A01" w:rsidRDefault="002C0211" w:rsidP="004A08EC">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B54D7E" w:rsidRPr="00842A01">
        <w:rPr>
          <w:rFonts w:ascii="Times New Roman" w:hAnsi="Times New Roman" w:cs="Times New Roman"/>
        </w:rPr>
        <w:t>Statistical analysis was performed using S</w:t>
      </w:r>
      <w:r w:rsidR="00AC7AA4" w:rsidRPr="00842A01">
        <w:rPr>
          <w:rFonts w:ascii="Times New Roman" w:hAnsi="Times New Roman" w:cs="Times New Roman"/>
        </w:rPr>
        <w:t>PSS V21</w:t>
      </w:r>
      <w:r w:rsidR="00B54D7E" w:rsidRPr="00842A01">
        <w:rPr>
          <w:rFonts w:ascii="Times New Roman" w:hAnsi="Times New Roman" w:cs="Times New Roman"/>
        </w:rPr>
        <w:t>.0</w:t>
      </w:r>
      <w:r w:rsidR="0004150D" w:rsidRPr="00842A01">
        <w:rPr>
          <w:rFonts w:ascii="Times New Roman" w:hAnsi="Times New Roman" w:cs="Times New Roman"/>
        </w:rPr>
        <w:t xml:space="preserve"> (IBM SPSS Inc, Chicage, IL, USA).</w:t>
      </w:r>
      <w:r w:rsidR="00B54D7E" w:rsidRPr="00842A01">
        <w:rPr>
          <w:rFonts w:ascii="Times New Roman" w:hAnsi="Times New Roman" w:cs="Times New Roman"/>
        </w:rPr>
        <w:t xml:space="preserve"> </w:t>
      </w:r>
      <w:r w:rsidR="00A40C00" w:rsidRPr="00842A01">
        <w:rPr>
          <w:rFonts w:ascii="Times New Roman" w:hAnsi="Times New Roman" w:cs="Times New Roman"/>
        </w:rPr>
        <w:t xml:space="preserve">Normality of continuous data was tested using </w:t>
      </w:r>
      <w:r w:rsidR="00A40C00" w:rsidRPr="00842A01">
        <w:rPr>
          <w:rFonts w:ascii="Times New Roman" w:eastAsia="Times New Roman" w:hAnsi="Times New Roman" w:cs="Times New Roman"/>
          <w:lang w:eastAsia="en-SG"/>
        </w:rPr>
        <w:t xml:space="preserve">the Shapiro-Wilk Test. Parametric data were analysed using either independent t-tests or analysis of variance (ANOVA), while nonparametric data were analysed using the Wilcoxon rank-sum test or Kruskal-Wallis test. Chi-square tests of independence were used for group comparisons of categorical variables. </w:t>
      </w:r>
      <w:r w:rsidR="00604F28" w:rsidRPr="00842A01">
        <w:rPr>
          <w:rFonts w:ascii="Times New Roman" w:eastAsia="Times New Roman" w:hAnsi="Times New Roman" w:cs="Times New Roman"/>
          <w:lang w:eastAsia="en-SG"/>
        </w:rPr>
        <w:t>To compare absolute differences in thalamic subnuclei volume, and t</w:t>
      </w:r>
      <w:r w:rsidR="00A40C00" w:rsidRPr="00842A01">
        <w:rPr>
          <w:rFonts w:ascii="Times New Roman" w:eastAsia="Times New Roman" w:hAnsi="Times New Roman" w:cs="Times New Roman"/>
          <w:lang w:eastAsia="en-SG"/>
        </w:rPr>
        <w:t xml:space="preserve">he degree of </w:t>
      </w:r>
      <w:r w:rsidR="003818B4" w:rsidRPr="00842A01">
        <w:rPr>
          <w:rFonts w:ascii="Times New Roman" w:eastAsia="Times New Roman" w:hAnsi="Times New Roman" w:cs="Times New Roman"/>
          <w:lang w:eastAsia="en-SG"/>
        </w:rPr>
        <w:t xml:space="preserve">subnuclei </w:t>
      </w:r>
      <w:r w:rsidR="00A40C00" w:rsidRPr="00842A01">
        <w:rPr>
          <w:rFonts w:ascii="Times New Roman" w:eastAsia="Times New Roman" w:hAnsi="Times New Roman" w:cs="Times New Roman"/>
          <w:lang w:eastAsia="en-SG"/>
        </w:rPr>
        <w:t xml:space="preserve">asymmetry between HC, MCI, and AD, </w:t>
      </w:r>
      <w:r w:rsidR="00817B5D" w:rsidRPr="00842A01">
        <w:rPr>
          <w:rFonts w:ascii="Times New Roman" w:eastAsia="Times New Roman" w:hAnsi="Times New Roman" w:cs="Times New Roman"/>
          <w:lang w:eastAsia="en-SG"/>
        </w:rPr>
        <w:t>analysis of covariance (</w:t>
      </w:r>
      <w:r w:rsidR="00A40C00" w:rsidRPr="00842A01">
        <w:rPr>
          <w:rFonts w:ascii="Times New Roman" w:eastAsia="Times New Roman" w:hAnsi="Times New Roman" w:cs="Times New Roman"/>
          <w:lang w:eastAsia="en-SG"/>
        </w:rPr>
        <w:t>ANCOVA</w:t>
      </w:r>
      <w:r w:rsidR="00817B5D" w:rsidRPr="00842A01">
        <w:rPr>
          <w:rFonts w:ascii="Times New Roman" w:eastAsia="Times New Roman" w:hAnsi="Times New Roman" w:cs="Times New Roman"/>
          <w:lang w:eastAsia="en-SG"/>
        </w:rPr>
        <w:t>)</w:t>
      </w:r>
      <w:r w:rsidR="00A40C00" w:rsidRPr="00842A01">
        <w:rPr>
          <w:rFonts w:ascii="Times New Roman" w:eastAsia="Times New Roman" w:hAnsi="Times New Roman" w:cs="Times New Roman"/>
          <w:lang w:eastAsia="en-SG"/>
        </w:rPr>
        <w:t xml:space="preserve"> was conducted, controlling for age, gender</w:t>
      </w:r>
      <w:r w:rsidR="003818B4" w:rsidRPr="00842A01">
        <w:rPr>
          <w:rFonts w:ascii="Times New Roman" w:eastAsia="Times New Roman" w:hAnsi="Times New Roman" w:cs="Times New Roman"/>
          <w:lang w:eastAsia="en-SG"/>
        </w:rPr>
        <w:t>,</w:t>
      </w:r>
      <w:r w:rsidR="000C5309" w:rsidRPr="00842A01">
        <w:rPr>
          <w:rFonts w:ascii="Times New Roman" w:eastAsia="Times New Roman" w:hAnsi="Times New Roman" w:cs="Times New Roman"/>
          <w:lang w:eastAsia="en-SG"/>
        </w:rPr>
        <w:t xml:space="preserve"> </w:t>
      </w:r>
      <w:r w:rsidR="00E80C73" w:rsidRPr="00842A01">
        <w:rPr>
          <w:rFonts w:ascii="Times New Roman" w:eastAsia="Times New Roman" w:hAnsi="Times New Roman" w:cs="Times New Roman"/>
          <w:lang w:eastAsia="en-SG"/>
        </w:rPr>
        <w:t xml:space="preserve">years of </w:t>
      </w:r>
      <w:r w:rsidR="000C5309" w:rsidRPr="00842A01">
        <w:rPr>
          <w:rFonts w:ascii="Times New Roman" w:eastAsia="Times New Roman" w:hAnsi="Times New Roman" w:cs="Times New Roman"/>
          <w:lang w:eastAsia="en-SG"/>
        </w:rPr>
        <w:t>education,</w:t>
      </w:r>
      <w:r w:rsidR="00A40C00" w:rsidRPr="00842A01">
        <w:rPr>
          <w:rFonts w:ascii="Times New Roman" w:eastAsia="Times New Roman" w:hAnsi="Times New Roman" w:cs="Times New Roman"/>
          <w:lang w:eastAsia="en-SG"/>
        </w:rPr>
        <w:t xml:space="preserve"> </w:t>
      </w:r>
      <w:r w:rsidR="00A74BCC" w:rsidRPr="00842A01">
        <w:rPr>
          <w:rFonts w:ascii="Times New Roman" w:eastAsia="Times New Roman" w:hAnsi="Times New Roman" w:cs="Times New Roman"/>
          <w:lang w:eastAsia="en-SG"/>
        </w:rPr>
        <w:t xml:space="preserve">and </w:t>
      </w:r>
      <w:r w:rsidR="00C73497" w:rsidRPr="00842A01">
        <w:rPr>
          <w:rFonts w:ascii="Times New Roman" w:eastAsia="Times New Roman" w:hAnsi="Times New Roman" w:cs="Times New Roman"/>
          <w:lang w:eastAsia="en-SG"/>
        </w:rPr>
        <w:t>total intracranial volume (</w:t>
      </w:r>
      <w:r w:rsidR="00D5388D" w:rsidRPr="00842A01">
        <w:rPr>
          <w:rFonts w:ascii="Times New Roman" w:eastAsia="Times New Roman" w:hAnsi="Times New Roman" w:cs="Times New Roman"/>
          <w:lang w:eastAsia="en-SG"/>
        </w:rPr>
        <w:t>T</w:t>
      </w:r>
      <w:r w:rsidR="00A74BCC" w:rsidRPr="00842A01">
        <w:rPr>
          <w:rFonts w:ascii="Times New Roman" w:eastAsia="Times New Roman" w:hAnsi="Times New Roman" w:cs="Times New Roman"/>
          <w:lang w:eastAsia="en-SG"/>
        </w:rPr>
        <w:t>IV</w:t>
      </w:r>
      <w:r w:rsidR="00C73497" w:rsidRPr="00842A01">
        <w:rPr>
          <w:rFonts w:ascii="Times New Roman" w:eastAsia="Times New Roman" w:hAnsi="Times New Roman" w:cs="Times New Roman"/>
          <w:lang w:eastAsia="en-SG"/>
        </w:rPr>
        <w:t>)</w:t>
      </w:r>
      <w:r w:rsidR="00A74BCC" w:rsidRPr="00842A01">
        <w:rPr>
          <w:rFonts w:ascii="Times New Roman" w:eastAsia="Times New Roman" w:hAnsi="Times New Roman" w:cs="Times New Roman"/>
          <w:lang w:eastAsia="en-SG"/>
        </w:rPr>
        <w:t xml:space="preserve"> </w:t>
      </w:r>
      <w:r w:rsidR="00A40C00" w:rsidRPr="00842A01">
        <w:rPr>
          <w:rFonts w:ascii="Times New Roman" w:eastAsia="Times New Roman" w:hAnsi="Times New Roman" w:cs="Times New Roman"/>
          <w:lang w:eastAsia="en-SG"/>
        </w:rPr>
        <w:t>to account for individ</w:t>
      </w:r>
      <w:r w:rsidR="00336162" w:rsidRPr="00842A01">
        <w:rPr>
          <w:rFonts w:ascii="Times New Roman" w:eastAsia="Times New Roman" w:hAnsi="Times New Roman" w:cs="Times New Roman"/>
          <w:lang w:eastAsia="en-SG"/>
        </w:rPr>
        <w:t xml:space="preserve">ual differences in head sizes. </w:t>
      </w:r>
      <w:r w:rsidR="003818B4" w:rsidRPr="00842A01">
        <w:rPr>
          <w:rFonts w:ascii="Times New Roman" w:hAnsi="Times New Roman" w:cs="Times New Roman"/>
        </w:rPr>
        <w:t xml:space="preserve">Multiple regression analysis, controlling for the same covariates, was conducted to investigate the associations of subnuclei asymmetry with </w:t>
      </w:r>
      <w:r w:rsidR="00A74BCC" w:rsidRPr="00842A01">
        <w:rPr>
          <w:rFonts w:ascii="Times New Roman" w:hAnsi="Times New Roman" w:cs="Times New Roman"/>
        </w:rPr>
        <w:t xml:space="preserve">clinical measures of </w:t>
      </w:r>
      <w:r w:rsidR="00890984" w:rsidRPr="00842A01">
        <w:rPr>
          <w:rFonts w:ascii="Times New Roman" w:hAnsi="Times New Roman" w:cs="Times New Roman"/>
        </w:rPr>
        <w:t>cognition</w:t>
      </w:r>
      <w:r w:rsidR="009B66E3" w:rsidRPr="00842A01">
        <w:rPr>
          <w:rFonts w:ascii="Times New Roman" w:hAnsi="Times New Roman" w:cs="Times New Roman"/>
        </w:rPr>
        <w:t xml:space="preserve">, </w:t>
      </w:r>
      <w:r w:rsidR="003818B4" w:rsidRPr="00842A01">
        <w:rPr>
          <w:rFonts w:ascii="Times New Roman" w:hAnsi="Times New Roman" w:cs="Times New Roman"/>
        </w:rPr>
        <w:t>neuropsychiatric symptoms</w:t>
      </w:r>
      <w:r w:rsidR="00890984" w:rsidRPr="00842A01">
        <w:rPr>
          <w:rFonts w:ascii="Times New Roman" w:hAnsi="Times New Roman" w:cs="Times New Roman"/>
        </w:rPr>
        <w:t>, and functional ability</w:t>
      </w:r>
      <w:r w:rsidR="003818B4" w:rsidRPr="00842A01">
        <w:rPr>
          <w:rFonts w:ascii="Times New Roman" w:hAnsi="Times New Roman" w:cs="Times New Roman"/>
        </w:rPr>
        <w:t>.</w:t>
      </w:r>
      <w:r w:rsidR="00604F28" w:rsidRPr="00842A01">
        <w:rPr>
          <w:rFonts w:ascii="Times New Roman" w:hAnsi="Times New Roman" w:cs="Times New Roman"/>
        </w:rPr>
        <w:t xml:space="preserve"> </w:t>
      </w:r>
    </w:p>
    <w:p w14:paraId="09D60395" w14:textId="48F299A9" w:rsidR="00604F28" w:rsidRPr="00842A01" w:rsidRDefault="00C9523F" w:rsidP="004A08EC">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604F28" w:rsidRPr="00842A01">
        <w:rPr>
          <w:rFonts w:ascii="Times New Roman" w:hAnsi="Times New Roman" w:cs="Times New Roman"/>
        </w:rPr>
        <w:t>To partial out the effects of inherent asymmetries of the whole brain and the hippocampus, additional analyses were conducted to include tota</w:t>
      </w:r>
      <w:r w:rsidR="00D46B75" w:rsidRPr="00842A01">
        <w:rPr>
          <w:rFonts w:ascii="Times New Roman" w:hAnsi="Times New Roman" w:cs="Times New Roman"/>
        </w:rPr>
        <w:t>l grey matter asymmetry</w:t>
      </w:r>
      <w:r w:rsidR="00604F28" w:rsidRPr="00842A01">
        <w:rPr>
          <w:rFonts w:ascii="Times New Roman" w:hAnsi="Times New Roman" w:cs="Times New Roman"/>
        </w:rPr>
        <w:t xml:space="preserve"> and hippocampal asymmetry as additional covariates in separate ANCOVA models (</w:t>
      </w:r>
      <w:r w:rsidR="00D46B75" w:rsidRPr="00842A01">
        <w:rPr>
          <w:rFonts w:ascii="Times New Roman" w:hAnsi="Times New Roman" w:cs="Times New Roman"/>
        </w:rPr>
        <w:t>i.e., two</w:t>
      </w:r>
      <w:r w:rsidR="00604F28" w:rsidRPr="00842A01">
        <w:rPr>
          <w:rFonts w:ascii="Times New Roman" w:hAnsi="Times New Roman" w:cs="Times New Roman"/>
        </w:rPr>
        <w:t xml:space="preserve"> separate ANCOVA </w:t>
      </w:r>
      <w:r w:rsidR="00604F28" w:rsidRPr="00842A01">
        <w:rPr>
          <w:rFonts w:ascii="Times New Roman" w:hAnsi="Times New Roman" w:cs="Times New Roman"/>
        </w:rPr>
        <w:lastRenderedPageBreak/>
        <w:t xml:space="preserve">models with covariates </w:t>
      </w:r>
      <w:r w:rsidR="00D46B75" w:rsidRPr="00842A01">
        <w:rPr>
          <w:rFonts w:ascii="Times New Roman" w:hAnsi="Times New Roman" w:cs="Times New Roman"/>
        </w:rPr>
        <w:t xml:space="preserve">of </w:t>
      </w:r>
      <w:r w:rsidR="00604F28" w:rsidRPr="00842A01">
        <w:rPr>
          <w:rFonts w:ascii="Times New Roman" w:hAnsi="Times New Roman" w:cs="Times New Roman"/>
        </w:rPr>
        <w:t xml:space="preserve">gender, age, education, </w:t>
      </w:r>
      <w:r w:rsidR="00A43872" w:rsidRPr="00842A01">
        <w:rPr>
          <w:rFonts w:ascii="Times New Roman" w:hAnsi="Times New Roman" w:cs="Times New Roman"/>
        </w:rPr>
        <w:t>TIV</w:t>
      </w:r>
      <w:r w:rsidR="00604F28" w:rsidRPr="00842A01">
        <w:rPr>
          <w:rFonts w:ascii="Times New Roman" w:hAnsi="Times New Roman" w:cs="Times New Roman"/>
        </w:rPr>
        <w:t xml:space="preserve">, and additional covariate of total grey matter asymmetry OR hippocampal asymmetry) to avoid multicollinearity effects. </w:t>
      </w:r>
    </w:p>
    <w:p w14:paraId="1DFDBB0B" w14:textId="77777777" w:rsidR="00C8323A" w:rsidRPr="00842A01" w:rsidRDefault="00C8323A" w:rsidP="004A08EC">
      <w:pPr>
        <w:autoSpaceDE w:val="0"/>
        <w:autoSpaceDN w:val="0"/>
        <w:adjustRightInd w:val="0"/>
        <w:spacing w:line="480" w:lineRule="auto"/>
        <w:jc w:val="both"/>
        <w:rPr>
          <w:rFonts w:ascii="Times New Roman" w:hAnsi="Times New Roman" w:cs="Times New Roman"/>
        </w:rPr>
      </w:pPr>
    </w:p>
    <w:p w14:paraId="22ADB4E2" w14:textId="77777777" w:rsidR="00817B5D" w:rsidRPr="00842A01" w:rsidRDefault="00817B5D" w:rsidP="00F20201">
      <w:pPr>
        <w:pStyle w:val="ListParagraph"/>
        <w:numPr>
          <w:ilvl w:val="0"/>
          <w:numId w:val="20"/>
        </w:numPr>
        <w:autoSpaceDE w:val="0"/>
        <w:autoSpaceDN w:val="0"/>
        <w:adjustRightInd w:val="0"/>
        <w:spacing w:line="480" w:lineRule="auto"/>
        <w:jc w:val="both"/>
        <w:rPr>
          <w:rFonts w:ascii="Times New Roman" w:eastAsia="Times New Roman" w:hAnsi="Times New Roman" w:cs="Times New Roman"/>
          <w:b/>
          <w:lang w:eastAsia="en-SG"/>
        </w:rPr>
      </w:pPr>
      <w:r w:rsidRPr="00842A01">
        <w:rPr>
          <w:rFonts w:ascii="Times New Roman" w:eastAsia="Times New Roman" w:hAnsi="Times New Roman" w:cs="Times New Roman"/>
          <w:b/>
          <w:lang w:eastAsia="en-SG"/>
        </w:rPr>
        <w:t>RESULTS</w:t>
      </w:r>
    </w:p>
    <w:p w14:paraId="7D01150B" w14:textId="77777777" w:rsidR="00817B5D" w:rsidRPr="00842A01" w:rsidRDefault="00817B5D" w:rsidP="00F20201">
      <w:pPr>
        <w:pStyle w:val="ListParagraph"/>
        <w:numPr>
          <w:ilvl w:val="1"/>
          <w:numId w:val="20"/>
        </w:numPr>
        <w:autoSpaceDE w:val="0"/>
        <w:autoSpaceDN w:val="0"/>
        <w:adjustRightInd w:val="0"/>
        <w:spacing w:line="480" w:lineRule="auto"/>
        <w:jc w:val="both"/>
        <w:rPr>
          <w:rFonts w:ascii="Times New Roman" w:eastAsia="Times New Roman" w:hAnsi="Times New Roman" w:cs="Times New Roman"/>
          <w:b/>
          <w:lang w:eastAsia="en-SG"/>
        </w:rPr>
      </w:pPr>
      <w:r w:rsidRPr="00842A01">
        <w:rPr>
          <w:rFonts w:ascii="Times New Roman" w:eastAsia="Times New Roman" w:hAnsi="Times New Roman" w:cs="Times New Roman"/>
          <w:b/>
          <w:lang w:eastAsia="en-SG"/>
        </w:rPr>
        <w:t>Participant characteristics</w:t>
      </w:r>
    </w:p>
    <w:p w14:paraId="2D914A1F" w14:textId="408CB1FC" w:rsidR="00C517A9" w:rsidRPr="00842A01" w:rsidRDefault="002C0211" w:rsidP="00AE4E27">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817B5D" w:rsidRPr="00842A01">
        <w:rPr>
          <w:rFonts w:ascii="Times New Roman" w:hAnsi="Times New Roman" w:cs="Times New Roman"/>
        </w:rPr>
        <w:t xml:space="preserve">Demographic and clinical characteristics are summarised in Table 1. The mean age of the whole cohort was </w:t>
      </w:r>
      <w:r w:rsidR="00424E28" w:rsidRPr="00842A01">
        <w:rPr>
          <w:rFonts w:ascii="Times New Roman" w:hAnsi="Times New Roman" w:cs="Times New Roman"/>
        </w:rPr>
        <w:t>71</w:t>
      </w:r>
      <w:r w:rsidR="000262D5" w:rsidRPr="00842A01">
        <w:rPr>
          <w:rFonts w:ascii="Times New Roman" w:hAnsi="Times New Roman" w:cs="Times New Roman"/>
        </w:rPr>
        <w:t>.</w:t>
      </w:r>
      <w:r w:rsidR="00424E28" w:rsidRPr="00842A01">
        <w:rPr>
          <w:rFonts w:ascii="Times New Roman" w:hAnsi="Times New Roman" w:cs="Times New Roman"/>
        </w:rPr>
        <w:t>2</w:t>
      </w:r>
      <w:r w:rsidR="000262D5" w:rsidRPr="00842A01">
        <w:rPr>
          <w:rFonts w:ascii="Times New Roman" w:hAnsi="Times New Roman" w:cs="Times New Roman"/>
        </w:rPr>
        <w:t xml:space="preserve"> years (SD </w:t>
      </w:r>
      <w:r w:rsidR="00424E28" w:rsidRPr="00842A01">
        <w:rPr>
          <w:rFonts w:ascii="Times New Roman" w:hAnsi="Times New Roman" w:cs="Times New Roman"/>
        </w:rPr>
        <w:t>7.6</w:t>
      </w:r>
      <w:r w:rsidR="000262D5" w:rsidRPr="00842A01">
        <w:rPr>
          <w:rFonts w:ascii="Times New Roman" w:hAnsi="Times New Roman" w:cs="Times New Roman"/>
        </w:rPr>
        <w:t>)</w:t>
      </w:r>
      <w:r w:rsidR="00817B5D" w:rsidRPr="00842A01">
        <w:rPr>
          <w:rFonts w:ascii="Times New Roman" w:hAnsi="Times New Roman" w:cs="Times New Roman"/>
        </w:rPr>
        <w:t>, while th</w:t>
      </w:r>
      <w:r w:rsidR="000262D5" w:rsidRPr="00842A01">
        <w:rPr>
          <w:rFonts w:ascii="Times New Roman" w:hAnsi="Times New Roman" w:cs="Times New Roman"/>
        </w:rPr>
        <w:t>e m</w:t>
      </w:r>
      <w:r w:rsidR="00C517A9" w:rsidRPr="00842A01">
        <w:rPr>
          <w:rFonts w:ascii="Times New Roman" w:hAnsi="Times New Roman" w:cs="Times New Roman"/>
        </w:rPr>
        <w:t>ean years of educ</w:t>
      </w:r>
      <w:r w:rsidR="00424E28" w:rsidRPr="00842A01">
        <w:rPr>
          <w:rFonts w:ascii="Times New Roman" w:hAnsi="Times New Roman" w:cs="Times New Roman"/>
        </w:rPr>
        <w:t>ation was 14.1</w:t>
      </w:r>
      <w:r w:rsidR="00D31D92" w:rsidRPr="00842A01">
        <w:rPr>
          <w:rFonts w:ascii="Times New Roman" w:hAnsi="Times New Roman" w:cs="Times New Roman"/>
        </w:rPr>
        <w:t xml:space="preserve"> years (SD 3.1</w:t>
      </w:r>
      <w:r w:rsidR="00817B5D" w:rsidRPr="00842A01">
        <w:rPr>
          <w:rFonts w:ascii="Times New Roman" w:hAnsi="Times New Roman" w:cs="Times New Roman"/>
        </w:rPr>
        <w:t xml:space="preserve">). </w:t>
      </w:r>
      <w:r w:rsidR="007E6EC2" w:rsidRPr="00842A01">
        <w:rPr>
          <w:rFonts w:ascii="Times New Roman" w:hAnsi="Times New Roman" w:cs="Times New Roman"/>
        </w:rPr>
        <w:t>The three groups were compara</w:t>
      </w:r>
      <w:r w:rsidR="00C517A9" w:rsidRPr="00842A01">
        <w:rPr>
          <w:rFonts w:ascii="Times New Roman" w:hAnsi="Times New Roman" w:cs="Times New Roman"/>
        </w:rPr>
        <w:t xml:space="preserve">ble in terms of gender </w:t>
      </w:r>
      <w:r w:rsidR="00424E28" w:rsidRPr="00842A01">
        <w:rPr>
          <w:rFonts w:ascii="Times New Roman" w:hAnsi="Times New Roman" w:cs="Times New Roman"/>
        </w:rPr>
        <w:t xml:space="preserve">(p = .814), but differed </w:t>
      </w:r>
      <w:r w:rsidR="003933C1" w:rsidRPr="00842A01">
        <w:rPr>
          <w:rFonts w:ascii="Times New Roman" w:hAnsi="Times New Roman" w:cs="Times New Roman"/>
        </w:rPr>
        <w:t xml:space="preserve">by </w:t>
      </w:r>
      <w:r w:rsidR="00424E28" w:rsidRPr="00842A01">
        <w:rPr>
          <w:rFonts w:ascii="Times New Roman" w:hAnsi="Times New Roman" w:cs="Times New Roman"/>
        </w:rPr>
        <w:t>age (p = .0495</w:t>
      </w:r>
      <w:r w:rsidR="00C517A9" w:rsidRPr="00842A01">
        <w:rPr>
          <w:rFonts w:ascii="Times New Roman" w:hAnsi="Times New Roman" w:cs="Times New Roman"/>
        </w:rPr>
        <w:t xml:space="preserve">) and </w:t>
      </w:r>
      <w:r w:rsidR="00D31D92" w:rsidRPr="00842A01">
        <w:rPr>
          <w:rFonts w:ascii="Times New Roman" w:hAnsi="Times New Roman" w:cs="Times New Roman"/>
        </w:rPr>
        <w:t xml:space="preserve">years of </w:t>
      </w:r>
      <w:r w:rsidR="005B7BA2" w:rsidRPr="00842A01">
        <w:rPr>
          <w:rFonts w:ascii="Times New Roman" w:hAnsi="Times New Roman" w:cs="Times New Roman"/>
        </w:rPr>
        <w:t>education (p = .027</w:t>
      </w:r>
      <w:r w:rsidR="007E6EC2" w:rsidRPr="00842A01">
        <w:rPr>
          <w:rFonts w:ascii="Times New Roman" w:hAnsi="Times New Roman" w:cs="Times New Roman"/>
        </w:rPr>
        <w:t xml:space="preserve">). </w:t>
      </w:r>
      <w:r w:rsidR="00C517A9" w:rsidRPr="00842A01">
        <w:rPr>
          <w:rFonts w:ascii="Times New Roman" w:hAnsi="Times New Roman" w:cs="Times New Roman"/>
        </w:rPr>
        <w:t xml:space="preserve">Specifically, </w:t>
      </w:r>
      <w:r w:rsidR="007C243F" w:rsidRPr="00842A01">
        <w:rPr>
          <w:rFonts w:ascii="Times New Roman" w:hAnsi="Times New Roman" w:cs="Times New Roman"/>
        </w:rPr>
        <w:t xml:space="preserve">MCI participants were </w:t>
      </w:r>
      <w:r w:rsidR="00424E28" w:rsidRPr="00842A01">
        <w:rPr>
          <w:rFonts w:ascii="Times New Roman" w:hAnsi="Times New Roman" w:cs="Times New Roman"/>
        </w:rPr>
        <w:t xml:space="preserve">significantly older </w:t>
      </w:r>
      <w:r w:rsidR="005B7BA2" w:rsidRPr="00842A01">
        <w:rPr>
          <w:rFonts w:ascii="Times New Roman" w:hAnsi="Times New Roman" w:cs="Times New Roman"/>
        </w:rPr>
        <w:t xml:space="preserve">(p = .020) and had fewer years of education (p = .008) </w:t>
      </w:r>
      <w:r w:rsidR="00424E28" w:rsidRPr="00842A01">
        <w:rPr>
          <w:rFonts w:ascii="Times New Roman" w:hAnsi="Times New Roman" w:cs="Times New Roman"/>
        </w:rPr>
        <w:t>than HC</w:t>
      </w:r>
      <w:r w:rsidR="00893294" w:rsidRPr="00842A01">
        <w:rPr>
          <w:rFonts w:ascii="Times New Roman" w:hAnsi="Times New Roman" w:cs="Times New Roman"/>
        </w:rPr>
        <w:t>.</w:t>
      </w:r>
      <w:r w:rsidR="00D73392" w:rsidRPr="00842A01">
        <w:rPr>
          <w:rFonts w:ascii="Times New Roman" w:hAnsi="Times New Roman" w:cs="Times New Roman"/>
        </w:rPr>
        <w:t xml:space="preserve"> </w:t>
      </w:r>
      <w:r w:rsidR="00EE1CC7" w:rsidRPr="00842A01">
        <w:rPr>
          <w:rFonts w:ascii="Times New Roman" w:hAnsi="Times New Roman" w:cs="Times New Roman"/>
        </w:rPr>
        <w:t xml:space="preserve">As expected, HC </w:t>
      </w:r>
      <w:r w:rsidR="00AE4E27" w:rsidRPr="00842A01">
        <w:rPr>
          <w:rFonts w:ascii="Times New Roman" w:hAnsi="Times New Roman" w:cs="Times New Roman"/>
        </w:rPr>
        <w:t>scored higher</w:t>
      </w:r>
      <w:r w:rsidR="00EE1CC7" w:rsidRPr="00842A01">
        <w:rPr>
          <w:rFonts w:ascii="Times New Roman" w:hAnsi="Times New Roman" w:cs="Times New Roman"/>
        </w:rPr>
        <w:t xml:space="preserve"> than MCI and AD on the MMSE (HC vs. MCI: p &lt; .001; HC vs. AD: p &lt; .001) and ACE-R (HC vs. MCI: p &lt; .001; HC vs. AD: p &lt; .001), while MCI </w:t>
      </w:r>
      <w:r w:rsidR="00BD4657" w:rsidRPr="00842A01">
        <w:rPr>
          <w:rFonts w:ascii="Times New Roman" w:hAnsi="Times New Roman" w:cs="Times New Roman"/>
        </w:rPr>
        <w:t>scored higher</w:t>
      </w:r>
      <w:r w:rsidR="00EE1CC7" w:rsidRPr="00842A01">
        <w:rPr>
          <w:rFonts w:ascii="Times New Roman" w:hAnsi="Times New Roman" w:cs="Times New Roman"/>
        </w:rPr>
        <w:t xml:space="preserve"> than</w:t>
      </w:r>
      <w:r w:rsidR="005B7BA2" w:rsidRPr="00842A01">
        <w:rPr>
          <w:rFonts w:ascii="Times New Roman" w:hAnsi="Times New Roman" w:cs="Times New Roman"/>
        </w:rPr>
        <w:t xml:space="preserve"> AD participants (MMSE: p &lt; .001; ACE-R: p = .008</w:t>
      </w:r>
      <w:r w:rsidR="00EE1CC7" w:rsidRPr="00842A01">
        <w:rPr>
          <w:rFonts w:ascii="Times New Roman" w:hAnsi="Times New Roman" w:cs="Times New Roman"/>
        </w:rPr>
        <w:t xml:space="preserve">). </w:t>
      </w:r>
    </w:p>
    <w:p w14:paraId="39D55C4E" w14:textId="77777777" w:rsidR="00C9523F" w:rsidRPr="00842A01" w:rsidRDefault="00C9523F" w:rsidP="004A08EC">
      <w:pPr>
        <w:spacing w:line="276" w:lineRule="auto"/>
        <w:rPr>
          <w:rFonts w:ascii="Times New Roman" w:eastAsia="Calibri" w:hAnsi="Times New Roman" w:cs="Times New Roman"/>
          <w:b/>
        </w:rPr>
      </w:pPr>
    </w:p>
    <w:p w14:paraId="4942FC65" w14:textId="77777777" w:rsidR="00F20201" w:rsidRPr="00842A01" w:rsidRDefault="00F20201">
      <w:pPr>
        <w:rPr>
          <w:rFonts w:ascii="Times New Roman" w:eastAsia="Calibri" w:hAnsi="Times New Roman" w:cs="Times New Roman"/>
          <w:b/>
        </w:rPr>
      </w:pPr>
      <w:r w:rsidRPr="00842A01">
        <w:rPr>
          <w:rFonts w:ascii="Times New Roman" w:eastAsia="Calibri" w:hAnsi="Times New Roman" w:cs="Times New Roman"/>
          <w:b/>
        </w:rPr>
        <w:br w:type="page"/>
      </w:r>
    </w:p>
    <w:p w14:paraId="29D9834A" w14:textId="77777777" w:rsidR="00C517A9" w:rsidRPr="00842A01" w:rsidRDefault="00C517A9" w:rsidP="00F20201">
      <w:pPr>
        <w:spacing w:line="480" w:lineRule="auto"/>
        <w:rPr>
          <w:rFonts w:ascii="Times New Roman" w:eastAsia="Calibri" w:hAnsi="Times New Roman" w:cs="Times New Roman"/>
          <w:b/>
        </w:rPr>
      </w:pPr>
      <w:r w:rsidRPr="00842A01">
        <w:rPr>
          <w:rFonts w:ascii="Times New Roman" w:eastAsia="Calibri" w:hAnsi="Times New Roman" w:cs="Times New Roman"/>
          <w:b/>
        </w:rPr>
        <w:lastRenderedPageBreak/>
        <w:t>Table 1.</w:t>
      </w:r>
      <w:r w:rsidRPr="00842A01">
        <w:rPr>
          <w:rFonts w:ascii="Times New Roman" w:eastAsia="Calibri" w:hAnsi="Times New Roman" w:cs="Times New Roman"/>
        </w:rPr>
        <w:t xml:space="preserve"> Demographic characteristics of participants</w:t>
      </w:r>
    </w:p>
    <w:tbl>
      <w:tblPr>
        <w:tblStyle w:val="TableGrid1"/>
        <w:tblW w:w="5050" w:type="pct"/>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2722"/>
        <w:gridCol w:w="1826"/>
        <w:gridCol w:w="1826"/>
        <w:gridCol w:w="1831"/>
        <w:gridCol w:w="1129"/>
      </w:tblGrid>
      <w:tr w:rsidR="00F20201" w:rsidRPr="00842A01" w14:paraId="27FB52B7" w14:textId="77777777" w:rsidTr="009423D8">
        <w:trPr>
          <w:trHeight w:val="535"/>
          <w:jc w:val="center"/>
        </w:trPr>
        <w:tc>
          <w:tcPr>
            <w:tcW w:w="1458" w:type="pct"/>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188E6422" w14:textId="77777777" w:rsidR="00C517A9" w:rsidRPr="00842A01" w:rsidRDefault="00C517A9" w:rsidP="009423D8">
            <w:pPr>
              <w:spacing w:line="480" w:lineRule="auto"/>
              <w:jc w:val="center"/>
              <w:rPr>
                <w:rFonts w:ascii="Times New Roman" w:hAnsi="Times New Roman"/>
              </w:rPr>
            </w:pPr>
          </w:p>
        </w:tc>
        <w:tc>
          <w:tcPr>
            <w:tcW w:w="978" w:type="pct"/>
            <w:tcBorders>
              <w:top w:val="single" w:sz="6" w:space="0" w:color="auto"/>
              <w:left w:val="single" w:sz="4" w:space="0" w:color="FFFFFF" w:themeColor="background1"/>
              <w:bottom w:val="single" w:sz="4" w:space="0" w:color="auto"/>
              <w:right w:val="single" w:sz="4" w:space="0" w:color="FFFFFF" w:themeColor="background1"/>
            </w:tcBorders>
            <w:vAlign w:val="center"/>
            <w:hideMark/>
          </w:tcPr>
          <w:p w14:paraId="29A4334F" w14:textId="77777777" w:rsidR="00C517A9" w:rsidRPr="00842A01" w:rsidRDefault="00C517A9" w:rsidP="009423D8">
            <w:pPr>
              <w:spacing w:line="480" w:lineRule="auto"/>
              <w:jc w:val="center"/>
              <w:rPr>
                <w:rFonts w:ascii="Times New Roman" w:hAnsi="Times New Roman"/>
                <w:b/>
              </w:rPr>
            </w:pPr>
            <w:r w:rsidRPr="00842A01">
              <w:rPr>
                <w:rFonts w:ascii="Times New Roman" w:hAnsi="Times New Roman"/>
                <w:b/>
              </w:rPr>
              <w:t>HC</w:t>
            </w:r>
          </w:p>
        </w:tc>
        <w:tc>
          <w:tcPr>
            <w:tcW w:w="978" w:type="pct"/>
            <w:tcBorders>
              <w:top w:val="single" w:sz="6" w:space="0" w:color="auto"/>
              <w:left w:val="single" w:sz="4" w:space="0" w:color="FFFFFF" w:themeColor="background1"/>
              <w:bottom w:val="single" w:sz="4" w:space="0" w:color="auto"/>
              <w:right w:val="single" w:sz="4" w:space="0" w:color="FFFFFF" w:themeColor="background1"/>
            </w:tcBorders>
            <w:vAlign w:val="center"/>
            <w:hideMark/>
          </w:tcPr>
          <w:p w14:paraId="1B513811" w14:textId="77777777" w:rsidR="00C517A9" w:rsidRPr="00842A01" w:rsidRDefault="00C517A9" w:rsidP="009423D8">
            <w:pPr>
              <w:spacing w:line="480" w:lineRule="auto"/>
              <w:jc w:val="center"/>
              <w:rPr>
                <w:rFonts w:ascii="Times New Roman" w:hAnsi="Times New Roman"/>
                <w:b/>
              </w:rPr>
            </w:pPr>
            <w:r w:rsidRPr="00842A01">
              <w:rPr>
                <w:rFonts w:ascii="Times New Roman" w:hAnsi="Times New Roman"/>
                <w:b/>
              </w:rPr>
              <w:t>MCI</w:t>
            </w:r>
          </w:p>
        </w:tc>
        <w:tc>
          <w:tcPr>
            <w:tcW w:w="981" w:type="pct"/>
            <w:tcBorders>
              <w:top w:val="single" w:sz="6" w:space="0" w:color="auto"/>
              <w:left w:val="single" w:sz="4" w:space="0" w:color="FFFFFF" w:themeColor="background1"/>
              <w:bottom w:val="single" w:sz="4" w:space="0" w:color="auto"/>
              <w:right w:val="single" w:sz="4" w:space="0" w:color="FFFFFF" w:themeColor="background1"/>
            </w:tcBorders>
            <w:vAlign w:val="center"/>
            <w:hideMark/>
          </w:tcPr>
          <w:p w14:paraId="15E099E7" w14:textId="77777777" w:rsidR="00C517A9" w:rsidRPr="00842A01" w:rsidRDefault="00C517A9" w:rsidP="009423D8">
            <w:pPr>
              <w:spacing w:line="480" w:lineRule="auto"/>
              <w:jc w:val="center"/>
              <w:rPr>
                <w:rFonts w:ascii="Times New Roman" w:hAnsi="Times New Roman"/>
                <w:b/>
              </w:rPr>
            </w:pPr>
            <w:r w:rsidRPr="00842A01">
              <w:rPr>
                <w:rFonts w:ascii="Times New Roman" w:hAnsi="Times New Roman"/>
                <w:b/>
              </w:rPr>
              <w:t>AD</w:t>
            </w:r>
          </w:p>
        </w:tc>
        <w:tc>
          <w:tcPr>
            <w:tcW w:w="605" w:type="pct"/>
            <w:tcBorders>
              <w:top w:val="single" w:sz="6" w:space="0" w:color="auto"/>
              <w:left w:val="single" w:sz="4" w:space="0" w:color="FFFFFF" w:themeColor="background1"/>
              <w:bottom w:val="single" w:sz="4" w:space="0" w:color="auto"/>
              <w:right w:val="single" w:sz="4" w:space="0" w:color="FFFFFF" w:themeColor="background1"/>
            </w:tcBorders>
            <w:vAlign w:val="center"/>
            <w:hideMark/>
          </w:tcPr>
          <w:p w14:paraId="647CEF75" w14:textId="77777777" w:rsidR="00C517A9" w:rsidRPr="00842A01" w:rsidRDefault="00C517A9" w:rsidP="009423D8">
            <w:pPr>
              <w:spacing w:line="480" w:lineRule="auto"/>
              <w:jc w:val="center"/>
              <w:rPr>
                <w:rFonts w:ascii="Times New Roman" w:hAnsi="Times New Roman"/>
                <w:b/>
              </w:rPr>
            </w:pPr>
            <w:r w:rsidRPr="00842A01">
              <w:rPr>
                <w:rFonts w:ascii="Times New Roman" w:hAnsi="Times New Roman"/>
                <w:b/>
                <w:i/>
              </w:rPr>
              <w:t>p</w:t>
            </w:r>
            <w:r w:rsidRPr="00842A01">
              <w:rPr>
                <w:rFonts w:ascii="Times New Roman" w:hAnsi="Times New Roman"/>
                <w:b/>
              </w:rPr>
              <w:t>-value</w:t>
            </w:r>
          </w:p>
        </w:tc>
      </w:tr>
      <w:tr w:rsidR="00F20201" w:rsidRPr="00842A01" w14:paraId="007D4A98" w14:textId="77777777" w:rsidTr="009423D8">
        <w:trPr>
          <w:trHeight w:val="287"/>
          <w:jc w:val="center"/>
        </w:trPr>
        <w:tc>
          <w:tcPr>
            <w:tcW w:w="1458" w:type="pct"/>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6FA10FF1" w14:textId="77777777" w:rsidR="00C517A9" w:rsidRPr="00842A01" w:rsidRDefault="00D5388D" w:rsidP="00F20201">
            <w:pPr>
              <w:spacing w:line="480" w:lineRule="auto"/>
              <w:rPr>
                <w:rFonts w:ascii="Times New Roman" w:hAnsi="Times New Roman"/>
                <w:i/>
              </w:rPr>
            </w:pPr>
            <w:r w:rsidRPr="00842A01">
              <w:rPr>
                <w:rFonts w:ascii="Times New Roman" w:hAnsi="Times New Roman"/>
                <w:i/>
              </w:rPr>
              <w:t>N</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0ED8C1C" w14:textId="77777777" w:rsidR="00C517A9" w:rsidRPr="00842A01" w:rsidRDefault="00C517A9" w:rsidP="00F20201">
            <w:pPr>
              <w:tabs>
                <w:tab w:val="decimal" w:pos="273"/>
              </w:tabs>
              <w:spacing w:line="480" w:lineRule="auto"/>
              <w:jc w:val="center"/>
              <w:rPr>
                <w:rFonts w:ascii="Times New Roman" w:hAnsi="Times New Roman"/>
              </w:rPr>
            </w:pPr>
            <w:r w:rsidRPr="00842A01">
              <w:rPr>
                <w:rFonts w:ascii="Times New Roman" w:hAnsi="Times New Roman"/>
              </w:rPr>
              <w:t>33</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24D5E2" w14:textId="77777777" w:rsidR="00C517A9" w:rsidRPr="00842A01" w:rsidRDefault="00424E28" w:rsidP="00F20201">
            <w:pPr>
              <w:tabs>
                <w:tab w:val="decimal" w:pos="273"/>
              </w:tabs>
              <w:spacing w:line="480" w:lineRule="auto"/>
              <w:jc w:val="center"/>
              <w:rPr>
                <w:rFonts w:ascii="Times New Roman" w:hAnsi="Times New Roman"/>
              </w:rPr>
            </w:pPr>
            <w:r w:rsidRPr="00842A01">
              <w:rPr>
                <w:rFonts w:ascii="Times New Roman" w:hAnsi="Times New Roman"/>
              </w:rPr>
              <w:t>14</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2DEC10" w14:textId="77777777" w:rsidR="00C517A9" w:rsidRPr="00842A01" w:rsidRDefault="00C517A9" w:rsidP="00F20201">
            <w:pPr>
              <w:spacing w:line="480" w:lineRule="auto"/>
              <w:jc w:val="center"/>
              <w:rPr>
                <w:rFonts w:ascii="Times New Roman" w:hAnsi="Times New Roman"/>
              </w:rPr>
            </w:pPr>
            <w:r w:rsidRPr="00842A01">
              <w:rPr>
                <w:rFonts w:ascii="Times New Roman" w:hAnsi="Times New Roman"/>
              </w:rPr>
              <w:t>18</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C5D4B0" w14:textId="77777777" w:rsidR="00C517A9" w:rsidRPr="00842A01" w:rsidRDefault="00C517A9" w:rsidP="00F20201">
            <w:pPr>
              <w:tabs>
                <w:tab w:val="decimal" w:pos="174"/>
              </w:tabs>
              <w:spacing w:line="480" w:lineRule="auto"/>
              <w:rPr>
                <w:rFonts w:ascii="Times New Roman" w:hAnsi="Times New Roman"/>
              </w:rPr>
            </w:pPr>
          </w:p>
        </w:tc>
      </w:tr>
      <w:tr w:rsidR="00F20201" w:rsidRPr="00842A01" w14:paraId="665FE109" w14:textId="77777777" w:rsidTr="009423D8">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61A356D9" w14:textId="77777777" w:rsidR="00C517A9" w:rsidRPr="00842A01" w:rsidRDefault="00C517A9" w:rsidP="00F20201">
            <w:pPr>
              <w:spacing w:line="480" w:lineRule="auto"/>
              <w:rPr>
                <w:rFonts w:ascii="Times New Roman" w:hAnsi="Times New Roman"/>
              </w:rPr>
            </w:pPr>
            <w:r w:rsidRPr="00842A01">
              <w:rPr>
                <w:rFonts w:ascii="Times New Roman" w:hAnsi="Times New Roman"/>
              </w:rPr>
              <w:t>Gender</w:t>
            </w:r>
            <w:r w:rsidRPr="00842A01">
              <w:rPr>
                <w:rFonts w:ascii="Times New Roman" w:hAnsi="Times New Roman"/>
                <w:vertAlign w:val="superscript"/>
              </w:rPr>
              <w:t>1</w:t>
            </w:r>
          </w:p>
          <w:p w14:paraId="5247B46C" w14:textId="77777777" w:rsidR="00C517A9" w:rsidRPr="00842A01" w:rsidRDefault="00C517A9" w:rsidP="00F20201">
            <w:pPr>
              <w:spacing w:line="480" w:lineRule="auto"/>
              <w:rPr>
                <w:rFonts w:ascii="Times New Roman" w:hAnsi="Times New Roman"/>
              </w:rPr>
            </w:pPr>
            <w:r w:rsidRPr="00842A01">
              <w:rPr>
                <w:rFonts w:ascii="Times New Roman" w:hAnsi="Times New Roman"/>
                <w:i/>
              </w:rPr>
              <w:t>% Male</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23E186A0" w14:textId="77777777" w:rsidR="00C517A9" w:rsidRPr="00842A01" w:rsidRDefault="00C517A9" w:rsidP="00F20201">
            <w:pPr>
              <w:tabs>
                <w:tab w:val="decimal" w:pos="273"/>
              </w:tabs>
              <w:spacing w:line="480" w:lineRule="auto"/>
              <w:jc w:val="center"/>
              <w:rPr>
                <w:rFonts w:ascii="Times New Roman" w:hAnsi="Times New Roman"/>
              </w:rPr>
            </w:pPr>
            <w:r w:rsidRPr="00842A01">
              <w:rPr>
                <w:rFonts w:ascii="Times New Roman" w:hAnsi="Times New Roman"/>
              </w:rPr>
              <w:t>54.5</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DF6777A" w14:textId="77777777" w:rsidR="00C517A9" w:rsidRPr="00842A01" w:rsidRDefault="00424E28" w:rsidP="00F20201">
            <w:pPr>
              <w:tabs>
                <w:tab w:val="decimal" w:pos="273"/>
              </w:tabs>
              <w:spacing w:line="480" w:lineRule="auto"/>
              <w:jc w:val="center"/>
              <w:rPr>
                <w:rFonts w:ascii="Times New Roman" w:hAnsi="Times New Roman"/>
              </w:rPr>
            </w:pPr>
            <w:r w:rsidRPr="00842A01">
              <w:rPr>
                <w:rFonts w:ascii="Times New Roman" w:hAnsi="Times New Roman"/>
              </w:rPr>
              <w:t>50.0</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3524483" w14:textId="77777777" w:rsidR="00C517A9" w:rsidRPr="00842A01" w:rsidRDefault="00C517A9" w:rsidP="00F20201">
            <w:pPr>
              <w:spacing w:line="480" w:lineRule="auto"/>
              <w:jc w:val="center"/>
              <w:rPr>
                <w:rFonts w:ascii="Times New Roman" w:hAnsi="Times New Roman"/>
              </w:rPr>
            </w:pPr>
            <w:r w:rsidRPr="00842A01">
              <w:rPr>
                <w:rFonts w:ascii="Times New Roman" w:hAnsi="Times New Roman"/>
              </w:rPr>
              <w:t>61.1</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61B0A1D" w14:textId="77777777" w:rsidR="00C517A9" w:rsidRPr="00842A01" w:rsidRDefault="00424E28" w:rsidP="00F20201">
            <w:pPr>
              <w:tabs>
                <w:tab w:val="decimal" w:pos="174"/>
              </w:tabs>
              <w:spacing w:line="480" w:lineRule="auto"/>
              <w:rPr>
                <w:rFonts w:ascii="Times New Roman" w:hAnsi="Times New Roman"/>
              </w:rPr>
            </w:pPr>
            <w:r w:rsidRPr="00842A01">
              <w:rPr>
                <w:rFonts w:ascii="Times New Roman" w:hAnsi="Times New Roman"/>
              </w:rPr>
              <w:t>.814</w:t>
            </w:r>
          </w:p>
        </w:tc>
      </w:tr>
      <w:tr w:rsidR="00F20201" w:rsidRPr="00842A01" w14:paraId="6FAF6148" w14:textId="77777777" w:rsidTr="009423D8">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74902B2" w14:textId="77777777" w:rsidR="00C517A9" w:rsidRPr="00842A01" w:rsidRDefault="00C517A9" w:rsidP="00F20201">
            <w:pPr>
              <w:spacing w:line="480" w:lineRule="auto"/>
              <w:rPr>
                <w:rFonts w:ascii="Times New Roman" w:hAnsi="Times New Roman"/>
              </w:rPr>
            </w:pPr>
            <w:r w:rsidRPr="00842A01">
              <w:rPr>
                <w:rFonts w:ascii="Times New Roman" w:hAnsi="Times New Roman"/>
              </w:rPr>
              <w:t>Age</w:t>
            </w:r>
            <w:r w:rsidRPr="00842A01">
              <w:rPr>
                <w:rFonts w:ascii="Times New Roman" w:hAnsi="Times New Roman"/>
                <w:vertAlign w:val="superscript"/>
              </w:rPr>
              <w:t>2</w:t>
            </w:r>
          </w:p>
          <w:p w14:paraId="16F913C6" w14:textId="77777777" w:rsidR="00C517A9" w:rsidRPr="00842A01" w:rsidRDefault="00C517A9" w:rsidP="00F20201">
            <w:pPr>
              <w:spacing w:line="480" w:lineRule="auto"/>
              <w:rPr>
                <w:rFonts w:ascii="Times New Roman" w:hAnsi="Times New Roman"/>
              </w:rPr>
            </w:pPr>
            <w:r w:rsidRPr="00842A01">
              <w:rPr>
                <w:rFonts w:ascii="Times New Roman" w:hAnsi="Times New Roman"/>
                <w:i/>
              </w:rPr>
              <w:t>Mean (SD)</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6C7853BE" w14:textId="77777777" w:rsidR="00C517A9" w:rsidRPr="00842A01" w:rsidRDefault="00AE4E27" w:rsidP="00F20201">
            <w:pPr>
              <w:tabs>
                <w:tab w:val="decimal" w:pos="349"/>
              </w:tabs>
              <w:spacing w:line="480" w:lineRule="auto"/>
              <w:jc w:val="center"/>
              <w:rPr>
                <w:rFonts w:ascii="Times New Roman" w:hAnsi="Times New Roman"/>
              </w:rPr>
            </w:pPr>
            <w:r w:rsidRPr="00842A01">
              <w:rPr>
                <w:rFonts w:ascii="Times New Roman" w:hAnsi="Times New Roman"/>
              </w:rPr>
              <w:t>69.0</w:t>
            </w:r>
            <w:r w:rsidR="00C517A9" w:rsidRPr="00842A01">
              <w:rPr>
                <w:rFonts w:ascii="Times New Roman" w:hAnsi="Times New Roman"/>
              </w:rPr>
              <w:t xml:space="preserve"> (</w:t>
            </w:r>
            <w:r w:rsidRPr="00842A01">
              <w:rPr>
                <w:rFonts w:ascii="Times New Roman" w:hAnsi="Times New Roman"/>
              </w:rPr>
              <w:t>7.0</w:t>
            </w:r>
            <w:r w:rsidR="00C517A9" w:rsidRPr="00842A01">
              <w:rPr>
                <w:rFonts w:ascii="Times New Roman" w:hAnsi="Times New Roman"/>
              </w:rPr>
              <w:t>)</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F317E6E" w14:textId="77777777" w:rsidR="00C517A9" w:rsidRPr="00842A01" w:rsidRDefault="00C517A9" w:rsidP="00F20201">
            <w:pPr>
              <w:tabs>
                <w:tab w:val="decimal" w:pos="693"/>
                <w:tab w:val="left" w:pos="835"/>
              </w:tabs>
              <w:spacing w:line="480" w:lineRule="auto"/>
              <w:jc w:val="center"/>
              <w:rPr>
                <w:rFonts w:ascii="Times New Roman" w:hAnsi="Times New Roman"/>
              </w:rPr>
            </w:pPr>
            <w:r w:rsidRPr="00842A01">
              <w:rPr>
                <w:rFonts w:ascii="Times New Roman" w:hAnsi="Times New Roman"/>
              </w:rPr>
              <w:t>7</w:t>
            </w:r>
            <w:r w:rsidR="00424E28" w:rsidRPr="00842A01">
              <w:rPr>
                <w:rFonts w:ascii="Times New Roman" w:hAnsi="Times New Roman"/>
              </w:rPr>
              <w:t>4.6 (6.3</w:t>
            </w:r>
            <w:r w:rsidRPr="00842A01">
              <w:rPr>
                <w:rFonts w:ascii="Times New Roman" w:hAnsi="Times New Roman"/>
              </w:rPr>
              <w:t>)</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8CC3D12" w14:textId="77777777" w:rsidR="00C517A9" w:rsidRPr="00842A01" w:rsidRDefault="00AE4E27" w:rsidP="00F20201">
            <w:pPr>
              <w:tabs>
                <w:tab w:val="decimal" w:pos="622"/>
              </w:tabs>
              <w:spacing w:line="480" w:lineRule="auto"/>
              <w:rPr>
                <w:rFonts w:ascii="Times New Roman" w:hAnsi="Times New Roman"/>
              </w:rPr>
            </w:pPr>
            <w:r w:rsidRPr="00842A01">
              <w:rPr>
                <w:rFonts w:ascii="Times New Roman" w:hAnsi="Times New Roman"/>
              </w:rPr>
              <w:t>72.3 (8.6</w:t>
            </w:r>
            <w:r w:rsidR="00C517A9" w:rsidRPr="00842A01">
              <w:rPr>
                <w:rFonts w:ascii="Times New Roman" w:hAnsi="Times New Roman"/>
              </w:rPr>
              <w:t>)</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E4F9FBA" w14:textId="77777777" w:rsidR="00C517A9" w:rsidRPr="00842A01" w:rsidRDefault="00424E28" w:rsidP="00F20201">
            <w:pPr>
              <w:tabs>
                <w:tab w:val="decimal" w:pos="174"/>
              </w:tabs>
              <w:spacing w:line="480" w:lineRule="auto"/>
              <w:rPr>
                <w:rFonts w:ascii="Times New Roman" w:hAnsi="Times New Roman"/>
              </w:rPr>
            </w:pPr>
            <w:r w:rsidRPr="00842A01">
              <w:rPr>
                <w:rFonts w:ascii="Times New Roman" w:hAnsi="Times New Roman"/>
              </w:rPr>
              <w:t>.050</w:t>
            </w:r>
            <w:r w:rsidR="00C517A9" w:rsidRPr="00842A01">
              <w:rPr>
                <w:rFonts w:ascii="Times New Roman" w:hAnsi="Times New Roman"/>
              </w:rPr>
              <w:t>*</w:t>
            </w:r>
          </w:p>
        </w:tc>
      </w:tr>
      <w:tr w:rsidR="00F20201" w:rsidRPr="00842A01" w14:paraId="0C0F42EF" w14:textId="77777777" w:rsidTr="009423D8">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63408A2" w14:textId="77777777" w:rsidR="00C517A9" w:rsidRPr="00842A01" w:rsidRDefault="00C517A9" w:rsidP="00F20201">
            <w:pPr>
              <w:spacing w:line="480" w:lineRule="auto"/>
              <w:rPr>
                <w:rFonts w:ascii="Times New Roman" w:hAnsi="Times New Roman"/>
              </w:rPr>
            </w:pPr>
            <w:r w:rsidRPr="00842A01">
              <w:rPr>
                <w:rFonts w:ascii="Times New Roman" w:hAnsi="Times New Roman"/>
              </w:rPr>
              <w:t>Education</w:t>
            </w:r>
            <w:r w:rsidRPr="00842A01">
              <w:rPr>
                <w:rFonts w:ascii="Times New Roman" w:hAnsi="Times New Roman"/>
                <w:vertAlign w:val="superscript"/>
              </w:rPr>
              <w:t>3</w:t>
            </w:r>
          </w:p>
          <w:p w14:paraId="053C03E6" w14:textId="77777777" w:rsidR="00C517A9" w:rsidRPr="00842A01" w:rsidRDefault="00C517A9" w:rsidP="00F20201">
            <w:pPr>
              <w:spacing w:line="480" w:lineRule="auto"/>
              <w:rPr>
                <w:rFonts w:ascii="Times New Roman" w:hAnsi="Times New Roman"/>
              </w:rPr>
            </w:pPr>
            <w:r w:rsidRPr="00842A01">
              <w:rPr>
                <w:rFonts w:ascii="Times New Roman" w:hAnsi="Times New Roman"/>
                <w:i/>
              </w:rPr>
              <w:t>Mean in years (SD)</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6A6E483F" w14:textId="77777777" w:rsidR="00C517A9" w:rsidRPr="00842A01" w:rsidRDefault="00AE4E27" w:rsidP="00F20201">
            <w:pPr>
              <w:tabs>
                <w:tab w:val="decimal" w:pos="349"/>
              </w:tabs>
              <w:spacing w:line="480" w:lineRule="auto"/>
              <w:jc w:val="center"/>
              <w:rPr>
                <w:rFonts w:ascii="Times New Roman" w:hAnsi="Times New Roman"/>
              </w:rPr>
            </w:pPr>
            <w:r w:rsidRPr="00842A01">
              <w:rPr>
                <w:rFonts w:ascii="Times New Roman" w:hAnsi="Times New Roman"/>
              </w:rPr>
              <w:t>14.9 (3.0</w:t>
            </w:r>
            <w:r w:rsidR="00C517A9" w:rsidRPr="00842A01">
              <w:rPr>
                <w:rFonts w:ascii="Times New Roman" w:hAnsi="Times New Roman"/>
              </w:rPr>
              <w:t>)</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23D693D9" w14:textId="77777777" w:rsidR="00C517A9" w:rsidRPr="00842A01" w:rsidRDefault="00424E28" w:rsidP="00F20201">
            <w:pPr>
              <w:tabs>
                <w:tab w:val="decimal" w:pos="693"/>
                <w:tab w:val="left" w:pos="835"/>
              </w:tabs>
              <w:spacing w:line="480" w:lineRule="auto"/>
              <w:jc w:val="center"/>
              <w:rPr>
                <w:rFonts w:ascii="Times New Roman" w:hAnsi="Times New Roman"/>
              </w:rPr>
            </w:pPr>
            <w:r w:rsidRPr="00842A01">
              <w:rPr>
                <w:rFonts w:ascii="Times New Roman" w:hAnsi="Times New Roman"/>
              </w:rPr>
              <w:t>12.3 (2.8</w:t>
            </w:r>
            <w:r w:rsidR="00C517A9" w:rsidRPr="00842A01">
              <w:rPr>
                <w:rFonts w:ascii="Times New Roman" w:hAnsi="Times New Roman"/>
              </w:rPr>
              <w:t>)</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79F2A214" w14:textId="77777777" w:rsidR="00C517A9" w:rsidRPr="00842A01" w:rsidRDefault="00C517A9" w:rsidP="00F20201">
            <w:pPr>
              <w:tabs>
                <w:tab w:val="decimal" w:pos="622"/>
              </w:tabs>
              <w:spacing w:line="480" w:lineRule="auto"/>
              <w:rPr>
                <w:rFonts w:ascii="Times New Roman" w:hAnsi="Times New Roman"/>
              </w:rPr>
            </w:pPr>
            <w:r w:rsidRPr="00842A01">
              <w:rPr>
                <w:rFonts w:ascii="Times New Roman" w:hAnsi="Times New Roman"/>
              </w:rPr>
              <w:t>1</w:t>
            </w:r>
            <w:r w:rsidR="00AE4E27" w:rsidRPr="00842A01">
              <w:rPr>
                <w:rFonts w:ascii="Times New Roman" w:hAnsi="Times New Roman"/>
              </w:rPr>
              <w:t>3.9 (3.0</w:t>
            </w:r>
            <w:r w:rsidRPr="00842A01">
              <w:rPr>
                <w:rFonts w:ascii="Times New Roman" w:hAnsi="Times New Roman"/>
              </w:rPr>
              <w:t>)</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6C40C695" w14:textId="77777777" w:rsidR="00C517A9" w:rsidRPr="00842A01" w:rsidRDefault="005B7BA2" w:rsidP="00F20201">
            <w:pPr>
              <w:tabs>
                <w:tab w:val="decimal" w:pos="174"/>
              </w:tabs>
              <w:spacing w:line="480" w:lineRule="auto"/>
              <w:rPr>
                <w:rFonts w:ascii="Times New Roman" w:hAnsi="Times New Roman"/>
              </w:rPr>
            </w:pPr>
            <w:r w:rsidRPr="00842A01">
              <w:rPr>
                <w:rFonts w:ascii="Times New Roman" w:hAnsi="Times New Roman"/>
              </w:rPr>
              <w:t>.027*</w:t>
            </w:r>
          </w:p>
        </w:tc>
      </w:tr>
      <w:tr w:rsidR="00F20201" w:rsidRPr="00842A01" w14:paraId="126AD6B1" w14:textId="77777777" w:rsidTr="009423D8">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0878797" w14:textId="77777777" w:rsidR="00C517A9" w:rsidRPr="00842A01" w:rsidRDefault="00C517A9" w:rsidP="00F20201">
            <w:pPr>
              <w:spacing w:line="480" w:lineRule="auto"/>
              <w:rPr>
                <w:rFonts w:ascii="Times New Roman" w:hAnsi="Times New Roman"/>
              </w:rPr>
            </w:pPr>
            <w:r w:rsidRPr="00842A01">
              <w:rPr>
                <w:rFonts w:ascii="Times New Roman" w:hAnsi="Times New Roman"/>
              </w:rPr>
              <w:t>MMSE</w:t>
            </w:r>
            <w:r w:rsidRPr="00842A01">
              <w:rPr>
                <w:rFonts w:ascii="Times New Roman" w:hAnsi="Times New Roman"/>
                <w:vertAlign w:val="superscript"/>
              </w:rPr>
              <w:t>3</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A69919C" w14:textId="77777777" w:rsidR="00C517A9" w:rsidRPr="00842A01" w:rsidRDefault="00AE4E27" w:rsidP="00F20201">
            <w:pPr>
              <w:tabs>
                <w:tab w:val="decimal" w:pos="349"/>
              </w:tabs>
              <w:spacing w:line="480" w:lineRule="auto"/>
              <w:jc w:val="center"/>
              <w:rPr>
                <w:rFonts w:ascii="Times New Roman" w:hAnsi="Times New Roman"/>
              </w:rPr>
            </w:pPr>
            <w:r w:rsidRPr="00842A01">
              <w:rPr>
                <w:rFonts w:ascii="Times New Roman" w:hAnsi="Times New Roman"/>
              </w:rPr>
              <w:t>28.9 (1.0</w:t>
            </w:r>
            <w:r w:rsidR="00C517A9" w:rsidRPr="00842A01">
              <w:rPr>
                <w:rFonts w:ascii="Times New Roman" w:hAnsi="Times New Roman"/>
              </w:rPr>
              <w:t>)</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F03DAC6" w14:textId="77777777" w:rsidR="00C517A9" w:rsidRPr="00842A01" w:rsidRDefault="00424E28" w:rsidP="00F20201">
            <w:pPr>
              <w:tabs>
                <w:tab w:val="decimal" w:pos="693"/>
                <w:tab w:val="left" w:pos="835"/>
              </w:tabs>
              <w:spacing w:line="480" w:lineRule="auto"/>
              <w:jc w:val="center"/>
              <w:rPr>
                <w:rFonts w:ascii="Times New Roman" w:hAnsi="Times New Roman"/>
              </w:rPr>
            </w:pPr>
            <w:r w:rsidRPr="00842A01">
              <w:rPr>
                <w:rFonts w:ascii="Times New Roman" w:hAnsi="Times New Roman"/>
              </w:rPr>
              <w:t>25.9 (1</w:t>
            </w:r>
            <w:r w:rsidR="00AE4E27" w:rsidRPr="00842A01">
              <w:rPr>
                <w:rFonts w:ascii="Times New Roman" w:hAnsi="Times New Roman"/>
              </w:rPr>
              <w:t>.3</w:t>
            </w:r>
            <w:r w:rsidR="00C517A9" w:rsidRPr="00842A01">
              <w:rPr>
                <w:rFonts w:ascii="Times New Roman" w:hAnsi="Times New Roman"/>
              </w:rPr>
              <w:t>)</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1ECB43F" w14:textId="77777777" w:rsidR="00C517A9" w:rsidRPr="00842A01" w:rsidRDefault="00AE4E27" w:rsidP="00F20201">
            <w:pPr>
              <w:tabs>
                <w:tab w:val="decimal" w:pos="622"/>
              </w:tabs>
              <w:spacing w:line="480" w:lineRule="auto"/>
              <w:rPr>
                <w:rFonts w:ascii="Times New Roman" w:hAnsi="Times New Roman"/>
              </w:rPr>
            </w:pPr>
            <w:r w:rsidRPr="00842A01">
              <w:rPr>
                <w:rFonts w:ascii="Times New Roman" w:hAnsi="Times New Roman"/>
              </w:rPr>
              <w:t>24.3 (4.1</w:t>
            </w:r>
            <w:r w:rsidR="00C517A9" w:rsidRPr="00842A01">
              <w:rPr>
                <w:rFonts w:ascii="Times New Roman" w:hAnsi="Times New Roman"/>
              </w:rPr>
              <w:t>)</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0CBB851" w14:textId="4CC8D4C4" w:rsidR="00C517A9" w:rsidRPr="00842A01" w:rsidRDefault="005B7BA2" w:rsidP="00F20201">
            <w:pPr>
              <w:tabs>
                <w:tab w:val="decimal" w:pos="174"/>
              </w:tabs>
              <w:spacing w:line="480" w:lineRule="auto"/>
              <w:rPr>
                <w:rFonts w:ascii="Times New Roman" w:hAnsi="Times New Roman"/>
              </w:rPr>
            </w:pPr>
            <w:r w:rsidRPr="00842A01">
              <w:rPr>
                <w:rFonts w:ascii="Times New Roman" w:hAnsi="Times New Roman"/>
              </w:rPr>
              <w:t>&lt;.001**</w:t>
            </w:r>
            <w:r w:rsidR="00E47C65" w:rsidRPr="00842A01">
              <w:rPr>
                <w:rFonts w:ascii="Times New Roman" w:hAnsi="Times New Roman"/>
              </w:rPr>
              <w:t>*</w:t>
            </w:r>
          </w:p>
        </w:tc>
      </w:tr>
      <w:tr w:rsidR="00F20201" w:rsidRPr="00842A01" w14:paraId="64675ED2" w14:textId="77777777" w:rsidTr="007C2EF5">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7BB00EB" w14:textId="77777777" w:rsidR="00C517A9" w:rsidRPr="00842A01" w:rsidRDefault="00C517A9" w:rsidP="00F20201">
            <w:pPr>
              <w:spacing w:line="480" w:lineRule="auto"/>
              <w:rPr>
                <w:rFonts w:ascii="Times New Roman" w:hAnsi="Times New Roman"/>
              </w:rPr>
            </w:pPr>
            <w:r w:rsidRPr="00842A01">
              <w:rPr>
                <w:rFonts w:ascii="Times New Roman" w:hAnsi="Times New Roman"/>
              </w:rPr>
              <w:t>ACE-R</w:t>
            </w:r>
            <w:r w:rsidRPr="00842A01">
              <w:rPr>
                <w:rFonts w:ascii="Times New Roman" w:hAnsi="Times New Roman"/>
                <w:vertAlign w:val="superscript"/>
              </w:rPr>
              <w:t>3</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C1F0F30" w14:textId="77777777" w:rsidR="00C517A9" w:rsidRPr="00842A01" w:rsidRDefault="00424E28" w:rsidP="00F20201">
            <w:pPr>
              <w:tabs>
                <w:tab w:val="decimal" w:pos="349"/>
              </w:tabs>
              <w:spacing w:line="480" w:lineRule="auto"/>
              <w:jc w:val="center"/>
              <w:rPr>
                <w:rFonts w:ascii="Times New Roman" w:hAnsi="Times New Roman"/>
              </w:rPr>
            </w:pPr>
            <w:r w:rsidRPr="00842A01">
              <w:rPr>
                <w:rFonts w:ascii="Times New Roman" w:hAnsi="Times New Roman"/>
              </w:rPr>
              <w:t>93.0 (5.5</w:t>
            </w:r>
            <w:r w:rsidR="00C517A9" w:rsidRPr="00842A01">
              <w:rPr>
                <w:rFonts w:ascii="Times New Roman" w:hAnsi="Times New Roman"/>
              </w:rPr>
              <w:t>)</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E9679C7" w14:textId="77777777" w:rsidR="00C517A9" w:rsidRPr="00842A01" w:rsidRDefault="00424E28" w:rsidP="00F20201">
            <w:pPr>
              <w:tabs>
                <w:tab w:val="decimal" w:pos="693"/>
                <w:tab w:val="left" w:pos="835"/>
              </w:tabs>
              <w:spacing w:line="480" w:lineRule="auto"/>
              <w:jc w:val="center"/>
              <w:rPr>
                <w:rFonts w:ascii="Times New Roman" w:hAnsi="Times New Roman"/>
              </w:rPr>
            </w:pPr>
            <w:r w:rsidRPr="00842A01">
              <w:rPr>
                <w:rFonts w:ascii="Times New Roman" w:hAnsi="Times New Roman"/>
              </w:rPr>
              <w:t>80.6 (6.5</w:t>
            </w:r>
            <w:r w:rsidR="00C517A9" w:rsidRPr="00842A01">
              <w:rPr>
                <w:rFonts w:ascii="Times New Roman" w:hAnsi="Times New Roman"/>
              </w:rPr>
              <w:t>)</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DCAC339" w14:textId="77777777" w:rsidR="00C517A9" w:rsidRPr="00842A01" w:rsidRDefault="00AE4E27" w:rsidP="00F20201">
            <w:pPr>
              <w:tabs>
                <w:tab w:val="decimal" w:pos="622"/>
              </w:tabs>
              <w:spacing w:line="480" w:lineRule="auto"/>
              <w:rPr>
                <w:rFonts w:ascii="Times New Roman" w:hAnsi="Times New Roman"/>
              </w:rPr>
            </w:pPr>
            <w:r w:rsidRPr="00842A01">
              <w:rPr>
                <w:rFonts w:ascii="Times New Roman" w:hAnsi="Times New Roman"/>
              </w:rPr>
              <w:t>72.8 (11.8</w:t>
            </w:r>
            <w:r w:rsidR="00C517A9" w:rsidRPr="00842A01">
              <w:rPr>
                <w:rFonts w:ascii="Times New Roman" w:hAnsi="Times New Roman"/>
              </w:rPr>
              <w:t>)</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6B04C2D" w14:textId="78C123EB" w:rsidR="00C517A9" w:rsidRPr="00842A01" w:rsidRDefault="00C517A9" w:rsidP="00F20201">
            <w:pPr>
              <w:tabs>
                <w:tab w:val="decimal" w:pos="174"/>
              </w:tabs>
              <w:spacing w:line="480" w:lineRule="auto"/>
              <w:rPr>
                <w:rFonts w:ascii="Times New Roman" w:hAnsi="Times New Roman"/>
              </w:rPr>
            </w:pPr>
            <w:r w:rsidRPr="00842A01">
              <w:rPr>
                <w:rFonts w:ascii="Times New Roman" w:hAnsi="Times New Roman"/>
              </w:rPr>
              <w:t>&lt;.001**</w:t>
            </w:r>
            <w:r w:rsidR="00E47C65" w:rsidRPr="00842A01">
              <w:rPr>
                <w:rFonts w:ascii="Times New Roman" w:hAnsi="Times New Roman"/>
              </w:rPr>
              <w:t>*</w:t>
            </w:r>
          </w:p>
        </w:tc>
      </w:tr>
      <w:tr w:rsidR="007C2EF5" w:rsidRPr="00842A01" w14:paraId="3B7163D4" w14:textId="77777777" w:rsidTr="007C2EF5">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4C19A55" w14:textId="22441B89" w:rsidR="007C2EF5" w:rsidRPr="00842A01" w:rsidRDefault="007C2EF5" w:rsidP="00F20201">
            <w:pPr>
              <w:spacing w:line="480" w:lineRule="auto"/>
              <w:rPr>
                <w:rFonts w:ascii="Times New Roman" w:hAnsi="Times New Roman"/>
              </w:rPr>
            </w:pPr>
            <w:r w:rsidRPr="00842A01">
              <w:rPr>
                <w:rFonts w:ascii="Times New Roman" w:hAnsi="Times New Roman"/>
              </w:rPr>
              <w:t>RAVLT</w:t>
            </w:r>
            <w:r w:rsidR="0066676C" w:rsidRPr="00842A01">
              <w:rPr>
                <w:rFonts w:ascii="Times New Roman" w:hAnsi="Times New Roman"/>
                <w:vertAlign w:val="superscript"/>
              </w:rPr>
              <w:t>3</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24A9FA6" w14:textId="4BBDAAA7" w:rsidR="007C2EF5" w:rsidRPr="00842A01" w:rsidRDefault="007C2EF5" w:rsidP="00F20201">
            <w:pPr>
              <w:tabs>
                <w:tab w:val="decimal" w:pos="349"/>
              </w:tabs>
              <w:spacing w:line="480" w:lineRule="auto"/>
              <w:jc w:val="center"/>
              <w:rPr>
                <w:rFonts w:ascii="Times New Roman" w:hAnsi="Times New Roman"/>
              </w:rPr>
            </w:pPr>
            <w:r w:rsidRPr="00842A01">
              <w:rPr>
                <w:rFonts w:ascii="Times New Roman" w:hAnsi="Times New Roman"/>
              </w:rPr>
              <w:t>44.0 (8.9)</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3DB64F2" w14:textId="129CEFED" w:rsidR="007C2EF5" w:rsidRPr="00842A01" w:rsidRDefault="007C2EF5" w:rsidP="00F20201">
            <w:pPr>
              <w:tabs>
                <w:tab w:val="decimal" w:pos="693"/>
                <w:tab w:val="left" w:pos="835"/>
              </w:tabs>
              <w:spacing w:line="480" w:lineRule="auto"/>
              <w:jc w:val="center"/>
              <w:rPr>
                <w:rFonts w:ascii="Times New Roman" w:hAnsi="Times New Roman"/>
              </w:rPr>
            </w:pPr>
            <w:r w:rsidRPr="00842A01">
              <w:rPr>
                <w:rFonts w:ascii="Times New Roman" w:hAnsi="Times New Roman"/>
              </w:rPr>
              <w:t>29.2 (7.2)</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2BC4FE3" w14:textId="314B6EEF" w:rsidR="007C2EF5" w:rsidRPr="00842A01" w:rsidRDefault="007C2EF5" w:rsidP="00F20201">
            <w:pPr>
              <w:tabs>
                <w:tab w:val="decimal" w:pos="622"/>
              </w:tabs>
              <w:spacing w:line="480" w:lineRule="auto"/>
              <w:rPr>
                <w:rFonts w:ascii="Times New Roman" w:hAnsi="Times New Roman"/>
              </w:rPr>
            </w:pPr>
            <w:r w:rsidRPr="00842A01">
              <w:rPr>
                <w:rFonts w:ascii="Times New Roman" w:hAnsi="Times New Roman"/>
              </w:rPr>
              <w:t>20.5 (8.1)</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D51853D" w14:textId="6C8FC769" w:rsidR="007C2EF5" w:rsidRPr="00842A01" w:rsidRDefault="007C2EF5" w:rsidP="00F20201">
            <w:pPr>
              <w:tabs>
                <w:tab w:val="decimal" w:pos="174"/>
              </w:tabs>
              <w:spacing w:line="480" w:lineRule="auto"/>
              <w:rPr>
                <w:rFonts w:ascii="Times New Roman" w:hAnsi="Times New Roman"/>
              </w:rPr>
            </w:pPr>
            <w:r w:rsidRPr="00842A01">
              <w:rPr>
                <w:rFonts w:ascii="Times New Roman" w:hAnsi="Times New Roman"/>
              </w:rPr>
              <w:t>&lt;.001**</w:t>
            </w:r>
            <w:r w:rsidR="00E47C65" w:rsidRPr="00842A01">
              <w:rPr>
                <w:rFonts w:ascii="Times New Roman" w:hAnsi="Times New Roman"/>
              </w:rPr>
              <w:t>*</w:t>
            </w:r>
          </w:p>
        </w:tc>
      </w:tr>
      <w:tr w:rsidR="007C2EF5" w:rsidRPr="00842A01" w14:paraId="1AD7A354" w14:textId="77777777" w:rsidTr="007C2EF5">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31FED53" w14:textId="1C529A25" w:rsidR="007C2EF5" w:rsidRPr="00842A01" w:rsidRDefault="007C2EF5" w:rsidP="00F20201">
            <w:pPr>
              <w:spacing w:line="480" w:lineRule="auto"/>
              <w:rPr>
                <w:rFonts w:ascii="Times New Roman" w:hAnsi="Times New Roman"/>
              </w:rPr>
            </w:pPr>
            <w:r w:rsidRPr="00842A01">
              <w:rPr>
                <w:rFonts w:ascii="Times New Roman" w:hAnsi="Times New Roman"/>
              </w:rPr>
              <w:t>Verbal Fluency</w:t>
            </w:r>
            <w:r w:rsidR="0066676C" w:rsidRPr="00842A01">
              <w:rPr>
                <w:rFonts w:ascii="Times New Roman" w:hAnsi="Times New Roman"/>
                <w:vertAlign w:val="superscript"/>
              </w:rPr>
              <w:t>3</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AE062D8" w14:textId="30E4A322" w:rsidR="007C2EF5" w:rsidRPr="00842A01" w:rsidRDefault="007C2EF5" w:rsidP="00F20201">
            <w:pPr>
              <w:tabs>
                <w:tab w:val="decimal" w:pos="349"/>
              </w:tabs>
              <w:spacing w:line="480" w:lineRule="auto"/>
              <w:jc w:val="center"/>
              <w:rPr>
                <w:rFonts w:ascii="Times New Roman" w:hAnsi="Times New Roman"/>
              </w:rPr>
            </w:pPr>
            <w:r w:rsidRPr="00842A01">
              <w:rPr>
                <w:rFonts w:ascii="Times New Roman" w:hAnsi="Times New Roman"/>
              </w:rPr>
              <w:t>11.6 (2.2)</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D3CBC34" w14:textId="446E825A" w:rsidR="007C2EF5" w:rsidRPr="00842A01" w:rsidRDefault="007C2EF5" w:rsidP="00F20201">
            <w:pPr>
              <w:tabs>
                <w:tab w:val="decimal" w:pos="693"/>
                <w:tab w:val="left" w:pos="835"/>
              </w:tabs>
              <w:spacing w:line="480" w:lineRule="auto"/>
              <w:jc w:val="center"/>
              <w:rPr>
                <w:rFonts w:ascii="Times New Roman" w:hAnsi="Times New Roman"/>
              </w:rPr>
            </w:pPr>
            <w:r w:rsidRPr="00842A01">
              <w:rPr>
                <w:rFonts w:ascii="Times New Roman" w:hAnsi="Times New Roman"/>
              </w:rPr>
              <w:t>10.1 (1.8)</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E0CF886" w14:textId="60C29F1E" w:rsidR="007C2EF5" w:rsidRPr="00842A01" w:rsidRDefault="007C2EF5" w:rsidP="00F20201">
            <w:pPr>
              <w:tabs>
                <w:tab w:val="decimal" w:pos="622"/>
              </w:tabs>
              <w:spacing w:line="480" w:lineRule="auto"/>
              <w:rPr>
                <w:rFonts w:ascii="Times New Roman" w:hAnsi="Times New Roman"/>
              </w:rPr>
            </w:pPr>
            <w:r w:rsidRPr="00842A01">
              <w:rPr>
                <w:rFonts w:ascii="Times New Roman" w:hAnsi="Times New Roman"/>
              </w:rPr>
              <w:t>7.0 (2.8)</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2A6FA28" w14:textId="4AEE3291" w:rsidR="007C2EF5" w:rsidRPr="00842A01" w:rsidRDefault="007C2EF5" w:rsidP="00F20201">
            <w:pPr>
              <w:tabs>
                <w:tab w:val="decimal" w:pos="174"/>
              </w:tabs>
              <w:spacing w:line="480" w:lineRule="auto"/>
              <w:rPr>
                <w:rFonts w:ascii="Times New Roman" w:hAnsi="Times New Roman"/>
              </w:rPr>
            </w:pPr>
            <w:r w:rsidRPr="00842A01">
              <w:rPr>
                <w:rFonts w:ascii="Times New Roman" w:hAnsi="Times New Roman"/>
              </w:rPr>
              <w:t>&lt;.001**</w:t>
            </w:r>
            <w:r w:rsidR="00E47C65" w:rsidRPr="00842A01">
              <w:rPr>
                <w:rFonts w:ascii="Times New Roman" w:hAnsi="Times New Roman"/>
              </w:rPr>
              <w:t>*</w:t>
            </w:r>
          </w:p>
        </w:tc>
      </w:tr>
      <w:tr w:rsidR="007C2EF5" w:rsidRPr="00842A01" w14:paraId="668293D8" w14:textId="77777777" w:rsidTr="007C2EF5">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7D8862E" w14:textId="0EA58ED1" w:rsidR="007C2EF5" w:rsidRPr="00842A01" w:rsidRDefault="007C2EF5" w:rsidP="00F20201">
            <w:pPr>
              <w:spacing w:line="480" w:lineRule="auto"/>
              <w:rPr>
                <w:rFonts w:ascii="Times New Roman" w:hAnsi="Times New Roman"/>
              </w:rPr>
            </w:pPr>
            <w:r w:rsidRPr="00842A01">
              <w:rPr>
                <w:rFonts w:ascii="Times New Roman" w:hAnsi="Times New Roman"/>
              </w:rPr>
              <w:t>CDR</w:t>
            </w:r>
            <w:r w:rsidR="0066676C" w:rsidRPr="00842A01">
              <w:rPr>
                <w:rFonts w:ascii="Times New Roman" w:hAnsi="Times New Roman"/>
                <w:vertAlign w:val="superscript"/>
              </w:rPr>
              <w:t>4</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8A04DAF" w14:textId="14C7B91F" w:rsidR="007C2EF5" w:rsidRPr="00842A01" w:rsidRDefault="007C2EF5" w:rsidP="00F20201">
            <w:pPr>
              <w:tabs>
                <w:tab w:val="decimal" w:pos="349"/>
              </w:tabs>
              <w:spacing w:line="480" w:lineRule="auto"/>
              <w:jc w:val="center"/>
              <w:rPr>
                <w:rFonts w:ascii="Times New Roman" w:hAnsi="Times New Roman"/>
              </w:rPr>
            </w:pPr>
            <w:r w:rsidRPr="00842A01">
              <w:rPr>
                <w:rFonts w:ascii="Times New Roman" w:hAnsi="Times New Roman"/>
              </w:rPr>
              <w:t>-</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8D0EFAD" w14:textId="3A032F40" w:rsidR="007C2EF5" w:rsidRPr="00842A01" w:rsidRDefault="007C2EF5" w:rsidP="00F20201">
            <w:pPr>
              <w:tabs>
                <w:tab w:val="decimal" w:pos="693"/>
                <w:tab w:val="left" w:pos="835"/>
              </w:tabs>
              <w:spacing w:line="480" w:lineRule="auto"/>
              <w:jc w:val="center"/>
              <w:rPr>
                <w:rFonts w:ascii="Times New Roman" w:hAnsi="Times New Roman"/>
              </w:rPr>
            </w:pPr>
            <w:r w:rsidRPr="00842A01">
              <w:rPr>
                <w:rFonts w:ascii="Times New Roman" w:hAnsi="Times New Roman"/>
              </w:rPr>
              <w:t>0.5 (0.2)</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287B1C6" w14:textId="533E60BC" w:rsidR="007C2EF5" w:rsidRPr="00842A01" w:rsidRDefault="007C2EF5" w:rsidP="00F20201">
            <w:pPr>
              <w:tabs>
                <w:tab w:val="decimal" w:pos="622"/>
              </w:tabs>
              <w:spacing w:line="480" w:lineRule="auto"/>
              <w:rPr>
                <w:rFonts w:ascii="Times New Roman" w:hAnsi="Times New Roman"/>
              </w:rPr>
            </w:pPr>
            <w:r w:rsidRPr="00842A01">
              <w:rPr>
                <w:rFonts w:ascii="Times New Roman" w:hAnsi="Times New Roman"/>
              </w:rPr>
              <w:t>1.0 (0.5)</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ABBED12" w14:textId="11FDA2DF" w:rsidR="007C2EF5" w:rsidRPr="00842A01" w:rsidRDefault="007C2EF5" w:rsidP="00F20201">
            <w:pPr>
              <w:tabs>
                <w:tab w:val="decimal" w:pos="174"/>
              </w:tabs>
              <w:spacing w:line="480" w:lineRule="auto"/>
              <w:rPr>
                <w:rFonts w:ascii="Times New Roman" w:hAnsi="Times New Roman"/>
              </w:rPr>
            </w:pPr>
            <w:r w:rsidRPr="00842A01">
              <w:rPr>
                <w:rFonts w:ascii="Times New Roman" w:hAnsi="Times New Roman"/>
              </w:rPr>
              <w:t>.002</w:t>
            </w:r>
            <w:r w:rsidR="00E47C65" w:rsidRPr="00842A01">
              <w:rPr>
                <w:rFonts w:ascii="Times New Roman" w:hAnsi="Times New Roman"/>
              </w:rPr>
              <w:t>**</w:t>
            </w:r>
          </w:p>
        </w:tc>
      </w:tr>
      <w:tr w:rsidR="007C2EF5" w:rsidRPr="00842A01" w14:paraId="2009E2FD" w14:textId="77777777" w:rsidTr="007C2EF5">
        <w:trPr>
          <w:trHeight w:val="287"/>
          <w:jc w:val="center"/>
        </w:trPr>
        <w:tc>
          <w:tcPr>
            <w:tcW w:w="14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5C315C7" w14:textId="276C114B" w:rsidR="007C2EF5" w:rsidRPr="00842A01" w:rsidRDefault="007C2EF5" w:rsidP="00F20201">
            <w:pPr>
              <w:spacing w:line="480" w:lineRule="auto"/>
              <w:rPr>
                <w:rFonts w:ascii="Times New Roman" w:hAnsi="Times New Roman"/>
              </w:rPr>
            </w:pPr>
            <w:r w:rsidRPr="00842A01">
              <w:rPr>
                <w:rFonts w:ascii="Times New Roman" w:hAnsi="Times New Roman"/>
              </w:rPr>
              <w:t>NPI</w:t>
            </w:r>
            <w:r w:rsidR="0066676C" w:rsidRPr="00842A01">
              <w:rPr>
                <w:rFonts w:ascii="Times New Roman" w:hAnsi="Times New Roman"/>
                <w:vertAlign w:val="superscript"/>
              </w:rPr>
              <w:t>4</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8271E26" w14:textId="0A1E2009" w:rsidR="007C2EF5" w:rsidRPr="00842A01" w:rsidRDefault="007C2EF5" w:rsidP="00F20201">
            <w:pPr>
              <w:tabs>
                <w:tab w:val="decimal" w:pos="349"/>
              </w:tabs>
              <w:spacing w:line="480" w:lineRule="auto"/>
              <w:jc w:val="center"/>
              <w:rPr>
                <w:rFonts w:ascii="Times New Roman" w:hAnsi="Times New Roman"/>
              </w:rPr>
            </w:pPr>
            <w:r w:rsidRPr="00842A01">
              <w:rPr>
                <w:rFonts w:ascii="Times New Roman" w:hAnsi="Times New Roman"/>
              </w:rPr>
              <w:t>-</w:t>
            </w:r>
          </w:p>
        </w:tc>
        <w:tc>
          <w:tcPr>
            <w:tcW w:w="97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FBC941D" w14:textId="4733CBD8" w:rsidR="007C2EF5" w:rsidRPr="00842A01" w:rsidRDefault="007C2EF5" w:rsidP="00F20201">
            <w:pPr>
              <w:tabs>
                <w:tab w:val="decimal" w:pos="693"/>
                <w:tab w:val="left" w:pos="835"/>
              </w:tabs>
              <w:spacing w:line="480" w:lineRule="auto"/>
              <w:jc w:val="center"/>
              <w:rPr>
                <w:rFonts w:ascii="Times New Roman" w:hAnsi="Times New Roman"/>
              </w:rPr>
            </w:pPr>
            <w:r w:rsidRPr="00842A01">
              <w:rPr>
                <w:rFonts w:ascii="Times New Roman" w:hAnsi="Times New Roman"/>
              </w:rPr>
              <w:t>6.4 (8.7)</w:t>
            </w:r>
          </w:p>
        </w:tc>
        <w:tc>
          <w:tcPr>
            <w:tcW w:w="98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08ADD33" w14:textId="39B19F06" w:rsidR="007C2EF5" w:rsidRPr="00842A01" w:rsidRDefault="007C2EF5" w:rsidP="00F20201">
            <w:pPr>
              <w:tabs>
                <w:tab w:val="decimal" w:pos="622"/>
              </w:tabs>
              <w:spacing w:line="480" w:lineRule="auto"/>
              <w:rPr>
                <w:rFonts w:ascii="Times New Roman" w:hAnsi="Times New Roman"/>
              </w:rPr>
            </w:pPr>
            <w:r w:rsidRPr="00842A01">
              <w:rPr>
                <w:rFonts w:ascii="Times New Roman" w:hAnsi="Times New Roman"/>
              </w:rPr>
              <w:t>17.7 (18.1)</w:t>
            </w:r>
          </w:p>
        </w:tc>
        <w:tc>
          <w:tcPr>
            <w:tcW w:w="60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A54BDFF" w14:textId="07CB599F" w:rsidR="007C2EF5" w:rsidRPr="00842A01" w:rsidRDefault="007C2EF5" w:rsidP="00F20201">
            <w:pPr>
              <w:tabs>
                <w:tab w:val="decimal" w:pos="174"/>
              </w:tabs>
              <w:spacing w:line="480" w:lineRule="auto"/>
              <w:rPr>
                <w:rFonts w:ascii="Times New Roman" w:hAnsi="Times New Roman"/>
              </w:rPr>
            </w:pPr>
            <w:r w:rsidRPr="00842A01">
              <w:rPr>
                <w:rFonts w:ascii="Times New Roman" w:hAnsi="Times New Roman"/>
              </w:rPr>
              <w:t>.009</w:t>
            </w:r>
            <w:r w:rsidR="00E47C65" w:rsidRPr="00842A01">
              <w:rPr>
                <w:rFonts w:ascii="Times New Roman" w:hAnsi="Times New Roman"/>
              </w:rPr>
              <w:t>**</w:t>
            </w:r>
          </w:p>
        </w:tc>
      </w:tr>
      <w:tr w:rsidR="007C2EF5" w:rsidRPr="00842A01" w14:paraId="79F018FE" w14:textId="77777777" w:rsidTr="009423D8">
        <w:trPr>
          <w:trHeight w:val="287"/>
          <w:jc w:val="center"/>
        </w:trPr>
        <w:tc>
          <w:tcPr>
            <w:tcW w:w="1458" w:type="pct"/>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677E4119" w14:textId="14E0D9FA" w:rsidR="007C2EF5" w:rsidRPr="00842A01" w:rsidRDefault="007C2EF5" w:rsidP="00F20201">
            <w:pPr>
              <w:spacing w:line="480" w:lineRule="auto"/>
              <w:rPr>
                <w:rFonts w:ascii="Times New Roman" w:hAnsi="Times New Roman"/>
              </w:rPr>
            </w:pPr>
            <w:r w:rsidRPr="00842A01">
              <w:rPr>
                <w:rFonts w:ascii="Times New Roman" w:hAnsi="Times New Roman"/>
              </w:rPr>
              <w:t>BADL</w:t>
            </w:r>
            <w:r w:rsidR="0066676C" w:rsidRPr="00842A01">
              <w:rPr>
                <w:rFonts w:ascii="Times New Roman" w:hAnsi="Times New Roman"/>
                <w:vertAlign w:val="superscript"/>
              </w:rPr>
              <w:t>4</w:t>
            </w:r>
          </w:p>
        </w:tc>
        <w:tc>
          <w:tcPr>
            <w:tcW w:w="978"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71945071" w14:textId="26CE5799" w:rsidR="007C2EF5" w:rsidRPr="00842A01" w:rsidRDefault="007C2EF5" w:rsidP="00F20201">
            <w:pPr>
              <w:tabs>
                <w:tab w:val="decimal" w:pos="349"/>
              </w:tabs>
              <w:spacing w:line="480" w:lineRule="auto"/>
              <w:jc w:val="center"/>
              <w:rPr>
                <w:rFonts w:ascii="Times New Roman" w:hAnsi="Times New Roman"/>
              </w:rPr>
            </w:pPr>
            <w:r w:rsidRPr="00842A01">
              <w:rPr>
                <w:rFonts w:ascii="Times New Roman" w:hAnsi="Times New Roman"/>
              </w:rPr>
              <w:t>-</w:t>
            </w:r>
          </w:p>
        </w:tc>
        <w:tc>
          <w:tcPr>
            <w:tcW w:w="978"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61DF02A0" w14:textId="465A9C76" w:rsidR="007C2EF5" w:rsidRPr="00842A01" w:rsidRDefault="007C2EF5" w:rsidP="00F20201">
            <w:pPr>
              <w:tabs>
                <w:tab w:val="decimal" w:pos="693"/>
                <w:tab w:val="left" w:pos="835"/>
              </w:tabs>
              <w:spacing w:line="480" w:lineRule="auto"/>
              <w:jc w:val="center"/>
              <w:rPr>
                <w:rFonts w:ascii="Times New Roman" w:hAnsi="Times New Roman"/>
              </w:rPr>
            </w:pPr>
            <w:r w:rsidRPr="00842A01">
              <w:rPr>
                <w:rFonts w:ascii="Times New Roman" w:hAnsi="Times New Roman"/>
              </w:rPr>
              <w:t>1.8 (2.1)</w:t>
            </w:r>
          </w:p>
        </w:tc>
        <w:tc>
          <w:tcPr>
            <w:tcW w:w="981"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43748C77" w14:textId="17CCEA1E" w:rsidR="007C2EF5" w:rsidRPr="00842A01" w:rsidRDefault="007C2EF5" w:rsidP="00F20201">
            <w:pPr>
              <w:tabs>
                <w:tab w:val="decimal" w:pos="622"/>
              </w:tabs>
              <w:spacing w:line="480" w:lineRule="auto"/>
              <w:rPr>
                <w:rFonts w:ascii="Times New Roman" w:hAnsi="Times New Roman"/>
              </w:rPr>
            </w:pPr>
            <w:r w:rsidRPr="00842A01">
              <w:rPr>
                <w:rFonts w:ascii="Times New Roman" w:hAnsi="Times New Roman"/>
              </w:rPr>
              <w:t>7.3 (7.3)</w:t>
            </w:r>
          </w:p>
        </w:tc>
        <w:tc>
          <w:tcPr>
            <w:tcW w:w="605" w:type="pct"/>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693D90FD" w14:textId="1EC68482" w:rsidR="007C2EF5" w:rsidRPr="00842A01" w:rsidRDefault="007C2EF5" w:rsidP="00F20201">
            <w:pPr>
              <w:tabs>
                <w:tab w:val="decimal" w:pos="174"/>
              </w:tabs>
              <w:spacing w:line="480" w:lineRule="auto"/>
              <w:rPr>
                <w:rFonts w:ascii="Times New Roman" w:hAnsi="Times New Roman"/>
              </w:rPr>
            </w:pPr>
            <w:r w:rsidRPr="00842A01">
              <w:rPr>
                <w:rFonts w:ascii="Times New Roman" w:hAnsi="Times New Roman"/>
              </w:rPr>
              <w:t>.002</w:t>
            </w:r>
            <w:r w:rsidR="00E47C65" w:rsidRPr="00842A01">
              <w:rPr>
                <w:rFonts w:ascii="Times New Roman" w:hAnsi="Times New Roman"/>
              </w:rPr>
              <w:t>**</w:t>
            </w:r>
          </w:p>
        </w:tc>
      </w:tr>
    </w:tbl>
    <w:p w14:paraId="6CAD7D85" w14:textId="3F1107D9" w:rsidR="00AC768C" w:rsidRPr="00842A01" w:rsidRDefault="00AC768C" w:rsidP="00AC768C">
      <w:pPr>
        <w:autoSpaceDE w:val="0"/>
        <w:autoSpaceDN w:val="0"/>
        <w:adjustRightInd w:val="0"/>
        <w:spacing w:after="0" w:line="480" w:lineRule="auto"/>
        <w:rPr>
          <w:rFonts w:ascii="Times New Roman" w:hAnsi="Times New Roman" w:cs="Times New Roman"/>
        </w:rPr>
      </w:pPr>
      <w:r w:rsidRPr="00842A01">
        <w:rPr>
          <w:rFonts w:ascii="Times New Roman" w:hAnsi="Times New Roman" w:cs="Times New Roman"/>
        </w:rPr>
        <w:t>* p &lt; .05; ** p &lt; .01</w:t>
      </w:r>
      <w:r w:rsidR="00E47C65" w:rsidRPr="00842A01">
        <w:rPr>
          <w:rFonts w:ascii="Times New Roman" w:hAnsi="Times New Roman" w:cs="Times New Roman"/>
        </w:rPr>
        <w:t>; *** p &lt; .001</w:t>
      </w:r>
    </w:p>
    <w:p w14:paraId="56B55259" w14:textId="77777777" w:rsidR="00C517A9" w:rsidRPr="00842A01" w:rsidRDefault="00C517A9" w:rsidP="00F20201">
      <w:pPr>
        <w:autoSpaceDE w:val="0"/>
        <w:autoSpaceDN w:val="0"/>
        <w:adjustRightInd w:val="0"/>
        <w:spacing w:after="0" w:line="480" w:lineRule="auto"/>
        <w:rPr>
          <w:rFonts w:ascii="Times New Roman" w:hAnsi="Times New Roman" w:cs="Times New Roman"/>
        </w:rPr>
      </w:pPr>
      <w:r w:rsidRPr="00842A01">
        <w:rPr>
          <w:rFonts w:ascii="Times New Roman" w:hAnsi="Times New Roman" w:cs="Times New Roman"/>
          <w:vertAlign w:val="superscript"/>
        </w:rPr>
        <w:t>1</w:t>
      </w:r>
      <w:r w:rsidRPr="00842A01">
        <w:rPr>
          <w:rFonts w:ascii="Times New Roman" w:hAnsi="Times New Roman" w:cs="Times New Roman"/>
        </w:rPr>
        <w:t xml:space="preserve"> Chi-square test of independence</w:t>
      </w:r>
    </w:p>
    <w:p w14:paraId="05250411" w14:textId="77777777" w:rsidR="00C517A9" w:rsidRPr="00842A01" w:rsidRDefault="00C517A9" w:rsidP="00F20201">
      <w:pPr>
        <w:autoSpaceDE w:val="0"/>
        <w:autoSpaceDN w:val="0"/>
        <w:adjustRightInd w:val="0"/>
        <w:spacing w:after="0" w:line="480" w:lineRule="auto"/>
        <w:rPr>
          <w:rFonts w:ascii="Times New Roman" w:hAnsi="Times New Roman" w:cs="Times New Roman"/>
        </w:rPr>
      </w:pPr>
      <w:r w:rsidRPr="00842A01">
        <w:rPr>
          <w:rFonts w:ascii="Times New Roman" w:hAnsi="Times New Roman" w:cs="Times New Roman"/>
          <w:vertAlign w:val="superscript"/>
        </w:rPr>
        <w:t>2</w:t>
      </w:r>
      <w:r w:rsidRPr="00842A01">
        <w:rPr>
          <w:rFonts w:ascii="Times New Roman" w:hAnsi="Times New Roman" w:cs="Times New Roman"/>
        </w:rPr>
        <w:t xml:space="preserve"> Analysis of Variance</w:t>
      </w:r>
    </w:p>
    <w:p w14:paraId="7819AA95" w14:textId="16E29960" w:rsidR="00C517A9" w:rsidRPr="00842A01" w:rsidRDefault="00C517A9" w:rsidP="00F20201">
      <w:pPr>
        <w:autoSpaceDE w:val="0"/>
        <w:autoSpaceDN w:val="0"/>
        <w:adjustRightInd w:val="0"/>
        <w:spacing w:after="0" w:line="480" w:lineRule="auto"/>
        <w:rPr>
          <w:rFonts w:ascii="Times New Roman" w:hAnsi="Times New Roman" w:cs="Times New Roman"/>
        </w:rPr>
      </w:pPr>
      <w:r w:rsidRPr="00842A01">
        <w:rPr>
          <w:rFonts w:ascii="Times New Roman" w:hAnsi="Times New Roman" w:cs="Times New Roman"/>
          <w:vertAlign w:val="superscript"/>
        </w:rPr>
        <w:t>3</w:t>
      </w:r>
      <w:r w:rsidRPr="00842A01">
        <w:rPr>
          <w:rFonts w:ascii="Times New Roman" w:hAnsi="Times New Roman" w:cs="Times New Roman"/>
        </w:rPr>
        <w:t xml:space="preserve"> Kruskal-Wallis test</w:t>
      </w:r>
    </w:p>
    <w:p w14:paraId="0E22B1DF" w14:textId="62B9467E" w:rsidR="0066676C" w:rsidRPr="00842A01" w:rsidRDefault="0066676C" w:rsidP="00F20201">
      <w:pPr>
        <w:autoSpaceDE w:val="0"/>
        <w:autoSpaceDN w:val="0"/>
        <w:adjustRightInd w:val="0"/>
        <w:spacing w:after="0" w:line="480" w:lineRule="auto"/>
        <w:rPr>
          <w:rFonts w:ascii="Times New Roman" w:hAnsi="Times New Roman" w:cs="Times New Roman"/>
        </w:rPr>
      </w:pPr>
      <w:r w:rsidRPr="00842A01">
        <w:rPr>
          <w:rFonts w:ascii="Times New Roman" w:hAnsi="Times New Roman" w:cs="Times New Roman"/>
          <w:vertAlign w:val="superscript"/>
        </w:rPr>
        <w:t xml:space="preserve">4 </w:t>
      </w:r>
      <w:r w:rsidRPr="00842A01">
        <w:rPr>
          <w:rFonts w:ascii="Times New Roman" w:hAnsi="Times New Roman" w:cs="Times New Roman"/>
        </w:rPr>
        <w:t>Mann-Whitney U test</w:t>
      </w:r>
    </w:p>
    <w:p w14:paraId="7B105DC2" w14:textId="00B557AA" w:rsidR="0066676C" w:rsidRPr="00842A01" w:rsidRDefault="0066676C" w:rsidP="00F20201">
      <w:pPr>
        <w:autoSpaceDE w:val="0"/>
        <w:autoSpaceDN w:val="0"/>
        <w:adjustRightInd w:val="0"/>
        <w:spacing w:after="0" w:line="480" w:lineRule="auto"/>
        <w:rPr>
          <w:rFonts w:ascii="Times New Roman" w:hAnsi="Times New Roman" w:cs="Times New Roman"/>
        </w:rPr>
      </w:pPr>
      <w:r w:rsidRPr="00842A01">
        <w:rPr>
          <w:rFonts w:ascii="Times New Roman" w:hAnsi="Times New Roman" w:cs="Times New Roman"/>
        </w:rPr>
        <w:t>Note: Healthy controls were not assessed on CDR, NPI, and BADL</w:t>
      </w:r>
    </w:p>
    <w:p w14:paraId="48F5D94D" w14:textId="77777777" w:rsidR="00C517A9" w:rsidRPr="00842A01" w:rsidRDefault="00C517A9" w:rsidP="004A08EC">
      <w:pPr>
        <w:autoSpaceDE w:val="0"/>
        <w:autoSpaceDN w:val="0"/>
        <w:adjustRightInd w:val="0"/>
        <w:spacing w:line="480" w:lineRule="auto"/>
        <w:rPr>
          <w:rFonts w:ascii="Times New Roman" w:hAnsi="Times New Roman" w:cs="Times New Roman"/>
          <w:color w:val="FF0000"/>
        </w:rPr>
      </w:pPr>
    </w:p>
    <w:p w14:paraId="1A9E2D33" w14:textId="77777777" w:rsidR="00F20201" w:rsidRPr="00842A01" w:rsidRDefault="00F20201">
      <w:pPr>
        <w:rPr>
          <w:rFonts w:ascii="Times New Roman" w:hAnsi="Times New Roman" w:cs="Times New Roman"/>
          <w:b/>
        </w:rPr>
      </w:pPr>
      <w:r w:rsidRPr="00842A01">
        <w:rPr>
          <w:rFonts w:ascii="Times New Roman" w:hAnsi="Times New Roman" w:cs="Times New Roman"/>
          <w:b/>
        </w:rPr>
        <w:br w:type="page"/>
      </w:r>
    </w:p>
    <w:p w14:paraId="4138C948" w14:textId="77777777" w:rsidR="00AC616C" w:rsidRPr="00842A01" w:rsidRDefault="009A7496" w:rsidP="00F20201">
      <w:pPr>
        <w:pStyle w:val="ListParagraph"/>
        <w:numPr>
          <w:ilvl w:val="1"/>
          <w:numId w:val="20"/>
        </w:numPr>
        <w:autoSpaceDE w:val="0"/>
        <w:autoSpaceDN w:val="0"/>
        <w:adjustRightInd w:val="0"/>
        <w:spacing w:line="480" w:lineRule="auto"/>
        <w:jc w:val="both"/>
        <w:rPr>
          <w:rFonts w:ascii="Times New Roman" w:hAnsi="Times New Roman" w:cs="Times New Roman"/>
          <w:b/>
        </w:rPr>
      </w:pPr>
      <w:r w:rsidRPr="00842A01">
        <w:rPr>
          <w:rFonts w:ascii="Times New Roman" w:hAnsi="Times New Roman" w:cs="Times New Roman"/>
          <w:b/>
        </w:rPr>
        <w:lastRenderedPageBreak/>
        <w:t>Comparisons of absolute thalamic subnuclei volumes</w:t>
      </w:r>
    </w:p>
    <w:p w14:paraId="3A8E9B22" w14:textId="03D04C46" w:rsidR="005D27CA" w:rsidRPr="00842A01" w:rsidRDefault="00D73392" w:rsidP="00F20812">
      <w:pPr>
        <w:autoSpaceDE w:val="0"/>
        <w:autoSpaceDN w:val="0"/>
        <w:adjustRightInd w:val="0"/>
        <w:spacing w:line="480" w:lineRule="auto"/>
        <w:jc w:val="both"/>
        <w:rPr>
          <w:rFonts w:ascii="Times New Roman" w:hAnsi="Times New Roman" w:cs="Times New Roman"/>
          <w:color w:val="FF0000"/>
        </w:rPr>
      </w:pPr>
      <w:r w:rsidRPr="00842A01">
        <w:rPr>
          <w:rFonts w:ascii="Times New Roman" w:hAnsi="Times New Roman" w:cs="Times New Roman"/>
        </w:rPr>
        <w:tab/>
      </w:r>
      <w:r w:rsidR="00743A47" w:rsidRPr="00842A01">
        <w:rPr>
          <w:rFonts w:ascii="Times New Roman" w:hAnsi="Times New Roman" w:cs="Times New Roman"/>
        </w:rPr>
        <w:t xml:space="preserve">ANCOVA was conducted to compare absolute </w:t>
      </w:r>
      <w:r w:rsidR="005D27CA" w:rsidRPr="00842A01">
        <w:rPr>
          <w:rFonts w:ascii="Times New Roman" w:hAnsi="Times New Roman" w:cs="Times New Roman"/>
        </w:rPr>
        <w:t xml:space="preserve">bilateral </w:t>
      </w:r>
      <w:r w:rsidR="00743A47" w:rsidRPr="00842A01">
        <w:rPr>
          <w:rFonts w:ascii="Times New Roman" w:hAnsi="Times New Roman" w:cs="Times New Roman"/>
        </w:rPr>
        <w:t xml:space="preserve">thalamic subnuclei volumes between the three diagnostic groups, controlling for gender, age, </w:t>
      </w:r>
      <w:r w:rsidR="005D27CA" w:rsidRPr="00842A01">
        <w:rPr>
          <w:rFonts w:ascii="Times New Roman" w:hAnsi="Times New Roman" w:cs="Times New Roman"/>
        </w:rPr>
        <w:t xml:space="preserve">education, and </w:t>
      </w:r>
      <w:r w:rsidR="00A43872" w:rsidRPr="00842A01">
        <w:rPr>
          <w:rFonts w:ascii="Times New Roman" w:hAnsi="Times New Roman" w:cs="Times New Roman"/>
        </w:rPr>
        <w:t>TIV</w:t>
      </w:r>
      <w:r w:rsidR="00743A47" w:rsidRPr="00842A01">
        <w:rPr>
          <w:rFonts w:ascii="Times New Roman" w:hAnsi="Times New Roman" w:cs="Times New Roman"/>
        </w:rPr>
        <w:t xml:space="preserve">. </w:t>
      </w:r>
      <w:r w:rsidR="00B6113F" w:rsidRPr="00842A01">
        <w:rPr>
          <w:rFonts w:ascii="Times New Roman" w:hAnsi="Times New Roman" w:cs="Times New Roman"/>
        </w:rPr>
        <w:t xml:space="preserve">The three groups differed on subnuclei </w:t>
      </w:r>
      <w:r w:rsidR="006319BB" w:rsidRPr="00842A01">
        <w:rPr>
          <w:rFonts w:ascii="Times New Roman" w:hAnsi="Times New Roman" w:cs="Times New Roman"/>
        </w:rPr>
        <w:t xml:space="preserve">volumes of the anterior </w:t>
      </w:r>
      <w:r w:rsidR="00930574" w:rsidRPr="00842A01">
        <w:rPr>
          <w:rFonts w:ascii="Times New Roman" w:hAnsi="Times New Roman" w:cs="Times New Roman"/>
        </w:rPr>
        <w:t>[</w:t>
      </w:r>
      <w:r w:rsidR="006319BB" w:rsidRPr="00842A01">
        <w:rPr>
          <w:rFonts w:ascii="Times New Roman" w:hAnsi="Times New Roman" w:cs="Times New Roman"/>
        </w:rPr>
        <w:t xml:space="preserve">F(2,58) = 7.14, </w:t>
      </w:r>
      <w:r w:rsidR="00930574" w:rsidRPr="00842A01">
        <w:rPr>
          <w:rFonts w:ascii="Times New Roman" w:hAnsi="Times New Roman" w:cs="Times New Roman"/>
        </w:rPr>
        <w:t>p = .002]</w:t>
      </w:r>
      <w:r w:rsidR="00B6113F" w:rsidRPr="00842A01">
        <w:rPr>
          <w:rFonts w:ascii="Times New Roman" w:hAnsi="Times New Roman" w:cs="Times New Roman"/>
        </w:rPr>
        <w:t>, later</w:t>
      </w:r>
      <w:r w:rsidR="00930574" w:rsidRPr="00842A01">
        <w:rPr>
          <w:rFonts w:ascii="Times New Roman" w:hAnsi="Times New Roman" w:cs="Times New Roman"/>
        </w:rPr>
        <w:t>al [</w:t>
      </w:r>
      <w:r w:rsidR="006319BB" w:rsidRPr="00842A01">
        <w:rPr>
          <w:rFonts w:ascii="Times New Roman" w:hAnsi="Times New Roman" w:cs="Times New Roman"/>
        </w:rPr>
        <w:t xml:space="preserve">F(2,58) = 4.79, </w:t>
      </w:r>
      <w:r w:rsidR="00930574" w:rsidRPr="00842A01">
        <w:rPr>
          <w:rFonts w:ascii="Times New Roman" w:hAnsi="Times New Roman" w:cs="Times New Roman"/>
        </w:rPr>
        <w:t>p = .012]</w:t>
      </w:r>
      <w:r w:rsidR="00B6113F" w:rsidRPr="00842A01">
        <w:rPr>
          <w:rFonts w:ascii="Times New Roman" w:hAnsi="Times New Roman" w:cs="Times New Roman"/>
        </w:rPr>
        <w:t xml:space="preserve">, and posterior </w:t>
      </w:r>
      <w:r w:rsidR="00930574" w:rsidRPr="00842A01">
        <w:rPr>
          <w:rFonts w:ascii="Times New Roman" w:hAnsi="Times New Roman" w:cs="Times New Roman"/>
        </w:rPr>
        <w:t>[</w:t>
      </w:r>
      <w:r w:rsidR="006319BB" w:rsidRPr="00842A01">
        <w:rPr>
          <w:rFonts w:ascii="Times New Roman" w:hAnsi="Times New Roman" w:cs="Times New Roman"/>
        </w:rPr>
        <w:t xml:space="preserve">F(2,58) = 9.03, </w:t>
      </w:r>
      <w:r w:rsidR="00B6113F" w:rsidRPr="00842A01">
        <w:rPr>
          <w:rFonts w:ascii="Times New Roman" w:hAnsi="Times New Roman" w:cs="Times New Roman"/>
        </w:rPr>
        <w:t>p &lt; .001</w:t>
      </w:r>
      <w:r w:rsidR="00930574" w:rsidRPr="00842A01">
        <w:rPr>
          <w:rFonts w:ascii="Times New Roman" w:hAnsi="Times New Roman" w:cs="Times New Roman"/>
        </w:rPr>
        <w:t>]</w:t>
      </w:r>
      <w:r w:rsidR="00B6113F" w:rsidRPr="00842A01">
        <w:rPr>
          <w:rFonts w:ascii="Times New Roman" w:hAnsi="Times New Roman" w:cs="Times New Roman"/>
        </w:rPr>
        <w:t xml:space="preserve"> thalamus. On the other hand, no significant group differences were o</w:t>
      </w:r>
      <w:r w:rsidR="00930574" w:rsidRPr="00842A01">
        <w:rPr>
          <w:rFonts w:ascii="Times New Roman" w:hAnsi="Times New Roman" w:cs="Times New Roman"/>
        </w:rPr>
        <w:t>btained for the whole thalamus [</w:t>
      </w:r>
      <w:r w:rsidR="006319BB" w:rsidRPr="00842A01">
        <w:rPr>
          <w:rFonts w:ascii="Times New Roman" w:hAnsi="Times New Roman" w:cs="Times New Roman"/>
        </w:rPr>
        <w:t xml:space="preserve">F(2,58) = 3.12, </w:t>
      </w:r>
      <w:r w:rsidR="00930574" w:rsidRPr="00842A01">
        <w:rPr>
          <w:rFonts w:ascii="Times New Roman" w:hAnsi="Times New Roman" w:cs="Times New Roman"/>
        </w:rPr>
        <w:t>p = .052], or the ventral [</w:t>
      </w:r>
      <w:r w:rsidR="006319BB" w:rsidRPr="00842A01">
        <w:rPr>
          <w:rFonts w:ascii="Times New Roman" w:hAnsi="Times New Roman" w:cs="Times New Roman"/>
        </w:rPr>
        <w:t xml:space="preserve">F(2,58) = 1.21, </w:t>
      </w:r>
      <w:r w:rsidR="00930574" w:rsidRPr="00842A01">
        <w:rPr>
          <w:rFonts w:ascii="Times New Roman" w:hAnsi="Times New Roman" w:cs="Times New Roman"/>
        </w:rPr>
        <w:t>p = .304], medial [</w:t>
      </w:r>
      <w:r w:rsidR="006319BB" w:rsidRPr="00842A01">
        <w:rPr>
          <w:rFonts w:ascii="Times New Roman" w:hAnsi="Times New Roman" w:cs="Times New Roman"/>
        </w:rPr>
        <w:t xml:space="preserve">F(2,58) = 2.35, </w:t>
      </w:r>
      <w:r w:rsidR="00930574" w:rsidRPr="00842A01">
        <w:rPr>
          <w:rFonts w:ascii="Times New Roman" w:hAnsi="Times New Roman" w:cs="Times New Roman"/>
        </w:rPr>
        <w:t>p = .105], and intralaminar [</w:t>
      </w:r>
      <w:r w:rsidR="006319BB" w:rsidRPr="00842A01">
        <w:rPr>
          <w:rFonts w:ascii="Times New Roman" w:hAnsi="Times New Roman" w:cs="Times New Roman"/>
        </w:rPr>
        <w:t xml:space="preserve">F(2,58) = 0.51, </w:t>
      </w:r>
      <w:r w:rsidR="00930574" w:rsidRPr="00842A01">
        <w:rPr>
          <w:rFonts w:ascii="Times New Roman" w:hAnsi="Times New Roman" w:cs="Times New Roman"/>
        </w:rPr>
        <w:t>p = .606]</w:t>
      </w:r>
      <w:r w:rsidR="00B6113F" w:rsidRPr="00842A01">
        <w:rPr>
          <w:rFonts w:ascii="Times New Roman" w:hAnsi="Times New Roman" w:cs="Times New Roman"/>
        </w:rPr>
        <w:t xml:space="preserve"> volumes.</w:t>
      </w:r>
      <w:r w:rsidR="00181850" w:rsidRPr="00842A01">
        <w:rPr>
          <w:rFonts w:ascii="Times New Roman" w:hAnsi="Times New Roman" w:cs="Times New Roman"/>
        </w:rPr>
        <w:t xml:space="preserve"> </w:t>
      </w:r>
      <w:r w:rsidR="00F20812" w:rsidRPr="00842A01">
        <w:rPr>
          <w:rFonts w:ascii="Times New Roman" w:hAnsi="Times New Roman" w:cs="Times New Roman"/>
        </w:rPr>
        <w:t>Post-hoc tests showed that AD patients had significa</w:t>
      </w:r>
      <w:r w:rsidR="00B6113F" w:rsidRPr="00842A01">
        <w:rPr>
          <w:rFonts w:ascii="Times New Roman" w:hAnsi="Times New Roman" w:cs="Times New Roman"/>
        </w:rPr>
        <w:t xml:space="preserve">ntly smaller anterior </w:t>
      </w:r>
      <w:r w:rsidR="00F20812" w:rsidRPr="00842A01">
        <w:rPr>
          <w:rFonts w:ascii="Times New Roman" w:hAnsi="Times New Roman" w:cs="Times New Roman"/>
        </w:rPr>
        <w:t>and posterior thalamic vol</w:t>
      </w:r>
      <w:r w:rsidR="00B6113F" w:rsidRPr="00842A01">
        <w:rPr>
          <w:rFonts w:ascii="Times New Roman" w:hAnsi="Times New Roman" w:cs="Times New Roman"/>
        </w:rPr>
        <w:t>umes than HC (p = .001</w:t>
      </w:r>
      <w:r w:rsidR="00F20812" w:rsidRPr="00842A01">
        <w:rPr>
          <w:rFonts w:ascii="Times New Roman" w:hAnsi="Times New Roman" w:cs="Times New Roman"/>
        </w:rPr>
        <w:t xml:space="preserve">) </w:t>
      </w:r>
      <w:r w:rsidR="00B6113F" w:rsidRPr="00842A01">
        <w:rPr>
          <w:rFonts w:ascii="Times New Roman" w:hAnsi="Times New Roman" w:cs="Times New Roman"/>
        </w:rPr>
        <w:t>and MCI (p = .008</w:t>
      </w:r>
      <w:r w:rsidR="00F20812" w:rsidRPr="00842A01">
        <w:rPr>
          <w:rFonts w:ascii="Times New Roman" w:hAnsi="Times New Roman" w:cs="Times New Roman"/>
        </w:rPr>
        <w:t xml:space="preserve">). </w:t>
      </w:r>
      <w:r w:rsidR="00B6113F" w:rsidRPr="00842A01">
        <w:rPr>
          <w:rFonts w:ascii="Times New Roman" w:hAnsi="Times New Roman" w:cs="Times New Roman"/>
        </w:rPr>
        <w:t xml:space="preserve">While the lateral and posterior nuclei were significantly smaller in AD compared to HC (p = .004, and p &lt; .001, respectively), these volumes were not significantly different between AD and MCI patients. </w:t>
      </w:r>
      <w:r w:rsidR="00F20812" w:rsidRPr="00842A01">
        <w:rPr>
          <w:rFonts w:ascii="Times New Roman" w:hAnsi="Times New Roman" w:cs="Times New Roman"/>
        </w:rPr>
        <w:t>Anterior, lateral, and posterior thalamic volumes were comparable between HC and MCI. The AD group also displayed smaller o</w:t>
      </w:r>
      <w:r w:rsidR="00285DB9" w:rsidRPr="00842A01">
        <w:rPr>
          <w:rFonts w:ascii="Times New Roman" w:hAnsi="Times New Roman" w:cs="Times New Roman"/>
        </w:rPr>
        <w:t>verall thalamic volume (p = .018</w:t>
      </w:r>
      <w:r w:rsidR="00F20812" w:rsidRPr="00842A01">
        <w:rPr>
          <w:rFonts w:ascii="Times New Roman" w:hAnsi="Times New Roman" w:cs="Times New Roman"/>
        </w:rPr>
        <w:t>) and medial t</w:t>
      </w:r>
      <w:r w:rsidR="00285DB9" w:rsidRPr="00842A01">
        <w:rPr>
          <w:rFonts w:ascii="Times New Roman" w:hAnsi="Times New Roman" w:cs="Times New Roman"/>
        </w:rPr>
        <w:t>halamic volume (p = .03</w:t>
      </w:r>
      <w:r w:rsidR="00F20812" w:rsidRPr="00842A01">
        <w:rPr>
          <w:rFonts w:ascii="Times New Roman" w:hAnsi="Times New Roman" w:cs="Times New Roman"/>
        </w:rPr>
        <w:t xml:space="preserve">6) compared to HC. </w:t>
      </w:r>
    </w:p>
    <w:p w14:paraId="0BE2483D" w14:textId="77777777" w:rsidR="005062B2" w:rsidRPr="00842A01" w:rsidRDefault="005062B2" w:rsidP="004A08EC">
      <w:pPr>
        <w:autoSpaceDE w:val="0"/>
        <w:autoSpaceDN w:val="0"/>
        <w:adjustRightInd w:val="0"/>
        <w:spacing w:line="480" w:lineRule="auto"/>
        <w:jc w:val="both"/>
        <w:rPr>
          <w:rFonts w:ascii="Times New Roman" w:hAnsi="Times New Roman" w:cs="Times New Roman"/>
          <w:color w:val="FF0000"/>
        </w:rPr>
      </w:pPr>
    </w:p>
    <w:p w14:paraId="02F9FA52" w14:textId="77777777" w:rsidR="00D73392" w:rsidRPr="00842A01" w:rsidRDefault="00D73392" w:rsidP="00F20201">
      <w:pPr>
        <w:pStyle w:val="ListParagraph"/>
        <w:numPr>
          <w:ilvl w:val="1"/>
          <w:numId w:val="20"/>
        </w:numPr>
        <w:autoSpaceDE w:val="0"/>
        <w:autoSpaceDN w:val="0"/>
        <w:adjustRightInd w:val="0"/>
        <w:spacing w:line="480" w:lineRule="auto"/>
        <w:jc w:val="both"/>
        <w:rPr>
          <w:rFonts w:ascii="Times New Roman" w:hAnsi="Times New Roman" w:cs="Times New Roman"/>
          <w:b/>
        </w:rPr>
      </w:pPr>
      <w:r w:rsidRPr="00842A01">
        <w:rPr>
          <w:rFonts w:ascii="Times New Roman" w:hAnsi="Times New Roman" w:cs="Times New Roman"/>
          <w:b/>
        </w:rPr>
        <w:t>Comparisons of thalamic subnuclei asymmetry</w:t>
      </w:r>
    </w:p>
    <w:p w14:paraId="4B04CB12" w14:textId="001C7B40" w:rsidR="00A32AF1" w:rsidRPr="00842A01" w:rsidRDefault="00D73392" w:rsidP="00211C48">
      <w:pPr>
        <w:autoSpaceDE w:val="0"/>
        <w:autoSpaceDN w:val="0"/>
        <w:adjustRightInd w:val="0"/>
        <w:spacing w:line="480" w:lineRule="auto"/>
        <w:jc w:val="both"/>
        <w:rPr>
          <w:rFonts w:ascii="Times New Roman" w:hAnsi="Times New Roman" w:cs="Times New Roman"/>
          <w:color w:val="FF0000"/>
        </w:rPr>
      </w:pPr>
      <w:r w:rsidRPr="00842A01">
        <w:rPr>
          <w:rFonts w:ascii="Times New Roman" w:hAnsi="Times New Roman" w:cs="Times New Roman"/>
        </w:rPr>
        <w:tab/>
        <w:t xml:space="preserve">ANCOVA was conducted to compare the degree of subnuclei asymmetry between the three diagnostic groups, controlling for gender, age, education, and </w:t>
      </w:r>
      <w:r w:rsidR="00A43872" w:rsidRPr="00842A01">
        <w:rPr>
          <w:rFonts w:ascii="Times New Roman" w:hAnsi="Times New Roman" w:cs="Times New Roman"/>
        </w:rPr>
        <w:t>TIV</w:t>
      </w:r>
      <w:r w:rsidRPr="00842A01">
        <w:rPr>
          <w:rFonts w:ascii="Times New Roman" w:hAnsi="Times New Roman" w:cs="Times New Roman"/>
        </w:rPr>
        <w:t xml:space="preserve">. The three groups </w:t>
      </w:r>
      <w:r w:rsidR="003A2F6F" w:rsidRPr="00842A01">
        <w:rPr>
          <w:rFonts w:ascii="Times New Roman" w:hAnsi="Times New Roman" w:cs="Times New Roman"/>
        </w:rPr>
        <w:t xml:space="preserve">were comparable on overall thalamic asymmetry, and most individual subnuclei, but </w:t>
      </w:r>
      <w:r w:rsidRPr="00842A01">
        <w:rPr>
          <w:rFonts w:ascii="Times New Roman" w:hAnsi="Times New Roman" w:cs="Times New Roman"/>
        </w:rPr>
        <w:t>differed signific</w:t>
      </w:r>
      <w:r w:rsidR="000F502D" w:rsidRPr="00842A01">
        <w:rPr>
          <w:rFonts w:ascii="Times New Roman" w:hAnsi="Times New Roman" w:cs="Times New Roman"/>
        </w:rPr>
        <w:t>antly on the degree of</w:t>
      </w:r>
      <w:r w:rsidRPr="00842A01">
        <w:rPr>
          <w:rFonts w:ascii="Times New Roman" w:hAnsi="Times New Roman" w:cs="Times New Roman"/>
        </w:rPr>
        <w:t xml:space="preserve"> </w:t>
      </w:r>
      <w:r w:rsidR="00BC6CCC" w:rsidRPr="00842A01">
        <w:rPr>
          <w:rFonts w:ascii="Times New Roman" w:hAnsi="Times New Roman" w:cs="Times New Roman"/>
        </w:rPr>
        <w:t>ventral nuclei</w:t>
      </w:r>
      <w:r w:rsidR="000F502D" w:rsidRPr="00842A01">
        <w:rPr>
          <w:rFonts w:ascii="Times New Roman" w:hAnsi="Times New Roman" w:cs="Times New Roman"/>
        </w:rPr>
        <w:t xml:space="preserve"> asymmetry</w:t>
      </w:r>
      <w:r w:rsidR="00BC6CCC" w:rsidRPr="00842A01">
        <w:rPr>
          <w:rFonts w:ascii="Times New Roman" w:hAnsi="Times New Roman" w:cs="Times New Roman"/>
        </w:rPr>
        <w:t xml:space="preserve"> [F(2, 58) = 4.96, p = .010</w:t>
      </w:r>
      <w:r w:rsidRPr="00842A01">
        <w:rPr>
          <w:rFonts w:ascii="Times New Roman" w:hAnsi="Times New Roman" w:cs="Times New Roman"/>
        </w:rPr>
        <w:t>]</w:t>
      </w:r>
      <w:r w:rsidR="00A17B76" w:rsidRPr="00842A01">
        <w:rPr>
          <w:rFonts w:ascii="Times New Roman" w:hAnsi="Times New Roman" w:cs="Times New Roman"/>
        </w:rPr>
        <w:t>(Fig 2-3)</w:t>
      </w:r>
      <w:r w:rsidRPr="00842A01">
        <w:rPr>
          <w:rFonts w:ascii="Times New Roman" w:hAnsi="Times New Roman" w:cs="Times New Roman"/>
        </w:rPr>
        <w:t xml:space="preserve">. Post-hoc analysis showed greater </w:t>
      </w:r>
      <w:r w:rsidR="00FB5537" w:rsidRPr="00842A01">
        <w:rPr>
          <w:rFonts w:ascii="Times New Roman" w:hAnsi="Times New Roman" w:cs="Times New Roman"/>
        </w:rPr>
        <w:t>ventral thalamic</w:t>
      </w:r>
      <w:r w:rsidRPr="00842A01">
        <w:rPr>
          <w:rFonts w:ascii="Times New Roman" w:hAnsi="Times New Roman" w:cs="Times New Roman"/>
        </w:rPr>
        <w:t xml:space="preserve"> asymmetry</w:t>
      </w:r>
      <w:r w:rsidR="00BC6CCC" w:rsidRPr="00842A01">
        <w:rPr>
          <w:rFonts w:ascii="Times New Roman" w:hAnsi="Times New Roman" w:cs="Times New Roman"/>
        </w:rPr>
        <w:t xml:space="preserve"> in AD compared to MCI (p = .008</w:t>
      </w:r>
      <w:r w:rsidRPr="00842A01">
        <w:rPr>
          <w:rFonts w:ascii="Times New Roman" w:hAnsi="Times New Roman" w:cs="Times New Roman"/>
        </w:rPr>
        <w:t>) and HC (p = .012). Comparisons of the estimated marginal mean s</w:t>
      </w:r>
      <w:r w:rsidR="0039014D" w:rsidRPr="00842A01">
        <w:rPr>
          <w:rFonts w:ascii="Times New Roman" w:hAnsi="Times New Roman" w:cs="Times New Roman"/>
        </w:rPr>
        <w:t>howed</w:t>
      </w:r>
      <w:r w:rsidR="0018650A" w:rsidRPr="00842A01">
        <w:rPr>
          <w:rFonts w:ascii="Times New Roman" w:hAnsi="Times New Roman" w:cs="Times New Roman"/>
        </w:rPr>
        <w:t xml:space="preserve"> </w:t>
      </w:r>
      <w:r w:rsidR="0039014D" w:rsidRPr="00842A01">
        <w:rPr>
          <w:rFonts w:ascii="Times New Roman" w:hAnsi="Times New Roman" w:cs="Times New Roman"/>
        </w:rPr>
        <w:t xml:space="preserve">greatest R&gt;L </w:t>
      </w:r>
      <w:r w:rsidR="000243C8" w:rsidRPr="00842A01">
        <w:rPr>
          <w:rFonts w:ascii="Times New Roman" w:hAnsi="Times New Roman" w:cs="Times New Roman"/>
        </w:rPr>
        <w:t xml:space="preserve">(i.e., greater volume in right hemisphere compared to left hemisphere) </w:t>
      </w:r>
      <w:r w:rsidR="0039014D" w:rsidRPr="00842A01">
        <w:rPr>
          <w:rFonts w:ascii="Times New Roman" w:hAnsi="Times New Roman" w:cs="Times New Roman"/>
        </w:rPr>
        <w:t>ventral</w:t>
      </w:r>
      <w:r w:rsidRPr="00842A01">
        <w:rPr>
          <w:rFonts w:ascii="Times New Roman" w:hAnsi="Times New Roman" w:cs="Times New Roman"/>
        </w:rPr>
        <w:t xml:space="preserve"> asymmetry </w:t>
      </w:r>
      <w:r w:rsidR="00582F67" w:rsidRPr="00842A01">
        <w:rPr>
          <w:rFonts w:ascii="Times New Roman" w:hAnsi="Times New Roman" w:cs="Times New Roman"/>
        </w:rPr>
        <w:t>in AD (mean = -6.32), compared to MCI (mean = -1.14) and HC (mean = -2.30</w:t>
      </w:r>
      <w:r w:rsidRPr="00842A01">
        <w:rPr>
          <w:rFonts w:ascii="Times New Roman" w:hAnsi="Times New Roman" w:cs="Times New Roman"/>
        </w:rPr>
        <w:t>)</w:t>
      </w:r>
      <w:r w:rsidR="008677CA" w:rsidRPr="00842A01">
        <w:rPr>
          <w:rFonts w:ascii="Times New Roman" w:hAnsi="Times New Roman" w:cs="Times New Roman"/>
        </w:rPr>
        <w:t xml:space="preserve"> (Fig 1)</w:t>
      </w:r>
      <w:r w:rsidRPr="00842A01">
        <w:rPr>
          <w:rFonts w:ascii="Times New Roman" w:hAnsi="Times New Roman" w:cs="Times New Roman"/>
        </w:rPr>
        <w:t>.</w:t>
      </w:r>
      <w:r w:rsidR="006F148A" w:rsidRPr="00842A01">
        <w:rPr>
          <w:rFonts w:ascii="Times New Roman" w:hAnsi="Times New Roman" w:cs="Times New Roman"/>
        </w:rPr>
        <w:t xml:space="preserve"> </w:t>
      </w:r>
      <w:r w:rsidRPr="00842A01">
        <w:rPr>
          <w:rFonts w:ascii="Times New Roman" w:hAnsi="Times New Roman" w:cs="Times New Roman"/>
        </w:rPr>
        <w:t xml:space="preserve">The </w:t>
      </w:r>
      <w:r w:rsidR="006F148A" w:rsidRPr="00842A01">
        <w:rPr>
          <w:rFonts w:ascii="Times New Roman" w:hAnsi="Times New Roman" w:cs="Times New Roman"/>
        </w:rPr>
        <w:t>difference in ventral thalamic asymmetry b</w:t>
      </w:r>
      <w:r w:rsidRPr="00842A01">
        <w:rPr>
          <w:rFonts w:ascii="Times New Roman" w:hAnsi="Times New Roman" w:cs="Times New Roman"/>
        </w:rPr>
        <w:t xml:space="preserve">etween MCI and HC did not </w:t>
      </w:r>
      <w:r w:rsidR="006F148A" w:rsidRPr="00842A01">
        <w:rPr>
          <w:rFonts w:ascii="Times New Roman" w:hAnsi="Times New Roman" w:cs="Times New Roman"/>
        </w:rPr>
        <w:t xml:space="preserve">reach statistical significance. Importantly, findings </w:t>
      </w:r>
      <w:r w:rsidR="0039014D" w:rsidRPr="00842A01">
        <w:rPr>
          <w:rFonts w:ascii="Times New Roman" w:hAnsi="Times New Roman" w:cs="Times New Roman"/>
        </w:rPr>
        <w:t>remained significant even after inclusion of total grey matter asymmetry</w:t>
      </w:r>
      <w:r w:rsidR="00582F67" w:rsidRPr="00842A01">
        <w:rPr>
          <w:rFonts w:ascii="Times New Roman" w:hAnsi="Times New Roman" w:cs="Times New Roman"/>
        </w:rPr>
        <w:t xml:space="preserve"> (p = .021</w:t>
      </w:r>
      <w:r w:rsidR="006F148A" w:rsidRPr="00842A01">
        <w:rPr>
          <w:rFonts w:ascii="Times New Roman" w:hAnsi="Times New Roman" w:cs="Times New Roman"/>
        </w:rPr>
        <w:t>)</w:t>
      </w:r>
      <w:r w:rsidR="0039014D" w:rsidRPr="00842A01">
        <w:rPr>
          <w:rFonts w:ascii="Times New Roman" w:hAnsi="Times New Roman" w:cs="Times New Roman"/>
        </w:rPr>
        <w:t xml:space="preserve"> and hippocampal asymmetry</w:t>
      </w:r>
      <w:r w:rsidR="00582F67" w:rsidRPr="00842A01">
        <w:rPr>
          <w:rFonts w:ascii="Times New Roman" w:hAnsi="Times New Roman" w:cs="Times New Roman"/>
        </w:rPr>
        <w:t xml:space="preserve"> (p = .014</w:t>
      </w:r>
      <w:r w:rsidR="006F148A" w:rsidRPr="00842A01">
        <w:rPr>
          <w:rFonts w:ascii="Times New Roman" w:hAnsi="Times New Roman" w:cs="Times New Roman"/>
        </w:rPr>
        <w:t>)</w:t>
      </w:r>
      <w:r w:rsidR="0039014D" w:rsidRPr="00842A01">
        <w:rPr>
          <w:rFonts w:ascii="Times New Roman" w:hAnsi="Times New Roman" w:cs="Times New Roman"/>
        </w:rPr>
        <w:t xml:space="preserve"> as additional covariates in separate ANCOVA models. </w:t>
      </w:r>
    </w:p>
    <w:p w14:paraId="11EF3C9F" w14:textId="77777777" w:rsidR="00A32AF1" w:rsidRPr="00842A01" w:rsidRDefault="00211C48" w:rsidP="004A08EC">
      <w:pPr>
        <w:spacing w:line="480" w:lineRule="auto"/>
        <w:jc w:val="both"/>
        <w:rPr>
          <w:rFonts w:ascii="Times New Roman" w:hAnsi="Times New Roman" w:cs="Times New Roman"/>
          <w:color w:val="FF0000"/>
        </w:rPr>
      </w:pPr>
      <w:r w:rsidRPr="00842A01">
        <w:rPr>
          <w:noProof/>
          <w:color w:val="FF0000"/>
          <w:sz w:val="16"/>
          <w:szCs w:val="16"/>
          <w:lang w:eastAsia="en-SG"/>
        </w:rPr>
        <w:lastRenderedPageBreak/>
        <w:drawing>
          <wp:inline distT="0" distB="0" distL="0" distR="0" wp14:anchorId="30469AB0" wp14:editId="1FA92C01">
            <wp:extent cx="5713476" cy="3959352"/>
            <wp:effectExtent l="0" t="0" r="1905" b="31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vent.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13476" cy="3959352"/>
                    </a:xfrm>
                    <a:prstGeom prst="rect">
                      <a:avLst/>
                    </a:prstGeom>
                  </pic:spPr>
                </pic:pic>
              </a:graphicData>
            </a:graphic>
          </wp:inline>
        </w:drawing>
      </w:r>
    </w:p>
    <w:p w14:paraId="22BC3B8B" w14:textId="77777777" w:rsidR="001337A4" w:rsidRPr="00842A01" w:rsidRDefault="00A32AF1" w:rsidP="004A08EC">
      <w:pPr>
        <w:spacing w:line="480" w:lineRule="auto"/>
        <w:jc w:val="both"/>
        <w:rPr>
          <w:rFonts w:ascii="Times New Roman" w:hAnsi="Times New Roman" w:cs="Times New Roman"/>
        </w:rPr>
      </w:pPr>
      <w:r w:rsidRPr="00842A01">
        <w:rPr>
          <w:rFonts w:ascii="Times New Roman" w:hAnsi="Times New Roman" w:cs="Times New Roman"/>
          <w:b/>
        </w:rPr>
        <w:t>Fig</w:t>
      </w:r>
      <w:r w:rsidR="00A75471" w:rsidRPr="00842A01">
        <w:rPr>
          <w:rFonts w:ascii="Times New Roman" w:hAnsi="Times New Roman" w:cs="Times New Roman"/>
          <w:b/>
        </w:rPr>
        <w:t>ure</w:t>
      </w:r>
      <w:r w:rsidRPr="00842A01">
        <w:rPr>
          <w:rFonts w:ascii="Times New Roman" w:hAnsi="Times New Roman" w:cs="Times New Roman"/>
          <w:b/>
        </w:rPr>
        <w:t xml:space="preserve"> 2. </w:t>
      </w:r>
      <w:r w:rsidRPr="00842A01">
        <w:rPr>
          <w:rFonts w:ascii="Times New Roman" w:hAnsi="Times New Roman" w:cs="Times New Roman"/>
        </w:rPr>
        <w:t>Asymmetrical ventral thalamus in a p</w:t>
      </w:r>
      <w:r w:rsidR="000B6EC3" w:rsidRPr="00842A01">
        <w:rPr>
          <w:rFonts w:ascii="Times New Roman" w:hAnsi="Times New Roman" w:cs="Times New Roman"/>
        </w:rPr>
        <w:t>atient with Alzheimer’s disease</w:t>
      </w:r>
      <w:r w:rsidR="001337A4" w:rsidRPr="00842A01">
        <w:rPr>
          <w:rFonts w:ascii="Times New Roman" w:hAnsi="Times New Roman" w:cs="Times New Roman"/>
        </w:rPr>
        <w:t xml:space="preserve">. </w:t>
      </w:r>
    </w:p>
    <w:p w14:paraId="21F56A64" w14:textId="1F9A7BAC" w:rsidR="00490DDD" w:rsidRPr="00842A01" w:rsidRDefault="001337A4" w:rsidP="004A08EC">
      <w:pPr>
        <w:spacing w:line="480" w:lineRule="auto"/>
        <w:jc w:val="both"/>
        <w:rPr>
          <w:rFonts w:ascii="Times New Roman" w:hAnsi="Times New Roman" w:cs="Times New Roman"/>
        </w:rPr>
      </w:pPr>
      <w:r w:rsidRPr="00842A01">
        <w:rPr>
          <w:rFonts w:ascii="Times New Roman" w:hAnsi="Times New Roman" w:cs="Times New Roman"/>
        </w:rPr>
        <w:t>Note: Light blue represents the rest of the non-ventral thalamus</w:t>
      </w:r>
      <w:r w:rsidR="001A668B" w:rsidRPr="00842A01">
        <w:rPr>
          <w:rFonts w:ascii="Times New Roman" w:hAnsi="Times New Roman" w:cs="Times New Roman"/>
        </w:rPr>
        <w:t xml:space="preserve"> </w:t>
      </w:r>
    </w:p>
    <w:p w14:paraId="5EFF54DE" w14:textId="77777777" w:rsidR="00DE68B2" w:rsidRPr="00842A01" w:rsidRDefault="00C97379" w:rsidP="00834F7A">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p>
    <w:p w14:paraId="0467C0FD" w14:textId="7210EA8C" w:rsidR="00EC2F9C" w:rsidRPr="00842A01" w:rsidRDefault="00DE68B2" w:rsidP="00834F7A">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8675B4" w:rsidRPr="00842A01">
        <w:rPr>
          <w:rFonts w:ascii="Times New Roman" w:hAnsi="Times New Roman" w:cs="Times New Roman"/>
        </w:rPr>
        <w:t xml:space="preserve">Given the significance of </w:t>
      </w:r>
      <w:r w:rsidR="00677644" w:rsidRPr="00842A01">
        <w:rPr>
          <w:rFonts w:ascii="Times New Roman" w:hAnsi="Times New Roman" w:cs="Times New Roman"/>
        </w:rPr>
        <w:t xml:space="preserve">ventral </w:t>
      </w:r>
      <w:r w:rsidR="008675B4" w:rsidRPr="00842A01">
        <w:rPr>
          <w:rFonts w:ascii="Times New Roman" w:hAnsi="Times New Roman" w:cs="Times New Roman"/>
        </w:rPr>
        <w:t>thalamic asymmetry</w:t>
      </w:r>
      <w:r w:rsidR="00C54C57" w:rsidRPr="00842A01">
        <w:rPr>
          <w:rFonts w:ascii="Times New Roman" w:hAnsi="Times New Roman" w:cs="Times New Roman"/>
        </w:rPr>
        <w:t>, we examined each subnuclei within</w:t>
      </w:r>
      <w:r w:rsidR="00677644" w:rsidRPr="00842A01">
        <w:rPr>
          <w:rFonts w:ascii="Times New Roman" w:hAnsi="Times New Roman" w:cs="Times New Roman"/>
        </w:rPr>
        <w:t xml:space="preserve"> the ventral </w:t>
      </w:r>
      <w:r w:rsidR="00CD2271" w:rsidRPr="00842A01">
        <w:rPr>
          <w:rFonts w:ascii="Times New Roman" w:hAnsi="Times New Roman" w:cs="Times New Roman"/>
        </w:rPr>
        <w:t>region</w:t>
      </w:r>
      <w:r w:rsidR="00677644" w:rsidRPr="00842A01">
        <w:rPr>
          <w:rFonts w:ascii="Times New Roman" w:hAnsi="Times New Roman" w:cs="Times New Roman"/>
        </w:rPr>
        <w:t xml:space="preserve">, namely the ventral anterior (VA), ventral anterior magnocellular (VAMC), ventral lateral anterior (VLA), ventral lateral posterior (VLP), ventral posterolateral (VPL), and ventromedial (VM) subnuclei. Within the ventral thalamus, </w:t>
      </w:r>
      <w:r w:rsidR="00BA6D0F" w:rsidRPr="00842A01">
        <w:rPr>
          <w:rFonts w:ascii="Times New Roman" w:hAnsi="Times New Roman" w:cs="Times New Roman"/>
        </w:rPr>
        <w:t xml:space="preserve">group differences were restricted to specific subnuclei, namely the VM </w:t>
      </w:r>
      <w:r w:rsidR="00DE05CA" w:rsidRPr="00842A01">
        <w:rPr>
          <w:rFonts w:ascii="Times New Roman" w:hAnsi="Times New Roman" w:cs="Times New Roman"/>
        </w:rPr>
        <w:t>[F(2, 58) =  6.96, p = .002]</w:t>
      </w:r>
      <w:r w:rsidR="00345AD0" w:rsidRPr="00842A01">
        <w:rPr>
          <w:rFonts w:ascii="Times New Roman" w:hAnsi="Times New Roman" w:cs="Times New Roman"/>
        </w:rPr>
        <w:t xml:space="preserve">, VLP </w:t>
      </w:r>
      <w:r w:rsidR="00DE05CA" w:rsidRPr="00842A01">
        <w:rPr>
          <w:rFonts w:ascii="Times New Roman" w:hAnsi="Times New Roman" w:cs="Times New Roman"/>
        </w:rPr>
        <w:t>[F(2, 58) = 5.36, p = .007]</w:t>
      </w:r>
      <w:r w:rsidR="00345AD0" w:rsidRPr="00842A01">
        <w:rPr>
          <w:rFonts w:ascii="Times New Roman" w:hAnsi="Times New Roman" w:cs="Times New Roman"/>
        </w:rPr>
        <w:t>, and VPL</w:t>
      </w:r>
      <w:r w:rsidR="00DE05CA" w:rsidRPr="00842A01">
        <w:rPr>
          <w:rFonts w:ascii="Times New Roman" w:hAnsi="Times New Roman" w:cs="Times New Roman"/>
        </w:rPr>
        <w:t xml:space="preserve"> [F(2, 58) =  3.81, p = .028]</w:t>
      </w:r>
      <w:r w:rsidR="00345AD0" w:rsidRPr="00842A01">
        <w:rPr>
          <w:rFonts w:ascii="Times New Roman" w:hAnsi="Times New Roman" w:cs="Times New Roman"/>
        </w:rPr>
        <w:t xml:space="preserve"> </w:t>
      </w:r>
      <w:r w:rsidR="00BA6D0F" w:rsidRPr="00842A01">
        <w:rPr>
          <w:rFonts w:ascii="Times New Roman" w:hAnsi="Times New Roman" w:cs="Times New Roman"/>
        </w:rPr>
        <w:t xml:space="preserve">thalamic </w:t>
      </w:r>
      <w:r w:rsidR="000D03B8" w:rsidRPr="00842A01">
        <w:rPr>
          <w:rFonts w:ascii="Times New Roman" w:hAnsi="Times New Roman" w:cs="Times New Roman"/>
        </w:rPr>
        <w:t>sub</w:t>
      </w:r>
      <w:r w:rsidR="000A0F2F" w:rsidRPr="00842A01">
        <w:rPr>
          <w:rFonts w:ascii="Times New Roman" w:hAnsi="Times New Roman" w:cs="Times New Roman"/>
        </w:rPr>
        <w:t>nuclei</w:t>
      </w:r>
      <w:r w:rsidR="00345AD0" w:rsidRPr="00842A01">
        <w:rPr>
          <w:rFonts w:ascii="Times New Roman" w:hAnsi="Times New Roman" w:cs="Times New Roman"/>
        </w:rPr>
        <w:t xml:space="preserve">. </w:t>
      </w:r>
      <w:r w:rsidR="00EC2F9C" w:rsidRPr="00842A01">
        <w:rPr>
          <w:rFonts w:ascii="Times New Roman" w:hAnsi="Times New Roman" w:cs="Times New Roman"/>
        </w:rPr>
        <w:t xml:space="preserve">The </w:t>
      </w:r>
      <w:r w:rsidR="00065E6E" w:rsidRPr="00842A01">
        <w:rPr>
          <w:rFonts w:ascii="Times New Roman" w:hAnsi="Times New Roman" w:cs="Times New Roman"/>
        </w:rPr>
        <w:t xml:space="preserve">significance of these contrasts remained after </w:t>
      </w:r>
      <w:r w:rsidR="00EC2F9C" w:rsidRPr="00842A01">
        <w:rPr>
          <w:rFonts w:ascii="Times New Roman" w:hAnsi="Times New Roman" w:cs="Times New Roman"/>
        </w:rPr>
        <w:t>inclusion of total grey ma</w:t>
      </w:r>
      <w:r w:rsidR="007E6811" w:rsidRPr="00842A01">
        <w:rPr>
          <w:rFonts w:ascii="Times New Roman" w:hAnsi="Times New Roman" w:cs="Times New Roman"/>
        </w:rPr>
        <w:t xml:space="preserve">tter asymmetry or </w:t>
      </w:r>
      <w:r w:rsidR="00EC2F9C" w:rsidRPr="00842A01">
        <w:rPr>
          <w:rFonts w:ascii="Times New Roman" w:hAnsi="Times New Roman" w:cs="Times New Roman"/>
        </w:rPr>
        <w:t>hippocampal asymmetry as additional covariates in separate analyses.</w:t>
      </w:r>
    </w:p>
    <w:p w14:paraId="1B635273" w14:textId="77777777" w:rsidR="005307C0" w:rsidRPr="00842A01" w:rsidRDefault="005307C0" w:rsidP="00834F7A">
      <w:pPr>
        <w:autoSpaceDE w:val="0"/>
        <w:autoSpaceDN w:val="0"/>
        <w:adjustRightInd w:val="0"/>
        <w:spacing w:line="480" w:lineRule="auto"/>
        <w:jc w:val="both"/>
        <w:rPr>
          <w:rFonts w:ascii="Times New Roman" w:hAnsi="Times New Roman" w:cs="Times New Roman"/>
          <w:color w:val="FF0000"/>
        </w:rPr>
      </w:pPr>
      <w:r w:rsidRPr="00842A01">
        <w:rPr>
          <w:rFonts w:ascii="Times New Roman" w:hAnsi="Times New Roman" w:cs="Times New Roman"/>
          <w:noProof/>
          <w:color w:val="FF0000"/>
          <w:lang w:eastAsia="en-SG"/>
        </w:rPr>
        <w:lastRenderedPageBreak/>
        <w:drawing>
          <wp:inline distT="0" distB="0" distL="0" distR="0" wp14:anchorId="3809E294" wp14:editId="6E4614CA">
            <wp:extent cx="5731510" cy="3046095"/>
            <wp:effectExtent l="0" t="0" r="254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sym_boxplots.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3046095"/>
                    </a:xfrm>
                    <a:prstGeom prst="rect">
                      <a:avLst/>
                    </a:prstGeom>
                  </pic:spPr>
                </pic:pic>
              </a:graphicData>
            </a:graphic>
          </wp:inline>
        </w:drawing>
      </w:r>
    </w:p>
    <w:p w14:paraId="4C5EC385" w14:textId="7CDE932D" w:rsidR="00211C48" w:rsidRPr="00842A01" w:rsidRDefault="00FC6504" w:rsidP="004E2F6A">
      <w:pPr>
        <w:autoSpaceDE w:val="0"/>
        <w:autoSpaceDN w:val="0"/>
        <w:adjustRightInd w:val="0"/>
        <w:spacing w:line="480" w:lineRule="auto"/>
        <w:jc w:val="both"/>
        <w:rPr>
          <w:rFonts w:ascii="Times New Roman" w:hAnsi="Times New Roman" w:cs="Times New Roman"/>
          <w:noProof/>
          <w:lang w:eastAsia="en-SG"/>
        </w:rPr>
      </w:pPr>
      <w:r w:rsidRPr="00842A01">
        <w:rPr>
          <w:rFonts w:ascii="Times New Roman" w:hAnsi="Times New Roman" w:cs="Times New Roman"/>
          <w:b/>
          <w:noProof/>
          <w:lang w:eastAsia="en-SG"/>
        </w:rPr>
        <w:t>Figure 3</w:t>
      </w:r>
      <w:r w:rsidR="00A32AF1" w:rsidRPr="00842A01">
        <w:rPr>
          <w:rFonts w:ascii="Times New Roman" w:hAnsi="Times New Roman" w:cs="Times New Roman"/>
          <w:b/>
          <w:noProof/>
          <w:lang w:eastAsia="en-SG"/>
        </w:rPr>
        <w:t xml:space="preserve">. </w:t>
      </w:r>
      <w:r w:rsidR="00FC754C" w:rsidRPr="00842A01">
        <w:rPr>
          <w:rFonts w:ascii="Times New Roman" w:hAnsi="Times New Roman" w:cs="Times New Roman"/>
          <w:noProof/>
          <w:lang w:eastAsia="en-SG"/>
        </w:rPr>
        <w:t xml:space="preserve">Boxplots comparing degree of thalamic subnuclei asymmetry in </w:t>
      </w:r>
      <w:r w:rsidR="00B602A9" w:rsidRPr="00842A01">
        <w:rPr>
          <w:rFonts w:ascii="Times New Roman" w:hAnsi="Times New Roman" w:cs="Times New Roman"/>
          <w:noProof/>
          <w:lang w:eastAsia="en-SG"/>
        </w:rPr>
        <w:t>healthy controls (</w:t>
      </w:r>
      <w:r w:rsidR="00FC754C" w:rsidRPr="00842A01">
        <w:rPr>
          <w:rFonts w:ascii="Times New Roman" w:hAnsi="Times New Roman" w:cs="Times New Roman"/>
          <w:noProof/>
          <w:lang w:eastAsia="en-SG"/>
        </w:rPr>
        <w:t>HC</w:t>
      </w:r>
      <w:r w:rsidR="00B602A9" w:rsidRPr="00842A01">
        <w:rPr>
          <w:rFonts w:ascii="Times New Roman" w:hAnsi="Times New Roman" w:cs="Times New Roman"/>
          <w:noProof/>
          <w:lang w:eastAsia="en-SG"/>
        </w:rPr>
        <w:t>)</w:t>
      </w:r>
      <w:r w:rsidR="00FC754C" w:rsidRPr="00842A01">
        <w:rPr>
          <w:rFonts w:ascii="Times New Roman" w:hAnsi="Times New Roman" w:cs="Times New Roman"/>
          <w:noProof/>
          <w:lang w:eastAsia="en-SG"/>
        </w:rPr>
        <w:t xml:space="preserve">, </w:t>
      </w:r>
      <w:r w:rsidR="00B602A9" w:rsidRPr="00842A01">
        <w:rPr>
          <w:rFonts w:ascii="Times New Roman" w:hAnsi="Times New Roman" w:cs="Times New Roman"/>
          <w:noProof/>
          <w:lang w:eastAsia="en-SG"/>
        </w:rPr>
        <w:t>mild cognitive impairment (</w:t>
      </w:r>
      <w:r w:rsidR="00FC754C" w:rsidRPr="00842A01">
        <w:rPr>
          <w:rFonts w:ascii="Times New Roman" w:hAnsi="Times New Roman" w:cs="Times New Roman"/>
          <w:noProof/>
          <w:lang w:eastAsia="en-SG"/>
        </w:rPr>
        <w:t>MCI</w:t>
      </w:r>
      <w:r w:rsidR="00B602A9" w:rsidRPr="00842A01">
        <w:rPr>
          <w:rFonts w:ascii="Times New Roman" w:hAnsi="Times New Roman" w:cs="Times New Roman"/>
          <w:noProof/>
          <w:lang w:eastAsia="en-SG"/>
        </w:rPr>
        <w:t>)</w:t>
      </w:r>
      <w:r w:rsidR="00FC754C" w:rsidRPr="00842A01">
        <w:rPr>
          <w:rFonts w:ascii="Times New Roman" w:hAnsi="Times New Roman" w:cs="Times New Roman"/>
          <w:noProof/>
          <w:lang w:eastAsia="en-SG"/>
        </w:rPr>
        <w:t xml:space="preserve">, and </w:t>
      </w:r>
      <w:r w:rsidR="00B602A9" w:rsidRPr="00842A01">
        <w:rPr>
          <w:rFonts w:ascii="Times New Roman" w:hAnsi="Times New Roman" w:cs="Times New Roman"/>
          <w:noProof/>
          <w:lang w:eastAsia="en-SG"/>
        </w:rPr>
        <w:t>Alzheimer’s disease (</w:t>
      </w:r>
      <w:r w:rsidR="00FC754C" w:rsidRPr="00842A01">
        <w:rPr>
          <w:rFonts w:ascii="Times New Roman" w:hAnsi="Times New Roman" w:cs="Times New Roman"/>
          <w:noProof/>
          <w:lang w:eastAsia="en-SG"/>
        </w:rPr>
        <w:t>AD</w:t>
      </w:r>
      <w:r w:rsidR="00B602A9" w:rsidRPr="00842A01">
        <w:rPr>
          <w:rFonts w:ascii="Times New Roman" w:hAnsi="Times New Roman" w:cs="Times New Roman"/>
          <w:noProof/>
          <w:lang w:eastAsia="en-SG"/>
        </w:rPr>
        <w:t>). Patients with AD</w:t>
      </w:r>
      <w:r w:rsidR="00FC754C" w:rsidRPr="00842A01">
        <w:rPr>
          <w:rFonts w:ascii="Times New Roman" w:hAnsi="Times New Roman" w:cs="Times New Roman"/>
          <w:noProof/>
          <w:lang w:eastAsia="en-SG"/>
        </w:rPr>
        <w:t xml:space="preserve"> displayed significantly smaller left than right ventral nuclei.</w:t>
      </w:r>
      <w:r w:rsidR="00930574" w:rsidRPr="00842A01">
        <w:rPr>
          <w:rFonts w:ascii="Times New Roman" w:hAnsi="Times New Roman" w:cs="Times New Roman"/>
          <w:noProof/>
          <w:lang w:eastAsia="en-SG"/>
        </w:rPr>
        <w:t xml:space="preserve"> </w:t>
      </w:r>
    </w:p>
    <w:p w14:paraId="01C112AC" w14:textId="03D303B1" w:rsidR="00930574" w:rsidRPr="00842A01" w:rsidRDefault="00930574" w:rsidP="004E2F6A">
      <w:pPr>
        <w:autoSpaceDE w:val="0"/>
        <w:autoSpaceDN w:val="0"/>
        <w:adjustRightInd w:val="0"/>
        <w:spacing w:line="480" w:lineRule="auto"/>
        <w:jc w:val="both"/>
        <w:rPr>
          <w:rFonts w:ascii="Times New Roman" w:hAnsi="Times New Roman" w:cs="Times New Roman"/>
          <w:noProof/>
          <w:lang w:eastAsia="en-SG"/>
        </w:rPr>
      </w:pPr>
      <w:r w:rsidRPr="00842A01">
        <w:rPr>
          <w:rFonts w:ascii="Times New Roman" w:hAnsi="Times New Roman" w:cs="Times New Roman"/>
          <w:noProof/>
          <w:lang w:eastAsia="en-SG"/>
        </w:rPr>
        <w:t xml:space="preserve">Note: The x-axis represents the laterality index (LI), whereby negative scores indicate greater right than left volume, and positive scores indicate greater left than right volume. </w:t>
      </w:r>
      <w:r w:rsidR="00A43872" w:rsidRPr="00842A01">
        <w:rPr>
          <w:rFonts w:ascii="Times New Roman" w:hAnsi="Times New Roman" w:cs="Times New Roman"/>
          <w:noProof/>
          <w:lang w:eastAsia="en-SG"/>
        </w:rPr>
        <w:t xml:space="preserve">LI are residual corrected for gender, age, years of educaation, and total intracranial volume </w:t>
      </w:r>
      <w:r w:rsidRPr="00842A01">
        <w:rPr>
          <w:rFonts w:ascii="Times New Roman" w:hAnsi="Times New Roman" w:cs="Times New Roman"/>
          <w:noProof/>
          <w:lang w:eastAsia="en-SG"/>
        </w:rPr>
        <w:t xml:space="preserve">*Statistical significance at p &lt; .05. </w:t>
      </w:r>
    </w:p>
    <w:p w14:paraId="6A7F9291" w14:textId="77777777" w:rsidR="004E2F6A" w:rsidRPr="00842A01" w:rsidRDefault="004E2F6A" w:rsidP="004E2F6A">
      <w:pPr>
        <w:autoSpaceDE w:val="0"/>
        <w:autoSpaceDN w:val="0"/>
        <w:adjustRightInd w:val="0"/>
        <w:spacing w:line="480" w:lineRule="auto"/>
        <w:jc w:val="both"/>
        <w:rPr>
          <w:rFonts w:ascii="Times New Roman" w:hAnsi="Times New Roman" w:cs="Times New Roman"/>
          <w:noProof/>
          <w:lang w:eastAsia="en-SG"/>
        </w:rPr>
      </w:pPr>
    </w:p>
    <w:p w14:paraId="3B26A8EE" w14:textId="77777777" w:rsidR="001574DF" w:rsidRPr="00842A01" w:rsidRDefault="00227298" w:rsidP="00A76F03">
      <w:pPr>
        <w:pStyle w:val="ListParagraph"/>
        <w:numPr>
          <w:ilvl w:val="1"/>
          <w:numId w:val="20"/>
        </w:numPr>
        <w:autoSpaceDE w:val="0"/>
        <w:autoSpaceDN w:val="0"/>
        <w:adjustRightInd w:val="0"/>
        <w:spacing w:line="480" w:lineRule="auto"/>
        <w:rPr>
          <w:rFonts w:ascii="Times New Roman" w:hAnsi="Times New Roman" w:cs="Times New Roman"/>
          <w:b/>
        </w:rPr>
      </w:pPr>
      <w:r w:rsidRPr="00842A01">
        <w:rPr>
          <w:rFonts w:ascii="Times New Roman" w:hAnsi="Times New Roman" w:cs="Times New Roman"/>
          <w:b/>
        </w:rPr>
        <w:t>Clinical associations of thalamic subnuclei asymmetry</w:t>
      </w:r>
    </w:p>
    <w:p w14:paraId="552B8DA6" w14:textId="45D7029B" w:rsidR="007E6811" w:rsidRPr="00842A01" w:rsidRDefault="002A0D03" w:rsidP="007E6811">
      <w:pPr>
        <w:spacing w:line="480" w:lineRule="auto"/>
        <w:jc w:val="both"/>
        <w:rPr>
          <w:rFonts w:ascii="Times New Roman" w:hAnsi="Times New Roman" w:cs="Times New Roman"/>
          <w:color w:val="FF0000"/>
        </w:rPr>
      </w:pPr>
      <w:r w:rsidRPr="00842A01">
        <w:rPr>
          <w:rFonts w:ascii="Times New Roman" w:hAnsi="Times New Roman" w:cs="Times New Roman"/>
        </w:rPr>
        <w:tab/>
      </w:r>
      <w:r w:rsidR="009F0D36" w:rsidRPr="00842A01">
        <w:rPr>
          <w:rFonts w:ascii="Times New Roman" w:hAnsi="Times New Roman" w:cs="Times New Roman"/>
        </w:rPr>
        <w:t xml:space="preserve">Multiple regression analysis was conducted to examine the associations of subnuclei asymmetry with </w:t>
      </w:r>
      <w:r w:rsidR="00005BA4" w:rsidRPr="00842A01">
        <w:rPr>
          <w:rFonts w:ascii="Times New Roman" w:hAnsi="Times New Roman" w:cs="Times New Roman"/>
        </w:rPr>
        <w:t>clinical measures of disease severity, cognitive performance,</w:t>
      </w:r>
      <w:r w:rsidR="009F0D36" w:rsidRPr="00842A01">
        <w:rPr>
          <w:rFonts w:ascii="Times New Roman" w:hAnsi="Times New Roman" w:cs="Times New Roman"/>
        </w:rPr>
        <w:t xml:space="preserve"> and neuropsychiatric symptoms</w:t>
      </w:r>
      <w:r w:rsidR="006F6CE3" w:rsidRPr="00842A01">
        <w:rPr>
          <w:rFonts w:ascii="Times New Roman" w:hAnsi="Times New Roman" w:cs="Times New Roman"/>
        </w:rPr>
        <w:t>,</w:t>
      </w:r>
      <w:r w:rsidR="00BC2C51" w:rsidRPr="00842A01">
        <w:rPr>
          <w:rFonts w:ascii="Times New Roman" w:hAnsi="Times New Roman" w:cs="Times New Roman"/>
        </w:rPr>
        <w:t xml:space="preserve"> </w:t>
      </w:r>
      <w:r w:rsidR="0029259C" w:rsidRPr="00842A01">
        <w:rPr>
          <w:rFonts w:ascii="Times New Roman" w:hAnsi="Times New Roman" w:cs="Times New Roman"/>
        </w:rPr>
        <w:t xml:space="preserve">controlling for gender, age, </w:t>
      </w:r>
      <w:r w:rsidR="00802265" w:rsidRPr="00842A01">
        <w:rPr>
          <w:rFonts w:ascii="Times New Roman" w:hAnsi="Times New Roman" w:cs="Times New Roman"/>
        </w:rPr>
        <w:t>education,</w:t>
      </w:r>
      <w:r w:rsidR="0029259C" w:rsidRPr="00842A01">
        <w:rPr>
          <w:rFonts w:ascii="Times New Roman" w:hAnsi="Times New Roman" w:cs="Times New Roman"/>
        </w:rPr>
        <w:t xml:space="preserve"> </w:t>
      </w:r>
      <w:r w:rsidR="00BC2C51" w:rsidRPr="00842A01">
        <w:rPr>
          <w:rFonts w:ascii="Times New Roman" w:hAnsi="Times New Roman" w:cs="Times New Roman"/>
        </w:rPr>
        <w:t xml:space="preserve">and </w:t>
      </w:r>
      <w:r w:rsidR="00A43872" w:rsidRPr="00842A01">
        <w:rPr>
          <w:rFonts w:ascii="Times New Roman" w:hAnsi="Times New Roman" w:cs="Times New Roman"/>
        </w:rPr>
        <w:t>TIV</w:t>
      </w:r>
      <w:r w:rsidR="00BC2C51" w:rsidRPr="00842A01">
        <w:rPr>
          <w:rFonts w:ascii="Times New Roman" w:hAnsi="Times New Roman" w:cs="Times New Roman"/>
        </w:rPr>
        <w:t xml:space="preserve">. </w:t>
      </w:r>
      <w:r w:rsidR="00345AD0" w:rsidRPr="00842A01">
        <w:rPr>
          <w:rFonts w:ascii="Times New Roman" w:hAnsi="Times New Roman" w:cs="Times New Roman"/>
        </w:rPr>
        <w:t xml:space="preserve">To avoid the issue of range restriction, MCI and AD </w:t>
      </w:r>
      <w:r w:rsidR="002F6E46" w:rsidRPr="00842A01">
        <w:rPr>
          <w:rFonts w:ascii="Times New Roman" w:hAnsi="Times New Roman" w:cs="Times New Roman"/>
        </w:rPr>
        <w:t>participants were combined to make up a group of cognitively impaired participants. Withi</w:t>
      </w:r>
      <w:r w:rsidR="006F6CE3" w:rsidRPr="00842A01">
        <w:rPr>
          <w:rFonts w:ascii="Times New Roman" w:hAnsi="Times New Roman" w:cs="Times New Roman"/>
        </w:rPr>
        <w:t>n</w:t>
      </w:r>
      <w:r w:rsidR="002F6E46" w:rsidRPr="00842A01">
        <w:rPr>
          <w:rFonts w:ascii="Times New Roman" w:hAnsi="Times New Roman" w:cs="Times New Roman"/>
        </w:rPr>
        <w:t xml:space="preserve"> these</w:t>
      </w:r>
      <w:r w:rsidR="006F6CE3" w:rsidRPr="00842A01">
        <w:rPr>
          <w:rFonts w:ascii="Times New Roman" w:hAnsi="Times New Roman" w:cs="Times New Roman"/>
        </w:rPr>
        <w:t xml:space="preserve"> cognitively impaired participants</w:t>
      </w:r>
      <w:r w:rsidR="002F6E46" w:rsidRPr="00842A01">
        <w:rPr>
          <w:rFonts w:ascii="Times New Roman" w:hAnsi="Times New Roman" w:cs="Times New Roman"/>
        </w:rPr>
        <w:t xml:space="preserve">, </w:t>
      </w:r>
      <w:r w:rsidR="007E6811" w:rsidRPr="00842A01">
        <w:rPr>
          <w:rFonts w:ascii="Times New Roman" w:hAnsi="Times New Roman" w:cs="Times New Roman"/>
        </w:rPr>
        <w:t>greater lateralization of leftward volume loss of the ventral nuc</w:t>
      </w:r>
      <w:r w:rsidR="00F152C6" w:rsidRPr="00842A01">
        <w:rPr>
          <w:rFonts w:ascii="Times New Roman" w:hAnsi="Times New Roman" w:cs="Times New Roman"/>
        </w:rPr>
        <w:t xml:space="preserve">leus was associated with poorer </w:t>
      </w:r>
      <w:r w:rsidR="007E6811" w:rsidRPr="00842A01">
        <w:rPr>
          <w:rFonts w:ascii="Times New Roman" w:hAnsi="Times New Roman" w:cs="Times New Roman"/>
        </w:rPr>
        <w:t>verbal fluency (</w:t>
      </w:r>
      <w:r w:rsidR="00345AD0" w:rsidRPr="00842A01">
        <w:rPr>
          <w:rFonts w:ascii="Times New Roman" w:hAnsi="Times New Roman" w:cs="Times New Roman"/>
        </w:rPr>
        <w:t>β = .496</w:t>
      </w:r>
      <w:r w:rsidR="00AB15F8" w:rsidRPr="00842A01">
        <w:rPr>
          <w:rFonts w:ascii="Times New Roman" w:hAnsi="Times New Roman" w:cs="Times New Roman"/>
        </w:rPr>
        <w:t xml:space="preserve">, </w:t>
      </w:r>
      <w:r w:rsidR="00345AD0" w:rsidRPr="00842A01">
        <w:rPr>
          <w:rFonts w:ascii="Times New Roman" w:hAnsi="Times New Roman" w:cs="Times New Roman"/>
        </w:rPr>
        <w:t>p = .007</w:t>
      </w:r>
      <w:r w:rsidR="007E6811" w:rsidRPr="00842A01">
        <w:rPr>
          <w:rFonts w:ascii="Times New Roman" w:hAnsi="Times New Roman" w:cs="Times New Roman"/>
        </w:rPr>
        <w:t xml:space="preserve">), and </w:t>
      </w:r>
      <w:r w:rsidR="00F152C6" w:rsidRPr="00842A01">
        <w:rPr>
          <w:rFonts w:ascii="Times New Roman" w:hAnsi="Times New Roman" w:cs="Times New Roman"/>
        </w:rPr>
        <w:t xml:space="preserve">higher </w:t>
      </w:r>
      <w:r w:rsidR="007E6811" w:rsidRPr="00842A01">
        <w:rPr>
          <w:rFonts w:ascii="Times New Roman" w:hAnsi="Times New Roman" w:cs="Times New Roman"/>
        </w:rPr>
        <w:t xml:space="preserve">NPI </w:t>
      </w:r>
      <w:r w:rsidR="00F152C6" w:rsidRPr="00842A01">
        <w:rPr>
          <w:rFonts w:ascii="Times New Roman" w:hAnsi="Times New Roman" w:cs="Times New Roman"/>
        </w:rPr>
        <w:t xml:space="preserve">severity </w:t>
      </w:r>
      <w:r w:rsidR="007E6811" w:rsidRPr="00842A01">
        <w:rPr>
          <w:rFonts w:ascii="Times New Roman" w:hAnsi="Times New Roman" w:cs="Times New Roman"/>
        </w:rPr>
        <w:t>(</w:t>
      </w:r>
      <w:r w:rsidR="00345AD0" w:rsidRPr="00842A01">
        <w:rPr>
          <w:rFonts w:ascii="Times New Roman" w:hAnsi="Times New Roman" w:cs="Times New Roman"/>
        </w:rPr>
        <w:t>β = -.394</w:t>
      </w:r>
      <w:r w:rsidR="00AB15F8" w:rsidRPr="00842A01">
        <w:rPr>
          <w:rFonts w:ascii="Times New Roman" w:hAnsi="Times New Roman" w:cs="Times New Roman"/>
        </w:rPr>
        <w:t xml:space="preserve">, </w:t>
      </w:r>
      <w:r w:rsidR="007E6811" w:rsidRPr="00842A01">
        <w:rPr>
          <w:rFonts w:ascii="Times New Roman" w:hAnsi="Times New Roman" w:cs="Times New Roman"/>
        </w:rPr>
        <w:t>p = .032) scores</w:t>
      </w:r>
      <w:r w:rsidR="008637CC" w:rsidRPr="00842A01">
        <w:rPr>
          <w:rFonts w:ascii="Times New Roman" w:hAnsi="Times New Roman" w:cs="Times New Roman"/>
        </w:rPr>
        <w:t xml:space="preserve">, and marginally with a trend of higher CDR (β = -.377, p = .060) </w:t>
      </w:r>
      <w:r w:rsidR="008637CC" w:rsidRPr="00842A01">
        <w:rPr>
          <w:rFonts w:ascii="Times New Roman" w:hAnsi="Times New Roman" w:cs="Times New Roman"/>
        </w:rPr>
        <w:lastRenderedPageBreak/>
        <w:t>and lower total RAVLT score (β = .371, p = .061)</w:t>
      </w:r>
      <w:r w:rsidR="00544F74" w:rsidRPr="00842A01">
        <w:rPr>
          <w:rFonts w:ascii="Times New Roman" w:hAnsi="Times New Roman" w:cs="Times New Roman"/>
        </w:rPr>
        <w:t xml:space="preserve"> after adjusting for gender, age, education, and </w:t>
      </w:r>
      <w:r w:rsidR="00A43872" w:rsidRPr="00842A01">
        <w:rPr>
          <w:rFonts w:ascii="Times New Roman" w:hAnsi="Times New Roman" w:cs="Times New Roman"/>
        </w:rPr>
        <w:t>TIV</w:t>
      </w:r>
      <w:r w:rsidR="007E6811" w:rsidRPr="00842A01">
        <w:rPr>
          <w:rFonts w:ascii="Times New Roman" w:hAnsi="Times New Roman" w:cs="Times New Roman"/>
        </w:rPr>
        <w:t xml:space="preserve">. The degree of asymmetry in other thalamic nuclei were not associated with clinical measures. </w:t>
      </w:r>
    </w:p>
    <w:p w14:paraId="02E5F552" w14:textId="77777777" w:rsidR="00B13AD8" w:rsidRPr="00842A01" w:rsidRDefault="00B13AD8" w:rsidP="004A08EC">
      <w:pPr>
        <w:autoSpaceDE w:val="0"/>
        <w:autoSpaceDN w:val="0"/>
        <w:adjustRightInd w:val="0"/>
        <w:spacing w:line="480" w:lineRule="auto"/>
        <w:rPr>
          <w:rFonts w:ascii="Times New Roman" w:hAnsi="Times New Roman" w:cs="Times New Roman"/>
          <w:color w:val="FF0000"/>
        </w:rPr>
      </w:pPr>
    </w:p>
    <w:p w14:paraId="4B01005D" w14:textId="5533FAD7" w:rsidR="00D3567B" w:rsidRPr="00842A01" w:rsidRDefault="00DF317D" w:rsidP="005C4567">
      <w:pPr>
        <w:autoSpaceDE w:val="0"/>
        <w:autoSpaceDN w:val="0"/>
        <w:adjustRightInd w:val="0"/>
        <w:spacing w:line="480" w:lineRule="auto"/>
        <w:rPr>
          <w:rFonts w:ascii="Times New Roman" w:hAnsi="Times New Roman" w:cs="Times New Roman"/>
          <w:color w:val="FF0000"/>
        </w:rPr>
      </w:pPr>
      <w:r w:rsidRPr="00842A01">
        <w:rPr>
          <w:rFonts w:ascii="Times New Roman" w:hAnsi="Times New Roman" w:cs="Times New Roman"/>
          <w:noProof/>
          <w:color w:val="FF0000"/>
          <w:lang w:eastAsia="en-SG"/>
        </w:rPr>
        <w:drawing>
          <wp:inline distT="0" distB="0" distL="0" distR="0" wp14:anchorId="462AE7B1" wp14:editId="4EADC592">
            <wp:extent cx="5731510" cy="366522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tterplot_Horizontal_PiB.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3665220"/>
                    </a:xfrm>
                    <a:prstGeom prst="rect">
                      <a:avLst/>
                    </a:prstGeom>
                  </pic:spPr>
                </pic:pic>
              </a:graphicData>
            </a:graphic>
          </wp:inline>
        </w:drawing>
      </w:r>
    </w:p>
    <w:p w14:paraId="0077C4C3" w14:textId="197CA394" w:rsidR="00A32AF1" w:rsidRPr="00842A01" w:rsidRDefault="00FC6504" w:rsidP="005C4567">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b/>
        </w:rPr>
        <w:t>Figure 4</w:t>
      </w:r>
      <w:r w:rsidR="00A32AF1" w:rsidRPr="00842A01">
        <w:rPr>
          <w:rFonts w:ascii="Times New Roman" w:hAnsi="Times New Roman" w:cs="Times New Roman"/>
          <w:b/>
        </w:rPr>
        <w:t>.</w:t>
      </w:r>
      <w:r w:rsidR="00A32AF1" w:rsidRPr="00842A01">
        <w:rPr>
          <w:rFonts w:ascii="Times New Roman" w:hAnsi="Times New Roman" w:cs="Times New Roman"/>
        </w:rPr>
        <w:t xml:space="preserve"> Scatterplot depicting the association between left-right asymmetry of the ventral thalamus on clinical measures.</w:t>
      </w:r>
      <w:r w:rsidR="00D3567B" w:rsidRPr="00842A01">
        <w:rPr>
          <w:rFonts w:ascii="Times New Roman" w:hAnsi="Times New Roman" w:cs="Times New Roman"/>
        </w:rPr>
        <w:t xml:space="preserve"> </w:t>
      </w:r>
    </w:p>
    <w:p w14:paraId="5D9C2A4C" w14:textId="61EDEB63" w:rsidR="007D6701" w:rsidRPr="00842A01" w:rsidRDefault="007D6701" w:rsidP="005C4567">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 xml:space="preserve">Note: </w:t>
      </w:r>
      <w:r w:rsidR="006F2624" w:rsidRPr="00842A01">
        <w:rPr>
          <w:rFonts w:ascii="Times New Roman" w:hAnsi="Times New Roman" w:cs="Times New Roman"/>
        </w:rPr>
        <w:t xml:space="preserve">y-axis represents the laterality index (LI) of the ventral thalamus. LI are residuals </w:t>
      </w:r>
      <w:r w:rsidR="006F2624" w:rsidRPr="00842A01">
        <w:rPr>
          <w:rFonts w:ascii="Times New Roman" w:hAnsi="Times New Roman" w:cs="Times New Roman"/>
          <w:noProof/>
          <w:lang w:eastAsia="en-SG"/>
        </w:rPr>
        <w:t xml:space="preserve">corrected for gender, age, years of educaation, and total intracranial volume </w:t>
      </w:r>
    </w:p>
    <w:p w14:paraId="0DC41036" w14:textId="77777777" w:rsidR="00D14F78" w:rsidRPr="00842A01" w:rsidRDefault="00D14F78" w:rsidP="004A08EC">
      <w:pPr>
        <w:autoSpaceDE w:val="0"/>
        <w:autoSpaceDN w:val="0"/>
        <w:adjustRightInd w:val="0"/>
        <w:spacing w:line="480" w:lineRule="auto"/>
        <w:jc w:val="both"/>
        <w:rPr>
          <w:rFonts w:ascii="Times New Roman" w:hAnsi="Times New Roman" w:cs="Times New Roman"/>
        </w:rPr>
      </w:pPr>
    </w:p>
    <w:p w14:paraId="35AE90E8" w14:textId="57DED06C" w:rsidR="00756957" w:rsidRPr="00842A01" w:rsidRDefault="00F20B77" w:rsidP="00822774">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F3029A" w:rsidRPr="00842A01">
        <w:rPr>
          <w:rFonts w:ascii="Times New Roman" w:hAnsi="Times New Roman" w:cs="Times New Roman"/>
        </w:rPr>
        <w:t>Examining the individual</w:t>
      </w:r>
      <w:r w:rsidR="00F53B63" w:rsidRPr="00842A01">
        <w:rPr>
          <w:rFonts w:ascii="Times New Roman" w:hAnsi="Times New Roman" w:cs="Times New Roman"/>
        </w:rPr>
        <w:t xml:space="preserve"> subnuclei of the ventral thalamus</w:t>
      </w:r>
      <w:r w:rsidR="007D6701" w:rsidRPr="00842A01">
        <w:rPr>
          <w:rFonts w:ascii="Times New Roman" w:hAnsi="Times New Roman" w:cs="Times New Roman"/>
        </w:rPr>
        <w:t xml:space="preserve"> using multiple regression</w:t>
      </w:r>
      <w:r w:rsidR="00A3640F" w:rsidRPr="00842A01">
        <w:rPr>
          <w:rFonts w:ascii="Times New Roman" w:hAnsi="Times New Roman" w:cs="Times New Roman"/>
        </w:rPr>
        <w:t xml:space="preserve"> (Table 2)</w:t>
      </w:r>
      <w:r w:rsidR="00F3029A" w:rsidRPr="00842A01">
        <w:rPr>
          <w:rFonts w:ascii="Times New Roman" w:hAnsi="Times New Roman" w:cs="Times New Roman"/>
        </w:rPr>
        <w:t xml:space="preserve">, we observed that </w:t>
      </w:r>
      <w:r w:rsidR="00756957" w:rsidRPr="00842A01">
        <w:rPr>
          <w:rFonts w:ascii="Times New Roman" w:hAnsi="Times New Roman" w:cs="Times New Roman"/>
        </w:rPr>
        <w:t xml:space="preserve">performance on the ACE-R was only associated with </w:t>
      </w:r>
      <w:r w:rsidR="009F07CB" w:rsidRPr="00842A01">
        <w:rPr>
          <w:rFonts w:ascii="Times New Roman" w:hAnsi="Times New Roman" w:cs="Times New Roman"/>
        </w:rPr>
        <w:t xml:space="preserve">lateralized leftward ventral thalamic damage of </w:t>
      </w:r>
      <w:r w:rsidR="00756957" w:rsidRPr="00842A01">
        <w:rPr>
          <w:rFonts w:ascii="Times New Roman" w:hAnsi="Times New Roman" w:cs="Times New Roman"/>
        </w:rPr>
        <w:t>the VM</w:t>
      </w:r>
      <w:r w:rsidR="00E3478A" w:rsidRPr="00842A01">
        <w:rPr>
          <w:rFonts w:ascii="Times New Roman" w:hAnsi="Times New Roman" w:cs="Times New Roman"/>
        </w:rPr>
        <w:t>, while no individual subnucleus</w:t>
      </w:r>
      <w:r w:rsidR="00756957" w:rsidRPr="00842A01">
        <w:rPr>
          <w:rFonts w:ascii="Times New Roman" w:hAnsi="Times New Roman" w:cs="Times New Roman"/>
        </w:rPr>
        <w:t xml:space="preserve"> was associated with the RAVLT. Language fluency was associated with asymmetry of the VM, VPL, and VLP (Fig 4).</w:t>
      </w:r>
      <w:r w:rsidR="00822774" w:rsidRPr="00842A01">
        <w:rPr>
          <w:rFonts w:ascii="Times New Roman" w:hAnsi="Times New Roman" w:cs="Times New Roman"/>
        </w:rPr>
        <w:t xml:space="preserve"> Associations with CDR scores were restricted to the VM and VPL</w:t>
      </w:r>
      <w:r w:rsidR="00E11C79" w:rsidRPr="00842A01">
        <w:rPr>
          <w:rFonts w:ascii="Times New Roman" w:hAnsi="Times New Roman" w:cs="Times New Roman"/>
        </w:rPr>
        <w:t>.</w:t>
      </w:r>
      <w:r w:rsidR="00DC16D7" w:rsidRPr="00842A01">
        <w:rPr>
          <w:rFonts w:ascii="Times New Roman" w:hAnsi="Times New Roman" w:cs="Times New Roman"/>
        </w:rPr>
        <w:t xml:space="preserve"> </w:t>
      </w:r>
      <w:r w:rsidR="00822774" w:rsidRPr="00842A01">
        <w:rPr>
          <w:rFonts w:ascii="Times New Roman" w:hAnsi="Times New Roman" w:cs="Times New Roman"/>
        </w:rPr>
        <w:t>In terms of neu</w:t>
      </w:r>
      <w:r w:rsidR="00A3640F" w:rsidRPr="00842A01">
        <w:rPr>
          <w:rFonts w:ascii="Times New Roman" w:hAnsi="Times New Roman" w:cs="Times New Roman"/>
        </w:rPr>
        <w:t xml:space="preserve">ropsychiatric symptoms, only </w:t>
      </w:r>
      <w:r w:rsidR="00A3640F" w:rsidRPr="00842A01">
        <w:rPr>
          <w:rFonts w:ascii="Times New Roman" w:hAnsi="Times New Roman" w:cs="Times New Roman"/>
        </w:rPr>
        <w:lastRenderedPageBreak/>
        <w:t>VM</w:t>
      </w:r>
      <w:r w:rsidR="00822774" w:rsidRPr="00842A01">
        <w:rPr>
          <w:rFonts w:ascii="Times New Roman" w:hAnsi="Times New Roman" w:cs="Times New Roman"/>
        </w:rPr>
        <w:t xml:space="preserve"> and VPL asymmetries were related to NPI scores. With regard to functional mobility, only the left-lateralised damage of the VM and VPL were related to BADL score.</w:t>
      </w:r>
    </w:p>
    <w:p w14:paraId="19EE96FA" w14:textId="77777777" w:rsidR="00A3640F" w:rsidRPr="00842A01" w:rsidRDefault="00A3640F" w:rsidP="00822774">
      <w:pPr>
        <w:autoSpaceDE w:val="0"/>
        <w:autoSpaceDN w:val="0"/>
        <w:adjustRightInd w:val="0"/>
        <w:spacing w:line="480" w:lineRule="auto"/>
        <w:jc w:val="both"/>
        <w:rPr>
          <w:rFonts w:ascii="Times New Roman" w:hAnsi="Times New Roman" w:cs="Times New Roman"/>
          <w:color w:val="FF0000"/>
        </w:rPr>
      </w:pPr>
    </w:p>
    <w:p w14:paraId="4685B528" w14:textId="26DF62F6" w:rsidR="00F50A71" w:rsidRPr="00842A01" w:rsidRDefault="00A3640F" w:rsidP="005C4567">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b/>
        </w:rPr>
        <w:t xml:space="preserve">Table 2. </w:t>
      </w:r>
      <w:r w:rsidRPr="00842A01">
        <w:rPr>
          <w:rFonts w:ascii="Times New Roman" w:hAnsi="Times New Roman" w:cs="Times New Roman"/>
        </w:rPr>
        <w:t>Associations between clinical scores and asymmetry of individual ventral thalamic subnuclei in patients with mild cognitive impairment or Alzheimer’s disease</w:t>
      </w:r>
    </w:p>
    <w:tbl>
      <w:tblPr>
        <w:tblW w:w="5000" w:type="pc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960"/>
        <w:gridCol w:w="690"/>
        <w:gridCol w:w="702"/>
        <w:gridCol w:w="690"/>
        <w:gridCol w:w="693"/>
        <w:gridCol w:w="689"/>
        <w:gridCol w:w="691"/>
        <w:gridCol w:w="689"/>
        <w:gridCol w:w="689"/>
        <w:gridCol w:w="689"/>
        <w:gridCol w:w="689"/>
        <w:gridCol w:w="689"/>
        <w:gridCol w:w="682"/>
      </w:tblGrid>
      <w:tr w:rsidR="00F50A71" w:rsidRPr="00842A01" w14:paraId="4224EE1E" w14:textId="77777777" w:rsidTr="00077365">
        <w:trPr>
          <w:trHeight w:val="580"/>
        </w:trPr>
        <w:tc>
          <w:tcPr>
            <w:tcW w:w="519" w:type="pct"/>
            <w:shd w:val="clear" w:color="auto" w:fill="auto"/>
            <w:noWrap/>
            <w:vAlign w:val="center"/>
            <w:hideMark/>
          </w:tcPr>
          <w:p w14:paraId="3B6EA8DF" w14:textId="77777777" w:rsidR="00F50A71" w:rsidRPr="00842A01" w:rsidRDefault="00F50A71" w:rsidP="00077365">
            <w:pPr>
              <w:spacing w:after="0" w:line="276" w:lineRule="auto"/>
              <w:jc w:val="center"/>
              <w:rPr>
                <w:rFonts w:ascii="Times New Roman" w:eastAsia="Times New Roman" w:hAnsi="Times New Roman" w:cs="Times New Roman"/>
                <w:sz w:val="20"/>
                <w:lang w:eastAsia="en-SG"/>
              </w:rPr>
            </w:pPr>
          </w:p>
        </w:tc>
        <w:tc>
          <w:tcPr>
            <w:tcW w:w="752" w:type="pct"/>
            <w:gridSpan w:val="2"/>
            <w:tcBorders>
              <w:top w:val="single" w:sz="4" w:space="0" w:color="auto"/>
              <w:bottom w:val="single" w:sz="4" w:space="0" w:color="auto"/>
            </w:tcBorders>
            <w:shd w:val="clear" w:color="auto" w:fill="auto"/>
            <w:noWrap/>
            <w:vAlign w:val="center"/>
            <w:hideMark/>
          </w:tcPr>
          <w:p w14:paraId="0CFB3900" w14:textId="77777777" w:rsidR="00F50A71" w:rsidRPr="00842A01" w:rsidRDefault="00F50A71" w:rsidP="00077365">
            <w:pPr>
              <w:spacing w:after="0" w:line="276" w:lineRule="auto"/>
              <w:jc w:val="center"/>
              <w:rPr>
                <w:rFonts w:ascii="Times New Roman" w:eastAsia="Times New Roman" w:hAnsi="Times New Roman" w:cs="Times New Roman"/>
                <w:b/>
                <w:bCs/>
                <w:color w:val="000000"/>
                <w:sz w:val="20"/>
                <w:lang w:eastAsia="en-SG"/>
              </w:rPr>
            </w:pPr>
            <w:r w:rsidRPr="00842A01">
              <w:rPr>
                <w:rFonts w:ascii="Times New Roman" w:eastAsia="Times New Roman" w:hAnsi="Times New Roman" w:cs="Times New Roman"/>
                <w:b/>
                <w:bCs/>
                <w:color w:val="000000"/>
                <w:sz w:val="20"/>
                <w:lang w:eastAsia="en-SG"/>
              </w:rPr>
              <w:t>VAMC</w:t>
            </w:r>
          </w:p>
        </w:tc>
        <w:tc>
          <w:tcPr>
            <w:tcW w:w="748" w:type="pct"/>
            <w:gridSpan w:val="2"/>
            <w:tcBorders>
              <w:top w:val="single" w:sz="4" w:space="0" w:color="auto"/>
              <w:bottom w:val="single" w:sz="4" w:space="0" w:color="auto"/>
            </w:tcBorders>
            <w:shd w:val="clear" w:color="auto" w:fill="auto"/>
            <w:noWrap/>
            <w:vAlign w:val="center"/>
            <w:hideMark/>
          </w:tcPr>
          <w:p w14:paraId="032FBBA9" w14:textId="77777777" w:rsidR="00F50A71" w:rsidRPr="00842A01" w:rsidRDefault="00F50A71" w:rsidP="00077365">
            <w:pPr>
              <w:spacing w:after="0" w:line="276" w:lineRule="auto"/>
              <w:jc w:val="center"/>
              <w:rPr>
                <w:rFonts w:ascii="Times New Roman" w:eastAsia="Times New Roman" w:hAnsi="Times New Roman" w:cs="Times New Roman"/>
                <w:b/>
                <w:bCs/>
                <w:color w:val="000000"/>
                <w:sz w:val="20"/>
                <w:lang w:eastAsia="en-SG"/>
              </w:rPr>
            </w:pPr>
            <w:r w:rsidRPr="00842A01">
              <w:rPr>
                <w:rFonts w:ascii="Times New Roman" w:eastAsia="Times New Roman" w:hAnsi="Times New Roman" w:cs="Times New Roman"/>
                <w:b/>
                <w:bCs/>
                <w:color w:val="000000"/>
                <w:sz w:val="20"/>
                <w:lang w:eastAsia="en-SG"/>
              </w:rPr>
              <w:t>VA</w:t>
            </w:r>
          </w:p>
        </w:tc>
        <w:tc>
          <w:tcPr>
            <w:tcW w:w="747" w:type="pct"/>
            <w:gridSpan w:val="2"/>
            <w:tcBorders>
              <w:top w:val="single" w:sz="4" w:space="0" w:color="auto"/>
              <w:bottom w:val="single" w:sz="4" w:space="0" w:color="auto"/>
            </w:tcBorders>
            <w:shd w:val="clear" w:color="auto" w:fill="auto"/>
            <w:noWrap/>
            <w:vAlign w:val="center"/>
            <w:hideMark/>
          </w:tcPr>
          <w:p w14:paraId="5DD5EFEB" w14:textId="77777777" w:rsidR="00F50A71" w:rsidRPr="00842A01" w:rsidRDefault="00F50A71" w:rsidP="00077365">
            <w:pPr>
              <w:spacing w:after="0" w:line="276" w:lineRule="auto"/>
              <w:jc w:val="center"/>
              <w:rPr>
                <w:rFonts w:ascii="Times New Roman" w:eastAsia="Times New Roman" w:hAnsi="Times New Roman" w:cs="Times New Roman"/>
                <w:b/>
                <w:bCs/>
                <w:color w:val="000000"/>
                <w:sz w:val="20"/>
                <w:lang w:eastAsia="en-SG"/>
              </w:rPr>
            </w:pPr>
            <w:r w:rsidRPr="00842A01">
              <w:rPr>
                <w:rFonts w:ascii="Times New Roman" w:eastAsia="Times New Roman" w:hAnsi="Times New Roman" w:cs="Times New Roman"/>
                <w:b/>
                <w:bCs/>
                <w:color w:val="000000"/>
                <w:sz w:val="20"/>
                <w:lang w:eastAsia="en-SG"/>
              </w:rPr>
              <w:t>VLA</w:t>
            </w:r>
          </w:p>
        </w:tc>
        <w:tc>
          <w:tcPr>
            <w:tcW w:w="746" w:type="pct"/>
            <w:gridSpan w:val="2"/>
            <w:tcBorders>
              <w:top w:val="single" w:sz="4" w:space="0" w:color="auto"/>
              <w:bottom w:val="single" w:sz="4" w:space="0" w:color="auto"/>
            </w:tcBorders>
            <w:shd w:val="clear" w:color="auto" w:fill="auto"/>
            <w:noWrap/>
            <w:vAlign w:val="center"/>
            <w:hideMark/>
          </w:tcPr>
          <w:p w14:paraId="11B58CAA" w14:textId="77777777" w:rsidR="00F50A71" w:rsidRPr="00842A01" w:rsidRDefault="00F50A71" w:rsidP="00077365">
            <w:pPr>
              <w:spacing w:after="0" w:line="276" w:lineRule="auto"/>
              <w:jc w:val="center"/>
              <w:rPr>
                <w:rFonts w:ascii="Times New Roman" w:eastAsia="Times New Roman" w:hAnsi="Times New Roman" w:cs="Times New Roman"/>
                <w:b/>
                <w:bCs/>
                <w:color w:val="000000"/>
                <w:sz w:val="20"/>
                <w:lang w:eastAsia="en-SG"/>
              </w:rPr>
            </w:pPr>
            <w:r w:rsidRPr="00842A01">
              <w:rPr>
                <w:rFonts w:ascii="Times New Roman" w:eastAsia="Times New Roman" w:hAnsi="Times New Roman" w:cs="Times New Roman"/>
                <w:b/>
                <w:bCs/>
                <w:color w:val="000000"/>
                <w:sz w:val="20"/>
                <w:lang w:eastAsia="en-SG"/>
              </w:rPr>
              <w:t>VLP</w:t>
            </w:r>
          </w:p>
        </w:tc>
        <w:tc>
          <w:tcPr>
            <w:tcW w:w="746" w:type="pct"/>
            <w:gridSpan w:val="2"/>
            <w:tcBorders>
              <w:top w:val="single" w:sz="4" w:space="0" w:color="auto"/>
              <w:bottom w:val="single" w:sz="4" w:space="0" w:color="auto"/>
            </w:tcBorders>
            <w:shd w:val="clear" w:color="auto" w:fill="auto"/>
            <w:noWrap/>
            <w:vAlign w:val="center"/>
            <w:hideMark/>
          </w:tcPr>
          <w:p w14:paraId="09FE6CA4" w14:textId="77777777" w:rsidR="00F50A71" w:rsidRPr="00842A01" w:rsidRDefault="00F50A71" w:rsidP="00077365">
            <w:pPr>
              <w:spacing w:after="0" w:line="276" w:lineRule="auto"/>
              <w:jc w:val="center"/>
              <w:rPr>
                <w:rFonts w:ascii="Times New Roman" w:eastAsia="Times New Roman" w:hAnsi="Times New Roman" w:cs="Times New Roman"/>
                <w:b/>
                <w:bCs/>
                <w:color w:val="000000"/>
                <w:sz w:val="20"/>
                <w:lang w:eastAsia="en-SG"/>
              </w:rPr>
            </w:pPr>
            <w:r w:rsidRPr="00842A01">
              <w:rPr>
                <w:rFonts w:ascii="Times New Roman" w:eastAsia="Times New Roman" w:hAnsi="Times New Roman" w:cs="Times New Roman"/>
                <w:b/>
                <w:bCs/>
                <w:color w:val="000000"/>
                <w:sz w:val="20"/>
                <w:lang w:eastAsia="en-SG"/>
              </w:rPr>
              <w:t>VPL</w:t>
            </w:r>
          </w:p>
        </w:tc>
        <w:tc>
          <w:tcPr>
            <w:tcW w:w="743" w:type="pct"/>
            <w:gridSpan w:val="2"/>
            <w:tcBorders>
              <w:top w:val="single" w:sz="4" w:space="0" w:color="auto"/>
              <w:bottom w:val="single" w:sz="4" w:space="0" w:color="auto"/>
            </w:tcBorders>
            <w:shd w:val="clear" w:color="auto" w:fill="auto"/>
            <w:noWrap/>
            <w:vAlign w:val="center"/>
            <w:hideMark/>
          </w:tcPr>
          <w:p w14:paraId="421887F7" w14:textId="77777777" w:rsidR="00F50A71" w:rsidRPr="00842A01" w:rsidRDefault="00F50A71" w:rsidP="00077365">
            <w:pPr>
              <w:spacing w:after="0" w:line="276" w:lineRule="auto"/>
              <w:jc w:val="center"/>
              <w:rPr>
                <w:rFonts w:ascii="Times New Roman" w:eastAsia="Times New Roman" w:hAnsi="Times New Roman" w:cs="Times New Roman"/>
                <w:b/>
                <w:bCs/>
                <w:color w:val="000000"/>
                <w:sz w:val="20"/>
                <w:lang w:eastAsia="en-SG"/>
              </w:rPr>
            </w:pPr>
            <w:r w:rsidRPr="00842A01">
              <w:rPr>
                <w:rFonts w:ascii="Times New Roman" w:eastAsia="Times New Roman" w:hAnsi="Times New Roman" w:cs="Times New Roman"/>
                <w:b/>
                <w:bCs/>
                <w:color w:val="000000"/>
                <w:sz w:val="20"/>
                <w:lang w:eastAsia="en-SG"/>
              </w:rPr>
              <w:t>VM</w:t>
            </w:r>
          </w:p>
        </w:tc>
      </w:tr>
      <w:tr w:rsidR="00F50A71" w:rsidRPr="00842A01" w14:paraId="1989BBF5" w14:textId="77777777" w:rsidTr="00077365">
        <w:trPr>
          <w:trHeight w:val="580"/>
        </w:trPr>
        <w:tc>
          <w:tcPr>
            <w:tcW w:w="519" w:type="pct"/>
            <w:tcBorders>
              <w:bottom w:val="single" w:sz="4" w:space="0" w:color="auto"/>
            </w:tcBorders>
            <w:shd w:val="clear" w:color="auto" w:fill="auto"/>
            <w:noWrap/>
            <w:vAlign w:val="center"/>
            <w:hideMark/>
          </w:tcPr>
          <w:p w14:paraId="1DCFBC9B" w14:textId="77777777" w:rsidR="00F50A71" w:rsidRPr="00842A01" w:rsidRDefault="00F50A71" w:rsidP="00077365">
            <w:pPr>
              <w:spacing w:after="0" w:line="276" w:lineRule="auto"/>
              <w:jc w:val="center"/>
              <w:rPr>
                <w:rFonts w:ascii="Times New Roman" w:eastAsia="Times New Roman" w:hAnsi="Times New Roman" w:cs="Times New Roman"/>
                <w:b/>
                <w:bCs/>
                <w:color w:val="000000"/>
                <w:sz w:val="20"/>
                <w:lang w:eastAsia="en-SG"/>
              </w:rPr>
            </w:pPr>
          </w:p>
        </w:tc>
        <w:tc>
          <w:tcPr>
            <w:tcW w:w="373" w:type="pct"/>
            <w:tcBorders>
              <w:top w:val="single" w:sz="4" w:space="0" w:color="auto"/>
              <w:bottom w:val="single" w:sz="4" w:space="0" w:color="auto"/>
            </w:tcBorders>
            <w:shd w:val="clear" w:color="auto" w:fill="auto"/>
            <w:noWrap/>
            <w:vAlign w:val="center"/>
            <w:hideMark/>
          </w:tcPr>
          <w:p w14:paraId="458359A1" w14:textId="77777777" w:rsidR="00F50A71" w:rsidRPr="00842A01" w:rsidRDefault="00F50A71" w:rsidP="00077365">
            <w:pPr>
              <w:spacing w:after="0" w:line="276" w:lineRule="auto"/>
              <w:jc w:val="center"/>
              <w:rPr>
                <w:rFonts w:ascii="Times New Roman" w:eastAsia="Times New Roman" w:hAnsi="Times New Roman" w:cs="Times New Roman"/>
                <w:bCs/>
                <w:color w:val="000000"/>
                <w:sz w:val="20"/>
                <w:lang w:eastAsia="en-SG"/>
              </w:rPr>
            </w:pPr>
            <w:r w:rsidRPr="00842A01">
              <w:rPr>
                <w:rFonts w:ascii="Times New Roman" w:eastAsia="Times New Roman" w:hAnsi="Times New Roman" w:cs="Times New Roman"/>
                <w:bCs/>
                <w:color w:val="000000"/>
                <w:sz w:val="20"/>
                <w:lang w:eastAsia="en-SG"/>
              </w:rPr>
              <w:t>β</w:t>
            </w:r>
          </w:p>
        </w:tc>
        <w:tc>
          <w:tcPr>
            <w:tcW w:w="379" w:type="pct"/>
            <w:tcBorders>
              <w:top w:val="single" w:sz="4" w:space="0" w:color="auto"/>
              <w:bottom w:val="single" w:sz="4" w:space="0" w:color="auto"/>
            </w:tcBorders>
            <w:shd w:val="clear" w:color="auto" w:fill="auto"/>
            <w:noWrap/>
            <w:vAlign w:val="center"/>
            <w:hideMark/>
          </w:tcPr>
          <w:p w14:paraId="5B124EBA" w14:textId="77777777" w:rsidR="00F50A71" w:rsidRPr="00842A01" w:rsidRDefault="00F50A71" w:rsidP="00077365">
            <w:pPr>
              <w:spacing w:after="0" w:line="276" w:lineRule="auto"/>
              <w:jc w:val="center"/>
              <w:rPr>
                <w:rFonts w:ascii="Times New Roman" w:eastAsia="Times New Roman" w:hAnsi="Times New Roman" w:cs="Times New Roman"/>
                <w:bCs/>
                <w:i/>
                <w:color w:val="000000"/>
                <w:sz w:val="20"/>
                <w:lang w:eastAsia="en-SG"/>
              </w:rPr>
            </w:pPr>
            <w:r w:rsidRPr="00842A01">
              <w:rPr>
                <w:rFonts w:ascii="Times New Roman" w:eastAsia="Times New Roman" w:hAnsi="Times New Roman" w:cs="Times New Roman"/>
                <w:bCs/>
                <w:i/>
                <w:color w:val="000000"/>
                <w:sz w:val="20"/>
                <w:lang w:eastAsia="en-SG"/>
              </w:rPr>
              <w:t>p</w:t>
            </w:r>
          </w:p>
        </w:tc>
        <w:tc>
          <w:tcPr>
            <w:tcW w:w="373" w:type="pct"/>
            <w:tcBorders>
              <w:top w:val="single" w:sz="4" w:space="0" w:color="auto"/>
              <w:bottom w:val="single" w:sz="4" w:space="0" w:color="auto"/>
            </w:tcBorders>
            <w:shd w:val="clear" w:color="auto" w:fill="auto"/>
            <w:noWrap/>
            <w:vAlign w:val="center"/>
            <w:hideMark/>
          </w:tcPr>
          <w:p w14:paraId="68631C38" w14:textId="77777777" w:rsidR="00F50A71" w:rsidRPr="00842A01" w:rsidRDefault="00F50A71" w:rsidP="00077365">
            <w:pPr>
              <w:spacing w:after="0" w:line="276" w:lineRule="auto"/>
              <w:jc w:val="center"/>
              <w:rPr>
                <w:rFonts w:ascii="Times New Roman" w:eastAsia="Times New Roman" w:hAnsi="Times New Roman" w:cs="Times New Roman"/>
                <w:bCs/>
                <w:color w:val="000000"/>
                <w:sz w:val="20"/>
                <w:lang w:eastAsia="en-SG"/>
              </w:rPr>
            </w:pPr>
            <w:r w:rsidRPr="00842A01">
              <w:rPr>
                <w:rFonts w:ascii="Times New Roman" w:eastAsia="Times New Roman" w:hAnsi="Times New Roman" w:cs="Times New Roman"/>
                <w:bCs/>
                <w:color w:val="000000"/>
                <w:sz w:val="20"/>
                <w:lang w:eastAsia="en-SG"/>
              </w:rPr>
              <w:t>β</w:t>
            </w:r>
          </w:p>
        </w:tc>
        <w:tc>
          <w:tcPr>
            <w:tcW w:w="375" w:type="pct"/>
            <w:tcBorders>
              <w:top w:val="single" w:sz="4" w:space="0" w:color="auto"/>
              <w:bottom w:val="single" w:sz="4" w:space="0" w:color="auto"/>
            </w:tcBorders>
            <w:shd w:val="clear" w:color="auto" w:fill="auto"/>
            <w:noWrap/>
            <w:vAlign w:val="center"/>
            <w:hideMark/>
          </w:tcPr>
          <w:p w14:paraId="3D3E8AB4" w14:textId="77777777" w:rsidR="00F50A71" w:rsidRPr="00842A01" w:rsidRDefault="00F50A71" w:rsidP="00077365">
            <w:pPr>
              <w:spacing w:after="0" w:line="276" w:lineRule="auto"/>
              <w:jc w:val="center"/>
              <w:rPr>
                <w:rFonts w:ascii="Times New Roman" w:eastAsia="Times New Roman" w:hAnsi="Times New Roman" w:cs="Times New Roman"/>
                <w:bCs/>
                <w:i/>
                <w:color w:val="000000"/>
                <w:sz w:val="20"/>
                <w:lang w:eastAsia="en-SG"/>
              </w:rPr>
            </w:pPr>
            <w:r w:rsidRPr="00842A01">
              <w:rPr>
                <w:rFonts w:ascii="Times New Roman" w:eastAsia="Times New Roman" w:hAnsi="Times New Roman" w:cs="Times New Roman"/>
                <w:bCs/>
                <w:i/>
                <w:color w:val="000000"/>
                <w:sz w:val="20"/>
                <w:lang w:eastAsia="en-SG"/>
              </w:rPr>
              <w:t>p</w:t>
            </w:r>
          </w:p>
        </w:tc>
        <w:tc>
          <w:tcPr>
            <w:tcW w:w="373" w:type="pct"/>
            <w:tcBorders>
              <w:top w:val="single" w:sz="4" w:space="0" w:color="auto"/>
              <w:bottom w:val="single" w:sz="4" w:space="0" w:color="auto"/>
            </w:tcBorders>
            <w:shd w:val="clear" w:color="auto" w:fill="auto"/>
            <w:noWrap/>
            <w:vAlign w:val="center"/>
            <w:hideMark/>
          </w:tcPr>
          <w:p w14:paraId="235BE69F" w14:textId="77777777" w:rsidR="00F50A71" w:rsidRPr="00842A01" w:rsidRDefault="00F50A71" w:rsidP="00077365">
            <w:pPr>
              <w:spacing w:after="0" w:line="276" w:lineRule="auto"/>
              <w:jc w:val="center"/>
              <w:rPr>
                <w:rFonts w:ascii="Times New Roman" w:eastAsia="Times New Roman" w:hAnsi="Times New Roman" w:cs="Times New Roman"/>
                <w:bCs/>
                <w:color w:val="000000"/>
                <w:sz w:val="20"/>
                <w:lang w:eastAsia="en-SG"/>
              </w:rPr>
            </w:pPr>
            <w:r w:rsidRPr="00842A01">
              <w:rPr>
                <w:rFonts w:ascii="Times New Roman" w:eastAsia="Times New Roman" w:hAnsi="Times New Roman" w:cs="Times New Roman"/>
                <w:bCs/>
                <w:color w:val="000000"/>
                <w:sz w:val="20"/>
                <w:lang w:eastAsia="en-SG"/>
              </w:rPr>
              <w:t>β</w:t>
            </w:r>
          </w:p>
        </w:tc>
        <w:tc>
          <w:tcPr>
            <w:tcW w:w="374" w:type="pct"/>
            <w:tcBorders>
              <w:top w:val="single" w:sz="4" w:space="0" w:color="auto"/>
              <w:bottom w:val="single" w:sz="4" w:space="0" w:color="auto"/>
            </w:tcBorders>
            <w:shd w:val="clear" w:color="auto" w:fill="auto"/>
            <w:noWrap/>
            <w:vAlign w:val="center"/>
            <w:hideMark/>
          </w:tcPr>
          <w:p w14:paraId="17AB2354" w14:textId="77777777" w:rsidR="00F50A71" w:rsidRPr="00842A01" w:rsidRDefault="00F50A71" w:rsidP="00077365">
            <w:pPr>
              <w:spacing w:after="0" w:line="276" w:lineRule="auto"/>
              <w:jc w:val="center"/>
              <w:rPr>
                <w:rFonts w:ascii="Times New Roman" w:eastAsia="Times New Roman" w:hAnsi="Times New Roman" w:cs="Times New Roman"/>
                <w:bCs/>
                <w:i/>
                <w:color w:val="000000"/>
                <w:sz w:val="20"/>
                <w:lang w:eastAsia="en-SG"/>
              </w:rPr>
            </w:pPr>
            <w:r w:rsidRPr="00842A01">
              <w:rPr>
                <w:rFonts w:ascii="Times New Roman" w:eastAsia="Times New Roman" w:hAnsi="Times New Roman" w:cs="Times New Roman"/>
                <w:bCs/>
                <w:i/>
                <w:color w:val="000000"/>
                <w:sz w:val="20"/>
                <w:lang w:eastAsia="en-SG"/>
              </w:rPr>
              <w:t>p</w:t>
            </w:r>
          </w:p>
        </w:tc>
        <w:tc>
          <w:tcPr>
            <w:tcW w:w="373" w:type="pct"/>
            <w:tcBorders>
              <w:top w:val="single" w:sz="4" w:space="0" w:color="auto"/>
              <w:bottom w:val="single" w:sz="4" w:space="0" w:color="auto"/>
            </w:tcBorders>
            <w:shd w:val="clear" w:color="auto" w:fill="auto"/>
            <w:noWrap/>
            <w:vAlign w:val="center"/>
            <w:hideMark/>
          </w:tcPr>
          <w:p w14:paraId="1B76FE85" w14:textId="77777777" w:rsidR="00F50A71" w:rsidRPr="00842A01" w:rsidRDefault="00F50A71" w:rsidP="00077365">
            <w:pPr>
              <w:spacing w:after="0" w:line="276" w:lineRule="auto"/>
              <w:jc w:val="center"/>
              <w:rPr>
                <w:rFonts w:ascii="Times New Roman" w:eastAsia="Times New Roman" w:hAnsi="Times New Roman" w:cs="Times New Roman"/>
                <w:bCs/>
                <w:color w:val="000000"/>
                <w:sz w:val="20"/>
                <w:lang w:eastAsia="en-SG"/>
              </w:rPr>
            </w:pPr>
            <w:r w:rsidRPr="00842A01">
              <w:rPr>
                <w:rFonts w:ascii="Times New Roman" w:eastAsia="Times New Roman" w:hAnsi="Times New Roman" w:cs="Times New Roman"/>
                <w:bCs/>
                <w:color w:val="000000"/>
                <w:sz w:val="20"/>
                <w:lang w:eastAsia="en-SG"/>
              </w:rPr>
              <w:t>β</w:t>
            </w:r>
          </w:p>
        </w:tc>
        <w:tc>
          <w:tcPr>
            <w:tcW w:w="373" w:type="pct"/>
            <w:tcBorders>
              <w:top w:val="single" w:sz="4" w:space="0" w:color="auto"/>
              <w:bottom w:val="single" w:sz="4" w:space="0" w:color="auto"/>
            </w:tcBorders>
            <w:shd w:val="clear" w:color="auto" w:fill="auto"/>
            <w:noWrap/>
            <w:vAlign w:val="center"/>
            <w:hideMark/>
          </w:tcPr>
          <w:p w14:paraId="3F0F0637" w14:textId="77777777" w:rsidR="00F50A71" w:rsidRPr="00842A01" w:rsidRDefault="00F50A71" w:rsidP="00077365">
            <w:pPr>
              <w:spacing w:after="0" w:line="276" w:lineRule="auto"/>
              <w:jc w:val="center"/>
              <w:rPr>
                <w:rFonts w:ascii="Times New Roman" w:eastAsia="Times New Roman" w:hAnsi="Times New Roman" w:cs="Times New Roman"/>
                <w:bCs/>
                <w:i/>
                <w:color w:val="000000"/>
                <w:sz w:val="20"/>
                <w:lang w:eastAsia="en-SG"/>
              </w:rPr>
            </w:pPr>
            <w:r w:rsidRPr="00842A01">
              <w:rPr>
                <w:rFonts w:ascii="Times New Roman" w:eastAsia="Times New Roman" w:hAnsi="Times New Roman" w:cs="Times New Roman"/>
                <w:bCs/>
                <w:i/>
                <w:color w:val="000000"/>
                <w:sz w:val="20"/>
                <w:lang w:eastAsia="en-SG"/>
              </w:rPr>
              <w:t>p</w:t>
            </w:r>
          </w:p>
        </w:tc>
        <w:tc>
          <w:tcPr>
            <w:tcW w:w="373" w:type="pct"/>
            <w:tcBorders>
              <w:top w:val="single" w:sz="4" w:space="0" w:color="auto"/>
              <w:bottom w:val="single" w:sz="4" w:space="0" w:color="auto"/>
            </w:tcBorders>
            <w:shd w:val="clear" w:color="auto" w:fill="auto"/>
            <w:noWrap/>
            <w:vAlign w:val="center"/>
            <w:hideMark/>
          </w:tcPr>
          <w:p w14:paraId="3E6E33E9" w14:textId="77777777" w:rsidR="00F50A71" w:rsidRPr="00842A01" w:rsidRDefault="00F50A71" w:rsidP="00077365">
            <w:pPr>
              <w:spacing w:after="0" w:line="276" w:lineRule="auto"/>
              <w:jc w:val="center"/>
              <w:rPr>
                <w:rFonts w:ascii="Times New Roman" w:eastAsia="Times New Roman" w:hAnsi="Times New Roman" w:cs="Times New Roman"/>
                <w:bCs/>
                <w:color w:val="000000"/>
                <w:sz w:val="20"/>
                <w:lang w:eastAsia="en-SG"/>
              </w:rPr>
            </w:pPr>
            <w:r w:rsidRPr="00842A01">
              <w:rPr>
                <w:rFonts w:ascii="Times New Roman" w:eastAsia="Times New Roman" w:hAnsi="Times New Roman" w:cs="Times New Roman"/>
                <w:bCs/>
                <w:color w:val="000000"/>
                <w:sz w:val="20"/>
                <w:lang w:eastAsia="en-SG"/>
              </w:rPr>
              <w:t>β</w:t>
            </w:r>
          </w:p>
        </w:tc>
        <w:tc>
          <w:tcPr>
            <w:tcW w:w="373" w:type="pct"/>
            <w:tcBorders>
              <w:top w:val="single" w:sz="4" w:space="0" w:color="auto"/>
              <w:bottom w:val="single" w:sz="4" w:space="0" w:color="auto"/>
            </w:tcBorders>
            <w:shd w:val="clear" w:color="auto" w:fill="auto"/>
            <w:noWrap/>
            <w:vAlign w:val="center"/>
            <w:hideMark/>
          </w:tcPr>
          <w:p w14:paraId="24CA59DF" w14:textId="77777777" w:rsidR="00F50A71" w:rsidRPr="00842A01" w:rsidRDefault="00F50A71" w:rsidP="00077365">
            <w:pPr>
              <w:spacing w:after="0" w:line="276" w:lineRule="auto"/>
              <w:jc w:val="center"/>
              <w:rPr>
                <w:rFonts w:ascii="Times New Roman" w:eastAsia="Times New Roman" w:hAnsi="Times New Roman" w:cs="Times New Roman"/>
                <w:bCs/>
                <w:i/>
                <w:color w:val="000000"/>
                <w:sz w:val="20"/>
                <w:lang w:eastAsia="en-SG"/>
              </w:rPr>
            </w:pPr>
            <w:r w:rsidRPr="00842A01">
              <w:rPr>
                <w:rFonts w:ascii="Times New Roman" w:eastAsia="Times New Roman" w:hAnsi="Times New Roman" w:cs="Times New Roman"/>
                <w:bCs/>
                <w:i/>
                <w:color w:val="000000"/>
                <w:sz w:val="20"/>
                <w:lang w:eastAsia="en-SG"/>
              </w:rPr>
              <w:t>p</w:t>
            </w:r>
          </w:p>
        </w:tc>
        <w:tc>
          <w:tcPr>
            <w:tcW w:w="373" w:type="pct"/>
            <w:tcBorders>
              <w:top w:val="single" w:sz="4" w:space="0" w:color="auto"/>
              <w:bottom w:val="single" w:sz="4" w:space="0" w:color="auto"/>
            </w:tcBorders>
            <w:shd w:val="clear" w:color="auto" w:fill="auto"/>
            <w:noWrap/>
            <w:vAlign w:val="center"/>
            <w:hideMark/>
          </w:tcPr>
          <w:p w14:paraId="01E68CE4" w14:textId="77777777" w:rsidR="00F50A71" w:rsidRPr="00842A01" w:rsidRDefault="00F50A71" w:rsidP="00077365">
            <w:pPr>
              <w:spacing w:after="0" w:line="276" w:lineRule="auto"/>
              <w:jc w:val="center"/>
              <w:rPr>
                <w:rFonts w:ascii="Times New Roman" w:eastAsia="Times New Roman" w:hAnsi="Times New Roman" w:cs="Times New Roman"/>
                <w:bCs/>
                <w:color w:val="000000"/>
                <w:sz w:val="20"/>
                <w:lang w:eastAsia="en-SG"/>
              </w:rPr>
            </w:pPr>
            <w:r w:rsidRPr="00842A01">
              <w:rPr>
                <w:rFonts w:ascii="Times New Roman" w:eastAsia="Times New Roman" w:hAnsi="Times New Roman" w:cs="Times New Roman"/>
                <w:bCs/>
                <w:color w:val="000000"/>
                <w:sz w:val="20"/>
                <w:lang w:eastAsia="en-SG"/>
              </w:rPr>
              <w:t>β</w:t>
            </w:r>
          </w:p>
        </w:tc>
        <w:tc>
          <w:tcPr>
            <w:tcW w:w="370" w:type="pct"/>
            <w:tcBorders>
              <w:top w:val="single" w:sz="4" w:space="0" w:color="auto"/>
              <w:bottom w:val="single" w:sz="4" w:space="0" w:color="auto"/>
            </w:tcBorders>
            <w:shd w:val="clear" w:color="auto" w:fill="auto"/>
            <w:noWrap/>
            <w:vAlign w:val="center"/>
            <w:hideMark/>
          </w:tcPr>
          <w:p w14:paraId="04B7C83F" w14:textId="77777777" w:rsidR="00F50A71" w:rsidRPr="00842A01" w:rsidRDefault="00F50A71" w:rsidP="00077365">
            <w:pPr>
              <w:spacing w:after="0" w:line="276" w:lineRule="auto"/>
              <w:jc w:val="center"/>
              <w:rPr>
                <w:rFonts w:ascii="Times New Roman" w:eastAsia="Times New Roman" w:hAnsi="Times New Roman" w:cs="Times New Roman"/>
                <w:bCs/>
                <w:i/>
                <w:color w:val="000000"/>
                <w:sz w:val="20"/>
                <w:lang w:eastAsia="en-SG"/>
              </w:rPr>
            </w:pPr>
            <w:r w:rsidRPr="00842A01">
              <w:rPr>
                <w:rFonts w:ascii="Times New Roman" w:eastAsia="Times New Roman" w:hAnsi="Times New Roman" w:cs="Times New Roman"/>
                <w:bCs/>
                <w:i/>
                <w:color w:val="000000"/>
                <w:sz w:val="20"/>
                <w:lang w:eastAsia="en-SG"/>
              </w:rPr>
              <w:t>p</w:t>
            </w:r>
          </w:p>
        </w:tc>
      </w:tr>
      <w:tr w:rsidR="00F50A71" w:rsidRPr="00842A01" w14:paraId="4ED57B88" w14:textId="77777777" w:rsidTr="00077365">
        <w:trPr>
          <w:trHeight w:val="580"/>
        </w:trPr>
        <w:tc>
          <w:tcPr>
            <w:tcW w:w="519" w:type="pct"/>
            <w:tcBorders>
              <w:top w:val="single" w:sz="4" w:space="0" w:color="auto"/>
            </w:tcBorders>
            <w:shd w:val="clear" w:color="auto" w:fill="auto"/>
            <w:noWrap/>
            <w:vAlign w:val="center"/>
            <w:hideMark/>
          </w:tcPr>
          <w:p w14:paraId="53FC70C6" w14:textId="77777777" w:rsidR="00F50A71" w:rsidRPr="00842A01" w:rsidRDefault="00F50A71" w:rsidP="00077365">
            <w:pPr>
              <w:spacing w:after="0" w:line="276" w:lineRule="auto"/>
              <w:rPr>
                <w:rFonts w:ascii="Times New Roman" w:eastAsia="Times New Roman" w:hAnsi="Times New Roman" w:cs="Times New Roman"/>
                <w:b/>
                <w:color w:val="000000"/>
                <w:sz w:val="20"/>
                <w:lang w:eastAsia="en-SG"/>
              </w:rPr>
            </w:pPr>
            <w:r w:rsidRPr="00842A01">
              <w:rPr>
                <w:rFonts w:ascii="Times New Roman" w:eastAsia="Times New Roman" w:hAnsi="Times New Roman" w:cs="Times New Roman"/>
                <w:b/>
                <w:color w:val="000000"/>
                <w:sz w:val="20"/>
                <w:lang w:eastAsia="en-SG"/>
              </w:rPr>
              <w:t>ACE-R</w:t>
            </w:r>
          </w:p>
        </w:tc>
        <w:tc>
          <w:tcPr>
            <w:tcW w:w="373" w:type="pct"/>
            <w:tcBorders>
              <w:top w:val="single" w:sz="4" w:space="0" w:color="auto"/>
            </w:tcBorders>
            <w:shd w:val="clear" w:color="auto" w:fill="auto"/>
            <w:noWrap/>
            <w:vAlign w:val="center"/>
            <w:hideMark/>
          </w:tcPr>
          <w:p w14:paraId="167F312A"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0.40</w:t>
            </w:r>
          </w:p>
        </w:tc>
        <w:tc>
          <w:tcPr>
            <w:tcW w:w="379" w:type="pct"/>
            <w:tcBorders>
              <w:top w:val="single" w:sz="4" w:space="0" w:color="auto"/>
            </w:tcBorders>
            <w:shd w:val="clear" w:color="auto" w:fill="auto"/>
            <w:noWrap/>
            <w:vAlign w:val="center"/>
            <w:hideMark/>
          </w:tcPr>
          <w:p w14:paraId="288DD028"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0.06</w:t>
            </w:r>
          </w:p>
        </w:tc>
        <w:tc>
          <w:tcPr>
            <w:tcW w:w="373" w:type="pct"/>
            <w:tcBorders>
              <w:top w:val="single" w:sz="4" w:space="0" w:color="auto"/>
            </w:tcBorders>
            <w:shd w:val="clear" w:color="auto" w:fill="auto"/>
            <w:noWrap/>
            <w:vAlign w:val="center"/>
            <w:hideMark/>
          </w:tcPr>
          <w:p w14:paraId="63775556"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0.03</w:t>
            </w:r>
          </w:p>
        </w:tc>
        <w:tc>
          <w:tcPr>
            <w:tcW w:w="375" w:type="pct"/>
            <w:tcBorders>
              <w:top w:val="single" w:sz="4" w:space="0" w:color="auto"/>
            </w:tcBorders>
            <w:shd w:val="clear" w:color="auto" w:fill="auto"/>
            <w:noWrap/>
            <w:vAlign w:val="center"/>
            <w:hideMark/>
          </w:tcPr>
          <w:p w14:paraId="7411B708"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0.88</w:t>
            </w:r>
          </w:p>
        </w:tc>
        <w:tc>
          <w:tcPr>
            <w:tcW w:w="373" w:type="pct"/>
            <w:tcBorders>
              <w:top w:val="single" w:sz="4" w:space="0" w:color="auto"/>
            </w:tcBorders>
            <w:shd w:val="clear" w:color="auto" w:fill="auto"/>
            <w:noWrap/>
            <w:vAlign w:val="center"/>
            <w:hideMark/>
          </w:tcPr>
          <w:p w14:paraId="66A7923C"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0.09</w:t>
            </w:r>
          </w:p>
        </w:tc>
        <w:tc>
          <w:tcPr>
            <w:tcW w:w="374" w:type="pct"/>
            <w:tcBorders>
              <w:top w:val="single" w:sz="4" w:space="0" w:color="auto"/>
            </w:tcBorders>
            <w:shd w:val="clear" w:color="auto" w:fill="auto"/>
            <w:noWrap/>
            <w:vAlign w:val="center"/>
            <w:hideMark/>
          </w:tcPr>
          <w:p w14:paraId="45A1EA07"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0.67</w:t>
            </w:r>
          </w:p>
        </w:tc>
        <w:tc>
          <w:tcPr>
            <w:tcW w:w="373" w:type="pct"/>
            <w:tcBorders>
              <w:top w:val="single" w:sz="4" w:space="0" w:color="auto"/>
            </w:tcBorders>
            <w:shd w:val="clear" w:color="auto" w:fill="auto"/>
            <w:noWrap/>
            <w:vAlign w:val="center"/>
            <w:hideMark/>
          </w:tcPr>
          <w:p w14:paraId="6F9BED66"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0.17</w:t>
            </w:r>
          </w:p>
        </w:tc>
        <w:tc>
          <w:tcPr>
            <w:tcW w:w="373" w:type="pct"/>
            <w:tcBorders>
              <w:top w:val="single" w:sz="4" w:space="0" w:color="auto"/>
            </w:tcBorders>
            <w:shd w:val="clear" w:color="auto" w:fill="auto"/>
            <w:noWrap/>
            <w:vAlign w:val="center"/>
            <w:hideMark/>
          </w:tcPr>
          <w:p w14:paraId="4BEF609C"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0.38</w:t>
            </w:r>
          </w:p>
        </w:tc>
        <w:tc>
          <w:tcPr>
            <w:tcW w:w="373" w:type="pct"/>
            <w:tcBorders>
              <w:top w:val="single" w:sz="4" w:space="0" w:color="auto"/>
            </w:tcBorders>
            <w:shd w:val="clear" w:color="auto" w:fill="auto"/>
            <w:noWrap/>
            <w:vAlign w:val="center"/>
            <w:hideMark/>
          </w:tcPr>
          <w:p w14:paraId="395A1292"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0.34</w:t>
            </w:r>
          </w:p>
        </w:tc>
        <w:tc>
          <w:tcPr>
            <w:tcW w:w="373" w:type="pct"/>
            <w:tcBorders>
              <w:top w:val="single" w:sz="4" w:space="0" w:color="auto"/>
            </w:tcBorders>
            <w:shd w:val="clear" w:color="auto" w:fill="auto"/>
            <w:noWrap/>
            <w:vAlign w:val="center"/>
            <w:hideMark/>
          </w:tcPr>
          <w:p w14:paraId="4F8732F8"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0.07</w:t>
            </w:r>
          </w:p>
        </w:tc>
        <w:tc>
          <w:tcPr>
            <w:tcW w:w="373" w:type="pct"/>
            <w:tcBorders>
              <w:top w:val="single" w:sz="4" w:space="0" w:color="auto"/>
            </w:tcBorders>
            <w:shd w:val="clear" w:color="auto" w:fill="auto"/>
            <w:noWrap/>
            <w:vAlign w:val="center"/>
            <w:hideMark/>
          </w:tcPr>
          <w:p w14:paraId="10BB3C52"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0.40</w:t>
            </w:r>
          </w:p>
        </w:tc>
        <w:tc>
          <w:tcPr>
            <w:tcW w:w="370" w:type="pct"/>
            <w:tcBorders>
              <w:top w:val="single" w:sz="4" w:space="0" w:color="auto"/>
            </w:tcBorders>
            <w:shd w:val="clear" w:color="auto" w:fill="auto"/>
            <w:noWrap/>
            <w:vAlign w:val="center"/>
            <w:hideMark/>
          </w:tcPr>
          <w:p w14:paraId="7A05E2AA"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0.03</w:t>
            </w:r>
          </w:p>
        </w:tc>
      </w:tr>
      <w:tr w:rsidR="00F50A71" w:rsidRPr="00842A01" w14:paraId="15F855BC" w14:textId="77777777" w:rsidTr="00077365">
        <w:trPr>
          <w:trHeight w:val="580"/>
        </w:trPr>
        <w:tc>
          <w:tcPr>
            <w:tcW w:w="519" w:type="pct"/>
            <w:shd w:val="clear" w:color="auto" w:fill="auto"/>
            <w:noWrap/>
            <w:vAlign w:val="center"/>
            <w:hideMark/>
          </w:tcPr>
          <w:p w14:paraId="6EF10046" w14:textId="77777777" w:rsidR="00F50A71" w:rsidRPr="00842A01" w:rsidRDefault="00F50A71" w:rsidP="00077365">
            <w:pPr>
              <w:spacing w:after="0" w:line="276" w:lineRule="auto"/>
              <w:rPr>
                <w:rFonts w:ascii="Times New Roman" w:eastAsia="Times New Roman" w:hAnsi="Times New Roman" w:cs="Times New Roman"/>
                <w:b/>
                <w:color w:val="000000"/>
                <w:sz w:val="20"/>
                <w:lang w:eastAsia="en-SG"/>
              </w:rPr>
            </w:pPr>
            <w:r w:rsidRPr="00842A01">
              <w:rPr>
                <w:rFonts w:ascii="Times New Roman" w:eastAsia="Times New Roman" w:hAnsi="Times New Roman" w:cs="Times New Roman"/>
                <w:b/>
                <w:color w:val="000000"/>
                <w:sz w:val="20"/>
                <w:lang w:eastAsia="en-SG"/>
              </w:rPr>
              <w:t>RAVLT</w:t>
            </w:r>
          </w:p>
        </w:tc>
        <w:tc>
          <w:tcPr>
            <w:tcW w:w="373" w:type="pct"/>
            <w:shd w:val="clear" w:color="auto" w:fill="auto"/>
            <w:noWrap/>
            <w:vAlign w:val="center"/>
            <w:hideMark/>
          </w:tcPr>
          <w:p w14:paraId="2EA45E8A"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-0.12</w:t>
            </w:r>
          </w:p>
        </w:tc>
        <w:tc>
          <w:tcPr>
            <w:tcW w:w="379" w:type="pct"/>
            <w:shd w:val="clear" w:color="auto" w:fill="auto"/>
            <w:noWrap/>
            <w:vAlign w:val="center"/>
            <w:hideMark/>
          </w:tcPr>
          <w:p w14:paraId="72CB9731"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0.59</w:t>
            </w:r>
          </w:p>
        </w:tc>
        <w:tc>
          <w:tcPr>
            <w:tcW w:w="373" w:type="pct"/>
            <w:shd w:val="clear" w:color="auto" w:fill="auto"/>
            <w:noWrap/>
            <w:vAlign w:val="center"/>
            <w:hideMark/>
          </w:tcPr>
          <w:p w14:paraId="07742273"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0.32</w:t>
            </w:r>
          </w:p>
        </w:tc>
        <w:tc>
          <w:tcPr>
            <w:tcW w:w="375" w:type="pct"/>
            <w:shd w:val="clear" w:color="auto" w:fill="auto"/>
            <w:noWrap/>
            <w:vAlign w:val="center"/>
            <w:hideMark/>
          </w:tcPr>
          <w:p w14:paraId="0D5A3BC5"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0.12</w:t>
            </w:r>
          </w:p>
        </w:tc>
        <w:tc>
          <w:tcPr>
            <w:tcW w:w="373" w:type="pct"/>
            <w:shd w:val="clear" w:color="auto" w:fill="auto"/>
            <w:noWrap/>
            <w:vAlign w:val="center"/>
            <w:hideMark/>
          </w:tcPr>
          <w:p w14:paraId="59B3AB90"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0.37</w:t>
            </w:r>
          </w:p>
        </w:tc>
        <w:tc>
          <w:tcPr>
            <w:tcW w:w="374" w:type="pct"/>
            <w:shd w:val="clear" w:color="auto" w:fill="auto"/>
            <w:noWrap/>
            <w:vAlign w:val="center"/>
            <w:hideMark/>
          </w:tcPr>
          <w:p w14:paraId="5CC99997"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0.07</w:t>
            </w:r>
          </w:p>
        </w:tc>
        <w:tc>
          <w:tcPr>
            <w:tcW w:w="373" w:type="pct"/>
            <w:shd w:val="clear" w:color="auto" w:fill="auto"/>
            <w:noWrap/>
            <w:vAlign w:val="center"/>
            <w:hideMark/>
          </w:tcPr>
          <w:p w14:paraId="3D160D5F"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0.31</w:t>
            </w:r>
          </w:p>
        </w:tc>
        <w:tc>
          <w:tcPr>
            <w:tcW w:w="373" w:type="pct"/>
            <w:shd w:val="clear" w:color="auto" w:fill="auto"/>
            <w:noWrap/>
            <w:vAlign w:val="center"/>
            <w:hideMark/>
          </w:tcPr>
          <w:p w14:paraId="120BD559"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0.12</w:t>
            </w:r>
          </w:p>
        </w:tc>
        <w:tc>
          <w:tcPr>
            <w:tcW w:w="373" w:type="pct"/>
            <w:shd w:val="clear" w:color="auto" w:fill="auto"/>
            <w:noWrap/>
            <w:vAlign w:val="center"/>
            <w:hideMark/>
          </w:tcPr>
          <w:p w14:paraId="6B047705"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0.29</w:t>
            </w:r>
          </w:p>
        </w:tc>
        <w:tc>
          <w:tcPr>
            <w:tcW w:w="373" w:type="pct"/>
            <w:shd w:val="clear" w:color="auto" w:fill="auto"/>
            <w:noWrap/>
            <w:vAlign w:val="center"/>
            <w:hideMark/>
          </w:tcPr>
          <w:p w14:paraId="2556E3CB"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0.14</w:t>
            </w:r>
          </w:p>
        </w:tc>
        <w:tc>
          <w:tcPr>
            <w:tcW w:w="373" w:type="pct"/>
            <w:shd w:val="clear" w:color="auto" w:fill="auto"/>
            <w:noWrap/>
            <w:vAlign w:val="center"/>
            <w:hideMark/>
          </w:tcPr>
          <w:p w14:paraId="116DA8A8"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0.26</w:t>
            </w:r>
          </w:p>
        </w:tc>
        <w:tc>
          <w:tcPr>
            <w:tcW w:w="370" w:type="pct"/>
            <w:shd w:val="clear" w:color="auto" w:fill="auto"/>
            <w:noWrap/>
            <w:vAlign w:val="center"/>
            <w:hideMark/>
          </w:tcPr>
          <w:p w14:paraId="36EBFA91"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0.19</w:t>
            </w:r>
          </w:p>
        </w:tc>
      </w:tr>
      <w:tr w:rsidR="00F50A71" w:rsidRPr="00842A01" w14:paraId="448FEE5C" w14:textId="77777777" w:rsidTr="00077365">
        <w:trPr>
          <w:trHeight w:val="580"/>
        </w:trPr>
        <w:tc>
          <w:tcPr>
            <w:tcW w:w="519" w:type="pct"/>
            <w:shd w:val="clear" w:color="auto" w:fill="auto"/>
            <w:noWrap/>
            <w:vAlign w:val="center"/>
            <w:hideMark/>
          </w:tcPr>
          <w:p w14:paraId="72FDC497" w14:textId="593770E4" w:rsidR="00F50A71" w:rsidRPr="00842A01" w:rsidRDefault="00E12559" w:rsidP="00077365">
            <w:pPr>
              <w:spacing w:after="0" w:line="276" w:lineRule="auto"/>
              <w:rPr>
                <w:rFonts w:ascii="Times New Roman" w:eastAsia="Times New Roman" w:hAnsi="Times New Roman" w:cs="Times New Roman"/>
                <w:b/>
                <w:color w:val="000000"/>
                <w:sz w:val="20"/>
                <w:lang w:eastAsia="en-SG"/>
              </w:rPr>
            </w:pPr>
            <w:r w:rsidRPr="00842A01">
              <w:rPr>
                <w:rFonts w:ascii="Times New Roman" w:eastAsia="Times New Roman" w:hAnsi="Times New Roman" w:cs="Times New Roman"/>
                <w:b/>
                <w:color w:val="000000"/>
                <w:sz w:val="20"/>
                <w:lang w:eastAsia="en-SG"/>
              </w:rPr>
              <w:t xml:space="preserve">Verbal </w:t>
            </w:r>
            <w:r w:rsidR="00F50A71" w:rsidRPr="00842A01">
              <w:rPr>
                <w:rFonts w:ascii="Times New Roman" w:eastAsia="Times New Roman" w:hAnsi="Times New Roman" w:cs="Times New Roman"/>
                <w:b/>
                <w:color w:val="000000"/>
                <w:sz w:val="20"/>
                <w:lang w:eastAsia="en-SG"/>
              </w:rPr>
              <w:t>fluency</w:t>
            </w:r>
          </w:p>
        </w:tc>
        <w:tc>
          <w:tcPr>
            <w:tcW w:w="373" w:type="pct"/>
            <w:shd w:val="clear" w:color="auto" w:fill="auto"/>
            <w:noWrap/>
            <w:vAlign w:val="center"/>
            <w:hideMark/>
          </w:tcPr>
          <w:p w14:paraId="0C6BD702"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0.36</w:t>
            </w:r>
          </w:p>
        </w:tc>
        <w:tc>
          <w:tcPr>
            <w:tcW w:w="379" w:type="pct"/>
            <w:shd w:val="clear" w:color="auto" w:fill="auto"/>
            <w:noWrap/>
            <w:vAlign w:val="center"/>
            <w:hideMark/>
          </w:tcPr>
          <w:p w14:paraId="20242ED6"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0.09</w:t>
            </w:r>
          </w:p>
        </w:tc>
        <w:tc>
          <w:tcPr>
            <w:tcW w:w="373" w:type="pct"/>
            <w:shd w:val="clear" w:color="auto" w:fill="auto"/>
            <w:noWrap/>
            <w:vAlign w:val="center"/>
            <w:hideMark/>
          </w:tcPr>
          <w:p w14:paraId="272589AE"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0.35</w:t>
            </w:r>
          </w:p>
        </w:tc>
        <w:tc>
          <w:tcPr>
            <w:tcW w:w="375" w:type="pct"/>
            <w:shd w:val="clear" w:color="auto" w:fill="auto"/>
            <w:noWrap/>
            <w:vAlign w:val="center"/>
            <w:hideMark/>
          </w:tcPr>
          <w:p w14:paraId="661FAC0E"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0.08</w:t>
            </w:r>
          </w:p>
        </w:tc>
        <w:tc>
          <w:tcPr>
            <w:tcW w:w="373" w:type="pct"/>
            <w:shd w:val="clear" w:color="auto" w:fill="auto"/>
            <w:noWrap/>
            <w:vAlign w:val="center"/>
            <w:hideMark/>
          </w:tcPr>
          <w:p w14:paraId="681878BD"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0.36</w:t>
            </w:r>
          </w:p>
        </w:tc>
        <w:tc>
          <w:tcPr>
            <w:tcW w:w="374" w:type="pct"/>
            <w:shd w:val="clear" w:color="auto" w:fill="auto"/>
            <w:noWrap/>
            <w:vAlign w:val="center"/>
            <w:hideMark/>
          </w:tcPr>
          <w:p w14:paraId="0DDCDAD5"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0.07</w:t>
            </w:r>
          </w:p>
        </w:tc>
        <w:tc>
          <w:tcPr>
            <w:tcW w:w="373" w:type="pct"/>
            <w:shd w:val="clear" w:color="auto" w:fill="auto"/>
            <w:noWrap/>
            <w:vAlign w:val="center"/>
            <w:hideMark/>
          </w:tcPr>
          <w:p w14:paraId="6CC3CDA1"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0.44</w:t>
            </w:r>
          </w:p>
        </w:tc>
        <w:tc>
          <w:tcPr>
            <w:tcW w:w="373" w:type="pct"/>
            <w:shd w:val="clear" w:color="auto" w:fill="auto"/>
            <w:noWrap/>
            <w:vAlign w:val="center"/>
            <w:hideMark/>
          </w:tcPr>
          <w:p w14:paraId="2EB498CB"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0.02</w:t>
            </w:r>
          </w:p>
        </w:tc>
        <w:tc>
          <w:tcPr>
            <w:tcW w:w="373" w:type="pct"/>
            <w:shd w:val="clear" w:color="auto" w:fill="auto"/>
            <w:noWrap/>
            <w:vAlign w:val="center"/>
            <w:hideMark/>
          </w:tcPr>
          <w:p w14:paraId="61566E99"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0.48</w:t>
            </w:r>
          </w:p>
        </w:tc>
        <w:tc>
          <w:tcPr>
            <w:tcW w:w="373" w:type="pct"/>
            <w:shd w:val="clear" w:color="auto" w:fill="auto"/>
            <w:noWrap/>
            <w:vAlign w:val="center"/>
            <w:hideMark/>
          </w:tcPr>
          <w:p w14:paraId="4BDDCF07"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0.01</w:t>
            </w:r>
          </w:p>
        </w:tc>
        <w:tc>
          <w:tcPr>
            <w:tcW w:w="373" w:type="pct"/>
            <w:shd w:val="clear" w:color="auto" w:fill="auto"/>
            <w:noWrap/>
            <w:vAlign w:val="center"/>
            <w:hideMark/>
          </w:tcPr>
          <w:p w14:paraId="175C2B84"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0.55</w:t>
            </w:r>
          </w:p>
        </w:tc>
        <w:tc>
          <w:tcPr>
            <w:tcW w:w="370" w:type="pct"/>
            <w:shd w:val="clear" w:color="auto" w:fill="auto"/>
            <w:noWrap/>
            <w:vAlign w:val="center"/>
            <w:hideMark/>
          </w:tcPr>
          <w:p w14:paraId="45FE36FA" w14:textId="008D0D14" w:rsidR="00F50A71" w:rsidRPr="00842A01" w:rsidRDefault="00077365"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&lt;</w:t>
            </w:r>
            <w:r w:rsidR="00F50A71" w:rsidRPr="00842A01">
              <w:rPr>
                <w:rFonts w:ascii="Times New Roman" w:eastAsia="Times New Roman" w:hAnsi="Times New Roman" w:cs="Times New Roman"/>
                <w:color w:val="000000"/>
                <w:sz w:val="20"/>
                <w:lang w:eastAsia="en-SG"/>
              </w:rPr>
              <w:t>0.01</w:t>
            </w:r>
          </w:p>
        </w:tc>
      </w:tr>
      <w:tr w:rsidR="00F50A71" w:rsidRPr="00842A01" w14:paraId="1C2685B8" w14:textId="77777777" w:rsidTr="00077365">
        <w:trPr>
          <w:trHeight w:val="580"/>
        </w:trPr>
        <w:tc>
          <w:tcPr>
            <w:tcW w:w="519" w:type="pct"/>
            <w:shd w:val="clear" w:color="auto" w:fill="auto"/>
            <w:noWrap/>
            <w:vAlign w:val="center"/>
            <w:hideMark/>
          </w:tcPr>
          <w:p w14:paraId="60B81B95" w14:textId="77777777" w:rsidR="00F50A71" w:rsidRPr="00842A01" w:rsidRDefault="00F50A71" w:rsidP="00077365">
            <w:pPr>
              <w:spacing w:after="0" w:line="276" w:lineRule="auto"/>
              <w:rPr>
                <w:rFonts w:ascii="Times New Roman" w:eastAsia="Times New Roman" w:hAnsi="Times New Roman" w:cs="Times New Roman"/>
                <w:b/>
                <w:color w:val="000000"/>
                <w:sz w:val="20"/>
                <w:lang w:eastAsia="en-SG"/>
              </w:rPr>
            </w:pPr>
            <w:r w:rsidRPr="00842A01">
              <w:rPr>
                <w:rFonts w:ascii="Times New Roman" w:eastAsia="Times New Roman" w:hAnsi="Times New Roman" w:cs="Times New Roman"/>
                <w:b/>
                <w:color w:val="000000"/>
                <w:sz w:val="20"/>
                <w:lang w:eastAsia="en-SG"/>
              </w:rPr>
              <w:t>CDR</w:t>
            </w:r>
          </w:p>
        </w:tc>
        <w:tc>
          <w:tcPr>
            <w:tcW w:w="373" w:type="pct"/>
            <w:shd w:val="clear" w:color="auto" w:fill="auto"/>
            <w:noWrap/>
            <w:vAlign w:val="center"/>
            <w:hideMark/>
          </w:tcPr>
          <w:p w14:paraId="12070D01"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0.11</w:t>
            </w:r>
          </w:p>
        </w:tc>
        <w:tc>
          <w:tcPr>
            <w:tcW w:w="379" w:type="pct"/>
            <w:shd w:val="clear" w:color="auto" w:fill="auto"/>
            <w:noWrap/>
            <w:vAlign w:val="center"/>
            <w:hideMark/>
          </w:tcPr>
          <w:p w14:paraId="338AAC17"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0.64</w:t>
            </w:r>
          </w:p>
        </w:tc>
        <w:tc>
          <w:tcPr>
            <w:tcW w:w="373" w:type="pct"/>
            <w:shd w:val="clear" w:color="auto" w:fill="auto"/>
            <w:noWrap/>
            <w:vAlign w:val="center"/>
            <w:hideMark/>
          </w:tcPr>
          <w:p w14:paraId="69F8C831"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-0.19</w:t>
            </w:r>
          </w:p>
        </w:tc>
        <w:tc>
          <w:tcPr>
            <w:tcW w:w="375" w:type="pct"/>
            <w:shd w:val="clear" w:color="auto" w:fill="auto"/>
            <w:noWrap/>
            <w:vAlign w:val="center"/>
            <w:hideMark/>
          </w:tcPr>
          <w:p w14:paraId="0824F7D7"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0.39</w:t>
            </w:r>
          </w:p>
        </w:tc>
        <w:tc>
          <w:tcPr>
            <w:tcW w:w="373" w:type="pct"/>
            <w:shd w:val="clear" w:color="auto" w:fill="auto"/>
            <w:noWrap/>
            <w:vAlign w:val="center"/>
            <w:hideMark/>
          </w:tcPr>
          <w:p w14:paraId="0D44A623"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-0.25</w:t>
            </w:r>
          </w:p>
        </w:tc>
        <w:tc>
          <w:tcPr>
            <w:tcW w:w="374" w:type="pct"/>
            <w:shd w:val="clear" w:color="auto" w:fill="auto"/>
            <w:noWrap/>
            <w:vAlign w:val="center"/>
            <w:hideMark/>
          </w:tcPr>
          <w:p w14:paraId="1DA63494"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0.25</w:t>
            </w:r>
          </w:p>
        </w:tc>
        <w:tc>
          <w:tcPr>
            <w:tcW w:w="373" w:type="pct"/>
            <w:shd w:val="clear" w:color="auto" w:fill="auto"/>
            <w:noWrap/>
            <w:vAlign w:val="center"/>
            <w:hideMark/>
          </w:tcPr>
          <w:p w14:paraId="0C3BDD86"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-0.34</w:t>
            </w:r>
          </w:p>
        </w:tc>
        <w:tc>
          <w:tcPr>
            <w:tcW w:w="373" w:type="pct"/>
            <w:shd w:val="clear" w:color="auto" w:fill="auto"/>
            <w:noWrap/>
            <w:vAlign w:val="center"/>
            <w:hideMark/>
          </w:tcPr>
          <w:p w14:paraId="6FAE034B"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0.09</w:t>
            </w:r>
          </w:p>
        </w:tc>
        <w:tc>
          <w:tcPr>
            <w:tcW w:w="373" w:type="pct"/>
            <w:shd w:val="clear" w:color="auto" w:fill="auto"/>
            <w:noWrap/>
            <w:vAlign w:val="center"/>
            <w:hideMark/>
          </w:tcPr>
          <w:p w14:paraId="01C13522"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-0.42</w:t>
            </w:r>
          </w:p>
        </w:tc>
        <w:tc>
          <w:tcPr>
            <w:tcW w:w="373" w:type="pct"/>
            <w:shd w:val="clear" w:color="auto" w:fill="auto"/>
            <w:noWrap/>
            <w:vAlign w:val="center"/>
            <w:hideMark/>
          </w:tcPr>
          <w:p w14:paraId="6C200794"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0.03</w:t>
            </w:r>
          </w:p>
        </w:tc>
        <w:tc>
          <w:tcPr>
            <w:tcW w:w="373" w:type="pct"/>
            <w:shd w:val="clear" w:color="auto" w:fill="auto"/>
            <w:noWrap/>
            <w:vAlign w:val="center"/>
            <w:hideMark/>
          </w:tcPr>
          <w:p w14:paraId="23CFBBBF"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-0.50</w:t>
            </w:r>
          </w:p>
        </w:tc>
        <w:tc>
          <w:tcPr>
            <w:tcW w:w="370" w:type="pct"/>
            <w:shd w:val="clear" w:color="auto" w:fill="auto"/>
            <w:noWrap/>
            <w:vAlign w:val="center"/>
            <w:hideMark/>
          </w:tcPr>
          <w:p w14:paraId="7362460E"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0.01</w:t>
            </w:r>
          </w:p>
        </w:tc>
      </w:tr>
      <w:tr w:rsidR="00F50A71" w:rsidRPr="00842A01" w14:paraId="39250EF5" w14:textId="77777777" w:rsidTr="00077365">
        <w:trPr>
          <w:trHeight w:val="580"/>
        </w:trPr>
        <w:tc>
          <w:tcPr>
            <w:tcW w:w="519" w:type="pct"/>
            <w:tcBorders>
              <w:bottom w:val="single" w:sz="4" w:space="0" w:color="FFFFFF" w:themeColor="background1"/>
            </w:tcBorders>
            <w:shd w:val="clear" w:color="auto" w:fill="auto"/>
            <w:noWrap/>
            <w:vAlign w:val="center"/>
            <w:hideMark/>
          </w:tcPr>
          <w:p w14:paraId="0CE4966C" w14:textId="77777777" w:rsidR="00F50A71" w:rsidRPr="00842A01" w:rsidRDefault="00F50A71" w:rsidP="00077365">
            <w:pPr>
              <w:spacing w:after="0" w:line="276" w:lineRule="auto"/>
              <w:rPr>
                <w:rFonts w:ascii="Times New Roman" w:eastAsia="Times New Roman" w:hAnsi="Times New Roman" w:cs="Times New Roman"/>
                <w:b/>
                <w:color w:val="000000"/>
                <w:sz w:val="20"/>
                <w:lang w:eastAsia="en-SG"/>
              </w:rPr>
            </w:pPr>
            <w:r w:rsidRPr="00842A01">
              <w:rPr>
                <w:rFonts w:ascii="Times New Roman" w:eastAsia="Times New Roman" w:hAnsi="Times New Roman" w:cs="Times New Roman"/>
                <w:b/>
                <w:color w:val="000000"/>
                <w:sz w:val="20"/>
                <w:lang w:eastAsia="en-SG"/>
              </w:rPr>
              <w:t>NPI</w:t>
            </w:r>
          </w:p>
        </w:tc>
        <w:tc>
          <w:tcPr>
            <w:tcW w:w="373" w:type="pct"/>
            <w:tcBorders>
              <w:bottom w:val="single" w:sz="4" w:space="0" w:color="FFFFFF" w:themeColor="background1"/>
            </w:tcBorders>
            <w:shd w:val="clear" w:color="auto" w:fill="auto"/>
            <w:noWrap/>
            <w:vAlign w:val="center"/>
            <w:hideMark/>
          </w:tcPr>
          <w:p w14:paraId="386B7803"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-0.15</w:t>
            </w:r>
          </w:p>
        </w:tc>
        <w:tc>
          <w:tcPr>
            <w:tcW w:w="379" w:type="pct"/>
            <w:tcBorders>
              <w:bottom w:val="single" w:sz="4" w:space="0" w:color="FFFFFF" w:themeColor="background1"/>
            </w:tcBorders>
            <w:shd w:val="clear" w:color="auto" w:fill="auto"/>
            <w:noWrap/>
            <w:vAlign w:val="center"/>
            <w:hideMark/>
          </w:tcPr>
          <w:p w14:paraId="0DE7EF92"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0.48</w:t>
            </w:r>
          </w:p>
        </w:tc>
        <w:tc>
          <w:tcPr>
            <w:tcW w:w="373" w:type="pct"/>
            <w:tcBorders>
              <w:bottom w:val="single" w:sz="4" w:space="0" w:color="FFFFFF" w:themeColor="background1"/>
            </w:tcBorders>
            <w:shd w:val="clear" w:color="auto" w:fill="auto"/>
            <w:noWrap/>
            <w:vAlign w:val="center"/>
            <w:hideMark/>
          </w:tcPr>
          <w:p w14:paraId="15DE7DC5"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-0.21</w:t>
            </w:r>
          </w:p>
        </w:tc>
        <w:tc>
          <w:tcPr>
            <w:tcW w:w="375" w:type="pct"/>
            <w:tcBorders>
              <w:bottom w:val="single" w:sz="4" w:space="0" w:color="FFFFFF" w:themeColor="background1"/>
            </w:tcBorders>
            <w:shd w:val="clear" w:color="auto" w:fill="auto"/>
            <w:noWrap/>
            <w:vAlign w:val="center"/>
            <w:hideMark/>
          </w:tcPr>
          <w:p w14:paraId="138BBE38"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0.30</w:t>
            </w:r>
          </w:p>
        </w:tc>
        <w:tc>
          <w:tcPr>
            <w:tcW w:w="373" w:type="pct"/>
            <w:tcBorders>
              <w:bottom w:val="single" w:sz="4" w:space="0" w:color="FFFFFF" w:themeColor="background1"/>
            </w:tcBorders>
            <w:shd w:val="clear" w:color="auto" w:fill="auto"/>
            <w:noWrap/>
            <w:vAlign w:val="center"/>
            <w:hideMark/>
          </w:tcPr>
          <w:p w14:paraId="730D210A"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-0.24</w:t>
            </w:r>
          </w:p>
        </w:tc>
        <w:tc>
          <w:tcPr>
            <w:tcW w:w="374" w:type="pct"/>
            <w:tcBorders>
              <w:bottom w:val="single" w:sz="4" w:space="0" w:color="FFFFFF" w:themeColor="background1"/>
            </w:tcBorders>
            <w:shd w:val="clear" w:color="auto" w:fill="auto"/>
            <w:noWrap/>
            <w:vAlign w:val="center"/>
            <w:hideMark/>
          </w:tcPr>
          <w:p w14:paraId="59B96D66"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0.23</w:t>
            </w:r>
          </w:p>
        </w:tc>
        <w:tc>
          <w:tcPr>
            <w:tcW w:w="373" w:type="pct"/>
            <w:tcBorders>
              <w:bottom w:val="single" w:sz="4" w:space="0" w:color="FFFFFF" w:themeColor="background1"/>
            </w:tcBorders>
            <w:shd w:val="clear" w:color="auto" w:fill="auto"/>
            <w:noWrap/>
            <w:vAlign w:val="center"/>
            <w:hideMark/>
          </w:tcPr>
          <w:p w14:paraId="39A6CA21"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-0.29</w:t>
            </w:r>
          </w:p>
        </w:tc>
        <w:tc>
          <w:tcPr>
            <w:tcW w:w="373" w:type="pct"/>
            <w:tcBorders>
              <w:bottom w:val="single" w:sz="4" w:space="0" w:color="FFFFFF" w:themeColor="background1"/>
            </w:tcBorders>
            <w:shd w:val="clear" w:color="auto" w:fill="auto"/>
            <w:noWrap/>
            <w:vAlign w:val="center"/>
            <w:hideMark/>
          </w:tcPr>
          <w:p w14:paraId="4EA5394A"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0.13</w:t>
            </w:r>
          </w:p>
        </w:tc>
        <w:tc>
          <w:tcPr>
            <w:tcW w:w="373" w:type="pct"/>
            <w:tcBorders>
              <w:bottom w:val="single" w:sz="4" w:space="0" w:color="FFFFFF" w:themeColor="background1"/>
            </w:tcBorders>
            <w:shd w:val="clear" w:color="auto" w:fill="auto"/>
            <w:noWrap/>
            <w:vAlign w:val="center"/>
            <w:hideMark/>
          </w:tcPr>
          <w:p w14:paraId="3393BBE7"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-0.49</w:t>
            </w:r>
          </w:p>
        </w:tc>
        <w:tc>
          <w:tcPr>
            <w:tcW w:w="373" w:type="pct"/>
            <w:tcBorders>
              <w:bottom w:val="single" w:sz="4" w:space="0" w:color="FFFFFF" w:themeColor="background1"/>
            </w:tcBorders>
            <w:shd w:val="clear" w:color="auto" w:fill="auto"/>
            <w:noWrap/>
            <w:vAlign w:val="center"/>
            <w:hideMark/>
          </w:tcPr>
          <w:p w14:paraId="459C5599"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0.01</w:t>
            </w:r>
          </w:p>
        </w:tc>
        <w:tc>
          <w:tcPr>
            <w:tcW w:w="373" w:type="pct"/>
            <w:tcBorders>
              <w:bottom w:val="single" w:sz="4" w:space="0" w:color="FFFFFF" w:themeColor="background1"/>
            </w:tcBorders>
            <w:shd w:val="clear" w:color="auto" w:fill="auto"/>
            <w:noWrap/>
            <w:vAlign w:val="center"/>
            <w:hideMark/>
          </w:tcPr>
          <w:p w14:paraId="198CAFC4"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-0.46</w:t>
            </w:r>
          </w:p>
        </w:tc>
        <w:tc>
          <w:tcPr>
            <w:tcW w:w="370" w:type="pct"/>
            <w:tcBorders>
              <w:bottom w:val="single" w:sz="4" w:space="0" w:color="FFFFFF" w:themeColor="background1"/>
            </w:tcBorders>
            <w:shd w:val="clear" w:color="auto" w:fill="auto"/>
            <w:noWrap/>
            <w:vAlign w:val="center"/>
            <w:hideMark/>
          </w:tcPr>
          <w:p w14:paraId="453FBC3B"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0.01</w:t>
            </w:r>
          </w:p>
        </w:tc>
      </w:tr>
      <w:tr w:rsidR="00F50A71" w:rsidRPr="00842A01" w14:paraId="67D22BF6" w14:textId="77777777" w:rsidTr="00077365">
        <w:trPr>
          <w:trHeight w:val="580"/>
        </w:trPr>
        <w:tc>
          <w:tcPr>
            <w:tcW w:w="519" w:type="pct"/>
            <w:tcBorders>
              <w:bottom w:val="single" w:sz="4" w:space="0" w:color="auto"/>
            </w:tcBorders>
            <w:shd w:val="clear" w:color="auto" w:fill="auto"/>
            <w:noWrap/>
            <w:vAlign w:val="center"/>
            <w:hideMark/>
          </w:tcPr>
          <w:p w14:paraId="5DBB9994" w14:textId="77777777" w:rsidR="00F50A71" w:rsidRPr="00842A01" w:rsidRDefault="00F50A71" w:rsidP="00077365">
            <w:pPr>
              <w:spacing w:after="0" w:line="276" w:lineRule="auto"/>
              <w:rPr>
                <w:rFonts w:ascii="Times New Roman" w:eastAsia="Times New Roman" w:hAnsi="Times New Roman" w:cs="Times New Roman"/>
                <w:b/>
                <w:color w:val="000000"/>
                <w:sz w:val="20"/>
                <w:lang w:eastAsia="en-SG"/>
              </w:rPr>
            </w:pPr>
            <w:r w:rsidRPr="00842A01">
              <w:rPr>
                <w:rFonts w:ascii="Times New Roman" w:eastAsia="Times New Roman" w:hAnsi="Times New Roman" w:cs="Times New Roman"/>
                <w:b/>
                <w:color w:val="000000"/>
                <w:sz w:val="20"/>
                <w:lang w:eastAsia="en-SG"/>
              </w:rPr>
              <w:t>BADL</w:t>
            </w:r>
          </w:p>
        </w:tc>
        <w:tc>
          <w:tcPr>
            <w:tcW w:w="373" w:type="pct"/>
            <w:tcBorders>
              <w:bottom w:val="single" w:sz="4" w:space="0" w:color="auto"/>
            </w:tcBorders>
            <w:shd w:val="clear" w:color="auto" w:fill="auto"/>
            <w:noWrap/>
            <w:vAlign w:val="center"/>
            <w:hideMark/>
          </w:tcPr>
          <w:p w14:paraId="00FFB509"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-0.33</w:t>
            </w:r>
          </w:p>
        </w:tc>
        <w:tc>
          <w:tcPr>
            <w:tcW w:w="379" w:type="pct"/>
            <w:tcBorders>
              <w:bottom w:val="single" w:sz="4" w:space="0" w:color="auto"/>
            </w:tcBorders>
            <w:shd w:val="clear" w:color="auto" w:fill="auto"/>
            <w:noWrap/>
            <w:vAlign w:val="center"/>
            <w:hideMark/>
          </w:tcPr>
          <w:p w14:paraId="6CD0CDD1"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0.12</w:t>
            </w:r>
          </w:p>
        </w:tc>
        <w:tc>
          <w:tcPr>
            <w:tcW w:w="373" w:type="pct"/>
            <w:tcBorders>
              <w:bottom w:val="single" w:sz="4" w:space="0" w:color="auto"/>
            </w:tcBorders>
            <w:shd w:val="clear" w:color="auto" w:fill="auto"/>
            <w:noWrap/>
            <w:vAlign w:val="center"/>
            <w:hideMark/>
          </w:tcPr>
          <w:p w14:paraId="2174C9EF"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-0.08</w:t>
            </w:r>
          </w:p>
        </w:tc>
        <w:tc>
          <w:tcPr>
            <w:tcW w:w="375" w:type="pct"/>
            <w:tcBorders>
              <w:bottom w:val="single" w:sz="4" w:space="0" w:color="auto"/>
            </w:tcBorders>
            <w:shd w:val="clear" w:color="auto" w:fill="auto"/>
            <w:noWrap/>
            <w:vAlign w:val="center"/>
            <w:hideMark/>
          </w:tcPr>
          <w:p w14:paraId="18739059"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0.71</w:t>
            </w:r>
          </w:p>
        </w:tc>
        <w:tc>
          <w:tcPr>
            <w:tcW w:w="373" w:type="pct"/>
            <w:tcBorders>
              <w:bottom w:val="single" w:sz="4" w:space="0" w:color="auto"/>
            </w:tcBorders>
            <w:shd w:val="clear" w:color="auto" w:fill="auto"/>
            <w:noWrap/>
            <w:vAlign w:val="center"/>
            <w:hideMark/>
          </w:tcPr>
          <w:p w14:paraId="2475547D"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-0.16</w:t>
            </w:r>
          </w:p>
        </w:tc>
        <w:tc>
          <w:tcPr>
            <w:tcW w:w="374" w:type="pct"/>
            <w:tcBorders>
              <w:bottom w:val="single" w:sz="4" w:space="0" w:color="auto"/>
            </w:tcBorders>
            <w:shd w:val="clear" w:color="auto" w:fill="auto"/>
            <w:noWrap/>
            <w:vAlign w:val="center"/>
            <w:hideMark/>
          </w:tcPr>
          <w:p w14:paraId="4437150E"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0.43</w:t>
            </w:r>
          </w:p>
        </w:tc>
        <w:tc>
          <w:tcPr>
            <w:tcW w:w="373" w:type="pct"/>
            <w:tcBorders>
              <w:bottom w:val="single" w:sz="4" w:space="0" w:color="auto"/>
            </w:tcBorders>
            <w:shd w:val="clear" w:color="auto" w:fill="auto"/>
            <w:noWrap/>
            <w:vAlign w:val="center"/>
            <w:hideMark/>
          </w:tcPr>
          <w:p w14:paraId="102F852B"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-0.31</w:t>
            </w:r>
          </w:p>
        </w:tc>
        <w:tc>
          <w:tcPr>
            <w:tcW w:w="373" w:type="pct"/>
            <w:tcBorders>
              <w:bottom w:val="single" w:sz="4" w:space="0" w:color="auto"/>
            </w:tcBorders>
            <w:shd w:val="clear" w:color="auto" w:fill="auto"/>
            <w:noWrap/>
            <w:vAlign w:val="center"/>
            <w:hideMark/>
          </w:tcPr>
          <w:p w14:paraId="0A147640"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0.11</w:t>
            </w:r>
          </w:p>
        </w:tc>
        <w:tc>
          <w:tcPr>
            <w:tcW w:w="373" w:type="pct"/>
            <w:tcBorders>
              <w:bottom w:val="single" w:sz="4" w:space="0" w:color="auto"/>
            </w:tcBorders>
            <w:shd w:val="clear" w:color="auto" w:fill="auto"/>
            <w:noWrap/>
            <w:vAlign w:val="center"/>
            <w:hideMark/>
          </w:tcPr>
          <w:p w14:paraId="4E092E7F"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-0.38</w:t>
            </w:r>
          </w:p>
        </w:tc>
        <w:tc>
          <w:tcPr>
            <w:tcW w:w="373" w:type="pct"/>
            <w:tcBorders>
              <w:bottom w:val="single" w:sz="4" w:space="0" w:color="auto"/>
            </w:tcBorders>
            <w:shd w:val="clear" w:color="auto" w:fill="auto"/>
            <w:noWrap/>
            <w:vAlign w:val="center"/>
            <w:hideMark/>
          </w:tcPr>
          <w:p w14:paraId="51498F49"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0.04</w:t>
            </w:r>
          </w:p>
        </w:tc>
        <w:tc>
          <w:tcPr>
            <w:tcW w:w="373" w:type="pct"/>
            <w:tcBorders>
              <w:bottom w:val="single" w:sz="4" w:space="0" w:color="auto"/>
            </w:tcBorders>
            <w:shd w:val="clear" w:color="auto" w:fill="auto"/>
            <w:noWrap/>
            <w:vAlign w:val="center"/>
            <w:hideMark/>
          </w:tcPr>
          <w:p w14:paraId="0E0AB27F" w14:textId="77777777" w:rsidR="00F50A71" w:rsidRPr="00842A01" w:rsidRDefault="00F50A71"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-0.54</w:t>
            </w:r>
          </w:p>
        </w:tc>
        <w:tc>
          <w:tcPr>
            <w:tcW w:w="370" w:type="pct"/>
            <w:tcBorders>
              <w:bottom w:val="single" w:sz="4" w:space="0" w:color="auto"/>
            </w:tcBorders>
            <w:shd w:val="clear" w:color="auto" w:fill="auto"/>
            <w:noWrap/>
            <w:vAlign w:val="center"/>
            <w:hideMark/>
          </w:tcPr>
          <w:p w14:paraId="4B6E76D8" w14:textId="072F1FFA" w:rsidR="00F50A71" w:rsidRPr="00842A01" w:rsidRDefault="00077365" w:rsidP="00077365">
            <w:pPr>
              <w:spacing w:after="0" w:line="276" w:lineRule="auto"/>
              <w:jc w:val="center"/>
              <w:rPr>
                <w:rFonts w:ascii="Times New Roman" w:eastAsia="Times New Roman" w:hAnsi="Times New Roman" w:cs="Times New Roman"/>
                <w:color w:val="000000"/>
                <w:sz w:val="20"/>
                <w:lang w:eastAsia="en-SG"/>
              </w:rPr>
            </w:pPr>
            <w:r w:rsidRPr="00842A01">
              <w:rPr>
                <w:rFonts w:ascii="Times New Roman" w:eastAsia="Times New Roman" w:hAnsi="Times New Roman" w:cs="Times New Roman"/>
                <w:color w:val="000000"/>
                <w:sz w:val="20"/>
                <w:lang w:eastAsia="en-SG"/>
              </w:rPr>
              <w:t>&lt;</w:t>
            </w:r>
            <w:r w:rsidR="00F50A71" w:rsidRPr="00842A01">
              <w:rPr>
                <w:rFonts w:ascii="Times New Roman" w:eastAsia="Times New Roman" w:hAnsi="Times New Roman" w:cs="Times New Roman"/>
                <w:color w:val="000000"/>
                <w:sz w:val="20"/>
                <w:lang w:eastAsia="en-SG"/>
              </w:rPr>
              <w:t>0.01</w:t>
            </w:r>
          </w:p>
        </w:tc>
      </w:tr>
    </w:tbl>
    <w:p w14:paraId="055FAA11" w14:textId="12D1EF32" w:rsidR="00FC35CA" w:rsidRPr="00842A01" w:rsidRDefault="00A3640F" w:rsidP="00E34586">
      <w:pPr>
        <w:autoSpaceDE w:val="0"/>
        <w:autoSpaceDN w:val="0"/>
        <w:adjustRightInd w:val="0"/>
        <w:spacing w:after="0" w:line="480" w:lineRule="auto"/>
        <w:jc w:val="both"/>
        <w:rPr>
          <w:rFonts w:ascii="Times New Roman" w:hAnsi="Times New Roman" w:cs="Times New Roman"/>
        </w:rPr>
      </w:pPr>
      <w:r w:rsidRPr="00842A01">
        <w:rPr>
          <w:rFonts w:ascii="Times New Roman" w:hAnsi="Times New Roman" w:cs="Times New Roman"/>
        </w:rPr>
        <w:t>Note: Multiple regression analysis controlling for gender, age, education, and TIV</w:t>
      </w:r>
      <w:r w:rsidR="00FC35CA" w:rsidRPr="00842A01">
        <w:rPr>
          <w:rFonts w:ascii="Times New Roman" w:hAnsi="Times New Roman" w:cs="Times New Roman"/>
        </w:rPr>
        <w:t>.</w:t>
      </w:r>
    </w:p>
    <w:p w14:paraId="60F40D5C" w14:textId="0697B74D" w:rsidR="005B298A" w:rsidRPr="00842A01" w:rsidRDefault="00DC0990" w:rsidP="00E34586">
      <w:pPr>
        <w:autoSpaceDE w:val="0"/>
        <w:autoSpaceDN w:val="0"/>
        <w:adjustRightInd w:val="0"/>
        <w:spacing w:after="0" w:line="480" w:lineRule="auto"/>
        <w:jc w:val="both"/>
        <w:rPr>
          <w:rFonts w:ascii="Times New Roman" w:hAnsi="Times New Roman" w:cs="Times New Roman"/>
        </w:rPr>
      </w:pPr>
      <w:r w:rsidRPr="00842A01">
        <w:rPr>
          <w:rFonts w:ascii="Times New Roman" w:hAnsi="Times New Roman" w:cs="Times New Roman"/>
          <w:lang w:val="it-IT"/>
        </w:rPr>
        <w:t xml:space="preserve">Abbreviations: VAMC, ventral anterior magnocellular; </w:t>
      </w:r>
      <w:r w:rsidR="00F20201" w:rsidRPr="00842A01">
        <w:rPr>
          <w:rFonts w:ascii="Times New Roman" w:hAnsi="Times New Roman" w:cs="Times New Roman"/>
          <w:lang w:val="it-IT"/>
        </w:rPr>
        <w:t xml:space="preserve">VA, ventral anterior; </w:t>
      </w:r>
      <w:r w:rsidRPr="00842A01">
        <w:rPr>
          <w:rFonts w:ascii="Times New Roman" w:hAnsi="Times New Roman" w:cs="Times New Roman"/>
          <w:lang w:val="it-IT"/>
        </w:rPr>
        <w:t xml:space="preserve">VLA, ventral lateral anterior; VLP, ventrolateral posterior; </w:t>
      </w:r>
      <w:r w:rsidR="00244A1B" w:rsidRPr="00842A01">
        <w:rPr>
          <w:rFonts w:ascii="Times New Roman" w:hAnsi="Times New Roman" w:cs="Times New Roman"/>
          <w:lang w:val="it-IT"/>
        </w:rPr>
        <w:t>VPL, ventral posteriolateral; VM, ventromedial</w:t>
      </w:r>
      <w:r w:rsidR="00D14F78" w:rsidRPr="00842A01">
        <w:rPr>
          <w:rFonts w:ascii="Times New Roman" w:hAnsi="Times New Roman" w:cs="Times New Roman"/>
          <w:lang w:val="it-IT"/>
        </w:rPr>
        <w:t>.</w:t>
      </w:r>
    </w:p>
    <w:p w14:paraId="0DB179DC" w14:textId="171A8F3D" w:rsidR="00F53B63" w:rsidRPr="00842A01" w:rsidRDefault="00F53B63" w:rsidP="004A08EC">
      <w:pPr>
        <w:autoSpaceDE w:val="0"/>
        <w:autoSpaceDN w:val="0"/>
        <w:adjustRightInd w:val="0"/>
        <w:spacing w:line="480" w:lineRule="auto"/>
        <w:rPr>
          <w:rFonts w:ascii="Times New Roman" w:hAnsi="Times New Roman" w:cs="Times New Roman"/>
          <w:color w:val="FF0000"/>
          <w:lang w:val="it-IT"/>
        </w:rPr>
      </w:pPr>
    </w:p>
    <w:p w14:paraId="70F5C936" w14:textId="77777777" w:rsidR="00FC35CA" w:rsidRPr="00842A01" w:rsidRDefault="00FC35CA" w:rsidP="004A08EC">
      <w:pPr>
        <w:autoSpaceDE w:val="0"/>
        <w:autoSpaceDN w:val="0"/>
        <w:adjustRightInd w:val="0"/>
        <w:spacing w:line="480" w:lineRule="auto"/>
        <w:rPr>
          <w:rFonts w:ascii="Times New Roman" w:hAnsi="Times New Roman" w:cs="Times New Roman"/>
          <w:color w:val="FF0000"/>
          <w:lang w:val="it-IT"/>
        </w:rPr>
      </w:pPr>
    </w:p>
    <w:p w14:paraId="6C9CB4ED" w14:textId="77777777" w:rsidR="00AD53B8" w:rsidRPr="00842A01" w:rsidRDefault="009B2BC2" w:rsidP="00AC768C">
      <w:pPr>
        <w:pStyle w:val="ListParagraph"/>
        <w:numPr>
          <w:ilvl w:val="0"/>
          <w:numId w:val="20"/>
        </w:numPr>
        <w:autoSpaceDE w:val="0"/>
        <w:autoSpaceDN w:val="0"/>
        <w:adjustRightInd w:val="0"/>
        <w:spacing w:line="480" w:lineRule="auto"/>
        <w:jc w:val="both"/>
        <w:rPr>
          <w:rFonts w:ascii="Times New Roman" w:hAnsi="Times New Roman" w:cs="Times New Roman"/>
          <w:b/>
        </w:rPr>
      </w:pPr>
      <w:r w:rsidRPr="00842A01">
        <w:rPr>
          <w:rFonts w:ascii="Times New Roman" w:hAnsi="Times New Roman" w:cs="Times New Roman"/>
          <w:b/>
        </w:rPr>
        <w:t>DISCUSSION</w:t>
      </w:r>
    </w:p>
    <w:p w14:paraId="70B12100" w14:textId="5ED59ED1" w:rsidR="00AD53B8" w:rsidRPr="00842A01" w:rsidRDefault="00A5362C" w:rsidP="00A47420">
      <w:pPr>
        <w:autoSpaceDE w:val="0"/>
        <w:autoSpaceDN w:val="0"/>
        <w:adjustRightInd w:val="0"/>
        <w:spacing w:line="480" w:lineRule="auto"/>
        <w:jc w:val="both"/>
        <w:rPr>
          <w:rFonts w:ascii="Times New Roman" w:hAnsi="Times New Roman" w:cs="Times New Roman"/>
          <w:shd w:val="clear" w:color="auto" w:fill="FFFFFF"/>
        </w:rPr>
      </w:pPr>
      <w:r w:rsidRPr="00842A01">
        <w:rPr>
          <w:rFonts w:ascii="Times New Roman" w:hAnsi="Times New Roman" w:cs="Times New Roman"/>
        </w:rPr>
        <w:tab/>
      </w:r>
      <w:r w:rsidR="004F5F48" w:rsidRPr="00842A01">
        <w:rPr>
          <w:rFonts w:ascii="Times New Roman" w:hAnsi="Times New Roman" w:cs="Times New Roman"/>
        </w:rPr>
        <w:t xml:space="preserve">The </w:t>
      </w:r>
      <w:r w:rsidR="00065E6E" w:rsidRPr="00842A01">
        <w:rPr>
          <w:rFonts w:ascii="Times New Roman" w:hAnsi="Times New Roman" w:cs="Times New Roman"/>
        </w:rPr>
        <w:t xml:space="preserve">normal </w:t>
      </w:r>
      <w:r w:rsidR="004F5F48" w:rsidRPr="00842A01">
        <w:rPr>
          <w:rFonts w:ascii="Times New Roman" w:hAnsi="Times New Roman" w:cs="Times New Roman"/>
        </w:rPr>
        <w:t xml:space="preserve">asymmetric structure and function of the human brain </w:t>
      </w:r>
      <w:r w:rsidR="00065E6E" w:rsidRPr="00842A01">
        <w:rPr>
          <w:rFonts w:ascii="Times New Roman" w:hAnsi="Times New Roman" w:cs="Times New Roman"/>
        </w:rPr>
        <w:t xml:space="preserve">has </w:t>
      </w:r>
      <w:r w:rsidR="004F5F48" w:rsidRPr="00842A01">
        <w:rPr>
          <w:rFonts w:ascii="Times New Roman" w:hAnsi="Times New Roman" w:cs="Times New Roman"/>
        </w:rPr>
        <w:t>evolutionary</w:t>
      </w:r>
      <w:r w:rsidR="00065E6E" w:rsidRPr="00842A01">
        <w:rPr>
          <w:rFonts w:ascii="Times New Roman" w:hAnsi="Times New Roman" w:cs="Times New Roman"/>
        </w:rPr>
        <w:t xml:space="preserve"> and </w:t>
      </w:r>
      <w:r w:rsidR="004F5F48" w:rsidRPr="00842A01">
        <w:rPr>
          <w:rFonts w:ascii="Times New Roman" w:hAnsi="Times New Roman" w:cs="Times New Roman"/>
        </w:rPr>
        <w:t>developmental</w:t>
      </w:r>
      <w:r w:rsidR="00065E6E" w:rsidRPr="00842A01">
        <w:rPr>
          <w:rFonts w:ascii="Times New Roman" w:hAnsi="Times New Roman" w:cs="Times New Roman"/>
        </w:rPr>
        <w:t xml:space="preserve"> origins</w:t>
      </w:r>
      <w:r w:rsidR="004F5F48" w:rsidRPr="00842A01">
        <w:rPr>
          <w:rFonts w:ascii="Times New Roman" w:hAnsi="Times New Roman" w:cs="Times New Roman"/>
        </w:rPr>
        <w:t xml:space="preserve"> </w:t>
      </w:r>
      <w:r w:rsidR="004F5F48"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{"citationItems":[{"id":"ITEM-1","itemData":{"DOI":"10.1038/nrn1009","ISBN":"1471-0048","ISSN":"1471-003X","PMID":"12511860","abstract":"Brain asymmetry has been observed in animals and humans in terms of structure, function and behaviour. This lateralization is thought to reflect evolutionary, hereditary, developmental, experiential and pathological factors. Here, we review the diverse literature describing brain asymmetries, focusing primarily on anatomical differences between the hemispheres and on the methods that have been used to detect them. Brain-mapping approaches, in particular, can identify and visualize patterns of asymmetry in whole populations, including subtle alterations that occur in disease, with age and during development. These and other tools show great promise for assessing factors that modulate cognitive specialization in the brain, including the ontogeny, phylogeny and genetic determinants of brain asymmetry.","author":[{"dropping-particle":"","family":"Toga","given":"Arthur W","non-dropping-particle":"","parse-names":false,"suffix":""},{"dropping-particle":"","family":"Thompson","given":"Paul M","non-dropping-particle":"","parse-names":false,"suffix":""}],"container-title":"Nature Reviews Neuroscience","id":"ITEM-1","issue":"1","issued":{"date-parts":[["2003"]]},"page":"37-48","title":"Mapping brain asymmetry","type":"article-journal","volume":"4"},"uris":["http://www.mendeley.com/documents/?uuid=5416104b-d2fe-4ed8-ba85-d266bdc21fdb"]}],"mendeley":{"formattedCitation":"[34]","plainTextFormattedCitation":"[34]","previouslyFormattedCitation":"[34]"},"properties":{"noteIndex":0},"schema":"https://github.com/citation-style-language/schema/raw/master/csl-citation.json"}</w:instrText>
      </w:r>
      <w:r w:rsidR="004F5F48" w:rsidRPr="00842A01">
        <w:rPr>
          <w:rFonts w:ascii="Times New Roman" w:hAnsi="Times New Roman" w:cs="Times New Roman"/>
        </w:rPr>
        <w:fldChar w:fldCharType="separate"/>
      </w:r>
      <w:r w:rsidR="00552CC9" w:rsidRPr="00842A01">
        <w:rPr>
          <w:rFonts w:ascii="Times New Roman" w:hAnsi="Times New Roman" w:cs="Times New Roman"/>
          <w:noProof/>
        </w:rPr>
        <w:t>[34]</w:t>
      </w:r>
      <w:r w:rsidR="004F5F48" w:rsidRPr="00842A01">
        <w:rPr>
          <w:rFonts w:ascii="Times New Roman" w:hAnsi="Times New Roman" w:cs="Times New Roman"/>
        </w:rPr>
        <w:fldChar w:fldCharType="end"/>
      </w:r>
      <w:r w:rsidR="00065E6E" w:rsidRPr="00842A01">
        <w:rPr>
          <w:rFonts w:ascii="Times New Roman" w:hAnsi="Times New Roman" w:cs="Times New Roman"/>
        </w:rPr>
        <w:t xml:space="preserve">, but can also </w:t>
      </w:r>
      <w:r w:rsidR="00777203" w:rsidRPr="00842A01">
        <w:rPr>
          <w:rFonts w:ascii="Times New Roman" w:hAnsi="Times New Roman" w:cs="Times New Roman"/>
        </w:rPr>
        <w:t xml:space="preserve">be </w:t>
      </w:r>
      <w:r w:rsidR="004F5F48" w:rsidRPr="00842A01">
        <w:rPr>
          <w:rFonts w:ascii="Times New Roman" w:hAnsi="Times New Roman" w:cs="Times New Roman"/>
        </w:rPr>
        <w:t>indicative of neurological disorders</w:t>
      </w:r>
      <w:r w:rsidRPr="00842A01">
        <w:rPr>
          <w:rFonts w:ascii="Times New Roman" w:hAnsi="Times New Roman" w:cs="Times New Roman"/>
        </w:rPr>
        <w:t xml:space="preserve"> </w:t>
      </w:r>
      <w:r w:rsidR="002C3F03"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{"citationItems":[{"id":"ITEM-1","itemData":{"DOI":"10.1016/S0197-4580(00)00238-4","ISSN":"0197-4580","abstract":"The sensitivity of MRI volumetric measures to detect cognitive dysfunction is examined in 39 participants of an epidemiological field study (age 75–85, MMSE 19–30). According to Clinical dementia rating (CDR), 17 subjects had normal cognition (CDR 0), 12 had questionable (CDR 0.5) and 10 mild dementia (CDR 1). Discriminant analysis based on four hippocampal measures resulted in a correct classification of 76.9% of all subjects. Left-sided and posterior hippocampal measures were more responsible for group discrimination than right-sided and anterior measures. In CDR 0.5, a significant hippocampal volume reduction of 14.3% vs.11.3% (left vs. right) relative to normal was found. The right hippocampus was significantly greater than the left in CDR 0 and CDR 0.5, but not in CDR 1. The magnitude of non-directional hippocampal asymmetry increased with decreasing cognitive state. We conclude that hippocampal atrophy is sensitive to detect cognitive dysfunction and subjects at risk for Alzheimer’s disease in the elderly population.","author":[{"dropping-particle":"","family":"Wolf","given":"H","non-dropping-particle":"","parse-names":false,"suffix":""},{"dropping-particle":"","family":"Grunwald","given":"M","non-dropping-particle":"","parse-names":false,"suffix":""},{"dropping-particle":"","family":"Kruggel","given":"F","non-dropping-particle":"","parse-names":false,"suffix":""},{"dropping-particle":"","family":"Riedel-Heller","given":"S G","non-dropping-particle":"","parse-names":false,"suffix":""},{"dropping-particle":"","family":"Angerhöfer","given":"S","non-dropping-particle":"","parse-names":false,"suffix":""},{"dropping-particle":"","family":"Hojjatoleslami","given":"A","non-dropping-particle":"","parse-names":false,"suffix":""},{"dropping-particle":"","family":"Hensel","given":"A","non-dropping-particle":"","parse-names":false,"suffix":""},{"dropping-particle":"","family":"Arendt","given":"T","non-dropping-particle":"","parse-names":false,"suffix":""},{"dropping-particle":"","family":"Gertz","given":"H.-J","non-dropping-particle":"","parse-names":false,"suffix":""}],"container-title":"Neurobiology of Aging","id":"ITEM-1","issue":"2","issued":{"date-parts":[["2001"]]},"page":"177-186","title":"Hippocampal volume discriminates between normal cognition; questionable and mild dementia in the elderly","type":"article-journal","volume":"22"},"uris":["http://www.mendeley.com/documents/?uuid=ac1a3bb5-f9dc-4c89-a16d-3ee28701ef7b"]},{"id":"ITEM-2","itemData":{"DOI":"10.1038/nrn1009","ISBN":"1471-0048","ISSN":"1471-003X","PMID":"12511860","abstract":"Brain asymmetry has been observed in animals and humans in terms of structure, function and behaviour. This lateralization is thought to reflect evolutionary, hereditary, developmental, experiential and pathological factors. Here, we review the diverse literature describing brain asymmetries, focusing primarily on anatomical differences between the hemispheres and on the methods that have been used to detect them. Brain-mapping approaches, in particular, can identify and visualize patterns of asymmetry in whole populations, including subtle alterations that occur in disease, with age and during development. These and other tools show great promise for assessing factors that modulate cognitive specialization in the brain, including the ontogeny, phylogeny and genetic determinants of brain asymmetry.","author":[{"dropping-particle":"","family":"Toga","given":"Arthur W","non-dropping-particle":"","parse-names":false,"suffix":""},{"dropping-particle":"","family":"Thompson","given":"Paul M","non-dropping-particle":"","parse-names":false,"suffix":""}],"container-title":"Nature Reviews Neuroscience","id":"ITEM-2","issue":"1","issued":{"date-parts":[["2003"]]},"page":"37-48","title":"Mapping brain asymmetry","type":"article-journal","volume":"4"},"uris":["http://www.mendeley.com/documents/?uuid=5416104b-d2fe-4ed8-ba85-d266bdc21fdb"]}],"mendeley":{"formattedCitation":"[7,34]","plainTextFormattedCitation":"[7,34]","previouslyFormattedCitation":"[7,34]"},"properties":{"noteIndex":0},"schema":"https://github.com/citation-style-language/schema/raw/master/csl-citation.json"}</w:instrText>
      </w:r>
      <w:r w:rsidR="002C3F03" w:rsidRPr="00842A01">
        <w:rPr>
          <w:rFonts w:ascii="Times New Roman" w:hAnsi="Times New Roman" w:cs="Times New Roman"/>
        </w:rPr>
        <w:fldChar w:fldCharType="separate"/>
      </w:r>
      <w:r w:rsidR="00552CC9" w:rsidRPr="00842A01">
        <w:rPr>
          <w:rFonts w:ascii="Times New Roman" w:hAnsi="Times New Roman" w:cs="Times New Roman"/>
          <w:noProof/>
        </w:rPr>
        <w:t>[7,34]</w:t>
      </w:r>
      <w:r w:rsidR="002C3F03" w:rsidRPr="00842A01">
        <w:rPr>
          <w:rFonts w:ascii="Times New Roman" w:hAnsi="Times New Roman" w:cs="Times New Roman"/>
        </w:rPr>
        <w:fldChar w:fldCharType="end"/>
      </w:r>
      <w:r w:rsidR="004F5F48" w:rsidRPr="00842A01">
        <w:rPr>
          <w:rFonts w:ascii="Times New Roman" w:hAnsi="Times New Roman" w:cs="Times New Roman"/>
        </w:rPr>
        <w:t xml:space="preserve">. </w:t>
      </w:r>
      <w:r w:rsidR="00065E6E" w:rsidRPr="00842A01">
        <w:rPr>
          <w:rFonts w:ascii="Times New Roman" w:hAnsi="Times New Roman" w:cs="Times New Roman"/>
          <w:shd w:val="clear" w:color="auto" w:fill="FFFFFF"/>
        </w:rPr>
        <w:t>W</w:t>
      </w:r>
      <w:r w:rsidR="00163B6F" w:rsidRPr="00842A01">
        <w:rPr>
          <w:rFonts w:ascii="Times New Roman" w:hAnsi="Times New Roman" w:cs="Times New Roman"/>
          <w:shd w:val="clear" w:color="auto" w:fill="FFFFFF"/>
        </w:rPr>
        <w:t>e examined the degree of thalamic asymmetr</w:t>
      </w:r>
      <w:r w:rsidR="00065E6E" w:rsidRPr="00842A01">
        <w:rPr>
          <w:rFonts w:ascii="Times New Roman" w:hAnsi="Times New Roman" w:cs="Times New Roman"/>
          <w:shd w:val="clear" w:color="auto" w:fill="FFFFFF"/>
        </w:rPr>
        <w:t xml:space="preserve">y </w:t>
      </w:r>
      <w:r w:rsidR="00163B6F" w:rsidRPr="00842A01">
        <w:rPr>
          <w:rFonts w:ascii="Times New Roman" w:hAnsi="Times New Roman" w:cs="Times New Roman"/>
          <w:shd w:val="clear" w:color="auto" w:fill="FFFFFF"/>
        </w:rPr>
        <w:t xml:space="preserve">in </w:t>
      </w:r>
      <w:r w:rsidR="004E17D5" w:rsidRPr="00842A01">
        <w:rPr>
          <w:rFonts w:ascii="Times New Roman" w:hAnsi="Times New Roman" w:cs="Times New Roman"/>
          <w:shd w:val="clear" w:color="auto" w:fill="FFFFFF"/>
        </w:rPr>
        <w:t>AD</w:t>
      </w:r>
      <w:r w:rsidR="00065E6E" w:rsidRPr="00842A01">
        <w:rPr>
          <w:rFonts w:ascii="Times New Roman" w:hAnsi="Times New Roman" w:cs="Times New Roman"/>
          <w:shd w:val="clear" w:color="auto" w:fill="FFFFFF"/>
        </w:rPr>
        <w:t xml:space="preserve">, spanning </w:t>
      </w:r>
      <w:r w:rsidR="00B26B5B" w:rsidRPr="00842A01">
        <w:rPr>
          <w:rFonts w:ascii="Times New Roman" w:hAnsi="Times New Roman" w:cs="Times New Roman"/>
          <w:shd w:val="clear" w:color="auto" w:fill="FFFFFF"/>
        </w:rPr>
        <w:t>amyloid-</w:t>
      </w:r>
      <w:r w:rsidR="00EB316B" w:rsidRPr="00842A01">
        <w:rPr>
          <w:rFonts w:ascii="Times New Roman" w:hAnsi="Times New Roman" w:cs="Times New Roman"/>
          <w:shd w:val="clear" w:color="auto" w:fill="FFFFFF"/>
        </w:rPr>
        <w:t xml:space="preserve">positive </w:t>
      </w:r>
      <w:r w:rsidR="00163B6F" w:rsidRPr="00842A01">
        <w:rPr>
          <w:rFonts w:ascii="Times New Roman" w:hAnsi="Times New Roman" w:cs="Times New Roman"/>
          <w:shd w:val="clear" w:color="auto" w:fill="FFFFFF"/>
        </w:rPr>
        <w:t xml:space="preserve">MCI and </w:t>
      </w:r>
      <w:r w:rsidR="004E17D5" w:rsidRPr="00842A01">
        <w:rPr>
          <w:rFonts w:ascii="Times New Roman" w:hAnsi="Times New Roman" w:cs="Times New Roman"/>
          <w:shd w:val="clear" w:color="auto" w:fill="FFFFFF"/>
        </w:rPr>
        <w:t>dementia</w:t>
      </w:r>
      <w:r w:rsidR="00065E6E" w:rsidRPr="00842A01">
        <w:rPr>
          <w:rFonts w:ascii="Times New Roman" w:hAnsi="Times New Roman" w:cs="Times New Roman"/>
          <w:shd w:val="clear" w:color="auto" w:fill="FFFFFF"/>
        </w:rPr>
        <w:t>.</w:t>
      </w:r>
      <w:r w:rsidR="004D730B" w:rsidRPr="00842A01">
        <w:rPr>
          <w:rFonts w:ascii="Times New Roman" w:hAnsi="Times New Roman" w:cs="Times New Roman"/>
          <w:shd w:val="clear" w:color="auto" w:fill="FFFFFF"/>
        </w:rPr>
        <w:t xml:space="preserve"> </w:t>
      </w:r>
      <w:r w:rsidR="007E7ECA" w:rsidRPr="00842A01">
        <w:rPr>
          <w:rFonts w:ascii="Times New Roman" w:hAnsi="Times New Roman" w:cs="Times New Roman"/>
          <w:shd w:val="clear" w:color="auto" w:fill="FFFFFF"/>
        </w:rPr>
        <w:t>Thalamic atrophy was left-lateralized in the ventral thalamus</w:t>
      </w:r>
      <w:r w:rsidR="00777203" w:rsidRPr="00842A01">
        <w:rPr>
          <w:rFonts w:ascii="Times New Roman" w:hAnsi="Times New Roman" w:cs="Times New Roman"/>
          <w:shd w:val="clear" w:color="auto" w:fill="FFFFFF"/>
        </w:rPr>
        <w:t xml:space="preserve"> of AD patients</w:t>
      </w:r>
      <w:r w:rsidR="007E7ECA" w:rsidRPr="00842A01">
        <w:rPr>
          <w:rFonts w:ascii="Times New Roman" w:hAnsi="Times New Roman" w:cs="Times New Roman"/>
          <w:shd w:val="clear" w:color="auto" w:fill="FFFFFF"/>
        </w:rPr>
        <w:t>,</w:t>
      </w:r>
      <w:r w:rsidR="000A772A" w:rsidRPr="00842A01">
        <w:rPr>
          <w:rFonts w:ascii="Times New Roman" w:hAnsi="Times New Roman" w:cs="Times New Roman"/>
          <w:shd w:val="clear" w:color="auto" w:fill="FFFFFF"/>
        </w:rPr>
        <w:t xml:space="preserve"> specifically the VPL, VLP, and VM subnuclei, compared to</w:t>
      </w:r>
      <w:r w:rsidR="007E7ECA" w:rsidRPr="00842A01">
        <w:rPr>
          <w:rFonts w:ascii="Times New Roman" w:hAnsi="Times New Roman" w:cs="Times New Roman"/>
          <w:shd w:val="clear" w:color="auto" w:fill="FFFFFF"/>
        </w:rPr>
        <w:t xml:space="preserve"> HC and MCI groups. The</w:t>
      </w:r>
      <w:r w:rsidR="004D730B" w:rsidRPr="00842A01">
        <w:rPr>
          <w:rFonts w:ascii="Times New Roman" w:hAnsi="Times New Roman" w:cs="Times New Roman"/>
          <w:shd w:val="clear" w:color="auto" w:fill="FFFFFF"/>
        </w:rPr>
        <w:t xml:space="preserve"> left-lateralised </w:t>
      </w:r>
      <w:r w:rsidR="00065E6E" w:rsidRPr="00842A01">
        <w:rPr>
          <w:rFonts w:ascii="Times New Roman" w:hAnsi="Times New Roman" w:cs="Times New Roman"/>
          <w:shd w:val="clear" w:color="auto" w:fill="FFFFFF"/>
        </w:rPr>
        <w:t>atrophy</w:t>
      </w:r>
      <w:r w:rsidR="007E7ECA" w:rsidRPr="00842A01">
        <w:rPr>
          <w:rFonts w:ascii="Times New Roman" w:hAnsi="Times New Roman" w:cs="Times New Roman"/>
          <w:shd w:val="clear" w:color="auto" w:fill="FFFFFF"/>
        </w:rPr>
        <w:t xml:space="preserve"> of the </w:t>
      </w:r>
      <w:r w:rsidR="008F789B" w:rsidRPr="00842A01">
        <w:rPr>
          <w:rFonts w:ascii="Times New Roman" w:hAnsi="Times New Roman" w:cs="Times New Roman"/>
          <w:shd w:val="clear" w:color="auto" w:fill="FFFFFF"/>
        </w:rPr>
        <w:t xml:space="preserve">posterior </w:t>
      </w:r>
      <w:r w:rsidR="008F789B" w:rsidRPr="00842A01">
        <w:rPr>
          <w:rFonts w:ascii="Times New Roman" w:hAnsi="Times New Roman" w:cs="Times New Roman"/>
          <w:shd w:val="clear" w:color="auto" w:fill="FFFFFF"/>
        </w:rPr>
        <w:lastRenderedPageBreak/>
        <w:t>ventrolateral</w:t>
      </w:r>
      <w:r w:rsidR="00F20201" w:rsidRPr="00842A01">
        <w:rPr>
          <w:rFonts w:ascii="Times New Roman" w:hAnsi="Times New Roman" w:cs="Times New Roman"/>
          <w:shd w:val="clear" w:color="auto" w:fill="FFFFFF"/>
        </w:rPr>
        <w:t xml:space="preserve"> a</w:t>
      </w:r>
      <w:r w:rsidR="007E7ECA" w:rsidRPr="00842A01">
        <w:rPr>
          <w:rFonts w:ascii="Times New Roman" w:hAnsi="Times New Roman" w:cs="Times New Roman"/>
          <w:shd w:val="clear" w:color="auto" w:fill="FFFFFF"/>
        </w:rPr>
        <w:t>nd ventromedial nuclei</w:t>
      </w:r>
      <w:r w:rsidR="004D730B" w:rsidRPr="00842A01">
        <w:rPr>
          <w:rFonts w:ascii="Times New Roman" w:hAnsi="Times New Roman" w:cs="Times New Roman"/>
          <w:shd w:val="clear" w:color="auto" w:fill="FFFFFF"/>
        </w:rPr>
        <w:t xml:space="preserve"> correlate</w:t>
      </w:r>
      <w:r w:rsidR="00065E6E" w:rsidRPr="00842A01">
        <w:rPr>
          <w:rFonts w:ascii="Times New Roman" w:hAnsi="Times New Roman" w:cs="Times New Roman"/>
          <w:shd w:val="clear" w:color="auto" w:fill="FFFFFF"/>
        </w:rPr>
        <w:t>d</w:t>
      </w:r>
      <w:r w:rsidR="004D730B" w:rsidRPr="00842A01">
        <w:rPr>
          <w:rFonts w:ascii="Times New Roman" w:hAnsi="Times New Roman" w:cs="Times New Roman"/>
          <w:shd w:val="clear" w:color="auto" w:fill="FFFFFF"/>
        </w:rPr>
        <w:t xml:space="preserve"> with </w:t>
      </w:r>
      <w:r w:rsidR="00F20201" w:rsidRPr="00842A01">
        <w:rPr>
          <w:rFonts w:ascii="Times New Roman" w:hAnsi="Times New Roman" w:cs="Times New Roman"/>
          <w:shd w:val="clear" w:color="auto" w:fill="FFFFFF"/>
        </w:rPr>
        <w:t xml:space="preserve">verbal fluency, </w:t>
      </w:r>
      <w:r w:rsidR="004D730B" w:rsidRPr="00842A01">
        <w:rPr>
          <w:rFonts w:ascii="Times New Roman" w:hAnsi="Times New Roman" w:cs="Times New Roman"/>
          <w:shd w:val="clear" w:color="auto" w:fill="FFFFFF"/>
        </w:rPr>
        <w:t xml:space="preserve">neuropsychiatric </w:t>
      </w:r>
      <w:r w:rsidR="007E7ECA" w:rsidRPr="00842A01">
        <w:rPr>
          <w:rFonts w:ascii="Times New Roman" w:hAnsi="Times New Roman" w:cs="Times New Roman"/>
          <w:shd w:val="clear" w:color="auto" w:fill="FFFFFF"/>
        </w:rPr>
        <w:t>symptoms</w:t>
      </w:r>
      <w:r w:rsidR="00F20201" w:rsidRPr="00842A01">
        <w:rPr>
          <w:rFonts w:ascii="Times New Roman" w:hAnsi="Times New Roman" w:cs="Times New Roman"/>
          <w:shd w:val="clear" w:color="auto" w:fill="FFFFFF"/>
        </w:rPr>
        <w:t xml:space="preserve">, disease severity, and functional </w:t>
      </w:r>
      <w:r w:rsidR="005E06EA" w:rsidRPr="00842A01">
        <w:rPr>
          <w:rFonts w:ascii="Times New Roman" w:hAnsi="Times New Roman" w:cs="Times New Roman"/>
          <w:shd w:val="clear" w:color="auto" w:fill="FFFFFF"/>
        </w:rPr>
        <w:t>impairment</w:t>
      </w:r>
      <w:r w:rsidR="00867804" w:rsidRPr="00842A01">
        <w:rPr>
          <w:rFonts w:ascii="Times New Roman" w:hAnsi="Times New Roman" w:cs="Times New Roman"/>
          <w:shd w:val="clear" w:color="auto" w:fill="FFFFFF"/>
        </w:rPr>
        <w:t>.</w:t>
      </w:r>
    </w:p>
    <w:p w14:paraId="38A2CF3A" w14:textId="00D8949F" w:rsidR="00495484" w:rsidRPr="00842A01" w:rsidRDefault="00EB5391" w:rsidP="00153C16">
      <w:pPr>
        <w:spacing w:line="480" w:lineRule="auto"/>
        <w:jc w:val="both"/>
        <w:rPr>
          <w:rFonts w:ascii="Times New Roman" w:hAnsi="Times New Roman" w:cs="Times New Roman"/>
        </w:rPr>
      </w:pPr>
      <w:r w:rsidRPr="00842A01">
        <w:rPr>
          <w:rFonts w:ascii="Times New Roman" w:hAnsi="Times New Roman" w:cs="Times New Roman"/>
        </w:rPr>
        <w:tab/>
      </w:r>
      <w:r w:rsidR="00153C16" w:rsidRPr="00842A01">
        <w:rPr>
          <w:rFonts w:ascii="Times New Roman" w:hAnsi="Times New Roman" w:cs="Times New Roman"/>
        </w:rPr>
        <w:t>O</w:t>
      </w:r>
      <w:r w:rsidR="004F5F48" w:rsidRPr="00842A01">
        <w:rPr>
          <w:rFonts w:ascii="Times New Roman" w:hAnsi="Times New Roman" w:cs="Times New Roman"/>
        </w:rPr>
        <w:t xml:space="preserve">ur findings </w:t>
      </w:r>
      <w:r w:rsidR="00BD2BDC" w:rsidRPr="00842A01">
        <w:rPr>
          <w:rFonts w:ascii="Times New Roman" w:hAnsi="Times New Roman" w:cs="Times New Roman"/>
        </w:rPr>
        <w:t>wer</w:t>
      </w:r>
      <w:r w:rsidR="005E06EA" w:rsidRPr="00842A01">
        <w:rPr>
          <w:rFonts w:ascii="Times New Roman" w:hAnsi="Times New Roman" w:cs="Times New Roman"/>
        </w:rPr>
        <w:t xml:space="preserve">e </w:t>
      </w:r>
      <w:r w:rsidR="004F5F48" w:rsidRPr="00842A01">
        <w:rPr>
          <w:rFonts w:ascii="Times New Roman" w:hAnsi="Times New Roman" w:cs="Times New Roman"/>
        </w:rPr>
        <w:t xml:space="preserve">consistent with previous investigations </w:t>
      </w:r>
      <w:r w:rsidR="004F5F48"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{"citationItems":[{"id":"ITEM-1","itemData":{"DOI":"10.3174/ajnr.A2232","ISSN":"1936-959X (Electronic)","PMID":"20966061","abstract":"BACKGROUND AND PURPOSE: TA is a branch of image processing that seeks to reduce image information by extracting texture descriptors from the image. TA of MR images of anatomic structures in mild AD and aMCI is not well-studied. Our objective was to attempt to find differences among patients with aMCI and mild AD and normal-aging subjects, by using TA applied to the MR images of the CC and the thalami of these groups of subjects. MATERIALS AND METHODS: TA was applied to the MR images of 17 patients with aMCI, 16 patients with mild AD, and 16 normal-aging subjects. The TA approach was based on the GLCM. MR images were T1-weighted and were obtained in the sagittal and axial planes. The CC and thalami were manually segmented for each subject, and 44 texture parameters were computed for each of these structures. RESULTS: TA parameters showed differences among the 3 groups for the CC and thalamus. A pair-wise comparison among groups showed differences for AD-control and aMCI-AD for the CC; and for AD-control, aMCI-AD, and aMCI-control for the thalamus. CONCLUSIONS: TA is a useful technique to aid in the detection of tissue alterations in MR images of mild AD and aMCI and has the potential to become a helpful tool in the diagnosis and understanding of these pathologies.","author":[{"dropping-particle":"","family":"Oliveira","given":"M S","non-dropping-particle":"de","parse-names":false,"suffix":""},{"dropping-particle":"","family":"Balthazar","given":"M L F","non-dropping-particle":"","parse-names":false,"suffix":""},{"dropping-particle":"","family":"D'Abreu","given":"A","non-dropping-particle":"","parse-names":false,"suffix":""},{"dropping-particle":"","family":"Yasuda","given":"C L","non-dropping-particle":"","parse-names":false,"suffix":""},{"dropping-particle":"","family":"Damasceno","given":"B P","non-dropping-particle":"","parse-names":false,"suffix":""},{"dropping-particle":"","family":"Cendes","given":"F","non-dropping-particle":"","parse-names":false,"suffix":""},{"dropping-particle":"","family":"Castellano","given":"G","non-dropping-particle":"","parse-names":false,"suffix":""}],"container-title":"AJNR. American journal of neuroradiology","id":"ITEM-1","issue":"1","issued":{"date-parts":[["2011","1"]]},"language":"eng","page":"60-66","publisher-place":"United States","title":"MR imaging texture analysis of the corpus callosum and thalamus in amnestic mild  cognitive impairment and mild Alzheimer disease.","type":"article-journal","volume":"32"},"uris":["http://www.mendeley.com/documents/?uuid=4303a7e9-94bd-449f-b364-0a9770523afd"]},{"id":"ITEM-2","itemData":{"DOI":"10.1093/brain/aww243","ISSN":"1460-2156","abstract":"Structural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Initiative","given":"","non-dropping-particle":"","parse-names":false,"suffix":""}],"container-title":"Brain","edition":"2016/10/10","id":"ITEM-2","issue":"Pt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amygdala","type":"article-journal","volume":"139"},"uris":["http://www.mendeley.com/documents/?uuid=a3608b08-d653-4ac7-a5a8-1431f6615fb1"]},{"id":"ITEM-3","itemData":{"DOI":"10.1016/j.neuroimage.2011.03.014","ISSN":"1095-9572","abstract":"This paper presents a novel, publicly available repository of anatomically segmented brain images of healthy subjects as well as patients with mild cognitive impairment and Alzheimer's disease. The underlying magnetic resonance images have been obtained from the Alzheimer's Disease Neuroimaging Initiative (ADNI) database. T1-weighted screening and baseline images (1.5T and 3T) have been processed with the multi-atlas based MAPER procedure, resulting in labels for 83 regions covering the whole brain in 816 subjects. Selected segmentations were subjected to visual assessment. The segmentations are self-consistent, as evidenced by strong agreement between segmentations of paired images acquired at different field strengths (Jaccard coefficient: 0.802±0.0146). Morphometric comparisons between diagnostic groups (normal; stable mild cognitive impairment; mild cognitive impairment with progression to Alzheimer's disease; Alzheimer's disease) showed highly significant group differences for individual regions, the majority of which were located in the temporal lobe. Additionally, significant effects were seen in the parietal lobe. Increased left/right asymmetry was found in posterior cortical regions. An automatically derived white-matter hypointensities index was found to be a suitable means of quantifying white-matter disease. This repository of segmentations is a potentially valuable resource to researchers working with ADNI data.","author":[{"dropping-particle":"","family":"Heckemann","given":"Rolf A","non-dropping-particle":"","parse-names":false,"suffix":""},{"dropping-particle":"","family":"Keihaninejad","given":"Shiva","non-dropping-particle":"","parse-names":false,"suffix":""},{"dropping-particle":"","family":"Aljabar","given":"Paul","non-dropping-particle":"","parse-names":false,"suffix":""},{"dropping-particle":"","family":"Gray","given":"Katherine R","non-dropping-particle":"","parse-names":false,"suffix":""},{"dropping-particle":"","family":"Nielsen","given":"Casper","non-dropping-particle":"","parse-names":false,"suffix":""},{"dropping-particle":"","family":"Rueckert","given":"Daniel","non-dropping-particle":"","parse-names":false,"suffix":""},{"dropping-particle":"V","family":"Hajnal","given":"Joseph","non-dropping-particle":"","parse-names":false,"suffix":""},{"dropping-particle":"","family":"Hammers","given":"Alexander","non-dropping-particle":"","parse-names":false,"suffix":""},{"dropping-particle":"","family":"Alzheimer's Disease Neuroimaging Initiative","given":"","non-dropping-particle":"","parse-names":false,"suffix":""}],"container-title":"NeuroImage","id":"ITEM-3","issue":"4","issued":{"date-parts":[["2011","6","15"]]},"page":"2024-2037","publisher":"Academic Press","title":"Automatic morphometry in Alzheimer's disease and mild cognitive impairment","type":"article-journal","volume":"56"},"uris":["http://www.mendeley.com/documents/?uuid=cac039d7-13e1-49da-adf3-68b501874c72"]}],"mendeley":{"formattedCitation":"[5,24,25]","plainTextFormattedCitation":"[5,24,25]","previouslyFormattedCitation":"[5,24,25]"},"properties":{"noteIndex":0},"schema":"https://github.com/citation-style-language/schema/raw/master/csl-citation.json"}</w:instrText>
      </w:r>
      <w:r w:rsidR="004F5F48" w:rsidRPr="00842A01">
        <w:rPr>
          <w:rFonts w:ascii="Times New Roman" w:hAnsi="Times New Roman" w:cs="Times New Roman"/>
        </w:rPr>
        <w:fldChar w:fldCharType="separate"/>
      </w:r>
      <w:r w:rsidR="00552CC9" w:rsidRPr="00842A01">
        <w:rPr>
          <w:rFonts w:ascii="Times New Roman" w:hAnsi="Times New Roman" w:cs="Times New Roman"/>
          <w:noProof/>
        </w:rPr>
        <w:t>[5,24,25]</w:t>
      </w:r>
      <w:r w:rsidR="004F5F48" w:rsidRPr="00842A01">
        <w:rPr>
          <w:rFonts w:ascii="Times New Roman" w:hAnsi="Times New Roman" w:cs="Times New Roman"/>
        </w:rPr>
        <w:fldChar w:fldCharType="end"/>
      </w:r>
      <w:r w:rsidR="004F5F48" w:rsidRPr="00842A01">
        <w:rPr>
          <w:rFonts w:ascii="Times New Roman" w:hAnsi="Times New Roman" w:cs="Times New Roman"/>
        </w:rPr>
        <w:t xml:space="preserve">, in that AD patients </w:t>
      </w:r>
      <w:r w:rsidR="00BD2BDC" w:rsidRPr="00842A01">
        <w:rPr>
          <w:rFonts w:ascii="Times New Roman" w:hAnsi="Times New Roman" w:cs="Times New Roman"/>
        </w:rPr>
        <w:t>did</w:t>
      </w:r>
      <w:r w:rsidR="00153C16" w:rsidRPr="00842A01">
        <w:rPr>
          <w:rFonts w:ascii="Times New Roman" w:hAnsi="Times New Roman" w:cs="Times New Roman"/>
        </w:rPr>
        <w:t xml:space="preserve"> not</w:t>
      </w:r>
      <w:r w:rsidR="004F5F48" w:rsidRPr="00842A01">
        <w:rPr>
          <w:rFonts w:ascii="Times New Roman" w:hAnsi="Times New Roman" w:cs="Times New Roman"/>
        </w:rPr>
        <w:t xml:space="preserve"> </w:t>
      </w:r>
      <w:r w:rsidR="00471EDF" w:rsidRPr="00842A01">
        <w:rPr>
          <w:rFonts w:ascii="Times New Roman" w:hAnsi="Times New Roman" w:cs="Times New Roman"/>
        </w:rPr>
        <w:t>differ from non-demented participants on</w:t>
      </w:r>
      <w:r w:rsidR="004F5F48" w:rsidRPr="00842A01">
        <w:rPr>
          <w:rFonts w:ascii="Times New Roman" w:hAnsi="Times New Roman" w:cs="Times New Roman"/>
        </w:rPr>
        <w:t xml:space="preserve"> </w:t>
      </w:r>
      <w:r w:rsidR="00153C16" w:rsidRPr="00842A01">
        <w:rPr>
          <w:rFonts w:ascii="Times New Roman" w:hAnsi="Times New Roman" w:cs="Times New Roman"/>
        </w:rPr>
        <w:t xml:space="preserve">global </w:t>
      </w:r>
      <w:r w:rsidR="004F5F48" w:rsidRPr="00842A01">
        <w:rPr>
          <w:rFonts w:ascii="Times New Roman" w:hAnsi="Times New Roman" w:cs="Times New Roman"/>
        </w:rPr>
        <w:t>thalami</w:t>
      </w:r>
      <w:r w:rsidR="00CE4B5B" w:rsidRPr="00842A01">
        <w:rPr>
          <w:rFonts w:ascii="Times New Roman" w:hAnsi="Times New Roman" w:cs="Times New Roman"/>
        </w:rPr>
        <w:t>c asymmetries.</w:t>
      </w:r>
      <w:r w:rsidR="004F5F48" w:rsidRPr="00842A01">
        <w:rPr>
          <w:rFonts w:ascii="Times New Roman" w:hAnsi="Times New Roman" w:cs="Times New Roman"/>
        </w:rPr>
        <w:t xml:space="preserve"> </w:t>
      </w:r>
      <w:r w:rsidR="007E3444" w:rsidRPr="00842A01">
        <w:rPr>
          <w:rFonts w:ascii="Times New Roman" w:hAnsi="Times New Roman" w:cs="Times New Roman"/>
        </w:rPr>
        <w:t>A breakdown by s</w:t>
      </w:r>
      <w:r w:rsidR="004F5F48" w:rsidRPr="00842A01">
        <w:rPr>
          <w:rFonts w:ascii="Times New Roman" w:hAnsi="Times New Roman" w:cs="Times New Roman"/>
        </w:rPr>
        <w:t>ubnuclei</w:t>
      </w:r>
      <w:r w:rsidR="007E3444" w:rsidRPr="00842A01">
        <w:rPr>
          <w:rFonts w:ascii="Times New Roman" w:hAnsi="Times New Roman" w:cs="Times New Roman"/>
        </w:rPr>
        <w:t>,</w:t>
      </w:r>
      <w:r w:rsidR="004F5F48" w:rsidRPr="00842A01">
        <w:rPr>
          <w:rFonts w:ascii="Times New Roman" w:hAnsi="Times New Roman" w:cs="Times New Roman"/>
        </w:rPr>
        <w:t xml:space="preserve"> </w:t>
      </w:r>
      <w:r w:rsidR="007E3444" w:rsidRPr="00842A01">
        <w:rPr>
          <w:rFonts w:ascii="Times New Roman" w:hAnsi="Times New Roman" w:cs="Times New Roman"/>
        </w:rPr>
        <w:t xml:space="preserve">however, </w:t>
      </w:r>
      <w:r w:rsidR="004F5F48" w:rsidRPr="00842A01">
        <w:rPr>
          <w:rFonts w:ascii="Times New Roman" w:hAnsi="Times New Roman" w:cs="Times New Roman"/>
        </w:rPr>
        <w:t>revealed lateralization of atrophy</w:t>
      </w:r>
      <w:r w:rsidR="005247A8" w:rsidRPr="00842A01">
        <w:rPr>
          <w:rFonts w:ascii="Times New Roman" w:hAnsi="Times New Roman" w:cs="Times New Roman"/>
        </w:rPr>
        <w:t xml:space="preserve">. </w:t>
      </w:r>
      <w:r w:rsidR="00457BC0" w:rsidRPr="00842A01">
        <w:rPr>
          <w:rFonts w:ascii="Times New Roman" w:hAnsi="Times New Roman" w:cs="Times New Roman"/>
        </w:rPr>
        <w:t xml:space="preserve">While bilateral volumes of the ventral thalamus were not significantly different between groups, subnuclei analysis suggests that </w:t>
      </w:r>
      <w:r w:rsidR="005745A5" w:rsidRPr="00842A01">
        <w:rPr>
          <w:rFonts w:ascii="Times New Roman" w:hAnsi="Times New Roman" w:cs="Times New Roman"/>
        </w:rPr>
        <w:t>main effect</w:t>
      </w:r>
      <w:r w:rsidR="000A772A" w:rsidRPr="00842A01">
        <w:rPr>
          <w:rFonts w:ascii="Times New Roman" w:hAnsi="Times New Roman" w:cs="Times New Roman"/>
        </w:rPr>
        <w:t>s</w:t>
      </w:r>
      <w:r w:rsidR="005745A5" w:rsidRPr="00842A01">
        <w:rPr>
          <w:rFonts w:ascii="Times New Roman" w:hAnsi="Times New Roman" w:cs="Times New Roman"/>
        </w:rPr>
        <w:t xml:space="preserve"> may</w:t>
      </w:r>
      <w:r w:rsidR="005225F2" w:rsidRPr="00842A01">
        <w:rPr>
          <w:rFonts w:ascii="Times New Roman" w:hAnsi="Times New Roman" w:cs="Times New Roman"/>
        </w:rPr>
        <w:t xml:space="preserve"> have been masked by the relative preservation of the right ventral thala</w:t>
      </w:r>
      <w:r w:rsidR="004E17D5" w:rsidRPr="00842A01">
        <w:rPr>
          <w:rFonts w:ascii="Times New Roman" w:hAnsi="Times New Roman" w:cs="Times New Roman"/>
        </w:rPr>
        <w:t>mus in AD, compared to the left,</w:t>
      </w:r>
      <w:r w:rsidR="005745A5" w:rsidRPr="00842A01">
        <w:rPr>
          <w:rFonts w:ascii="Times New Roman" w:hAnsi="Times New Roman" w:cs="Times New Roman"/>
        </w:rPr>
        <w:t xml:space="preserve"> </w:t>
      </w:r>
      <w:r w:rsidR="005225F2" w:rsidRPr="00842A01">
        <w:rPr>
          <w:rFonts w:ascii="Times New Roman" w:hAnsi="Times New Roman" w:cs="Times New Roman"/>
        </w:rPr>
        <w:t>which was disproportionately smaller in volume. Indeed, this left-lateralization of ventral thalamic atrophy was more prominent in patients with AD, relative to non-demented</w:t>
      </w:r>
      <w:r w:rsidR="00C8323A" w:rsidRPr="00842A01">
        <w:rPr>
          <w:rFonts w:ascii="Times New Roman" w:hAnsi="Times New Roman" w:cs="Times New Roman"/>
        </w:rPr>
        <w:t xml:space="preserve"> p</w:t>
      </w:r>
      <w:r w:rsidR="00DE7A8A" w:rsidRPr="00842A01">
        <w:rPr>
          <w:rFonts w:ascii="Times New Roman" w:hAnsi="Times New Roman" w:cs="Times New Roman"/>
        </w:rPr>
        <w:t>articipants</w:t>
      </w:r>
      <w:r w:rsidR="005225F2" w:rsidRPr="00842A01">
        <w:rPr>
          <w:rFonts w:ascii="Times New Roman" w:hAnsi="Times New Roman" w:cs="Times New Roman"/>
        </w:rPr>
        <w:t xml:space="preserve">. </w:t>
      </w:r>
      <w:r w:rsidR="0013447B" w:rsidRPr="00842A01">
        <w:rPr>
          <w:rFonts w:ascii="Times New Roman" w:hAnsi="Times New Roman" w:cs="Times New Roman"/>
        </w:rPr>
        <w:t xml:space="preserve">Due to the fine level of segmentation afforded by the probabilistic atlas used, we were able to further to examine if group differences were widespread across the ventral thalamus or localised to specific subnuclei, revealing that the left-lateralization of thalamic atrophy in AD was largely restricted to the posterior ventrolateral and ventromedial regions. </w:t>
      </w:r>
      <w:r w:rsidR="005225F2" w:rsidRPr="00842A01">
        <w:rPr>
          <w:rFonts w:ascii="Times New Roman" w:hAnsi="Times New Roman" w:cs="Times New Roman"/>
        </w:rPr>
        <w:t xml:space="preserve">Notably, these group differences were independent of </w:t>
      </w:r>
      <w:r w:rsidR="00C16CFB" w:rsidRPr="00842A01">
        <w:rPr>
          <w:rFonts w:ascii="Times New Roman" w:hAnsi="Times New Roman" w:cs="Times New Roman"/>
        </w:rPr>
        <w:t>the absolute subnuclei volume and global cerebral asymmetry, and was significant even after accou</w:t>
      </w:r>
      <w:r w:rsidR="00D5591B" w:rsidRPr="00842A01">
        <w:rPr>
          <w:rFonts w:ascii="Times New Roman" w:hAnsi="Times New Roman" w:cs="Times New Roman"/>
        </w:rPr>
        <w:t>nting for hippocampal asymmetry</w:t>
      </w:r>
      <w:r w:rsidR="00C16CFB" w:rsidRPr="00842A01">
        <w:rPr>
          <w:rFonts w:ascii="Times New Roman" w:hAnsi="Times New Roman" w:cs="Times New Roman"/>
        </w:rPr>
        <w:t xml:space="preserve"> which has been widely reported in AD </w:t>
      </w:r>
      <w:r w:rsidR="00C16CFB"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{"citationItems":[{"id":"ITEM-1","itemData":{"DOI":"10.3389/fnins.2018.00576","ISSN":"1662-4548","abstract":"Objective: It is well-known that the hippocampus presents significant asymmetry in Alzheimer's disease (AD) and that difference in volumes between left and right exists and varies with disease progression. However, few works investigated whether the asymmetry degree of subfields of hippocampus changes through the continuum from Mild Cognitive Impairment (MCI) to AD. Thus, aim of the present work was to evaluate the Asymmetry Index (AI) of hippocampal substructures as possible MRI biomarkers of Dementia. Moreover, we aimed to assess whether the subfields presented peculiar differences between left and right hemispheres. We also investigated the relationship between the asymmetry magnitude in hippocampal subfields and the decline of verbal memory as assessed by Rey's auditory verbal learning test (RAVLT). Methods: Four-hundred subjects were selected from ADNI, equally divided into healthy controls (HC), AD, stable MCI (sMCI), and progressive MCI (pMCI). The structural baseline T1s were processed with FreeSurfer 6.0 and volumes of whole hippocampus (WH) and 12 subfields were extracted. The AI was calculated as: (|Left-Right|/(Left+Right))(*)100. ANCOVA was used for evaluating AI differences between diagnoses, while paired t-test was applied for assessing changes between left and right volumes, separately for each group. Partial correlation was performed for exploring relationship between RAVLT summary scores (Immediate, Learning, Forgetting, Percent Forgetting) and hippocampal substructures AI. The statistical threshold was Bonferroni corrected p &lt; 0.05/13 = 0.0038. Results: We found a general trend of increased degree of asymmetry with increasing severity of diagnosis. Indeed, AD presented the higher magnitude of asymmetry compared with HC, sMCI and pMCI, in the WH (AI mean 5.13 ± 4.29 SD) and in each of its twelve subfields. Moreover, we found in AD a significant negative correlation (r = -0.33, p = 0.00065) between the AI of parasubiculum (mean 12.70 ± 9.59 SD) and the RAVLT Learning score (mean 1.70 ± 1.62 SD). Conclusions: Our findings showed that hippocampal subfields AI varies differently among the four groups HC, sMCI, pMCI, and AD. Moreover, we found-for the first time-that hippocampal substructures had different sub-patterns of lateralization compared with the whole hippocampus. Importantly, the severity in learning rate was correlated with pathological high degree of asymmetry in parasubiculum of AD patients.","author":[{"dropping-particle":"","family":"Sarica","given":"Alessia","non-dropping-particle":"","parse-names":false,"suffix":""},{"dropping-particle":"","family":"Vasta","given":"Roberta","non-dropping-particle":"","parse-names":false,"suffix":""},{"dropping-particle":"","family":"Novellino","given":"Fabiana","non-dropping-particle":"","parse-names":false,"suffix":""},{"dropping-particle":"","family":"Vaccaro","given":"Maria Grazia","non-dropping-particle":"","parse-names":false,"suffix":""},{"dropping-particle":"","family":"Cerasa","given":"Antonio","non-dropping-particle":"","parse-names":false,"suffix":""},{"dropping-particle":"","family":"Quattrone","given":"Aldo","non-dropping-particle":"","parse-names":false,"suffix":""},{"dropping-particle":"","family":"Alzheimer's Disease Neuroimaging Initiative","given":"","non-dropping-particle":"","parse-names":false,"suffix":""}],"container-title":"Frontiers in neuroscience","id":"ITEM-1","issued":{"date-parts":[["2018","8","21"]]},"page":"576","publisher":"Frontiers Media S.A.","title":"MRI Asymmetry Index of Hippocampal Subfields Increases Through the Continuum From the Mild Cognitive Impairment to the Alzheimer's Disease","type":"article-journal","volume":"12"},"uris":["http://www.mendeley.com/documents/?uuid=cafe5e93-23d4-4b98-b90a-d301ba2477bc"]},{"id":"ITEM-2","itemData":{"DOI":"10.1002/hipo.20573","ISBN":"1098-1063 (Electronic)\\r1050-9631 (Linking)","ISSN":"10509631","PMID":"19309039","abstract":"Numerous studies have reported a smaller hippocampal volume in Alzheimer's disease (AD) patients than in aging controls. However, in mild cognitive impairment (MCI), the results are inconsistent. Moreover, the left-right asymmetry of the hippocampus receives less research attention. In this article, meta-analyses are designed to determine the extent of hippocampal atrophy in MCI and AD, and to evaluate the asymmetry pattern of the hippocampal volume in control, MCI, and AD groups. From 14 studies including 365 MCI patients and 382 controls, significant atrophy is found in both the left [Effect size (ES), 0.92; 95% confidence interval (CI), 0.72-1.11] and right (ES, 0.78; 95% CI, 0.57-0.98) hippocampus, which is lower than that in AD (ES, 1.60, 95% CI, 1.37-1.84, in left; ES, 1.52, 95% CI, 1.31-1.72, in right). Comparing with aging controls, the average volume reduction weighted by sample size is 12.9% and 11.1% in left and right hippocampus in MCI, and 24.2% and 23.1% in left and right hippocampus in AD, respectively. The findings show a bilateral hippocampal volume loss in MCI and the extent of atrophy is less than that in AD. By comparing the left and right hippocampal volume, a consistent left-less-than-right asymmetry pattern is found, but with different extents in control (ES, 0.39), MCI (ES, 0.56), and AD (ES, 0.30) group.","author":[{"dropping-particle":"","family":"Shi","given":"Feng","non-dropping-particle":"","parse-names":false,"suffix":""},{"dropping-particle":"","family":"Liu","given":"Bing","non-dropping-particle":"","parse-names":false,"suffix":""},{"dropping-particle":"","family":"Zhou","given":"Yuan","non-dropping-particle":"","parse-names":false,"suffix":""},{"dropping-particle":"","family":"Yu","given":"Chunshui","non-dropping-particle":"","parse-names":false,"suffix":""},{"dropping-particle":"","family":"Jiang","given":"Tianzi","non-dropping-particle":"","parse-names":false,"suffix":""}],"container-title":"Hippocampus","id":"ITEM-2","issue":"11","issued":{"date-parts":[["2009"]]},"page":"1055 - 1064","title":"Hippocampal volume and asymmetry in mild cognitive impairment and Alzheimer's disease: Meta-analyses of MRI studies","type":"article-journal","volume":"19"},"uris":["http://www.mendeley.com/documents/?uuid=0302ffa5-ffb6-4ecc-9beb-69b0631c050f"]},{"id":"ITEM-3","itemData":{"DOI":"10.1093/brain/aww243","ISSN":"1460-2156","abstract":"Structural magnetic resonance imaging data are frequently analysed to reveal morphological changes of the human brain in dementia. Most contemporary imaging biomarkers are scalar values, such as the volume of a structure, and may miss the localized morphological variation of early presymptomatic disease progression. Neuroanatomical shape descriptors, however, can represent complex geometric information of individual anatomical regions and may demonstrate increased sensitivity in association studies. Yet, they remain largely unexplored. In this article, we introduce a novel technique to study shape asymmetries of neuroanatomical structures across subcortical and cortical brain regions. We demonstrate that neurodegeneration of subcortical structures in Alzheimer's disease is not symmetric. The hippocampus shows a significant increase in asymmetry longitudinally and both hippocampus and amygdala show a significantly higher asymmetry cross-sectionally concurrent with disease severity above and beyond an ageing effect. Our results further suggest that the asymmetry in these structures is undirectional and that primarily the anterior hippocampus becomes asymmetric. Based on longitudinal asymmetry measures we subsequently study the progression from mild cognitive impairment to dementia, demonstrating that shape asymmetry in hippocampus, amygdala, caudate and cortex is predictive of disease onset. The same analyses on scalar volume measurements did not produce any significant results, indicating that shape asymmetries, potentially induced by morphometric changes in subnuclei, rather than size asymmetries are associated with disease progression and can yield a powerful imaging biomarker for the early presymptomatic classification and prediction of Alzheimer's disease. Because literature has focused on contralateral volume differences, subcortical disease lateralization may have been overlooked thus far.","author":[{"dropping-particle":"","family":"Wachinger","given":"Christian","non-dropping-particle":"","parse-names":false,"suffix":""},{"dropping-particle":"","family":"Salat","given":"David H","non-dropping-particle":"","parse-names":false,"suffix":""},{"dropping-particle":"","family":"Weiner","given":"Michael","non-dropping-particle":"","parse-names":false,"suffix":""},{"dropping-particle":"","family":"Reuter","given":"Martin","non-dropping-particle":"","parse-names":false,"suffix":""},{"dropping-particle":"","family":"Alzheimer’s Disease Neuroimaging Initiative","given":"","non-dropping-particle":"","parse-names":false,"suffix":""}],"container-title":"Brain","edition":"2016/10/10","id":"ITEM-3","issue":"Pt 12","issued":{"date-parts":[["2016","12"]]},"page":"3253-3266","publisher":"Oxford University Press","title":"Whole-brain analysis reveals increased neuroanatomical asymmetries in dementia for hippocampus and amygdala","type":"article-journal","volume":"139"},"uris":["http://www.mendeley.com/documents/?uuid=a3608b08-d653-4ac7-a5a8-1431f6615fb1"]}],"mendeley":{"formattedCitation":"[5,12,17]","plainTextFormattedCitation":"[5,12,17]","previouslyFormattedCitation":"[5,12,17]"},"properties":{"noteIndex":0},"schema":"https://github.com/citation-style-language/schema/raw/master/csl-citation.json"}</w:instrText>
      </w:r>
      <w:r w:rsidR="00C16CFB" w:rsidRPr="00842A01">
        <w:rPr>
          <w:rFonts w:ascii="Times New Roman" w:hAnsi="Times New Roman" w:cs="Times New Roman"/>
        </w:rPr>
        <w:fldChar w:fldCharType="separate"/>
      </w:r>
      <w:r w:rsidR="000F5BEC" w:rsidRPr="00842A01">
        <w:rPr>
          <w:rFonts w:ascii="Times New Roman" w:hAnsi="Times New Roman" w:cs="Times New Roman"/>
          <w:noProof/>
        </w:rPr>
        <w:t>[5,12,17]</w:t>
      </w:r>
      <w:r w:rsidR="00C16CFB" w:rsidRPr="00842A01">
        <w:rPr>
          <w:rFonts w:ascii="Times New Roman" w:hAnsi="Times New Roman" w:cs="Times New Roman"/>
        </w:rPr>
        <w:fldChar w:fldCharType="end"/>
      </w:r>
      <w:r w:rsidR="00C16CFB" w:rsidRPr="00842A01">
        <w:rPr>
          <w:rFonts w:ascii="Times New Roman" w:hAnsi="Times New Roman" w:cs="Times New Roman"/>
        </w:rPr>
        <w:t>.</w:t>
      </w:r>
      <w:r w:rsidR="00325BC6" w:rsidRPr="00842A01">
        <w:rPr>
          <w:rFonts w:ascii="Times New Roman" w:hAnsi="Times New Roman" w:cs="Times New Roman"/>
        </w:rPr>
        <w:t xml:space="preserve"> </w:t>
      </w:r>
    </w:p>
    <w:p w14:paraId="58F4B78A" w14:textId="31FC7D88" w:rsidR="007A191E" w:rsidRPr="00842A01" w:rsidRDefault="00450B8F" w:rsidP="004A08EC">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8F789B" w:rsidRPr="00842A01">
        <w:rPr>
          <w:rFonts w:ascii="Times New Roman" w:hAnsi="Times New Roman" w:cs="Times New Roman"/>
        </w:rPr>
        <w:t xml:space="preserve">While </w:t>
      </w:r>
      <w:r w:rsidR="00153C16" w:rsidRPr="00842A01">
        <w:rPr>
          <w:rFonts w:ascii="Times New Roman" w:hAnsi="Times New Roman" w:cs="Times New Roman"/>
        </w:rPr>
        <w:t xml:space="preserve">overall </w:t>
      </w:r>
      <w:r w:rsidR="008F789B" w:rsidRPr="00842A01">
        <w:rPr>
          <w:rFonts w:ascii="Times New Roman" w:hAnsi="Times New Roman" w:cs="Times New Roman"/>
        </w:rPr>
        <w:t xml:space="preserve">thalamic asymmetry </w:t>
      </w:r>
      <w:r w:rsidR="00153C16" w:rsidRPr="00842A01">
        <w:rPr>
          <w:rFonts w:ascii="Times New Roman" w:hAnsi="Times New Roman" w:cs="Times New Roman"/>
        </w:rPr>
        <w:t>was not</w:t>
      </w:r>
      <w:r w:rsidR="008F789B" w:rsidRPr="00842A01">
        <w:rPr>
          <w:rFonts w:ascii="Times New Roman" w:hAnsi="Times New Roman" w:cs="Times New Roman"/>
        </w:rPr>
        <w:t xml:space="preserve"> associated with </w:t>
      </w:r>
      <w:r w:rsidR="00890984" w:rsidRPr="00842A01">
        <w:rPr>
          <w:rFonts w:ascii="Times New Roman" w:hAnsi="Times New Roman" w:cs="Times New Roman"/>
        </w:rPr>
        <w:t xml:space="preserve">global </w:t>
      </w:r>
      <w:r w:rsidR="008F789B" w:rsidRPr="00842A01">
        <w:rPr>
          <w:rFonts w:ascii="Times New Roman" w:hAnsi="Times New Roman" w:cs="Times New Roman"/>
        </w:rPr>
        <w:t xml:space="preserve">cognition, the </w:t>
      </w:r>
      <w:r w:rsidR="00777203" w:rsidRPr="00842A01">
        <w:rPr>
          <w:rFonts w:ascii="Times New Roman" w:hAnsi="Times New Roman" w:cs="Times New Roman"/>
        </w:rPr>
        <w:t>leftward lateralization of v</w:t>
      </w:r>
      <w:r w:rsidR="008F789B" w:rsidRPr="00842A01">
        <w:rPr>
          <w:rFonts w:ascii="Times New Roman" w:hAnsi="Times New Roman" w:cs="Times New Roman"/>
        </w:rPr>
        <w:t xml:space="preserve">entral thalamic atrophy was </w:t>
      </w:r>
      <w:r w:rsidR="0012524F" w:rsidRPr="00842A01">
        <w:rPr>
          <w:rFonts w:ascii="Times New Roman" w:hAnsi="Times New Roman" w:cs="Times New Roman"/>
        </w:rPr>
        <w:t>associated with verbal fluency,</w:t>
      </w:r>
      <w:r w:rsidR="00777203" w:rsidRPr="00842A01">
        <w:rPr>
          <w:rFonts w:ascii="Times New Roman" w:hAnsi="Times New Roman" w:cs="Times New Roman"/>
        </w:rPr>
        <w:t xml:space="preserve"> independent of global cerebral asymmetry. </w:t>
      </w:r>
      <w:r w:rsidR="00CD77DE" w:rsidRPr="00842A01">
        <w:rPr>
          <w:rFonts w:ascii="Times New Roman" w:hAnsi="Times New Roman" w:cs="Times New Roman"/>
        </w:rPr>
        <w:t xml:space="preserve">This </w:t>
      </w:r>
      <w:r w:rsidR="00153C16" w:rsidRPr="00842A01">
        <w:rPr>
          <w:rFonts w:ascii="Times New Roman" w:hAnsi="Times New Roman" w:cs="Times New Roman"/>
        </w:rPr>
        <w:t xml:space="preserve">accords </w:t>
      </w:r>
      <w:r w:rsidR="00CD77DE" w:rsidRPr="00842A01">
        <w:rPr>
          <w:rFonts w:ascii="Times New Roman" w:hAnsi="Times New Roman" w:cs="Times New Roman"/>
        </w:rPr>
        <w:t xml:space="preserve">with </w:t>
      </w:r>
      <w:r w:rsidR="00153C16" w:rsidRPr="00842A01">
        <w:rPr>
          <w:rFonts w:ascii="Times New Roman" w:hAnsi="Times New Roman" w:cs="Times New Roman"/>
        </w:rPr>
        <w:t xml:space="preserve">the </w:t>
      </w:r>
      <w:r w:rsidR="007871A0" w:rsidRPr="00842A01">
        <w:rPr>
          <w:rFonts w:ascii="Times New Roman" w:hAnsi="Times New Roman" w:cs="Times New Roman"/>
        </w:rPr>
        <w:t xml:space="preserve">long-term language deficits following alterations to the left ventrolateral thalamus, but not the right, including impaired </w:t>
      </w:r>
      <w:r w:rsidR="00A22994" w:rsidRPr="00842A01">
        <w:rPr>
          <w:rFonts w:ascii="Times New Roman" w:hAnsi="Times New Roman" w:cs="Times New Roman"/>
        </w:rPr>
        <w:t xml:space="preserve">speech, </w:t>
      </w:r>
      <w:r w:rsidR="007871A0" w:rsidRPr="00842A01">
        <w:rPr>
          <w:rFonts w:ascii="Times New Roman" w:hAnsi="Times New Roman" w:cs="Times New Roman"/>
        </w:rPr>
        <w:t xml:space="preserve">and aphasic syndromes such as anomia, and reduced verbal output </w:t>
      </w:r>
      <w:r w:rsidR="007871A0"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{"citationItems":[{"id":"ITEM-1","itemData":{"ISSN":"0006-8950 (Print)","PMID":"5132965","author":[{"dropping-particle":"","family":"Ojemann","given":"G A","non-dropping-particle":"","parse-names":false,"suffix":""},{"dropping-particle":"","family":"Ward","given":"A A Jr","non-dropping-particle":"","parse-names":false,"suffix":""}],"container-title":"Brain : a journal of neurology","id":"ITEM-1","issue":"4","issued":{"date-parts":[["1971"]]},"language":"eng","page":"669-680","publisher-place":"England","title":"Speech representation in ventrolateral thalamus.","type":"article-journal","volume":"94"},"uris":["http://www.mendeley.com/documents/?uuid=fdd8a8d7-3c9f-4321-8833-3c556c1653fb"]},{"id":"ITEM-2","itemData":{"DOI":"10.1006/brcg.1999.1101","ISSN":"0278-2626 (Print)","PMID":"10744921","abstract":"The data reviewed here indicate that electrical stimulation of the dominant ventrolateral thalamus can produce deficits in language processing that are not seen after similar stimulation of the nondominant ventrolateral thalamus. The nature of the language deficit produced varies, depending upon the rostrocaudal location of the stimulation site. Stimulation of the anterior left ventrolateral thalamus in right-handed patients resulted in production of a repeated erroneous word, stimulation of the medial ventrolateral thalamus evoked perseveration, and stimulation of the posterior ventrolateral thalamus and anterior pulvinar resulted in misnaming and omissions. Additional studies have examined the effect of electrical thalamic stimulation on verbal and nonverbal short-term memory. Left (but not right) ventrolateral thalamic stimulation during verbal memory input greatly decreased subsequent recall errors, while stimulation during verbal memory retrieval increased recall errors. This finding contrasted with those obtained from studies on nonverbal memory, in which right ventrolateral stimulation during memory input decreased recall errors, while left thalamic stimulation at the same stage increased recall errors. Left pulvinar stimulation disrupted verbal memory processing, while right pulvinar stimulation disrupted nonverbal memory processing. Limited evidence suggests that the effects of thalamic electrical stimulation on verbal memory may persist for several days after the stimulation has ended. The lateralization of thalamic functions also affects the motoric aspects of speech production. Left (but not right) ventrolateral thalamic stimulation disrupted speech articulation and increased the expiratory phase of respiration. The fact that these motor effects were evoked from the same general area of the thalamus that produced the language deficits discussed above raises the possibility that the thalamus is involved in coordinating the cognitive and motoric aspects of language production. A model of thalamic function is discussed in which defined regions of the thalamus operate as a \"specific alerting response,\" increasing the input to memory of category-specific material while simultaneously inhibiting retrieval from memory.","author":[{"dropping-particle":"","family":"Johnson","given":"M D","non-dropping-particle":"","parse-names":false,"suffix":""},{"dropping-particle":"","family":"Ojemann","given":"G A","non-dropping-particle":"","parse-names":false,"suffix":""}],"container-title":"Brain and cognition","id":"ITEM-2","issue":"2","issued":{"date-parts":[["2000","3"]]},"language":"eng","page":"218-230","publisher-place":"United States","title":"The role of the human thalamus in language and memory: evidence from electrophysiological studies.","type":"article-journal","volume":"42"},"uris":["http://www.mendeley.com/documents/?uuid=95bdb6f9-daa9-4b5a-9252-676d3b4ba0b6"]},{"id":"ITEM-3","itemData":{"DOI":"10.1016/0028-3932(74)90022-0","ISSN":"0028-3932","abstract":"Twenty-five patients undergoing VL thalamotomy were tested pre- and post- operatively with a modified Token Test, a word fluency task and a face-recognition and face-matching test. Receptive as well as expressive verbal efficiency deteriorated after left but not after right thalamotomy and these changes were relatively persistent. The performance in the face-matching test became slower after thalamotomy, irrespective of the side of surgery, but the number of errors in identifications increased only after right thalamotomy during the immediate postoperative period. It is suggested that there is a material-specific functional difference between the two thalami. Résumé On a testé 25 sujets ayant subi une thalamotomie VL, pré et post-opératoirement, sur une version modifiée du Token Test, sur une tâche de fluence verbale et sur un test de reconnaissance et d'appariement des visages. L'efficience verbale, aussi bien réceptive qu'expressive, a été diminuée aprés thalamotomie gauche mais non après thalamotomie droite; ces modifications étaient relativement persistantes. Les performances dans le test d'appariement des visages devinrent lentes aprés thalamotomie quelque soit le côté operé mais le nombre d'erreurs d'identification n'augmentait qu'aprés thalamotomie droite durant la période post-opératoire immédiate. On suggére qui'il y a entre les deux thalamus une différence fonctionnelle dépendant du matériel. Zusammenfassung 25 Thalamotomiepatienten wurden prae- und postoperativ getestet, und zwar mit einem modifizierten Token-Test, einer Wortflüssigkeits-aufgabe und einem Gesichtserkennungs- und Gesichtsvergleichs-Test. Sowohl die rezeptive als auch die expressive Sprachfähigkeit verschlechterte sich nach der linken, nicht aber nach der rechten Thalamotomie, und diese Veränderungen waren relativ nachhaltig. Die Leistungen beim Gesichtsvergleichs-Test wurden langsamer nach der Thalamotomie, unabhängig von der Seite des chirurgischen Eingriffs, während die Zahl der Identifikationsfehler nur nach rechtsseitiger Thalamotomie in der unmittelbaren postoperativen Phase anstieg. Es ist denkbar, daβ zwischen den beiden Thalamie ein material-spezifischer Funktionsunterschied besteht.","author":[{"dropping-particle":"","family":"Vilkki","given":"J","non-dropping-particle":"","parse-names":false,"suffix":""},{"dropping-particle":"V","family":"Laitinen","given":"L","non-dropping-particle":"","parse-names":false,"suffix":""}],"container-title":"Neuropsychologia","id":"ITEM-3","issue":"1","issued":{"date-parts":[["1974"]]},"page":"11-19","title":"Differential effects of left and right ventrolateral thalamotomy on receptive and expressive verbal performances and face-matching","type":"article-journal","volume":"12"},"uris":["http://www.mendeley.com/documents/?uuid=397ab3fd-3242-4326-b04c-479dbc4cfce9"]}],"mendeley":{"formattedCitation":"[35–37]","plainTextFormattedCitation":"[35–37]","previouslyFormattedCitation":"[35–37]"},"properties":{"noteIndex":0},"schema":"https://github.com/citation-style-language/schema/raw/master/csl-citation.json"}</w:instrText>
      </w:r>
      <w:r w:rsidR="007871A0" w:rsidRPr="00842A01">
        <w:rPr>
          <w:rFonts w:ascii="Times New Roman" w:hAnsi="Times New Roman" w:cs="Times New Roman"/>
        </w:rPr>
        <w:fldChar w:fldCharType="separate"/>
      </w:r>
      <w:r w:rsidR="00552CC9" w:rsidRPr="00842A01">
        <w:rPr>
          <w:rFonts w:ascii="Times New Roman" w:hAnsi="Times New Roman" w:cs="Times New Roman"/>
          <w:noProof/>
        </w:rPr>
        <w:t>[35–37]</w:t>
      </w:r>
      <w:r w:rsidR="007871A0" w:rsidRPr="00842A01">
        <w:rPr>
          <w:rFonts w:ascii="Times New Roman" w:hAnsi="Times New Roman" w:cs="Times New Roman"/>
        </w:rPr>
        <w:fldChar w:fldCharType="end"/>
      </w:r>
      <w:r w:rsidR="0066387D" w:rsidRPr="00842A01">
        <w:rPr>
          <w:rFonts w:ascii="Times New Roman" w:hAnsi="Times New Roman" w:cs="Times New Roman"/>
        </w:rPr>
        <w:t xml:space="preserve">. </w:t>
      </w:r>
      <w:r w:rsidR="00777203" w:rsidRPr="00842A01">
        <w:rPr>
          <w:rFonts w:ascii="Times New Roman" w:hAnsi="Times New Roman" w:cs="Times New Roman"/>
        </w:rPr>
        <w:t xml:space="preserve">Accordingly, </w:t>
      </w:r>
      <w:r w:rsidR="00CD77DE" w:rsidRPr="00842A01">
        <w:rPr>
          <w:rFonts w:ascii="Times New Roman" w:hAnsi="Times New Roman" w:cs="Times New Roman"/>
        </w:rPr>
        <w:t xml:space="preserve">the ventral thalamus might </w:t>
      </w:r>
      <w:r w:rsidR="00DC19EB" w:rsidRPr="00842A01">
        <w:rPr>
          <w:rFonts w:ascii="Times New Roman" w:hAnsi="Times New Roman" w:cs="Times New Roman"/>
        </w:rPr>
        <w:t>play a role</w:t>
      </w:r>
      <w:r w:rsidR="00412249" w:rsidRPr="00842A01">
        <w:rPr>
          <w:rFonts w:ascii="Times New Roman" w:hAnsi="Times New Roman" w:cs="Times New Roman"/>
        </w:rPr>
        <w:t xml:space="preserve"> in coordinating the cognitive and motor aspects </w:t>
      </w:r>
      <w:r w:rsidR="00153C16" w:rsidRPr="00842A01">
        <w:rPr>
          <w:rFonts w:ascii="Times New Roman" w:hAnsi="Times New Roman" w:cs="Times New Roman"/>
        </w:rPr>
        <w:t>of</w:t>
      </w:r>
      <w:r w:rsidR="00630369" w:rsidRPr="00842A01">
        <w:rPr>
          <w:rFonts w:ascii="Times New Roman" w:hAnsi="Times New Roman" w:cs="Times New Roman"/>
        </w:rPr>
        <w:t xml:space="preserve"> language production</w:t>
      </w:r>
      <w:r w:rsidR="00566153" w:rsidRPr="00842A01">
        <w:rPr>
          <w:rFonts w:ascii="Times New Roman" w:hAnsi="Times New Roman" w:cs="Times New Roman"/>
        </w:rPr>
        <w:t xml:space="preserve"> </w:t>
      </w:r>
      <w:r w:rsidR="00566153"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{"citationItems":[{"id":"ITEM-1","itemData":{"DOI":"10.1006/brcg.1999.1101","ISSN":"0278-2626 (Print)","PMID":"10744921","abstract":"The data reviewed here indicate that electrical stimulation of the dominant ventrolateral thalamus can produce deficits in language processing that are not seen after similar stimulation of the nondominant ventrolateral thalamus. The nature of the language deficit produced varies, depending upon the rostrocaudal location of the stimulation site. Stimulation of the anterior left ventrolateral thalamus in right-handed patients resulted in production of a repeated erroneous word, stimulation of the medial ventrolateral thalamus evoked perseveration, and stimulation of the posterior ventrolateral thalamus and anterior pulvinar resulted in misnaming and omissions. Additional studies have examined the effect of electrical thalamic stimulation on verbal and nonverbal short-term memory. Left (but not right) ventrolateral thalamic stimulation during verbal memory input greatly decreased subsequent recall errors, while stimulation during verbal memory retrieval increased recall errors. This finding contrasted with those obtained from studies on nonverbal memory, in which right ventrolateral stimulation during memory input decreased recall errors, while left thalamic stimulation at the same stage increased recall errors. Left pulvinar stimulation disrupted verbal memory processing, while right pulvinar stimulation disrupted nonverbal memory processing. Limited evidence suggests that the effects of thalamic electrical stimulation on verbal memory may persist for several days after the stimulation has ended. The lateralization of thalamic functions also affects the motoric aspects of speech production. Left (but not right) ventrolateral thalamic stimulation disrupted speech articulation and increased the expiratory phase of respiration. The fact that these motor effects were evoked from the same general area of the thalamus that produced the language deficits discussed above raises the possibility that the thalamus is involved in coordinating the cognitive and motoric aspects of language production. A model of thalamic function is discussed in which defined regions of the thalamus operate as a \"specific alerting response,\" increasing the input to memory of category-specific material while simultaneously inhibiting retrieval from memory.","author":[{"dropping-particle":"","family":"Johnson","given":"M D","non-dropping-particle":"","parse-names":false,"suffix":""},{"dropping-particle":"","family":"Ojemann","given":"G A","non-dropping-particle":"","parse-names":false,"suffix":""}],"container-title":"Brain and cognition","id":"ITEM-1","issue":"2","issued":{"date-parts":[["2000","3"]]},"language":"eng","page":"218-230","publisher-place":"United States","title":"The role of the human thalamus in language and memory: evidence from electrophysiological studies.","type":"article-journal","volume":"42"},"uris":["http://www.mendeley.com/documents/?uuid=95bdb6f9-daa9-4b5a-9252-676d3b4ba0b6"]}],"mendeley":{"formattedCitation":"[36]","plainTextFormattedCitation":"[36]","previouslyFormattedCitation":"[36]"},"properties":{"noteIndex":0},"schema":"https://github.com/citation-style-language/schema/raw/master/csl-citation.json"}</w:instrText>
      </w:r>
      <w:r w:rsidR="00566153" w:rsidRPr="00842A01">
        <w:rPr>
          <w:rFonts w:ascii="Times New Roman" w:hAnsi="Times New Roman" w:cs="Times New Roman"/>
        </w:rPr>
        <w:fldChar w:fldCharType="separate"/>
      </w:r>
      <w:r w:rsidR="00552CC9" w:rsidRPr="00842A01">
        <w:rPr>
          <w:rFonts w:ascii="Times New Roman" w:hAnsi="Times New Roman" w:cs="Times New Roman"/>
          <w:noProof/>
        </w:rPr>
        <w:t>[36]</w:t>
      </w:r>
      <w:r w:rsidR="00566153" w:rsidRPr="00842A01">
        <w:rPr>
          <w:rFonts w:ascii="Times New Roman" w:hAnsi="Times New Roman" w:cs="Times New Roman"/>
        </w:rPr>
        <w:fldChar w:fldCharType="end"/>
      </w:r>
      <w:r w:rsidR="00630369" w:rsidRPr="00842A01">
        <w:rPr>
          <w:rFonts w:ascii="Times New Roman" w:hAnsi="Times New Roman" w:cs="Times New Roman"/>
        </w:rPr>
        <w:t xml:space="preserve">. </w:t>
      </w:r>
    </w:p>
    <w:p w14:paraId="3F32104F" w14:textId="5EFCAB4B" w:rsidR="00A5362C" w:rsidRPr="00842A01" w:rsidRDefault="003F7B39" w:rsidP="002C6B07">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777203" w:rsidRPr="00842A01">
        <w:rPr>
          <w:rFonts w:ascii="Times New Roman" w:hAnsi="Times New Roman" w:cs="Times New Roman"/>
        </w:rPr>
        <w:t xml:space="preserve">The </w:t>
      </w:r>
      <w:r w:rsidR="001C41D2" w:rsidRPr="00842A01">
        <w:rPr>
          <w:rFonts w:ascii="Times New Roman" w:hAnsi="Times New Roman" w:cs="Times New Roman"/>
        </w:rPr>
        <w:t>ventral thalamus</w:t>
      </w:r>
      <w:r w:rsidR="00153C16" w:rsidRPr="00842A01">
        <w:rPr>
          <w:rFonts w:ascii="Times New Roman" w:hAnsi="Times New Roman" w:cs="Times New Roman"/>
        </w:rPr>
        <w:t xml:space="preserve"> changes</w:t>
      </w:r>
      <w:r w:rsidR="001C41D2" w:rsidRPr="00842A01">
        <w:rPr>
          <w:rFonts w:ascii="Times New Roman" w:hAnsi="Times New Roman" w:cs="Times New Roman"/>
        </w:rPr>
        <w:t xml:space="preserve"> also corresponded with </w:t>
      </w:r>
      <w:r w:rsidR="0067149E" w:rsidRPr="00842A01">
        <w:rPr>
          <w:rFonts w:ascii="Times New Roman" w:hAnsi="Times New Roman" w:cs="Times New Roman"/>
        </w:rPr>
        <w:t>neuropsychiatric symptoms</w:t>
      </w:r>
      <w:r w:rsidR="001C41D2" w:rsidRPr="00842A01">
        <w:rPr>
          <w:rFonts w:ascii="Times New Roman" w:hAnsi="Times New Roman" w:cs="Times New Roman"/>
        </w:rPr>
        <w:t xml:space="preserve">. The involvement of the ventral thalamus in neuropsychiatric symptoms has been found </w:t>
      </w:r>
      <w:r w:rsidR="00153C16" w:rsidRPr="00842A01">
        <w:rPr>
          <w:rFonts w:ascii="Times New Roman" w:hAnsi="Times New Roman" w:cs="Times New Roman"/>
        </w:rPr>
        <w:t>in</w:t>
      </w:r>
      <w:r w:rsidR="001C41D2" w:rsidRPr="00842A01">
        <w:rPr>
          <w:rFonts w:ascii="Times New Roman" w:hAnsi="Times New Roman" w:cs="Times New Roman"/>
        </w:rPr>
        <w:t xml:space="preserve"> </w:t>
      </w:r>
      <w:r w:rsidR="0067149E" w:rsidRPr="00842A01">
        <w:rPr>
          <w:rFonts w:ascii="Times New Roman" w:hAnsi="Times New Roman" w:cs="Times New Roman"/>
        </w:rPr>
        <w:t xml:space="preserve">anxiety, panic disorders, and schizophrenia </w:t>
      </w:r>
      <w:r w:rsidR="0067149E"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{"citationItems":[{"id":"ITEM-1","itemData":{"DOI":"10.1016/S0925-4927(01)00131-7","ISSN":"0925-4927","abstract":"The ventral lateral posterior thalamic nucleus (VLp) is an integral part of both the cerebello-thalamocortical and the basal ganglia-thalamocortical circuit. Although both circuits are thought to be involved in the pathophysiology of schizophrenia, the VLp has not yet been examined in schizophrenia. Using stereological techniques in the brains of eight patients with schizophrenia and in eight age- and sex-matched controls, we measured the nuclear volume of the VLp and obtained estimates of the total number of neurons in this nucleus. Whole brain volume did not differ between the schizophrenia group and the control group and was not correlated to the volume of the right VLp or left VLp. The volume (−25%) and the total neuron number (−27%) of the left VLp were significantly reduced in the schizophrenia group. There were no significant differences in the nuclear volume, neuron density and total neuron number in the right VLp between the schizophrenia group and the control group. There were no significant correlations between length of illness and the nuclear volume, neuron density and total neuron number of the left and right VLp. The present results suggest that the total neuron number of the left VLp is reduced in the schizophrenia group, which may reflect disturbed cerebello-thalamocortical and basal ganglia-thalamocortical circuits in this disease.","author":[{"dropping-particle":"","family":"Danos","given":"Peter","non-dropping-particle":"","parse-names":false,"suffix":""},{"dropping-particle":"","family":"Baumann","given":"Bruno","non-dropping-particle":"","parse-names":false,"suffix":""},{"dropping-particle":"","family":"Bernstein","given":"Hans-Gert","non-dropping-particle":"","parse-names":false,"suffix":""},{"dropping-particle":"","family":"Stauch","given":"Renate","non-dropping-particle":"","parse-names":false,"suffix":""},{"dropping-particle":"","family":"Krell","given":"Dieter","non-dropping-particle":"","parse-names":false,"suffix":""},{"dropping-particle":"","family":"Falkai","given":"Peter","non-dropping-particle":"","parse-names":false,"suffix":""},{"dropping-particle":"","family":"Bogerts","given":"Bernhard","non-dropping-particle":"","parse-names":false,"suffix":""}],"container-title":"Psychiatry Research: Neuroimaging","id":"ITEM-1","issue":"1","issued":{"date-parts":[["2002"]]},"page":"1-9","title":"The ventral lateral posterior nucleus of the thalamus in schizophrenia: a post-mortem study","type":"article-journal","volume":"114"},"uris":["http://www.mendeley.com/documents/?uuid=08049a61-668e-420b-a284-ebf2f694dd47"]},{"id":"ITEM-2","itemData":{"DOI":"10.1371/journal.pone.0208152","ISSN":"1932-6203","abstract":"The thalamus is believed to play crucial role in processing viscero-sensory information, and regulating the activity of amygdala in patients with panic disorder (PD). Previous functional neuroimaging studies have detected abnormal activation in the thalamus in patients with PD compared with healthy control subjects (HC). Very few studies, however, have investigated for volumetric abnormalities in the thalamus in patients with PD. Furthermore, to the best of our knowledge, no previous study has investigated for shape abnormalities in the thalamus in patients with PD. Twenty-five patients with PD and 25 HC participants (all female) were recruited for the study. A voxel-wise volume comparison analysis and a vertex-wise shape analysis were conducted to evaluate structural abnormalities in the PD patients compared to HC. The patients with PD demonstrated significant gray matter volume reductions in the thalamus bilaterally, relative to the HC. The shape analysis detected significant inward deformation in some thalamic regions in the PD patients, including the anterior nucleus, mediodorsal nucleus, and pulvinar nucleus. PD patients showed shape deformations in key thalamic regions that are believed to play a role in regulating emotional and cognitive functions.","author":[{"dropping-particle":"","family":"Asami","given":"Takeshi","non-dropping-particle":"","parse-names":false,"suffix":""},{"dropping-particle":"","family":"Yoshida","given":"Haruhisa","non-dropping-particle":"","parse-names":false,"suffix":""},{"dropping-particle":"","family":"Takaishi","given":"Masao","non-dropping-particle":"","parse-names":false,"suffix":""},{"dropping-particle":"","family":"Nakamura","given":"Ryota","non-dropping-particle":"","parse-names":false,"suffix":""},{"dropping-particle":"","family":"Yoshimi","given":"Asuka","non-dropping-particle":"","parse-names":false,"suffix":""},{"dropping-particle":"","family":"Whitford","given":"Thomas J.","non-dropping-particle":"","parse-names":false,"suffix":""},{"dropping-particle":"","family":"Hirayasu","given":"Yoshio","non-dropping-particle":"","parse-names":false,"suffix":""}],"container-title":"PLOS ONE","editor":[{"dropping-particle":"","family":"Hashimoto","given":"Kenji","non-dropping-particle":"","parse-names":false,"suffix":""}],"id":"ITEM-2","issue":"12","issued":{"date-parts":[["2018","12","19"]]},"page":"e0208152","publisher":"Public Library of Science","title":"Thalamic shape and volume abnormalities in female patients with panic disorder","type":"article-journal","volume":"13"},"uris":["http://www.mendeley.com/documents/?uuid=e576ae4e-34ab-32d1-901d-f38c6166ab7b"]}],"mendeley":{"formattedCitation":"[38,39]","plainTextFormattedCitation":"[38,39]","previouslyFormattedCitation":"[38,39]"},"properties":{"noteIndex":0},"schema":"https://github.com/citation-style-language/schema/raw/master/csl-citation.json"}</w:instrText>
      </w:r>
      <w:r w:rsidR="0067149E" w:rsidRPr="00842A01">
        <w:rPr>
          <w:rFonts w:ascii="Times New Roman" w:hAnsi="Times New Roman" w:cs="Times New Roman"/>
        </w:rPr>
        <w:fldChar w:fldCharType="separate"/>
      </w:r>
      <w:r w:rsidR="00552CC9" w:rsidRPr="00842A01">
        <w:rPr>
          <w:rFonts w:ascii="Times New Roman" w:hAnsi="Times New Roman" w:cs="Times New Roman"/>
          <w:noProof/>
        </w:rPr>
        <w:t>[38,39]</w:t>
      </w:r>
      <w:r w:rsidR="0067149E" w:rsidRPr="00842A01">
        <w:rPr>
          <w:rFonts w:ascii="Times New Roman" w:hAnsi="Times New Roman" w:cs="Times New Roman"/>
        </w:rPr>
        <w:fldChar w:fldCharType="end"/>
      </w:r>
      <w:r w:rsidR="0067149E" w:rsidRPr="00842A01">
        <w:rPr>
          <w:rFonts w:ascii="Times New Roman" w:hAnsi="Times New Roman" w:cs="Times New Roman"/>
        </w:rPr>
        <w:t xml:space="preserve">. </w:t>
      </w:r>
      <w:r w:rsidR="001C41D2" w:rsidRPr="00842A01">
        <w:rPr>
          <w:rFonts w:ascii="Times New Roman" w:hAnsi="Times New Roman" w:cs="Times New Roman"/>
        </w:rPr>
        <w:t xml:space="preserve">In particular, </w:t>
      </w:r>
      <w:r w:rsidR="009D4247" w:rsidRPr="00842A01">
        <w:rPr>
          <w:rFonts w:ascii="Times New Roman" w:hAnsi="Times New Roman" w:cs="Times New Roman"/>
        </w:rPr>
        <w:t>schizophrenia has been shown to be associated with lesse</w:t>
      </w:r>
      <w:r w:rsidR="00777203" w:rsidRPr="00842A01">
        <w:rPr>
          <w:rFonts w:ascii="Times New Roman" w:hAnsi="Times New Roman" w:cs="Times New Roman"/>
        </w:rPr>
        <w:t>r neurons in the left ventrola</w:t>
      </w:r>
      <w:r w:rsidR="009D4247" w:rsidRPr="00842A01">
        <w:rPr>
          <w:rFonts w:ascii="Times New Roman" w:hAnsi="Times New Roman" w:cs="Times New Roman"/>
        </w:rPr>
        <w:t xml:space="preserve">teral posterior nucleus, but not the right </w:t>
      </w:r>
      <w:r w:rsidR="009D4247"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{"citationItems":[{"id":"ITEM-1","itemData":{"DOI":"10.1016/S0925-4927(01)00131-7","ISSN":"0925-4927","abstract":"The ventral lateral posterior thalamic nucleus (VLp) is an integral part of both the cerebello-thalamocortical and the basal ganglia-thalamocortical circuit. Although both circuits are thought to be involved in the pathophysiology of schizophrenia, the VLp has not yet been examined in schizophrenia. Using stereological techniques in the brains of eight patients with schizophrenia and in eight age- and sex-matched controls, we measured the nuclear volume of the VLp and obtained estimates of the total number of neurons in this nucleus. Whole brain volume did not differ between the schizophrenia group and the control group and was not correlated to the volume of the right VLp or left VLp. The volume (−25%) and the total neuron number (−27%) of the left VLp were significantly reduced in the schizophrenia group. There were no significant differences in the nuclear volume, neuron density and total neuron number in the right VLp between the schizophrenia group and the control group. There were no significant correlations between length of illness and the nuclear volume, neuron density and total neuron number of the left and right VLp. The present results suggest that the total neuron number of the left VLp is reduced in the schizophrenia group, which may reflect disturbed cerebello-thalamocortical and basal ganglia-thalamocortical circuits in this disease.","author":[{"dropping-particle":"","family":"Danos","given":"Peter","non-dropping-particle":"","parse-names":false,"suffix":""},{"dropping-particle":"","family":"Baumann","given":"Bruno","non-dropping-particle":"","parse-names":false,"suffix":""},{"dropping-particle":"","family":"Bernstein","given":"Hans-Gert","non-dropping-particle":"","parse-names":false,"suffix":""},{"dropping-particle":"","family":"Stauch","given":"Renate","non-dropping-particle":"","parse-names":false,"suffix":""},{"dropping-particle":"","family":"Krell","given":"Dieter","non-dropping-particle":"","parse-names":false,"suffix":""},{"dropping-particle":"","family":"Falkai","given":"Peter","non-dropping-particle":"","parse-names":false,"suffix":""},{"dropping-particle":"","family":"Bogerts","given":"Bernhard","non-dropping-particle":"","parse-names":false,"suffix":""}],"container-title":"Psychiatry Research: Neuroimaging","id":"ITEM-1","issue":"1","issued":{"date-parts":[["2002"]]},"page":"1-9","title":"The ventral lateral posterior nucleus of the thalamus in schizophrenia: a post-mortem study","type":"article-journal","volume":"114"},"uris":["http://www.mendeley.com/documents/?uuid=08049a61-668e-420b-a284-ebf2f694dd47"]}],"mendeley":{"formattedCitation":"[38]","plainTextFormattedCitation":"[38]","previouslyFormattedCitation":"[38]"},"properties":{"noteIndex":0},"schema":"https://github.com/citation-style-language/schema/raw/master/csl-citation.json"}</w:instrText>
      </w:r>
      <w:r w:rsidR="009D4247" w:rsidRPr="00842A01">
        <w:rPr>
          <w:rFonts w:ascii="Times New Roman" w:hAnsi="Times New Roman" w:cs="Times New Roman"/>
        </w:rPr>
        <w:fldChar w:fldCharType="separate"/>
      </w:r>
      <w:r w:rsidR="00552CC9" w:rsidRPr="00842A01">
        <w:rPr>
          <w:rFonts w:ascii="Times New Roman" w:hAnsi="Times New Roman" w:cs="Times New Roman"/>
          <w:noProof/>
        </w:rPr>
        <w:t>[38]</w:t>
      </w:r>
      <w:r w:rsidR="009D4247" w:rsidRPr="00842A01">
        <w:rPr>
          <w:rFonts w:ascii="Times New Roman" w:hAnsi="Times New Roman" w:cs="Times New Roman"/>
        </w:rPr>
        <w:fldChar w:fldCharType="end"/>
      </w:r>
      <w:r w:rsidR="005056D7" w:rsidRPr="00842A01">
        <w:rPr>
          <w:rFonts w:ascii="Times New Roman" w:hAnsi="Times New Roman" w:cs="Times New Roman"/>
        </w:rPr>
        <w:t>.</w:t>
      </w:r>
      <w:r w:rsidR="002C6B07" w:rsidRPr="00842A01">
        <w:rPr>
          <w:rFonts w:ascii="Times New Roman" w:hAnsi="Times New Roman" w:cs="Times New Roman"/>
        </w:rPr>
        <w:t xml:space="preserve"> </w:t>
      </w:r>
      <w:r w:rsidR="00A5362C" w:rsidRPr="00842A01">
        <w:rPr>
          <w:rFonts w:ascii="Times New Roman" w:hAnsi="Times New Roman" w:cs="Times New Roman"/>
        </w:rPr>
        <w:t>Furthermore,</w:t>
      </w:r>
      <w:r w:rsidR="005056D7" w:rsidRPr="00842A01">
        <w:rPr>
          <w:rFonts w:ascii="Times New Roman" w:hAnsi="Times New Roman" w:cs="Times New Roman"/>
        </w:rPr>
        <w:t xml:space="preserve"> </w:t>
      </w:r>
      <w:r w:rsidR="00A5362C" w:rsidRPr="00842A01">
        <w:rPr>
          <w:rFonts w:ascii="Times New Roman" w:hAnsi="Times New Roman" w:cs="Times New Roman"/>
        </w:rPr>
        <w:t xml:space="preserve">general leftward cerebral </w:t>
      </w:r>
      <w:r w:rsidR="005056D7" w:rsidRPr="00842A01">
        <w:rPr>
          <w:rFonts w:ascii="Times New Roman" w:hAnsi="Times New Roman" w:cs="Times New Roman"/>
        </w:rPr>
        <w:t xml:space="preserve">atrophy </w:t>
      </w:r>
      <w:r w:rsidR="00A5362C" w:rsidRPr="00842A01">
        <w:rPr>
          <w:rFonts w:ascii="Times New Roman" w:hAnsi="Times New Roman" w:cs="Times New Roman"/>
        </w:rPr>
        <w:t>has also been associated</w:t>
      </w:r>
      <w:r w:rsidR="005056D7" w:rsidRPr="00842A01">
        <w:rPr>
          <w:rFonts w:ascii="Times New Roman" w:hAnsi="Times New Roman" w:cs="Times New Roman"/>
        </w:rPr>
        <w:t xml:space="preserve"> with </w:t>
      </w:r>
      <w:r w:rsidR="007D25B1" w:rsidRPr="00842A01">
        <w:rPr>
          <w:rFonts w:ascii="Times New Roman" w:hAnsi="Times New Roman" w:cs="Times New Roman"/>
        </w:rPr>
        <w:t xml:space="preserve">delusions </w:t>
      </w:r>
      <w:r w:rsidR="007D25B1"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{"citationItems":[{"id":"ITEM-1","itemData":{"DOI":"10.1136/jnnp.69.2.187","ISBN":"0022-3050","ISSN":"00223050","PMID":"10896691","abstract":"OBJECTIVE: To test the hypothesis that delusions are associated with asymmetric involvement of the temporal lobe regions in Alzheimer's disease.\\n\\nMETHODS: Temporal lobe atrophy was assessed with a linear measure of width of the temporal horn (WTH) taken from CT films. Temporal asymmetry was computed as the right/left (R/L) ratio of the WTH in 22 non-delusional and 19 delusional patients with Alzheimer's disease. Delusional patients had paranoid delusions (of theft, jealousy, persecution). None of the patients had misidentifications or other delusions of non-paranoid content.\\n\\nRESULTS: The R/L ratio indicated symmetric temporal horn size in the non-delusional (mean 1. 05 (SD 0.20), and right greater than left temporal horn in the delusional patients (mean 1.30, (SD 0.46); t=2.27, df=39, p=0.03). When patients were stratified into three groups according to the R/L ratio, 47% of the delusional (9/19) and 14% of the non-delusional patients (3/21; chi(2)=5.6, df=1, p=0.02) showed right markedly greater than left WTH.\\n\\nCONCLUSIONS: Predominantly right involvement of the medial temporal lobe might be a determinant of paranoid delusions in the mild stages of Alzheimer's disease.","author":[{"dropping-particle":"","family":"Geroldi","given":"Cristina","non-dropping-particle":"","parse-names":false,"suffix":""},{"dropping-particle":"","family":"Akkawi","given":"Nabil Maalikjy","non-dropping-particle":"","parse-names":false,"suffix":""},{"dropping-particle":"","family":"Galluzzi","given":"Samantha","non-dropping-particle":"","parse-names":false,"suffix":""},{"dropping-particle":"","family":"Ubezio","given":"MariaChiara","non-dropping-particle":"","parse-names":false,"suffix":""},{"dropping-particle":"","family":"Binetti","given":"Giuliano","non-dropping-particle":"","parse-names":false,"suffix":""},{"dropping-particle":"","family":"Zanetti","given":"Orazio","non-dropping-particle":"","parse-names":false,"suffix":""},{"dropping-particle":"","family":"Trabucchi","given":"Marco","non-dropping-particle":"","parse-names":false,"suffix":""},{"dropping-particle":"","family":"Frisoni","given":"Giovanni B.","non-dropping-particle":"","parse-names":false,"suffix":""}],"container-title":"Journal of Neurology Neurosurgery and Psychiatry","id":"ITEM-1","issue":"2","issued":{"date-parts":[["2000"]]},"page":"187-191","title":"Temporal lobe asymmetry in patients with Alzheimer's disease with delusions","type":"article-journal","volume":"69"},"uris":["http://www.mendeley.com/documents/?uuid=f72d74cf-f730-482e-9491-023f33418bdd"]}],"mendeley":{"formattedCitation":"[8]","plainTextFormattedCitation":"[8]","previouslyFormattedCitation":"[8]"},"properties":{"noteIndex":0},"schema":"https://github.com/citation-style-language/schema/raw/master/csl-citation.json"}</w:instrText>
      </w:r>
      <w:r w:rsidR="007D25B1" w:rsidRPr="00842A01">
        <w:rPr>
          <w:rFonts w:ascii="Times New Roman" w:hAnsi="Times New Roman" w:cs="Times New Roman"/>
        </w:rPr>
        <w:fldChar w:fldCharType="separate"/>
      </w:r>
      <w:r w:rsidR="000F5BEC" w:rsidRPr="00842A01">
        <w:rPr>
          <w:rFonts w:ascii="Times New Roman" w:hAnsi="Times New Roman" w:cs="Times New Roman"/>
          <w:noProof/>
        </w:rPr>
        <w:t>[8]</w:t>
      </w:r>
      <w:r w:rsidR="007D25B1" w:rsidRPr="00842A01">
        <w:rPr>
          <w:rFonts w:ascii="Times New Roman" w:hAnsi="Times New Roman" w:cs="Times New Roman"/>
        </w:rPr>
        <w:fldChar w:fldCharType="end"/>
      </w:r>
      <w:r w:rsidR="007D25B1" w:rsidRPr="00842A01">
        <w:rPr>
          <w:rFonts w:ascii="Times New Roman" w:hAnsi="Times New Roman" w:cs="Times New Roman"/>
        </w:rPr>
        <w:t>, apathy, and agitation</w:t>
      </w:r>
      <w:r w:rsidR="001E6CC2" w:rsidRPr="00842A01">
        <w:rPr>
          <w:rFonts w:ascii="Times New Roman" w:hAnsi="Times New Roman" w:cs="Times New Roman"/>
        </w:rPr>
        <w:t xml:space="preserve"> </w:t>
      </w:r>
      <w:r w:rsidR="002C6B07" w:rsidRPr="00842A01">
        <w:rPr>
          <w:rFonts w:ascii="Times New Roman" w:hAnsi="Times New Roman" w:cs="Times New Roman"/>
        </w:rPr>
        <w:fldChar w:fldCharType="begin" w:fldLock="1"/>
      </w:r>
      <w:r w:rsidR="003C1EAF" w:rsidRPr="00842A01">
        <w:rPr>
          <w:rFonts w:ascii="Times New Roman" w:hAnsi="Times New Roman" w:cs="Times New Roman"/>
        </w:rPr>
        <w:instrText>ADDIN CSL_CITATION {"citationItems":[{"id":"ITEM-1","itemData":{"DOI":"10.1093/brain/awn151","ISSN":"1460-2156 (Electronic)","PMID":"18669506","abstract":"Alzheimer's disease research has largely concentrated on the study of cognitive decline, but the associated behavioural and neuropsychiatric symptoms are of equal importance in the clinical profile of the disease. There is emerging evidence that regional differences in brain atrophy may align with variant disease presentations. The objective of this study was to identify the regions of decreased grey matter (GM) volume which were associated with specific neuropsychiatric behaviours in patients with mild Alzheimer's disease. Voxel-based morphometry was used to correlate GM derived from T(1)-weighted MRI images of 31 patients with mild Alzheimer's disease and specific neuropsychiatric symptoms and behaviours measured by the Neuropsychiatric Inventory. Delusions were associated with decreased GM density in the left frontal lobe, in the right frontoparietal cortex and in the left claustrum. Apathy was associated with GM density loss in the anterior cingulate and frontal cortex bilaterally, the head of the left caudate nucleus and in bilateral putamen. Agitation was associated with decreased GM values in the left insula, and in anterior cingulate cortex bilaterally. Neuropsychiatric symptoms of Alzheimer's disease seem to associate with neurodegeneration of specific neural networks supporting personal memory, reality monitoring, processing of reward, interoceptive sensations and subjective emotional experience. The study of neurodegenerative disorders such as Alzheimer's disease using voxel-based morphometry and other imaging modalities may further the understanding of the neural structures that mediate the genesis of abnormal behaviours.","author":[{"dropping-particle":"","family":"Bruen","given":"Peita D","non-dropping-particle":"","parse-names":false,"suffix":""},{"dropping-particle":"","family":"McGeown","given":"William J","non-dropping-particle":"","parse-names":false,"suffix":""},{"dropping-particle":"","family":"Shanks","given":"Michael F","non-dropping-particle":"","parse-names":false,"suffix":""},{"dropping-particle":"","family":"Venneri","given":"Annalena","non-dropping-particle":"","parse-names":false,"suffix":""}],"container-title":"Brain : a journal of neurology","id":"ITEM-1","issue":"Pt 9","issued":{"date-parts":[["2008","9"]]},"language":"eng","page":"2455-2463","publisher-place":"England","title":"Neuroanatomical correlates of neuropsychiatric symptoms in Alzheimer's disease.","type":"article-journal","volume":"131"},"uris":["http://www.mendeley.com/documents/?uuid=17994c0e-7b5e-4eaa-986c-3053e6d5fc21"]}],"mendeley":{"formattedCitation":"[9]","plainTextFormattedCitation":"[9]","previouslyFormattedCitation":"[9]"},"properties":{"noteIndex":0},"schema":"https://github.com/citation-style-language/schema/raw/master/csl-citation.json"}</w:instrText>
      </w:r>
      <w:r w:rsidR="002C6B07" w:rsidRPr="00842A01">
        <w:rPr>
          <w:rFonts w:ascii="Times New Roman" w:hAnsi="Times New Roman" w:cs="Times New Roman"/>
        </w:rPr>
        <w:fldChar w:fldCharType="separate"/>
      </w:r>
      <w:r w:rsidR="000F5BEC" w:rsidRPr="00842A01">
        <w:rPr>
          <w:rFonts w:ascii="Times New Roman" w:hAnsi="Times New Roman" w:cs="Times New Roman"/>
          <w:noProof/>
        </w:rPr>
        <w:t>[9]</w:t>
      </w:r>
      <w:r w:rsidR="002C6B07" w:rsidRPr="00842A01">
        <w:rPr>
          <w:rFonts w:ascii="Times New Roman" w:hAnsi="Times New Roman" w:cs="Times New Roman"/>
        </w:rPr>
        <w:fldChar w:fldCharType="end"/>
      </w:r>
      <w:r w:rsidR="007D25B1" w:rsidRPr="00842A01">
        <w:rPr>
          <w:rFonts w:ascii="Times New Roman" w:hAnsi="Times New Roman" w:cs="Times New Roman"/>
        </w:rPr>
        <w:t xml:space="preserve"> </w:t>
      </w:r>
      <w:r w:rsidR="007D25B1" w:rsidRPr="00842A01">
        <w:rPr>
          <w:rFonts w:ascii="Times New Roman" w:hAnsi="Times New Roman" w:cs="Times New Roman"/>
        </w:rPr>
        <w:lastRenderedPageBreak/>
        <w:t xml:space="preserve">in AD, as well as </w:t>
      </w:r>
      <w:r w:rsidR="00A22994" w:rsidRPr="00842A01">
        <w:rPr>
          <w:rFonts w:ascii="Times New Roman" w:hAnsi="Times New Roman" w:cs="Times New Roman"/>
        </w:rPr>
        <w:t>post-traumatic stress disorder (</w:t>
      </w:r>
      <w:r w:rsidR="007D25B1" w:rsidRPr="00842A01">
        <w:rPr>
          <w:rFonts w:ascii="Times New Roman" w:hAnsi="Times New Roman" w:cs="Times New Roman"/>
        </w:rPr>
        <w:t>PTSD</w:t>
      </w:r>
      <w:r w:rsidR="00A22994" w:rsidRPr="00842A01">
        <w:rPr>
          <w:rFonts w:ascii="Times New Roman" w:hAnsi="Times New Roman" w:cs="Times New Roman"/>
        </w:rPr>
        <w:t>)</w:t>
      </w:r>
      <w:r w:rsidR="007D25B1" w:rsidRPr="00842A01">
        <w:rPr>
          <w:rFonts w:ascii="Times New Roman" w:hAnsi="Times New Roman" w:cs="Times New Roman"/>
        </w:rPr>
        <w:t xml:space="preserve"> </w:t>
      </w:r>
      <w:r w:rsidR="007D25B1" w:rsidRPr="00842A01">
        <w:rPr>
          <w:rFonts w:ascii="Times New Roman" w:hAnsi="Times New Roman" w:cs="Times New Roman"/>
        </w:rPr>
        <w:fldChar w:fldCharType="begin" w:fldLock="1"/>
      </w:r>
      <w:r w:rsidR="00C71B29" w:rsidRPr="00842A01">
        <w:rPr>
          <w:rFonts w:ascii="Times New Roman" w:hAnsi="Times New Roman" w:cs="Times New Roman"/>
        </w:rPr>
        <w:instrText>ADDIN CSL_CITATION {"citationItems":[{"id":"ITEM-1","itemData":{"DOI":"10.1002/hipo.20102","ISSN":"1050-9631","abstract":"Abstract Over the last decade a significant number of studies have reported smaller hippocampal volume in individuals with symptoms of post-traumatic stress disorder (PTSD) relative to control groups, and in some cases hemispheric asymmetries in this effect have been noted. However these reported asymmetries have not been in a consistent direction, and other well-controlled studies have failed to observe any hippocampal volume difference. This paper reports a systematic review and meta-analysis of studies in which hippocampal volume was estimated from magnetic resonance images in adult patients with PTSD. After applying a variety of selection criteria intended to minimize potential confounds in pooled effect-size estimates, the meta-analysis included 13 studies of adult patients with PTSD that compared the patients to well-matched control groups, for a total of 215 patients and 325 control subjects. The studies varied with respect to participant age, gender distribution, source of trauma, severity of symptoms, duration of disorder, the nature of the control groups, and the methods employed for volumetric quantification. Despite these differences, pooled effect size calculations across the studies indicated significant volume differences in both hemispheres. On average PTSD patients had a 6.9% smaller left hippocampal volume and a 6.6% smaller right hippocampal volume compared with control subjects. These volume differences were smaller when comparing PTSD patients with control subjects exposed to similar levels of trauma, and larger when comparing PTSD patients to control subjects without significant trauma exposure. Such differences are consistent with the notion that exposure to stressful experiences can lead to hippocampal atrophy, although prospective studies would be necessary to unambiguously establish such a relationship. ? 2005 Wiley-Liss, Inc.","author":[{"dropping-particle":"","family":"Smith","given":"Michael E","non-dropping-particle":"","parse-names":false,"suffix":""}],"container-title":"Hippocampus","id":"ITEM-1","issue":"6","issued":{"date-parts":[["2005"]]},"page":"798-807","title":"Bilateral hippocampal volume reduction in adults with post-traumatic stress disorder: A meta-analysis of structural MRI studies","type":"article-journal","volume":"15"},"uris":["http://www.mendeley.com/documents/?uuid=93af1751-63e4-470f-be6a-9c2cc9d532ec"]}],"mendeley":{"formattedCitation":"[40]","plainTextFormattedCitation":"[40]","previouslyFormattedCitation":"[40]"},"properties":{"noteIndex":0},"schema":"https://github.com/citation-style-language/schema/raw/master/csl-citation.json"}</w:instrText>
      </w:r>
      <w:r w:rsidR="007D25B1" w:rsidRPr="00842A01">
        <w:rPr>
          <w:rFonts w:ascii="Times New Roman" w:hAnsi="Times New Roman" w:cs="Times New Roman"/>
        </w:rPr>
        <w:fldChar w:fldCharType="separate"/>
      </w:r>
      <w:r w:rsidR="00552CC9" w:rsidRPr="00842A01">
        <w:rPr>
          <w:rFonts w:ascii="Times New Roman" w:hAnsi="Times New Roman" w:cs="Times New Roman"/>
          <w:noProof/>
        </w:rPr>
        <w:t>[40]</w:t>
      </w:r>
      <w:r w:rsidR="007D25B1" w:rsidRPr="00842A01">
        <w:rPr>
          <w:rFonts w:ascii="Times New Roman" w:hAnsi="Times New Roman" w:cs="Times New Roman"/>
        </w:rPr>
        <w:fldChar w:fldCharType="end"/>
      </w:r>
      <w:r w:rsidR="002C6B07" w:rsidRPr="00842A01">
        <w:rPr>
          <w:rFonts w:ascii="Times New Roman" w:hAnsi="Times New Roman" w:cs="Times New Roman"/>
        </w:rPr>
        <w:t xml:space="preserve"> and hallucinations </w:t>
      </w:r>
      <w:r w:rsidR="002C6B07"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{"citationItems":[{"id":"ITEM-1","itemData":{"DOI":"10.1007/s00406-013-0390-7","ISSN":"1433-8491 (Electronic)","PMID":"23354990","abstract":"Oral cenesthopathy is a somatic delusion or hallucination involving the oral area and is categorized as a delusional disorder, somatic type. The pathophysiology of this intractable condition remains obscure. In this study, we clarified the pathophysiology of oral cenesthopathy by evaluating regional brain perfusion. We performed single photon emission computed tomography (SPECT) using (99m)Tc-ethylcysteinate dimer in 16 subjects (cenesthopathy:control = 8:8). The SPECT images were visually assessed qualitatively, and quantitative analyses were also performed using a three-dimensional stereotactic region-of-interest template. The visual assessment revealed a right &gt; left perfusion asymmetry in broad areas of the brain among the patients. The quantitative analysis confirmed that the regional cerebral blood flow values on the right side were significantly larger than those on the left side for most areas of the brain in the patients. A comparison of the R/(R + L) ratios in both groups confirmed the significant brain perfusion asymmetry between the two sides in the callosomarginal, precentral, and temporal regions in the patients. Qualitative evaluation of the SPECT images revealed right &gt; left brain perfusion asymmetry in broad regions of the brain. Moreover, the quantitative analyses confirmed the perfusion asymmetry between the two sides in the frontal and temporal areas. Those may provide the key for elucidation of the pathophysiology of oral cenesthopathy.","author":[{"dropping-particle":"","family":"Umezaki","given":"Yojiro","non-dropping-particle":"","parse-names":false,"suffix":""},{"dropping-particle":"","family":"Katagiri","given":"Ayano","non-dropping-particle":"","parse-names":false,"suffix":""},{"dropping-particle":"","family":"Watanabe","given":"Motoko","non-dropping-particle":"","parse-names":false,"suffix":""},{"dropping-particle":"","family":"Takenoshita","given":"Miho","non-dropping-particle":"","parse-names":false,"suffix":""},{"dropping-particle":"","family":"Sakuma","given":"Tomomi","non-dropping-particle":"","parse-names":false,"suffix":""},{"dropping-particle":"","family":"Sako","given":"Emi","non-dropping-particle":"","parse-names":false,"suffix":""},{"dropping-particle":"","family":"Sato","given":"Yusuke","non-dropping-particle":"","parse-names":false,"suffix":""},{"dropping-particle":"","family":"Toriihara","given":"Akira","non-dropping-particle":"","parse-names":false,"suffix":""},{"dropping-particle":"","family":"Uezato","given":"Akihito","non-dropping-particle":"","parse-names":false,"suffix":""},{"dropping-particle":"","family":"Shibuya","given":"Hitoshi","non-dropping-particle":"","parse-names":false,"suffix":""},{"dropping-particle":"","family":"Nishikawa","given":"Toru","non-dropping-particle":"","parse-names":false,"suffix":""},{"dropping-particle":"","family":"Motomura","given":"Haruhiko","non-dropping-particle":"","parse-names":false,"suffix":""},{"dropping-particle":"","family":"Toyofuku","given":"Akira","non-dropping-particle":"","parse-names":false,"suffix":""}],"container-title":"European archives of psychiatry and clinical neuroscience","id":"ITEM-1","issue":"4","issued":{"date-parts":[["2013","6"]]},"language":"eng","page":"315-323","publisher-place":"Germany","title":"Brain perfusion asymmetry in patients with oral somatic delusions.","type":"article-journal","volume":"263"},"uris":["http://www.mendeley.com/documents/?uuid=fa6061f9-4693-4500-b49a-f2f31e21f3d6"]}],"mendeley":{"formattedCitation":"[41]","plainTextFormattedCitation":"[41]","previouslyFormattedCitation":"[41]"},"properties":{"noteIndex":0},"schema":"https://github.com/citation-style-language/schema/raw/master/csl-citation.json"}</w:instrText>
      </w:r>
      <w:r w:rsidR="002C6B07" w:rsidRPr="00842A01">
        <w:rPr>
          <w:rFonts w:ascii="Times New Roman" w:hAnsi="Times New Roman" w:cs="Times New Roman"/>
        </w:rPr>
        <w:fldChar w:fldCharType="separate"/>
      </w:r>
      <w:r w:rsidR="00552CC9" w:rsidRPr="00842A01">
        <w:rPr>
          <w:rFonts w:ascii="Times New Roman" w:hAnsi="Times New Roman" w:cs="Times New Roman"/>
          <w:noProof/>
        </w:rPr>
        <w:t>[41]</w:t>
      </w:r>
      <w:r w:rsidR="002C6B07" w:rsidRPr="00842A01">
        <w:rPr>
          <w:rFonts w:ascii="Times New Roman" w:hAnsi="Times New Roman" w:cs="Times New Roman"/>
        </w:rPr>
        <w:fldChar w:fldCharType="end"/>
      </w:r>
      <w:r w:rsidR="002C6B07" w:rsidRPr="00842A01">
        <w:rPr>
          <w:rFonts w:ascii="Times New Roman" w:hAnsi="Times New Roman" w:cs="Times New Roman"/>
        </w:rPr>
        <w:t xml:space="preserve">. Importantly, the association between leftward ventral thalamic atrophy observed in this present study </w:t>
      </w:r>
      <w:r w:rsidR="00153C16" w:rsidRPr="00842A01">
        <w:rPr>
          <w:rFonts w:ascii="Times New Roman" w:hAnsi="Times New Roman" w:cs="Times New Roman"/>
        </w:rPr>
        <w:t>remained</w:t>
      </w:r>
      <w:r w:rsidR="002C6B07" w:rsidRPr="00842A01">
        <w:rPr>
          <w:rFonts w:ascii="Times New Roman" w:hAnsi="Times New Roman" w:cs="Times New Roman"/>
        </w:rPr>
        <w:t xml:space="preserve"> even after controlling for global brain asymmetry. </w:t>
      </w:r>
    </w:p>
    <w:p w14:paraId="7EA8851B" w14:textId="27FBBEC8" w:rsidR="00934FB3" w:rsidRPr="00842A01" w:rsidRDefault="003B2332" w:rsidP="004A08EC">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0572FD" w:rsidRPr="00842A01">
        <w:rPr>
          <w:rFonts w:ascii="Times New Roman" w:hAnsi="Times New Roman" w:cs="Times New Roman"/>
        </w:rPr>
        <w:t>Amongst the small number of studies on the clinical association</w:t>
      </w:r>
      <w:r w:rsidR="00D934DA" w:rsidRPr="00842A01">
        <w:rPr>
          <w:rFonts w:ascii="Times New Roman" w:hAnsi="Times New Roman" w:cs="Times New Roman"/>
        </w:rPr>
        <w:t xml:space="preserve">s of the ventral thalamus, </w:t>
      </w:r>
      <w:r w:rsidR="00153C16" w:rsidRPr="00842A01">
        <w:rPr>
          <w:rFonts w:ascii="Times New Roman" w:hAnsi="Times New Roman" w:cs="Times New Roman"/>
        </w:rPr>
        <w:t xml:space="preserve">most </w:t>
      </w:r>
      <w:r w:rsidR="000572FD" w:rsidRPr="00842A01">
        <w:rPr>
          <w:rFonts w:ascii="Times New Roman" w:hAnsi="Times New Roman" w:cs="Times New Roman"/>
        </w:rPr>
        <w:t xml:space="preserve">have focused specifically on the ventrolateral nucleus. However, owing to the </w:t>
      </w:r>
      <w:r w:rsidR="00777203" w:rsidRPr="00842A01">
        <w:rPr>
          <w:rFonts w:ascii="Times New Roman" w:hAnsi="Times New Roman" w:cs="Times New Roman"/>
        </w:rPr>
        <w:t>fine thalamic segmentations employed</w:t>
      </w:r>
      <w:r w:rsidR="000572FD" w:rsidRPr="00842A01">
        <w:rPr>
          <w:rFonts w:ascii="Times New Roman" w:hAnsi="Times New Roman" w:cs="Times New Roman"/>
        </w:rPr>
        <w:t xml:space="preserve"> in this study </w:t>
      </w:r>
      <w:r w:rsidR="000572FD"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{"citationItems":[{"id":"ITEM-1","itemData":{"DOI":"10.1016/j.neuroimage.2018.08.012","ISSN":"10959572","PMID":"19330216","abstract":"The human thalamus is a brain structure that comprises numerous, highly specific nuclei. Since these nuclei are known to have different functions and to be connected to different areas of the cerebral cortex, it is of great interest for the neuroimaging community to study their volume, shape and connectivity in vivo with MRI. In this study, we present a probabilistic atlas of the thalamic nuclei built using ex vivo brain MRI scans and histological data, as well as the application of the atlas to in vivo MRI segmentation. The atlas was built using manual delineation of 26 thalamic nuclei on the serial histology of 12 whole thalami from six autopsy samples, combined with manual segmentations of the whole thalamus and surrounding structures (caudate, putamen, hippocampus, etc.) made on in vivo brain MR data from 39 subjects. The 3D structure of the histological data and corresponding manual segmentations was recovered using the ex vivo MRI as reference frame, and stacks of blockface photographs acquired during the sectioning as intermediate target. The atlas, which was encoded as an adaptive tetrahedral mesh, shows a good agreement with previous histological studies of the thalamus in terms of volumes of representative nuclei. When applied to segmentation of in vivo scans using Bayesian inference, the atlas shows excellent test-retest reliability, robustness to changes in input MRI contrast, and ability to detect differential thalamic effects in subjects with Alzheimer's disease. The probabilistic atlas and companion segmentation tool are publicly available as part of the neuroimaging package FreeSurfer.","author":[{"dropping-particle":"","family":"Iglesias","given":"Juan Eugenio","non-dropping-particle":"","parse-names":false,"suffix":""},{"dropping-particle":"","family":"Insausti","given":"Ricardo","non-dropping-particle":"","parse-names":false,"suffix":""},{"dropping-particle":"","family":"Lerma-Usabiaga","given":"Garikoitz","non-dropping-particle":"","parse-names":false,"suffix":""},{"dropping-particle":"","family":"Bocchetta","given":"Martina","non-dropping-particle":"","parse-names":false,"suffix":""},{"dropping-particle":"","family":"Leemput","given":"Koen","non-dropping-particle":"Van","parse-names":false,"suffix":""},{"dropping-particle":"","family":"Greve","given":"Douglas N.","non-dropping-particle":"","parse-names":false,"suffix":""},{"dropping-particle":"","family":"Kouwe","given":"Andre","non-dropping-particle":"van der","parse-names":false,"suffix":""},{"dropping-particle":"","family":"Alzheimer's Disease Neuroimaging Initiative","given":"","non-dropping-particle":"","parse-names":false,"suffix":""},{"dropping-particle":"","family":"Fischl","given":"Bruce","non-dropping-particle":"","parse-names":false,"suffix":""},{"dropping-particle":"","family":"Caballero-Gaudes","given":"César","non-dropping-particle":"","parse-names":false,"suffix":""},{"dropping-particle":"","family":"Paz-Alonso","given":"Pedro M","non-dropping-particle":"","parse-names":false,"suffix":""}],"container-title":"NeuroImage","id":"ITEM-1","issue":"2002","issued":{"date-parts":[["2018"]]},"page":"314-326","title":"A probabilistic atlas of the human thalamic nuclei combining ex vivo MRI and histology","type":"article-journal","volume":"183"},"uris":["http://www.mendeley.com/documents/?uuid=17745db7-3c70-4785-af45-513d1558650a"]}],"mendeley":{"formattedCitation":"[28]","plainTextFormattedCitation":"[28]","previouslyFormattedCitation":"[28]"},"properties":{"noteIndex":0},"schema":"https://github.com/citation-style-language/schema/raw/master/csl-citation.json"}</w:instrText>
      </w:r>
      <w:r w:rsidR="000572FD" w:rsidRPr="00842A01">
        <w:rPr>
          <w:rFonts w:ascii="Times New Roman" w:hAnsi="Times New Roman" w:cs="Times New Roman"/>
        </w:rPr>
        <w:fldChar w:fldCharType="separate"/>
      </w:r>
      <w:r w:rsidR="00552CC9" w:rsidRPr="00842A01">
        <w:rPr>
          <w:rFonts w:ascii="Times New Roman" w:hAnsi="Times New Roman" w:cs="Times New Roman"/>
          <w:noProof/>
        </w:rPr>
        <w:t>[28]</w:t>
      </w:r>
      <w:r w:rsidR="000572FD" w:rsidRPr="00842A01">
        <w:rPr>
          <w:rFonts w:ascii="Times New Roman" w:hAnsi="Times New Roman" w:cs="Times New Roman"/>
        </w:rPr>
        <w:fldChar w:fldCharType="end"/>
      </w:r>
      <w:r w:rsidR="000572FD" w:rsidRPr="00842A01">
        <w:rPr>
          <w:rFonts w:ascii="Times New Roman" w:hAnsi="Times New Roman" w:cs="Times New Roman"/>
        </w:rPr>
        <w:t xml:space="preserve">, findings revealed that the involvement of the ventral thalamus in cognition and neuropsychiatric symptoms </w:t>
      </w:r>
      <w:r w:rsidR="00777203" w:rsidRPr="00842A01">
        <w:rPr>
          <w:rFonts w:ascii="Times New Roman" w:hAnsi="Times New Roman" w:cs="Times New Roman"/>
        </w:rPr>
        <w:t xml:space="preserve">were localised to </w:t>
      </w:r>
      <w:r w:rsidR="00962671" w:rsidRPr="00842A01">
        <w:rPr>
          <w:rFonts w:ascii="Times New Roman" w:hAnsi="Times New Roman" w:cs="Times New Roman"/>
        </w:rPr>
        <w:t xml:space="preserve">the posterior ventrolateral and ventromedial </w:t>
      </w:r>
      <w:r w:rsidR="000572FD" w:rsidRPr="00842A01">
        <w:rPr>
          <w:rFonts w:ascii="Times New Roman" w:hAnsi="Times New Roman" w:cs="Times New Roman"/>
        </w:rPr>
        <w:t xml:space="preserve">nuclei of the left ventral thalamus </w:t>
      </w:r>
      <w:r w:rsidR="00024234" w:rsidRPr="00842A01">
        <w:rPr>
          <w:rFonts w:ascii="Times New Roman" w:hAnsi="Times New Roman" w:cs="Times New Roman"/>
        </w:rPr>
        <w:t xml:space="preserve">(Fig 4). </w:t>
      </w:r>
      <w:r w:rsidR="00BD2BDC" w:rsidRPr="00842A01">
        <w:rPr>
          <w:rFonts w:ascii="Times New Roman" w:hAnsi="Times New Roman" w:cs="Times New Roman"/>
        </w:rPr>
        <w:t xml:space="preserve">While these thalamic regions are best known for their involvement in sensory/motor functions, they may also be involved in a greater complexity of function </w:t>
      </w:r>
      <w:r w:rsidR="00575A1E"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{"citationItems":[{"id":"ITEM-1","itemData":{"DOI":"10.1161/01.STR.0000087786.38997.9E","ISSN":"1524-4628 (Electronic)","PMID":"12933968","abstract":"BACKGROUND: This article reviews the anatomy, connections, and functions of the thalamic nuclei, their vascular supply, and the clinical syndromes that result from thalamic infarction. SUMMARY OF REVIEW: Thalamic nuclei are composed of 5 major functional classes: reticular and intralaminar nuclei that subserve arousal and nociception; sensory nuclei in all major domains; effector nuclei concerned with motor function and aspects of language; associative nuclei that participate in high-level cognitive functions; and limbic nuclei concerned with mood and motivation. Vascular lesions destroy these nuclei in different combinations and produce sensorimotor and behavioral syndromes depending on which nuclei are involved. Tuberothalamic territory strokes produce impairments of arousal and orientation, learning and memory, personality, and executive function; superimposition of temporally unrelated information; and emotional facial paresis. Paramedian infarcts cause decreased arousal, particularly if the lesion is bilateral, and impaired learning and memory. Autobiographical memory impairment and executive failure result from lesions in either of these vascular territories. Language deficits result from left paramedian lesions and from left tuberothalamic lesions that include the ventrolateral nucleus. Right thalamic lesions in both these vascular territories produce visual-spatial deficits, including hemispatial neglect. Inferolateral territory strokes produce contralateral hemisensory loss, hemiparesis and hemiataxia, and pain syndromes that are more common after right thalamic lesions. Posterior choroidal lesions result in visual field deficits, variable sensory loss, weakness, dystonia, tremors, and occasionally amnesia and language impairment. CONCLUSIONS: These vascular syndromes reflect the reciprocal cerebral cortical-thalamic connections that have been interrupted and provide insights into the functional properties of the thalamus.","author":[{"dropping-particle":"","family":"Schmahmann","given":"Jeremy D","non-dropping-particle":"","parse-names":false,"suffix":""}],"container-title":"Stroke","id":"ITEM-1","issue":"9","issued":{"date-parts":[["2003","9"]]},"language":"eng","page":"2264-2278","publisher-place":"United States","title":"Vascular syndromes of the thalamus.","type":"article-journal","volume":"34"},"uris":["http://www.mendeley.com/documents/?uuid=9ccc743f-5bc7-46e3-9ee8-cd6aec726a62"]}],"mendeley":{"formattedCitation":"[42]","plainTextFormattedCitation":"[42]","previouslyFormattedCitation":"[42]"},"properties":{"noteIndex":0},"schema":"https://github.com/citation-style-language/schema/raw/master/csl-citation.json"}</w:instrText>
      </w:r>
      <w:r w:rsidR="00575A1E" w:rsidRPr="00842A01">
        <w:rPr>
          <w:rFonts w:ascii="Times New Roman" w:hAnsi="Times New Roman" w:cs="Times New Roman"/>
        </w:rPr>
        <w:fldChar w:fldCharType="separate"/>
      </w:r>
      <w:r w:rsidR="00552CC9" w:rsidRPr="00842A01">
        <w:rPr>
          <w:rFonts w:ascii="Times New Roman" w:hAnsi="Times New Roman" w:cs="Times New Roman"/>
          <w:noProof/>
        </w:rPr>
        <w:t>[42]</w:t>
      </w:r>
      <w:r w:rsidR="00575A1E" w:rsidRPr="00842A01">
        <w:rPr>
          <w:rFonts w:ascii="Times New Roman" w:hAnsi="Times New Roman" w:cs="Times New Roman"/>
        </w:rPr>
        <w:fldChar w:fldCharType="end"/>
      </w:r>
      <w:r w:rsidR="00BD2BDC" w:rsidRPr="00842A01">
        <w:rPr>
          <w:rFonts w:ascii="Times New Roman" w:hAnsi="Times New Roman" w:cs="Times New Roman"/>
        </w:rPr>
        <w:t xml:space="preserve">. Furthermore, present findings support the position that distinct asymmetry of brain atrophy in AD may represent etiologically distinct subgroups </w:t>
      </w:r>
      <w:r w:rsidR="00BD2BDC"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{"citationItems":[{"id":"ITEM-1","itemData":{"ISSN":"0003-9942 (Print)","PMID":"9823831","abstract":"BACKGROUND: The apolipoprotein E (Apo E) epsilon4 allele has been associated with parietal metabolic abnormalities and asymmetries in asymptomatic subjects at risk for Alzheimer disease (AD). However, previous research has shown minimal effect of the epsilon4 allele on regional cerebral blood flow (rCBF) and metabolism in patients with probable AD. OBJECTIVE: To determine whether the Apo E epsilon4 allele is associated with parietal rCBF abnormalities and asymmetries in patients with probable AD. PATIENTS AND METHODS: Thirty patients with AD with the epsilon4 allele (epsilon4+ AD), 22 patients with AD without the epsilon4 allele (epsilon4- AD), and 14 healthy control subjects underwent single-photon emission computed tomography (SPECT) scanning with 740 MBq technetium Tc 99m hexamethylpropyleneamine oxime. Ratios of parietal-unaffected regions and a left-right parietal asymmetry index were compared between both patient groups. RESULTS: The group with epsilon4- AD was younger (P = .005, Student t test) and had an earlier age of onset (P = .005) than the group with epsilon4+ AD. Analysis of covariance revealed no significant difference in the parietal rCBF ratio, controlling for age of onset and Mini-Mental State Examination score (F(1,48) = 0.06; P = .81). However, contrary to hypothesis, significantly greater parietal rCBF asymmetry was seen in patients with epsilon4- AD (mean +/- SD, 9.7% +/- 5.5%) than those with epsilon4+ AD (6.3% +/- 4.7%; F(1,50) = 5.89; P = .02; analysis of variance). When number of epsilon4 allele copies was considered, this effect appeared to accrue primarily from a difference between patients with 0 and with 2 epsilon4 allele copies. An exploratory analysis of multiple cortical structures suggested that this asymmetry extended to additional regions (superior temporal) and to combined association cortex. CONCLUSIONS: Greater parietal rCBF asymmetry is involved in epsilon4- AD than in epsilon4+ AD. Lack of the epsilon4 allele may be associated with other (as yet undiscovered) genetic or environmental risk factors, which confer greater neuropathological asymmetry.","author":[{"dropping-particle":"","family":"Dyck","given":"C H","non-dropping-particle":"van","parse-names":false,"suffix":""},{"dropping-particle":"","family":"Gelernter","given":"J","non-dropping-particle":"","parse-names":false,"suffix":""},{"dropping-particle":"","family":"MacAvoy","given":"M G","non-dropping-particle":"","parse-names":false,"suffix":""},{"dropping-particle":"","family":"Avery","given":"R A","non-dropping-particle":"","parse-names":false,"suffix":""},{"dropping-particle":"","family":"Criden","given":"M","non-dropping-particle":"","parse-names":false,"suffix":""},{"dropping-particle":"","family":"Okereke","given":"O","non-dropping-particle":"","parse-names":false,"suffix":""},{"dropping-particle":"","family":"Varma","given":"P","non-dropping-particle":"","parse-names":false,"suffix":""},{"dropping-particle":"","family":"Seibyl","given":"J P","non-dropping-particle":"","parse-names":false,"suffix":""},{"dropping-particle":"","family":"Hoffer","given":"P B","non-dropping-particle":"","parse-names":false,"suffix":""}],"container-title":"Archives of neurology","id":"ITEM-1","issue":"11","issued":{"date-parts":[["1998","11"]]},"language":"eng","page":"1460-1466","publisher-place":"United States","title":"Absence of an apolipoprotein E epsilon4 allele is associated with increased parietal regional cerebral blood flow asymmetry in Alzheimer disease.","type":"article-journal","volume":"55"},"uris":["http://www.mendeley.com/documents/?uuid=821e1eae-3c56-40fb-b393-3e5476ea2b45"]},{"id":"ITEM-2","itemData":{"ISSN":"0001-6322 (Print)","PMID":"7847073","abstract":"To examine the clinicopathological correlations in rare Alzheimer's disease patients with asymmetric cerebral atrophy and to compare their pattern of cortical involvement by senile lesions with that observed in other cases with atypical Alzheimer's disease, we performed an extensive neuropathological analysis of the cerebral cortex in four such cases. Three patients presented with severe language impairment but relatively good preservation of praxis and gnosis even after several years of clinical evolution. Cerebral autopsies of these cases revealed a predominant left hemisphere atrophy. Conversely, in one case with marked right hemisphere atrophy, all of the cognitive functions were involved early in the course of dementia. Neurofibrillary tangles and senile plaques were preferentially localized in the prefrontal, temporal and posterior parietal cortex in both hemispheres, whereas the hippocampal formation displayed lower lesion densities than neocortical areas. Significantly higher neurofibrillary tangle and senile plaque densities were found in the more atrophic side in most of the areas studied. The ratio of neurofibrillary tangle and senile plaque densities between the two hemispheres was not correlated with the number of these lesions in the cerebral cortex. These results indicate that the degenerative process in demented cases with interhemispheric asymmetric cerebral atrophy is characterized by a widespread involvement of the neocortex by senile lesions and lacks clear regional topography of neurofibrillary tangle and senile plaque distribution. Moreover, the relative sparing of the hippocampus, comparable to that found in cases with focal progressive dementia, suggests that the dementing process may involve different cortical structures in cases with asymmetric cerebral atrophy than in typical Alzheimer's disease cases.","author":[{"dropping-particle":"","family":"Giannakopoulos","given":"P","non-dropping-particle":"","parse-names":false,"suffix":""},{"dropping-particle":"","family":"Hof","given":"P R","non-dropping-particle":"","parse-names":false,"suffix":""},{"dropping-particle":"","family":"Bouras","given":"C","non-dropping-particle":"","parse-names":false,"suffix":""}],"container-title":"Acta neuropathologica","id":"ITEM-2","issue":"5","issued":{"date-parts":[["1994"]]},"language":"eng","page":"440-447","publisher-place":"Germany","title":"Alzheimer's disease with asymmetric atrophy of the cerebral hemispheres: morphometric analysis of four cases.","type":"article-journal","volume":"88"},"uris":["http://www.mendeley.com/documents/?uuid=b84c3e4f-7b71-42f1-b36c-5261bdacebc8"]}],"mendeley":{"formattedCitation":"[43,44]","plainTextFormattedCitation":"[43,44]","previouslyFormattedCitation":"[43,44]"},"properties":{"noteIndex":0},"schema":"https://github.com/citation-style-language/schema/raw/master/csl-citation.json"}</w:instrText>
      </w:r>
      <w:r w:rsidR="00BD2BDC" w:rsidRPr="00842A01">
        <w:rPr>
          <w:rFonts w:ascii="Times New Roman" w:hAnsi="Times New Roman" w:cs="Times New Roman"/>
        </w:rPr>
        <w:fldChar w:fldCharType="separate"/>
      </w:r>
      <w:r w:rsidR="00552CC9" w:rsidRPr="00842A01">
        <w:rPr>
          <w:rFonts w:ascii="Times New Roman" w:hAnsi="Times New Roman" w:cs="Times New Roman"/>
          <w:noProof/>
        </w:rPr>
        <w:t>[43,44]</w:t>
      </w:r>
      <w:r w:rsidR="00BD2BDC" w:rsidRPr="00842A01">
        <w:rPr>
          <w:rFonts w:ascii="Times New Roman" w:hAnsi="Times New Roman" w:cs="Times New Roman"/>
        </w:rPr>
        <w:fldChar w:fldCharType="end"/>
      </w:r>
      <w:r w:rsidR="00BD2BDC" w:rsidRPr="00842A01">
        <w:rPr>
          <w:rFonts w:ascii="Times New Roman" w:hAnsi="Times New Roman" w:cs="Times New Roman"/>
        </w:rPr>
        <w:t xml:space="preserve">. </w:t>
      </w:r>
    </w:p>
    <w:p w14:paraId="220757EB" w14:textId="172114B6" w:rsidR="007067A5" w:rsidRPr="00842A01" w:rsidRDefault="005F1B3B" w:rsidP="0025223C">
      <w:pPr>
        <w:autoSpaceDE w:val="0"/>
        <w:autoSpaceDN w:val="0"/>
        <w:adjustRightInd w:val="0"/>
        <w:spacing w:line="480" w:lineRule="auto"/>
        <w:jc w:val="both"/>
        <w:rPr>
          <w:rFonts w:ascii="Times New Roman" w:hAnsi="Times New Roman" w:cs="Times New Roman"/>
        </w:rPr>
      </w:pPr>
      <w:r w:rsidRPr="00842A01">
        <w:rPr>
          <w:rFonts w:ascii="Times New Roman" w:hAnsi="Times New Roman" w:cs="Times New Roman"/>
        </w:rPr>
        <w:tab/>
      </w:r>
      <w:r w:rsidR="00777203" w:rsidRPr="00842A01">
        <w:rPr>
          <w:rFonts w:ascii="Times New Roman" w:hAnsi="Times New Roman" w:cs="Times New Roman"/>
        </w:rPr>
        <w:t xml:space="preserve">The </w:t>
      </w:r>
      <w:r w:rsidR="00153C16" w:rsidRPr="00842A01">
        <w:rPr>
          <w:rFonts w:ascii="Times New Roman" w:hAnsi="Times New Roman" w:cs="Times New Roman"/>
        </w:rPr>
        <w:t>reasons for</w:t>
      </w:r>
      <w:r w:rsidR="00777203" w:rsidRPr="00842A01">
        <w:rPr>
          <w:rFonts w:ascii="Times New Roman" w:hAnsi="Times New Roman" w:cs="Times New Roman"/>
        </w:rPr>
        <w:t xml:space="preserve"> thalamic asymmetries observed in this study </w:t>
      </w:r>
      <w:r w:rsidR="00153C16" w:rsidRPr="00842A01">
        <w:rPr>
          <w:rFonts w:ascii="Times New Roman" w:hAnsi="Times New Roman" w:cs="Times New Roman"/>
        </w:rPr>
        <w:t>is not</w:t>
      </w:r>
      <w:r w:rsidR="00777203" w:rsidRPr="00842A01">
        <w:rPr>
          <w:rFonts w:ascii="Times New Roman" w:hAnsi="Times New Roman" w:cs="Times New Roman"/>
        </w:rPr>
        <w:t xml:space="preserve"> known. </w:t>
      </w:r>
      <w:r w:rsidR="00A53FF2" w:rsidRPr="00842A01">
        <w:rPr>
          <w:rFonts w:ascii="Times New Roman" w:hAnsi="Times New Roman" w:cs="Times New Roman"/>
        </w:rPr>
        <w:t>O</w:t>
      </w:r>
      <w:r w:rsidR="00304EB7" w:rsidRPr="00842A01">
        <w:rPr>
          <w:rFonts w:ascii="Times New Roman" w:hAnsi="Times New Roman" w:cs="Times New Roman"/>
        </w:rPr>
        <w:t xml:space="preserve">ne possibility </w:t>
      </w:r>
      <w:r w:rsidR="00A53FF2" w:rsidRPr="00842A01">
        <w:rPr>
          <w:rFonts w:ascii="Times New Roman" w:hAnsi="Times New Roman" w:cs="Times New Roman"/>
        </w:rPr>
        <w:t xml:space="preserve">involves the </w:t>
      </w:r>
      <w:r w:rsidR="00304EB7" w:rsidRPr="00842A01">
        <w:rPr>
          <w:rFonts w:ascii="Times New Roman" w:hAnsi="Times New Roman" w:cs="Times New Roman"/>
        </w:rPr>
        <w:t xml:space="preserve">left-deficient asymmetry of norepinephrine in the ventral thalamus </w:t>
      </w:r>
      <w:r w:rsidR="00304EB7"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{"citationItems":[{"id":"ITEM-1","itemData":{"DOI":"10.1126/science.663623","abstract":"Norepinephrine has a strongly lateralized distribution in the human thalamus. In the pulvinar region the left hemisphere is rich in norepinephrine, whereas in the somatosensory input area the right hemisphere has a higher concentration of this catecholamine. Such naturally occurring left-right differences in concentration of a neurotransmitter represent a new aspect of hemispheric specialization.","author":[{"dropping-particle":"","family":"Oke","given":"A","non-dropping-particle":"","parse-names":false,"suffix":""},{"dropping-particle":"","family":"Keller","given":"R","non-dropping-particle":"","parse-names":false,"suffix":""},{"dropping-particle":"","family":"Mefford","given":"I","non-dropping-particle":"","parse-names":false,"suffix":""},{"dropping-particle":"","family":"Adams","given":"R N","non-dropping-particle":"","parse-names":false,"suffix":""}],"container-title":"Science","id":"ITEM-1","issue":"4348","issued":{"date-parts":[["1978","6","23"]]},"page":"1411 - 1413","title":"Lateralization of norepinephrine in human thalamus","type":"article-journal","volume":"200"},"uris":["http://www.mendeley.com/documents/?uuid=5d72b4b5-3f49-49c4-8ca0-6fcb6875d22b"]}],"mendeley":{"formattedCitation":"[45]","plainTextFormattedCitation":"[45]","previouslyFormattedCitation":"[45]"},"properties":{"noteIndex":0},"schema":"https://github.com/citation-style-language/schema/raw/master/csl-citation.json"}</w:instrText>
      </w:r>
      <w:r w:rsidR="00304EB7" w:rsidRPr="00842A01">
        <w:rPr>
          <w:rFonts w:ascii="Times New Roman" w:hAnsi="Times New Roman" w:cs="Times New Roman"/>
        </w:rPr>
        <w:fldChar w:fldCharType="separate"/>
      </w:r>
      <w:r w:rsidR="00552CC9" w:rsidRPr="00842A01">
        <w:rPr>
          <w:rFonts w:ascii="Times New Roman" w:hAnsi="Times New Roman" w:cs="Times New Roman"/>
          <w:noProof/>
        </w:rPr>
        <w:t>[45]</w:t>
      </w:r>
      <w:r w:rsidR="00304EB7" w:rsidRPr="00842A01">
        <w:rPr>
          <w:rFonts w:ascii="Times New Roman" w:hAnsi="Times New Roman" w:cs="Times New Roman"/>
        </w:rPr>
        <w:fldChar w:fldCharType="end"/>
      </w:r>
      <w:r w:rsidR="00791910" w:rsidRPr="00842A01">
        <w:rPr>
          <w:rFonts w:ascii="Times New Roman" w:hAnsi="Times New Roman" w:cs="Times New Roman"/>
        </w:rPr>
        <w:t xml:space="preserve">. </w:t>
      </w:r>
      <w:r w:rsidR="00C60767" w:rsidRPr="00842A01">
        <w:rPr>
          <w:rFonts w:ascii="Times New Roman" w:hAnsi="Times New Roman" w:cs="Times New Roman"/>
        </w:rPr>
        <w:t xml:space="preserve">In a post-mortem study, norepinephrine concentrations were strongly right-lateralised in the ventral posterolateral and ventral posteromedial nuclei, whereas in all other nuclei, concentrations were left-lateralised </w:t>
      </w:r>
      <w:r w:rsidR="00C60767"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{"citationItems":[{"id":"ITEM-1","itemData":{"DOI":"10.1126/science.663623","abstract":"Norepinephrine has a strongly lateralized distribution in the human thalamus. In the pulvinar region the left hemisphere is rich in norepinephrine, whereas in the somatosensory input area the right hemisphere has a higher concentration of this catecholamine. Such naturally occurring left-right differences in concentration of a neurotransmitter represent a new aspect of hemispheric specialization.","author":[{"dropping-particle":"","family":"Oke","given":"A","non-dropping-particle":"","parse-names":false,"suffix":""},{"dropping-particle":"","family":"Keller","given":"R","non-dropping-particle":"","parse-names":false,"suffix":""},{"dropping-particle":"","family":"Mefford","given":"I","non-dropping-particle":"","parse-names":false,"suffix":""},{"dropping-particle":"","family":"Adams","given":"R N","non-dropping-particle":"","parse-names":false,"suffix":""}],"container-title":"Science","id":"ITEM-1","issue":"4348","issued":{"date-parts":[["1978","6","23"]]},"page":"1411 - 1413","title":"Lateralization of norepinephrine in human thalamus","type":"article-journal","volume":"200"},"uris":["http://www.mendeley.com/documents/?uuid=5d72b4b5-3f49-49c4-8ca0-6fcb6875d22b"]}],"mendeley":{"formattedCitation":"[45]","plainTextFormattedCitation":"[45]","previouslyFormattedCitation":"[45]"},"properties":{"noteIndex":0},"schema":"https://github.com/citation-style-language/schema/raw/master/csl-citation.json"}</w:instrText>
      </w:r>
      <w:r w:rsidR="00C60767" w:rsidRPr="00842A01">
        <w:rPr>
          <w:rFonts w:ascii="Times New Roman" w:hAnsi="Times New Roman" w:cs="Times New Roman"/>
        </w:rPr>
        <w:fldChar w:fldCharType="separate"/>
      </w:r>
      <w:r w:rsidR="00552CC9" w:rsidRPr="00842A01">
        <w:rPr>
          <w:rFonts w:ascii="Times New Roman" w:hAnsi="Times New Roman" w:cs="Times New Roman"/>
          <w:noProof/>
        </w:rPr>
        <w:t>[45]</w:t>
      </w:r>
      <w:r w:rsidR="00C60767" w:rsidRPr="00842A01">
        <w:rPr>
          <w:rFonts w:ascii="Times New Roman" w:hAnsi="Times New Roman" w:cs="Times New Roman"/>
        </w:rPr>
        <w:fldChar w:fldCharType="end"/>
      </w:r>
      <w:r w:rsidR="00415467" w:rsidRPr="00842A01">
        <w:rPr>
          <w:rFonts w:ascii="Times New Roman" w:hAnsi="Times New Roman" w:cs="Times New Roman"/>
        </w:rPr>
        <w:t xml:space="preserve">. Norepinephrine depletion has been linked to neuroinflammation and AD neuropathology </w:t>
      </w:r>
      <w:r w:rsidR="00DB7134"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{"citationItems":[{"id":"ITEM-1","itemData":{"DOI":"10.1186/alzrt175","ISSN":"1758-9193","abstract":"The Alzheimer's disease (AD) epidemic is a looming crisis, with an urgent need for new therapies to delay or prevent symptom onset and progression. There is growing awareness that clinical trials must target stage-appropriate pathophysiological mechanisms to effectively develop disease-modifying treatments. Advances in AD biomarker research have demonstrated changes in amyloid-beta (Aβ), brain metabolism and other pathophysiologies prior to the onset of memory loss, with some markers possibly changing one or two decades earlier. These findings suggest that amyloid-based therapies would optimally be targeted at the earliest clinically detectable stage (such as mild cognitive impairment (MCI)) or before. Postmortem data indicate that tau lesions in the locus coeruleus (LC), the primary source of subcortical norepinephrine (NE), may be the first identifiable pathology of AD, and recent data from basic research in animal models of AD indicate that loss of NE incites a neurotoxic proinflammatory condition, reduces Aβ clearance and negatively impacts cognition - recapitulating key aspects of AD. In addition, evidence linking NE deficiency to neuroinflammation in AD also exists. By promoting proinflammatory responses, suppressing anti-inflammatory responses and impairing Aβ degradation and clearance, LC degeneration and NE loss can be considered a triple threat to AD pathogenesis. Remarkably, restoration of NE reverses these effects and slows neurodegeneration in animal models, raising the possibility that treatments which increase NE transmission may have the potential to delay or reverse AD-related pathology. This review describes the evidence supporting a key role for noradrenergic-based therapies to slow or prevent progressive neurodegeneration in AD. Specifically, since MCI coincides with the onset of clinical symptoms and brain atrophy, and LC pathology is already present at this early stage of AD pathogenesis, MCI may offer a critical window of time to initiate novel noradrenergic-based therapies aimed at the secondary wave of events that lead to progressive neurodegeneration. Because of the widespread clinical use of drugs with a NE-based mechanism of action, there are immediate opportunities to repurpose existing medications. For example, NE transport inhibitors and NE-precursor therapies that are used for treatment of neurologic and psychiatric disorders have shown promise in animal models of AD, and are now prime candidates for early-phase clinical …","author":[{"dropping-particle":"","family":"Chalermpalanupap","given":"Termpanit","non-dropping-particle":"","parse-names":false,"suffix":""},{"dropping-particle":"","family":"Kinkead","given":"Becky","non-dropping-particle":"","parse-names":false,"suffix":""},{"dropping-particle":"","family":"Hu","given":"William T","non-dropping-particle":"","parse-names":false,"suffix":""},{"dropping-particle":"","family":"Kummer","given":"Markus P","non-dropping-particle":"","parse-names":false,"suffix":""},{"dropping-particle":"","family":"Hammerschmidt","given":"Thea","non-dropping-particle":"","parse-names":false,"suffix":""},{"dropping-particle":"","family":"Heneka","given":"Michael T","non-dropping-particle":"","parse-names":false,"suffix":""},{"dropping-particle":"","family":"Weinshenker","given":"David","non-dropping-particle":"","parse-names":false,"suffix":""},{"dropping-particle":"","family":"Levey","given":"Allan I","non-dropping-particle":"","parse-names":false,"suffix":""}],"container-title":"Alzheimer's research &amp; therapy","id":"ITEM-1","issue":"2","issued":{"date-parts":[["2013","4","29"]]},"language":"eng","page":"21","publisher":"BioMed Central","title":"Targeting norepinephrine in mild cognitive impairment and Alzheimer's disease","type":"article-journal","volume":"5"},"uris":["http://www.mendeley.com/documents/?uuid=da362c8e-6e6a-4efd-aeba-2b8cf33cd369"]}],"mendeley":{"formattedCitation":"[46]","plainTextFormattedCitation":"[46]","previouslyFormattedCitation":"[46]"},"properties":{"noteIndex":0},"schema":"https://github.com/citation-style-language/schema/raw/master/csl-citation.json"}</w:instrText>
      </w:r>
      <w:r w:rsidR="00DB7134" w:rsidRPr="00842A01">
        <w:rPr>
          <w:rFonts w:ascii="Times New Roman" w:hAnsi="Times New Roman" w:cs="Times New Roman"/>
        </w:rPr>
        <w:fldChar w:fldCharType="separate"/>
      </w:r>
      <w:r w:rsidR="00552CC9" w:rsidRPr="00842A01">
        <w:rPr>
          <w:rFonts w:ascii="Times New Roman" w:hAnsi="Times New Roman" w:cs="Times New Roman"/>
          <w:noProof/>
        </w:rPr>
        <w:t>[46]</w:t>
      </w:r>
      <w:r w:rsidR="00DB7134" w:rsidRPr="00842A01">
        <w:rPr>
          <w:rFonts w:ascii="Times New Roman" w:hAnsi="Times New Roman" w:cs="Times New Roman"/>
        </w:rPr>
        <w:fldChar w:fldCharType="end"/>
      </w:r>
      <w:r w:rsidR="00415467" w:rsidRPr="00842A01">
        <w:rPr>
          <w:rFonts w:ascii="Times New Roman" w:hAnsi="Times New Roman" w:cs="Times New Roman"/>
        </w:rPr>
        <w:t xml:space="preserve">, and may explain the leftward </w:t>
      </w:r>
      <w:r w:rsidR="00DB7134" w:rsidRPr="00842A01">
        <w:rPr>
          <w:rFonts w:ascii="Times New Roman" w:hAnsi="Times New Roman" w:cs="Times New Roman"/>
        </w:rPr>
        <w:t xml:space="preserve">atrophy of the </w:t>
      </w:r>
      <w:r w:rsidR="00415467" w:rsidRPr="00842A01">
        <w:rPr>
          <w:rFonts w:ascii="Times New Roman" w:hAnsi="Times New Roman" w:cs="Times New Roman"/>
        </w:rPr>
        <w:t xml:space="preserve">ventral </w:t>
      </w:r>
      <w:r w:rsidR="00DB7134" w:rsidRPr="00842A01">
        <w:rPr>
          <w:rFonts w:ascii="Times New Roman" w:hAnsi="Times New Roman" w:cs="Times New Roman"/>
        </w:rPr>
        <w:t>thalamus</w:t>
      </w:r>
      <w:r w:rsidR="00415467" w:rsidRPr="00842A01">
        <w:rPr>
          <w:rFonts w:ascii="Times New Roman" w:hAnsi="Times New Roman" w:cs="Times New Roman"/>
        </w:rPr>
        <w:t xml:space="preserve">. </w:t>
      </w:r>
      <w:r w:rsidR="007C2943" w:rsidRPr="00842A01">
        <w:rPr>
          <w:rFonts w:ascii="Times New Roman" w:hAnsi="Times New Roman" w:cs="Times New Roman"/>
        </w:rPr>
        <w:t>Conversely, the neuroprotective effects of norepinephrine may explain the relatively preserved right ventral thalamus</w:t>
      </w:r>
      <w:r w:rsidR="004E17D5" w:rsidRPr="00842A01">
        <w:rPr>
          <w:rFonts w:ascii="Times New Roman" w:hAnsi="Times New Roman" w:cs="Times New Roman"/>
        </w:rPr>
        <w:t xml:space="preserve"> </w:t>
      </w:r>
      <w:r w:rsidR="004E17D5"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{"citationItems":[{"id":"ITEM-1","itemData":{"DOI":"10.1186/alzrt175","ISSN":"1758-9193","abstract":"The Alzheimer's disease (AD) epidemic is a looming crisis, with an urgent need for new therapies to delay or prevent symptom onset and progression. There is growing awareness that clinical trials must target stage-appropriate pathophysiological mechanisms to effectively develop disease-modifying treatments. Advances in AD biomarker research have demonstrated changes in amyloid-beta (Aβ), brain metabolism and other pathophysiologies prior to the onset of memory loss, with some markers possibly changing one or two decades earlier. These findings suggest that amyloid-based therapies would optimally be targeted at the earliest clinically detectable stage (such as mild cognitive impairment (MCI)) or before. Postmortem data indicate that tau lesions in the locus coeruleus (LC), the primary source of subcortical norepinephrine (NE), may be the first identifiable pathology of AD, and recent data from basic research in animal models of AD indicate that loss of NE incites a neurotoxic proinflammatory condition, reduces Aβ clearance and negatively impacts cognition - recapitulating key aspects of AD. In addition, evidence linking NE deficiency to neuroinflammation in AD also exists. By promoting proinflammatory responses, suppressing anti-inflammatory responses and impairing Aβ degradation and clearance, LC degeneration and NE loss can be considered a triple threat to AD pathogenesis. Remarkably, restoration of NE reverses these effects and slows neurodegeneration in animal models, raising the possibility that treatments which increase NE transmission may have the potential to delay or reverse AD-related pathology. This review describes the evidence supporting a key role for noradrenergic-based therapies to slow or prevent progressive neurodegeneration in AD. Specifically, since MCI coincides with the onset of clinical symptoms and brain atrophy, and LC pathology is already present at this early stage of AD pathogenesis, MCI may offer a critical window of time to initiate novel noradrenergic-based therapies aimed at the secondary wave of events that lead to progressive neurodegeneration. Because of the widespread clinical use of drugs with a NE-based mechanism of action, there are immediate opportunities to repurpose existing medications. For example, NE transport inhibitors and NE-precursor therapies that are used for treatment of neurologic and psychiatric disorders have shown promise in animal models of AD, and are now prime candidates for early-phase clinical …","author":[{"dropping-particle":"","family":"Chalermpalanupap","given":"Termpanit","non-dropping-particle":"","parse-names":false,"suffix":""},{"dropping-particle":"","family":"Kinkead","given":"Becky","non-dropping-particle":"","parse-names":false,"suffix":""},{"dropping-particle":"","family":"Hu","given":"William T","non-dropping-particle":"","parse-names":false,"suffix":""},{"dropping-particle":"","family":"Kummer","given":"Markus P","non-dropping-particle":"","parse-names":false,"suffix":""},{"dropping-particle":"","family":"Hammerschmidt","given":"Thea","non-dropping-particle":"","parse-names":false,"suffix":""},{"dropping-particle":"","family":"Heneka","given":"Michael T","non-dropping-particle":"","parse-names":false,"suffix":""},{"dropping-particle":"","family":"Weinshenker","given":"David","non-dropping-particle":"","parse-names":false,"suffix":""},{"dropping-particle":"","family":"Levey","given":"Allan I","non-dropping-particle":"","parse-names":false,"suffix":""}],"container-title":"Alzheimer's research &amp; therapy","id":"ITEM-1","issue":"2","issued":{"date-parts":[["2013","4","29"]]},"language":"eng","page":"21","publisher":"BioMed Central","title":"Targeting norepinephrine in mild cognitive impairment and Alzheimer's disease","type":"article-journal","volume":"5"},"uris":["http://www.mendeley.com/documents/?uuid=da362c8e-6e6a-4efd-aeba-2b8cf33cd369"]}],"mendeley":{"formattedCitation":"[46]","plainTextFormattedCitation":"[46]","previouslyFormattedCitation":"[46]"},"properties":{"noteIndex":0},"schema":"https://github.com/citation-style-language/schema/raw/master/csl-citation.json"}</w:instrText>
      </w:r>
      <w:r w:rsidR="004E17D5" w:rsidRPr="00842A01">
        <w:rPr>
          <w:rFonts w:ascii="Times New Roman" w:hAnsi="Times New Roman" w:cs="Times New Roman"/>
        </w:rPr>
        <w:fldChar w:fldCharType="separate"/>
      </w:r>
      <w:r w:rsidR="00552CC9" w:rsidRPr="00842A01">
        <w:rPr>
          <w:rFonts w:ascii="Times New Roman" w:hAnsi="Times New Roman" w:cs="Times New Roman"/>
          <w:noProof/>
        </w:rPr>
        <w:t>[46]</w:t>
      </w:r>
      <w:r w:rsidR="004E17D5" w:rsidRPr="00842A01">
        <w:rPr>
          <w:rFonts w:ascii="Times New Roman" w:hAnsi="Times New Roman" w:cs="Times New Roman"/>
        </w:rPr>
        <w:fldChar w:fldCharType="end"/>
      </w:r>
      <w:r w:rsidR="007C2943" w:rsidRPr="00842A01">
        <w:rPr>
          <w:rFonts w:ascii="Times New Roman" w:hAnsi="Times New Roman" w:cs="Times New Roman"/>
        </w:rPr>
        <w:t xml:space="preserve">. </w:t>
      </w:r>
      <w:r w:rsidR="005679DE" w:rsidRPr="00842A01">
        <w:rPr>
          <w:rFonts w:ascii="Times New Roman" w:hAnsi="Times New Roman" w:cs="Times New Roman"/>
        </w:rPr>
        <w:t xml:space="preserve">Several suggestions have been made to explain the general left-lateralization of cerebral damage in AD, including the increased sensitivity of the left hemisphere to stress </w:t>
      </w:r>
      <w:r w:rsidR="005679DE" w:rsidRPr="00842A01">
        <w:rPr>
          <w:rFonts w:ascii="Times New Roman" w:hAnsi="Times New Roman" w:cs="Times New Roman"/>
        </w:rPr>
        <w:fldChar w:fldCharType="begin" w:fldLock="1"/>
      </w:r>
      <w:r w:rsidR="00C71B29" w:rsidRPr="00842A01">
        <w:rPr>
          <w:rFonts w:ascii="Times New Roman" w:hAnsi="Times New Roman" w:cs="Times New Roman"/>
        </w:rPr>
        <w:instrText>ADDIN CSL_CITATION {"citationItems":[{"id":"ITEM-1","itemData":{"DOI":"10.1002/hipo.20102","ISSN":"1050-9631","abstract":"Abstract Over the last decade a significant number of studies have reported smaller hippocampal volume in individuals with symptoms of post-traumatic stress disorder (PTSD) relative to control groups, and in some cases hemispheric asymmetries in this effect have been noted. However these reported asymmetries have not been in a consistent direction, and other well-controlled studies have failed to observe any hippocampal volume difference. This paper reports a systematic review and meta-analysis of studies in which hippocampal volume was estimated from magnetic resonance images in adult patients with PTSD. After applying a variety of selection criteria intended to minimize potential confounds in pooled effect-size estimates, the meta-analysis included 13 studies of adult patients with PTSD that compared the patients to well-matched control groups, for a total of 215 patients and 325 control subjects. The studies varied with respect to participant age, gender distribution, source of trauma, severity of symptoms, duration of disorder, the nature of the control groups, and the methods employed for volumetric quantification. Despite these differences, pooled effect size calculations across the studies indicated significant volume differences in both hemispheres. On average PTSD patients had a 6.9% smaller left hippocampal volume and a 6.6% smaller right hippocampal volume compared with control subjects. These volume differences were smaller when comparing PTSD patients with control subjects exposed to similar levels of trauma, and larger when comparing PTSD patients to control subjects without significant trauma exposure. Such differences are consistent with the notion that exposure to stressful experiences can lead to hippocampal atrophy, although prospective studies would be necessary to unambiguously establish such a relationship. ? 2005 Wiley-Liss, Inc.","author":[{"dropping-particle":"","family":"Smith","given":"Michael E","non-dropping-particle":"","parse-names":false,"suffix":""}],"container-title":"Hippocampus","id":"ITEM-1","issue":"6","issued":{"date-parts":[["2005"]]},"page":"798-807","title":"Bilateral hippocampal volume reduction in adults with post-traumatic stress disorder: A meta-analysis of structural MRI studies","type":"article-journal","volume":"15"},"uris":["http://www.mendeley.com/documents/?uuid=93af1751-63e4-470f-be6a-9c2cc9d532ec"]}],"mendeley":{"formattedCitation":"[40]","plainTextFormattedCitation":"[40]","previouslyFormattedCitation":"[40]"},"properties":{"noteIndex":0},"schema":"https://github.com/citation-style-language/schema/raw/master/csl-citation.json"}</w:instrText>
      </w:r>
      <w:r w:rsidR="005679DE" w:rsidRPr="00842A01">
        <w:rPr>
          <w:rFonts w:ascii="Times New Roman" w:hAnsi="Times New Roman" w:cs="Times New Roman"/>
        </w:rPr>
        <w:fldChar w:fldCharType="separate"/>
      </w:r>
      <w:r w:rsidR="00552CC9" w:rsidRPr="00842A01">
        <w:rPr>
          <w:rFonts w:ascii="Times New Roman" w:hAnsi="Times New Roman" w:cs="Times New Roman"/>
          <w:noProof/>
        </w:rPr>
        <w:t>[40]</w:t>
      </w:r>
      <w:r w:rsidR="005679DE" w:rsidRPr="00842A01">
        <w:rPr>
          <w:rFonts w:ascii="Times New Roman" w:hAnsi="Times New Roman" w:cs="Times New Roman"/>
        </w:rPr>
        <w:fldChar w:fldCharType="end"/>
      </w:r>
      <w:r w:rsidR="00CE6D46" w:rsidRPr="00842A01">
        <w:rPr>
          <w:rFonts w:ascii="Times New Roman" w:hAnsi="Times New Roman" w:cs="Times New Roman"/>
        </w:rPr>
        <w:t>, chronic hypoperfusion of the left</w:t>
      </w:r>
      <w:r w:rsidR="00E87E49" w:rsidRPr="00842A01">
        <w:rPr>
          <w:rFonts w:ascii="Times New Roman" w:hAnsi="Times New Roman" w:cs="Times New Roman"/>
        </w:rPr>
        <w:t xml:space="preserve"> </w:t>
      </w:r>
      <w:r w:rsidR="00CE6D46" w:rsidRPr="00842A01">
        <w:rPr>
          <w:rFonts w:ascii="Times New Roman" w:hAnsi="Times New Roman" w:cs="Times New Roman"/>
        </w:rPr>
        <w:t>hemisphere</w:t>
      </w:r>
      <w:r w:rsidR="00E87E49" w:rsidRPr="00842A01">
        <w:rPr>
          <w:rFonts w:ascii="Times New Roman" w:hAnsi="Times New Roman" w:cs="Times New Roman"/>
        </w:rPr>
        <w:t xml:space="preserve"> </w:t>
      </w:r>
      <w:r w:rsidR="00E87E49"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{"citationItems":[{"id":"ITEM-1","itemData":{"DOI":"10.1111/j.1440-1819.2005.01372.x","ISSN":"1323-1316","abstract":"Abstract? In spite of its wide availability, single photon emission computerized tomography (SPECT) scanning is uncommonly used in the assessment of Alzheimer's disease (AD) and related dementias. In light of recent advances in scanning protocols and image analysis, SPECT needs to be re-examined as a tool in the diagnosis of dementia. A total of 18 subjects with early AD and 10 healthy elderly control subjects were examined with high resolution SPECT during the performance of a simple word discrimination task. SPECT images were coregistered with individual magnetic resonance imaging scans, allowing delineation of predetermined neuroanatomical Regions of Interest (ROI). There was a gradation of regional cerebral blood flow (rCBF) values in both groups, with the lowest values being in the hippocampus and the highest in the striatum, thalamus and cerebellum. Compared to healthy controls, AD subjects demonstrated lower relative rCBF in parietal and prefrontal cortices. Analysis of individual ROI demonstrated bilateral reduction of rCBF in prefrontal poles, posterior temporal and anterior parietal cortex, and unilateral reduction of rCBF in left dorsolateral prefrontal cortex, right posterior parietal cortex and the left cingulate body. There were no significant differences for hippocampal, occipital or basal ganglia rCBF. Discriminant function analysis indicated that rCBF in the prefrontal polar regions achieved the best classification of cases. SPECT has utility in the diagnostic assessment of AD if standardized and semiquantitative techniques are used.","author":[{"dropping-particle":"","family":"Trollor","given":"Julian N","non-dropping-particle":"","parse-names":false,"suffix":""},{"dropping-particle":"","family":"Sachdev","given":"Perminder S","non-dropping-particle":"","parse-names":false,"suffix":""},{"dropping-particle":"","family":"Haindl","given":"Walter","non-dropping-particle":"","parse-names":false,"suffix":""},{"dropping-particle":"","family":"Brodaty","given":"Henry","non-dropping-particle":"","parse-names":false,"suffix":""},{"dropping-particle":"","family":"Wen","given":"W E I","non-dropping-particle":"","parse-names":false,"suffix":""},{"dropping-particle":"","family":"Walker","given":"Brenda M","non-dropping-particle":"","parse-names":false,"suffix":""}],"container-title":"Psychiatry and Clinical Neurosciences","id":"ITEM-1","issue":"3","issued":{"date-parts":[["2005"]]},"page":"280-290","title":"Regional cerebral blood flow deficits in mild Alzheimer's disease using high resolution single photon emission computerized tomography","type":"article-journal","volume":"59"},"uris":["http://www.mendeley.com/documents/?uuid=16189731-9d8a-4df4-92f3-2d0e653057ee"]}],"mendeley":{"formattedCitation":"[47]","plainTextFormattedCitation":"[47]","previouslyFormattedCitation":"[47]"},"properties":{"noteIndex":0},"schema":"https://github.com/citation-style-language/schema/raw/master/csl-citation.json"}</w:instrText>
      </w:r>
      <w:r w:rsidR="00E87E49" w:rsidRPr="00842A01">
        <w:rPr>
          <w:rFonts w:ascii="Times New Roman" w:hAnsi="Times New Roman" w:cs="Times New Roman"/>
        </w:rPr>
        <w:fldChar w:fldCharType="separate"/>
      </w:r>
      <w:r w:rsidR="00552CC9" w:rsidRPr="00842A01">
        <w:rPr>
          <w:rFonts w:ascii="Times New Roman" w:hAnsi="Times New Roman" w:cs="Times New Roman"/>
          <w:noProof/>
        </w:rPr>
        <w:t>[47]</w:t>
      </w:r>
      <w:r w:rsidR="00E87E49" w:rsidRPr="00842A01">
        <w:rPr>
          <w:rFonts w:ascii="Times New Roman" w:hAnsi="Times New Roman" w:cs="Times New Roman"/>
        </w:rPr>
        <w:fldChar w:fldCharType="end"/>
      </w:r>
      <w:r w:rsidR="00195024" w:rsidRPr="00842A01">
        <w:rPr>
          <w:rFonts w:ascii="Times New Roman" w:hAnsi="Times New Roman" w:cs="Times New Roman"/>
        </w:rPr>
        <w:t>, and the increased propensity for hemodynamic stress and intimal damage in the left carotid artery</w:t>
      </w:r>
      <w:r w:rsidR="00DD7352" w:rsidRPr="00842A01">
        <w:rPr>
          <w:rFonts w:ascii="Times New Roman" w:hAnsi="Times New Roman" w:cs="Times New Roman"/>
        </w:rPr>
        <w:t xml:space="preserve"> </w:t>
      </w:r>
      <w:r w:rsidR="00DD7352"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{"citationItems":[{"id":"ITEM-1","itemData":{"ISSN":"0020-7454 (Print)","PMID":"17380606","abstract":"Earlier publications have reported that common carotid artery intima-media thickness (CCA-IMT) was lower on the right side than on the left side and that left-handed patients have a lower risk of sudden death of brain infarction. This study aimed to determine whether there is an asymmetry and the handedness related difference in CCA-IMT. Ultrasonographic examinations were performed with the use of Aplio US system. In total sample, male and female left-handers, CCA-IMT was greater on left side than on right side. In men, both right and left CCA-IMTs, but in women only right IMT, were lower in the left-handers than in the right-handers. Both right and left CCA-IMTs was positively correlated with age in men and in women. Handedness was a significant factor influencing CCA-IMT with adjustment for sex and age. It was greater on left side than on right side, especially in the left-handers. CCA-IMTs were lower in the left-handers than in the right-handers. These results suggest that hemodynamic stress and intimal damage was larger in the left carotid artery, which was larger in the right-handers compared to the left-handers.","author":[{"dropping-particle":"","family":"Onbas","given":"Omer","non-dropping-particle":"","parse-names":false,"suffix":""},{"dropping-particle":"","family":"Dane","given":"Senol","non-dropping-particle":"","parse-names":false,"suffix":""},{"dropping-particle":"","family":"Kantarci","given":"Mecit","non-dropping-particle":"","parse-names":false,"suffix":""},{"dropping-particle":"","family":"Koplay","given":"Mustafa","non-dropping-particle":"","parse-names":false,"suffix":""},{"dropping-particle":"","family":"Alper","given":"Fatih","non-dropping-particle":"","parse-names":false,"suffix":""},{"dropping-particle":"","family":"Okur","given":"Adnan","non-dropping-particle":"","parse-names":false,"suffix":""}],"container-title":"The International journal of neuroscience","id":"ITEM-1","issue":"4","issued":{"date-parts":[["2007","4"]]},"language":"eng","page":"433-441","publisher-place":"England","title":"Clinical importance of asymmetry and handedness differences in common carotid artery intima-media thickness.","type":"article-journal","volume":"117"},"uris":["http://www.mendeley.com/documents/?uuid=40a7d514-a1a1-4454-97b7-fdcad6ee0b87"]}],"mendeley":{"formattedCitation":"[48]","plainTextFormattedCitation":"[48]","previouslyFormattedCitation":"[48]"},"properties":{"noteIndex":0},"schema":"https://github.com/citation-style-language/schema/raw/master/csl-citation.json"}</w:instrText>
      </w:r>
      <w:r w:rsidR="00DD7352" w:rsidRPr="00842A01">
        <w:rPr>
          <w:rFonts w:ascii="Times New Roman" w:hAnsi="Times New Roman" w:cs="Times New Roman"/>
        </w:rPr>
        <w:fldChar w:fldCharType="separate"/>
      </w:r>
      <w:r w:rsidR="00552CC9" w:rsidRPr="00842A01">
        <w:rPr>
          <w:rFonts w:ascii="Times New Roman" w:hAnsi="Times New Roman" w:cs="Times New Roman"/>
          <w:noProof/>
        </w:rPr>
        <w:t>[48]</w:t>
      </w:r>
      <w:r w:rsidR="00DD7352" w:rsidRPr="00842A01">
        <w:rPr>
          <w:rFonts w:ascii="Times New Roman" w:hAnsi="Times New Roman" w:cs="Times New Roman"/>
        </w:rPr>
        <w:fldChar w:fldCharType="end"/>
      </w:r>
      <w:r w:rsidR="00195024" w:rsidRPr="00842A01">
        <w:rPr>
          <w:rFonts w:ascii="Times New Roman" w:hAnsi="Times New Roman" w:cs="Times New Roman"/>
        </w:rPr>
        <w:t>.</w:t>
      </w:r>
      <w:r w:rsidR="00DD7352" w:rsidRPr="00842A01">
        <w:rPr>
          <w:rFonts w:ascii="Times New Roman" w:hAnsi="Times New Roman" w:cs="Times New Roman"/>
        </w:rPr>
        <w:t xml:space="preserve"> </w:t>
      </w:r>
      <w:r w:rsidR="00777203" w:rsidRPr="00842A01">
        <w:rPr>
          <w:rFonts w:ascii="Times New Roman" w:hAnsi="Times New Roman" w:cs="Times New Roman"/>
        </w:rPr>
        <w:t>While these pathologies may account for global cerebral asymmetries, f</w:t>
      </w:r>
      <w:r w:rsidR="00DD7352" w:rsidRPr="00842A01">
        <w:rPr>
          <w:rFonts w:ascii="Times New Roman" w:hAnsi="Times New Roman" w:cs="Times New Roman"/>
        </w:rPr>
        <w:t xml:space="preserve">urther research will be needed to establish the effect of these asymmetries on the thalamus. </w:t>
      </w:r>
    </w:p>
    <w:p w14:paraId="7886153F" w14:textId="1482AF7D" w:rsidR="00510E0C" w:rsidRPr="00842A01" w:rsidRDefault="005F1B3B" w:rsidP="004A08EC">
      <w:pPr>
        <w:spacing w:line="480" w:lineRule="auto"/>
        <w:jc w:val="both"/>
        <w:rPr>
          <w:rFonts w:ascii="Times New Roman" w:hAnsi="Times New Roman" w:cs="Times New Roman"/>
        </w:rPr>
      </w:pPr>
      <w:r w:rsidRPr="00842A01">
        <w:rPr>
          <w:rFonts w:ascii="Times New Roman" w:hAnsi="Times New Roman" w:cs="Times New Roman"/>
          <w:color w:val="FF0000"/>
        </w:rPr>
        <w:tab/>
      </w:r>
      <w:r w:rsidR="00896075" w:rsidRPr="00842A01">
        <w:rPr>
          <w:rFonts w:ascii="Times New Roman" w:hAnsi="Times New Roman" w:cs="Times New Roman"/>
        </w:rPr>
        <w:t xml:space="preserve">Strengths </w:t>
      </w:r>
      <w:r w:rsidR="00153C16" w:rsidRPr="00842A01">
        <w:rPr>
          <w:rFonts w:ascii="Times New Roman" w:hAnsi="Times New Roman" w:cs="Times New Roman"/>
        </w:rPr>
        <w:t xml:space="preserve">of the study </w:t>
      </w:r>
      <w:r w:rsidR="00896075" w:rsidRPr="00842A01">
        <w:rPr>
          <w:rFonts w:ascii="Times New Roman" w:hAnsi="Times New Roman" w:cs="Times New Roman"/>
        </w:rPr>
        <w:t>include the use of a probabilistic atlas based on ex-vivo MRI scans and histological data for the segmentation of the thal</w:t>
      </w:r>
      <w:r w:rsidR="004511C8" w:rsidRPr="00842A01">
        <w:rPr>
          <w:rFonts w:ascii="Times New Roman" w:hAnsi="Times New Roman" w:cs="Times New Roman"/>
        </w:rPr>
        <w:t xml:space="preserve">amus, allowing </w:t>
      </w:r>
      <w:r w:rsidR="00153C16" w:rsidRPr="00842A01">
        <w:rPr>
          <w:rFonts w:ascii="Times New Roman" w:hAnsi="Times New Roman" w:cs="Times New Roman"/>
        </w:rPr>
        <w:t>estimates</w:t>
      </w:r>
      <w:r w:rsidR="004511C8" w:rsidRPr="00842A01">
        <w:rPr>
          <w:rFonts w:ascii="Times New Roman" w:hAnsi="Times New Roman" w:cs="Times New Roman"/>
        </w:rPr>
        <w:t xml:space="preserve"> of subnuclei</w:t>
      </w:r>
      <w:r w:rsidR="00153C16" w:rsidRPr="00842A01">
        <w:rPr>
          <w:rFonts w:ascii="Times New Roman" w:hAnsi="Times New Roman" w:cs="Times New Roman"/>
        </w:rPr>
        <w:t xml:space="preserve"> volumes</w:t>
      </w:r>
      <w:r w:rsidR="004511C8" w:rsidRPr="00842A01">
        <w:rPr>
          <w:rFonts w:ascii="Times New Roman" w:hAnsi="Times New Roman" w:cs="Times New Roman"/>
        </w:rPr>
        <w:t xml:space="preserve">. </w:t>
      </w:r>
      <w:r w:rsidR="00153C16" w:rsidRPr="00842A01">
        <w:rPr>
          <w:rFonts w:ascii="Times New Roman" w:eastAsia="Times New Roman" w:hAnsi="Times New Roman" w:cs="Times New Roman"/>
          <w:lang w:eastAsia="en-SG"/>
        </w:rPr>
        <w:t>T</w:t>
      </w:r>
      <w:r w:rsidR="00BC5EA4" w:rsidRPr="00842A01">
        <w:rPr>
          <w:rFonts w:ascii="Times New Roman" w:eastAsia="Times New Roman" w:hAnsi="Times New Roman" w:cs="Times New Roman"/>
          <w:lang w:eastAsia="en-SG"/>
        </w:rPr>
        <w:t>his probabilistic</w:t>
      </w:r>
      <w:r w:rsidR="00153C16" w:rsidRPr="00842A01">
        <w:rPr>
          <w:rFonts w:ascii="Times New Roman" w:eastAsia="Times New Roman" w:hAnsi="Times New Roman" w:cs="Times New Roman"/>
          <w:lang w:eastAsia="en-SG"/>
        </w:rPr>
        <w:t xml:space="preserve"> atlas</w:t>
      </w:r>
      <w:r w:rsidR="00BC5EA4" w:rsidRPr="00842A01">
        <w:rPr>
          <w:rFonts w:ascii="Times New Roman" w:eastAsia="Times New Roman" w:hAnsi="Times New Roman" w:cs="Times New Roman"/>
          <w:lang w:eastAsia="en-SG"/>
        </w:rPr>
        <w:t xml:space="preserve"> may be used in combination with Bayesian inference to directly segment MRI of arbitrary contrasts. </w:t>
      </w:r>
      <w:r w:rsidR="005533B9" w:rsidRPr="00842A01">
        <w:rPr>
          <w:rFonts w:ascii="Times New Roman" w:hAnsi="Times New Roman" w:cs="Times New Roman"/>
        </w:rPr>
        <w:t xml:space="preserve">Furthermore, this study accounted for the bilateral volume of respective subnuclei, </w:t>
      </w:r>
      <w:r w:rsidR="005533B9" w:rsidRPr="00842A01">
        <w:rPr>
          <w:rFonts w:ascii="Times New Roman" w:hAnsi="Times New Roman" w:cs="Times New Roman"/>
        </w:rPr>
        <w:lastRenderedPageBreak/>
        <w:t xml:space="preserve">overall cerebral asymmetry, and hippocampal asymmetry, allowing us to determine that the effects observed in this study were independent of absolute subnuclei volumes, structural brain asymmetries, including that of the key structure affected in AD, the hippocampus. </w:t>
      </w:r>
      <w:r w:rsidR="00FE2385" w:rsidRPr="00842A01">
        <w:rPr>
          <w:rFonts w:ascii="Times New Roman" w:hAnsi="Times New Roman" w:cs="Times New Roman"/>
        </w:rPr>
        <w:t>However, the cross-sectional design of this study prevents us from determining the mechanisms behind thalamic asymmetry</w:t>
      </w:r>
      <w:r w:rsidR="00B13179" w:rsidRPr="00842A01">
        <w:rPr>
          <w:rFonts w:ascii="Times New Roman" w:hAnsi="Times New Roman" w:cs="Times New Roman"/>
        </w:rPr>
        <w:t xml:space="preserve"> and associated clinical measure</w:t>
      </w:r>
      <w:r w:rsidR="00FE2385" w:rsidRPr="00842A01">
        <w:rPr>
          <w:rFonts w:ascii="Times New Roman" w:hAnsi="Times New Roman" w:cs="Times New Roman"/>
        </w:rPr>
        <w:t xml:space="preserve">s. Moreover, due to the small sample size, findings should be </w:t>
      </w:r>
      <w:r w:rsidR="001B609F" w:rsidRPr="00842A01">
        <w:rPr>
          <w:rFonts w:ascii="Times New Roman" w:hAnsi="Times New Roman" w:cs="Times New Roman"/>
        </w:rPr>
        <w:t xml:space="preserve">replicated in a larger sample to </w:t>
      </w:r>
      <w:r w:rsidR="00A00269" w:rsidRPr="00842A01">
        <w:rPr>
          <w:rFonts w:ascii="Times New Roman" w:hAnsi="Times New Roman" w:cs="Times New Roman"/>
        </w:rPr>
        <w:t>validate our findings</w:t>
      </w:r>
      <w:r w:rsidR="00477E2F" w:rsidRPr="00842A01">
        <w:rPr>
          <w:rFonts w:ascii="Times New Roman" w:hAnsi="Times New Roman" w:cs="Times New Roman"/>
        </w:rPr>
        <w:t>.</w:t>
      </w:r>
      <w:r w:rsidR="00CD7508" w:rsidRPr="00842A01">
        <w:rPr>
          <w:rFonts w:ascii="Times New Roman" w:hAnsi="Times New Roman" w:cs="Times New Roman"/>
        </w:rPr>
        <w:t xml:space="preserve"> To measure the degree of lateralization, </w:t>
      </w:r>
      <w:r w:rsidR="00AD62E2" w:rsidRPr="00842A01">
        <w:rPr>
          <w:rFonts w:ascii="Times New Roman" w:hAnsi="Times New Roman" w:cs="Times New Roman"/>
        </w:rPr>
        <w:t xml:space="preserve">we calculated the ratio of hemispheric difference in volume to mean bilateral volume, a widely accepted method of quantifying </w:t>
      </w:r>
      <w:r w:rsidR="00181BEB" w:rsidRPr="00842A01">
        <w:rPr>
          <w:rFonts w:ascii="Times New Roman" w:hAnsi="Times New Roman" w:cs="Times New Roman"/>
        </w:rPr>
        <w:t>cerebral asymmetry</w:t>
      </w:r>
      <w:r w:rsidR="009A61A2" w:rsidRPr="00842A01">
        <w:rPr>
          <w:rFonts w:ascii="Times New Roman" w:hAnsi="Times New Roman" w:cs="Times New Roman"/>
        </w:rPr>
        <w:t xml:space="preserve"> </w:t>
      </w:r>
      <w:r w:rsidR="00BD1EA5"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{"citationItems":[{"id":"ITEM-1","itemData":{"DOI":"10.3389/fnins.2018.00576","ISSN":"1662-4548","abstract":"Objective: It is well-known that the hippocampus presents significant asymmetry in Alzheimer's disease (AD) and that difference in volumes between left and right exists and varies with disease progression. However, few works investigated whether the asymmetry degree of subfields of hippocampus changes through the continuum from Mild Cognitive Impairment (MCI) to AD. Thus, aim of the present work was to evaluate the Asymmetry Index (AI) of hippocampal substructures as possible MRI biomarkers of Dementia. Moreover, we aimed to assess whether the subfields presented peculiar differences between left and right hemispheres. We also investigated the relationship between the asymmetry magnitude in hippocampal subfields and the decline of verbal memory as assessed by Rey's auditory verbal learning test (RAVLT). Methods: Four-hundred subjects were selected from ADNI, equally divided into healthy controls (HC), AD, stable MCI (sMCI), and progressive MCI (pMCI). The structural baseline T1s were processed with FreeSurfer 6.0 and volumes of whole hippocampus (WH) and 12 subfields were extracted. The AI was calculated as: (|Left-Right|/(Left+Right))(*)100. ANCOVA was used for evaluating AI differences between diagnoses, while paired t-test was applied for assessing changes between left and right volumes, separately for each group. Partial correlation was performed for exploring relationship between RAVLT summary scores (Immediate, Learning, Forgetting, Percent Forgetting) and hippocampal substructures AI. The statistical threshold was Bonferroni corrected p &lt; 0.05/13 = 0.0038. Results: We found a general trend of increased degree of asymmetry with increasing severity of diagnosis. Indeed, AD presented the higher magnitude of asymmetry compared with HC, sMCI and pMCI, in the WH (AI mean 5.13 ± 4.29 SD) and in each of its twelve subfields. Moreover, we found in AD a significant negative correlation (r = -0.33, p = 0.00065) between the AI of parasubiculum (mean 12.70 ± 9.59 SD) and the RAVLT Learning score (mean 1.70 ± 1.62 SD). Conclusions: Our findings showed that hippocampal subfields AI varies differently among the four groups HC, sMCI, pMCI, and AD. Moreover, we found-for the first time-that hippocampal substructures had different sub-patterns of lateralization compared with the whole hippocampus. Importantly, the severity in learning rate was correlated with pathological high degree of asymmetry in parasubiculum of AD patients.","author":[{"dropping-particle":"","family":"Sarica","given":"Alessia","non-dropping-particle":"","parse-names":false,"suffix":""},{"dropping-particle":"","family":"Vasta","given":"Roberta","non-dropping-particle":"","parse-names":false,"suffix":""},{"dropping-particle":"","family":"Novellino","given":"Fabiana","non-dropping-particle":"","parse-names":false,"suffix":""},{"dropping-particle":"","family":"Vaccaro","given":"Maria Grazia","non-dropping-particle":"","parse-names":false,"suffix":""},{"dropping-particle":"","family":"Cerasa","given":"Antonio","non-dropping-particle":"","parse-names":false,"suffix":""},{"dropping-particle":"","family":"Quattrone","given":"Aldo","non-dropping-particle":"","parse-names":false,"suffix":""},{"dropping-particle":"","family":"Alzheimer's Disease Neuroimaging Initiative","given":"","non-dropping-particle":"","parse-names":false,"suffix":""}],"container-title":"Frontiers in neuroscience","id":"ITEM-1","issued":{"date-parts":[["2018","8","21"]]},"page":"576","publisher":"Frontiers Media S.A.","title":"MRI Asymmetry Index of Hippocampal Subfields Increases Through the Continuum From the Mild Cognitive Impairment to the Alzheimer's Disease","type":"article-journal","volume":"12"},"uris":["http://www.mendeley.com/documents/?uuid=cafe5e93-23d4-4b98-b90a-d301ba2477bc"]},{"id":"ITEM-2","itemData":{"DOI":"10.1001/archneur.1984.04050160065018","ISSN":"0003-9942","abstract":"• We examined the relationship between computed tomographic (CT) scan hemispheric asymmetries and postmortem brain asymmetries of the planum pemporale region in the same 15 subjects (right-handed men). A significant correlation was found between occipital length asymmetry visible on the CT scan slice at the level of the bodies of the lateral ventricles and planum temporale length asymmetry found at autopsy. We believe that some CT scan asymmetries may be indexes of underlying anatomic brain asymmetries. These anatomic brain asymmetries, in turn, may underlie some functional asymmetries observed in humans, especially those asymmetries related to language.","author":[{"dropping-particle":"","family":"Pieniadz","given":"Jean M","non-dropping-particle":"","parse-names":false,"suffix":""},{"dropping-particle":"","family":"Naeser","given":"Margaret A","non-dropping-particle":"","parse-names":false,"suffix":""}],"container-title":"Archives of Neurology","id":"ITEM-2","issue":"4","issued":{"date-parts":[["1984","4","1"]]},"page":"403-409","title":"Computed Tomographic Scan Cerebral Asymmetries and Morphologic Brain Asymmetries: Correlation in the Same Cases Post Mortem","type":"article-journal","volume":"41"},"uris":["http://www.mendeley.com/documents/?uuid=cf32aded-2c98-4132-bcc1-9307d165784d"]},{"id":"ITEM-3","itemData":{"DOI":"10.1002/ana.410290314","ISSN":"0364-5134 (Print)","PMID":"2042947","abstract":"Asymmetry of the planum temporale, a language-related intrasylvian area on the superior temporal gyrus, is the most remarkable anatomical left-right asymmetry of the human brain. The in vivo application of magnetic resonance morphometry in 52 healthy volunteers (26 dextrals and 26 sinistrals) revealed that planum temporale asymmetry is correlated with hand dominance. Left-handers had a significantly lesser degree of leftward planum temporale asymmetry than right-handers. Thus, a structural-functional relation exists in cerebral asymmetry. The correlation is likely to reflect language representation. Because familial sinistrality influenced the anatomical pattern in left-handers and planum temporale asymmetry is already present in the newborn, prenatal factors must play an important role in the development of functional laterality.","author":[{"dropping-particle":"","family":"Steinmetz","given":"H","non-dropping-particle":"","parse-names":false,"suffix":""},{"dropping-particle":"","family":"Volkmann","given":"J","non-dropping-particle":"","parse-names":false,"suffix":""},{"dropping-particle":"","family":"Jancke","given":"L","non-dropping-particle":"","parse-names":false,"suffix":""},{"dropping-particle":"","family":"Freund","given":"H J","non-dropping-particle":"","parse-names":false,"suffix":""}],"container-title":"Annals of neurology","id":"ITEM-3","issue":"3","issued":{"date-parts":[["1991","3"]]},"language":"eng","page":"315-319","publisher-place":"United States","title":"Anatomical left-right asymmetry of language-related temporal cortex is different  in left- and right-handers.","type":"article-journal","volume":"29"},"uris":["http://www.mendeley.com/documents/?uuid=6e8fa230-c3a4-4633-bf2c-17f8716857ba"]},{"id":"ITEM-4","itemData":{"DOI":"10.1016/j.pscychresns.2011.07.016","abstract":"Hemispheric asymmetry of the human hippocampus is well established, but poorly understood. We studied 110 healthy subjects with 3-Tesla MRI to explore the anatomical and functional correlates of the R&gt;L volume asymmetry. We found that the asymmetry is limited to the anterior hippocampus (hemisphere × region interaction: F(1,109) = 42.6, p &lt; .001). Anterior hippocampal volume was correlated strongly with the volumes of all four cortical lobes. In contrast, posterior hippocampal volume was correlated strongly only with occipital lobe volume, moderately with the parietal and temporal lobe volumes and not with the frontal lobe volume. The degree of R&gt;L anterior hippocampal volume asymmetry predicted performance on a measure of basic cognitive abilities. This provides evidence for regional specificity and functional implications of the well-known hemispheric asymmetry of hippocampal volume. We suggest that the developmental profile, genetic mechanisms and functional implications of R&gt;L anterior hippocampal volume asymmetry in the human brain deserve further study.","author":[{"dropping-particle":"","family":"Woolard","given":"Austin","non-dropping-particle":"","parse-names":false,"suffix":""},{"dropping-particle":"","family":"Heckers","given":"Stephan","non-dropping-particle":"","parse-names":false,"suffix":""}],"container-title":"Psychiatry Research","id":"ITEM-4","issue":"1","issued":{"date-parts":[["2012"]]},"page":"48-53","title":"Anatomical and functional correlates of human hippocampal volume asymmetry","type":"article-journal","volume":"201"},"uris":["http://www.mendeley.com/documents/?uuid=50000156-228d-47b9-921a-ec710ec09e58"]},{"id":"ITEM-5","itemData":{"DOI":"10.1016/j.neuroimage.2011.03.014","ISSN":"1095-9572","abstract":"This paper presents a novel, publicly available repository of anatomically segmented brain images of healthy subjects as well as patients with mild cognitive impairment and Alzheimer's disease. The underlying magnetic resonance images have been obtained from the Alzheimer's Disease Neuroimaging Initiative (ADNI) database. T1-weighted screening and baseline images (1.5T and 3T) have been processed with the multi-atlas based MAPER procedure, resulting in labels for 83 regions covering the whole brain in 816 subjects. Selected segmentations were subjected to visual assessment. The segmentations are self-consistent, as evidenced by strong agreement between segmentations of paired images acquired at different field strengths (Jaccard coefficient: 0.802±0.0146). Morphometric comparisons between diagnostic groups (normal; stable mild cognitive impairment; mild cognitive impairment with progression to Alzheimer's disease; Alzheimer's disease) showed highly significant group differences for individual regions, the majority of which were located in the temporal lobe. Additionally, significant effects were seen in the parietal lobe. Increased left/right asymmetry was found in posterior cortical regions. An automatically derived white-matter hypointensities index was found to be a suitable means of quantifying white-matter disease. This repository of segmentations is a potentially valuable resource to researchers working with ADNI data.","author":[{"dropping-particle":"","family":"Heckemann","given":"Rolf A","non-dropping-particle":"","parse-names":false,"suffix":""},{"dropping-particle":"","family":"Keihaninejad","given":"Shiva","non-dropping-particle":"","parse-names":false,"suffix":""},{"dropping-particle":"","family":"Aljabar","given":"Paul","non-dropping-particle":"","parse-names":false,"suffix":""},{"dropping-particle":"","family":"Gray","given":"Katherine R","non-dropping-particle":"","parse-names":false,"suffix":""},{"dropping-particle":"","family":"Nielsen","given":"Casper","non-dropping-particle":"","parse-names":false,"suffix":""},{"dropping-particle":"","family":"Rueckert","given":"Daniel","non-dropping-particle":"","parse-names":false,"suffix":""},{"dropping-particle":"V","family":"Hajnal","given":"Joseph","non-dropping-particle":"","parse-names":false,"suffix":""},{"dropping-particle":"","family":"Hammers","given":"Alexander","non-dropping-particle":"","parse-names":false,"suffix":""},{"dropping-particle":"","family":"Alzheimer's Disease Neuroimaging Initiative","given":"","non-dropping-particle":"","parse-names":false,"suffix":""}],"container-title":"NeuroImage","id":"ITEM-5","issue":"4","issued":{"date-parts":[["2011","6","15"]]},"page":"2024-2037","publisher":"Academic Press","title":"Automatic morphometry in Alzheimer's disease and mild cognitive impairment","type":"article-journal","volume":"56"},"uris":["http://www.mendeley.com/documents/?uuid=cac039d7-13e1-49da-adf3-68b501874c72"]}],"mendeley":{"formattedCitation":"[14,17,25,32,33]","plainTextFormattedCitation":"[14,17,25,32,33]","previouslyFormattedCitation":"[14,17,25,32,33]"},"properties":{"noteIndex":0},"schema":"https://github.com/citation-style-language/schema/raw/master/csl-citation.json"}</w:instrText>
      </w:r>
      <w:r w:rsidR="00BD1EA5" w:rsidRPr="00842A01">
        <w:rPr>
          <w:rFonts w:ascii="Times New Roman" w:hAnsi="Times New Roman" w:cs="Times New Roman"/>
        </w:rPr>
        <w:fldChar w:fldCharType="separate"/>
      </w:r>
      <w:r w:rsidR="00552CC9" w:rsidRPr="00842A01">
        <w:rPr>
          <w:rFonts w:ascii="Times New Roman" w:hAnsi="Times New Roman" w:cs="Times New Roman"/>
          <w:noProof/>
        </w:rPr>
        <w:t>[14,17,25,32,33]</w:t>
      </w:r>
      <w:r w:rsidR="00BD1EA5" w:rsidRPr="00842A01">
        <w:rPr>
          <w:rFonts w:ascii="Times New Roman" w:hAnsi="Times New Roman" w:cs="Times New Roman"/>
        </w:rPr>
        <w:fldChar w:fldCharType="end"/>
      </w:r>
      <w:r w:rsidR="00367CB6" w:rsidRPr="00842A01">
        <w:rPr>
          <w:rFonts w:ascii="Times New Roman" w:eastAsia="Times New Roman" w:hAnsi="Times New Roman" w:cs="Times New Roman"/>
          <w:lang w:eastAsia="en-SG"/>
        </w:rPr>
        <w:t>.</w:t>
      </w:r>
      <w:r w:rsidR="00181BEB" w:rsidRPr="00842A01">
        <w:rPr>
          <w:rFonts w:ascii="Times New Roman" w:hAnsi="Times New Roman" w:cs="Times New Roman"/>
        </w:rPr>
        <w:t xml:space="preserve"> Nevertheless, </w:t>
      </w:r>
      <w:r w:rsidR="00786E84" w:rsidRPr="00842A01">
        <w:rPr>
          <w:rFonts w:ascii="Times New Roman" w:hAnsi="Times New Roman" w:cs="Times New Roman"/>
        </w:rPr>
        <w:t xml:space="preserve">this method should be compared against other described methods of  measuring asymmetry </w:t>
      </w:r>
      <w:r w:rsidR="00B51BDA"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{"citationItems":[{"id":"ITEM-1","itemData":{"DOI":"10.1146/annurev.es.17.110186.002135","ISSN":"0066-4162","author":[{"dropping-particle":"","family":"Palmer","given":"A R","non-dropping-particle":"","parse-names":false,"suffix":""},{"dropping-particle":"","family":"Strobeck","given":"C","non-dropping-particle":"","parse-names":false,"suffix":""}],"container-title":"Annual Review of Ecology and Systematics","id":"ITEM-1","issue":"1","issued":{"date-parts":[["1986","11","1"]]},"note":"doi: 10.1146/annurev.es.17.110186.002135","page":"391-421","publisher":"Annual Reviews","title":"Fluctuating Asymmetry: Measurement, Analysis, Patterns","type":"article-journal","volume":"17"},"uris":["http://www.mendeley.com/documents/?uuid=c7a805c0-54b9-429a-935d-0ea73cd2b45c"]}],"mendeley":{"formattedCitation":"[49]","plainTextFormattedCitation":"[49]","previouslyFormattedCitation":"[49]"},"properties":{"noteIndex":0},"schema":"https://github.com/citation-style-language/schema/raw/master/csl-citation.json"}</w:instrText>
      </w:r>
      <w:r w:rsidR="00B51BDA" w:rsidRPr="00842A01">
        <w:rPr>
          <w:rFonts w:ascii="Times New Roman" w:hAnsi="Times New Roman" w:cs="Times New Roman"/>
        </w:rPr>
        <w:fldChar w:fldCharType="separate"/>
      </w:r>
      <w:r w:rsidR="00552CC9" w:rsidRPr="00842A01">
        <w:rPr>
          <w:rFonts w:ascii="Times New Roman" w:hAnsi="Times New Roman" w:cs="Times New Roman"/>
          <w:noProof/>
        </w:rPr>
        <w:t>[49]</w:t>
      </w:r>
      <w:r w:rsidR="00B51BDA" w:rsidRPr="00842A01">
        <w:rPr>
          <w:rFonts w:ascii="Times New Roman" w:hAnsi="Times New Roman" w:cs="Times New Roman"/>
        </w:rPr>
        <w:fldChar w:fldCharType="end"/>
      </w:r>
      <w:r w:rsidR="000101B1" w:rsidRPr="00842A01">
        <w:rPr>
          <w:rFonts w:ascii="Times New Roman" w:hAnsi="Times New Roman" w:cs="Times New Roman"/>
        </w:rPr>
        <w:t xml:space="preserve">. </w:t>
      </w:r>
      <w:r w:rsidR="003C1EAF" w:rsidRPr="00842A01">
        <w:rPr>
          <w:rFonts w:ascii="Times New Roman" w:hAnsi="Times New Roman" w:cs="Times New Roman"/>
        </w:rPr>
        <w:t xml:space="preserve">Due to the exploratory nature of this study, </w:t>
      </w:r>
      <w:r w:rsidR="00BE6AA7" w:rsidRPr="00842A01">
        <w:rPr>
          <w:rFonts w:ascii="Times New Roman" w:hAnsi="Times New Roman" w:cs="Times New Roman"/>
        </w:rPr>
        <w:t xml:space="preserve">findings were not adjusted for multiple comparisons </w:t>
      </w:r>
      <w:r w:rsidR="00BE6AA7" w:rsidRPr="00842A01">
        <w:rPr>
          <w:rFonts w:ascii="Times New Roman" w:hAnsi="Times New Roman" w:cs="Times New Roman"/>
        </w:rPr>
        <w:fldChar w:fldCharType="begin" w:fldLock="1"/>
      </w:r>
      <w:r w:rsidR="00BE7F71" w:rsidRPr="00842A01">
        <w:rPr>
          <w:rFonts w:ascii="Times New Roman" w:hAnsi="Times New Roman" w:cs="Times New Roman"/>
        </w:rPr>
        <w:instrText>ADDIN CSL_CITATION {"citationItems":[{"id":"ITEM-1","itemData":{"DOI":"10.1016/j.athoracsur.2015.11.024","ISSN":"0003-4975","author":[{"dropping-particle":"","family":"Althouse","given":"Andrew D","non-dropping-particle":"","parse-names":false,"suffix":""}],"container-title":"The Annals of Thoracic Surgery","id":"ITEM-1","issue":"5","issued":{"date-parts":[["2016","5","1"]]},"note":"doi: 10.1016/j.athoracsur.2015.11.024","page":"1644-1645","publisher":"Elsevier","title":"Adjust for Multiple Comparisons? It's Not That Simple","type":"article-journal","volume":"101"},"uris":["http://www.mendeley.com/documents/?uuid=dab34003-f7fa-424f-8765-b21ac0fe25b4"]}],"mendeley":{"formattedCitation":"[50]","plainTextFormattedCitation":"[50]","previouslyFormattedCitation":"[50]"},"properties":{"noteIndex":0},"schema":"https://github.com/citation-style-language/schema/raw/master/csl-citation.json"}</w:instrText>
      </w:r>
      <w:r w:rsidR="00BE6AA7" w:rsidRPr="00842A01">
        <w:rPr>
          <w:rFonts w:ascii="Times New Roman" w:hAnsi="Times New Roman" w:cs="Times New Roman"/>
        </w:rPr>
        <w:fldChar w:fldCharType="separate"/>
      </w:r>
      <w:r w:rsidR="00552CC9" w:rsidRPr="00842A01">
        <w:rPr>
          <w:rFonts w:ascii="Times New Roman" w:hAnsi="Times New Roman" w:cs="Times New Roman"/>
          <w:noProof/>
        </w:rPr>
        <w:t>[50]</w:t>
      </w:r>
      <w:r w:rsidR="00BE6AA7" w:rsidRPr="00842A01">
        <w:rPr>
          <w:rFonts w:ascii="Times New Roman" w:hAnsi="Times New Roman" w:cs="Times New Roman"/>
        </w:rPr>
        <w:fldChar w:fldCharType="end"/>
      </w:r>
      <w:r w:rsidR="003C1EAF" w:rsidRPr="00842A01">
        <w:rPr>
          <w:rFonts w:ascii="Times New Roman" w:hAnsi="Times New Roman" w:cs="Times New Roman"/>
        </w:rPr>
        <w:t xml:space="preserve">. While </w:t>
      </w:r>
      <w:r w:rsidR="00BE6AA7" w:rsidRPr="00842A01">
        <w:rPr>
          <w:rFonts w:ascii="Times New Roman" w:hAnsi="Times New Roman" w:cs="Times New Roman"/>
        </w:rPr>
        <w:t xml:space="preserve">further a priori studies </w:t>
      </w:r>
      <w:r w:rsidR="003C1EAF" w:rsidRPr="00842A01">
        <w:rPr>
          <w:rFonts w:ascii="Times New Roman" w:hAnsi="Times New Roman" w:cs="Times New Roman"/>
        </w:rPr>
        <w:t xml:space="preserve">are required to confirm our findings, this study </w:t>
      </w:r>
      <w:r w:rsidR="00510E0C" w:rsidRPr="00842A01">
        <w:rPr>
          <w:rFonts w:ascii="Times New Roman" w:hAnsi="Times New Roman" w:cs="Times New Roman"/>
        </w:rPr>
        <w:t>provides a reference for the clinical associations of thalamic subnuclei asymmetries to help guide the line of in</w:t>
      </w:r>
      <w:r w:rsidR="006F6DAE" w:rsidRPr="00842A01">
        <w:rPr>
          <w:rFonts w:ascii="Times New Roman" w:hAnsi="Times New Roman" w:cs="Times New Roman"/>
        </w:rPr>
        <w:t>quiry in</w:t>
      </w:r>
      <w:r w:rsidR="00510E0C" w:rsidRPr="00842A01">
        <w:rPr>
          <w:rFonts w:ascii="Times New Roman" w:hAnsi="Times New Roman" w:cs="Times New Roman"/>
        </w:rPr>
        <w:t xml:space="preserve"> subsequent investigations.</w:t>
      </w:r>
    </w:p>
    <w:p w14:paraId="26D38A89" w14:textId="3CE5A3D6" w:rsidR="005533B9" w:rsidRPr="00842A01" w:rsidRDefault="001414CE" w:rsidP="00AC768C">
      <w:pPr>
        <w:spacing w:line="480" w:lineRule="auto"/>
        <w:jc w:val="both"/>
        <w:rPr>
          <w:rFonts w:ascii="Times New Roman" w:hAnsi="Times New Roman" w:cs="Times New Roman"/>
        </w:rPr>
      </w:pPr>
      <w:r w:rsidRPr="00842A01">
        <w:rPr>
          <w:rFonts w:ascii="Times New Roman" w:hAnsi="Times New Roman" w:cs="Times New Roman"/>
          <w:color w:val="FF0000"/>
        </w:rPr>
        <w:tab/>
      </w:r>
      <w:r w:rsidR="002919C8" w:rsidRPr="00842A01">
        <w:rPr>
          <w:rFonts w:ascii="Times New Roman" w:hAnsi="Times New Roman" w:cs="Times New Roman"/>
        </w:rPr>
        <w:t>Overall, our study</w:t>
      </w:r>
      <w:r w:rsidR="006E7910" w:rsidRPr="00842A01">
        <w:rPr>
          <w:rFonts w:ascii="Times New Roman" w:hAnsi="Times New Roman" w:cs="Times New Roman"/>
        </w:rPr>
        <w:t xml:space="preserve"> highlight</w:t>
      </w:r>
      <w:r w:rsidR="002919C8" w:rsidRPr="00842A01">
        <w:rPr>
          <w:rFonts w:ascii="Times New Roman" w:hAnsi="Times New Roman" w:cs="Times New Roman"/>
        </w:rPr>
        <w:t>s</w:t>
      </w:r>
      <w:r w:rsidR="006E7910" w:rsidRPr="00842A01">
        <w:rPr>
          <w:rFonts w:ascii="Times New Roman" w:hAnsi="Times New Roman" w:cs="Times New Roman"/>
        </w:rPr>
        <w:t xml:space="preserve"> the </w:t>
      </w:r>
      <w:r w:rsidR="002919C8" w:rsidRPr="00842A01">
        <w:rPr>
          <w:rFonts w:ascii="Times New Roman" w:hAnsi="Times New Roman" w:cs="Times New Roman"/>
        </w:rPr>
        <w:t xml:space="preserve">value </w:t>
      </w:r>
      <w:r w:rsidR="006E7910" w:rsidRPr="00842A01">
        <w:rPr>
          <w:rFonts w:ascii="Times New Roman" w:hAnsi="Times New Roman" w:cs="Times New Roman"/>
        </w:rPr>
        <w:t>of considering subregional cerebral asymmetries in clinical</w:t>
      </w:r>
      <w:r w:rsidR="00F90481" w:rsidRPr="00842A01">
        <w:rPr>
          <w:rFonts w:ascii="Times New Roman" w:hAnsi="Times New Roman" w:cs="Times New Roman"/>
        </w:rPr>
        <w:t xml:space="preserve"> evaluations, and its relevance to clinical measures</w:t>
      </w:r>
      <w:r w:rsidR="0087265F" w:rsidRPr="00842A01">
        <w:rPr>
          <w:rFonts w:ascii="Times New Roman" w:hAnsi="Times New Roman" w:cs="Times New Roman"/>
        </w:rPr>
        <w:t xml:space="preserve"> such as </w:t>
      </w:r>
      <w:r w:rsidR="00962671" w:rsidRPr="00842A01">
        <w:rPr>
          <w:rFonts w:ascii="Times New Roman" w:hAnsi="Times New Roman" w:cs="Times New Roman"/>
        </w:rPr>
        <w:t>verbal fluency</w:t>
      </w:r>
      <w:r w:rsidR="008F789B" w:rsidRPr="00842A01">
        <w:rPr>
          <w:rFonts w:ascii="Times New Roman" w:hAnsi="Times New Roman" w:cs="Times New Roman"/>
        </w:rPr>
        <w:t>, functional ability,</w:t>
      </w:r>
      <w:r w:rsidR="0087265F" w:rsidRPr="00842A01">
        <w:rPr>
          <w:rFonts w:ascii="Times New Roman" w:hAnsi="Times New Roman" w:cs="Times New Roman"/>
        </w:rPr>
        <w:t xml:space="preserve"> and neuropsychiatric symptoms</w:t>
      </w:r>
      <w:r w:rsidR="00F90481" w:rsidRPr="00842A01">
        <w:rPr>
          <w:rFonts w:ascii="Times New Roman" w:hAnsi="Times New Roman" w:cs="Times New Roman"/>
        </w:rPr>
        <w:t>.</w:t>
      </w:r>
      <w:r w:rsidR="00D45FB9" w:rsidRPr="00842A01">
        <w:rPr>
          <w:rFonts w:ascii="Times New Roman" w:hAnsi="Times New Roman" w:cs="Times New Roman"/>
        </w:rPr>
        <w:t xml:space="preserve"> </w:t>
      </w:r>
      <w:r w:rsidR="0025223C" w:rsidRPr="00842A01">
        <w:rPr>
          <w:rFonts w:ascii="Times New Roman" w:hAnsi="Times New Roman" w:cs="Times New Roman"/>
        </w:rPr>
        <w:t xml:space="preserve">Further research should be conducted to investigate if the leftward ventral thalamic atrophy observed in this study is specific to AD, and whether the measure of morphometric asymmetry could potentially be used to monitor disease progression and predict clinical outcomes. </w:t>
      </w:r>
    </w:p>
    <w:p w14:paraId="478FC5F1" w14:textId="77777777" w:rsidR="00F96C7B" w:rsidRPr="00842A01" w:rsidRDefault="00F96C7B">
      <w:pPr>
        <w:rPr>
          <w:rFonts w:ascii="Times New Roman" w:hAnsi="Times New Roman" w:cs="Times New Roman"/>
          <w:b/>
        </w:rPr>
      </w:pPr>
      <w:r w:rsidRPr="00842A01">
        <w:rPr>
          <w:rFonts w:ascii="Times New Roman" w:hAnsi="Times New Roman" w:cs="Times New Roman"/>
          <w:b/>
        </w:rPr>
        <w:br w:type="page"/>
      </w:r>
    </w:p>
    <w:p w14:paraId="71A98D08" w14:textId="77777777" w:rsidR="00831129" w:rsidRPr="00842A01" w:rsidRDefault="00831129" w:rsidP="00831129">
      <w:pPr>
        <w:spacing w:line="480" w:lineRule="auto"/>
        <w:jc w:val="both"/>
        <w:rPr>
          <w:rFonts w:ascii="Times New Roman" w:hAnsi="Times New Roman" w:cs="Times New Roman"/>
          <w:b/>
        </w:rPr>
      </w:pPr>
      <w:r w:rsidRPr="00842A01">
        <w:rPr>
          <w:rFonts w:ascii="Times New Roman" w:hAnsi="Times New Roman" w:cs="Times New Roman"/>
          <w:b/>
        </w:rPr>
        <w:lastRenderedPageBreak/>
        <w:t xml:space="preserve">Declarations of interests: </w:t>
      </w:r>
    </w:p>
    <w:p w14:paraId="10946DFC" w14:textId="77777777" w:rsidR="00831129" w:rsidRPr="00842A01" w:rsidRDefault="00831129" w:rsidP="00831129">
      <w:pPr>
        <w:spacing w:line="480" w:lineRule="auto"/>
        <w:jc w:val="both"/>
        <w:rPr>
          <w:rFonts w:ascii="Times New Roman" w:hAnsi="Times New Roman" w:cs="Times New Roman"/>
        </w:rPr>
      </w:pPr>
      <w:r w:rsidRPr="00842A01">
        <w:rPr>
          <w:rFonts w:ascii="Times New Roman" w:hAnsi="Times New Roman" w:cs="Times New Roman"/>
        </w:rPr>
        <w:t>None</w:t>
      </w:r>
    </w:p>
    <w:p w14:paraId="294C1C9D" w14:textId="77777777" w:rsidR="00831129" w:rsidRPr="00842A01" w:rsidRDefault="00831129" w:rsidP="00831129">
      <w:pPr>
        <w:spacing w:line="480" w:lineRule="auto"/>
        <w:jc w:val="both"/>
        <w:rPr>
          <w:rFonts w:ascii="Times New Roman" w:hAnsi="Times New Roman" w:cs="Times New Roman"/>
          <w:b/>
        </w:rPr>
      </w:pPr>
    </w:p>
    <w:p w14:paraId="67F2721F" w14:textId="77777777" w:rsidR="00831129" w:rsidRPr="00842A01" w:rsidRDefault="00831129" w:rsidP="00831129">
      <w:pPr>
        <w:spacing w:line="480" w:lineRule="auto"/>
        <w:jc w:val="both"/>
        <w:rPr>
          <w:rFonts w:ascii="Times New Roman" w:hAnsi="Times New Roman" w:cs="Times New Roman"/>
          <w:b/>
        </w:rPr>
      </w:pPr>
      <w:r w:rsidRPr="00842A01">
        <w:rPr>
          <w:rFonts w:ascii="Times New Roman" w:hAnsi="Times New Roman" w:cs="Times New Roman"/>
          <w:b/>
        </w:rPr>
        <w:t>Authors’ contributions:</w:t>
      </w:r>
    </w:p>
    <w:p w14:paraId="5B110D37" w14:textId="25F282DF" w:rsidR="009225E2" w:rsidRPr="00842A01" w:rsidRDefault="00831129" w:rsidP="009225E2">
      <w:pPr>
        <w:spacing w:line="480" w:lineRule="auto"/>
        <w:jc w:val="both"/>
        <w:rPr>
          <w:rFonts w:ascii="Times New Roman" w:hAnsi="Times New Roman" w:cs="Times New Roman"/>
        </w:rPr>
      </w:pPr>
      <w:r w:rsidRPr="00842A01">
        <w:rPr>
          <w:rFonts w:ascii="Times New Roman" w:hAnsi="Times New Roman" w:cs="Times New Roman"/>
        </w:rPr>
        <w:t xml:space="preserve">AL developed the research question, visually inspected image segmentations, conducted the statistical analysis, and wrote the paper. EM performed the imaging analysis and reviewed the drafts. MM LC NN LS NH TR PVR LP RBJ and </w:t>
      </w:r>
      <w:r w:rsidR="00F72D15" w:rsidRPr="00842A01">
        <w:rPr>
          <w:rFonts w:ascii="Times New Roman" w:hAnsi="Times New Roman" w:cs="Times New Roman"/>
        </w:rPr>
        <w:t>P</w:t>
      </w:r>
      <w:r w:rsidRPr="00842A01">
        <w:rPr>
          <w:rFonts w:ascii="Times New Roman" w:hAnsi="Times New Roman" w:cs="Times New Roman"/>
        </w:rPr>
        <w:t xml:space="preserve">SJ </w:t>
      </w:r>
      <w:r w:rsidR="00842A01">
        <w:rPr>
          <w:rFonts w:ascii="Times New Roman" w:hAnsi="Times New Roman" w:cs="Times New Roman"/>
        </w:rPr>
        <w:t xml:space="preserve">reviewed the drafts, </w:t>
      </w:r>
      <w:r w:rsidRPr="00842A01">
        <w:rPr>
          <w:rFonts w:ascii="Times New Roman" w:hAnsi="Times New Roman" w:cs="Times New Roman"/>
        </w:rPr>
        <w:t xml:space="preserve">conducted data collection and database management. </w:t>
      </w:r>
      <w:r w:rsidR="009225E2" w:rsidRPr="00842A01">
        <w:rPr>
          <w:rFonts w:ascii="Times New Roman" w:hAnsi="Times New Roman" w:cs="Times New Roman"/>
        </w:rPr>
        <w:t xml:space="preserve">JOB and JBR </w:t>
      </w:r>
      <w:r w:rsidR="0065402B" w:rsidRPr="00842A01">
        <w:rPr>
          <w:rFonts w:ascii="Times New Roman" w:hAnsi="Times New Roman" w:cs="Times New Roman"/>
        </w:rPr>
        <w:t xml:space="preserve">reviewed the data and manuscript, </w:t>
      </w:r>
      <w:r w:rsidR="0065402B">
        <w:rPr>
          <w:rFonts w:ascii="Times New Roman" w:hAnsi="Times New Roman" w:cs="Times New Roman"/>
        </w:rPr>
        <w:t xml:space="preserve">provided critical feedback, </w:t>
      </w:r>
      <w:r w:rsidR="0065402B" w:rsidRPr="00842A01">
        <w:rPr>
          <w:rFonts w:ascii="Times New Roman" w:hAnsi="Times New Roman" w:cs="Times New Roman"/>
        </w:rPr>
        <w:t>made revisions to the manuscript</w:t>
      </w:r>
      <w:r w:rsidR="0065402B">
        <w:rPr>
          <w:rFonts w:ascii="Times New Roman" w:hAnsi="Times New Roman" w:cs="Times New Roman"/>
        </w:rPr>
        <w:t>,</w:t>
      </w:r>
      <w:r w:rsidR="0065402B" w:rsidRPr="00842A01">
        <w:rPr>
          <w:rFonts w:ascii="Times New Roman" w:hAnsi="Times New Roman" w:cs="Times New Roman"/>
        </w:rPr>
        <w:t xml:space="preserve"> </w:t>
      </w:r>
      <w:r w:rsidR="009225E2" w:rsidRPr="00842A01">
        <w:rPr>
          <w:rFonts w:ascii="Times New Roman" w:hAnsi="Times New Roman" w:cs="Times New Roman"/>
        </w:rPr>
        <w:t>designed the study protocols, supervised the study, and are the co-principal investigators of the study.</w:t>
      </w:r>
      <w:bookmarkStart w:id="2" w:name="_GoBack"/>
      <w:bookmarkEnd w:id="2"/>
    </w:p>
    <w:p w14:paraId="3834DDC8" w14:textId="77777777" w:rsidR="009225E2" w:rsidRPr="00842A01" w:rsidRDefault="009225E2" w:rsidP="00831129">
      <w:pPr>
        <w:spacing w:line="480" w:lineRule="auto"/>
        <w:jc w:val="both"/>
        <w:rPr>
          <w:b/>
        </w:rPr>
      </w:pPr>
    </w:p>
    <w:p w14:paraId="5F2D2396" w14:textId="77777777" w:rsidR="00831129" w:rsidRPr="00842A01" w:rsidRDefault="00831129" w:rsidP="00831129">
      <w:pPr>
        <w:spacing w:line="480" w:lineRule="auto"/>
        <w:jc w:val="both"/>
        <w:rPr>
          <w:rFonts w:ascii="Times New Roman" w:hAnsi="Times New Roman" w:cs="Times New Roman"/>
          <w:b/>
        </w:rPr>
      </w:pPr>
      <w:r w:rsidRPr="00842A01">
        <w:rPr>
          <w:rFonts w:ascii="Times New Roman" w:hAnsi="Times New Roman" w:cs="Times New Roman"/>
          <w:b/>
        </w:rPr>
        <w:t>Acknowledgements:</w:t>
      </w:r>
    </w:p>
    <w:p w14:paraId="61BB1AD7" w14:textId="77777777" w:rsidR="00F74912" w:rsidRPr="00842A01" w:rsidRDefault="00970F05" w:rsidP="00F477BA">
      <w:pPr>
        <w:spacing w:line="480" w:lineRule="auto"/>
        <w:jc w:val="both"/>
      </w:pPr>
      <w:r w:rsidRPr="00842A01">
        <w:rPr>
          <w:rFonts w:ascii="Times New Roman" w:hAnsi="Times New Roman" w:cs="Times New Roman"/>
        </w:rPr>
        <w:t>We thank our participant volunteers for their participation in the Neuroinflammation in Memory and Related</w:t>
      </w:r>
      <w:r w:rsidR="00F477BA" w:rsidRPr="00842A01">
        <w:rPr>
          <w:rFonts w:ascii="Times New Roman" w:hAnsi="Times New Roman" w:cs="Times New Roman"/>
        </w:rPr>
        <w:t xml:space="preserve"> Other Disorders (NIMROD) study, the radiographers at the Wolfson Brain Imaging Centre (WBIC) for their technical expertise and support in data acquisition, and the NIHR Dementias and Neurodegenerative Diseases Research Network (DeNDRoN) for their help in subject recruitment. </w:t>
      </w:r>
      <w:r w:rsidR="00831129" w:rsidRPr="00842A01">
        <w:rPr>
          <w:rFonts w:ascii="Times New Roman" w:hAnsi="Times New Roman" w:cs="Times New Roman"/>
        </w:rPr>
        <w:t>This study is supported by the National Institute for Health Research (NIHR) Biomedical Research Centre (BRC) Dementia and Neurodegeneration Theme (Grant Reference Number 146281). The views expressed are those of the authors and not necessarily those of the NIHR or the Department of Health and Social Care. James Rowe is supported b</w:t>
      </w:r>
      <w:r w:rsidR="00F477BA" w:rsidRPr="00842A01">
        <w:rPr>
          <w:rFonts w:ascii="Times New Roman" w:hAnsi="Times New Roman" w:cs="Times New Roman"/>
        </w:rPr>
        <w:t>y the Wellcome Trust (103838), and John O’Brien is</w:t>
      </w:r>
      <w:r w:rsidR="00831129" w:rsidRPr="00842A01">
        <w:rPr>
          <w:rFonts w:ascii="Times New Roman" w:hAnsi="Times New Roman" w:cs="Times New Roman"/>
        </w:rPr>
        <w:t xml:space="preserve"> supported by</w:t>
      </w:r>
      <w:r w:rsidR="00F477BA" w:rsidRPr="00842A01">
        <w:rPr>
          <w:rFonts w:ascii="Times New Roman" w:hAnsi="Times New Roman" w:cs="Times New Roman"/>
        </w:rPr>
        <w:t xml:space="preserve"> </w:t>
      </w:r>
      <w:r w:rsidR="00FA2FAC" w:rsidRPr="00842A01">
        <w:rPr>
          <w:rFonts w:ascii="Times New Roman" w:hAnsi="Times New Roman" w:cs="Times New Roman"/>
        </w:rPr>
        <w:t>an</w:t>
      </w:r>
      <w:r w:rsidR="00F477BA" w:rsidRPr="00842A01">
        <w:rPr>
          <w:rFonts w:ascii="Times New Roman" w:hAnsi="Times New Roman" w:cs="Times New Roman"/>
        </w:rPr>
        <w:t xml:space="preserve"> NIHR Senior Investigator award</w:t>
      </w:r>
      <w:r w:rsidR="00831129" w:rsidRPr="00842A01">
        <w:rPr>
          <w:rFonts w:ascii="Times New Roman" w:hAnsi="Times New Roman" w:cs="Times New Roman"/>
        </w:rPr>
        <w:t>.</w:t>
      </w:r>
      <w:r w:rsidR="00831129" w:rsidRPr="00842A01">
        <w:t xml:space="preserve"> </w:t>
      </w:r>
      <w:r w:rsidR="00F74912" w:rsidRPr="00842A01">
        <w:rPr>
          <w:rFonts w:ascii="Times New Roman" w:hAnsi="Times New Roman" w:cs="Times New Roman"/>
        </w:rPr>
        <w:br w:type="page"/>
      </w:r>
    </w:p>
    <w:p w14:paraId="620192C7" w14:textId="77777777" w:rsidR="00E334DB" w:rsidRPr="00842A01" w:rsidRDefault="00F74912" w:rsidP="003F2AEC">
      <w:pPr>
        <w:jc w:val="both"/>
        <w:rPr>
          <w:rFonts w:ascii="Times New Roman" w:hAnsi="Times New Roman" w:cs="Times New Roman"/>
          <w:b/>
        </w:rPr>
      </w:pPr>
      <w:r w:rsidRPr="00842A01">
        <w:rPr>
          <w:rFonts w:ascii="Times New Roman" w:hAnsi="Times New Roman" w:cs="Times New Roman"/>
          <w:b/>
        </w:rPr>
        <w:lastRenderedPageBreak/>
        <w:t>REFERENCES</w:t>
      </w:r>
    </w:p>
    <w:p w14:paraId="0265D737" w14:textId="0DF6894C" w:rsidR="00C71B29" w:rsidRPr="00842A01" w:rsidRDefault="00D86382"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rPr>
        <w:fldChar w:fldCharType="begin" w:fldLock="1"/>
      </w:r>
      <w:r w:rsidRPr="00842A01">
        <w:rPr>
          <w:rFonts w:ascii="Times New Roman" w:hAnsi="Times New Roman" w:cs="Times New Roman"/>
        </w:rPr>
        <w:instrText xml:space="preserve">ADDIN Mendeley Bibliography CSL_BIBLIOGRAPHY </w:instrText>
      </w:r>
      <w:r w:rsidRPr="00842A01">
        <w:rPr>
          <w:rFonts w:ascii="Times New Roman" w:hAnsi="Times New Roman" w:cs="Times New Roman"/>
        </w:rPr>
        <w:fldChar w:fldCharType="separate"/>
      </w:r>
      <w:r w:rsidR="00C71B29" w:rsidRPr="00842A01">
        <w:rPr>
          <w:rFonts w:ascii="Times New Roman" w:hAnsi="Times New Roman" w:cs="Times New Roman"/>
          <w:noProof/>
          <w:szCs w:val="24"/>
        </w:rPr>
        <w:t>[1]</w:t>
      </w:r>
      <w:r w:rsidR="00C71B29" w:rsidRPr="00842A01">
        <w:rPr>
          <w:rFonts w:ascii="Times New Roman" w:hAnsi="Times New Roman" w:cs="Times New Roman"/>
          <w:noProof/>
          <w:szCs w:val="24"/>
        </w:rPr>
        <w:tab/>
        <w:t>Patterson C. World Alzheimer Report 2018 - The state of the art of dementia research: New frontiers. 2018. doi:10.1103/PhysRevLett.78.4414.</w:t>
      </w:r>
    </w:p>
    <w:p w14:paraId="17FE0232"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w:t>
      </w:r>
      <w:r w:rsidRPr="00842A01">
        <w:rPr>
          <w:rFonts w:ascii="Times New Roman" w:hAnsi="Times New Roman" w:cs="Times New Roman"/>
          <w:noProof/>
          <w:szCs w:val="24"/>
        </w:rPr>
        <w:tab/>
        <w:t>Kim JH, Lee JW, Kim GH, Roh JH, Kim M-J, Seo SW, et al. Cortical asymmetries in normal, mild cognitive impairment, and Alzheimer’s disease. Neurobiol Aging 2012;33:1959–66. doi:10.1016/j.neurobiolaging.2011.06.026.</w:t>
      </w:r>
    </w:p>
    <w:p w14:paraId="06A6E7E6"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w:t>
      </w:r>
      <w:r w:rsidRPr="00842A01">
        <w:rPr>
          <w:rFonts w:ascii="Times New Roman" w:hAnsi="Times New Roman" w:cs="Times New Roman"/>
          <w:noProof/>
          <w:szCs w:val="24"/>
        </w:rPr>
        <w:tab/>
        <w:t>Long X, Zhang L, Liao W, Jiang C, Qiu B, Alzheimer’s Disease Neuroimaging Initiative. Distinct laterality alterations distinguish mild cognitive impairment and Alzheimer’s disease from healthy aging: statistical parametric mapping with high resolution MRI. Hum Brain Mapp 2013;34:3400–10. doi:10.1002/hbm.22157.</w:t>
      </w:r>
    </w:p>
    <w:p w14:paraId="4C1B21B8"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w:t>
      </w:r>
      <w:r w:rsidRPr="00842A01">
        <w:rPr>
          <w:rFonts w:ascii="Times New Roman" w:hAnsi="Times New Roman" w:cs="Times New Roman"/>
          <w:noProof/>
          <w:szCs w:val="24"/>
        </w:rPr>
        <w:tab/>
        <w:t>Derflinger S, Sorg C, Gaser C, Myers N, Arsic M, Kurz A, et al. Grey-matter atrophy in Alzheimer’s disease is asymmetric but not lateralized. J Alzheimer’s Dis 2011;25:347–57. doi:10.3233/JAD-2011-110041.</w:t>
      </w:r>
    </w:p>
    <w:p w14:paraId="47E96E67"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[5]</w:t>
      </w:r>
      <w:r w:rsidRPr="00842A01">
        <w:rPr>
          <w:rFonts w:ascii="Times New Roman" w:hAnsi="Times New Roman" w:cs="Times New Roman"/>
          <w:noProof/>
          <w:szCs w:val="24"/>
        </w:rPr>
        <w:tab/>
        <w:t>Wachinger C, Salat DH, Weiner M, Reuter M, Alzheimer’s Disease Neuroimaging Initiative. Whole-brain analysis reveals increased neuroanatomical asymmetries in dementia for hippocampus and amygdala. Brain 2016;139:3253–66. doi:10.1093/brain/aww243.</w:t>
      </w:r>
    </w:p>
    <w:p w14:paraId="613D4819"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[6]</w:t>
      </w:r>
      <w:r w:rsidRPr="00842A01">
        <w:rPr>
          <w:rFonts w:ascii="Times New Roman" w:hAnsi="Times New Roman" w:cs="Times New Roman"/>
          <w:noProof/>
          <w:szCs w:val="24"/>
        </w:rPr>
        <w:tab/>
        <w:t>Frings L, Hellwig S, Spehl TS, Bormann T, Buchert R, Vach W, et al. Asymmetries of amyloid-beta burden and neuronal dysfunction are positively correlated in Alzheimer’s disease. Brain 2015;138:3089–99. doi:10.1093/brain/awv229.</w:t>
      </w:r>
    </w:p>
    <w:p w14:paraId="0703C964"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[7]</w:t>
      </w:r>
      <w:r w:rsidRPr="00842A01">
        <w:rPr>
          <w:rFonts w:ascii="Times New Roman" w:hAnsi="Times New Roman" w:cs="Times New Roman"/>
          <w:noProof/>
          <w:szCs w:val="24"/>
        </w:rPr>
        <w:tab/>
        <w:t>Wolf H, Grunwald M, Kruggel F, Riedel-Heller SG, Angerhöfer S, Hojjatoleslami A, et al. Hippocampal volume discriminates between normal cognition; questionable and mild dementia in the elderly. Neurobiol Aging 2001;22:177–86. doi:10.1016/S0197-4580(00)00238-4.</w:t>
      </w:r>
    </w:p>
    <w:p w14:paraId="3751C0CB"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[8]</w:t>
      </w:r>
      <w:r w:rsidRPr="00842A01">
        <w:rPr>
          <w:rFonts w:ascii="Times New Roman" w:hAnsi="Times New Roman" w:cs="Times New Roman"/>
          <w:noProof/>
          <w:szCs w:val="24"/>
        </w:rPr>
        <w:tab/>
        <w:t>Geroldi C, Akkawi NM, Galluzzi S, Ubezio M, Binetti G, Zanetti O, et al. Temporal lobe asymmetry in patients with Alzheimer’s disease with delusions. J Neurol Neurosurg Psychiatry 2000;69:187–91. doi:10.1136/jnnp.69.2.187.</w:t>
      </w:r>
    </w:p>
    <w:p w14:paraId="565DFFD1"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[9]</w:t>
      </w:r>
      <w:r w:rsidRPr="00842A01">
        <w:rPr>
          <w:rFonts w:ascii="Times New Roman" w:hAnsi="Times New Roman" w:cs="Times New Roman"/>
          <w:noProof/>
          <w:szCs w:val="24"/>
        </w:rPr>
        <w:tab/>
        <w:t>Bruen PD, McGeown WJ, Shanks MF, Venneri A. Neuroanatomical correlates of neuropsychiatric symptoms in Alzheimer’s disease. Brain 2008;131:2455–63. doi:10.1093/brain/awn151.</w:t>
      </w:r>
    </w:p>
    <w:p w14:paraId="6F2BC71F"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[10]</w:t>
      </w:r>
      <w:r w:rsidRPr="00842A01">
        <w:rPr>
          <w:rFonts w:ascii="Times New Roman" w:hAnsi="Times New Roman" w:cs="Times New Roman"/>
          <w:noProof/>
          <w:szCs w:val="24"/>
        </w:rPr>
        <w:tab/>
        <w:t>Thompson PM, Hayashi KM, de Zubicaray G, Janke AL, Rose SE, Semple J, et al. Dynamics of gray matter loss in Alzheimer’s disease. J Neurosci 2003;23:994–1005.</w:t>
      </w:r>
    </w:p>
    <w:p w14:paraId="7D82D410"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[11]</w:t>
      </w:r>
      <w:r w:rsidRPr="00842A01">
        <w:rPr>
          <w:rFonts w:ascii="Times New Roman" w:hAnsi="Times New Roman" w:cs="Times New Roman"/>
          <w:noProof/>
          <w:szCs w:val="24"/>
        </w:rPr>
        <w:tab/>
        <w:t>Wessa M, King A V, Meyer P, Frolich L, Flor H, Poupon C, et al. Impaired and preserved aspects of feedback learning in aMCI: contributions of structural connectivity. Brain Struct Funct 2016;221:2831–46. doi:10.1007/s00429-015-1075-y.</w:t>
      </w:r>
    </w:p>
    <w:p w14:paraId="1F0E67EB"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[12]</w:t>
      </w:r>
      <w:r w:rsidRPr="00842A01">
        <w:rPr>
          <w:rFonts w:ascii="Times New Roman" w:hAnsi="Times New Roman" w:cs="Times New Roman"/>
          <w:noProof/>
          <w:szCs w:val="24"/>
        </w:rPr>
        <w:tab/>
        <w:t>Shi F, Liu B, Zhou Y, Yu C, Jiang T. Hippocampal volume and asymmetry in mild cognitive impairment and Alzheimer’s disease: Meta-analyses of MRI studies. Hippocampus 2009;19:1055–64. doi:10.1002/hipo.20573.</w:t>
      </w:r>
    </w:p>
    <w:p w14:paraId="06B570D3"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[13]</w:t>
      </w:r>
      <w:r w:rsidRPr="00842A01">
        <w:rPr>
          <w:rFonts w:ascii="Times New Roman" w:hAnsi="Times New Roman" w:cs="Times New Roman"/>
          <w:noProof/>
          <w:szCs w:val="24"/>
        </w:rPr>
        <w:tab/>
        <w:t>Yang C, Zhong S, Zhou X, Wei L, Wang L, Nie S. The Abnormality of Topological Asymmetry between Hemispheric Brain White Matter Networks in Alzheimer’s Disease and Mild Cognitive Impairment. Front Aging Neurosci 2017;9:261. doi:10.3389/fnagi.2017.00261.</w:t>
      </w:r>
    </w:p>
    <w:p w14:paraId="79B608F2"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[14]</w:t>
      </w:r>
      <w:r w:rsidRPr="00842A01">
        <w:rPr>
          <w:rFonts w:ascii="Times New Roman" w:hAnsi="Times New Roman" w:cs="Times New Roman"/>
          <w:noProof/>
          <w:szCs w:val="24"/>
        </w:rPr>
        <w:tab/>
        <w:t>Woolard A, Heckers S. Anatomical and functional correlates of human hippocampal volume asymmetry. Psychiatry Res 2012;201:48–53. doi:10.1016/j.pscychresns.2011.07.016.</w:t>
      </w:r>
    </w:p>
    <w:p w14:paraId="578211E4"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[15]</w:t>
      </w:r>
      <w:r w:rsidRPr="00842A01">
        <w:rPr>
          <w:rFonts w:ascii="Times New Roman" w:hAnsi="Times New Roman" w:cs="Times New Roman"/>
          <w:noProof/>
          <w:szCs w:val="24"/>
        </w:rPr>
        <w:tab/>
        <w:t>Tetzloff KA, Graff-Radford J, Martin PR, Tosakulwong N, Machulda MM, Duffy JR, et al. Regional Distribution, Asymmetry, and Clinical Correlates of Tau Uptake on [18F]AV-1451 PET in Atypical Alzheimer’s Disease. J Alzheimers Dis 2018;62:1713–24. doi:10.3233/JAD-</w:t>
      </w:r>
      <w:r w:rsidRPr="00842A01">
        <w:rPr>
          <w:rFonts w:ascii="Times New Roman" w:hAnsi="Times New Roman" w:cs="Times New Roman"/>
          <w:noProof/>
          <w:szCs w:val="24"/>
        </w:rPr>
        <w:lastRenderedPageBreak/>
        <w:t>170740.</w:t>
      </w:r>
    </w:p>
    <w:p w14:paraId="33F539E9"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[16]</w:t>
      </w:r>
      <w:r w:rsidRPr="00842A01">
        <w:rPr>
          <w:rFonts w:ascii="Times New Roman" w:hAnsi="Times New Roman" w:cs="Times New Roman"/>
          <w:noProof/>
          <w:szCs w:val="24"/>
        </w:rPr>
        <w:tab/>
        <w:t>Pennanen C, Testa C, Laakso MP, Hallikainen M, Helkala E-L, Hanninen T, et al. A voxel based morphometry study on mild cognitive impairment. J Neurol Neurosurg Psychiatry 2005;76:11–4. doi:10.1136/jnnp.2004.035600.</w:t>
      </w:r>
    </w:p>
    <w:p w14:paraId="61BB7091"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[17]</w:t>
      </w:r>
      <w:r w:rsidRPr="00842A01">
        <w:rPr>
          <w:rFonts w:ascii="Times New Roman" w:hAnsi="Times New Roman" w:cs="Times New Roman"/>
          <w:noProof/>
          <w:szCs w:val="24"/>
        </w:rPr>
        <w:tab/>
        <w:t>Sarica A, Vasta R, Novellino F, Vaccaro MG, Cerasa A, Quattrone A, et al. MRI Asymmetry Index of Hippocampal Subfields Increases Through the Continuum From the Mild Cognitive Impairment to the Alzheimer’s Disease. Front Neurosci 2018;12:576. doi:10.3389/fnins.2018.00576.</w:t>
      </w:r>
    </w:p>
    <w:p w14:paraId="6EDA4B1B"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[18]</w:t>
      </w:r>
      <w:r w:rsidRPr="00842A01">
        <w:rPr>
          <w:rFonts w:ascii="Times New Roman" w:hAnsi="Times New Roman" w:cs="Times New Roman"/>
          <w:noProof/>
          <w:szCs w:val="24"/>
        </w:rPr>
        <w:tab/>
        <w:t>Grady CL, Haxby J V, Schlageter NL, Berg G, Rapoport SI. Stability of metabolic and neuropsychological asymmetries in dementia of the Alzheimer type. Neurology 1986;36:1390–2. doi:10.1212/wnl.36.10.1390.</w:t>
      </w:r>
    </w:p>
    <w:p w14:paraId="4780423F"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[19]</w:t>
      </w:r>
      <w:r w:rsidRPr="00842A01">
        <w:rPr>
          <w:rFonts w:ascii="Times New Roman" w:hAnsi="Times New Roman" w:cs="Times New Roman"/>
          <w:noProof/>
          <w:szCs w:val="24"/>
        </w:rPr>
        <w:tab/>
        <w:t>Jacobs HIL, Hanseeuw BJ, Vannini P, Price JC, Dutta J, Becker A, et al. Regional Asymmetries in Amyloid and Tau Go Together: Evidence for Local Interaction. Alzheimer’s Dement 2018;14:4–5. doi:10.1016/j.jalz.2018.06.2047.</w:t>
      </w:r>
    </w:p>
    <w:p w14:paraId="1E7A330C"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[20]</w:t>
      </w:r>
      <w:r w:rsidRPr="00842A01">
        <w:rPr>
          <w:rFonts w:ascii="Times New Roman" w:hAnsi="Times New Roman" w:cs="Times New Roman"/>
          <w:noProof/>
          <w:szCs w:val="24"/>
        </w:rPr>
        <w:tab/>
        <w:t>Akiyama H, Harrop R, McGeer PL, Peppard R, McGeer EG. Crossed cerebellar and uncrossed basal ganglia and thalamic diaschisis in Alzheimer’s disease. Neurology 1989;39:541–8. doi:10.1212/WNL.39.4.541.</w:t>
      </w:r>
    </w:p>
    <w:p w14:paraId="510503C3"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[21]</w:t>
      </w:r>
      <w:r w:rsidRPr="00842A01">
        <w:rPr>
          <w:rFonts w:ascii="Times New Roman" w:hAnsi="Times New Roman" w:cs="Times New Roman"/>
          <w:noProof/>
          <w:szCs w:val="24"/>
        </w:rPr>
        <w:tab/>
        <w:t>Aggleton JP, Pralus A, Nelson AJD, Hornberger M. Thalamic pathology and memory loss in early Alzheimer’s disease: moving the focus from the medial temporal lobe to Papez circuit. Brain 2016;139:1877–90. doi:10.1093/brain/aww083.</w:t>
      </w:r>
    </w:p>
    <w:p w14:paraId="486E36B7"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[22]</w:t>
      </w:r>
      <w:r w:rsidRPr="00842A01">
        <w:rPr>
          <w:rFonts w:ascii="Times New Roman" w:hAnsi="Times New Roman" w:cs="Times New Roman"/>
          <w:noProof/>
          <w:szCs w:val="24"/>
        </w:rPr>
        <w:tab/>
        <w:t>Zarei M, Patenaude B, Damoiseaux J, Morgese C, Smith S, Matthews PM, et al. Combining shape and connectivity analysis: an MRI study of thalamic degeneration in Alzheimer’s disease. Neuroimage 2010;49:1–8. doi:10.1016/j.neuroimage.2009.09.001.</w:t>
      </w:r>
    </w:p>
    <w:p w14:paraId="4735F361"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[23]</w:t>
      </w:r>
      <w:r w:rsidRPr="00842A01">
        <w:rPr>
          <w:rFonts w:ascii="Times New Roman" w:hAnsi="Times New Roman" w:cs="Times New Roman"/>
          <w:noProof/>
          <w:szCs w:val="24"/>
        </w:rPr>
        <w:tab/>
        <w:t>Braak H, Braak E. Neuropathological stageing of Alzheimer-related changes. Acta Neuropathol 1991;82:239–59.</w:t>
      </w:r>
    </w:p>
    <w:p w14:paraId="7BC6B577"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[24]</w:t>
      </w:r>
      <w:r w:rsidRPr="00842A01">
        <w:rPr>
          <w:rFonts w:ascii="Times New Roman" w:hAnsi="Times New Roman" w:cs="Times New Roman"/>
          <w:noProof/>
          <w:szCs w:val="24"/>
        </w:rPr>
        <w:tab/>
        <w:t>de Oliveira MS, Balthazar MLF, D’Abreu A, Yasuda CL, Damasceno BP, Cendes F, et al. MR imaging texture analysis of the corpus callosum and thalamus in amnestic mild  cognitive impairment and mild Alzheimer disease. AJNR Am J Neuroradiol 2011;32:60–6. doi:10.3174/ajnr.A2232.</w:t>
      </w:r>
    </w:p>
    <w:p w14:paraId="112C7F48"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[25]</w:t>
      </w:r>
      <w:r w:rsidRPr="00842A01">
        <w:rPr>
          <w:rFonts w:ascii="Times New Roman" w:hAnsi="Times New Roman" w:cs="Times New Roman"/>
          <w:noProof/>
          <w:szCs w:val="24"/>
        </w:rPr>
        <w:tab/>
        <w:t>Heckemann RA, Keihaninejad S, Aljabar P, Gray KR, Nielsen C, Rueckert D, et al. Automatic morphometry in Alzheimer’s disease and mild cognitive impairment. Neuroimage 2011;56:2024–37. doi:10.1016/j.neuroimage.2011.03.014.</w:t>
      </w:r>
    </w:p>
    <w:p w14:paraId="731BBA1B"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[26]</w:t>
      </w:r>
      <w:r w:rsidRPr="00842A01">
        <w:rPr>
          <w:rFonts w:ascii="Times New Roman" w:hAnsi="Times New Roman" w:cs="Times New Roman"/>
          <w:noProof/>
          <w:szCs w:val="24"/>
        </w:rPr>
        <w:tab/>
        <w:t>Nie X, Sun Y, Wan S, Zhao H, Liu R, Li X, et al. Subregional Structural Alterations in Hippocampus and Nucleus Accumbens Correlate with the Clinical Impairment in Patients with Alzheimer’s Disease Clinical Spectrum: Parallel Combining Volume and Vertex-Based Approach. Front Neurol 2017;8:399. doi:10.3389/fneur.2017.00399.</w:t>
      </w:r>
    </w:p>
    <w:p w14:paraId="09BF8C8E"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[27]</w:t>
      </w:r>
      <w:r w:rsidRPr="00842A01">
        <w:rPr>
          <w:rFonts w:ascii="Times New Roman" w:hAnsi="Times New Roman" w:cs="Times New Roman"/>
          <w:noProof/>
          <w:szCs w:val="24"/>
        </w:rPr>
        <w:tab/>
        <w:t>Haller S, Borgwardt SJ, Schindler C, Aston J, Radue EW, Riecher-Rossler A. Can cortical thickness asymmetry analysis contribute to detection of at-risk mental state and first-episode psychosis? A pilot study. Radiology 2009;250:212–21. doi:10.1148/radiol.2501072153.</w:t>
      </w:r>
    </w:p>
    <w:p w14:paraId="147FE90C"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[28]</w:t>
      </w:r>
      <w:r w:rsidRPr="00842A01">
        <w:rPr>
          <w:rFonts w:ascii="Times New Roman" w:hAnsi="Times New Roman" w:cs="Times New Roman"/>
          <w:noProof/>
          <w:szCs w:val="24"/>
        </w:rPr>
        <w:tab/>
        <w:t>Iglesias JE, Insausti R, Lerma-Usabiaga G, Bocchetta M, Van Leemput K, Greve DN, et al. A probabilistic atlas of the human thalamic nuclei combining ex vivo MRI and histology. Neuroimage 2018;183:314–26. doi:10.1016/j.neuroimage.2018.08.012.</w:t>
      </w:r>
    </w:p>
    <w:p w14:paraId="0A1C3373"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[29]</w:t>
      </w:r>
      <w:r w:rsidRPr="00842A01">
        <w:rPr>
          <w:rFonts w:ascii="Times New Roman" w:hAnsi="Times New Roman" w:cs="Times New Roman"/>
          <w:noProof/>
          <w:szCs w:val="24"/>
        </w:rPr>
        <w:tab/>
        <w:t xml:space="preserve">Bevan-Jones WR, Surendranathan A, Passamonti L, Vazquez Rodriguez P, Arnold R, Mak E, et al. Neuroimaging of Inflammation in Memory and Related Other Disorders (NIMROD) study protocol: a deep phenotyping cohort study of the role of brain inflammation in dementia, depression and other neurological illnesses. BMJ Open 2017;7:e013187. </w:t>
      </w:r>
      <w:r w:rsidRPr="00842A01">
        <w:rPr>
          <w:rFonts w:ascii="Times New Roman" w:hAnsi="Times New Roman" w:cs="Times New Roman"/>
          <w:noProof/>
          <w:szCs w:val="24"/>
        </w:rPr>
        <w:lastRenderedPageBreak/>
        <w:t>doi:10.1136/bmjopen-2016-013187.</w:t>
      </w:r>
    </w:p>
    <w:p w14:paraId="76EE7E31"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[30]</w:t>
      </w:r>
      <w:r w:rsidRPr="00842A01">
        <w:rPr>
          <w:rFonts w:ascii="Times New Roman" w:hAnsi="Times New Roman" w:cs="Times New Roman"/>
          <w:noProof/>
          <w:szCs w:val="24"/>
        </w:rPr>
        <w:tab/>
        <w:t>Albert MS, DeKosky ST, Dickson D, Dubois B, Feldman HH, Fox NC, et al. The diagnosis of mild cognitive impairment due to Alzheimer’s disease: Recommendations from the National Institute on Aging-Alzheimer’s Association workgroups on diagnostic guidelines for Alzheimer’s disease. Alzheimer’s Dement 2011;7:270–9. doi:10.1016/j.jalz.2011.03.008.</w:t>
      </w:r>
    </w:p>
    <w:p w14:paraId="366C1F94"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[31]</w:t>
      </w:r>
      <w:r w:rsidRPr="00842A01">
        <w:rPr>
          <w:rFonts w:ascii="Times New Roman" w:hAnsi="Times New Roman" w:cs="Times New Roman"/>
          <w:noProof/>
          <w:szCs w:val="24"/>
        </w:rPr>
        <w:tab/>
        <w:t>McKhann GM, Knopman DS, Chertkow H, Hyman BT, Jack CR, Kawas CH, et al. The diagnosis of dementia due to Alzheimer’s disease: Recommendations from the National Institute on Aging-Alzheimer’s Association workgroups on diagnostic guidelines for Alzheimer’s disease. Alzheimer’s Dement 2011;7:263–9. doi:10.1016/j.jalz.2011.03.005.</w:t>
      </w:r>
    </w:p>
    <w:p w14:paraId="6D043B51"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[32]</w:t>
      </w:r>
      <w:r w:rsidRPr="00842A01">
        <w:rPr>
          <w:rFonts w:ascii="Times New Roman" w:hAnsi="Times New Roman" w:cs="Times New Roman"/>
          <w:noProof/>
          <w:szCs w:val="24"/>
        </w:rPr>
        <w:tab/>
        <w:t>Pieniadz JM, Naeser MA. Computed Tomographic Scan Cerebral Asymmetries and Morphologic Brain Asymmetries: Correlation in the Same Cases Post Mortem. Arch Neurol 1984;41:403–9. doi:10.1001/archneur.1984.04050160065018.</w:t>
      </w:r>
    </w:p>
    <w:p w14:paraId="5664885D"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[33]</w:t>
      </w:r>
      <w:r w:rsidRPr="00842A01">
        <w:rPr>
          <w:rFonts w:ascii="Times New Roman" w:hAnsi="Times New Roman" w:cs="Times New Roman"/>
          <w:noProof/>
          <w:szCs w:val="24"/>
        </w:rPr>
        <w:tab/>
        <w:t>Steinmetz H, Volkmann J, Jancke L, Freund HJ. Anatomical left-right asymmetry of language-related temporal cortex is different  in left- and right-handers. Ann Neurol 1991;29:315–9. doi:10.1002/ana.410290314.</w:t>
      </w:r>
    </w:p>
    <w:p w14:paraId="69D02E07"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[34]</w:t>
      </w:r>
      <w:r w:rsidRPr="00842A01">
        <w:rPr>
          <w:rFonts w:ascii="Times New Roman" w:hAnsi="Times New Roman" w:cs="Times New Roman"/>
          <w:noProof/>
          <w:szCs w:val="24"/>
        </w:rPr>
        <w:tab/>
        <w:t>Toga AW, Thompson PM. Mapping brain asymmetry. Nat Rev Neurosci 2003;4:37–48. doi:10.1038/nrn1009.</w:t>
      </w:r>
    </w:p>
    <w:p w14:paraId="72829F00"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[35]</w:t>
      </w:r>
      <w:r w:rsidRPr="00842A01">
        <w:rPr>
          <w:rFonts w:ascii="Times New Roman" w:hAnsi="Times New Roman" w:cs="Times New Roman"/>
          <w:noProof/>
          <w:szCs w:val="24"/>
        </w:rPr>
        <w:tab/>
        <w:t>Ojemann GA, Ward AAJ. Speech representation in ventrolateral thalamus. Brain 1971;94:669–80.</w:t>
      </w:r>
    </w:p>
    <w:p w14:paraId="181AC8C0"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[36]</w:t>
      </w:r>
      <w:r w:rsidRPr="00842A01">
        <w:rPr>
          <w:rFonts w:ascii="Times New Roman" w:hAnsi="Times New Roman" w:cs="Times New Roman"/>
          <w:noProof/>
          <w:szCs w:val="24"/>
        </w:rPr>
        <w:tab/>
        <w:t>Johnson MD, Ojemann GA. The role of the human thalamus in language and memory: evidence from electrophysiological studies. Brain Cogn 2000;42:218–30. doi:10.1006/brcg.1999.1101.</w:t>
      </w:r>
    </w:p>
    <w:p w14:paraId="56942A11"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[37]</w:t>
      </w:r>
      <w:r w:rsidRPr="00842A01">
        <w:rPr>
          <w:rFonts w:ascii="Times New Roman" w:hAnsi="Times New Roman" w:cs="Times New Roman"/>
          <w:noProof/>
          <w:szCs w:val="24"/>
        </w:rPr>
        <w:tab/>
        <w:t>Vilkki J, Laitinen L V. Differential effects of left and right ventrolateral thalamotomy on receptive and expressive verbal performances and face-matching. Neuropsychologia 1974;12:11–9. doi:10.1016/0028-3932(74)90022-0.</w:t>
      </w:r>
    </w:p>
    <w:p w14:paraId="0D1EB07C"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[38]</w:t>
      </w:r>
      <w:r w:rsidRPr="00842A01">
        <w:rPr>
          <w:rFonts w:ascii="Times New Roman" w:hAnsi="Times New Roman" w:cs="Times New Roman"/>
          <w:noProof/>
          <w:szCs w:val="24"/>
        </w:rPr>
        <w:tab/>
        <w:t>Danos P, Baumann B, Bernstein H-G, Stauch R, Krell D, Falkai P, et al. The ventral lateral posterior nucleus of the thalamus in schizophrenia: a post-mortem study. Psychiatry Res Neuroimaging 2002;114:1–9. doi:10.1016/S0925-4927(01)00131-7.</w:t>
      </w:r>
    </w:p>
    <w:p w14:paraId="6D654482"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[39]</w:t>
      </w:r>
      <w:r w:rsidRPr="00842A01">
        <w:rPr>
          <w:rFonts w:ascii="Times New Roman" w:hAnsi="Times New Roman" w:cs="Times New Roman"/>
          <w:noProof/>
          <w:szCs w:val="24"/>
        </w:rPr>
        <w:tab/>
        <w:t>Asami T, Yoshida H, Takaishi M, Nakamura R, Yoshimi A, Whitford TJ, et al. Thalamic shape and volume abnormalities in female patients with panic disorder. PLoS One 2018;13:e0208152. doi:10.1371/journal.pone.0208152.</w:t>
      </w:r>
    </w:p>
    <w:p w14:paraId="610229A8"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[40]</w:t>
      </w:r>
      <w:r w:rsidRPr="00842A01">
        <w:rPr>
          <w:rFonts w:ascii="Times New Roman" w:hAnsi="Times New Roman" w:cs="Times New Roman"/>
          <w:noProof/>
          <w:szCs w:val="24"/>
        </w:rPr>
        <w:tab/>
        <w:t>Smith ME. Bilateral hippocampal volume reduction in adults with post-traumatic stress disorder: A meta-analysis of structural MRI studies. Hippocampus 2005;15:798–807. doi:10.1002/hipo.20102.</w:t>
      </w:r>
    </w:p>
    <w:p w14:paraId="2B050ABE"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[41]</w:t>
      </w:r>
      <w:r w:rsidRPr="00842A01">
        <w:rPr>
          <w:rFonts w:ascii="Times New Roman" w:hAnsi="Times New Roman" w:cs="Times New Roman"/>
          <w:noProof/>
          <w:szCs w:val="24"/>
        </w:rPr>
        <w:tab/>
        <w:t>Umezaki Y, Katagiri A, Watanabe M, Takenoshita M, Sakuma T, Sako E, et al. Brain perfusion asymmetry in patients with oral somatic delusions. Eur Arch Psychiatry Clin Neurosci 2013;263:315–23. doi:10.1007/s00406-013-0390-7.</w:t>
      </w:r>
    </w:p>
    <w:p w14:paraId="7B79E666"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[42]</w:t>
      </w:r>
      <w:r w:rsidRPr="00842A01">
        <w:rPr>
          <w:rFonts w:ascii="Times New Roman" w:hAnsi="Times New Roman" w:cs="Times New Roman"/>
          <w:noProof/>
          <w:szCs w:val="24"/>
        </w:rPr>
        <w:tab/>
        <w:t>Schmahmann JD. Vascular syndromes of the thalamus. Stroke 2003;34:2264–78. doi:10.1161/01.STR.0000087786.38997.9E.</w:t>
      </w:r>
    </w:p>
    <w:p w14:paraId="0E88CCEC"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[43]</w:t>
      </w:r>
      <w:r w:rsidRPr="00842A01">
        <w:rPr>
          <w:rFonts w:ascii="Times New Roman" w:hAnsi="Times New Roman" w:cs="Times New Roman"/>
          <w:noProof/>
          <w:szCs w:val="24"/>
        </w:rPr>
        <w:tab/>
        <w:t>van Dyck CH, Gelernter J, MacAvoy MG, Avery RA, Criden M, Okereke O, et al. Absence of an apolipoprotein E epsilon4 allele is associated with increased parietal regional cerebral blood flow asymmetry in Alzheimer disease. Arch Neurol 1998;55:1460–6.</w:t>
      </w:r>
    </w:p>
    <w:p w14:paraId="312A2292"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[44]</w:t>
      </w:r>
      <w:r w:rsidRPr="00842A01">
        <w:rPr>
          <w:rFonts w:ascii="Times New Roman" w:hAnsi="Times New Roman" w:cs="Times New Roman"/>
          <w:noProof/>
          <w:szCs w:val="24"/>
        </w:rPr>
        <w:tab/>
        <w:t>Giannakopoulos P, Hof PR, Bouras C. Alzheimer’s disease with asymmetric atrophy of the cerebral hemispheres: morphometric analysis of four cases. Acta Neuropathol 1994;88:440–7.</w:t>
      </w:r>
    </w:p>
    <w:p w14:paraId="387D14A7"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[45]</w:t>
      </w:r>
      <w:r w:rsidRPr="00842A01">
        <w:rPr>
          <w:rFonts w:ascii="Times New Roman" w:hAnsi="Times New Roman" w:cs="Times New Roman"/>
          <w:noProof/>
          <w:szCs w:val="24"/>
        </w:rPr>
        <w:tab/>
        <w:t xml:space="preserve">Oke A, Keller R, Mefford I, Adams RN. Lateralization of norepinephrine in human thalamus. </w:t>
      </w:r>
      <w:r w:rsidRPr="00842A01">
        <w:rPr>
          <w:rFonts w:ascii="Times New Roman" w:hAnsi="Times New Roman" w:cs="Times New Roman"/>
          <w:noProof/>
          <w:szCs w:val="24"/>
        </w:rPr>
        <w:lastRenderedPageBreak/>
        <w:t>Science (80- ) 1978;200:1411–3. doi:10.1126/science.663623.</w:t>
      </w:r>
    </w:p>
    <w:p w14:paraId="318E2DCD"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[46]</w:t>
      </w:r>
      <w:r w:rsidRPr="00842A01">
        <w:rPr>
          <w:rFonts w:ascii="Times New Roman" w:hAnsi="Times New Roman" w:cs="Times New Roman"/>
          <w:noProof/>
          <w:szCs w:val="24"/>
        </w:rPr>
        <w:tab/>
        <w:t>Chalermpalanupap T, Kinkead B, Hu WT, Kummer MP, Hammerschmidt T, Heneka MT, et al. Targeting norepinephrine in mild cognitive impairment and Alzheimer’s disease. Alzheimers Res Ther 2013;5:21. doi:10.1186/alzrt175.</w:t>
      </w:r>
    </w:p>
    <w:p w14:paraId="367FD0DD"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[47]</w:t>
      </w:r>
      <w:r w:rsidRPr="00842A01">
        <w:rPr>
          <w:rFonts w:ascii="Times New Roman" w:hAnsi="Times New Roman" w:cs="Times New Roman"/>
          <w:noProof/>
          <w:szCs w:val="24"/>
        </w:rPr>
        <w:tab/>
        <w:t>Trollor JN, Sachdev PS, Haindl W, Brodaty H, Wen WEI, Walker BM. Regional cerebral blood flow deficits in mild Alzheimer’s disease using high resolution single photon emission computerized tomography. Psychiatry Clin Neurosci 2005;59:280–90. doi:10.1111/j.1440-1819.2005.01372.x.</w:t>
      </w:r>
    </w:p>
    <w:p w14:paraId="607C7B62"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[48]</w:t>
      </w:r>
      <w:r w:rsidRPr="00842A01">
        <w:rPr>
          <w:rFonts w:ascii="Times New Roman" w:hAnsi="Times New Roman" w:cs="Times New Roman"/>
          <w:noProof/>
          <w:szCs w:val="24"/>
        </w:rPr>
        <w:tab/>
        <w:t>Onbas O, Dane S, Kantarci M, Koplay M, Alper F, Okur A. Clinical importance of asymmetry and handedness differences in common carotid artery intima-media thickness. Int J Neurosci 2007;117:433–41.</w:t>
      </w:r>
    </w:p>
    <w:p w14:paraId="22965B49"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szCs w:val="24"/>
        </w:rPr>
      </w:pPr>
      <w:r w:rsidRPr="00842A01">
        <w:rPr>
          <w:rFonts w:ascii="Times New Roman" w:hAnsi="Times New Roman" w:cs="Times New Roman"/>
          <w:noProof/>
          <w:szCs w:val="24"/>
        </w:rPr>
        <w:t>[49]</w:t>
      </w:r>
      <w:r w:rsidRPr="00842A01">
        <w:rPr>
          <w:rFonts w:ascii="Times New Roman" w:hAnsi="Times New Roman" w:cs="Times New Roman"/>
          <w:noProof/>
          <w:szCs w:val="24"/>
        </w:rPr>
        <w:tab/>
        <w:t>Palmer AR, Strobeck C. Fluctuating Asymmetry: Measurement, Analysis, Patterns. Annu Rev Ecol Syst 1986;17:391–421. doi:10.1146/annurev.es.17.110186.002135.</w:t>
      </w:r>
    </w:p>
    <w:p w14:paraId="7D38BC95" w14:textId="77777777" w:rsidR="00C71B29" w:rsidRPr="00842A01" w:rsidRDefault="00C71B29" w:rsidP="00C71B29">
      <w:pPr>
        <w:widowControl w:val="0"/>
        <w:autoSpaceDE w:val="0"/>
        <w:autoSpaceDN w:val="0"/>
        <w:adjustRightInd w:val="0"/>
        <w:spacing w:line="240" w:lineRule="auto"/>
        <w:ind w:left="640" w:hanging="640"/>
        <w:rPr>
          <w:rFonts w:ascii="Times New Roman" w:hAnsi="Times New Roman" w:cs="Times New Roman"/>
          <w:noProof/>
        </w:rPr>
      </w:pPr>
      <w:r w:rsidRPr="00842A01">
        <w:rPr>
          <w:rFonts w:ascii="Times New Roman" w:hAnsi="Times New Roman" w:cs="Times New Roman"/>
          <w:noProof/>
          <w:szCs w:val="24"/>
        </w:rPr>
        <w:t>[50]</w:t>
      </w:r>
      <w:r w:rsidRPr="00842A01">
        <w:rPr>
          <w:rFonts w:ascii="Times New Roman" w:hAnsi="Times New Roman" w:cs="Times New Roman"/>
          <w:noProof/>
          <w:szCs w:val="24"/>
        </w:rPr>
        <w:tab/>
        <w:t>Althouse AD. Adjust for Multiple Comparisons? It’s Not That Simple. Ann Thorac Surg 2016;101:1644–5. doi:10.1016/j.athoracsur.2015.11.024.</w:t>
      </w:r>
    </w:p>
    <w:p w14:paraId="145E8589" w14:textId="77777777" w:rsidR="00B171C6" w:rsidRPr="003446F2" w:rsidRDefault="00D86382" w:rsidP="003F2AEC">
      <w:pPr>
        <w:spacing w:line="240" w:lineRule="auto"/>
        <w:jc w:val="both"/>
        <w:rPr>
          <w:rFonts w:ascii="Times New Roman" w:hAnsi="Times New Roman" w:cs="Times New Roman"/>
        </w:rPr>
      </w:pPr>
      <w:r w:rsidRPr="00842A01">
        <w:rPr>
          <w:rFonts w:ascii="Times New Roman" w:hAnsi="Times New Roman" w:cs="Times New Roman"/>
        </w:rPr>
        <w:fldChar w:fldCharType="end"/>
      </w:r>
    </w:p>
    <w:sectPr w:rsidR="00B171C6" w:rsidRPr="003446F2">
      <w:footerReference w:type="default" r:id="rId13"/>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C7810C" w16cid:durableId="20894927"/>
  <w16cid:commentId w16cid:paraId="7F08405F" w16cid:durableId="20894400"/>
  <w16cid:commentId w16cid:paraId="5B2B0933" w16cid:durableId="2087F943"/>
  <w16cid:commentId w16cid:paraId="4B3188BD" w16cid:durableId="20881F86"/>
  <w16cid:commentId w16cid:paraId="0CD5C581" w16cid:durableId="2087F9A5"/>
  <w16cid:commentId w16cid:paraId="3AEB0822" w16cid:durableId="2089125A"/>
  <w16cid:commentId w16cid:paraId="3C9C8D3C" w16cid:durableId="2087F9EE"/>
  <w16cid:commentId w16cid:paraId="619A32D2" w16cid:durableId="2087FA4F"/>
  <w16cid:commentId w16cid:paraId="7694DA5F" w16cid:durableId="20894407"/>
  <w16cid:commentId w16cid:paraId="095F839F" w16cid:durableId="2087FAB0"/>
  <w16cid:commentId w16cid:paraId="6B0DE880" w16cid:durableId="20894409"/>
  <w16cid:commentId w16cid:paraId="0CB0CEB2" w16cid:durableId="208945F7"/>
  <w16cid:commentId w16cid:paraId="71B0E1F3" w16cid:durableId="2087FD58"/>
  <w16cid:commentId w16cid:paraId="1EEC1E91" w16cid:durableId="208948AB"/>
  <w16cid:commentId w16cid:paraId="2141C728" w16cid:durableId="208949C3"/>
  <w16cid:commentId w16cid:paraId="52BD0EF4" w16cid:durableId="2088221D"/>
  <w16cid:commentId w16cid:paraId="4F750BAB" w16cid:durableId="208805E1"/>
  <w16cid:commentId w16cid:paraId="5B433A2C" w16cid:durableId="20894A6B"/>
  <w16cid:commentId w16cid:paraId="2D74DB25" w16cid:durableId="20882497"/>
  <w16cid:commentId w16cid:paraId="77291DE5" w16cid:durableId="20894A92"/>
  <w16cid:commentId w16cid:paraId="5781EF12" w16cid:durableId="20894B67"/>
  <w16cid:commentId w16cid:paraId="02B2C3BD" w16cid:durableId="20894C9B"/>
  <w16cid:commentId w16cid:paraId="653AB2C9" w16cid:durableId="20882432"/>
  <w16cid:commentId w16cid:paraId="31FCCFAC" w16cid:durableId="20894C6E"/>
  <w16cid:commentId w16cid:paraId="6CC9AEA7" w16cid:durableId="20891166"/>
  <w16cid:commentId w16cid:paraId="3C0B3F19" w16cid:durableId="20880FC7"/>
  <w16cid:commentId w16cid:paraId="41A6A4D5" w16cid:durableId="208808FC"/>
  <w16cid:commentId w16cid:paraId="7200A30A" w16cid:durableId="20894BD1"/>
  <w16cid:commentId w16cid:paraId="665E6A3C" w16cid:durableId="20880824"/>
  <w16cid:commentId w16cid:paraId="33107F4F" w16cid:durableId="20880850"/>
  <w16cid:commentId w16cid:paraId="4F1F4603" w16cid:durableId="20880898"/>
  <w16cid:commentId w16cid:paraId="784FCD7C" w16cid:durableId="20880A88"/>
  <w16cid:commentId w16cid:paraId="0FFE3171" w16cid:durableId="20880E59"/>
  <w16cid:commentId w16cid:paraId="27009AB8" w16cid:durableId="2088106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249222" w14:textId="77777777" w:rsidR="00695858" w:rsidRDefault="00695858" w:rsidP="00F63928">
      <w:pPr>
        <w:spacing w:after="0" w:line="240" w:lineRule="auto"/>
      </w:pPr>
      <w:r>
        <w:separator/>
      </w:r>
    </w:p>
  </w:endnote>
  <w:endnote w:type="continuationSeparator" w:id="0">
    <w:p w14:paraId="562B6ACF" w14:textId="77777777" w:rsidR="00695858" w:rsidRDefault="00695858" w:rsidP="00F63928">
      <w:pPr>
        <w:spacing w:after="0" w:line="240" w:lineRule="auto"/>
      </w:pPr>
      <w:r>
        <w:continuationSeparator/>
      </w:r>
    </w:p>
  </w:endnote>
  <w:endnote w:type="continuationNotice" w:id="1">
    <w:p w14:paraId="4C89BF1A" w14:textId="77777777" w:rsidR="00695858" w:rsidRDefault="006958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9843079"/>
      <w:docPartObj>
        <w:docPartGallery w:val="Page Numbers (Bottom of Page)"/>
        <w:docPartUnique/>
      </w:docPartObj>
    </w:sdtPr>
    <w:sdtEndPr>
      <w:rPr>
        <w:noProof/>
      </w:rPr>
    </w:sdtEndPr>
    <w:sdtContent>
      <w:p w14:paraId="74FC3C6A" w14:textId="3AEE1265" w:rsidR="00F50A71" w:rsidRDefault="00F50A71">
        <w:pPr>
          <w:pStyle w:val="Footer"/>
          <w:jc w:val="right"/>
        </w:pPr>
        <w:r>
          <w:fldChar w:fldCharType="begin"/>
        </w:r>
        <w:r>
          <w:instrText xml:space="preserve"> PAGE   \* MERGEFORMAT </w:instrText>
        </w:r>
        <w:r>
          <w:fldChar w:fldCharType="separate"/>
        </w:r>
        <w:r w:rsidR="0065402B">
          <w:rPr>
            <w:noProof/>
          </w:rPr>
          <w:t>18</w:t>
        </w:r>
        <w:r>
          <w:rPr>
            <w:noProof/>
          </w:rPr>
          <w:fldChar w:fldCharType="end"/>
        </w:r>
      </w:p>
    </w:sdtContent>
  </w:sdt>
  <w:p w14:paraId="0BA6B54F" w14:textId="77777777" w:rsidR="00F50A71" w:rsidRDefault="00F50A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1FC39F" w14:textId="77777777" w:rsidR="00695858" w:rsidRDefault="00695858" w:rsidP="00F63928">
      <w:pPr>
        <w:spacing w:after="0" w:line="240" w:lineRule="auto"/>
      </w:pPr>
      <w:r>
        <w:separator/>
      </w:r>
    </w:p>
  </w:footnote>
  <w:footnote w:type="continuationSeparator" w:id="0">
    <w:p w14:paraId="1A8A286B" w14:textId="77777777" w:rsidR="00695858" w:rsidRDefault="00695858" w:rsidP="00F63928">
      <w:pPr>
        <w:spacing w:after="0" w:line="240" w:lineRule="auto"/>
      </w:pPr>
      <w:r>
        <w:continuationSeparator/>
      </w:r>
    </w:p>
  </w:footnote>
  <w:footnote w:type="continuationNotice" w:id="1">
    <w:p w14:paraId="6A7BCD93" w14:textId="77777777" w:rsidR="00695858" w:rsidRDefault="0069585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B5F06"/>
    <w:multiLevelType w:val="hybridMultilevel"/>
    <w:tmpl w:val="633A05DE"/>
    <w:lvl w:ilvl="0" w:tplc="891ECD94">
      <w:start w:val="3"/>
      <w:numFmt w:val="bullet"/>
      <w:lvlText w:val="-"/>
      <w:lvlJc w:val="left"/>
      <w:pPr>
        <w:ind w:left="720" w:hanging="360"/>
      </w:pPr>
      <w:rPr>
        <w:rFonts w:ascii="Calibri" w:eastAsiaTheme="minorHAnsi" w:hAnsi="Calibri" w:cs="Calibri"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 w15:restartNumberingAfterBreak="0">
    <w:nsid w:val="07A1508D"/>
    <w:multiLevelType w:val="multilevel"/>
    <w:tmpl w:val="CA1AC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D66CF3"/>
    <w:multiLevelType w:val="hybridMultilevel"/>
    <w:tmpl w:val="DED8C84C"/>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3" w15:restartNumberingAfterBreak="0">
    <w:nsid w:val="17543687"/>
    <w:multiLevelType w:val="hybridMultilevel"/>
    <w:tmpl w:val="1E3402BE"/>
    <w:lvl w:ilvl="0" w:tplc="B4F23276">
      <w:numFmt w:val="bullet"/>
      <w:lvlText w:val="-"/>
      <w:lvlJc w:val="left"/>
      <w:pPr>
        <w:ind w:left="720" w:hanging="360"/>
      </w:pPr>
      <w:rPr>
        <w:rFonts w:ascii="Calibri" w:eastAsiaTheme="minorHAnsi" w:hAnsi="Calibri" w:cs="Calibri"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4" w15:restartNumberingAfterBreak="0">
    <w:nsid w:val="183605CD"/>
    <w:multiLevelType w:val="multilevel"/>
    <w:tmpl w:val="5AAE6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0068D6"/>
    <w:multiLevelType w:val="multilevel"/>
    <w:tmpl w:val="47AE56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6F82603"/>
    <w:multiLevelType w:val="hybridMultilevel"/>
    <w:tmpl w:val="19ECBAC8"/>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7" w15:restartNumberingAfterBreak="0">
    <w:nsid w:val="27786C8C"/>
    <w:multiLevelType w:val="hybridMultilevel"/>
    <w:tmpl w:val="A38814CA"/>
    <w:lvl w:ilvl="0" w:tplc="89D091AA">
      <w:numFmt w:val="bullet"/>
      <w:lvlText w:val="-"/>
      <w:lvlJc w:val="left"/>
      <w:pPr>
        <w:ind w:left="720" w:hanging="360"/>
      </w:pPr>
      <w:rPr>
        <w:rFonts w:ascii="Calibri" w:eastAsiaTheme="minorHAnsi" w:hAnsi="Calibri" w:cs="Calibri"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8" w15:restartNumberingAfterBreak="0">
    <w:nsid w:val="33994033"/>
    <w:multiLevelType w:val="multilevel"/>
    <w:tmpl w:val="4E6AA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3F503D1"/>
    <w:multiLevelType w:val="multilevel"/>
    <w:tmpl w:val="12C44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E27001"/>
    <w:multiLevelType w:val="hybridMultilevel"/>
    <w:tmpl w:val="71B80E84"/>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1" w15:restartNumberingAfterBreak="0">
    <w:nsid w:val="49882C9F"/>
    <w:multiLevelType w:val="hybridMultilevel"/>
    <w:tmpl w:val="F4FE63A6"/>
    <w:lvl w:ilvl="0" w:tplc="FF7E3F2C">
      <w:numFmt w:val="bullet"/>
      <w:lvlText w:val=""/>
      <w:lvlJc w:val="left"/>
      <w:pPr>
        <w:ind w:left="720" w:hanging="360"/>
      </w:pPr>
      <w:rPr>
        <w:rFonts w:ascii="Symbol" w:eastAsiaTheme="minorHAnsi" w:hAnsi="Symbol" w:cs="Times New Roman"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2" w15:restartNumberingAfterBreak="0">
    <w:nsid w:val="4D766430"/>
    <w:multiLevelType w:val="hybridMultilevel"/>
    <w:tmpl w:val="B33210E8"/>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3" w15:restartNumberingAfterBreak="0">
    <w:nsid w:val="4FB87CBA"/>
    <w:multiLevelType w:val="hybridMultilevel"/>
    <w:tmpl w:val="826016F6"/>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4" w15:restartNumberingAfterBreak="0">
    <w:nsid w:val="595E448B"/>
    <w:multiLevelType w:val="hybridMultilevel"/>
    <w:tmpl w:val="241CCE72"/>
    <w:lvl w:ilvl="0" w:tplc="6784CA6C">
      <w:start w:val="3"/>
      <w:numFmt w:val="bullet"/>
      <w:lvlText w:val="-"/>
      <w:lvlJc w:val="left"/>
      <w:pPr>
        <w:ind w:left="720" w:hanging="360"/>
      </w:pPr>
      <w:rPr>
        <w:rFonts w:ascii="Arial" w:eastAsiaTheme="minorHAnsi" w:hAnsi="Arial" w:cs="Aria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5" w15:restartNumberingAfterBreak="0">
    <w:nsid w:val="5E1050FB"/>
    <w:multiLevelType w:val="hybridMultilevel"/>
    <w:tmpl w:val="EE30430A"/>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6" w15:restartNumberingAfterBreak="0">
    <w:nsid w:val="61F008FE"/>
    <w:multiLevelType w:val="hybridMultilevel"/>
    <w:tmpl w:val="66DC71EC"/>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7" w15:restartNumberingAfterBreak="0">
    <w:nsid w:val="72B435B0"/>
    <w:multiLevelType w:val="hybridMultilevel"/>
    <w:tmpl w:val="6840EAE8"/>
    <w:lvl w:ilvl="0" w:tplc="2AFC48A6">
      <w:numFmt w:val="bullet"/>
      <w:lvlText w:val="-"/>
      <w:lvlJc w:val="left"/>
      <w:pPr>
        <w:ind w:left="720" w:hanging="360"/>
      </w:pPr>
      <w:rPr>
        <w:rFonts w:ascii="Calibri" w:eastAsiaTheme="minorHAnsi" w:hAnsi="Calibri" w:cs="Calibri"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8" w15:restartNumberingAfterBreak="0">
    <w:nsid w:val="752978A2"/>
    <w:multiLevelType w:val="multilevel"/>
    <w:tmpl w:val="FB2EA57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6D3417B"/>
    <w:multiLevelType w:val="hybridMultilevel"/>
    <w:tmpl w:val="7FCACB7A"/>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5"/>
  </w:num>
  <w:num w:numId="4">
    <w:abstractNumId w:val="12"/>
  </w:num>
  <w:num w:numId="5">
    <w:abstractNumId w:val="13"/>
  </w:num>
  <w:num w:numId="6">
    <w:abstractNumId w:val="6"/>
  </w:num>
  <w:num w:numId="7">
    <w:abstractNumId w:val="15"/>
  </w:num>
  <w:num w:numId="8">
    <w:abstractNumId w:val="0"/>
  </w:num>
  <w:num w:numId="9">
    <w:abstractNumId w:val="2"/>
  </w:num>
  <w:num w:numId="10">
    <w:abstractNumId w:val="9"/>
  </w:num>
  <w:num w:numId="11">
    <w:abstractNumId w:val="8"/>
  </w:num>
  <w:num w:numId="12">
    <w:abstractNumId w:val="7"/>
  </w:num>
  <w:num w:numId="13">
    <w:abstractNumId w:val="10"/>
  </w:num>
  <w:num w:numId="14">
    <w:abstractNumId w:val="19"/>
  </w:num>
  <w:num w:numId="15">
    <w:abstractNumId w:val="17"/>
  </w:num>
  <w:num w:numId="16">
    <w:abstractNumId w:val="14"/>
  </w:num>
  <w:num w:numId="17">
    <w:abstractNumId w:val="4"/>
  </w:num>
  <w:num w:numId="18">
    <w:abstractNumId w:val="3"/>
  </w:num>
  <w:num w:numId="19">
    <w:abstractNumId w:val="11"/>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D6E"/>
    <w:rsid w:val="00000903"/>
    <w:rsid w:val="00001858"/>
    <w:rsid w:val="000027F8"/>
    <w:rsid w:val="00003807"/>
    <w:rsid w:val="00005BA4"/>
    <w:rsid w:val="00007898"/>
    <w:rsid w:val="000101B1"/>
    <w:rsid w:val="00012DD6"/>
    <w:rsid w:val="00021D52"/>
    <w:rsid w:val="000227FC"/>
    <w:rsid w:val="000236F2"/>
    <w:rsid w:val="00024234"/>
    <w:rsid w:val="000243C8"/>
    <w:rsid w:val="00024CFF"/>
    <w:rsid w:val="00025822"/>
    <w:rsid w:val="000262D5"/>
    <w:rsid w:val="00030D15"/>
    <w:rsid w:val="00032C06"/>
    <w:rsid w:val="00033314"/>
    <w:rsid w:val="00033511"/>
    <w:rsid w:val="00034964"/>
    <w:rsid w:val="00036801"/>
    <w:rsid w:val="00037821"/>
    <w:rsid w:val="000406A4"/>
    <w:rsid w:val="0004150D"/>
    <w:rsid w:val="00041718"/>
    <w:rsid w:val="00041BE6"/>
    <w:rsid w:val="00044876"/>
    <w:rsid w:val="00047CFF"/>
    <w:rsid w:val="00051F97"/>
    <w:rsid w:val="00055EE8"/>
    <w:rsid w:val="000572FD"/>
    <w:rsid w:val="000579C5"/>
    <w:rsid w:val="000629F5"/>
    <w:rsid w:val="00065E6E"/>
    <w:rsid w:val="0007073B"/>
    <w:rsid w:val="00072AEA"/>
    <w:rsid w:val="00073E19"/>
    <w:rsid w:val="00074865"/>
    <w:rsid w:val="00074D5E"/>
    <w:rsid w:val="00076036"/>
    <w:rsid w:val="00077365"/>
    <w:rsid w:val="00081B94"/>
    <w:rsid w:val="000821B5"/>
    <w:rsid w:val="00082DF7"/>
    <w:rsid w:val="00084676"/>
    <w:rsid w:val="000850AA"/>
    <w:rsid w:val="000858EC"/>
    <w:rsid w:val="00085F35"/>
    <w:rsid w:val="0008683A"/>
    <w:rsid w:val="00086920"/>
    <w:rsid w:val="00087089"/>
    <w:rsid w:val="00090DE6"/>
    <w:rsid w:val="000927B0"/>
    <w:rsid w:val="00092DB4"/>
    <w:rsid w:val="00093240"/>
    <w:rsid w:val="00096AFF"/>
    <w:rsid w:val="00096DCD"/>
    <w:rsid w:val="000975D5"/>
    <w:rsid w:val="000A05FF"/>
    <w:rsid w:val="000A0F2F"/>
    <w:rsid w:val="000A241B"/>
    <w:rsid w:val="000A6D33"/>
    <w:rsid w:val="000A772A"/>
    <w:rsid w:val="000B1731"/>
    <w:rsid w:val="000B21F9"/>
    <w:rsid w:val="000B423A"/>
    <w:rsid w:val="000B4DF0"/>
    <w:rsid w:val="000B6BED"/>
    <w:rsid w:val="000B6C72"/>
    <w:rsid w:val="000B6EC3"/>
    <w:rsid w:val="000B766C"/>
    <w:rsid w:val="000C15C4"/>
    <w:rsid w:val="000C18B1"/>
    <w:rsid w:val="000C3BFD"/>
    <w:rsid w:val="000C5309"/>
    <w:rsid w:val="000C70A9"/>
    <w:rsid w:val="000C7830"/>
    <w:rsid w:val="000D03B8"/>
    <w:rsid w:val="000D38BD"/>
    <w:rsid w:val="000D3F17"/>
    <w:rsid w:val="000D4F02"/>
    <w:rsid w:val="000D5BE8"/>
    <w:rsid w:val="000D5D8F"/>
    <w:rsid w:val="000E540D"/>
    <w:rsid w:val="000E5791"/>
    <w:rsid w:val="000E59EE"/>
    <w:rsid w:val="000E7F42"/>
    <w:rsid w:val="000F16B6"/>
    <w:rsid w:val="000F502D"/>
    <w:rsid w:val="000F5BEC"/>
    <w:rsid w:val="000F70F7"/>
    <w:rsid w:val="000F7F30"/>
    <w:rsid w:val="0010016A"/>
    <w:rsid w:val="00100F84"/>
    <w:rsid w:val="001020C2"/>
    <w:rsid w:val="00105183"/>
    <w:rsid w:val="00105DCE"/>
    <w:rsid w:val="0011019B"/>
    <w:rsid w:val="00111D72"/>
    <w:rsid w:val="00111E5B"/>
    <w:rsid w:val="00112099"/>
    <w:rsid w:val="00114012"/>
    <w:rsid w:val="00114032"/>
    <w:rsid w:val="0011452B"/>
    <w:rsid w:val="001147FF"/>
    <w:rsid w:val="00115E04"/>
    <w:rsid w:val="0012001D"/>
    <w:rsid w:val="00120B40"/>
    <w:rsid w:val="00122D1C"/>
    <w:rsid w:val="00123955"/>
    <w:rsid w:val="00124340"/>
    <w:rsid w:val="0012524F"/>
    <w:rsid w:val="001262D8"/>
    <w:rsid w:val="00130FB1"/>
    <w:rsid w:val="00132022"/>
    <w:rsid w:val="00132DD6"/>
    <w:rsid w:val="001337A4"/>
    <w:rsid w:val="0013447B"/>
    <w:rsid w:val="0013492C"/>
    <w:rsid w:val="001351FF"/>
    <w:rsid w:val="00137406"/>
    <w:rsid w:val="001414CE"/>
    <w:rsid w:val="00143B7A"/>
    <w:rsid w:val="00143BF4"/>
    <w:rsid w:val="00150303"/>
    <w:rsid w:val="00150BB9"/>
    <w:rsid w:val="00153C16"/>
    <w:rsid w:val="001574DF"/>
    <w:rsid w:val="00160171"/>
    <w:rsid w:val="001604F8"/>
    <w:rsid w:val="00161520"/>
    <w:rsid w:val="001619A2"/>
    <w:rsid w:val="00161D82"/>
    <w:rsid w:val="00161F11"/>
    <w:rsid w:val="00162454"/>
    <w:rsid w:val="00163B6F"/>
    <w:rsid w:val="00165513"/>
    <w:rsid w:val="00171060"/>
    <w:rsid w:val="00173064"/>
    <w:rsid w:val="00173ED4"/>
    <w:rsid w:val="0017527D"/>
    <w:rsid w:val="0017552C"/>
    <w:rsid w:val="00181045"/>
    <w:rsid w:val="00181850"/>
    <w:rsid w:val="00181BEB"/>
    <w:rsid w:val="0018331A"/>
    <w:rsid w:val="001845F5"/>
    <w:rsid w:val="0018650A"/>
    <w:rsid w:val="00187A94"/>
    <w:rsid w:val="00187AD1"/>
    <w:rsid w:val="00191712"/>
    <w:rsid w:val="00191F24"/>
    <w:rsid w:val="00194A6B"/>
    <w:rsid w:val="00195024"/>
    <w:rsid w:val="00196859"/>
    <w:rsid w:val="001975E5"/>
    <w:rsid w:val="001A2240"/>
    <w:rsid w:val="001A3D42"/>
    <w:rsid w:val="001A64C1"/>
    <w:rsid w:val="001A668B"/>
    <w:rsid w:val="001A7C81"/>
    <w:rsid w:val="001B03B6"/>
    <w:rsid w:val="001B2FE5"/>
    <w:rsid w:val="001B4509"/>
    <w:rsid w:val="001B609F"/>
    <w:rsid w:val="001B72B5"/>
    <w:rsid w:val="001C0A00"/>
    <w:rsid w:val="001C2A26"/>
    <w:rsid w:val="001C2F42"/>
    <w:rsid w:val="001C41D2"/>
    <w:rsid w:val="001C42ED"/>
    <w:rsid w:val="001C44F0"/>
    <w:rsid w:val="001C6DAB"/>
    <w:rsid w:val="001C7D99"/>
    <w:rsid w:val="001D1079"/>
    <w:rsid w:val="001D140B"/>
    <w:rsid w:val="001D160F"/>
    <w:rsid w:val="001E277A"/>
    <w:rsid w:val="001E2789"/>
    <w:rsid w:val="001E359D"/>
    <w:rsid w:val="001E4A62"/>
    <w:rsid w:val="001E5487"/>
    <w:rsid w:val="001E68AB"/>
    <w:rsid w:val="001E6CC2"/>
    <w:rsid w:val="001F0BFB"/>
    <w:rsid w:val="001F23C8"/>
    <w:rsid w:val="001F242F"/>
    <w:rsid w:val="001F25FF"/>
    <w:rsid w:val="001F4895"/>
    <w:rsid w:val="002011A0"/>
    <w:rsid w:val="002028A5"/>
    <w:rsid w:val="00202E1A"/>
    <w:rsid w:val="00205C93"/>
    <w:rsid w:val="00211C48"/>
    <w:rsid w:val="00215602"/>
    <w:rsid w:val="002200BC"/>
    <w:rsid w:val="00225A3F"/>
    <w:rsid w:val="00225A55"/>
    <w:rsid w:val="00227298"/>
    <w:rsid w:val="00231E82"/>
    <w:rsid w:val="00232066"/>
    <w:rsid w:val="0023214A"/>
    <w:rsid w:val="00232C72"/>
    <w:rsid w:val="002330A2"/>
    <w:rsid w:val="00235484"/>
    <w:rsid w:val="00240EDE"/>
    <w:rsid w:val="00241622"/>
    <w:rsid w:val="00243227"/>
    <w:rsid w:val="00244A1B"/>
    <w:rsid w:val="00246712"/>
    <w:rsid w:val="0025223C"/>
    <w:rsid w:val="0026018A"/>
    <w:rsid w:val="00261904"/>
    <w:rsid w:val="00261AD2"/>
    <w:rsid w:val="00261C05"/>
    <w:rsid w:val="00262B70"/>
    <w:rsid w:val="00263DF5"/>
    <w:rsid w:val="0026479B"/>
    <w:rsid w:val="00264E64"/>
    <w:rsid w:val="002650DD"/>
    <w:rsid w:val="0027025E"/>
    <w:rsid w:val="002725EF"/>
    <w:rsid w:val="0027278A"/>
    <w:rsid w:val="0027349F"/>
    <w:rsid w:val="002746DB"/>
    <w:rsid w:val="00276423"/>
    <w:rsid w:val="0027727A"/>
    <w:rsid w:val="00277F11"/>
    <w:rsid w:val="00282009"/>
    <w:rsid w:val="00282982"/>
    <w:rsid w:val="00282B4B"/>
    <w:rsid w:val="00282C14"/>
    <w:rsid w:val="0028322E"/>
    <w:rsid w:val="00285DB9"/>
    <w:rsid w:val="00286421"/>
    <w:rsid w:val="00286CA3"/>
    <w:rsid w:val="0028706A"/>
    <w:rsid w:val="00291599"/>
    <w:rsid w:val="002919C8"/>
    <w:rsid w:val="0029259C"/>
    <w:rsid w:val="00296EDA"/>
    <w:rsid w:val="002A05F3"/>
    <w:rsid w:val="002A0D03"/>
    <w:rsid w:val="002B0257"/>
    <w:rsid w:val="002B1F67"/>
    <w:rsid w:val="002B38DF"/>
    <w:rsid w:val="002B3A59"/>
    <w:rsid w:val="002B5348"/>
    <w:rsid w:val="002B6066"/>
    <w:rsid w:val="002C0211"/>
    <w:rsid w:val="002C0AE6"/>
    <w:rsid w:val="002C1342"/>
    <w:rsid w:val="002C1406"/>
    <w:rsid w:val="002C1EB1"/>
    <w:rsid w:val="002C3F03"/>
    <w:rsid w:val="002C40DC"/>
    <w:rsid w:val="002C6908"/>
    <w:rsid w:val="002C6AB6"/>
    <w:rsid w:val="002C6B07"/>
    <w:rsid w:val="002C7BD6"/>
    <w:rsid w:val="002D0908"/>
    <w:rsid w:val="002D2F85"/>
    <w:rsid w:val="002D4E3F"/>
    <w:rsid w:val="002D555F"/>
    <w:rsid w:val="002D6973"/>
    <w:rsid w:val="002E1ACC"/>
    <w:rsid w:val="002E349A"/>
    <w:rsid w:val="002E4F07"/>
    <w:rsid w:val="002E5FAE"/>
    <w:rsid w:val="002E701E"/>
    <w:rsid w:val="002F1BCD"/>
    <w:rsid w:val="002F375B"/>
    <w:rsid w:val="002F6E46"/>
    <w:rsid w:val="00304EB7"/>
    <w:rsid w:val="003050F3"/>
    <w:rsid w:val="00305B42"/>
    <w:rsid w:val="00313F95"/>
    <w:rsid w:val="00314D9B"/>
    <w:rsid w:val="00316917"/>
    <w:rsid w:val="00320162"/>
    <w:rsid w:val="003218CD"/>
    <w:rsid w:val="00321EF3"/>
    <w:rsid w:val="00323862"/>
    <w:rsid w:val="00325B75"/>
    <w:rsid w:val="00325BC6"/>
    <w:rsid w:val="00326F71"/>
    <w:rsid w:val="0033137C"/>
    <w:rsid w:val="00331D2C"/>
    <w:rsid w:val="00332865"/>
    <w:rsid w:val="00333F1B"/>
    <w:rsid w:val="00336162"/>
    <w:rsid w:val="00340C07"/>
    <w:rsid w:val="00342B0E"/>
    <w:rsid w:val="00344637"/>
    <w:rsid w:val="003446F2"/>
    <w:rsid w:val="00344791"/>
    <w:rsid w:val="00344C2E"/>
    <w:rsid w:val="003459FA"/>
    <w:rsid w:val="00345AD0"/>
    <w:rsid w:val="0034637C"/>
    <w:rsid w:val="00347434"/>
    <w:rsid w:val="00347D76"/>
    <w:rsid w:val="00351FB9"/>
    <w:rsid w:val="003547D8"/>
    <w:rsid w:val="003547E3"/>
    <w:rsid w:val="00361644"/>
    <w:rsid w:val="003618C9"/>
    <w:rsid w:val="003638DE"/>
    <w:rsid w:val="0036403B"/>
    <w:rsid w:val="00364AA2"/>
    <w:rsid w:val="00364E44"/>
    <w:rsid w:val="00366BF1"/>
    <w:rsid w:val="00367CB6"/>
    <w:rsid w:val="00373CBA"/>
    <w:rsid w:val="00374C74"/>
    <w:rsid w:val="0037549B"/>
    <w:rsid w:val="00377C5A"/>
    <w:rsid w:val="003818B4"/>
    <w:rsid w:val="0038518F"/>
    <w:rsid w:val="003851EF"/>
    <w:rsid w:val="0038543E"/>
    <w:rsid w:val="00386ADE"/>
    <w:rsid w:val="00386D31"/>
    <w:rsid w:val="0039014D"/>
    <w:rsid w:val="00390216"/>
    <w:rsid w:val="0039046E"/>
    <w:rsid w:val="003907B4"/>
    <w:rsid w:val="003933C1"/>
    <w:rsid w:val="00395412"/>
    <w:rsid w:val="0039666D"/>
    <w:rsid w:val="00396AC9"/>
    <w:rsid w:val="003973E0"/>
    <w:rsid w:val="00397A8A"/>
    <w:rsid w:val="003A14CE"/>
    <w:rsid w:val="003A2F6F"/>
    <w:rsid w:val="003A3439"/>
    <w:rsid w:val="003A52FB"/>
    <w:rsid w:val="003A5350"/>
    <w:rsid w:val="003B1AB9"/>
    <w:rsid w:val="003B2332"/>
    <w:rsid w:val="003B2708"/>
    <w:rsid w:val="003B304E"/>
    <w:rsid w:val="003B3956"/>
    <w:rsid w:val="003B3DCE"/>
    <w:rsid w:val="003B681F"/>
    <w:rsid w:val="003B719D"/>
    <w:rsid w:val="003B726E"/>
    <w:rsid w:val="003C1EAF"/>
    <w:rsid w:val="003C5A83"/>
    <w:rsid w:val="003D1E91"/>
    <w:rsid w:val="003D2E30"/>
    <w:rsid w:val="003D4A62"/>
    <w:rsid w:val="003D544A"/>
    <w:rsid w:val="003D59F6"/>
    <w:rsid w:val="003D5F39"/>
    <w:rsid w:val="003D6F97"/>
    <w:rsid w:val="003E1334"/>
    <w:rsid w:val="003E18F2"/>
    <w:rsid w:val="003E194F"/>
    <w:rsid w:val="003E5CDD"/>
    <w:rsid w:val="003E6ED2"/>
    <w:rsid w:val="003E72D9"/>
    <w:rsid w:val="003F0BC5"/>
    <w:rsid w:val="003F2AEC"/>
    <w:rsid w:val="003F2EC3"/>
    <w:rsid w:val="003F3713"/>
    <w:rsid w:val="003F7B39"/>
    <w:rsid w:val="00404E26"/>
    <w:rsid w:val="00407D72"/>
    <w:rsid w:val="00412249"/>
    <w:rsid w:val="0041424D"/>
    <w:rsid w:val="00415467"/>
    <w:rsid w:val="00415731"/>
    <w:rsid w:val="0042043A"/>
    <w:rsid w:val="00420689"/>
    <w:rsid w:val="0042207E"/>
    <w:rsid w:val="00424E28"/>
    <w:rsid w:val="004257CD"/>
    <w:rsid w:val="004276ED"/>
    <w:rsid w:val="004339B1"/>
    <w:rsid w:val="00434C84"/>
    <w:rsid w:val="00434FF6"/>
    <w:rsid w:val="00436060"/>
    <w:rsid w:val="0044157B"/>
    <w:rsid w:val="0044210B"/>
    <w:rsid w:val="004421CA"/>
    <w:rsid w:val="00442A24"/>
    <w:rsid w:val="00442E35"/>
    <w:rsid w:val="004458A1"/>
    <w:rsid w:val="004505A8"/>
    <w:rsid w:val="00450B8F"/>
    <w:rsid w:val="004511C8"/>
    <w:rsid w:val="00451C53"/>
    <w:rsid w:val="00455B4B"/>
    <w:rsid w:val="0045661D"/>
    <w:rsid w:val="00457BC0"/>
    <w:rsid w:val="00460EC2"/>
    <w:rsid w:val="004635A9"/>
    <w:rsid w:val="004703EB"/>
    <w:rsid w:val="00471EDF"/>
    <w:rsid w:val="0047284B"/>
    <w:rsid w:val="00473664"/>
    <w:rsid w:val="00475E06"/>
    <w:rsid w:val="00476D73"/>
    <w:rsid w:val="00477E2F"/>
    <w:rsid w:val="0048192A"/>
    <w:rsid w:val="00482032"/>
    <w:rsid w:val="00490DDD"/>
    <w:rsid w:val="00491565"/>
    <w:rsid w:val="00491E74"/>
    <w:rsid w:val="00493244"/>
    <w:rsid w:val="00495484"/>
    <w:rsid w:val="0049568D"/>
    <w:rsid w:val="00496E81"/>
    <w:rsid w:val="004A08EC"/>
    <w:rsid w:val="004A2215"/>
    <w:rsid w:val="004A4219"/>
    <w:rsid w:val="004B05E6"/>
    <w:rsid w:val="004B084E"/>
    <w:rsid w:val="004B0F7A"/>
    <w:rsid w:val="004B13C3"/>
    <w:rsid w:val="004B1A52"/>
    <w:rsid w:val="004B33C8"/>
    <w:rsid w:val="004B599A"/>
    <w:rsid w:val="004B5A68"/>
    <w:rsid w:val="004B5F41"/>
    <w:rsid w:val="004B722C"/>
    <w:rsid w:val="004C49C0"/>
    <w:rsid w:val="004D09F0"/>
    <w:rsid w:val="004D660D"/>
    <w:rsid w:val="004D7030"/>
    <w:rsid w:val="004D730B"/>
    <w:rsid w:val="004D7AA0"/>
    <w:rsid w:val="004E0DBF"/>
    <w:rsid w:val="004E17AC"/>
    <w:rsid w:val="004E17D5"/>
    <w:rsid w:val="004E194B"/>
    <w:rsid w:val="004E1B04"/>
    <w:rsid w:val="004E1D55"/>
    <w:rsid w:val="004E2F6A"/>
    <w:rsid w:val="004E46AA"/>
    <w:rsid w:val="004E505F"/>
    <w:rsid w:val="004E7E71"/>
    <w:rsid w:val="004F0B44"/>
    <w:rsid w:val="004F1C75"/>
    <w:rsid w:val="004F5319"/>
    <w:rsid w:val="004F5C5D"/>
    <w:rsid w:val="004F5F48"/>
    <w:rsid w:val="004F6351"/>
    <w:rsid w:val="004F7AFB"/>
    <w:rsid w:val="00500D50"/>
    <w:rsid w:val="0050140B"/>
    <w:rsid w:val="005022C8"/>
    <w:rsid w:val="0050297F"/>
    <w:rsid w:val="00502F2F"/>
    <w:rsid w:val="00503C80"/>
    <w:rsid w:val="00503DA2"/>
    <w:rsid w:val="005043B4"/>
    <w:rsid w:val="00504E99"/>
    <w:rsid w:val="0050547D"/>
    <w:rsid w:val="005056D7"/>
    <w:rsid w:val="005062B2"/>
    <w:rsid w:val="00507AE8"/>
    <w:rsid w:val="005104BF"/>
    <w:rsid w:val="00510E0C"/>
    <w:rsid w:val="00511964"/>
    <w:rsid w:val="00521E7A"/>
    <w:rsid w:val="005225F2"/>
    <w:rsid w:val="005247A8"/>
    <w:rsid w:val="00524A59"/>
    <w:rsid w:val="00525927"/>
    <w:rsid w:val="005307B2"/>
    <w:rsid w:val="005307C0"/>
    <w:rsid w:val="00530ABD"/>
    <w:rsid w:val="00531C91"/>
    <w:rsid w:val="0053539C"/>
    <w:rsid w:val="00536111"/>
    <w:rsid w:val="0053665C"/>
    <w:rsid w:val="00540CDC"/>
    <w:rsid w:val="00544F74"/>
    <w:rsid w:val="00551D6D"/>
    <w:rsid w:val="00552CC9"/>
    <w:rsid w:val="005533B9"/>
    <w:rsid w:val="0055369A"/>
    <w:rsid w:val="0055431A"/>
    <w:rsid w:val="005571CF"/>
    <w:rsid w:val="005577C3"/>
    <w:rsid w:val="00560EA7"/>
    <w:rsid w:val="005654A7"/>
    <w:rsid w:val="005656FA"/>
    <w:rsid w:val="00566153"/>
    <w:rsid w:val="00566C83"/>
    <w:rsid w:val="005679DE"/>
    <w:rsid w:val="00567EB7"/>
    <w:rsid w:val="00570750"/>
    <w:rsid w:val="00571010"/>
    <w:rsid w:val="005725ED"/>
    <w:rsid w:val="005745A5"/>
    <w:rsid w:val="00574B3B"/>
    <w:rsid w:val="0057561B"/>
    <w:rsid w:val="00575A1E"/>
    <w:rsid w:val="0057661C"/>
    <w:rsid w:val="00577F69"/>
    <w:rsid w:val="005810F6"/>
    <w:rsid w:val="00582F67"/>
    <w:rsid w:val="005830E4"/>
    <w:rsid w:val="00583769"/>
    <w:rsid w:val="005854C9"/>
    <w:rsid w:val="00586FF6"/>
    <w:rsid w:val="00587EA2"/>
    <w:rsid w:val="005918C9"/>
    <w:rsid w:val="00591CAC"/>
    <w:rsid w:val="00592234"/>
    <w:rsid w:val="00596595"/>
    <w:rsid w:val="005A11A2"/>
    <w:rsid w:val="005A2C92"/>
    <w:rsid w:val="005B0248"/>
    <w:rsid w:val="005B27DC"/>
    <w:rsid w:val="005B298A"/>
    <w:rsid w:val="005B5CDF"/>
    <w:rsid w:val="005B615A"/>
    <w:rsid w:val="005B7BA2"/>
    <w:rsid w:val="005C1197"/>
    <w:rsid w:val="005C21AA"/>
    <w:rsid w:val="005C2D47"/>
    <w:rsid w:val="005C33EE"/>
    <w:rsid w:val="005C3C36"/>
    <w:rsid w:val="005C4567"/>
    <w:rsid w:val="005C68CF"/>
    <w:rsid w:val="005C6D62"/>
    <w:rsid w:val="005C7671"/>
    <w:rsid w:val="005C7813"/>
    <w:rsid w:val="005D06E5"/>
    <w:rsid w:val="005D0739"/>
    <w:rsid w:val="005D2381"/>
    <w:rsid w:val="005D27CA"/>
    <w:rsid w:val="005D2F6A"/>
    <w:rsid w:val="005D4D95"/>
    <w:rsid w:val="005D5D34"/>
    <w:rsid w:val="005D798C"/>
    <w:rsid w:val="005E0658"/>
    <w:rsid w:val="005E06EA"/>
    <w:rsid w:val="005E3A17"/>
    <w:rsid w:val="005E466A"/>
    <w:rsid w:val="005E4B75"/>
    <w:rsid w:val="005E589D"/>
    <w:rsid w:val="005E6CD5"/>
    <w:rsid w:val="005F1B3B"/>
    <w:rsid w:val="005F1F97"/>
    <w:rsid w:val="005F37BF"/>
    <w:rsid w:val="005F5A97"/>
    <w:rsid w:val="005F6873"/>
    <w:rsid w:val="006013DB"/>
    <w:rsid w:val="006021DB"/>
    <w:rsid w:val="006026D8"/>
    <w:rsid w:val="00604638"/>
    <w:rsid w:val="00604F28"/>
    <w:rsid w:val="00612393"/>
    <w:rsid w:val="00615EC1"/>
    <w:rsid w:val="0061662C"/>
    <w:rsid w:val="006166AA"/>
    <w:rsid w:val="0062198B"/>
    <w:rsid w:val="00624436"/>
    <w:rsid w:val="00624E82"/>
    <w:rsid w:val="00630369"/>
    <w:rsid w:val="006319BB"/>
    <w:rsid w:val="00632318"/>
    <w:rsid w:val="00633136"/>
    <w:rsid w:val="006333D9"/>
    <w:rsid w:val="00633EBC"/>
    <w:rsid w:val="006373DB"/>
    <w:rsid w:val="00637DC8"/>
    <w:rsid w:val="0064128F"/>
    <w:rsid w:val="00643975"/>
    <w:rsid w:val="006442B9"/>
    <w:rsid w:val="00647320"/>
    <w:rsid w:val="0065166E"/>
    <w:rsid w:val="0065402B"/>
    <w:rsid w:val="00656A0E"/>
    <w:rsid w:val="00660D96"/>
    <w:rsid w:val="0066215F"/>
    <w:rsid w:val="0066387D"/>
    <w:rsid w:val="006650F7"/>
    <w:rsid w:val="0066676C"/>
    <w:rsid w:val="00666C2D"/>
    <w:rsid w:val="006678A9"/>
    <w:rsid w:val="00667A15"/>
    <w:rsid w:val="00670973"/>
    <w:rsid w:val="0067149E"/>
    <w:rsid w:val="00674D9E"/>
    <w:rsid w:val="006755BF"/>
    <w:rsid w:val="006764AC"/>
    <w:rsid w:val="0067763D"/>
    <w:rsid w:val="00677644"/>
    <w:rsid w:val="00681D0B"/>
    <w:rsid w:val="006856E0"/>
    <w:rsid w:val="00686991"/>
    <w:rsid w:val="006871FF"/>
    <w:rsid w:val="00687279"/>
    <w:rsid w:val="00690C2E"/>
    <w:rsid w:val="00690C92"/>
    <w:rsid w:val="00692C90"/>
    <w:rsid w:val="00695858"/>
    <w:rsid w:val="00695BB9"/>
    <w:rsid w:val="006967BE"/>
    <w:rsid w:val="0069781E"/>
    <w:rsid w:val="006A01A7"/>
    <w:rsid w:val="006A134A"/>
    <w:rsid w:val="006A2A31"/>
    <w:rsid w:val="006A660B"/>
    <w:rsid w:val="006A76A9"/>
    <w:rsid w:val="006A7B03"/>
    <w:rsid w:val="006B1475"/>
    <w:rsid w:val="006B1A73"/>
    <w:rsid w:val="006B2185"/>
    <w:rsid w:val="006B29C7"/>
    <w:rsid w:val="006B2ECA"/>
    <w:rsid w:val="006B466D"/>
    <w:rsid w:val="006B5D2D"/>
    <w:rsid w:val="006C28D9"/>
    <w:rsid w:val="006C4D20"/>
    <w:rsid w:val="006C6D78"/>
    <w:rsid w:val="006C6F26"/>
    <w:rsid w:val="006C71EF"/>
    <w:rsid w:val="006C7718"/>
    <w:rsid w:val="006C7A7A"/>
    <w:rsid w:val="006D1737"/>
    <w:rsid w:val="006D5A41"/>
    <w:rsid w:val="006D7CD9"/>
    <w:rsid w:val="006D7E34"/>
    <w:rsid w:val="006E1FC4"/>
    <w:rsid w:val="006E2C05"/>
    <w:rsid w:val="006E3CC5"/>
    <w:rsid w:val="006E3E4A"/>
    <w:rsid w:val="006E5638"/>
    <w:rsid w:val="006E6D6B"/>
    <w:rsid w:val="006E7910"/>
    <w:rsid w:val="006F148A"/>
    <w:rsid w:val="006F2624"/>
    <w:rsid w:val="006F275F"/>
    <w:rsid w:val="006F3037"/>
    <w:rsid w:val="006F30F7"/>
    <w:rsid w:val="006F32B7"/>
    <w:rsid w:val="006F3CAF"/>
    <w:rsid w:val="006F4ABF"/>
    <w:rsid w:val="006F6CE3"/>
    <w:rsid w:val="006F6DAE"/>
    <w:rsid w:val="006F72BC"/>
    <w:rsid w:val="006F7F68"/>
    <w:rsid w:val="0070139C"/>
    <w:rsid w:val="007018A1"/>
    <w:rsid w:val="00702D0B"/>
    <w:rsid w:val="007031FC"/>
    <w:rsid w:val="00704F69"/>
    <w:rsid w:val="00705A4A"/>
    <w:rsid w:val="00705B19"/>
    <w:rsid w:val="0070664B"/>
    <w:rsid w:val="007067A5"/>
    <w:rsid w:val="00710906"/>
    <w:rsid w:val="00710AE4"/>
    <w:rsid w:val="007113DC"/>
    <w:rsid w:val="0071148A"/>
    <w:rsid w:val="00712DC7"/>
    <w:rsid w:val="00715A1B"/>
    <w:rsid w:val="00716326"/>
    <w:rsid w:val="00720276"/>
    <w:rsid w:val="00724286"/>
    <w:rsid w:val="00724E12"/>
    <w:rsid w:val="007250B6"/>
    <w:rsid w:val="00727A5B"/>
    <w:rsid w:val="00727C8E"/>
    <w:rsid w:val="007302A5"/>
    <w:rsid w:val="0073088B"/>
    <w:rsid w:val="0073116F"/>
    <w:rsid w:val="00731705"/>
    <w:rsid w:val="00731AE5"/>
    <w:rsid w:val="00733C75"/>
    <w:rsid w:val="00734659"/>
    <w:rsid w:val="00734867"/>
    <w:rsid w:val="00736C82"/>
    <w:rsid w:val="0074132B"/>
    <w:rsid w:val="0074205D"/>
    <w:rsid w:val="0074209B"/>
    <w:rsid w:val="00743323"/>
    <w:rsid w:val="00743894"/>
    <w:rsid w:val="00743A47"/>
    <w:rsid w:val="00744248"/>
    <w:rsid w:val="00744754"/>
    <w:rsid w:val="007465CD"/>
    <w:rsid w:val="007467F2"/>
    <w:rsid w:val="00746A6C"/>
    <w:rsid w:val="00746E74"/>
    <w:rsid w:val="00750F4A"/>
    <w:rsid w:val="00752AF9"/>
    <w:rsid w:val="0075384B"/>
    <w:rsid w:val="00753C87"/>
    <w:rsid w:val="00756957"/>
    <w:rsid w:val="00756E2D"/>
    <w:rsid w:val="007616EF"/>
    <w:rsid w:val="00766581"/>
    <w:rsid w:val="00770193"/>
    <w:rsid w:val="00771C8E"/>
    <w:rsid w:val="00772800"/>
    <w:rsid w:val="00772DAA"/>
    <w:rsid w:val="00775352"/>
    <w:rsid w:val="00775ADD"/>
    <w:rsid w:val="00777203"/>
    <w:rsid w:val="007827BD"/>
    <w:rsid w:val="00783FAD"/>
    <w:rsid w:val="00785540"/>
    <w:rsid w:val="00785E73"/>
    <w:rsid w:val="00786E84"/>
    <w:rsid w:val="007871A0"/>
    <w:rsid w:val="0079170C"/>
    <w:rsid w:val="00791910"/>
    <w:rsid w:val="007969AE"/>
    <w:rsid w:val="00796C0A"/>
    <w:rsid w:val="007A0128"/>
    <w:rsid w:val="007A04CD"/>
    <w:rsid w:val="007A191E"/>
    <w:rsid w:val="007A20E3"/>
    <w:rsid w:val="007A35DD"/>
    <w:rsid w:val="007A44E1"/>
    <w:rsid w:val="007A5FA2"/>
    <w:rsid w:val="007B29F3"/>
    <w:rsid w:val="007B4BF4"/>
    <w:rsid w:val="007B501C"/>
    <w:rsid w:val="007C243F"/>
    <w:rsid w:val="007C269B"/>
    <w:rsid w:val="007C2943"/>
    <w:rsid w:val="007C2EB7"/>
    <w:rsid w:val="007C2EF5"/>
    <w:rsid w:val="007C54E2"/>
    <w:rsid w:val="007D25B1"/>
    <w:rsid w:val="007D46A8"/>
    <w:rsid w:val="007D4D72"/>
    <w:rsid w:val="007D5709"/>
    <w:rsid w:val="007D5E86"/>
    <w:rsid w:val="007D6701"/>
    <w:rsid w:val="007D744E"/>
    <w:rsid w:val="007D7F72"/>
    <w:rsid w:val="007E1E74"/>
    <w:rsid w:val="007E28D4"/>
    <w:rsid w:val="007E3444"/>
    <w:rsid w:val="007E3709"/>
    <w:rsid w:val="007E6811"/>
    <w:rsid w:val="007E6EC2"/>
    <w:rsid w:val="007E7ECA"/>
    <w:rsid w:val="007F2BFC"/>
    <w:rsid w:val="007F43BA"/>
    <w:rsid w:val="007F6E28"/>
    <w:rsid w:val="00801451"/>
    <w:rsid w:val="00801D6E"/>
    <w:rsid w:val="00802265"/>
    <w:rsid w:val="00803A83"/>
    <w:rsid w:val="00807141"/>
    <w:rsid w:val="008076FC"/>
    <w:rsid w:val="008109E2"/>
    <w:rsid w:val="00810AAA"/>
    <w:rsid w:val="00810B58"/>
    <w:rsid w:val="00814705"/>
    <w:rsid w:val="00816DEE"/>
    <w:rsid w:val="008177B2"/>
    <w:rsid w:val="00817B5D"/>
    <w:rsid w:val="00820C1E"/>
    <w:rsid w:val="00821A3F"/>
    <w:rsid w:val="00822774"/>
    <w:rsid w:val="00823196"/>
    <w:rsid w:val="00827D49"/>
    <w:rsid w:val="00830D43"/>
    <w:rsid w:val="00831129"/>
    <w:rsid w:val="00832A50"/>
    <w:rsid w:val="00832DC6"/>
    <w:rsid w:val="00833A3E"/>
    <w:rsid w:val="00834F7A"/>
    <w:rsid w:val="00836B66"/>
    <w:rsid w:val="00837B4D"/>
    <w:rsid w:val="0084061E"/>
    <w:rsid w:val="008410A4"/>
    <w:rsid w:val="008420DC"/>
    <w:rsid w:val="00842A01"/>
    <w:rsid w:val="008442C1"/>
    <w:rsid w:val="008450B2"/>
    <w:rsid w:val="008453EC"/>
    <w:rsid w:val="00845EF1"/>
    <w:rsid w:val="008465CF"/>
    <w:rsid w:val="0084670A"/>
    <w:rsid w:val="00847B35"/>
    <w:rsid w:val="00847C25"/>
    <w:rsid w:val="00850E49"/>
    <w:rsid w:val="00852135"/>
    <w:rsid w:val="00853B2A"/>
    <w:rsid w:val="00861BC9"/>
    <w:rsid w:val="00862668"/>
    <w:rsid w:val="008637CC"/>
    <w:rsid w:val="00865BF6"/>
    <w:rsid w:val="008675B4"/>
    <w:rsid w:val="008677CA"/>
    <w:rsid w:val="00867804"/>
    <w:rsid w:val="00870886"/>
    <w:rsid w:val="0087265F"/>
    <w:rsid w:val="00873A47"/>
    <w:rsid w:val="00875E8B"/>
    <w:rsid w:val="008761B1"/>
    <w:rsid w:val="008821B5"/>
    <w:rsid w:val="0088696A"/>
    <w:rsid w:val="008869DC"/>
    <w:rsid w:val="0089022F"/>
    <w:rsid w:val="0089052C"/>
    <w:rsid w:val="00890984"/>
    <w:rsid w:val="00890A01"/>
    <w:rsid w:val="00893294"/>
    <w:rsid w:val="00895917"/>
    <w:rsid w:val="00895A3A"/>
    <w:rsid w:val="00896075"/>
    <w:rsid w:val="00897B68"/>
    <w:rsid w:val="00897D0D"/>
    <w:rsid w:val="008A313B"/>
    <w:rsid w:val="008A33DC"/>
    <w:rsid w:val="008A35AF"/>
    <w:rsid w:val="008A412E"/>
    <w:rsid w:val="008A51AB"/>
    <w:rsid w:val="008A5DA7"/>
    <w:rsid w:val="008A7B46"/>
    <w:rsid w:val="008B039D"/>
    <w:rsid w:val="008B56AF"/>
    <w:rsid w:val="008B57DD"/>
    <w:rsid w:val="008B5F1F"/>
    <w:rsid w:val="008B607B"/>
    <w:rsid w:val="008B698F"/>
    <w:rsid w:val="008B7B4E"/>
    <w:rsid w:val="008C127B"/>
    <w:rsid w:val="008C1AAB"/>
    <w:rsid w:val="008C5A72"/>
    <w:rsid w:val="008C6121"/>
    <w:rsid w:val="008C67B5"/>
    <w:rsid w:val="008C6CEE"/>
    <w:rsid w:val="008C75B7"/>
    <w:rsid w:val="008D0247"/>
    <w:rsid w:val="008D0DA9"/>
    <w:rsid w:val="008D7AA2"/>
    <w:rsid w:val="008D7E37"/>
    <w:rsid w:val="008E2E3C"/>
    <w:rsid w:val="008E4893"/>
    <w:rsid w:val="008E536E"/>
    <w:rsid w:val="008E6683"/>
    <w:rsid w:val="008E732E"/>
    <w:rsid w:val="008F0E5F"/>
    <w:rsid w:val="008F154B"/>
    <w:rsid w:val="008F5C40"/>
    <w:rsid w:val="008F60C8"/>
    <w:rsid w:val="008F645B"/>
    <w:rsid w:val="008F789B"/>
    <w:rsid w:val="008F7C48"/>
    <w:rsid w:val="00900703"/>
    <w:rsid w:val="00900E51"/>
    <w:rsid w:val="0090292B"/>
    <w:rsid w:val="009050C7"/>
    <w:rsid w:val="00910568"/>
    <w:rsid w:val="00912B76"/>
    <w:rsid w:val="0091691A"/>
    <w:rsid w:val="0091697E"/>
    <w:rsid w:val="009225E2"/>
    <w:rsid w:val="009232C4"/>
    <w:rsid w:val="00924279"/>
    <w:rsid w:val="00924377"/>
    <w:rsid w:val="00925475"/>
    <w:rsid w:val="009257C2"/>
    <w:rsid w:val="00926738"/>
    <w:rsid w:val="00927BC3"/>
    <w:rsid w:val="00930574"/>
    <w:rsid w:val="00930E09"/>
    <w:rsid w:val="00931AD4"/>
    <w:rsid w:val="009322C5"/>
    <w:rsid w:val="00932B36"/>
    <w:rsid w:val="00932C41"/>
    <w:rsid w:val="00933656"/>
    <w:rsid w:val="00934363"/>
    <w:rsid w:val="00934751"/>
    <w:rsid w:val="00934FB3"/>
    <w:rsid w:val="00935DCD"/>
    <w:rsid w:val="009423D8"/>
    <w:rsid w:val="00946036"/>
    <w:rsid w:val="00950FBA"/>
    <w:rsid w:val="009519E4"/>
    <w:rsid w:val="00955115"/>
    <w:rsid w:val="00960CE1"/>
    <w:rsid w:val="00962671"/>
    <w:rsid w:val="00962B3C"/>
    <w:rsid w:val="00965125"/>
    <w:rsid w:val="00970F05"/>
    <w:rsid w:val="0097124A"/>
    <w:rsid w:val="00973A20"/>
    <w:rsid w:val="00973CFA"/>
    <w:rsid w:val="009744B3"/>
    <w:rsid w:val="00974D18"/>
    <w:rsid w:val="00975279"/>
    <w:rsid w:val="00975AC9"/>
    <w:rsid w:val="00976513"/>
    <w:rsid w:val="00981EAD"/>
    <w:rsid w:val="00982F78"/>
    <w:rsid w:val="009842F7"/>
    <w:rsid w:val="00984B6E"/>
    <w:rsid w:val="00984D0A"/>
    <w:rsid w:val="0098766F"/>
    <w:rsid w:val="00991040"/>
    <w:rsid w:val="009936B2"/>
    <w:rsid w:val="00995A87"/>
    <w:rsid w:val="00996BB4"/>
    <w:rsid w:val="009A310F"/>
    <w:rsid w:val="009A3FE2"/>
    <w:rsid w:val="009A61A2"/>
    <w:rsid w:val="009A68AB"/>
    <w:rsid w:val="009A7496"/>
    <w:rsid w:val="009B0006"/>
    <w:rsid w:val="009B00ED"/>
    <w:rsid w:val="009B084F"/>
    <w:rsid w:val="009B2BC2"/>
    <w:rsid w:val="009B4B4E"/>
    <w:rsid w:val="009B66E3"/>
    <w:rsid w:val="009B6CC9"/>
    <w:rsid w:val="009B7A06"/>
    <w:rsid w:val="009C3180"/>
    <w:rsid w:val="009C579C"/>
    <w:rsid w:val="009D3844"/>
    <w:rsid w:val="009D4247"/>
    <w:rsid w:val="009D73BB"/>
    <w:rsid w:val="009D7D50"/>
    <w:rsid w:val="009E0D8D"/>
    <w:rsid w:val="009E4473"/>
    <w:rsid w:val="009F07CB"/>
    <w:rsid w:val="009F0D36"/>
    <w:rsid w:val="009F106A"/>
    <w:rsid w:val="009F1418"/>
    <w:rsid w:val="009F77B8"/>
    <w:rsid w:val="00A00269"/>
    <w:rsid w:val="00A02DC4"/>
    <w:rsid w:val="00A0414D"/>
    <w:rsid w:val="00A05169"/>
    <w:rsid w:val="00A079DD"/>
    <w:rsid w:val="00A11094"/>
    <w:rsid w:val="00A13446"/>
    <w:rsid w:val="00A17B76"/>
    <w:rsid w:val="00A20D34"/>
    <w:rsid w:val="00A219BB"/>
    <w:rsid w:val="00A22994"/>
    <w:rsid w:val="00A22B82"/>
    <w:rsid w:val="00A23289"/>
    <w:rsid w:val="00A279DD"/>
    <w:rsid w:val="00A31DF2"/>
    <w:rsid w:val="00A31EAE"/>
    <w:rsid w:val="00A32829"/>
    <w:rsid w:val="00A32AF1"/>
    <w:rsid w:val="00A331CA"/>
    <w:rsid w:val="00A33E96"/>
    <w:rsid w:val="00A344D4"/>
    <w:rsid w:val="00A3640F"/>
    <w:rsid w:val="00A4053C"/>
    <w:rsid w:val="00A40C00"/>
    <w:rsid w:val="00A416BC"/>
    <w:rsid w:val="00A42DB9"/>
    <w:rsid w:val="00A4315A"/>
    <w:rsid w:val="00A43872"/>
    <w:rsid w:val="00A43A7E"/>
    <w:rsid w:val="00A4422C"/>
    <w:rsid w:val="00A466B0"/>
    <w:rsid w:val="00A47420"/>
    <w:rsid w:val="00A51971"/>
    <w:rsid w:val="00A51AA3"/>
    <w:rsid w:val="00A5362C"/>
    <w:rsid w:val="00A53FF2"/>
    <w:rsid w:val="00A564F2"/>
    <w:rsid w:val="00A61289"/>
    <w:rsid w:val="00A6229D"/>
    <w:rsid w:val="00A65972"/>
    <w:rsid w:val="00A661CC"/>
    <w:rsid w:val="00A71060"/>
    <w:rsid w:val="00A7117E"/>
    <w:rsid w:val="00A71B56"/>
    <w:rsid w:val="00A7467D"/>
    <w:rsid w:val="00A74BCC"/>
    <w:rsid w:val="00A75471"/>
    <w:rsid w:val="00A76577"/>
    <w:rsid w:val="00A76F03"/>
    <w:rsid w:val="00A8357C"/>
    <w:rsid w:val="00A83B63"/>
    <w:rsid w:val="00A91978"/>
    <w:rsid w:val="00A9784A"/>
    <w:rsid w:val="00AA497F"/>
    <w:rsid w:val="00AA5077"/>
    <w:rsid w:val="00AB10E4"/>
    <w:rsid w:val="00AB15F8"/>
    <w:rsid w:val="00AB584D"/>
    <w:rsid w:val="00AB6CD0"/>
    <w:rsid w:val="00AC06E8"/>
    <w:rsid w:val="00AC0E59"/>
    <w:rsid w:val="00AC11C4"/>
    <w:rsid w:val="00AC2CFF"/>
    <w:rsid w:val="00AC3FCC"/>
    <w:rsid w:val="00AC4EDC"/>
    <w:rsid w:val="00AC54CD"/>
    <w:rsid w:val="00AC616C"/>
    <w:rsid w:val="00AC768C"/>
    <w:rsid w:val="00AC7AA4"/>
    <w:rsid w:val="00AC7DAB"/>
    <w:rsid w:val="00AD11AF"/>
    <w:rsid w:val="00AD1CBA"/>
    <w:rsid w:val="00AD265F"/>
    <w:rsid w:val="00AD2ABA"/>
    <w:rsid w:val="00AD3D9C"/>
    <w:rsid w:val="00AD4638"/>
    <w:rsid w:val="00AD53B8"/>
    <w:rsid w:val="00AD62E2"/>
    <w:rsid w:val="00AD6371"/>
    <w:rsid w:val="00AE13C5"/>
    <w:rsid w:val="00AE2688"/>
    <w:rsid w:val="00AE2CA5"/>
    <w:rsid w:val="00AE4E27"/>
    <w:rsid w:val="00AE6062"/>
    <w:rsid w:val="00AF0BC4"/>
    <w:rsid w:val="00AF14BD"/>
    <w:rsid w:val="00AF335D"/>
    <w:rsid w:val="00AF44A7"/>
    <w:rsid w:val="00AF477A"/>
    <w:rsid w:val="00AF59AE"/>
    <w:rsid w:val="00AF60A8"/>
    <w:rsid w:val="00B01039"/>
    <w:rsid w:val="00B01B90"/>
    <w:rsid w:val="00B0407B"/>
    <w:rsid w:val="00B057B0"/>
    <w:rsid w:val="00B05E68"/>
    <w:rsid w:val="00B060F8"/>
    <w:rsid w:val="00B11E82"/>
    <w:rsid w:val="00B13179"/>
    <w:rsid w:val="00B13AD8"/>
    <w:rsid w:val="00B13DAE"/>
    <w:rsid w:val="00B13FAC"/>
    <w:rsid w:val="00B1541F"/>
    <w:rsid w:val="00B1688A"/>
    <w:rsid w:val="00B171C6"/>
    <w:rsid w:val="00B17A11"/>
    <w:rsid w:val="00B22CC6"/>
    <w:rsid w:val="00B2455B"/>
    <w:rsid w:val="00B24F6A"/>
    <w:rsid w:val="00B26B5B"/>
    <w:rsid w:val="00B31F01"/>
    <w:rsid w:val="00B320DB"/>
    <w:rsid w:val="00B323B6"/>
    <w:rsid w:val="00B40C07"/>
    <w:rsid w:val="00B42677"/>
    <w:rsid w:val="00B43CF1"/>
    <w:rsid w:val="00B470F3"/>
    <w:rsid w:val="00B50475"/>
    <w:rsid w:val="00B51BDA"/>
    <w:rsid w:val="00B52FCA"/>
    <w:rsid w:val="00B54D7E"/>
    <w:rsid w:val="00B5770C"/>
    <w:rsid w:val="00B600DD"/>
    <w:rsid w:val="00B602A9"/>
    <w:rsid w:val="00B6079B"/>
    <w:rsid w:val="00B60A7B"/>
    <w:rsid w:val="00B6113F"/>
    <w:rsid w:val="00B613CC"/>
    <w:rsid w:val="00B63B95"/>
    <w:rsid w:val="00B641FC"/>
    <w:rsid w:val="00B65093"/>
    <w:rsid w:val="00B65D48"/>
    <w:rsid w:val="00B6629D"/>
    <w:rsid w:val="00B712B2"/>
    <w:rsid w:val="00B7314A"/>
    <w:rsid w:val="00B74FA2"/>
    <w:rsid w:val="00B7581D"/>
    <w:rsid w:val="00B75FF8"/>
    <w:rsid w:val="00B7671B"/>
    <w:rsid w:val="00B76743"/>
    <w:rsid w:val="00B77BCE"/>
    <w:rsid w:val="00B77D90"/>
    <w:rsid w:val="00B818CE"/>
    <w:rsid w:val="00B850F9"/>
    <w:rsid w:val="00B879D9"/>
    <w:rsid w:val="00B9067E"/>
    <w:rsid w:val="00B914B0"/>
    <w:rsid w:val="00B95A33"/>
    <w:rsid w:val="00BA1C02"/>
    <w:rsid w:val="00BA2D18"/>
    <w:rsid w:val="00BA399F"/>
    <w:rsid w:val="00BA3FFE"/>
    <w:rsid w:val="00BA45B5"/>
    <w:rsid w:val="00BA4F24"/>
    <w:rsid w:val="00BA4FD4"/>
    <w:rsid w:val="00BA6D0F"/>
    <w:rsid w:val="00BB0B1A"/>
    <w:rsid w:val="00BB139D"/>
    <w:rsid w:val="00BB1683"/>
    <w:rsid w:val="00BB28CF"/>
    <w:rsid w:val="00BB4FEE"/>
    <w:rsid w:val="00BB76CF"/>
    <w:rsid w:val="00BC0F1F"/>
    <w:rsid w:val="00BC141F"/>
    <w:rsid w:val="00BC245C"/>
    <w:rsid w:val="00BC2C51"/>
    <w:rsid w:val="00BC49F2"/>
    <w:rsid w:val="00BC55C1"/>
    <w:rsid w:val="00BC5EA4"/>
    <w:rsid w:val="00BC61BA"/>
    <w:rsid w:val="00BC6CCC"/>
    <w:rsid w:val="00BD1EA5"/>
    <w:rsid w:val="00BD2BDC"/>
    <w:rsid w:val="00BD3FF6"/>
    <w:rsid w:val="00BD4657"/>
    <w:rsid w:val="00BD5668"/>
    <w:rsid w:val="00BD6CA6"/>
    <w:rsid w:val="00BE1F43"/>
    <w:rsid w:val="00BE3874"/>
    <w:rsid w:val="00BE4824"/>
    <w:rsid w:val="00BE6198"/>
    <w:rsid w:val="00BE6AA7"/>
    <w:rsid w:val="00BE705E"/>
    <w:rsid w:val="00BE7107"/>
    <w:rsid w:val="00BE7F71"/>
    <w:rsid w:val="00BF01BE"/>
    <w:rsid w:val="00BF053D"/>
    <w:rsid w:val="00BF199C"/>
    <w:rsid w:val="00BF3FFF"/>
    <w:rsid w:val="00BF762E"/>
    <w:rsid w:val="00BF7CD9"/>
    <w:rsid w:val="00C0090F"/>
    <w:rsid w:val="00C01222"/>
    <w:rsid w:val="00C0157E"/>
    <w:rsid w:val="00C01F39"/>
    <w:rsid w:val="00C0466A"/>
    <w:rsid w:val="00C13A8C"/>
    <w:rsid w:val="00C1505D"/>
    <w:rsid w:val="00C15CBF"/>
    <w:rsid w:val="00C16CFB"/>
    <w:rsid w:val="00C21671"/>
    <w:rsid w:val="00C2270B"/>
    <w:rsid w:val="00C22A48"/>
    <w:rsid w:val="00C2420F"/>
    <w:rsid w:val="00C2477A"/>
    <w:rsid w:val="00C25E5B"/>
    <w:rsid w:val="00C267EF"/>
    <w:rsid w:val="00C2799F"/>
    <w:rsid w:val="00C27A09"/>
    <w:rsid w:val="00C34A8A"/>
    <w:rsid w:val="00C34C7F"/>
    <w:rsid w:val="00C36125"/>
    <w:rsid w:val="00C366C2"/>
    <w:rsid w:val="00C374C3"/>
    <w:rsid w:val="00C37856"/>
    <w:rsid w:val="00C37CA1"/>
    <w:rsid w:val="00C40CBA"/>
    <w:rsid w:val="00C41E42"/>
    <w:rsid w:val="00C433A6"/>
    <w:rsid w:val="00C467C4"/>
    <w:rsid w:val="00C47AA7"/>
    <w:rsid w:val="00C47B18"/>
    <w:rsid w:val="00C51086"/>
    <w:rsid w:val="00C517A9"/>
    <w:rsid w:val="00C54C57"/>
    <w:rsid w:val="00C60767"/>
    <w:rsid w:val="00C60A7E"/>
    <w:rsid w:val="00C65D85"/>
    <w:rsid w:val="00C660E7"/>
    <w:rsid w:val="00C67460"/>
    <w:rsid w:val="00C70BBA"/>
    <w:rsid w:val="00C71B29"/>
    <w:rsid w:val="00C73497"/>
    <w:rsid w:val="00C80196"/>
    <w:rsid w:val="00C80C8C"/>
    <w:rsid w:val="00C81C2F"/>
    <w:rsid w:val="00C8323A"/>
    <w:rsid w:val="00C86349"/>
    <w:rsid w:val="00C90625"/>
    <w:rsid w:val="00C90DFB"/>
    <w:rsid w:val="00C9261E"/>
    <w:rsid w:val="00C9523F"/>
    <w:rsid w:val="00C9551D"/>
    <w:rsid w:val="00C96E4C"/>
    <w:rsid w:val="00C97379"/>
    <w:rsid w:val="00CA069D"/>
    <w:rsid w:val="00CB0FDD"/>
    <w:rsid w:val="00CB238C"/>
    <w:rsid w:val="00CB6444"/>
    <w:rsid w:val="00CB79D7"/>
    <w:rsid w:val="00CC0D81"/>
    <w:rsid w:val="00CC3773"/>
    <w:rsid w:val="00CC3B14"/>
    <w:rsid w:val="00CC5E6D"/>
    <w:rsid w:val="00CC6D84"/>
    <w:rsid w:val="00CD02E9"/>
    <w:rsid w:val="00CD2271"/>
    <w:rsid w:val="00CD23F9"/>
    <w:rsid w:val="00CD3E3A"/>
    <w:rsid w:val="00CD4662"/>
    <w:rsid w:val="00CD7508"/>
    <w:rsid w:val="00CD77DE"/>
    <w:rsid w:val="00CE0DA7"/>
    <w:rsid w:val="00CE352F"/>
    <w:rsid w:val="00CE3EFC"/>
    <w:rsid w:val="00CE4B5B"/>
    <w:rsid w:val="00CE55F1"/>
    <w:rsid w:val="00CE6D46"/>
    <w:rsid w:val="00CE72F2"/>
    <w:rsid w:val="00CF14C5"/>
    <w:rsid w:val="00CF2141"/>
    <w:rsid w:val="00CF2AA3"/>
    <w:rsid w:val="00CF3B98"/>
    <w:rsid w:val="00CF4F12"/>
    <w:rsid w:val="00CF5253"/>
    <w:rsid w:val="00D047D9"/>
    <w:rsid w:val="00D06057"/>
    <w:rsid w:val="00D104F0"/>
    <w:rsid w:val="00D10BF1"/>
    <w:rsid w:val="00D1164E"/>
    <w:rsid w:val="00D1165C"/>
    <w:rsid w:val="00D121E7"/>
    <w:rsid w:val="00D1324B"/>
    <w:rsid w:val="00D1350D"/>
    <w:rsid w:val="00D13BF4"/>
    <w:rsid w:val="00D14F78"/>
    <w:rsid w:val="00D15003"/>
    <w:rsid w:val="00D16926"/>
    <w:rsid w:val="00D20FD2"/>
    <w:rsid w:val="00D22B9A"/>
    <w:rsid w:val="00D256D3"/>
    <w:rsid w:val="00D269D3"/>
    <w:rsid w:val="00D27D64"/>
    <w:rsid w:val="00D309F8"/>
    <w:rsid w:val="00D31D92"/>
    <w:rsid w:val="00D3567B"/>
    <w:rsid w:val="00D35EB8"/>
    <w:rsid w:val="00D42E3A"/>
    <w:rsid w:val="00D4499A"/>
    <w:rsid w:val="00D45026"/>
    <w:rsid w:val="00D45445"/>
    <w:rsid w:val="00D45FB9"/>
    <w:rsid w:val="00D46B75"/>
    <w:rsid w:val="00D47C2A"/>
    <w:rsid w:val="00D47D7E"/>
    <w:rsid w:val="00D5388D"/>
    <w:rsid w:val="00D53E54"/>
    <w:rsid w:val="00D54C04"/>
    <w:rsid w:val="00D5582B"/>
    <w:rsid w:val="00D5591B"/>
    <w:rsid w:val="00D57192"/>
    <w:rsid w:val="00D6237A"/>
    <w:rsid w:val="00D66380"/>
    <w:rsid w:val="00D67711"/>
    <w:rsid w:val="00D71E3B"/>
    <w:rsid w:val="00D73392"/>
    <w:rsid w:val="00D738EB"/>
    <w:rsid w:val="00D77746"/>
    <w:rsid w:val="00D8001A"/>
    <w:rsid w:val="00D82B05"/>
    <w:rsid w:val="00D8344E"/>
    <w:rsid w:val="00D84055"/>
    <w:rsid w:val="00D86382"/>
    <w:rsid w:val="00D868C2"/>
    <w:rsid w:val="00D86A7C"/>
    <w:rsid w:val="00D86E97"/>
    <w:rsid w:val="00D90C22"/>
    <w:rsid w:val="00D90E81"/>
    <w:rsid w:val="00D91018"/>
    <w:rsid w:val="00D92A73"/>
    <w:rsid w:val="00D92D3A"/>
    <w:rsid w:val="00D933EC"/>
    <w:rsid w:val="00D934DA"/>
    <w:rsid w:val="00D94109"/>
    <w:rsid w:val="00D9763C"/>
    <w:rsid w:val="00DA35A4"/>
    <w:rsid w:val="00DA379E"/>
    <w:rsid w:val="00DA3B07"/>
    <w:rsid w:val="00DA6AE5"/>
    <w:rsid w:val="00DB14FD"/>
    <w:rsid w:val="00DB2F06"/>
    <w:rsid w:val="00DB33DA"/>
    <w:rsid w:val="00DB6476"/>
    <w:rsid w:val="00DB7134"/>
    <w:rsid w:val="00DC033D"/>
    <w:rsid w:val="00DC0990"/>
    <w:rsid w:val="00DC11B9"/>
    <w:rsid w:val="00DC14F4"/>
    <w:rsid w:val="00DC16D7"/>
    <w:rsid w:val="00DC19EB"/>
    <w:rsid w:val="00DC1D8B"/>
    <w:rsid w:val="00DC421F"/>
    <w:rsid w:val="00DC5FAD"/>
    <w:rsid w:val="00DC6947"/>
    <w:rsid w:val="00DC6F03"/>
    <w:rsid w:val="00DD085F"/>
    <w:rsid w:val="00DD0CC2"/>
    <w:rsid w:val="00DD0FB1"/>
    <w:rsid w:val="00DD330C"/>
    <w:rsid w:val="00DD50A0"/>
    <w:rsid w:val="00DD7352"/>
    <w:rsid w:val="00DE05CA"/>
    <w:rsid w:val="00DE1DD5"/>
    <w:rsid w:val="00DE2C20"/>
    <w:rsid w:val="00DE5244"/>
    <w:rsid w:val="00DE5B30"/>
    <w:rsid w:val="00DE68B2"/>
    <w:rsid w:val="00DE6A7B"/>
    <w:rsid w:val="00DE7A8A"/>
    <w:rsid w:val="00DE7EE6"/>
    <w:rsid w:val="00DF1CB2"/>
    <w:rsid w:val="00DF213B"/>
    <w:rsid w:val="00DF23AE"/>
    <w:rsid w:val="00DF2F80"/>
    <w:rsid w:val="00DF317D"/>
    <w:rsid w:val="00DF68C7"/>
    <w:rsid w:val="00DF68F1"/>
    <w:rsid w:val="00DF694F"/>
    <w:rsid w:val="00E04E1C"/>
    <w:rsid w:val="00E07D49"/>
    <w:rsid w:val="00E07E54"/>
    <w:rsid w:val="00E11948"/>
    <w:rsid w:val="00E11C79"/>
    <w:rsid w:val="00E12559"/>
    <w:rsid w:val="00E14F6A"/>
    <w:rsid w:val="00E1602C"/>
    <w:rsid w:val="00E209A2"/>
    <w:rsid w:val="00E20A9F"/>
    <w:rsid w:val="00E2184A"/>
    <w:rsid w:val="00E21CDA"/>
    <w:rsid w:val="00E26F28"/>
    <w:rsid w:val="00E304E0"/>
    <w:rsid w:val="00E30E0F"/>
    <w:rsid w:val="00E3146C"/>
    <w:rsid w:val="00E32834"/>
    <w:rsid w:val="00E334DB"/>
    <w:rsid w:val="00E34586"/>
    <w:rsid w:val="00E346F0"/>
    <w:rsid w:val="00E3478A"/>
    <w:rsid w:val="00E36E47"/>
    <w:rsid w:val="00E40ED1"/>
    <w:rsid w:val="00E41D18"/>
    <w:rsid w:val="00E4264D"/>
    <w:rsid w:val="00E4299A"/>
    <w:rsid w:val="00E47C65"/>
    <w:rsid w:val="00E5159B"/>
    <w:rsid w:val="00E51B20"/>
    <w:rsid w:val="00E53D14"/>
    <w:rsid w:val="00E54571"/>
    <w:rsid w:val="00E54A44"/>
    <w:rsid w:val="00E54F34"/>
    <w:rsid w:val="00E60656"/>
    <w:rsid w:val="00E641A7"/>
    <w:rsid w:val="00E64C0D"/>
    <w:rsid w:val="00E67533"/>
    <w:rsid w:val="00E70A1E"/>
    <w:rsid w:val="00E72A52"/>
    <w:rsid w:val="00E80311"/>
    <w:rsid w:val="00E804F9"/>
    <w:rsid w:val="00E80C73"/>
    <w:rsid w:val="00E81593"/>
    <w:rsid w:val="00E823FD"/>
    <w:rsid w:val="00E86358"/>
    <w:rsid w:val="00E86CB3"/>
    <w:rsid w:val="00E87BF3"/>
    <w:rsid w:val="00E87E49"/>
    <w:rsid w:val="00E9246F"/>
    <w:rsid w:val="00E92C5B"/>
    <w:rsid w:val="00E92CF9"/>
    <w:rsid w:val="00E9659E"/>
    <w:rsid w:val="00E96C88"/>
    <w:rsid w:val="00E96E4B"/>
    <w:rsid w:val="00E979C2"/>
    <w:rsid w:val="00EA1527"/>
    <w:rsid w:val="00EA176A"/>
    <w:rsid w:val="00EA2D01"/>
    <w:rsid w:val="00EA4C3A"/>
    <w:rsid w:val="00EA5E99"/>
    <w:rsid w:val="00EA7612"/>
    <w:rsid w:val="00EB0418"/>
    <w:rsid w:val="00EB2E31"/>
    <w:rsid w:val="00EB316B"/>
    <w:rsid w:val="00EB33BD"/>
    <w:rsid w:val="00EB5391"/>
    <w:rsid w:val="00EC0C46"/>
    <w:rsid w:val="00EC1778"/>
    <w:rsid w:val="00EC1959"/>
    <w:rsid w:val="00EC2F9C"/>
    <w:rsid w:val="00EC7428"/>
    <w:rsid w:val="00ED0B76"/>
    <w:rsid w:val="00ED5416"/>
    <w:rsid w:val="00ED7FF7"/>
    <w:rsid w:val="00EE0387"/>
    <w:rsid w:val="00EE1CC7"/>
    <w:rsid w:val="00EE2C04"/>
    <w:rsid w:val="00EE4F4D"/>
    <w:rsid w:val="00EE52E6"/>
    <w:rsid w:val="00EE5342"/>
    <w:rsid w:val="00EE666A"/>
    <w:rsid w:val="00EF23D0"/>
    <w:rsid w:val="00EF7CDF"/>
    <w:rsid w:val="00F00663"/>
    <w:rsid w:val="00F00CD2"/>
    <w:rsid w:val="00F0530F"/>
    <w:rsid w:val="00F053A8"/>
    <w:rsid w:val="00F07744"/>
    <w:rsid w:val="00F11260"/>
    <w:rsid w:val="00F123AA"/>
    <w:rsid w:val="00F1240D"/>
    <w:rsid w:val="00F130AF"/>
    <w:rsid w:val="00F133A2"/>
    <w:rsid w:val="00F13E72"/>
    <w:rsid w:val="00F152C6"/>
    <w:rsid w:val="00F20201"/>
    <w:rsid w:val="00F20812"/>
    <w:rsid w:val="00F20B77"/>
    <w:rsid w:val="00F20B8F"/>
    <w:rsid w:val="00F210A4"/>
    <w:rsid w:val="00F2351B"/>
    <w:rsid w:val="00F23A1D"/>
    <w:rsid w:val="00F23F7B"/>
    <w:rsid w:val="00F2518A"/>
    <w:rsid w:val="00F256B5"/>
    <w:rsid w:val="00F274FB"/>
    <w:rsid w:val="00F27D00"/>
    <w:rsid w:val="00F3029A"/>
    <w:rsid w:val="00F30D6E"/>
    <w:rsid w:val="00F3389C"/>
    <w:rsid w:val="00F3765A"/>
    <w:rsid w:val="00F41D0B"/>
    <w:rsid w:val="00F428E1"/>
    <w:rsid w:val="00F42D17"/>
    <w:rsid w:val="00F42D99"/>
    <w:rsid w:val="00F4337C"/>
    <w:rsid w:val="00F44EB4"/>
    <w:rsid w:val="00F477BA"/>
    <w:rsid w:val="00F47F1C"/>
    <w:rsid w:val="00F50A71"/>
    <w:rsid w:val="00F51405"/>
    <w:rsid w:val="00F53173"/>
    <w:rsid w:val="00F53B63"/>
    <w:rsid w:val="00F5493A"/>
    <w:rsid w:val="00F54A0F"/>
    <w:rsid w:val="00F626B5"/>
    <w:rsid w:val="00F636B7"/>
    <w:rsid w:val="00F638D8"/>
    <w:rsid w:val="00F63928"/>
    <w:rsid w:val="00F72B51"/>
    <w:rsid w:val="00F72D15"/>
    <w:rsid w:val="00F74912"/>
    <w:rsid w:val="00F75276"/>
    <w:rsid w:val="00F76D18"/>
    <w:rsid w:val="00F8049C"/>
    <w:rsid w:val="00F83D97"/>
    <w:rsid w:val="00F84BEE"/>
    <w:rsid w:val="00F84EE6"/>
    <w:rsid w:val="00F84FC3"/>
    <w:rsid w:val="00F90481"/>
    <w:rsid w:val="00F933F9"/>
    <w:rsid w:val="00F93EE4"/>
    <w:rsid w:val="00F9591C"/>
    <w:rsid w:val="00F96C7B"/>
    <w:rsid w:val="00FA0151"/>
    <w:rsid w:val="00FA2F22"/>
    <w:rsid w:val="00FA2FAC"/>
    <w:rsid w:val="00FA4863"/>
    <w:rsid w:val="00FA55C8"/>
    <w:rsid w:val="00FA5D86"/>
    <w:rsid w:val="00FA6E17"/>
    <w:rsid w:val="00FB5537"/>
    <w:rsid w:val="00FB5D72"/>
    <w:rsid w:val="00FB5F15"/>
    <w:rsid w:val="00FB6AE5"/>
    <w:rsid w:val="00FC09AB"/>
    <w:rsid w:val="00FC14F1"/>
    <w:rsid w:val="00FC16CA"/>
    <w:rsid w:val="00FC1B31"/>
    <w:rsid w:val="00FC35CA"/>
    <w:rsid w:val="00FC6504"/>
    <w:rsid w:val="00FC6887"/>
    <w:rsid w:val="00FC754C"/>
    <w:rsid w:val="00FC7E74"/>
    <w:rsid w:val="00FD51EE"/>
    <w:rsid w:val="00FD5F94"/>
    <w:rsid w:val="00FE12F9"/>
    <w:rsid w:val="00FE2385"/>
    <w:rsid w:val="00FE3C37"/>
    <w:rsid w:val="00FE4196"/>
    <w:rsid w:val="00FE57BF"/>
    <w:rsid w:val="00FE5B0C"/>
    <w:rsid w:val="00FE6AD7"/>
    <w:rsid w:val="00FF047A"/>
    <w:rsid w:val="00FF5DA8"/>
    <w:rsid w:val="00FF617B"/>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0A83F5"/>
  <w15:docId w15:val="{19A688AE-0291-4A1E-8FE3-5034DD4B2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S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22D1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C37856"/>
    <w:pPr>
      <w:spacing w:before="100" w:beforeAutospacing="1" w:after="100" w:afterAutospacing="1" w:line="240" w:lineRule="auto"/>
      <w:outlineLvl w:val="1"/>
    </w:pPr>
    <w:rPr>
      <w:rFonts w:ascii="Times New Roman" w:eastAsia="Times New Roman" w:hAnsi="Times New Roman" w:cs="Times New Roman"/>
      <w:b/>
      <w:bCs/>
      <w:sz w:val="36"/>
      <w:szCs w:val="36"/>
      <w:lang w:eastAsia="en-SG"/>
    </w:rPr>
  </w:style>
  <w:style w:type="paragraph" w:styleId="Heading3">
    <w:name w:val="heading 3"/>
    <w:basedOn w:val="Normal"/>
    <w:link w:val="Heading3Char"/>
    <w:uiPriority w:val="9"/>
    <w:qFormat/>
    <w:rsid w:val="00C37856"/>
    <w:pPr>
      <w:spacing w:before="100" w:beforeAutospacing="1" w:after="100" w:afterAutospacing="1" w:line="240" w:lineRule="auto"/>
      <w:outlineLvl w:val="2"/>
    </w:pPr>
    <w:rPr>
      <w:rFonts w:ascii="Times New Roman" w:eastAsia="Times New Roman" w:hAnsi="Times New Roman" w:cs="Times New Roman"/>
      <w:b/>
      <w:bCs/>
      <w:sz w:val="27"/>
      <w:szCs w:val="27"/>
      <w:lang w:eastAsia="en-SG"/>
    </w:rPr>
  </w:style>
  <w:style w:type="paragraph" w:styleId="Heading4">
    <w:name w:val="heading 4"/>
    <w:basedOn w:val="Normal"/>
    <w:link w:val="Heading4Char"/>
    <w:uiPriority w:val="9"/>
    <w:qFormat/>
    <w:rsid w:val="00C37856"/>
    <w:pPr>
      <w:spacing w:before="100" w:beforeAutospacing="1" w:after="100" w:afterAutospacing="1" w:line="240" w:lineRule="auto"/>
      <w:outlineLvl w:val="3"/>
    </w:pPr>
    <w:rPr>
      <w:rFonts w:ascii="Times New Roman" w:eastAsia="Times New Roman" w:hAnsi="Times New Roman" w:cs="Times New Roman"/>
      <w:b/>
      <w:bCs/>
      <w:sz w:val="24"/>
      <w:szCs w:val="24"/>
      <w:lang w:eastAsia="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37856"/>
    <w:rPr>
      <w:rFonts w:ascii="Times New Roman" w:eastAsia="Times New Roman" w:hAnsi="Times New Roman" w:cs="Times New Roman"/>
      <w:b/>
      <w:bCs/>
      <w:sz w:val="36"/>
      <w:szCs w:val="36"/>
      <w:lang w:eastAsia="en-SG"/>
    </w:rPr>
  </w:style>
  <w:style w:type="character" w:customStyle="1" w:styleId="Heading3Char">
    <w:name w:val="Heading 3 Char"/>
    <w:basedOn w:val="DefaultParagraphFont"/>
    <w:link w:val="Heading3"/>
    <w:uiPriority w:val="9"/>
    <w:rsid w:val="00C37856"/>
    <w:rPr>
      <w:rFonts w:ascii="Times New Roman" w:eastAsia="Times New Roman" w:hAnsi="Times New Roman" w:cs="Times New Roman"/>
      <w:b/>
      <w:bCs/>
      <w:sz w:val="27"/>
      <w:szCs w:val="27"/>
      <w:lang w:eastAsia="en-SG"/>
    </w:rPr>
  </w:style>
  <w:style w:type="character" w:customStyle="1" w:styleId="Heading4Char">
    <w:name w:val="Heading 4 Char"/>
    <w:basedOn w:val="DefaultParagraphFont"/>
    <w:link w:val="Heading4"/>
    <w:uiPriority w:val="9"/>
    <w:rsid w:val="00C37856"/>
    <w:rPr>
      <w:rFonts w:ascii="Times New Roman" w:eastAsia="Times New Roman" w:hAnsi="Times New Roman" w:cs="Times New Roman"/>
      <w:b/>
      <w:bCs/>
      <w:sz w:val="24"/>
      <w:szCs w:val="24"/>
      <w:lang w:eastAsia="en-SG"/>
    </w:rPr>
  </w:style>
  <w:style w:type="character" w:customStyle="1" w:styleId="bibref">
    <w:name w:val="bibref"/>
    <w:basedOn w:val="DefaultParagraphFont"/>
    <w:rsid w:val="00C37856"/>
  </w:style>
  <w:style w:type="character" w:styleId="Hyperlink">
    <w:name w:val="Hyperlink"/>
    <w:basedOn w:val="DefaultParagraphFont"/>
    <w:uiPriority w:val="99"/>
    <w:unhideWhenUsed/>
    <w:rsid w:val="00C37856"/>
    <w:rPr>
      <w:color w:val="0000FF"/>
      <w:u w:val="single"/>
    </w:rPr>
  </w:style>
  <w:style w:type="character" w:styleId="Emphasis">
    <w:name w:val="Emphasis"/>
    <w:basedOn w:val="DefaultParagraphFont"/>
    <w:uiPriority w:val="20"/>
    <w:qFormat/>
    <w:rsid w:val="00C37856"/>
    <w:rPr>
      <w:i/>
      <w:iCs/>
    </w:rPr>
  </w:style>
  <w:style w:type="paragraph" w:styleId="FootnoteText">
    <w:name w:val="footnote text"/>
    <w:basedOn w:val="Normal"/>
    <w:link w:val="FootnoteTextChar"/>
    <w:uiPriority w:val="99"/>
    <w:semiHidden/>
    <w:unhideWhenUsed/>
    <w:rsid w:val="00F6392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63928"/>
    <w:rPr>
      <w:sz w:val="20"/>
      <w:szCs w:val="20"/>
    </w:rPr>
  </w:style>
  <w:style w:type="character" w:styleId="FootnoteReference">
    <w:name w:val="footnote reference"/>
    <w:basedOn w:val="DefaultParagraphFont"/>
    <w:uiPriority w:val="99"/>
    <w:semiHidden/>
    <w:unhideWhenUsed/>
    <w:rsid w:val="00F63928"/>
    <w:rPr>
      <w:vertAlign w:val="superscript"/>
    </w:rPr>
  </w:style>
  <w:style w:type="table" w:customStyle="1" w:styleId="TableGrid1">
    <w:name w:val="Table Grid1"/>
    <w:basedOn w:val="TableNormal"/>
    <w:uiPriority w:val="59"/>
    <w:rsid w:val="004F635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F25FF"/>
    <w:pPr>
      <w:spacing w:before="100" w:beforeAutospacing="1" w:after="100" w:afterAutospacing="1" w:line="240" w:lineRule="auto"/>
    </w:pPr>
    <w:rPr>
      <w:rFonts w:ascii="Times New Roman" w:eastAsia="Times New Roman" w:hAnsi="Times New Roman" w:cs="Times New Roman"/>
      <w:sz w:val="24"/>
      <w:szCs w:val="24"/>
      <w:lang w:eastAsia="en-SG"/>
    </w:rPr>
  </w:style>
  <w:style w:type="character" w:customStyle="1" w:styleId="anchor-text">
    <w:name w:val="anchor-text"/>
    <w:basedOn w:val="DefaultParagraphFont"/>
    <w:rsid w:val="001F25FF"/>
  </w:style>
  <w:style w:type="character" w:customStyle="1" w:styleId="label">
    <w:name w:val="label"/>
    <w:basedOn w:val="DefaultParagraphFont"/>
    <w:rsid w:val="001F25FF"/>
  </w:style>
  <w:style w:type="paragraph" w:styleId="ListParagraph">
    <w:name w:val="List Paragraph"/>
    <w:basedOn w:val="Normal"/>
    <w:uiPriority w:val="34"/>
    <w:qFormat/>
    <w:rsid w:val="00F4337C"/>
    <w:pPr>
      <w:ind w:left="720"/>
      <w:contextualSpacing/>
    </w:pPr>
  </w:style>
  <w:style w:type="character" w:customStyle="1" w:styleId="cit-auth">
    <w:name w:val="cit-auth"/>
    <w:basedOn w:val="DefaultParagraphFont"/>
    <w:rsid w:val="006F3CAF"/>
  </w:style>
  <w:style w:type="character" w:customStyle="1" w:styleId="cit-name-surname">
    <w:name w:val="cit-name-surname"/>
    <w:basedOn w:val="DefaultParagraphFont"/>
    <w:rsid w:val="006F3CAF"/>
  </w:style>
  <w:style w:type="character" w:customStyle="1" w:styleId="cit-name-given-names">
    <w:name w:val="cit-name-given-names"/>
    <w:basedOn w:val="DefaultParagraphFont"/>
    <w:rsid w:val="006F3CAF"/>
  </w:style>
  <w:style w:type="character" w:customStyle="1" w:styleId="cit-etal">
    <w:name w:val="cit-etal"/>
    <w:basedOn w:val="DefaultParagraphFont"/>
    <w:rsid w:val="006F3CAF"/>
  </w:style>
  <w:style w:type="character" w:styleId="HTMLCite">
    <w:name w:val="HTML Cite"/>
    <w:basedOn w:val="DefaultParagraphFont"/>
    <w:uiPriority w:val="99"/>
    <w:semiHidden/>
    <w:unhideWhenUsed/>
    <w:rsid w:val="006F3CAF"/>
    <w:rPr>
      <w:i/>
      <w:iCs/>
    </w:rPr>
  </w:style>
  <w:style w:type="character" w:customStyle="1" w:styleId="cit-pub-date">
    <w:name w:val="cit-pub-date"/>
    <w:basedOn w:val="DefaultParagraphFont"/>
    <w:rsid w:val="006F3CAF"/>
  </w:style>
  <w:style w:type="character" w:customStyle="1" w:styleId="cit-article-title">
    <w:name w:val="cit-article-title"/>
    <w:basedOn w:val="DefaultParagraphFont"/>
    <w:rsid w:val="006F3CAF"/>
  </w:style>
  <w:style w:type="character" w:customStyle="1" w:styleId="cit-vol">
    <w:name w:val="cit-vol"/>
    <w:basedOn w:val="DefaultParagraphFont"/>
    <w:rsid w:val="006F3CAF"/>
  </w:style>
  <w:style w:type="character" w:customStyle="1" w:styleId="cit-fpage">
    <w:name w:val="cit-fpage"/>
    <w:basedOn w:val="DefaultParagraphFont"/>
    <w:rsid w:val="006F3CAF"/>
  </w:style>
  <w:style w:type="character" w:customStyle="1" w:styleId="cit-lpage">
    <w:name w:val="cit-lpage"/>
    <w:basedOn w:val="DefaultParagraphFont"/>
    <w:rsid w:val="006F3CAF"/>
  </w:style>
  <w:style w:type="paragraph" w:customStyle="1" w:styleId="p">
    <w:name w:val="p"/>
    <w:basedOn w:val="Normal"/>
    <w:rsid w:val="000027F8"/>
    <w:pPr>
      <w:spacing w:before="100" w:beforeAutospacing="1" w:after="100" w:afterAutospacing="1" w:line="240" w:lineRule="auto"/>
    </w:pPr>
    <w:rPr>
      <w:rFonts w:ascii="Times New Roman" w:eastAsia="Times New Roman" w:hAnsi="Times New Roman" w:cs="Times New Roman"/>
      <w:sz w:val="24"/>
      <w:szCs w:val="24"/>
      <w:lang w:eastAsia="en-SG"/>
    </w:rPr>
  </w:style>
  <w:style w:type="character" w:customStyle="1" w:styleId="Heading1Char">
    <w:name w:val="Heading 1 Char"/>
    <w:basedOn w:val="DefaultParagraphFont"/>
    <w:link w:val="Heading1"/>
    <w:uiPriority w:val="9"/>
    <w:rsid w:val="00122D1C"/>
    <w:rPr>
      <w:rFonts w:asciiTheme="majorHAnsi" w:eastAsiaTheme="majorEastAsia" w:hAnsiTheme="majorHAnsi" w:cstheme="majorBidi"/>
      <w:color w:val="2E74B5" w:themeColor="accent1" w:themeShade="BF"/>
      <w:sz w:val="32"/>
      <w:szCs w:val="32"/>
    </w:rPr>
  </w:style>
  <w:style w:type="character" w:customStyle="1" w:styleId="topic-highlight">
    <w:name w:val="topic-highlight"/>
    <w:basedOn w:val="DefaultParagraphFont"/>
    <w:rsid w:val="008177B2"/>
  </w:style>
  <w:style w:type="character" w:styleId="Strong">
    <w:name w:val="Strong"/>
    <w:basedOn w:val="DefaultParagraphFont"/>
    <w:uiPriority w:val="22"/>
    <w:qFormat/>
    <w:rsid w:val="008177B2"/>
    <w:rPr>
      <w:b/>
      <w:bCs/>
    </w:rPr>
  </w:style>
  <w:style w:type="character" w:styleId="FollowedHyperlink">
    <w:name w:val="FollowedHyperlink"/>
    <w:basedOn w:val="DefaultParagraphFont"/>
    <w:uiPriority w:val="99"/>
    <w:semiHidden/>
    <w:unhideWhenUsed/>
    <w:rsid w:val="0026018A"/>
    <w:rPr>
      <w:color w:val="954F72" w:themeColor="followedHyperlink"/>
      <w:u w:val="single"/>
    </w:rPr>
  </w:style>
  <w:style w:type="table" w:styleId="TableGrid">
    <w:name w:val="Table Grid"/>
    <w:basedOn w:val="TableNormal"/>
    <w:uiPriority w:val="39"/>
    <w:rsid w:val="003616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rst">
    <w:name w:val="first"/>
    <w:basedOn w:val="Normal"/>
    <w:rsid w:val="0026479B"/>
    <w:pPr>
      <w:spacing w:before="100" w:beforeAutospacing="1" w:after="100" w:afterAutospacing="1" w:line="240" w:lineRule="auto"/>
    </w:pPr>
    <w:rPr>
      <w:rFonts w:ascii="Times New Roman" w:eastAsia="Times New Roman" w:hAnsi="Times New Roman" w:cs="Times New Roman"/>
      <w:sz w:val="24"/>
      <w:szCs w:val="24"/>
      <w:lang w:eastAsia="en-SG"/>
    </w:rPr>
  </w:style>
  <w:style w:type="paragraph" w:styleId="BalloonText">
    <w:name w:val="Balloon Text"/>
    <w:basedOn w:val="Normal"/>
    <w:link w:val="BalloonTextChar"/>
    <w:uiPriority w:val="99"/>
    <w:semiHidden/>
    <w:unhideWhenUsed/>
    <w:rsid w:val="00E515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159B"/>
    <w:rPr>
      <w:rFonts w:ascii="Segoe UI" w:hAnsi="Segoe UI" w:cs="Segoe UI"/>
      <w:sz w:val="18"/>
      <w:szCs w:val="18"/>
    </w:rPr>
  </w:style>
  <w:style w:type="character" w:customStyle="1" w:styleId="mixed-citation">
    <w:name w:val="mixed-citation"/>
    <w:basedOn w:val="DefaultParagraphFont"/>
    <w:rsid w:val="00420689"/>
  </w:style>
  <w:style w:type="character" w:customStyle="1" w:styleId="ref-journal">
    <w:name w:val="ref-journal"/>
    <w:basedOn w:val="DefaultParagraphFont"/>
    <w:rsid w:val="00420689"/>
  </w:style>
  <w:style w:type="character" w:customStyle="1" w:styleId="ref-vol">
    <w:name w:val="ref-vol"/>
    <w:basedOn w:val="DefaultParagraphFont"/>
    <w:rsid w:val="00420689"/>
  </w:style>
  <w:style w:type="paragraph" w:styleId="Header">
    <w:name w:val="header"/>
    <w:basedOn w:val="Normal"/>
    <w:link w:val="HeaderChar"/>
    <w:uiPriority w:val="99"/>
    <w:unhideWhenUsed/>
    <w:rsid w:val="00BC0F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0F1F"/>
  </w:style>
  <w:style w:type="paragraph" w:styleId="Footer">
    <w:name w:val="footer"/>
    <w:basedOn w:val="Normal"/>
    <w:link w:val="FooterChar"/>
    <w:uiPriority w:val="99"/>
    <w:unhideWhenUsed/>
    <w:rsid w:val="00BC0F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0F1F"/>
  </w:style>
  <w:style w:type="character" w:styleId="CommentReference">
    <w:name w:val="annotation reference"/>
    <w:basedOn w:val="DefaultParagraphFont"/>
    <w:uiPriority w:val="99"/>
    <w:semiHidden/>
    <w:unhideWhenUsed/>
    <w:rsid w:val="00DF68C7"/>
    <w:rPr>
      <w:sz w:val="16"/>
      <w:szCs w:val="16"/>
    </w:rPr>
  </w:style>
  <w:style w:type="paragraph" w:styleId="CommentText">
    <w:name w:val="annotation text"/>
    <w:basedOn w:val="Normal"/>
    <w:link w:val="CommentTextChar"/>
    <w:uiPriority w:val="99"/>
    <w:semiHidden/>
    <w:unhideWhenUsed/>
    <w:rsid w:val="00DF68C7"/>
    <w:pPr>
      <w:spacing w:line="240" w:lineRule="auto"/>
    </w:pPr>
    <w:rPr>
      <w:sz w:val="20"/>
      <w:szCs w:val="20"/>
    </w:rPr>
  </w:style>
  <w:style w:type="character" w:customStyle="1" w:styleId="CommentTextChar">
    <w:name w:val="Comment Text Char"/>
    <w:basedOn w:val="DefaultParagraphFont"/>
    <w:link w:val="CommentText"/>
    <w:uiPriority w:val="99"/>
    <w:semiHidden/>
    <w:rsid w:val="00DF68C7"/>
    <w:rPr>
      <w:sz w:val="20"/>
      <w:szCs w:val="20"/>
    </w:rPr>
  </w:style>
  <w:style w:type="paragraph" w:styleId="CommentSubject">
    <w:name w:val="annotation subject"/>
    <w:basedOn w:val="CommentText"/>
    <w:next w:val="CommentText"/>
    <w:link w:val="CommentSubjectChar"/>
    <w:uiPriority w:val="99"/>
    <w:semiHidden/>
    <w:unhideWhenUsed/>
    <w:rsid w:val="00DF68C7"/>
    <w:rPr>
      <w:b/>
      <w:bCs/>
    </w:rPr>
  </w:style>
  <w:style w:type="character" w:customStyle="1" w:styleId="CommentSubjectChar">
    <w:name w:val="Comment Subject Char"/>
    <w:basedOn w:val="CommentTextChar"/>
    <w:link w:val="CommentSubject"/>
    <w:uiPriority w:val="99"/>
    <w:semiHidden/>
    <w:rsid w:val="00DF68C7"/>
    <w:rPr>
      <w:b/>
      <w:bCs/>
      <w:sz w:val="20"/>
      <w:szCs w:val="20"/>
    </w:rPr>
  </w:style>
  <w:style w:type="paragraph" w:styleId="Revision">
    <w:name w:val="Revision"/>
    <w:hidden/>
    <w:uiPriority w:val="99"/>
    <w:semiHidden/>
    <w:rsid w:val="001B03B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616844">
      <w:bodyDiv w:val="1"/>
      <w:marLeft w:val="0"/>
      <w:marRight w:val="0"/>
      <w:marTop w:val="0"/>
      <w:marBottom w:val="0"/>
      <w:divBdr>
        <w:top w:val="none" w:sz="0" w:space="0" w:color="auto"/>
        <w:left w:val="none" w:sz="0" w:space="0" w:color="auto"/>
        <w:bottom w:val="none" w:sz="0" w:space="0" w:color="auto"/>
        <w:right w:val="none" w:sz="0" w:space="0" w:color="auto"/>
      </w:divBdr>
    </w:div>
    <w:div w:id="122966408">
      <w:bodyDiv w:val="1"/>
      <w:marLeft w:val="0"/>
      <w:marRight w:val="0"/>
      <w:marTop w:val="0"/>
      <w:marBottom w:val="0"/>
      <w:divBdr>
        <w:top w:val="none" w:sz="0" w:space="0" w:color="auto"/>
        <w:left w:val="none" w:sz="0" w:space="0" w:color="auto"/>
        <w:bottom w:val="none" w:sz="0" w:space="0" w:color="auto"/>
        <w:right w:val="none" w:sz="0" w:space="0" w:color="auto"/>
      </w:divBdr>
    </w:div>
    <w:div w:id="157111130">
      <w:bodyDiv w:val="1"/>
      <w:marLeft w:val="0"/>
      <w:marRight w:val="0"/>
      <w:marTop w:val="0"/>
      <w:marBottom w:val="0"/>
      <w:divBdr>
        <w:top w:val="none" w:sz="0" w:space="0" w:color="auto"/>
        <w:left w:val="none" w:sz="0" w:space="0" w:color="auto"/>
        <w:bottom w:val="none" w:sz="0" w:space="0" w:color="auto"/>
        <w:right w:val="none" w:sz="0" w:space="0" w:color="auto"/>
      </w:divBdr>
    </w:div>
    <w:div w:id="162010610">
      <w:bodyDiv w:val="1"/>
      <w:marLeft w:val="0"/>
      <w:marRight w:val="0"/>
      <w:marTop w:val="0"/>
      <w:marBottom w:val="0"/>
      <w:divBdr>
        <w:top w:val="none" w:sz="0" w:space="0" w:color="auto"/>
        <w:left w:val="none" w:sz="0" w:space="0" w:color="auto"/>
        <w:bottom w:val="none" w:sz="0" w:space="0" w:color="auto"/>
        <w:right w:val="none" w:sz="0" w:space="0" w:color="auto"/>
      </w:divBdr>
      <w:divsChild>
        <w:div w:id="1842312920">
          <w:marLeft w:val="0"/>
          <w:marRight w:val="0"/>
          <w:marTop w:val="0"/>
          <w:marBottom w:val="0"/>
          <w:divBdr>
            <w:top w:val="none" w:sz="0" w:space="0" w:color="auto"/>
            <w:left w:val="none" w:sz="0" w:space="0" w:color="auto"/>
            <w:bottom w:val="none" w:sz="0" w:space="0" w:color="auto"/>
            <w:right w:val="none" w:sz="0" w:space="0" w:color="auto"/>
          </w:divBdr>
        </w:div>
        <w:div w:id="1842114814">
          <w:marLeft w:val="0"/>
          <w:marRight w:val="0"/>
          <w:marTop w:val="0"/>
          <w:marBottom w:val="0"/>
          <w:divBdr>
            <w:top w:val="none" w:sz="0" w:space="0" w:color="auto"/>
            <w:left w:val="none" w:sz="0" w:space="0" w:color="auto"/>
            <w:bottom w:val="none" w:sz="0" w:space="0" w:color="auto"/>
            <w:right w:val="none" w:sz="0" w:space="0" w:color="auto"/>
          </w:divBdr>
        </w:div>
        <w:div w:id="2069303894">
          <w:marLeft w:val="0"/>
          <w:marRight w:val="0"/>
          <w:marTop w:val="0"/>
          <w:marBottom w:val="0"/>
          <w:divBdr>
            <w:top w:val="none" w:sz="0" w:space="0" w:color="auto"/>
            <w:left w:val="none" w:sz="0" w:space="0" w:color="auto"/>
            <w:bottom w:val="none" w:sz="0" w:space="0" w:color="auto"/>
            <w:right w:val="none" w:sz="0" w:space="0" w:color="auto"/>
          </w:divBdr>
        </w:div>
      </w:divsChild>
    </w:div>
    <w:div w:id="194119245">
      <w:bodyDiv w:val="1"/>
      <w:marLeft w:val="0"/>
      <w:marRight w:val="0"/>
      <w:marTop w:val="0"/>
      <w:marBottom w:val="0"/>
      <w:divBdr>
        <w:top w:val="none" w:sz="0" w:space="0" w:color="auto"/>
        <w:left w:val="none" w:sz="0" w:space="0" w:color="auto"/>
        <w:bottom w:val="none" w:sz="0" w:space="0" w:color="auto"/>
        <w:right w:val="none" w:sz="0" w:space="0" w:color="auto"/>
      </w:divBdr>
    </w:div>
    <w:div w:id="312829618">
      <w:bodyDiv w:val="1"/>
      <w:marLeft w:val="0"/>
      <w:marRight w:val="0"/>
      <w:marTop w:val="0"/>
      <w:marBottom w:val="0"/>
      <w:divBdr>
        <w:top w:val="none" w:sz="0" w:space="0" w:color="auto"/>
        <w:left w:val="none" w:sz="0" w:space="0" w:color="auto"/>
        <w:bottom w:val="none" w:sz="0" w:space="0" w:color="auto"/>
        <w:right w:val="none" w:sz="0" w:space="0" w:color="auto"/>
      </w:divBdr>
    </w:div>
    <w:div w:id="558832992">
      <w:bodyDiv w:val="1"/>
      <w:marLeft w:val="0"/>
      <w:marRight w:val="0"/>
      <w:marTop w:val="0"/>
      <w:marBottom w:val="0"/>
      <w:divBdr>
        <w:top w:val="none" w:sz="0" w:space="0" w:color="auto"/>
        <w:left w:val="none" w:sz="0" w:space="0" w:color="auto"/>
        <w:bottom w:val="none" w:sz="0" w:space="0" w:color="auto"/>
        <w:right w:val="none" w:sz="0" w:space="0" w:color="auto"/>
      </w:divBdr>
    </w:div>
    <w:div w:id="567500804">
      <w:bodyDiv w:val="1"/>
      <w:marLeft w:val="0"/>
      <w:marRight w:val="0"/>
      <w:marTop w:val="0"/>
      <w:marBottom w:val="0"/>
      <w:divBdr>
        <w:top w:val="none" w:sz="0" w:space="0" w:color="auto"/>
        <w:left w:val="none" w:sz="0" w:space="0" w:color="auto"/>
        <w:bottom w:val="none" w:sz="0" w:space="0" w:color="auto"/>
        <w:right w:val="none" w:sz="0" w:space="0" w:color="auto"/>
      </w:divBdr>
      <w:divsChild>
        <w:div w:id="1354918512">
          <w:marLeft w:val="0"/>
          <w:marRight w:val="0"/>
          <w:marTop w:val="0"/>
          <w:marBottom w:val="0"/>
          <w:divBdr>
            <w:top w:val="none" w:sz="0" w:space="0" w:color="auto"/>
            <w:left w:val="none" w:sz="0" w:space="0" w:color="auto"/>
            <w:bottom w:val="none" w:sz="0" w:space="0" w:color="auto"/>
            <w:right w:val="none" w:sz="0" w:space="0" w:color="auto"/>
          </w:divBdr>
          <w:divsChild>
            <w:div w:id="240870309">
              <w:marLeft w:val="0"/>
              <w:marRight w:val="0"/>
              <w:marTop w:val="0"/>
              <w:marBottom w:val="0"/>
              <w:divBdr>
                <w:top w:val="none" w:sz="0" w:space="0" w:color="auto"/>
                <w:left w:val="none" w:sz="0" w:space="0" w:color="auto"/>
                <w:bottom w:val="none" w:sz="0" w:space="0" w:color="auto"/>
                <w:right w:val="none" w:sz="0" w:space="0" w:color="auto"/>
              </w:divBdr>
            </w:div>
            <w:div w:id="1213690566">
              <w:marLeft w:val="0"/>
              <w:marRight w:val="0"/>
              <w:marTop w:val="0"/>
              <w:marBottom w:val="0"/>
              <w:divBdr>
                <w:top w:val="none" w:sz="0" w:space="0" w:color="auto"/>
                <w:left w:val="none" w:sz="0" w:space="0" w:color="auto"/>
                <w:bottom w:val="none" w:sz="0" w:space="0" w:color="auto"/>
                <w:right w:val="none" w:sz="0" w:space="0" w:color="auto"/>
              </w:divBdr>
            </w:div>
          </w:divsChild>
        </w:div>
        <w:div w:id="198513456">
          <w:marLeft w:val="0"/>
          <w:marRight w:val="0"/>
          <w:marTop w:val="0"/>
          <w:marBottom w:val="0"/>
          <w:divBdr>
            <w:top w:val="none" w:sz="0" w:space="0" w:color="auto"/>
            <w:left w:val="none" w:sz="0" w:space="0" w:color="auto"/>
            <w:bottom w:val="none" w:sz="0" w:space="0" w:color="auto"/>
            <w:right w:val="none" w:sz="0" w:space="0" w:color="auto"/>
          </w:divBdr>
          <w:divsChild>
            <w:div w:id="2025663406">
              <w:marLeft w:val="0"/>
              <w:marRight w:val="0"/>
              <w:marTop w:val="0"/>
              <w:marBottom w:val="0"/>
              <w:divBdr>
                <w:top w:val="none" w:sz="0" w:space="0" w:color="auto"/>
                <w:left w:val="none" w:sz="0" w:space="0" w:color="auto"/>
                <w:bottom w:val="none" w:sz="0" w:space="0" w:color="auto"/>
                <w:right w:val="none" w:sz="0" w:space="0" w:color="auto"/>
              </w:divBdr>
            </w:div>
            <w:div w:id="148177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359486">
      <w:bodyDiv w:val="1"/>
      <w:marLeft w:val="0"/>
      <w:marRight w:val="0"/>
      <w:marTop w:val="0"/>
      <w:marBottom w:val="0"/>
      <w:divBdr>
        <w:top w:val="none" w:sz="0" w:space="0" w:color="auto"/>
        <w:left w:val="none" w:sz="0" w:space="0" w:color="auto"/>
        <w:bottom w:val="none" w:sz="0" w:space="0" w:color="auto"/>
        <w:right w:val="none" w:sz="0" w:space="0" w:color="auto"/>
      </w:divBdr>
    </w:div>
    <w:div w:id="928854566">
      <w:bodyDiv w:val="1"/>
      <w:marLeft w:val="0"/>
      <w:marRight w:val="0"/>
      <w:marTop w:val="0"/>
      <w:marBottom w:val="0"/>
      <w:divBdr>
        <w:top w:val="none" w:sz="0" w:space="0" w:color="auto"/>
        <w:left w:val="none" w:sz="0" w:space="0" w:color="auto"/>
        <w:bottom w:val="none" w:sz="0" w:space="0" w:color="auto"/>
        <w:right w:val="none" w:sz="0" w:space="0" w:color="auto"/>
      </w:divBdr>
    </w:div>
    <w:div w:id="952983205">
      <w:bodyDiv w:val="1"/>
      <w:marLeft w:val="0"/>
      <w:marRight w:val="0"/>
      <w:marTop w:val="0"/>
      <w:marBottom w:val="0"/>
      <w:divBdr>
        <w:top w:val="none" w:sz="0" w:space="0" w:color="auto"/>
        <w:left w:val="none" w:sz="0" w:space="0" w:color="auto"/>
        <w:bottom w:val="none" w:sz="0" w:space="0" w:color="auto"/>
        <w:right w:val="none" w:sz="0" w:space="0" w:color="auto"/>
      </w:divBdr>
    </w:div>
    <w:div w:id="1009798507">
      <w:bodyDiv w:val="1"/>
      <w:marLeft w:val="0"/>
      <w:marRight w:val="0"/>
      <w:marTop w:val="0"/>
      <w:marBottom w:val="0"/>
      <w:divBdr>
        <w:top w:val="none" w:sz="0" w:space="0" w:color="auto"/>
        <w:left w:val="none" w:sz="0" w:space="0" w:color="auto"/>
        <w:bottom w:val="none" w:sz="0" w:space="0" w:color="auto"/>
        <w:right w:val="none" w:sz="0" w:space="0" w:color="auto"/>
      </w:divBdr>
    </w:div>
    <w:div w:id="1011758432">
      <w:bodyDiv w:val="1"/>
      <w:marLeft w:val="0"/>
      <w:marRight w:val="0"/>
      <w:marTop w:val="0"/>
      <w:marBottom w:val="0"/>
      <w:divBdr>
        <w:top w:val="none" w:sz="0" w:space="0" w:color="auto"/>
        <w:left w:val="none" w:sz="0" w:space="0" w:color="auto"/>
        <w:bottom w:val="none" w:sz="0" w:space="0" w:color="auto"/>
        <w:right w:val="none" w:sz="0" w:space="0" w:color="auto"/>
      </w:divBdr>
    </w:div>
    <w:div w:id="1056975653">
      <w:bodyDiv w:val="1"/>
      <w:marLeft w:val="0"/>
      <w:marRight w:val="0"/>
      <w:marTop w:val="0"/>
      <w:marBottom w:val="0"/>
      <w:divBdr>
        <w:top w:val="none" w:sz="0" w:space="0" w:color="auto"/>
        <w:left w:val="none" w:sz="0" w:space="0" w:color="auto"/>
        <w:bottom w:val="none" w:sz="0" w:space="0" w:color="auto"/>
        <w:right w:val="none" w:sz="0" w:space="0" w:color="auto"/>
      </w:divBdr>
    </w:div>
    <w:div w:id="1065495732">
      <w:bodyDiv w:val="1"/>
      <w:marLeft w:val="0"/>
      <w:marRight w:val="0"/>
      <w:marTop w:val="0"/>
      <w:marBottom w:val="0"/>
      <w:divBdr>
        <w:top w:val="none" w:sz="0" w:space="0" w:color="auto"/>
        <w:left w:val="none" w:sz="0" w:space="0" w:color="auto"/>
        <w:bottom w:val="none" w:sz="0" w:space="0" w:color="auto"/>
        <w:right w:val="none" w:sz="0" w:space="0" w:color="auto"/>
      </w:divBdr>
    </w:div>
    <w:div w:id="1085810060">
      <w:bodyDiv w:val="1"/>
      <w:marLeft w:val="0"/>
      <w:marRight w:val="0"/>
      <w:marTop w:val="0"/>
      <w:marBottom w:val="0"/>
      <w:divBdr>
        <w:top w:val="none" w:sz="0" w:space="0" w:color="auto"/>
        <w:left w:val="none" w:sz="0" w:space="0" w:color="auto"/>
        <w:bottom w:val="none" w:sz="0" w:space="0" w:color="auto"/>
        <w:right w:val="none" w:sz="0" w:space="0" w:color="auto"/>
      </w:divBdr>
    </w:div>
    <w:div w:id="1280457394">
      <w:bodyDiv w:val="1"/>
      <w:marLeft w:val="0"/>
      <w:marRight w:val="0"/>
      <w:marTop w:val="0"/>
      <w:marBottom w:val="0"/>
      <w:divBdr>
        <w:top w:val="none" w:sz="0" w:space="0" w:color="auto"/>
        <w:left w:val="none" w:sz="0" w:space="0" w:color="auto"/>
        <w:bottom w:val="none" w:sz="0" w:space="0" w:color="auto"/>
        <w:right w:val="none" w:sz="0" w:space="0" w:color="auto"/>
      </w:divBdr>
    </w:div>
    <w:div w:id="1359431746">
      <w:bodyDiv w:val="1"/>
      <w:marLeft w:val="0"/>
      <w:marRight w:val="0"/>
      <w:marTop w:val="0"/>
      <w:marBottom w:val="0"/>
      <w:divBdr>
        <w:top w:val="none" w:sz="0" w:space="0" w:color="auto"/>
        <w:left w:val="none" w:sz="0" w:space="0" w:color="auto"/>
        <w:bottom w:val="none" w:sz="0" w:space="0" w:color="auto"/>
        <w:right w:val="none" w:sz="0" w:space="0" w:color="auto"/>
      </w:divBdr>
    </w:div>
    <w:div w:id="1406882227">
      <w:bodyDiv w:val="1"/>
      <w:marLeft w:val="0"/>
      <w:marRight w:val="0"/>
      <w:marTop w:val="0"/>
      <w:marBottom w:val="0"/>
      <w:divBdr>
        <w:top w:val="none" w:sz="0" w:space="0" w:color="auto"/>
        <w:left w:val="none" w:sz="0" w:space="0" w:color="auto"/>
        <w:bottom w:val="none" w:sz="0" w:space="0" w:color="auto"/>
        <w:right w:val="none" w:sz="0" w:space="0" w:color="auto"/>
      </w:divBdr>
      <w:divsChild>
        <w:div w:id="788284240">
          <w:marLeft w:val="0"/>
          <w:marRight w:val="0"/>
          <w:marTop w:val="0"/>
          <w:marBottom w:val="0"/>
          <w:divBdr>
            <w:top w:val="none" w:sz="0" w:space="0" w:color="auto"/>
            <w:left w:val="none" w:sz="0" w:space="0" w:color="auto"/>
            <w:bottom w:val="none" w:sz="0" w:space="0" w:color="auto"/>
            <w:right w:val="none" w:sz="0" w:space="0" w:color="auto"/>
          </w:divBdr>
        </w:div>
        <w:div w:id="1762023781">
          <w:marLeft w:val="0"/>
          <w:marRight w:val="0"/>
          <w:marTop w:val="0"/>
          <w:marBottom w:val="0"/>
          <w:divBdr>
            <w:top w:val="none" w:sz="0" w:space="0" w:color="auto"/>
            <w:left w:val="none" w:sz="0" w:space="0" w:color="auto"/>
            <w:bottom w:val="none" w:sz="0" w:space="0" w:color="auto"/>
            <w:right w:val="none" w:sz="0" w:space="0" w:color="auto"/>
          </w:divBdr>
        </w:div>
        <w:div w:id="242112262">
          <w:marLeft w:val="0"/>
          <w:marRight w:val="0"/>
          <w:marTop w:val="0"/>
          <w:marBottom w:val="0"/>
          <w:divBdr>
            <w:top w:val="none" w:sz="0" w:space="0" w:color="auto"/>
            <w:left w:val="none" w:sz="0" w:space="0" w:color="auto"/>
            <w:bottom w:val="none" w:sz="0" w:space="0" w:color="auto"/>
            <w:right w:val="none" w:sz="0" w:space="0" w:color="auto"/>
          </w:divBdr>
        </w:div>
        <w:div w:id="294481560">
          <w:marLeft w:val="0"/>
          <w:marRight w:val="0"/>
          <w:marTop w:val="0"/>
          <w:marBottom w:val="0"/>
          <w:divBdr>
            <w:top w:val="none" w:sz="0" w:space="0" w:color="auto"/>
            <w:left w:val="none" w:sz="0" w:space="0" w:color="auto"/>
            <w:bottom w:val="none" w:sz="0" w:space="0" w:color="auto"/>
            <w:right w:val="none" w:sz="0" w:space="0" w:color="auto"/>
          </w:divBdr>
        </w:div>
        <w:div w:id="1799185500">
          <w:marLeft w:val="0"/>
          <w:marRight w:val="0"/>
          <w:marTop w:val="0"/>
          <w:marBottom w:val="0"/>
          <w:divBdr>
            <w:top w:val="none" w:sz="0" w:space="0" w:color="auto"/>
            <w:left w:val="none" w:sz="0" w:space="0" w:color="auto"/>
            <w:bottom w:val="none" w:sz="0" w:space="0" w:color="auto"/>
            <w:right w:val="none" w:sz="0" w:space="0" w:color="auto"/>
          </w:divBdr>
        </w:div>
        <w:div w:id="1327901774">
          <w:marLeft w:val="0"/>
          <w:marRight w:val="0"/>
          <w:marTop w:val="0"/>
          <w:marBottom w:val="0"/>
          <w:divBdr>
            <w:top w:val="none" w:sz="0" w:space="0" w:color="auto"/>
            <w:left w:val="none" w:sz="0" w:space="0" w:color="auto"/>
            <w:bottom w:val="none" w:sz="0" w:space="0" w:color="auto"/>
            <w:right w:val="none" w:sz="0" w:space="0" w:color="auto"/>
          </w:divBdr>
          <w:divsChild>
            <w:div w:id="962805473">
              <w:marLeft w:val="0"/>
              <w:marRight w:val="0"/>
              <w:marTop w:val="0"/>
              <w:marBottom w:val="0"/>
              <w:divBdr>
                <w:top w:val="none" w:sz="0" w:space="0" w:color="auto"/>
                <w:left w:val="none" w:sz="0" w:space="0" w:color="auto"/>
                <w:bottom w:val="none" w:sz="0" w:space="0" w:color="auto"/>
                <w:right w:val="none" w:sz="0" w:space="0" w:color="auto"/>
              </w:divBdr>
            </w:div>
            <w:div w:id="1239514155">
              <w:marLeft w:val="0"/>
              <w:marRight w:val="0"/>
              <w:marTop w:val="0"/>
              <w:marBottom w:val="0"/>
              <w:divBdr>
                <w:top w:val="none" w:sz="0" w:space="0" w:color="auto"/>
                <w:left w:val="none" w:sz="0" w:space="0" w:color="auto"/>
                <w:bottom w:val="none" w:sz="0" w:space="0" w:color="auto"/>
                <w:right w:val="none" w:sz="0" w:space="0" w:color="auto"/>
              </w:divBdr>
            </w:div>
            <w:div w:id="961039637">
              <w:marLeft w:val="0"/>
              <w:marRight w:val="0"/>
              <w:marTop w:val="0"/>
              <w:marBottom w:val="0"/>
              <w:divBdr>
                <w:top w:val="none" w:sz="0" w:space="0" w:color="auto"/>
                <w:left w:val="none" w:sz="0" w:space="0" w:color="auto"/>
                <w:bottom w:val="none" w:sz="0" w:space="0" w:color="auto"/>
                <w:right w:val="none" w:sz="0" w:space="0" w:color="auto"/>
              </w:divBdr>
            </w:div>
            <w:div w:id="1106268398">
              <w:marLeft w:val="0"/>
              <w:marRight w:val="0"/>
              <w:marTop w:val="0"/>
              <w:marBottom w:val="0"/>
              <w:divBdr>
                <w:top w:val="none" w:sz="0" w:space="0" w:color="auto"/>
                <w:left w:val="none" w:sz="0" w:space="0" w:color="auto"/>
                <w:bottom w:val="none" w:sz="0" w:space="0" w:color="auto"/>
                <w:right w:val="none" w:sz="0" w:space="0" w:color="auto"/>
              </w:divBdr>
            </w:div>
            <w:div w:id="1414005860">
              <w:marLeft w:val="0"/>
              <w:marRight w:val="0"/>
              <w:marTop w:val="0"/>
              <w:marBottom w:val="0"/>
              <w:divBdr>
                <w:top w:val="none" w:sz="0" w:space="0" w:color="auto"/>
                <w:left w:val="none" w:sz="0" w:space="0" w:color="auto"/>
                <w:bottom w:val="none" w:sz="0" w:space="0" w:color="auto"/>
                <w:right w:val="none" w:sz="0" w:space="0" w:color="auto"/>
              </w:divBdr>
            </w:div>
            <w:div w:id="1986549244">
              <w:marLeft w:val="0"/>
              <w:marRight w:val="0"/>
              <w:marTop w:val="0"/>
              <w:marBottom w:val="0"/>
              <w:divBdr>
                <w:top w:val="none" w:sz="0" w:space="0" w:color="auto"/>
                <w:left w:val="none" w:sz="0" w:space="0" w:color="auto"/>
                <w:bottom w:val="none" w:sz="0" w:space="0" w:color="auto"/>
                <w:right w:val="none" w:sz="0" w:space="0" w:color="auto"/>
              </w:divBdr>
            </w:div>
          </w:divsChild>
        </w:div>
        <w:div w:id="1310675732">
          <w:marLeft w:val="0"/>
          <w:marRight w:val="0"/>
          <w:marTop w:val="0"/>
          <w:marBottom w:val="0"/>
          <w:divBdr>
            <w:top w:val="none" w:sz="0" w:space="0" w:color="auto"/>
            <w:left w:val="none" w:sz="0" w:space="0" w:color="auto"/>
            <w:bottom w:val="none" w:sz="0" w:space="0" w:color="auto"/>
            <w:right w:val="none" w:sz="0" w:space="0" w:color="auto"/>
          </w:divBdr>
        </w:div>
        <w:div w:id="943339966">
          <w:marLeft w:val="0"/>
          <w:marRight w:val="0"/>
          <w:marTop w:val="0"/>
          <w:marBottom w:val="0"/>
          <w:divBdr>
            <w:top w:val="none" w:sz="0" w:space="0" w:color="auto"/>
            <w:left w:val="none" w:sz="0" w:space="0" w:color="auto"/>
            <w:bottom w:val="none" w:sz="0" w:space="0" w:color="auto"/>
            <w:right w:val="none" w:sz="0" w:space="0" w:color="auto"/>
          </w:divBdr>
        </w:div>
      </w:divsChild>
    </w:div>
    <w:div w:id="1438283860">
      <w:bodyDiv w:val="1"/>
      <w:marLeft w:val="0"/>
      <w:marRight w:val="0"/>
      <w:marTop w:val="0"/>
      <w:marBottom w:val="0"/>
      <w:divBdr>
        <w:top w:val="none" w:sz="0" w:space="0" w:color="auto"/>
        <w:left w:val="none" w:sz="0" w:space="0" w:color="auto"/>
        <w:bottom w:val="none" w:sz="0" w:space="0" w:color="auto"/>
        <w:right w:val="none" w:sz="0" w:space="0" w:color="auto"/>
      </w:divBdr>
    </w:div>
    <w:div w:id="1475023668">
      <w:bodyDiv w:val="1"/>
      <w:marLeft w:val="0"/>
      <w:marRight w:val="0"/>
      <w:marTop w:val="0"/>
      <w:marBottom w:val="0"/>
      <w:divBdr>
        <w:top w:val="none" w:sz="0" w:space="0" w:color="auto"/>
        <w:left w:val="none" w:sz="0" w:space="0" w:color="auto"/>
        <w:bottom w:val="none" w:sz="0" w:space="0" w:color="auto"/>
        <w:right w:val="none" w:sz="0" w:space="0" w:color="auto"/>
      </w:divBdr>
      <w:divsChild>
        <w:div w:id="964307371">
          <w:marLeft w:val="0"/>
          <w:marRight w:val="0"/>
          <w:marTop w:val="0"/>
          <w:marBottom w:val="0"/>
          <w:divBdr>
            <w:top w:val="none" w:sz="0" w:space="0" w:color="auto"/>
            <w:left w:val="none" w:sz="0" w:space="0" w:color="auto"/>
            <w:bottom w:val="none" w:sz="0" w:space="0" w:color="auto"/>
            <w:right w:val="none" w:sz="0" w:space="0" w:color="auto"/>
          </w:divBdr>
          <w:divsChild>
            <w:div w:id="1672873210">
              <w:marLeft w:val="0"/>
              <w:marRight w:val="0"/>
              <w:marTop w:val="0"/>
              <w:marBottom w:val="0"/>
              <w:divBdr>
                <w:top w:val="none" w:sz="0" w:space="0" w:color="auto"/>
                <w:left w:val="none" w:sz="0" w:space="0" w:color="auto"/>
                <w:bottom w:val="none" w:sz="0" w:space="0" w:color="auto"/>
                <w:right w:val="none" w:sz="0" w:space="0" w:color="auto"/>
              </w:divBdr>
              <w:divsChild>
                <w:div w:id="2057002183">
                  <w:marLeft w:val="0"/>
                  <w:marRight w:val="0"/>
                  <w:marTop w:val="0"/>
                  <w:marBottom w:val="0"/>
                  <w:divBdr>
                    <w:top w:val="none" w:sz="0" w:space="0" w:color="auto"/>
                    <w:left w:val="none" w:sz="0" w:space="0" w:color="auto"/>
                    <w:bottom w:val="none" w:sz="0" w:space="0" w:color="auto"/>
                    <w:right w:val="none" w:sz="0" w:space="0" w:color="auto"/>
                  </w:divBdr>
                </w:div>
                <w:div w:id="1571769078">
                  <w:marLeft w:val="0"/>
                  <w:marRight w:val="0"/>
                  <w:marTop w:val="0"/>
                  <w:marBottom w:val="0"/>
                  <w:divBdr>
                    <w:top w:val="none" w:sz="0" w:space="0" w:color="auto"/>
                    <w:left w:val="none" w:sz="0" w:space="0" w:color="auto"/>
                    <w:bottom w:val="none" w:sz="0" w:space="0" w:color="auto"/>
                    <w:right w:val="none" w:sz="0" w:space="0" w:color="auto"/>
                  </w:divBdr>
                </w:div>
              </w:divsChild>
            </w:div>
            <w:div w:id="1894580365">
              <w:marLeft w:val="0"/>
              <w:marRight w:val="0"/>
              <w:marTop w:val="0"/>
              <w:marBottom w:val="0"/>
              <w:divBdr>
                <w:top w:val="single" w:sz="12" w:space="9" w:color="DCDCDC"/>
                <w:left w:val="none" w:sz="0" w:space="0" w:color="auto"/>
                <w:bottom w:val="none" w:sz="0" w:space="0" w:color="auto"/>
                <w:right w:val="none" w:sz="0" w:space="0" w:color="auto"/>
              </w:divBdr>
            </w:div>
          </w:divsChild>
        </w:div>
        <w:div w:id="512377629">
          <w:marLeft w:val="0"/>
          <w:marRight w:val="0"/>
          <w:marTop w:val="0"/>
          <w:marBottom w:val="0"/>
          <w:divBdr>
            <w:top w:val="none" w:sz="0" w:space="0" w:color="auto"/>
            <w:left w:val="none" w:sz="0" w:space="0" w:color="auto"/>
            <w:bottom w:val="none" w:sz="0" w:space="0" w:color="auto"/>
            <w:right w:val="none" w:sz="0" w:space="0" w:color="auto"/>
          </w:divBdr>
          <w:divsChild>
            <w:div w:id="634528728">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572545652">
      <w:bodyDiv w:val="1"/>
      <w:marLeft w:val="0"/>
      <w:marRight w:val="0"/>
      <w:marTop w:val="0"/>
      <w:marBottom w:val="0"/>
      <w:divBdr>
        <w:top w:val="none" w:sz="0" w:space="0" w:color="auto"/>
        <w:left w:val="none" w:sz="0" w:space="0" w:color="auto"/>
        <w:bottom w:val="none" w:sz="0" w:space="0" w:color="auto"/>
        <w:right w:val="none" w:sz="0" w:space="0" w:color="auto"/>
      </w:divBdr>
    </w:div>
    <w:div w:id="1620799792">
      <w:bodyDiv w:val="1"/>
      <w:marLeft w:val="0"/>
      <w:marRight w:val="0"/>
      <w:marTop w:val="0"/>
      <w:marBottom w:val="0"/>
      <w:divBdr>
        <w:top w:val="none" w:sz="0" w:space="0" w:color="auto"/>
        <w:left w:val="none" w:sz="0" w:space="0" w:color="auto"/>
        <w:bottom w:val="none" w:sz="0" w:space="0" w:color="auto"/>
        <w:right w:val="none" w:sz="0" w:space="0" w:color="auto"/>
      </w:divBdr>
    </w:div>
    <w:div w:id="1626157123">
      <w:bodyDiv w:val="1"/>
      <w:marLeft w:val="0"/>
      <w:marRight w:val="0"/>
      <w:marTop w:val="0"/>
      <w:marBottom w:val="0"/>
      <w:divBdr>
        <w:top w:val="none" w:sz="0" w:space="0" w:color="auto"/>
        <w:left w:val="none" w:sz="0" w:space="0" w:color="auto"/>
        <w:bottom w:val="none" w:sz="0" w:space="0" w:color="auto"/>
        <w:right w:val="none" w:sz="0" w:space="0" w:color="auto"/>
      </w:divBdr>
    </w:div>
    <w:div w:id="1651324288">
      <w:bodyDiv w:val="1"/>
      <w:marLeft w:val="0"/>
      <w:marRight w:val="0"/>
      <w:marTop w:val="0"/>
      <w:marBottom w:val="0"/>
      <w:divBdr>
        <w:top w:val="none" w:sz="0" w:space="0" w:color="auto"/>
        <w:left w:val="none" w:sz="0" w:space="0" w:color="auto"/>
        <w:bottom w:val="none" w:sz="0" w:space="0" w:color="auto"/>
        <w:right w:val="none" w:sz="0" w:space="0" w:color="auto"/>
      </w:divBdr>
    </w:div>
    <w:div w:id="1768503003">
      <w:bodyDiv w:val="1"/>
      <w:marLeft w:val="0"/>
      <w:marRight w:val="0"/>
      <w:marTop w:val="0"/>
      <w:marBottom w:val="0"/>
      <w:divBdr>
        <w:top w:val="none" w:sz="0" w:space="0" w:color="auto"/>
        <w:left w:val="none" w:sz="0" w:space="0" w:color="auto"/>
        <w:bottom w:val="none" w:sz="0" w:space="0" w:color="auto"/>
        <w:right w:val="none" w:sz="0" w:space="0" w:color="auto"/>
      </w:divBdr>
    </w:div>
    <w:div w:id="1792017868">
      <w:bodyDiv w:val="1"/>
      <w:marLeft w:val="0"/>
      <w:marRight w:val="0"/>
      <w:marTop w:val="0"/>
      <w:marBottom w:val="0"/>
      <w:divBdr>
        <w:top w:val="none" w:sz="0" w:space="0" w:color="auto"/>
        <w:left w:val="none" w:sz="0" w:space="0" w:color="auto"/>
        <w:bottom w:val="none" w:sz="0" w:space="0" w:color="auto"/>
        <w:right w:val="none" w:sz="0" w:space="0" w:color="auto"/>
      </w:divBdr>
    </w:div>
    <w:div w:id="1862477344">
      <w:bodyDiv w:val="1"/>
      <w:marLeft w:val="0"/>
      <w:marRight w:val="0"/>
      <w:marTop w:val="0"/>
      <w:marBottom w:val="0"/>
      <w:divBdr>
        <w:top w:val="none" w:sz="0" w:space="0" w:color="auto"/>
        <w:left w:val="none" w:sz="0" w:space="0" w:color="auto"/>
        <w:bottom w:val="none" w:sz="0" w:space="0" w:color="auto"/>
        <w:right w:val="none" w:sz="0" w:space="0" w:color="auto"/>
      </w:divBdr>
      <w:divsChild>
        <w:div w:id="2093768438">
          <w:marLeft w:val="0"/>
          <w:marRight w:val="0"/>
          <w:marTop w:val="0"/>
          <w:marBottom w:val="0"/>
          <w:divBdr>
            <w:top w:val="none" w:sz="0" w:space="0" w:color="auto"/>
            <w:left w:val="none" w:sz="0" w:space="0" w:color="auto"/>
            <w:bottom w:val="none" w:sz="0" w:space="0" w:color="auto"/>
            <w:right w:val="none" w:sz="0" w:space="0" w:color="auto"/>
          </w:divBdr>
        </w:div>
        <w:div w:id="551578357">
          <w:marLeft w:val="0"/>
          <w:marRight w:val="0"/>
          <w:marTop w:val="0"/>
          <w:marBottom w:val="0"/>
          <w:divBdr>
            <w:top w:val="none" w:sz="0" w:space="0" w:color="auto"/>
            <w:left w:val="none" w:sz="0" w:space="0" w:color="auto"/>
            <w:bottom w:val="none" w:sz="0" w:space="0" w:color="auto"/>
            <w:right w:val="none" w:sz="0" w:space="0" w:color="auto"/>
          </w:divBdr>
        </w:div>
        <w:div w:id="1306011586">
          <w:marLeft w:val="0"/>
          <w:marRight w:val="0"/>
          <w:marTop w:val="0"/>
          <w:marBottom w:val="0"/>
          <w:divBdr>
            <w:top w:val="none" w:sz="0" w:space="0" w:color="auto"/>
            <w:left w:val="none" w:sz="0" w:space="0" w:color="auto"/>
            <w:bottom w:val="none" w:sz="0" w:space="0" w:color="auto"/>
            <w:right w:val="none" w:sz="0" w:space="0" w:color="auto"/>
          </w:divBdr>
        </w:div>
        <w:div w:id="1195926021">
          <w:marLeft w:val="0"/>
          <w:marRight w:val="0"/>
          <w:marTop w:val="0"/>
          <w:marBottom w:val="0"/>
          <w:divBdr>
            <w:top w:val="none" w:sz="0" w:space="0" w:color="auto"/>
            <w:left w:val="none" w:sz="0" w:space="0" w:color="auto"/>
            <w:bottom w:val="none" w:sz="0" w:space="0" w:color="auto"/>
            <w:right w:val="none" w:sz="0" w:space="0" w:color="auto"/>
          </w:divBdr>
        </w:div>
        <w:div w:id="1810127257">
          <w:marLeft w:val="0"/>
          <w:marRight w:val="0"/>
          <w:marTop w:val="0"/>
          <w:marBottom w:val="0"/>
          <w:divBdr>
            <w:top w:val="none" w:sz="0" w:space="0" w:color="auto"/>
            <w:left w:val="none" w:sz="0" w:space="0" w:color="auto"/>
            <w:bottom w:val="none" w:sz="0" w:space="0" w:color="auto"/>
            <w:right w:val="none" w:sz="0" w:space="0" w:color="auto"/>
          </w:divBdr>
        </w:div>
      </w:divsChild>
    </w:div>
    <w:div w:id="2035769691">
      <w:bodyDiv w:val="1"/>
      <w:marLeft w:val="0"/>
      <w:marRight w:val="0"/>
      <w:marTop w:val="0"/>
      <w:marBottom w:val="0"/>
      <w:divBdr>
        <w:top w:val="none" w:sz="0" w:space="0" w:color="auto"/>
        <w:left w:val="none" w:sz="0" w:space="0" w:color="auto"/>
        <w:bottom w:val="none" w:sz="0" w:space="0" w:color="auto"/>
        <w:right w:val="none" w:sz="0" w:space="0" w:color="auto"/>
      </w:divBdr>
    </w:div>
    <w:div w:id="2079590019">
      <w:bodyDiv w:val="1"/>
      <w:marLeft w:val="0"/>
      <w:marRight w:val="0"/>
      <w:marTop w:val="0"/>
      <w:marBottom w:val="0"/>
      <w:divBdr>
        <w:top w:val="none" w:sz="0" w:space="0" w:color="auto"/>
        <w:left w:val="none" w:sz="0" w:space="0" w:color="auto"/>
        <w:bottom w:val="none" w:sz="0" w:space="0" w:color="auto"/>
        <w:right w:val="none" w:sz="0" w:space="0" w:color="auto"/>
      </w:divBdr>
    </w:div>
    <w:div w:id="2080253030">
      <w:bodyDiv w:val="1"/>
      <w:marLeft w:val="0"/>
      <w:marRight w:val="0"/>
      <w:marTop w:val="0"/>
      <w:marBottom w:val="0"/>
      <w:divBdr>
        <w:top w:val="none" w:sz="0" w:space="0" w:color="auto"/>
        <w:left w:val="none" w:sz="0" w:space="0" w:color="auto"/>
        <w:bottom w:val="none" w:sz="0" w:space="0" w:color="auto"/>
        <w:right w:val="none" w:sz="0" w:space="0" w:color="auto"/>
      </w:divBdr>
      <w:divsChild>
        <w:div w:id="658656815">
          <w:marLeft w:val="0"/>
          <w:marRight w:val="0"/>
          <w:marTop w:val="0"/>
          <w:marBottom w:val="0"/>
          <w:divBdr>
            <w:top w:val="none" w:sz="0" w:space="0" w:color="auto"/>
            <w:left w:val="none" w:sz="0" w:space="0" w:color="auto"/>
            <w:bottom w:val="none" w:sz="0" w:space="0" w:color="auto"/>
            <w:right w:val="none" w:sz="0" w:space="0" w:color="auto"/>
          </w:divBdr>
          <w:divsChild>
            <w:div w:id="1873035323">
              <w:marLeft w:val="360"/>
              <w:marRight w:val="360"/>
              <w:marTop w:val="0"/>
              <w:marBottom w:val="30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rfer.nmr.mgh.harvard.edu/"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95BD58-8F94-4349-A24B-D60D72D6F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51865</Words>
  <Characters>295635</Characters>
  <Application>Microsoft Office Word</Application>
  <DocSecurity>0</DocSecurity>
  <Lines>2463</Lines>
  <Paragraphs>693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Cambridge</Company>
  <LinksUpToDate>false</LinksUpToDate>
  <CharactersWithSpaces>346807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Audrey Low</dc:creator>
  <cp:lastModifiedBy>Audrey Low</cp:lastModifiedBy>
  <cp:revision>3</cp:revision>
  <dcterms:created xsi:type="dcterms:W3CDTF">2019-06-20T12:06:00Z</dcterms:created>
  <dcterms:modified xsi:type="dcterms:W3CDTF">2019-06-20T12:07:00Z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3db88b5d-5237-3c70-a7f3-152a37e1d073</vt:lpwstr>
  </property>
  <property fmtid="{D5CDD505-2E9C-101B-9397-08002B2CF9AE}" pid="4" name="Mendeley Citation Style_1">
    <vt:lpwstr>http://www.zotero.org/styles/alzheimers-and-dementia-diagnosis-assessment-and-disease-monitoring</vt:lpwstr>
  </property>
  <property fmtid="{D5CDD505-2E9C-101B-9397-08002B2CF9AE}" pid="5" name="Mendeley Recent Style Id 0_1">
    <vt:lpwstr>http://www.zotero.org/styles/ageing-research-reviews</vt:lpwstr>
  </property>
  <property fmtid="{D5CDD505-2E9C-101B-9397-08002B2CF9AE}" pid="6" name="Mendeley Recent Style Name 0_1">
    <vt:lpwstr>Ageing Research Reviews</vt:lpwstr>
  </property>
  <property fmtid="{D5CDD505-2E9C-101B-9397-08002B2CF9AE}" pid="7" name="Mendeley Recent Style Id 1_1">
    <vt:lpwstr>http://www.zotero.org/styles/alzheimers-and-dementia-diagnosis-assessment-and-disease-monitoring</vt:lpwstr>
  </property>
  <property fmtid="{D5CDD505-2E9C-101B-9397-08002B2CF9AE}" pid="8" name="Mendeley Recent Style Name 1_1">
    <vt:lpwstr>Alzheimer's &amp; Dementia: Diagnosis, Assessment &amp; Disease Monitoring</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https://csl.mendeley.com/styles/17238301/harvard-university-of-technology-Sydney-2</vt:lpwstr>
  </property>
  <property fmtid="{D5CDD505-2E9C-101B-9397-08002B2CF9AE}" pid="16" name="Mendeley Recent Style Name 5_1">
    <vt:lpwstr>Harvard - University of Technology Sydney - Meijun Huang</vt:lpwstr>
  </property>
  <property fmtid="{D5CDD505-2E9C-101B-9397-08002B2CF9AE}" pid="17" name="Mendeley Recent Style Id 6_1">
    <vt:lpwstr>http://www.zotero.org/styles/journal-of-alzheimers-disease</vt:lpwstr>
  </property>
  <property fmtid="{D5CDD505-2E9C-101B-9397-08002B2CF9AE}" pid="18" name="Mendeley Recent Style Name 6_1">
    <vt:lpwstr>Journal of Alzheimer's Disease</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http://www.zotero.org/styles/stroke</vt:lpwstr>
  </property>
  <property fmtid="{D5CDD505-2E9C-101B-9397-08002B2CF9AE}" pid="24" name="Mendeley Recent Style Name 9_1">
    <vt:lpwstr>Stroke</vt:lpwstr>
  </property>
</Properties>
</file>