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1213461" w14:textId="25698613" w:rsidR="00CA2DE7" w:rsidRPr="004E6B95" w:rsidRDefault="00C34069" w:rsidP="00CA2DE7">
      <w:pPr>
        <w:rPr>
          <w:b/>
          <w:bCs/>
          <w:lang w:val="en-GB"/>
        </w:rPr>
      </w:pPr>
      <w:r w:rsidRPr="004E6B95">
        <w:rPr>
          <w:b/>
          <w:bCs/>
          <w:lang w:val="en-GB"/>
        </w:rPr>
        <w:t xml:space="preserve">Consenting to consent </w:t>
      </w:r>
    </w:p>
    <w:p w14:paraId="1A289FEF" w14:textId="77777777" w:rsidR="00CA2DE7" w:rsidRDefault="00CA2DE7">
      <w:pPr>
        <w:rPr>
          <w:lang w:val="en-GB"/>
        </w:rPr>
      </w:pPr>
    </w:p>
    <w:p w14:paraId="5BFCBB0C" w14:textId="0150B168" w:rsidR="00CA2DE7" w:rsidRDefault="00CA2DE7">
      <w:pPr>
        <w:rPr>
          <w:lang w:val="en-GB"/>
        </w:rPr>
      </w:pPr>
      <w:r>
        <w:rPr>
          <w:lang w:val="en-GB"/>
        </w:rPr>
        <w:t xml:space="preserve"> </w:t>
      </w:r>
      <w:r w:rsidR="00DE1D63">
        <w:rPr>
          <w:lang w:val="en-GB"/>
        </w:rPr>
        <w:t>B</w:t>
      </w:r>
      <w:r>
        <w:rPr>
          <w:lang w:val="en-GB"/>
        </w:rPr>
        <w:t xml:space="preserve">oth ethicists and lawyers </w:t>
      </w:r>
      <w:r w:rsidR="00DE1D63">
        <w:rPr>
          <w:lang w:val="en-GB"/>
        </w:rPr>
        <w:t xml:space="preserve">accept </w:t>
      </w:r>
      <w:r>
        <w:rPr>
          <w:lang w:val="en-GB"/>
        </w:rPr>
        <w:t>that a  provider – be it a researcher or a clinician – should  provide sufficient information for a reasonable person to make an informed decision about whether they wish to go ahead with the proposed intervention or treatment.</w:t>
      </w:r>
      <w:r w:rsidR="0064258C">
        <w:rPr>
          <w:lang w:val="en-GB"/>
        </w:rPr>
        <w:fldChar w:fldCharType="begin"/>
      </w:r>
      <w:r w:rsidR="0064258C">
        <w:rPr>
          <w:lang w:val="en-GB"/>
        </w:rPr>
        <w:instrText xml:space="preserve"> ADDIN EN.CITE &lt;EndNote&gt;&lt;Cite&gt;&lt;Author&gt;Farrell&lt;/Author&gt;&lt;Year&gt;2016&lt;/Year&gt;&lt;RecNum&gt;9386&lt;/RecNum&gt;&lt;DisplayText&gt;[1]&lt;/DisplayText&gt;&lt;record&gt;&lt;rec-number&gt;9386&lt;/rec-number&gt;&lt;foreign-keys&gt;&lt;key app="EN" db-id="vzxdfftalxr2xyestrn5sxzrv2vf5wravrwr" timestamp="1620834736" guid="32a7c0f0-611c-47f3-bf80-7a6ff1b24c75"&gt;9386&lt;/key&gt;&lt;/foreign-keys&gt;&lt;ref-type name="Journal Article"&gt;17&lt;/ref-type&gt;&lt;contributors&gt;&lt;authors&gt;&lt;author&gt;Farrell, A. M.&lt;/author&gt;&lt;author&gt;Brazier, M.&lt;/author&gt;&lt;/authors&gt;&lt;/contributors&gt;&lt;auth-address&gt;Faculty of Law, Monash University, Melbourne, Victoria, Australia.&amp;#xD;School of Law, University of Manchester, Manchester, UK.&lt;/auth-address&gt;&lt;titles&gt;&lt;title&gt;Not so new directions in the law of consent? Examining Montgomery v Lanarkshire Health Board&lt;/title&gt;&lt;secondary-title&gt;J Med Ethics&lt;/secondary-title&gt;&lt;/titles&gt;&lt;periodical&gt;&lt;full-title&gt;Journal of Medical Ethics&lt;/full-title&gt;&lt;abbr-1&gt;J Med Ethics&lt;/abbr-1&gt;&lt;/periodical&gt;&lt;pages&gt;85-8&lt;/pages&gt;&lt;volume&gt;42&lt;/volume&gt;&lt;number&gt;2&lt;/number&gt;&lt;edition&gt;2015/12/20&lt;/edition&gt;&lt;keywords&gt;&lt;keyword&gt;Disclosure/*ethics/legislation &amp;amp; jurisprudence&lt;/keyword&gt;&lt;keyword&gt;Humans&lt;/keyword&gt;&lt;keyword&gt;Informed Consent/*ethics/legislation &amp;amp; jurisprudence&lt;/keyword&gt;&lt;keyword&gt;Personal Autonomy&lt;/keyword&gt;&lt;keyword&gt;Physician-Patient Relations/*ethics&lt;/keyword&gt;&lt;keyword&gt;Professional Autonomy&lt;/keyword&gt;&lt;keyword&gt;Scotland&lt;/keyword&gt;&lt;keyword&gt;State Medicine/*ethics&lt;/keyword&gt;&lt;keyword&gt;Ethics&lt;/keyword&gt;&lt;/keywords&gt;&lt;dates&gt;&lt;year&gt;2016&lt;/year&gt;&lt;pub-dates&gt;&lt;date&gt;Feb&lt;/date&gt;&lt;/pub-dates&gt;&lt;/dates&gt;&lt;isbn&gt;1473-4257 (Electronic)&amp;#xD;0306-6800 (Linking)&lt;/isbn&gt;&lt;accession-num&gt;26685149&lt;/accession-num&gt;&lt;urls&gt;&lt;related-urls&gt;&lt;url&gt;https://www.ncbi.nlm.nih.gov/pubmed/26685149&lt;/url&gt;&lt;/related-urls&gt;&lt;/urls&gt;&lt;electronic-resource-num&gt;10.1136/medethics-2015-102861&lt;/electronic-resource-num&gt;&lt;/record&gt;&lt;/Cite&gt;&lt;/EndNote&gt;</w:instrText>
      </w:r>
      <w:r w:rsidR="0064258C">
        <w:rPr>
          <w:lang w:val="en-GB"/>
        </w:rPr>
        <w:fldChar w:fldCharType="separate"/>
      </w:r>
      <w:r w:rsidR="0064258C">
        <w:rPr>
          <w:noProof/>
          <w:lang w:val="en-GB"/>
        </w:rPr>
        <w:t>[1]</w:t>
      </w:r>
      <w:r w:rsidR="0064258C">
        <w:rPr>
          <w:lang w:val="en-GB"/>
        </w:rPr>
        <w:fldChar w:fldCharType="end"/>
      </w:r>
      <w:r>
        <w:rPr>
          <w:lang w:val="en-GB"/>
        </w:rPr>
        <w:t xml:space="preserve"> They are bound to do so both because the</w:t>
      </w:r>
      <w:r w:rsidR="00D12FF7">
        <w:rPr>
          <w:lang w:val="en-GB"/>
        </w:rPr>
        <w:t>y</w:t>
      </w:r>
      <w:r>
        <w:rPr>
          <w:lang w:val="en-GB"/>
        </w:rPr>
        <w:t xml:space="preserve"> have an ethical responsibility to  preserve the individual</w:t>
      </w:r>
      <w:r w:rsidR="00D12FF7">
        <w:rPr>
          <w:lang w:val="en-GB"/>
        </w:rPr>
        <w:t>’</w:t>
      </w:r>
      <w:r>
        <w:rPr>
          <w:lang w:val="en-GB"/>
        </w:rPr>
        <w:t xml:space="preserve">s autonomous decision making, and, in many countries, because the law obliges them to. </w:t>
      </w:r>
      <w:r w:rsidR="00A270FB">
        <w:rPr>
          <w:lang w:val="en-GB"/>
        </w:rPr>
        <w:t xml:space="preserve">In this </w:t>
      </w:r>
      <w:proofErr w:type="spellStart"/>
      <w:r w:rsidR="00A270FB">
        <w:rPr>
          <w:lang w:val="en-GB"/>
        </w:rPr>
        <w:t>month’s</w:t>
      </w:r>
      <w:proofErr w:type="spellEnd"/>
      <w:r w:rsidR="00A270FB">
        <w:rPr>
          <w:lang w:val="en-GB"/>
        </w:rPr>
        <w:t xml:space="preserve"> of the JME, three articles tackle ethical issues relating to consent in different contexts.   Overarching these analyses is the pragmatic question of whether the process of taking consent in itself might alter the outcomes, and whether, in doing so, it can undermine the initial therapeutic or research goal – so creating another ethical question of what to prioritise. </w:t>
      </w:r>
    </w:p>
    <w:p w14:paraId="2CCB2C14" w14:textId="77777777" w:rsidR="00A270FB" w:rsidRDefault="00A270FB">
      <w:pPr>
        <w:rPr>
          <w:lang w:val="en-GB"/>
        </w:rPr>
      </w:pPr>
    </w:p>
    <w:p w14:paraId="6030826A" w14:textId="11F55091" w:rsidR="0064258C" w:rsidRDefault="0058584F">
      <w:pPr>
        <w:rPr>
          <w:lang w:val="en-GB"/>
        </w:rPr>
      </w:pPr>
      <w:r>
        <w:rPr>
          <w:lang w:val="en-GB"/>
        </w:rPr>
        <w:t xml:space="preserve">Psilocybin ( a serotonergic psychedelic)  is  entering Phase III </w:t>
      </w:r>
      <w:r w:rsidR="00CA2DE7">
        <w:rPr>
          <w:lang w:val="en-GB"/>
        </w:rPr>
        <w:t>trials</w:t>
      </w:r>
      <w:r>
        <w:rPr>
          <w:lang w:val="en-GB"/>
        </w:rPr>
        <w:t xml:space="preserve"> to evaluate its effect on treatment resistant depression and cancer related depression and anxiety; earlier trials have  shown sustained symptom reduction in these populations. Smith and </w:t>
      </w:r>
      <w:proofErr w:type="spellStart"/>
      <w:r>
        <w:rPr>
          <w:lang w:val="en-GB"/>
        </w:rPr>
        <w:t>Sisti</w:t>
      </w:r>
      <w:proofErr w:type="spellEnd"/>
      <w:r>
        <w:rPr>
          <w:lang w:val="en-GB"/>
        </w:rPr>
        <w:t xml:space="preserve"> examine whether a form of enhanced consent is ethically  required for these drugs.</w:t>
      </w:r>
      <w:r w:rsidR="00566EE6">
        <w:rPr>
          <w:lang w:val="en-GB"/>
        </w:rPr>
        <w:fldChar w:fldCharType="begin"/>
      </w:r>
      <w:r w:rsidR="00566EE6">
        <w:rPr>
          <w:lang w:val="en-GB"/>
        </w:rPr>
        <w:instrText xml:space="preserve"> ADDIN EN.CITE &lt;EndNote&gt;&lt;Cite&gt;&lt;Author&gt;Smith&lt;/Author&gt;&lt;Year&gt;2020&lt;/Year&gt;&lt;RecNum&gt;9426&lt;/RecNum&gt;&lt;DisplayText&gt;[2]&lt;/DisplayText&gt;&lt;record&gt;&lt;rec-number&gt;9426&lt;/rec-number&gt;&lt;foreign-keys&gt;&lt;key app="EN" db-id="vzxdfftalxr2xyestrn5sxzrv2vf5wravrwr" timestamp="1636100170"&gt;9426&lt;/key&gt;&lt;/foreign-keys&gt;&lt;ref-type name="Journal Article"&gt;17&lt;/ref-type&gt;&lt;contributors&gt;&lt;authors&gt;&lt;author&gt;Smith, W. R.&lt;/author&gt;&lt;author&gt;Sisti, D.&lt;/author&gt;&lt;/authors&gt;&lt;/contributors&gt;&lt;auth-address&gt;Department of Psychiatry, University of Pennsylvania Perelman School of Medicine, Philadelphia, Pennsylvania, USA William.Smith@pennmedicine.upenn.edu.&amp;#xD;Department of Medical Ethics and Health Policy, University of Pennsylvania Perelman School of Medicine, Philadelphia, Pennsylvania, USA.&lt;/auth-address&gt;&lt;titles&gt;&lt;title&gt;Ethics and ego dissolution: the case of psilocybin&lt;/title&gt;&lt;secondary-title&gt;J Med Ethics&lt;/secondary-title&gt;&lt;/titles&gt;&lt;periodical&gt;&lt;full-title&gt;Journal of Medical Ethics&lt;/full-title&gt;&lt;abbr-1&gt;J Med Ethics&lt;/abbr-1&gt;&lt;/periodical&gt;&lt;edition&gt;2020/05/29&lt;/edition&gt;&lt;keywords&gt;&lt;keyword&gt;informed consent&lt;/keyword&gt;&lt;keyword&gt;psychiatry&lt;/keyword&gt;&lt;keyword&gt;psychopharmacology&lt;/keyword&gt;&lt;keyword&gt;psychotherapy&lt;/keyword&gt;&lt;keyword&gt;research ethics&lt;/keyword&gt;&lt;/keywords&gt;&lt;dates&gt;&lt;year&gt;2020&lt;/year&gt;&lt;pub-dates&gt;&lt;date&gt;May 27&lt;/date&gt;&lt;/pub-dates&gt;&lt;/dates&gt;&lt;isbn&gt;1473-4257 (Electronic)&amp;#xD;0306-6800 (Linking)&lt;/isbn&gt;&lt;accession-num&gt;32461241&lt;/accession-num&gt;&lt;urls&gt;&lt;related-urls&gt;&lt;url&gt;https://www.ncbi.nlm.nih.gov/pubmed/32461241&lt;/url&gt;&lt;/related-urls&gt;&lt;/urls&gt;&lt;electronic-resource-num&gt;10.1136/medethics-2020-106070&lt;/electronic-resource-num&gt;&lt;/record&gt;&lt;/Cite&gt;&lt;/EndNote&gt;</w:instrText>
      </w:r>
      <w:r w:rsidR="00566EE6">
        <w:rPr>
          <w:lang w:val="en-GB"/>
        </w:rPr>
        <w:fldChar w:fldCharType="separate"/>
      </w:r>
      <w:r w:rsidR="00566EE6">
        <w:rPr>
          <w:noProof/>
          <w:lang w:val="en-GB"/>
        </w:rPr>
        <w:t>[2]</w:t>
      </w:r>
      <w:r w:rsidR="00566EE6">
        <w:rPr>
          <w:lang w:val="en-GB"/>
        </w:rPr>
        <w:fldChar w:fldCharType="end"/>
      </w:r>
      <w:r>
        <w:rPr>
          <w:lang w:val="en-GB"/>
        </w:rPr>
        <w:t xml:space="preserve"> </w:t>
      </w:r>
      <w:r w:rsidR="00A270FB">
        <w:rPr>
          <w:lang w:val="en-GB"/>
        </w:rPr>
        <w:t xml:space="preserve">They explore </w:t>
      </w:r>
      <w:r w:rsidR="00C248CA">
        <w:rPr>
          <w:lang w:val="en-GB"/>
        </w:rPr>
        <w:t>how to adequately consent for</w:t>
      </w:r>
      <w:r w:rsidR="00A270FB">
        <w:rPr>
          <w:lang w:val="en-GB"/>
        </w:rPr>
        <w:t xml:space="preserve"> </w:t>
      </w:r>
      <w:r w:rsidR="0064258C">
        <w:rPr>
          <w:lang w:val="en-GB"/>
        </w:rPr>
        <w:t>‘</w:t>
      </w:r>
      <w:r w:rsidR="00A270FB">
        <w:rPr>
          <w:lang w:val="en-GB"/>
        </w:rPr>
        <w:t xml:space="preserve">therapeutic </w:t>
      </w:r>
      <w:r w:rsidR="00C248CA">
        <w:rPr>
          <w:lang w:val="en-GB"/>
        </w:rPr>
        <w:t>touch</w:t>
      </w:r>
      <w:r w:rsidR="0064258C">
        <w:rPr>
          <w:lang w:val="en-GB"/>
        </w:rPr>
        <w:t>’ (</w:t>
      </w:r>
      <w:proofErr w:type="spellStart"/>
      <w:r w:rsidR="0064258C">
        <w:rPr>
          <w:lang w:val="en-GB"/>
        </w:rPr>
        <w:t>eg</w:t>
      </w:r>
      <w:proofErr w:type="spellEnd"/>
      <w:r w:rsidR="0064258C">
        <w:rPr>
          <w:lang w:val="en-GB"/>
        </w:rPr>
        <w:t xml:space="preserve"> holding someone’s hand) </w:t>
      </w:r>
      <w:r w:rsidR="00C248CA">
        <w:rPr>
          <w:lang w:val="en-GB"/>
        </w:rPr>
        <w:t xml:space="preserve"> in a future </w:t>
      </w:r>
      <w:r w:rsidR="002474F5">
        <w:rPr>
          <w:lang w:val="en-GB"/>
        </w:rPr>
        <w:t xml:space="preserve">altered </w:t>
      </w:r>
      <w:r w:rsidR="00E80607">
        <w:rPr>
          <w:lang w:val="en-GB"/>
        </w:rPr>
        <w:t>s</w:t>
      </w:r>
      <w:r w:rsidR="00C248CA">
        <w:rPr>
          <w:lang w:val="en-GB"/>
        </w:rPr>
        <w:t>tate;  the rare but significant mental health risks including trauma re</w:t>
      </w:r>
      <w:r w:rsidR="002474F5">
        <w:rPr>
          <w:lang w:val="en-GB"/>
        </w:rPr>
        <w:t>-</w:t>
      </w:r>
      <w:r w:rsidR="00C248CA">
        <w:rPr>
          <w:lang w:val="en-GB"/>
        </w:rPr>
        <w:t>exposure</w:t>
      </w:r>
      <w:r w:rsidR="0064258C">
        <w:rPr>
          <w:lang w:val="en-GB"/>
        </w:rPr>
        <w:t xml:space="preserve">; </w:t>
      </w:r>
      <w:r w:rsidR="00C248CA">
        <w:rPr>
          <w:lang w:val="en-GB"/>
        </w:rPr>
        <w:t>an</w:t>
      </w:r>
      <w:r w:rsidR="0064258C">
        <w:rPr>
          <w:lang w:val="en-GB"/>
        </w:rPr>
        <w:t>d</w:t>
      </w:r>
      <w:r w:rsidR="00C248CA">
        <w:rPr>
          <w:lang w:val="en-GB"/>
        </w:rPr>
        <w:t xml:space="preserve"> the potential for a personality change </w:t>
      </w:r>
      <w:r w:rsidR="00CA2DE7">
        <w:rPr>
          <w:lang w:val="en-GB"/>
        </w:rPr>
        <w:t xml:space="preserve">given the intense experiences which many subjects have reported. </w:t>
      </w:r>
      <w:r w:rsidR="00D12FF7">
        <w:rPr>
          <w:lang w:val="en-GB"/>
        </w:rPr>
        <w:t xml:space="preserve">They illustrate </w:t>
      </w:r>
      <w:r w:rsidR="00C248CA">
        <w:rPr>
          <w:lang w:val="en-GB"/>
        </w:rPr>
        <w:t xml:space="preserve">the potential for </w:t>
      </w:r>
      <w:r w:rsidR="002474F5">
        <w:rPr>
          <w:lang w:val="en-GB"/>
        </w:rPr>
        <w:t>personality</w:t>
      </w:r>
      <w:r w:rsidR="00C248CA">
        <w:rPr>
          <w:lang w:val="en-GB"/>
        </w:rPr>
        <w:t xml:space="preserve"> change  with </w:t>
      </w:r>
      <w:r w:rsidR="00D12FF7">
        <w:rPr>
          <w:lang w:val="en-GB"/>
        </w:rPr>
        <w:t xml:space="preserve">an example regarding  the spiritual experiences which can occur with </w:t>
      </w:r>
      <w:r w:rsidR="00C248CA">
        <w:rPr>
          <w:lang w:val="en-GB"/>
        </w:rPr>
        <w:t>serotonergic psychedelics</w:t>
      </w:r>
      <w:r w:rsidR="00D12FF7">
        <w:rPr>
          <w:lang w:val="en-GB"/>
        </w:rPr>
        <w:t xml:space="preserve">, and suggest that  </w:t>
      </w:r>
      <w:r w:rsidR="00D12FF7" w:rsidRPr="00D12FF7">
        <w:rPr>
          <w:i/>
          <w:iCs/>
          <w:lang w:val="en-GB"/>
        </w:rPr>
        <w:t xml:space="preserve">“agnostic or atheist patients  may take the development of a newfound sense of spirituality or belief in God to be a loss if it is incongruent with their prior values or if it is disruptive to relationships with others”. </w:t>
      </w:r>
      <w:r w:rsidR="00D12FF7">
        <w:rPr>
          <w:lang w:val="en-GB"/>
        </w:rPr>
        <w:t>They note the difficult</w:t>
      </w:r>
      <w:r w:rsidR="00C248CA">
        <w:rPr>
          <w:lang w:val="en-GB"/>
        </w:rPr>
        <w:t>y</w:t>
      </w:r>
      <w:r w:rsidR="00D12FF7">
        <w:rPr>
          <w:lang w:val="en-GB"/>
        </w:rPr>
        <w:t xml:space="preserve"> in </w:t>
      </w:r>
      <w:r w:rsidR="0064258C">
        <w:rPr>
          <w:lang w:val="en-GB"/>
        </w:rPr>
        <w:t xml:space="preserve">adequately </w:t>
      </w:r>
      <w:r w:rsidR="00D12FF7">
        <w:rPr>
          <w:lang w:val="en-GB"/>
        </w:rPr>
        <w:t xml:space="preserve">consenting a patient for such a new sense of spirituality: </w:t>
      </w:r>
      <w:r w:rsidR="00D12FF7" w:rsidRPr="00C248CA">
        <w:rPr>
          <w:i/>
          <w:iCs/>
          <w:lang w:val="en-GB"/>
        </w:rPr>
        <w:t>“they [the atheist patient)might acknowledge that others have deep encounters as if connecting to God or ‘deep’ re</w:t>
      </w:r>
      <w:r w:rsidR="00C248CA" w:rsidRPr="00C248CA">
        <w:rPr>
          <w:i/>
          <w:iCs/>
          <w:lang w:val="en-GB"/>
        </w:rPr>
        <w:t xml:space="preserve">ality </w:t>
      </w:r>
      <w:r w:rsidR="00D12FF7" w:rsidRPr="00C248CA">
        <w:rPr>
          <w:i/>
          <w:iCs/>
          <w:lang w:val="en-GB"/>
        </w:rPr>
        <w:t xml:space="preserve"> but assume that they themselves would not take such encounters as real</w:t>
      </w:r>
      <w:r w:rsidR="00C248CA" w:rsidRPr="00C248CA">
        <w:rPr>
          <w:i/>
          <w:iCs/>
          <w:lang w:val="en-GB"/>
        </w:rPr>
        <w:t>.”</w:t>
      </w:r>
      <w:r w:rsidR="00C248CA">
        <w:rPr>
          <w:i/>
          <w:iCs/>
          <w:lang w:val="en-GB"/>
        </w:rPr>
        <w:t xml:space="preserve"> </w:t>
      </w:r>
      <w:r w:rsidR="00C248CA">
        <w:rPr>
          <w:lang w:val="en-GB"/>
        </w:rPr>
        <w:t xml:space="preserve"> They argue that taking time to enable the patient to understand this possibility is an important aspect of consenting for such treatment, </w:t>
      </w:r>
      <w:r w:rsidR="00167CBF">
        <w:rPr>
          <w:lang w:val="en-GB"/>
        </w:rPr>
        <w:t xml:space="preserve">particularly since personality change might occur after a single treatment, and so there is not time to gradually evaluate the effect the drug is having, and withdraw  or stop. </w:t>
      </w:r>
      <w:r w:rsidR="004C1A9B">
        <w:rPr>
          <w:lang w:val="en-GB"/>
        </w:rPr>
        <w:t xml:space="preserve"> What </w:t>
      </w:r>
      <w:r w:rsidR="009C67B9">
        <w:rPr>
          <w:lang w:val="en-GB"/>
        </w:rPr>
        <w:t>has not yet been addressed</w:t>
      </w:r>
      <w:r w:rsidR="004C1A9B">
        <w:rPr>
          <w:lang w:val="en-GB"/>
        </w:rPr>
        <w:t xml:space="preserve"> is </w:t>
      </w:r>
      <w:r w:rsidR="009C67B9">
        <w:rPr>
          <w:lang w:val="en-GB"/>
        </w:rPr>
        <w:t>whether patients might be</w:t>
      </w:r>
      <w:r w:rsidR="004C1A9B">
        <w:rPr>
          <w:lang w:val="en-GB"/>
        </w:rPr>
        <w:t xml:space="preserve"> suggestible during this process, and whether consenting individuals for such spiritual events might in itself alter the experience they have; further research could </w:t>
      </w:r>
      <w:proofErr w:type="gramStart"/>
      <w:r w:rsidR="004C1A9B">
        <w:rPr>
          <w:lang w:val="en-GB"/>
        </w:rPr>
        <w:t>examining</w:t>
      </w:r>
      <w:proofErr w:type="gramEnd"/>
      <w:r w:rsidR="004C1A9B">
        <w:rPr>
          <w:lang w:val="en-GB"/>
        </w:rPr>
        <w:t xml:space="preserve"> the effects of different consent procedures. </w:t>
      </w:r>
    </w:p>
    <w:p w14:paraId="66E63778" w14:textId="77777777" w:rsidR="004C1A9B" w:rsidRDefault="004C1A9B">
      <w:pPr>
        <w:rPr>
          <w:lang w:val="en-GB"/>
        </w:rPr>
      </w:pPr>
    </w:p>
    <w:p w14:paraId="284965DC" w14:textId="3866C914" w:rsidR="00CA2DE7" w:rsidRDefault="004C1A9B">
      <w:pPr>
        <w:rPr>
          <w:lang w:val="en-GB"/>
        </w:rPr>
      </w:pPr>
      <w:r>
        <w:rPr>
          <w:lang w:val="en-GB"/>
        </w:rPr>
        <w:t xml:space="preserve">Smith and </w:t>
      </w:r>
      <w:proofErr w:type="spellStart"/>
      <w:r>
        <w:rPr>
          <w:lang w:val="en-GB"/>
        </w:rPr>
        <w:t>Sisti</w:t>
      </w:r>
      <w:proofErr w:type="spellEnd"/>
      <w:r w:rsidR="00167CBF">
        <w:rPr>
          <w:lang w:val="en-GB"/>
        </w:rPr>
        <w:t xml:space="preserve"> propose that enhanced consent should take place over what is now called ‘preparatory sessions’ before the treatment has actually been decided upon. </w:t>
      </w:r>
      <w:r w:rsidR="002474F5">
        <w:rPr>
          <w:lang w:val="en-GB"/>
        </w:rPr>
        <w:t xml:space="preserve">They </w:t>
      </w:r>
      <w:r w:rsidR="0064258C">
        <w:rPr>
          <w:lang w:val="en-GB"/>
        </w:rPr>
        <w:t xml:space="preserve">note that </w:t>
      </w:r>
      <w:r w:rsidR="002474F5">
        <w:rPr>
          <w:lang w:val="en-GB"/>
        </w:rPr>
        <w:t>because some of the experiences are inarticulable</w:t>
      </w:r>
      <w:r w:rsidR="0064258C">
        <w:rPr>
          <w:lang w:val="en-GB"/>
        </w:rPr>
        <w:t xml:space="preserve"> the patient can never be truly  informed when they agree to undertake the treatment. </w:t>
      </w:r>
      <w:r w:rsidR="00E55098">
        <w:rPr>
          <w:lang w:val="en-GB"/>
        </w:rPr>
        <w:t xml:space="preserve"> </w:t>
      </w:r>
      <w:r w:rsidR="0064258C">
        <w:rPr>
          <w:lang w:val="en-GB"/>
        </w:rPr>
        <w:t xml:space="preserve">They address this by </w:t>
      </w:r>
      <w:r w:rsidR="002474F5">
        <w:rPr>
          <w:lang w:val="en-GB"/>
        </w:rPr>
        <w:t>mak</w:t>
      </w:r>
      <w:r w:rsidR="0064258C">
        <w:rPr>
          <w:lang w:val="en-GB"/>
        </w:rPr>
        <w:t>ing</w:t>
      </w:r>
      <w:r w:rsidR="002474F5">
        <w:rPr>
          <w:lang w:val="en-GB"/>
        </w:rPr>
        <w:t xml:space="preserve"> parallels with other experiences we undertake without knowing what they will really be like until we have experienced them for ourselves – starting a new relationship for example</w:t>
      </w:r>
      <w:r w:rsidR="0064258C">
        <w:rPr>
          <w:lang w:val="en-GB"/>
        </w:rPr>
        <w:t xml:space="preserve">; we do so believing it will be good for us, but accepting that much is unknown.  </w:t>
      </w:r>
      <w:r>
        <w:rPr>
          <w:lang w:val="en-GB"/>
        </w:rPr>
        <w:t>A</w:t>
      </w:r>
      <w:r w:rsidR="00E55098">
        <w:rPr>
          <w:lang w:val="en-GB"/>
        </w:rPr>
        <w:t xml:space="preserve"> patient may not be able to fully imagine everything that they will experience</w:t>
      </w:r>
      <w:r>
        <w:rPr>
          <w:lang w:val="en-GB"/>
        </w:rPr>
        <w:t xml:space="preserve"> with psilocybin</w:t>
      </w:r>
      <w:r w:rsidR="00E55098">
        <w:rPr>
          <w:lang w:val="en-GB"/>
        </w:rPr>
        <w:t xml:space="preserve">, or exactly how they will be after the treatment, </w:t>
      </w:r>
      <w:r>
        <w:rPr>
          <w:lang w:val="en-GB"/>
        </w:rPr>
        <w:t xml:space="preserve">but </w:t>
      </w:r>
      <w:r w:rsidR="00E55098">
        <w:rPr>
          <w:lang w:val="en-GB"/>
        </w:rPr>
        <w:t>there is enough information that participants to date have had  ‘profoundly positive feelings about the experience’ to enable the consent process to be ethically sound</w:t>
      </w:r>
      <w:r>
        <w:rPr>
          <w:lang w:val="en-GB"/>
        </w:rPr>
        <w:t>. W</w:t>
      </w:r>
      <w:r w:rsidR="00E55098">
        <w:rPr>
          <w:lang w:val="en-GB"/>
        </w:rPr>
        <w:t>hat is not known on an individual level</w:t>
      </w:r>
      <w:r>
        <w:rPr>
          <w:lang w:val="en-GB"/>
        </w:rPr>
        <w:t xml:space="preserve"> </w:t>
      </w:r>
      <w:r w:rsidR="00E55098">
        <w:rPr>
          <w:lang w:val="en-GB"/>
        </w:rPr>
        <w:t xml:space="preserve"> is balanced by what  is </w:t>
      </w:r>
      <w:r w:rsidR="00E55098">
        <w:rPr>
          <w:lang w:val="en-GB"/>
        </w:rPr>
        <w:lastRenderedPageBreak/>
        <w:t xml:space="preserve">known at a population one.  In fact, argue that so long as phase III trials are positive, there is an ethical imperative to proceed to using psilocybin in mainstream psychiatry, with </w:t>
      </w:r>
      <w:r>
        <w:rPr>
          <w:lang w:val="en-GB"/>
        </w:rPr>
        <w:t xml:space="preserve">the </w:t>
      </w:r>
      <w:r w:rsidR="00E55098">
        <w:rPr>
          <w:lang w:val="en-GB"/>
        </w:rPr>
        <w:t>enhanced consent process</w:t>
      </w:r>
      <w:r>
        <w:rPr>
          <w:lang w:val="en-GB"/>
        </w:rPr>
        <w:t xml:space="preserve"> that they describe</w:t>
      </w:r>
      <w:r w:rsidR="00E55098">
        <w:rPr>
          <w:lang w:val="en-GB"/>
        </w:rPr>
        <w:t xml:space="preserve">. </w:t>
      </w:r>
    </w:p>
    <w:p w14:paraId="4BD6A181" w14:textId="03FEBFDD" w:rsidR="00165A7F" w:rsidRDefault="00165A7F">
      <w:pPr>
        <w:rPr>
          <w:lang w:val="en-GB"/>
        </w:rPr>
      </w:pPr>
    </w:p>
    <w:p w14:paraId="185FF401" w14:textId="08A695CC" w:rsidR="004D3F3A" w:rsidRPr="00C248CA" w:rsidRDefault="00165A7F" w:rsidP="004D3F3A">
      <w:pPr>
        <w:rPr>
          <w:lang w:val="en-GB"/>
        </w:rPr>
      </w:pPr>
      <w:r>
        <w:rPr>
          <w:lang w:val="en-GB"/>
        </w:rPr>
        <w:t xml:space="preserve">Silverio et </w:t>
      </w:r>
      <w:proofErr w:type="spellStart"/>
      <w:r>
        <w:rPr>
          <w:lang w:val="en-GB"/>
        </w:rPr>
        <w:t>al’s</w:t>
      </w:r>
      <w:proofErr w:type="spellEnd"/>
      <w:r>
        <w:rPr>
          <w:lang w:val="en-GB"/>
        </w:rPr>
        <w:t xml:space="preserve"> paper examines the duties of a researcher to report non-recent (historic) childhood sexual abuse.</w:t>
      </w:r>
      <w:r w:rsidR="00566EE6">
        <w:rPr>
          <w:lang w:val="en-GB"/>
        </w:rPr>
        <w:fldChar w:fldCharType="begin">
          <w:fldData xml:space="preserve">PEVuZE5vdGU+PENpdGU+PEF1dGhvcj5TaWx2ZXJpbzwvQXV0aG9yPjxZZWFyPjIwMjA8L1llYXI+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</w:fldData>
        </w:fldChar>
      </w:r>
      <w:r w:rsidR="00566EE6">
        <w:rPr>
          <w:lang w:val="en-GB"/>
        </w:rPr>
        <w:instrText xml:space="preserve"> ADDIN EN.CITE </w:instrText>
      </w:r>
      <w:r w:rsidR="00566EE6">
        <w:rPr>
          <w:lang w:val="en-GB"/>
        </w:rPr>
        <w:fldChar w:fldCharType="begin">
          <w:fldData xml:space="preserve">PEVuZE5vdGU+PENpdGU+PEF1dGhvcj5TaWx2ZXJpbzwvQXV0aG9yPjxZZWFyPjIwMjA8L1llYXI+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</w:fldData>
        </w:fldChar>
      </w:r>
      <w:r w:rsidR="00566EE6">
        <w:rPr>
          <w:lang w:val="en-GB"/>
        </w:rPr>
        <w:instrText xml:space="preserve"> ADDIN EN.CITE.DATA </w:instrText>
      </w:r>
      <w:r w:rsidR="00566EE6">
        <w:rPr>
          <w:lang w:val="en-GB"/>
        </w:rPr>
      </w:r>
      <w:r w:rsidR="00566EE6">
        <w:rPr>
          <w:lang w:val="en-GB"/>
        </w:rPr>
        <w:fldChar w:fldCharType="end"/>
      </w:r>
      <w:r w:rsidR="00566EE6">
        <w:rPr>
          <w:lang w:val="en-GB"/>
        </w:rPr>
        <w:fldChar w:fldCharType="separate"/>
      </w:r>
      <w:r w:rsidR="00566EE6">
        <w:rPr>
          <w:noProof/>
          <w:lang w:val="en-GB"/>
        </w:rPr>
        <w:t>[3]</w:t>
      </w:r>
      <w:r w:rsidR="00566EE6">
        <w:rPr>
          <w:lang w:val="en-GB"/>
        </w:rPr>
        <w:fldChar w:fldCharType="end"/>
      </w:r>
      <w:r>
        <w:rPr>
          <w:lang w:val="en-GB"/>
        </w:rPr>
        <w:t xml:space="preserve"> </w:t>
      </w:r>
      <w:r w:rsidR="004D3F3A">
        <w:rPr>
          <w:lang w:val="en-GB"/>
        </w:rPr>
        <w:t xml:space="preserve"> It was written in response to an ethics committee’s suggestion that researchers investigating experiences of pregnancy and childbirth in those who had </w:t>
      </w:r>
      <w:r w:rsidR="008D1056">
        <w:rPr>
          <w:lang w:val="en-GB"/>
        </w:rPr>
        <w:t>survived</w:t>
      </w:r>
      <w:r w:rsidR="004D3F3A">
        <w:rPr>
          <w:lang w:val="en-GB"/>
        </w:rPr>
        <w:t xml:space="preserve"> childhood sexual abuse</w:t>
      </w:r>
      <w:r w:rsidR="00521DB4">
        <w:rPr>
          <w:lang w:val="en-GB"/>
        </w:rPr>
        <w:t xml:space="preserve"> would need to report it</w:t>
      </w:r>
      <w:r w:rsidR="004D3F3A">
        <w:rPr>
          <w:lang w:val="en-GB"/>
        </w:rPr>
        <w:t xml:space="preserve">. </w:t>
      </w:r>
      <w:r w:rsidR="00326574">
        <w:rPr>
          <w:lang w:val="en-GB"/>
        </w:rPr>
        <w:t xml:space="preserve"> </w:t>
      </w:r>
      <w:r w:rsidR="004C1A9B">
        <w:rPr>
          <w:lang w:val="en-GB"/>
        </w:rPr>
        <w:t>I</w:t>
      </w:r>
      <w:r w:rsidR="00326574">
        <w:rPr>
          <w:lang w:val="en-GB"/>
        </w:rPr>
        <w:t>t illustrates the difficulty with tyring to obtain informed consent for sensitive qualitative interviews;  t</w:t>
      </w:r>
      <w:r w:rsidR="00521DB4">
        <w:rPr>
          <w:lang w:val="en-GB"/>
        </w:rPr>
        <w:t>he authors review</w:t>
      </w:r>
      <w:r w:rsidR="004D3F3A">
        <w:rPr>
          <w:lang w:val="en-GB"/>
        </w:rPr>
        <w:t xml:space="preserve"> the ethical and legal obligations that a researcher has to their participant and to the population</w:t>
      </w:r>
      <w:r w:rsidR="00326574">
        <w:rPr>
          <w:lang w:val="en-GB"/>
        </w:rPr>
        <w:t xml:space="preserve"> in undertaking such research</w:t>
      </w:r>
      <w:r w:rsidR="004D3F3A">
        <w:rPr>
          <w:lang w:val="en-GB"/>
        </w:rPr>
        <w:t>.</w:t>
      </w:r>
    </w:p>
    <w:p w14:paraId="584AD08F" w14:textId="3420907F" w:rsidR="004D3F3A" w:rsidRDefault="004D3F3A">
      <w:pPr>
        <w:rPr>
          <w:lang w:val="en-GB"/>
        </w:rPr>
      </w:pPr>
    </w:p>
    <w:p w14:paraId="57F44EF2" w14:textId="02392BBC" w:rsidR="00165A7F" w:rsidRDefault="004D3F3A">
      <w:pPr>
        <w:rPr>
          <w:lang w:val="en-GB"/>
        </w:rPr>
      </w:pPr>
      <w:r>
        <w:rPr>
          <w:lang w:val="en-GB"/>
        </w:rPr>
        <w:t>They note that w</w:t>
      </w:r>
      <w:r w:rsidR="00165A7F">
        <w:rPr>
          <w:lang w:val="en-GB"/>
        </w:rPr>
        <w:t xml:space="preserve">hile a participant may feel some distress at recounting traumatic experience, </w:t>
      </w:r>
      <w:r w:rsidR="00165A7F" w:rsidRPr="00434DF6">
        <w:rPr>
          <w:i/>
          <w:iCs/>
          <w:lang w:val="en-GB"/>
        </w:rPr>
        <w:t>“research-based exchanges can even be cathartic due to offering a non-judgmental ‘safe space’ in which participants may achieve validation and find a voice</w:t>
      </w:r>
      <w:r w:rsidR="00434DF6" w:rsidRPr="00434DF6">
        <w:rPr>
          <w:i/>
          <w:iCs/>
          <w:lang w:val="en-GB"/>
        </w:rPr>
        <w:t>”</w:t>
      </w:r>
      <w:r w:rsidR="00165A7F" w:rsidRPr="00434DF6">
        <w:rPr>
          <w:i/>
          <w:iCs/>
          <w:lang w:val="en-GB"/>
        </w:rPr>
        <w:t>.</w:t>
      </w:r>
      <w:r w:rsidR="00165A7F">
        <w:rPr>
          <w:lang w:val="en-GB"/>
        </w:rPr>
        <w:t xml:space="preserve"> Going into the interview, therefore, the participant needs to feel confident that they are speaking in a trusting, confidential environment. </w:t>
      </w:r>
      <w:r>
        <w:rPr>
          <w:lang w:val="en-GB"/>
        </w:rPr>
        <w:t xml:space="preserve"> This would be negated if</w:t>
      </w:r>
      <w:r w:rsidR="002559DF">
        <w:rPr>
          <w:lang w:val="en-GB"/>
        </w:rPr>
        <w:t xml:space="preserve"> (</w:t>
      </w:r>
      <w:r w:rsidR="00165A7F">
        <w:rPr>
          <w:lang w:val="en-GB"/>
        </w:rPr>
        <w:t xml:space="preserve">as the ethics committee </w:t>
      </w:r>
      <w:r>
        <w:rPr>
          <w:lang w:val="en-GB"/>
        </w:rPr>
        <w:t xml:space="preserve">that Silverio went to </w:t>
      </w:r>
      <w:r w:rsidR="00165A7F">
        <w:rPr>
          <w:lang w:val="en-GB"/>
        </w:rPr>
        <w:t>suggested</w:t>
      </w:r>
      <w:r w:rsidR="002559DF">
        <w:rPr>
          <w:lang w:val="en-GB"/>
        </w:rPr>
        <w:t>)</w:t>
      </w:r>
      <w:r w:rsidR="00165A7F">
        <w:rPr>
          <w:lang w:val="en-GB"/>
        </w:rPr>
        <w:t xml:space="preserve"> the researcher had a duty to report historic childhood sexual abuse</w:t>
      </w:r>
      <w:r>
        <w:rPr>
          <w:lang w:val="en-GB"/>
        </w:rPr>
        <w:t xml:space="preserve">: </w:t>
      </w:r>
      <w:r w:rsidR="00165A7F">
        <w:rPr>
          <w:lang w:val="en-GB"/>
        </w:rPr>
        <w:t xml:space="preserve"> </w:t>
      </w:r>
      <w:r w:rsidR="004C1A9B">
        <w:rPr>
          <w:lang w:val="en-GB"/>
        </w:rPr>
        <w:t>e</w:t>
      </w:r>
      <w:r w:rsidR="00165A7F">
        <w:rPr>
          <w:lang w:val="en-GB"/>
        </w:rPr>
        <w:t xml:space="preserve">ither </w:t>
      </w:r>
      <w:r>
        <w:rPr>
          <w:lang w:val="en-GB"/>
        </w:rPr>
        <w:t xml:space="preserve">researchers </w:t>
      </w:r>
      <w:r w:rsidR="00165A7F">
        <w:rPr>
          <w:lang w:val="en-GB"/>
        </w:rPr>
        <w:t xml:space="preserve">would need to consent the participant to the potential breach of confidentiality in advance (in which case  </w:t>
      </w:r>
      <w:r>
        <w:rPr>
          <w:lang w:val="en-GB"/>
        </w:rPr>
        <w:t>recruiting</w:t>
      </w:r>
      <w:r w:rsidR="00165A7F">
        <w:rPr>
          <w:lang w:val="en-GB"/>
        </w:rPr>
        <w:t xml:space="preserve"> might become more difficult, and those that were recruited would potentially speak less openly) or they would need to breach the element of trust built between the participant and </w:t>
      </w:r>
      <w:r>
        <w:rPr>
          <w:lang w:val="en-GB"/>
        </w:rPr>
        <w:t xml:space="preserve">researcher, which can be particularly damaging to someone who has previously been abused.  </w:t>
      </w:r>
    </w:p>
    <w:p w14:paraId="02424070" w14:textId="295AF47D" w:rsidR="008D1056" w:rsidRDefault="00434DF6" w:rsidP="008D1056">
      <w:pPr>
        <w:rPr>
          <w:lang w:val="en-GB"/>
        </w:rPr>
      </w:pPr>
      <w:r>
        <w:rPr>
          <w:lang w:val="en-GB"/>
        </w:rPr>
        <w:t xml:space="preserve">The authors reviewed several legal jurisdictions, and concluded that  </w:t>
      </w:r>
      <w:r w:rsidR="00521DB4">
        <w:rPr>
          <w:lang w:val="en-GB"/>
        </w:rPr>
        <w:t>in the UK –</w:t>
      </w:r>
      <w:r>
        <w:rPr>
          <w:lang w:val="en-GB"/>
        </w:rPr>
        <w:t xml:space="preserve"> </w:t>
      </w:r>
      <w:r w:rsidR="00521DB4">
        <w:rPr>
          <w:lang w:val="en-GB"/>
        </w:rPr>
        <w:t xml:space="preserve">and </w:t>
      </w:r>
      <w:r>
        <w:rPr>
          <w:lang w:val="en-GB"/>
        </w:rPr>
        <w:t>even in countries where there are some mandatory reporting laws - researchers would not be legally obliged to report disclosures of historic abuse against the wishes of the participants</w:t>
      </w:r>
      <w:r w:rsidR="00521DB4">
        <w:rPr>
          <w:lang w:val="en-GB"/>
        </w:rPr>
        <w:t xml:space="preserve">. </w:t>
      </w:r>
      <w:r w:rsidR="008D1056">
        <w:rPr>
          <w:lang w:val="en-GB"/>
        </w:rPr>
        <w:t xml:space="preserve">They recommend that, in the event of a public interest disclosure occurring (for example relating that a perpetrator might pose a current risk to vulnerable people) a safety risk should be assessed by an independent agency on an anonymous basis. </w:t>
      </w:r>
    </w:p>
    <w:p w14:paraId="226DF9D2" w14:textId="1033260E" w:rsidR="008D1056" w:rsidRDefault="002559DF">
      <w:pPr>
        <w:rPr>
          <w:lang w:val="en-GB"/>
        </w:rPr>
      </w:pPr>
      <w:r>
        <w:rPr>
          <w:lang w:val="en-GB"/>
        </w:rPr>
        <w:t xml:space="preserve">Silverio et al emphasise that </w:t>
      </w:r>
      <w:r w:rsidR="00521DB4">
        <w:rPr>
          <w:lang w:val="en-GB"/>
        </w:rPr>
        <w:t xml:space="preserve">Researchers and Research  Ethics committees </w:t>
      </w:r>
      <w:r w:rsidR="008D1056">
        <w:rPr>
          <w:lang w:val="en-GB"/>
        </w:rPr>
        <w:t xml:space="preserve">have  a responsibility to review and understand legal </w:t>
      </w:r>
      <w:r w:rsidR="00521DB4">
        <w:rPr>
          <w:lang w:val="en-GB"/>
        </w:rPr>
        <w:t xml:space="preserve">obligations in their country before they undertake </w:t>
      </w:r>
      <w:r>
        <w:rPr>
          <w:lang w:val="en-GB"/>
        </w:rPr>
        <w:t xml:space="preserve">or review </w:t>
      </w:r>
      <w:r w:rsidR="00521DB4">
        <w:rPr>
          <w:lang w:val="en-GB"/>
        </w:rPr>
        <w:t xml:space="preserve">research which may unearth historical crimes; to not do so might lead to the research itself becoming re-traumatising and unethical. They should also be prepared to offer participants </w:t>
      </w:r>
      <w:r w:rsidR="008D1056">
        <w:rPr>
          <w:lang w:val="en-GB"/>
        </w:rPr>
        <w:t xml:space="preserve">guidance to external support, and reporting should they wish it. </w:t>
      </w:r>
      <w:r w:rsidR="00B36075">
        <w:rPr>
          <w:lang w:val="en-GB"/>
        </w:rPr>
        <w:t>The primary ethical responsibility of the researcher lies with the participant</w:t>
      </w:r>
      <w:r w:rsidR="009561DD">
        <w:rPr>
          <w:lang w:val="en-GB"/>
        </w:rPr>
        <w:t xml:space="preserve">, and maintaining the trust that they have asked for. </w:t>
      </w:r>
    </w:p>
    <w:p w14:paraId="62CF1F6D" w14:textId="3EF58A6A" w:rsidR="009561DD" w:rsidRDefault="009561DD">
      <w:pPr>
        <w:rPr>
          <w:lang w:val="en-GB"/>
        </w:rPr>
      </w:pPr>
    </w:p>
    <w:p w14:paraId="779FCDC9" w14:textId="2B8695DA" w:rsidR="00C32D6F" w:rsidRDefault="00D10CDB">
      <w:pPr>
        <w:rPr>
          <w:lang w:val="en-US"/>
        </w:rPr>
      </w:pPr>
      <w:proofErr w:type="spellStart"/>
      <w:r w:rsidRPr="00D10CDB">
        <w:rPr>
          <w:lang w:val="en-US"/>
        </w:rPr>
        <w:t>Gabrielli</w:t>
      </w:r>
      <w:proofErr w:type="spellEnd"/>
      <w:r w:rsidRPr="00D10CDB">
        <w:rPr>
          <w:lang w:val="en-US"/>
        </w:rPr>
        <w:t xml:space="preserve"> et al examine issues with the increas</w:t>
      </w:r>
      <w:r>
        <w:rPr>
          <w:lang w:val="en-US"/>
        </w:rPr>
        <w:t xml:space="preserve">ingly prevalent practice </w:t>
      </w:r>
      <w:r w:rsidR="00BD4C0E">
        <w:rPr>
          <w:lang w:val="en-US"/>
        </w:rPr>
        <w:t>of</w:t>
      </w:r>
      <w:r>
        <w:rPr>
          <w:lang w:val="en-US"/>
        </w:rPr>
        <w:t xml:space="preserve"> audio </w:t>
      </w:r>
      <w:r w:rsidR="00612538">
        <w:rPr>
          <w:lang w:val="en-US"/>
        </w:rPr>
        <w:t>and/</w:t>
      </w:r>
      <w:r>
        <w:rPr>
          <w:lang w:val="en-US"/>
        </w:rPr>
        <w:t xml:space="preserve">or </w:t>
      </w:r>
      <w:r w:rsidR="00612538">
        <w:rPr>
          <w:lang w:val="en-US"/>
        </w:rPr>
        <w:t>video</w:t>
      </w:r>
      <w:r>
        <w:rPr>
          <w:lang w:val="en-US"/>
        </w:rPr>
        <w:t xml:space="preserve"> recording in the operating room</w:t>
      </w:r>
      <w:r w:rsidR="00D94539">
        <w:rPr>
          <w:lang w:val="en-US"/>
        </w:rPr>
        <w:t>, which is done to improve patient safety, surgical training, and accountability</w:t>
      </w:r>
      <w:r w:rsidR="00612538">
        <w:rPr>
          <w:lang w:val="en-US"/>
        </w:rPr>
        <w:t>.</w:t>
      </w:r>
      <w:r w:rsidR="00566EE6">
        <w:rPr>
          <w:lang w:val="en-US"/>
        </w:rPr>
        <w:fldChar w:fldCharType="begin"/>
      </w:r>
      <w:r w:rsidR="00566EE6">
        <w:rPr>
          <w:lang w:val="en-US"/>
        </w:rPr>
        <w:instrText xml:space="preserve"> ADDIN EN.CITE &lt;EndNote&gt;&lt;Cite&gt;&lt;Author&gt;Gabrielli&lt;/Author&gt;&lt;Year&gt;2020&lt;/Year&gt;&lt;RecNum&gt;9424&lt;/RecNum&gt;&lt;DisplayText&gt;[4]&lt;/DisplayText&gt;&lt;record&gt;&lt;rec-number&gt;9424&lt;/rec-number&gt;&lt;foreign-keys&gt;&lt;key app="EN" db-id="vzxdfftalxr2xyestrn5sxzrv2vf5wravrwr" timestamp="1636100085"&gt;9424&lt;/key&gt;&lt;/foreign-keys&gt;&lt;ref-type name="Journal Article"&gt;17&lt;/ref-type&gt;&lt;contributors&gt;&lt;authors&gt;&lt;author&gt;Gabrielli, M.&lt;/author&gt;&lt;author&gt;Valera, L.&lt;/author&gt;&lt;author&gt;Barrientos, M.&lt;/author&gt;&lt;/authors&gt;&lt;/contributors&gt;&lt;auth-address&gt;Department of Digestive Surgery, Pontificia Universidad Catolica de Chile, Santiago, Chile.&amp;#xD;Department of Philosophy, Bioethics Centre, Pontificia Universidad Catolica de Chile, Santiago, Chile luvalera@uc.cl.&amp;#xD;Department of Law, Insurance Research Center, Pontificia Universidad Catolica de Chile, Santiago, Chile.&lt;/auth-address&gt;&lt;titles&gt;&lt;title&gt;Audio and panoramic video recording in the operating room: legal and ethical perspectives&lt;/title&gt;&lt;secondary-title&gt;J Med Ethics&lt;/secondary-title&gt;&lt;/titles&gt;&lt;periodical&gt;&lt;full-title&gt;Journal of Medical Ethics&lt;/full-title&gt;&lt;abbr-1&gt;J Med Ethics&lt;/abbr-1&gt;&lt;/periodical&gt;&lt;edition&gt;2020/04/04&lt;/edition&gt;&lt;keywords&gt;&lt;keyword&gt;clinical ethics&lt;/keyword&gt;&lt;keyword&gt;informed consent&lt;/keyword&gt;&lt;keyword&gt;legal aspects&lt;/keyword&gt;&lt;keyword&gt;research ethics&lt;/keyword&gt;&lt;keyword&gt;surgery&lt;/keyword&gt;&lt;/keywords&gt;&lt;dates&gt;&lt;year&gt;2020&lt;/year&gt;&lt;pub-dates&gt;&lt;date&gt;Apr 2&lt;/date&gt;&lt;/pub-dates&gt;&lt;/dates&gt;&lt;isbn&gt;1473-4257 (Electronic)&amp;#xD;0306-6800 (Linking)&lt;/isbn&gt;&lt;accession-num&gt;32241807&lt;/accession-num&gt;&lt;urls&gt;&lt;related-urls&gt;&lt;url&gt;https://www.ncbi.nlm.nih.gov/pubmed/32241807&lt;/url&gt;&lt;/related-urls&gt;&lt;/urls&gt;&lt;electronic-resource-num&gt;10.1136/medethics-2019-106056&lt;/electronic-resource-num&gt;&lt;/record&gt;&lt;/Cite&gt;&lt;/EndNote&gt;</w:instrText>
      </w:r>
      <w:r w:rsidR="00566EE6">
        <w:rPr>
          <w:lang w:val="en-US"/>
        </w:rPr>
        <w:fldChar w:fldCharType="separate"/>
      </w:r>
      <w:r w:rsidR="00566EE6">
        <w:rPr>
          <w:noProof/>
          <w:lang w:val="en-US"/>
        </w:rPr>
        <w:t>[4]</w:t>
      </w:r>
      <w:r w:rsidR="00566EE6">
        <w:rPr>
          <w:lang w:val="en-US"/>
        </w:rPr>
        <w:fldChar w:fldCharType="end"/>
      </w:r>
      <w:r w:rsidR="00612538">
        <w:rPr>
          <w:lang w:val="en-US"/>
        </w:rPr>
        <w:t xml:space="preserve"> The</w:t>
      </w:r>
      <w:r w:rsidR="00D94539">
        <w:rPr>
          <w:lang w:val="en-US"/>
        </w:rPr>
        <w:t xml:space="preserve"> authors</w:t>
      </w:r>
      <w:r w:rsidR="00612538">
        <w:rPr>
          <w:lang w:val="en-US"/>
        </w:rPr>
        <w:t xml:space="preserve"> analyse the European and American legal frameworks,  examining how the differences in them </w:t>
      </w:r>
      <w:r w:rsidR="00BD4C0E">
        <w:rPr>
          <w:lang w:val="en-US"/>
        </w:rPr>
        <w:t>are</w:t>
      </w:r>
      <w:r w:rsidR="00612538">
        <w:rPr>
          <w:lang w:val="en-US"/>
        </w:rPr>
        <w:t xml:space="preserve"> dependent on the </w:t>
      </w:r>
      <w:r w:rsidR="00BD4C0E">
        <w:rPr>
          <w:lang w:val="en-US"/>
        </w:rPr>
        <w:t xml:space="preserve">cultural </w:t>
      </w:r>
      <w:r w:rsidR="00612538">
        <w:rPr>
          <w:lang w:val="en-US"/>
        </w:rPr>
        <w:t xml:space="preserve">contexts in which they have been developed. They </w:t>
      </w:r>
      <w:r w:rsidR="00BD4C0E">
        <w:rPr>
          <w:lang w:val="en-US"/>
        </w:rPr>
        <w:t>highlight the importance of not ‘applying a foreign paradigm to a very different culture’ when developing  guidance for other regions. They examine the ethical issues of both the act of recording (including preparatory procedures such as consent) and the consequences and responsibilities that emerge from VR (for example who owns the re</w:t>
      </w:r>
      <w:r w:rsidR="00D94539">
        <w:rPr>
          <w:lang w:val="en-US"/>
        </w:rPr>
        <w:t>c</w:t>
      </w:r>
      <w:r w:rsidR="00BD4C0E">
        <w:rPr>
          <w:lang w:val="en-US"/>
        </w:rPr>
        <w:t>o</w:t>
      </w:r>
      <w:r w:rsidR="00D94539">
        <w:rPr>
          <w:lang w:val="en-US"/>
        </w:rPr>
        <w:t>r</w:t>
      </w:r>
      <w:r w:rsidR="00BD4C0E">
        <w:rPr>
          <w:lang w:val="en-US"/>
        </w:rPr>
        <w:t>dings</w:t>
      </w:r>
      <w:r w:rsidR="00D94539">
        <w:rPr>
          <w:lang w:val="en-US"/>
        </w:rPr>
        <w:t xml:space="preserve">, and who has the right to edit or delete them). </w:t>
      </w:r>
      <w:r w:rsidR="00C32D6F">
        <w:rPr>
          <w:lang w:val="en-US"/>
        </w:rPr>
        <w:t>T</w:t>
      </w:r>
      <w:r w:rsidR="00D94539">
        <w:rPr>
          <w:lang w:val="en-US"/>
        </w:rPr>
        <w:t>he</w:t>
      </w:r>
      <w:r w:rsidR="00C32D6F">
        <w:rPr>
          <w:lang w:val="en-US"/>
        </w:rPr>
        <w:t>y highlight the difficulties in adequately consenting</w:t>
      </w:r>
      <w:r w:rsidR="00D94539">
        <w:rPr>
          <w:lang w:val="en-US"/>
        </w:rPr>
        <w:t xml:space="preserve"> a patient (or surgeon) in an age when </w:t>
      </w:r>
      <w:r w:rsidR="00D94539">
        <w:rPr>
          <w:lang w:val="en-US"/>
        </w:rPr>
        <w:lastRenderedPageBreak/>
        <w:t>technology and communication  methods are developing rapidly</w:t>
      </w:r>
      <w:r w:rsidR="00C32D6F">
        <w:rPr>
          <w:lang w:val="en-US"/>
        </w:rPr>
        <w:t>:</w:t>
      </w:r>
      <w:r w:rsidR="00D94539">
        <w:rPr>
          <w:lang w:val="en-US"/>
        </w:rPr>
        <w:t xml:space="preserve"> </w:t>
      </w:r>
      <w:r w:rsidR="00C32D6F">
        <w:rPr>
          <w:lang w:val="en-US"/>
        </w:rPr>
        <w:t>w</w:t>
      </w:r>
      <w:r w:rsidR="00D94539">
        <w:rPr>
          <w:lang w:val="en-US"/>
        </w:rPr>
        <w:t xml:space="preserve">hile anonymity might be intended and promised, retrospective </w:t>
      </w:r>
      <w:r w:rsidR="00C32D6F">
        <w:rPr>
          <w:lang w:val="en-US"/>
        </w:rPr>
        <w:t>identification</w:t>
      </w:r>
      <w:r w:rsidR="00D94539">
        <w:rPr>
          <w:lang w:val="en-US"/>
        </w:rPr>
        <w:t xml:space="preserve"> at a later date, while unlikely, might be possible.</w:t>
      </w:r>
      <w:r w:rsidR="00C32D6F">
        <w:rPr>
          <w:lang w:val="en-US"/>
        </w:rPr>
        <w:t xml:space="preserve">  If the consent process covers every imaginable future possible risk it might </w:t>
      </w:r>
      <w:r w:rsidR="002559DF">
        <w:rPr>
          <w:lang w:val="en-US"/>
        </w:rPr>
        <w:t xml:space="preserve">reduce participation and </w:t>
      </w:r>
      <w:r w:rsidR="00C32D6F">
        <w:rPr>
          <w:lang w:val="en-US"/>
        </w:rPr>
        <w:t xml:space="preserve">undermine the benefits </w:t>
      </w:r>
      <w:r w:rsidR="002559DF">
        <w:rPr>
          <w:lang w:val="en-US"/>
        </w:rPr>
        <w:t xml:space="preserve">both to that particular patient and to the population. </w:t>
      </w:r>
    </w:p>
    <w:p w14:paraId="17964404" w14:textId="0320FA88" w:rsidR="00C32D6F" w:rsidRDefault="00C32D6F">
      <w:pPr>
        <w:rPr>
          <w:lang w:val="en-US"/>
        </w:rPr>
      </w:pPr>
      <w:r>
        <w:rPr>
          <w:lang w:val="en-US"/>
        </w:rPr>
        <w:t>In all of these examples</w:t>
      </w:r>
      <w:r w:rsidR="002A3D63">
        <w:rPr>
          <w:lang w:val="en-US"/>
        </w:rPr>
        <w:t>,</w:t>
      </w:r>
      <w:r>
        <w:rPr>
          <w:lang w:val="en-US"/>
        </w:rPr>
        <w:t xml:space="preserve"> </w:t>
      </w:r>
      <w:r w:rsidR="00F875CB">
        <w:rPr>
          <w:lang w:val="en-US"/>
        </w:rPr>
        <w:t xml:space="preserve">it is critical that </w:t>
      </w:r>
      <w:r>
        <w:rPr>
          <w:lang w:val="en-US"/>
        </w:rPr>
        <w:t xml:space="preserve">trust between the clinician/researcher and the participant </w:t>
      </w:r>
      <w:r w:rsidR="00F875CB">
        <w:rPr>
          <w:lang w:val="en-US"/>
        </w:rPr>
        <w:t>is</w:t>
      </w:r>
      <w:r>
        <w:rPr>
          <w:lang w:val="en-US"/>
        </w:rPr>
        <w:t xml:space="preserve"> established and maintained.  One way of doing this is to ensure that the clinician/ researcher communicates their intent to inform the patient about all reasonably predictable outcomes, but also explains the uncertainty that is inherent in predicting the futur</w:t>
      </w:r>
      <w:r w:rsidR="00543634">
        <w:rPr>
          <w:lang w:val="en-US"/>
        </w:rPr>
        <w:t xml:space="preserve">e; the authors in this issue have illustrated important examples of this. </w:t>
      </w:r>
      <w:r>
        <w:rPr>
          <w:lang w:val="en-US"/>
        </w:rPr>
        <w:t xml:space="preserve"> </w:t>
      </w:r>
    </w:p>
    <w:p w14:paraId="721BFE12" w14:textId="36EEF465" w:rsidR="00C32D6F" w:rsidRDefault="00C32D6F">
      <w:pPr>
        <w:rPr>
          <w:lang w:val="en-US"/>
        </w:rPr>
      </w:pPr>
    </w:p>
    <w:p w14:paraId="582AC0B7" w14:textId="77777777" w:rsidR="0064258C" w:rsidRDefault="0064258C">
      <w:pPr>
        <w:rPr>
          <w:lang w:val="en-US"/>
        </w:rPr>
      </w:pPr>
    </w:p>
    <w:p w14:paraId="7E2155EE" w14:textId="77777777" w:rsidR="0064258C" w:rsidRDefault="0064258C">
      <w:pPr>
        <w:rPr>
          <w:lang w:val="en-US"/>
        </w:rPr>
      </w:pPr>
    </w:p>
    <w:p w14:paraId="785E70C5" w14:textId="77777777" w:rsidR="00566EE6" w:rsidRPr="00566EE6" w:rsidRDefault="0064258C" w:rsidP="00566EE6">
      <w:pPr>
        <w:pStyle w:val="EndNoteBibliography"/>
        <w:ind w:left="720" w:hanging="720"/>
        <w:rPr>
          <w:noProof/>
        </w:rPr>
      </w:pPr>
      <w:r>
        <w:fldChar w:fldCharType="begin"/>
      </w:r>
      <w:r>
        <w:instrText xml:space="preserve"> ADDIN EN.REFLIST </w:instrText>
      </w:r>
      <w:r>
        <w:fldChar w:fldCharType="separate"/>
      </w:r>
      <w:r w:rsidR="00566EE6" w:rsidRPr="00566EE6">
        <w:rPr>
          <w:noProof/>
        </w:rPr>
        <w:t>1.</w:t>
      </w:r>
      <w:r w:rsidR="00566EE6" w:rsidRPr="00566EE6">
        <w:rPr>
          <w:noProof/>
        </w:rPr>
        <w:tab/>
        <w:t xml:space="preserve">Farrell, A.M. and M. Brazier, </w:t>
      </w:r>
      <w:r w:rsidR="00566EE6" w:rsidRPr="00566EE6">
        <w:rPr>
          <w:i/>
          <w:noProof/>
        </w:rPr>
        <w:t>Not so new directions in the law of consent? Examining Montgomery v Lanarkshire Health Board.</w:t>
      </w:r>
      <w:r w:rsidR="00566EE6" w:rsidRPr="00566EE6">
        <w:rPr>
          <w:noProof/>
        </w:rPr>
        <w:t xml:space="preserve"> J Med Ethics, 2016. </w:t>
      </w:r>
      <w:r w:rsidR="00566EE6" w:rsidRPr="00566EE6">
        <w:rPr>
          <w:b/>
          <w:noProof/>
        </w:rPr>
        <w:t>42</w:t>
      </w:r>
      <w:r w:rsidR="00566EE6" w:rsidRPr="00566EE6">
        <w:rPr>
          <w:noProof/>
        </w:rPr>
        <w:t>(2): p. 85-8.</w:t>
      </w:r>
    </w:p>
    <w:p w14:paraId="3F982378" w14:textId="77777777" w:rsidR="00566EE6" w:rsidRPr="00566EE6" w:rsidRDefault="00566EE6" w:rsidP="00566EE6">
      <w:pPr>
        <w:pStyle w:val="EndNoteBibliography"/>
        <w:ind w:left="720" w:hanging="720"/>
        <w:rPr>
          <w:noProof/>
        </w:rPr>
      </w:pPr>
      <w:r w:rsidRPr="00566EE6">
        <w:rPr>
          <w:noProof/>
        </w:rPr>
        <w:t>2.</w:t>
      </w:r>
      <w:r w:rsidRPr="00566EE6">
        <w:rPr>
          <w:noProof/>
        </w:rPr>
        <w:tab/>
        <w:t xml:space="preserve">Smith, W.R. and D. Sisti, </w:t>
      </w:r>
      <w:r w:rsidRPr="00566EE6">
        <w:rPr>
          <w:i/>
          <w:noProof/>
        </w:rPr>
        <w:t>Ethics and ego dissolution: the case of psilocybin.</w:t>
      </w:r>
      <w:r w:rsidRPr="00566EE6">
        <w:rPr>
          <w:noProof/>
        </w:rPr>
        <w:t xml:space="preserve"> J Med Ethics, 2020.</w:t>
      </w:r>
    </w:p>
    <w:p w14:paraId="67530352" w14:textId="77777777" w:rsidR="00566EE6" w:rsidRPr="00566EE6" w:rsidRDefault="00566EE6" w:rsidP="00566EE6">
      <w:pPr>
        <w:pStyle w:val="EndNoteBibliography"/>
        <w:ind w:left="720" w:hanging="720"/>
        <w:rPr>
          <w:noProof/>
        </w:rPr>
      </w:pPr>
      <w:r w:rsidRPr="00566EE6">
        <w:rPr>
          <w:noProof/>
        </w:rPr>
        <w:t>3.</w:t>
      </w:r>
      <w:r w:rsidRPr="00566EE6">
        <w:rPr>
          <w:noProof/>
        </w:rPr>
        <w:tab/>
        <w:t xml:space="preserve">Silverio, S.A., et al., </w:t>
      </w:r>
      <w:r w:rsidRPr="00566EE6">
        <w:rPr>
          <w:i/>
          <w:noProof/>
        </w:rPr>
        <w:t>Disclosure of non-recent (historic) childhood sexual abuse: What should researchers do?</w:t>
      </w:r>
      <w:r w:rsidRPr="00566EE6">
        <w:rPr>
          <w:noProof/>
        </w:rPr>
        <w:t xml:space="preserve"> J Med Ethics, 2020.</w:t>
      </w:r>
    </w:p>
    <w:p w14:paraId="66DF10A1" w14:textId="77777777" w:rsidR="00566EE6" w:rsidRPr="00566EE6" w:rsidRDefault="00566EE6" w:rsidP="00566EE6">
      <w:pPr>
        <w:pStyle w:val="EndNoteBibliography"/>
        <w:ind w:left="720" w:hanging="720"/>
        <w:rPr>
          <w:noProof/>
        </w:rPr>
      </w:pPr>
      <w:r w:rsidRPr="00566EE6">
        <w:rPr>
          <w:noProof/>
        </w:rPr>
        <w:t>4.</w:t>
      </w:r>
      <w:r w:rsidRPr="00566EE6">
        <w:rPr>
          <w:noProof/>
        </w:rPr>
        <w:tab/>
        <w:t xml:space="preserve">Gabrielli, M., L. Valera, and M. Barrientos, </w:t>
      </w:r>
      <w:r w:rsidRPr="00566EE6">
        <w:rPr>
          <w:i/>
          <w:noProof/>
        </w:rPr>
        <w:t>Audio and panoramic video recording in the operating room: legal and ethical perspectives.</w:t>
      </w:r>
      <w:r w:rsidRPr="00566EE6">
        <w:rPr>
          <w:noProof/>
        </w:rPr>
        <w:t xml:space="preserve"> J Med Ethics, 2020.</w:t>
      </w:r>
    </w:p>
    <w:p w14:paraId="0822AA46" w14:textId="578365A3" w:rsidR="00C32D6F" w:rsidRPr="00D10CDB" w:rsidRDefault="0064258C">
      <w:pPr>
        <w:rPr>
          <w:lang w:val="en-US"/>
        </w:rPr>
      </w:pPr>
      <w:r>
        <w:rPr>
          <w:lang w:val="en-US"/>
        </w:rPr>
        <w:fldChar w:fldCharType="end"/>
      </w:r>
    </w:p>
    <w:sectPr w:rsidR="00C32D6F" w:rsidRPr="00D10CDB">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7"/>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Numbered&lt;/Style&gt;&lt;LeftDelim&gt;{&lt;/LeftDelim&gt;&lt;RightDelim&gt;}&lt;/RightDelim&gt;&lt;FontName&gt;Calibri&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vzxdfftalxr2xyestrn5sxzrv2vf5wravrwr&quot;&gt;My EndNote Library&lt;record-ids&gt;&lt;item&gt;9386&lt;/item&gt;&lt;item&gt;9424&lt;/item&gt;&lt;item&gt;9425&lt;/item&gt;&lt;item&gt;9426&lt;/item&gt;&lt;/record-ids&gt;&lt;/item&gt;&lt;/Libraries&gt;"/>
  </w:docVars>
  <w:rsids>
    <w:rsidRoot w:val="00C34069"/>
    <w:rsid w:val="00145B28"/>
    <w:rsid w:val="00165A7F"/>
    <w:rsid w:val="00167CBF"/>
    <w:rsid w:val="00193261"/>
    <w:rsid w:val="002474F5"/>
    <w:rsid w:val="002559DF"/>
    <w:rsid w:val="00286447"/>
    <w:rsid w:val="002A3D63"/>
    <w:rsid w:val="00326574"/>
    <w:rsid w:val="00434DF6"/>
    <w:rsid w:val="004C1A9B"/>
    <w:rsid w:val="004D3F3A"/>
    <w:rsid w:val="004E6B95"/>
    <w:rsid w:val="00521DB4"/>
    <w:rsid w:val="00543634"/>
    <w:rsid w:val="00566EE6"/>
    <w:rsid w:val="00570C60"/>
    <w:rsid w:val="00574649"/>
    <w:rsid w:val="0058584F"/>
    <w:rsid w:val="00612538"/>
    <w:rsid w:val="0064258C"/>
    <w:rsid w:val="007847B8"/>
    <w:rsid w:val="008D1056"/>
    <w:rsid w:val="008D2916"/>
    <w:rsid w:val="009561DD"/>
    <w:rsid w:val="009C67B9"/>
    <w:rsid w:val="00A16BB6"/>
    <w:rsid w:val="00A270FB"/>
    <w:rsid w:val="00B36075"/>
    <w:rsid w:val="00BD4C0E"/>
    <w:rsid w:val="00C248CA"/>
    <w:rsid w:val="00C32D6F"/>
    <w:rsid w:val="00C34069"/>
    <w:rsid w:val="00C42C21"/>
    <w:rsid w:val="00CA2DE7"/>
    <w:rsid w:val="00D10CDB"/>
    <w:rsid w:val="00D12FF7"/>
    <w:rsid w:val="00D94539"/>
    <w:rsid w:val="00DE1D63"/>
    <w:rsid w:val="00E55098"/>
    <w:rsid w:val="00E80607"/>
    <w:rsid w:val="00F875CB"/>
  </w:rsids>
  <m:mathPr>
    <m:mathFont m:val="Cambria Math"/>
    <m:brkBin m:val="before"/>
    <m:brkBinSub m:val="--"/>
    <m:smallFrac m:val="0"/>
    <m:dispDef/>
    <m:lMargin m:val="0"/>
    <m:rMargin m:val="0"/>
    <m:defJc m:val="centerGroup"/>
    <m:wrapIndent m:val="1440"/>
    <m:intLim m:val="subSup"/>
    <m:naryLim m:val="undOvr"/>
  </m:mathPr>
  <w:themeFontLang w:val="en-D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3638A8"/>
  <w15:chartTrackingRefBased/>
  <w15:docId w15:val="{53721C6B-E181-D04B-88F1-F25956D20F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DK"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D94539"/>
    <w:rPr>
      <w:sz w:val="16"/>
      <w:szCs w:val="16"/>
    </w:rPr>
  </w:style>
  <w:style w:type="paragraph" w:styleId="CommentText">
    <w:name w:val="annotation text"/>
    <w:basedOn w:val="Normal"/>
    <w:link w:val="CommentTextChar"/>
    <w:uiPriority w:val="99"/>
    <w:semiHidden/>
    <w:unhideWhenUsed/>
    <w:rsid w:val="00D94539"/>
    <w:rPr>
      <w:sz w:val="20"/>
      <w:szCs w:val="20"/>
    </w:rPr>
  </w:style>
  <w:style w:type="character" w:customStyle="1" w:styleId="CommentTextChar">
    <w:name w:val="Comment Text Char"/>
    <w:basedOn w:val="DefaultParagraphFont"/>
    <w:link w:val="CommentText"/>
    <w:uiPriority w:val="99"/>
    <w:semiHidden/>
    <w:rsid w:val="00D94539"/>
    <w:rPr>
      <w:sz w:val="20"/>
      <w:szCs w:val="20"/>
    </w:rPr>
  </w:style>
  <w:style w:type="paragraph" w:styleId="CommentSubject">
    <w:name w:val="annotation subject"/>
    <w:basedOn w:val="CommentText"/>
    <w:next w:val="CommentText"/>
    <w:link w:val="CommentSubjectChar"/>
    <w:uiPriority w:val="99"/>
    <w:semiHidden/>
    <w:unhideWhenUsed/>
    <w:rsid w:val="00D94539"/>
    <w:rPr>
      <w:b/>
      <w:bCs/>
    </w:rPr>
  </w:style>
  <w:style w:type="character" w:customStyle="1" w:styleId="CommentSubjectChar">
    <w:name w:val="Comment Subject Char"/>
    <w:basedOn w:val="CommentTextChar"/>
    <w:link w:val="CommentSubject"/>
    <w:uiPriority w:val="99"/>
    <w:semiHidden/>
    <w:rsid w:val="00D94539"/>
    <w:rPr>
      <w:b/>
      <w:bCs/>
      <w:sz w:val="20"/>
      <w:szCs w:val="20"/>
    </w:rPr>
  </w:style>
  <w:style w:type="paragraph" w:customStyle="1" w:styleId="EndNoteBibliographyTitle">
    <w:name w:val="EndNote Bibliography Title"/>
    <w:basedOn w:val="Normal"/>
    <w:link w:val="EndNoteBibliographyTitleChar"/>
    <w:rsid w:val="0064258C"/>
    <w:pPr>
      <w:jc w:val="center"/>
    </w:pPr>
    <w:rPr>
      <w:rFonts w:ascii="Calibri" w:hAnsi="Calibri" w:cs="Calibri"/>
      <w:lang w:val="en-US"/>
    </w:rPr>
  </w:style>
  <w:style w:type="character" w:customStyle="1" w:styleId="EndNoteBibliographyTitleChar">
    <w:name w:val="EndNote Bibliography Title Char"/>
    <w:basedOn w:val="DefaultParagraphFont"/>
    <w:link w:val="EndNoteBibliographyTitle"/>
    <w:rsid w:val="0064258C"/>
    <w:rPr>
      <w:rFonts w:ascii="Calibri" w:hAnsi="Calibri" w:cs="Calibri"/>
      <w:lang w:val="en-US"/>
    </w:rPr>
  </w:style>
  <w:style w:type="paragraph" w:customStyle="1" w:styleId="EndNoteBibliography">
    <w:name w:val="EndNote Bibliography"/>
    <w:basedOn w:val="Normal"/>
    <w:link w:val="EndNoteBibliographyChar"/>
    <w:rsid w:val="0064258C"/>
    <w:rPr>
      <w:rFonts w:ascii="Calibri" w:hAnsi="Calibri" w:cs="Calibri"/>
      <w:lang w:val="en-US"/>
    </w:rPr>
  </w:style>
  <w:style w:type="character" w:customStyle="1" w:styleId="EndNoteBibliographyChar">
    <w:name w:val="EndNote Bibliography Char"/>
    <w:basedOn w:val="DefaultParagraphFont"/>
    <w:link w:val="EndNoteBibliography"/>
    <w:rsid w:val="0064258C"/>
    <w:rPr>
      <w:rFonts w:ascii="Calibri" w:hAnsi="Calibri" w:cs="Calibri"/>
      <w:lang w:val="en-US"/>
    </w:rPr>
  </w:style>
  <w:style w:type="paragraph" w:styleId="Revision">
    <w:name w:val="Revision"/>
    <w:hidden/>
    <w:uiPriority w:val="99"/>
    <w:semiHidden/>
    <w:rsid w:val="0064258C"/>
  </w:style>
  <w:style w:type="paragraph" w:styleId="BalloonText">
    <w:name w:val="Balloon Text"/>
    <w:basedOn w:val="Normal"/>
    <w:link w:val="BalloonTextChar"/>
    <w:uiPriority w:val="99"/>
    <w:semiHidden/>
    <w:unhideWhenUsed/>
    <w:rsid w:val="00193261"/>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93261"/>
    <w:rPr>
      <w:rFonts w:ascii="Segoe UI" w:hAnsi="Segoe UI" w:cs="Segoe UI"/>
      <w:sz w:val="18"/>
      <w:szCs w:val="18"/>
    </w:rPr>
  </w:style>
  <w:style w:type="character" w:customStyle="1" w:styleId="highwire-citation-authors">
    <w:name w:val="highwire-citation-authors"/>
    <w:basedOn w:val="DefaultParagraphFont"/>
    <w:rsid w:val="009C67B9"/>
  </w:style>
  <w:style w:type="character" w:customStyle="1" w:styleId="highwire-citation-author">
    <w:name w:val="highwire-citation-author"/>
    <w:basedOn w:val="DefaultParagraphFont"/>
    <w:rsid w:val="009C67B9"/>
  </w:style>
  <w:style w:type="character" w:customStyle="1" w:styleId="nlm-surname">
    <w:name w:val="nlm-surname"/>
    <w:basedOn w:val="DefaultParagraphFont"/>
    <w:rsid w:val="009C67B9"/>
  </w:style>
  <w:style w:type="character" w:customStyle="1" w:styleId="apple-converted-space">
    <w:name w:val="apple-converted-space"/>
    <w:basedOn w:val="DefaultParagraphFont"/>
    <w:rsid w:val="009C67B9"/>
  </w:style>
  <w:style w:type="character" w:customStyle="1" w:styleId="highwire-cite-metadata-journal">
    <w:name w:val="highwire-cite-metadata-journal"/>
    <w:basedOn w:val="DefaultParagraphFont"/>
    <w:rsid w:val="009C67B9"/>
  </w:style>
  <w:style w:type="character" w:customStyle="1" w:styleId="highwire-cite-metadata-date">
    <w:name w:val="highwire-cite-metadata-date"/>
    <w:basedOn w:val="DefaultParagraphFont"/>
    <w:rsid w:val="009C67B9"/>
  </w:style>
  <w:style w:type="character" w:customStyle="1" w:styleId="label">
    <w:name w:val="label"/>
    <w:basedOn w:val="DefaultParagraphFont"/>
    <w:rsid w:val="009C67B9"/>
  </w:style>
  <w:style w:type="character" w:customStyle="1" w:styleId="highwire-cite-metadata-doi">
    <w:name w:val="highwire-cite-metadata-doi"/>
    <w:basedOn w:val="DefaultParagraphFont"/>
    <w:rsid w:val="009C67B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155913">
      <w:bodyDiv w:val="1"/>
      <w:marLeft w:val="0"/>
      <w:marRight w:val="0"/>
      <w:marTop w:val="0"/>
      <w:marBottom w:val="0"/>
      <w:divBdr>
        <w:top w:val="none" w:sz="0" w:space="0" w:color="auto"/>
        <w:left w:val="none" w:sz="0" w:space="0" w:color="auto"/>
        <w:bottom w:val="none" w:sz="0" w:space="0" w:color="auto"/>
        <w:right w:val="none" w:sz="0" w:space="0" w:color="auto"/>
      </w:divBdr>
    </w:div>
    <w:div w:id="137459936">
      <w:bodyDiv w:val="1"/>
      <w:marLeft w:val="0"/>
      <w:marRight w:val="0"/>
      <w:marTop w:val="0"/>
      <w:marBottom w:val="0"/>
      <w:divBdr>
        <w:top w:val="none" w:sz="0" w:space="0" w:color="auto"/>
        <w:left w:val="none" w:sz="0" w:space="0" w:color="auto"/>
        <w:bottom w:val="none" w:sz="0" w:space="0" w:color="auto"/>
        <w:right w:val="none" w:sz="0" w:space="0" w:color="auto"/>
      </w:divBdr>
    </w:div>
    <w:div w:id="555823213">
      <w:bodyDiv w:val="1"/>
      <w:marLeft w:val="0"/>
      <w:marRight w:val="0"/>
      <w:marTop w:val="0"/>
      <w:marBottom w:val="0"/>
      <w:divBdr>
        <w:top w:val="none" w:sz="0" w:space="0" w:color="auto"/>
        <w:left w:val="none" w:sz="0" w:space="0" w:color="auto"/>
        <w:bottom w:val="none" w:sz="0" w:space="0" w:color="auto"/>
        <w:right w:val="none" w:sz="0" w:space="0" w:color="auto"/>
      </w:divBdr>
      <w:divsChild>
        <w:div w:id="319694968">
          <w:marLeft w:val="0"/>
          <w:marRight w:val="0"/>
          <w:marTop w:val="0"/>
          <w:marBottom w:val="0"/>
          <w:divBdr>
            <w:top w:val="none" w:sz="0" w:space="0" w:color="auto"/>
            <w:left w:val="none" w:sz="0" w:space="0" w:color="auto"/>
            <w:bottom w:val="none" w:sz="0" w:space="0" w:color="auto"/>
            <w:right w:val="none" w:sz="0" w:space="0" w:color="auto"/>
          </w:divBdr>
        </w:div>
        <w:div w:id="143668595">
          <w:marLeft w:val="0"/>
          <w:marRight w:val="0"/>
          <w:marTop w:val="0"/>
          <w:marBottom w:val="0"/>
          <w:divBdr>
            <w:top w:val="none" w:sz="0" w:space="0" w:color="auto"/>
            <w:left w:val="none" w:sz="0" w:space="0" w:color="auto"/>
            <w:bottom w:val="none" w:sz="0" w:space="0" w:color="auto"/>
            <w:right w:val="none" w:sz="0" w:space="0" w:color="auto"/>
          </w:divBdr>
        </w:div>
        <w:div w:id="35843603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TotalTime>
  <Pages>3</Pages>
  <Words>2091</Words>
  <Characters>11925</Characters>
  <Application>Microsoft Office Word</Application>
  <DocSecurity>0</DocSecurity>
  <Lines>99</Lines>
  <Paragraphs>27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13989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Z.B.M. Fritz</dc:creator>
  <cp:keywords/>
  <dc:description/>
  <cp:lastModifiedBy>Z.B.M. Fritz</cp:lastModifiedBy>
  <cp:revision>3</cp:revision>
  <dcterms:created xsi:type="dcterms:W3CDTF">2021-11-04T20:56:00Z</dcterms:created>
  <dcterms:modified xsi:type="dcterms:W3CDTF">2021-11-05T08:18:00Z</dcterms:modified>
</cp:coreProperties>
</file>