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2FCBAD" w14:textId="25809F02" w:rsidR="002273E9" w:rsidRDefault="003B0EF7" w:rsidP="00867264">
      <w:pPr>
        <w:spacing w:line="480" w:lineRule="auto"/>
        <w:rPr>
          <w:rFonts w:ascii="Calibri" w:hAnsi="Calibri" w:cs="Calibri"/>
          <w:b/>
          <w:bCs/>
        </w:rPr>
      </w:pPr>
      <w:r>
        <w:rPr>
          <w:rFonts w:ascii="Calibri" w:hAnsi="Calibri" w:cs="Calibri"/>
          <w:b/>
          <w:bCs/>
        </w:rPr>
        <w:t>C</w:t>
      </w:r>
      <w:r w:rsidR="003D7409" w:rsidRPr="00FA78C5">
        <w:rPr>
          <w:rFonts w:ascii="Calibri" w:hAnsi="Calibri" w:cs="Calibri"/>
          <w:b/>
          <w:bCs/>
        </w:rPr>
        <w:t xml:space="preserve">linical features and outcomes </w:t>
      </w:r>
      <w:r>
        <w:rPr>
          <w:rFonts w:ascii="Calibri" w:hAnsi="Calibri" w:cs="Calibri"/>
          <w:b/>
          <w:bCs/>
        </w:rPr>
        <w:t>in 38</w:t>
      </w:r>
      <w:r w:rsidR="003D7409" w:rsidRPr="00FA78C5">
        <w:rPr>
          <w:rFonts w:ascii="Calibri" w:hAnsi="Calibri" w:cs="Calibri"/>
          <w:b/>
          <w:bCs/>
        </w:rPr>
        <w:t xml:space="preserve"> </w:t>
      </w:r>
      <w:r w:rsidR="003D7409">
        <w:rPr>
          <w:rFonts w:ascii="Calibri" w:hAnsi="Calibri" w:cs="Calibri"/>
          <w:b/>
          <w:bCs/>
        </w:rPr>
        <w:t xml:space="preserve">dogs with </w:t>
      </w:r>
      <w:r w:rsidR="003D7409" w:rsidRPr="00FA78C5">
        <w:rPr>
          <w:rFonts w:ascii="Calibri" w:hAnsi="Calibri" w:cs="Calibri"/>
          <w:b/>
          <w:bCs/>
        </w:rPr>
        <w:t xml:space="preserve">cholelithiasis </w:t>
      </w:r>
      <w:r w:rsidR="003D7409">
        <w:rPr>
          <w:rFonts w:ascii="Calibri" w:hAnsi="Calibri" w:cs="Calibri"/>
          <w:b/>
          <w:bCs/>
        </w:rPr>
        <w:t>receiving conservative or surgical management.</w:t>
      </w:r>
    </w:p>
    <w:p w14:paraId="3B9701F1" w14:textId="6C3F6A4B" w:rsidR="00626D9C" w:rsidRPr="005C607F" w:rsidRDefault="00422A00" w:rsidP="00867264">
      <w:pPr>
        <w:spacing w:line="480" w:lineRule="auto"/>
        <w:rPr>
          <w:rFonts w:ascii="Calibri" w:hAnsi="Calibri" w:cs="Calibri"/>
          <w:b/>
          <w:bCs/>
        </w:rPr>
      </w:pPr>
      <w:r w:rsidRPr="005C607F">
        <w:rPr>
          <w:rFonts w:ascii="Calibri" w:hAnsi="Calibri" w:cs="Calibri"/>
          <w:b/>
          <w:bCs/>
        </w:rPr>
        <w:t>Abstract</w:t>
      </w:r>
    </w:p>
    <w:p w14:paraId="31555B6F" w14:textId="20D88B97" w:rsidR="003D140C" w:rsidRPr="005C607F" w:rsidRDefault="00626D9C" w:rsidP="00867264">
      <w:pPr>
        <w:spacing w:line="480" w:lineRule="auto"/>
        <w:rPr>
          <w:rFonts w:ascii="Calibri" w:hAnsi="Calibri" w:cs="Calibri"/>
          <w:b/>
          <w:bCs/>
        </w:rPr>
      </w:pPr>
      <w:r w:rsidRPr="005C607F">
        <w:rPr>
          <w:rFonts w:ascii="Calibri" w:hAnsi="Calibri" w:cs="Calibri"/>
          <w:b/>
          <w:bCs/>
        </w:rPr>
        <w:t xml:space="preserve">Background </w:t>
      </w:r>
    </w:p>
    <w:p w14:paraId="1666AEE3" w14:textId="67D6B4E9" w:rsidR="003D140C" w:rsidRPr="005C607F" w:rsidRDefault="0059087F" w:rsidP="00867264">
      <w:pPr>
        <w:spacing w:line="480" w:lineRule="auto"/>
        <w:rPr>
          <w:rFonts w:ascii="Calibri" w:hAnsi="Calibri" w:cs="Calibri"/>
        </w:rPr>
      </w:pPr>
      <w:r w:rsidRPr="005C607F">
        <w:rPr>
          <w:rFonts w:ascii="Calibri" w:hAnsi="Calibri" w:cs="Calibri"/>
        </w:rPr>
        <w:t xml:space="preserve">Ursodeoxycholic acid is used in human medicine for litholytic management of choleliths, </w:t>
      </w:r>
      <w:r w:rsidR="00C06730">
        <w:rPr>
          <w:rFonts w:ascii="Calibri" w:hAnsi="Calibri" w:cs="Calibri"/>
        </w:rPr>
        <w:t>but</w:t>
      </w:r>
      <w:r w:rsidR="00C06730" w:rsidRPr="005C607F">
        <w:rPr>
          <w:rFonts w:ascii="Calibri" w:hAnsi="Calibri" w:cs="Calibri"/>
        </w:rPr>
        <w:t xml:space="preserve"> </w:t>
      </w:r>
      <w:r w:rsidRPr="005C607F">
        <w:rPr>
          <w:rFonts w:ascii="Calibri" w:hAnsi="Calibri" w:cs="Calibri"/>
        </w:rPr>
        <w:t xml:space="preserve">the </w:t>
      </w:r>
      <w:r w:rsidR="00DF1CFB">
        <w:rPr>
          <w:rFonts w:ascii="Calibri" w:hAnsi="Calibri" w:cs="Calibri"/>
        </w:rPr>
        <w:t xml:space="preserve">efficacy of </w:t>
      </w:r>
      <w:r w:rsidR="00A229FB" w:rsidRPr="005C607F">
        <w:rPr>
          <w:rFonts w:ascii="Calibri" w:hAnsi="Calibri" w:cs="Calibri"/>
        </w:rPr>
        <w:t>medical</w:t>
      </w:r>
      <w:r w:rsidRPr="005C607F">
        <w:rPr>
          <w:rFonts w:ascii="Calibri" w:hAnsi="Calibri" w:cs="Calibri"/>
        </w:rPr>
        <w:t xml:space="preserve"> management </w:t>
      </w:r>
      <w:r w:rsidR="00C06730">
        <w:rPr>
          <w:rFonts w:ascii="Calibri" w:hAnsi="Calibri" w:cs="Calibri"/>
        </w:rPr>
        <w:t>in dogs with</w:t>
      </w:r>
      <w:r w:rsidRPr="005C607F">
        <w:rPr>
          <w:rFonts w:ascii="Calibri" w:hAnsi="Calibri" w:cs="Calibri"/>
        </w:rPr>
        <w:t xml:space="preserve"> cholelithiasis is unknown. </w:t>
      </w:r>
    </w:p>
    <w:p w14:paraId="20A770E4" w14:textId="77777777" w:rsidR="003D140C" w:rsidRPr="005C607F" w:rsidRDefault="003D140C" w:rsidP="00867264">
      <w:pPr>
        <w:spacing w:line="480" w:lineRule="auto"/>
        <w:rPr>
          <w:rFonts w:ascii="Calibri" w:hAnsi="Calibri" w:cs="Calibri"/>
        </w:rPr>
      </w:pPr>
    </w:p>
    <w:p w14:paraId="40A43580" w14:textId="77777777" w:rsidR="00780562" w:rsidRPr="005C607F" w:rsidRDefault="00626D9C" w:rsidP="00867264">
      <w:pPr>
        <w:spacing w:line="480" w:lineRule="auto"/>
        <w:rPr>
          <w:rFonts w:ascii="Calibri" w:hAnsi="Calibri" w:cs="Calibri"/>
          <w:b/>
          <w:bCs/>
        </w:rPr>
      </w:pPr>
      <w:r w:rsidRPr="005C607F">
        <w:rPr>
          <w:rFonts w:ascii="Calibri" w:hAnsi="Calibri" w:cs="Calibri"/>
          <w:b/>
          <w:bCs/>
        </w:rPr>
        <w:t xml:space="preserve">Objectives </w:t>
      </w:r>
    </w:p>
    <w:p w14:paraId="3E1DDEBA" w14:textId="5344FA9A" w:rsidR="00780562" w:rsidRPr="005C607F" w:rsidRDefault="002A444C" w:rsidP="00867264">
      <w:pPr>
        <w:spacing w:line="480" w:lineRule="auto"/>
        <w:rPr>
          <w:rFonts w:ascii="Calibri" w:hAnsi="Calibri" w:cs="Calibri"/>
          <w:color w:val="000000" w:themeColor="text1"/>
        </w:rPr>
      </w:pPr>
      <w:r>
        <w:rPr>
          <w:rFonts w:ascii="Calibri" w:hAnsi="Calibri" w:cs="Calibri"/>
        </w:rPr>
        <w:t>To</w:t>
      </w:r>
      <w:r w:rsidRPr="005C607F">
        <w:rPr>
          <w:rFonts w:ascii="Calibri" w:hAnsi="Calibri" w:cs="Calibri"/>
        </w:rPr>
        <w:t xml:space="preserve"> </w:t>
      </w:r>
      <w:r>
        <w:rPr>
          <w:rFonts w:ascii="Calibri" w:hAnsi="Calibri" w:cs="Calibri"/>
        </w:rPr>
        <w:t>describe</w:t>
      </w:r>
      <w:r w:rsidRPr="005C607F">
        <w:rPr>
          <w:rFonts w:ascii="Calibri" w:hAnsi="Calibri" w:cs="Calibri"/>
        </w:rPr>
        <w:t xml:space="preserve"> </w:t>
      </w:r>
      <w:r>
        <w:rPr>
          <w:rFonts w:ascii="Calibri" w:hAnsi="Calibri" w:cs="Calibri"/>
        </w:rPr>
        <w:t xml:space="preserve">the clinical features and </w:t>
      </w:r>
      <w:r w:rsidRPr="005C607F">
        <w:rPr>
          <w:rFonts w:ascii="Calibri" w:hAnsi="Calibri" w:cs="Calibri"/>
        </w:rPr>
        <w:t>outcomes of dogs</w:t>
      </w:r>
      <w:r>
        <w:rPr>
          <w:rFonts w:ascii="Calibri" w:hAnsi="Calibri" w:cs="Calibri"/>
        </w:rPr>
        <w:t xml:space="preserve"> with cholelithiasis</w:t>
      </w:r>
      <w:r w:rsidR="002F325C">
        <w:rPr>
          <w:rFonts w:ascii="Calibri" w:hAnsi="Calibri" w:cs="Calibri"/>
        </w:rPr>
        <w:t>,</w:t>
      </w:r>
      <w:r>
        <w:rPr>
          <w:rFonts w:ascii="Calibri" w:hAnsi="Calibri" w:cs="Calibri"/>
        </w:rPr>
        <w:t xml:space="preserve"> </w:t>
      </w:r>
      <w:r w:rsidR="00C97B1B">
        <w:rPr>
          <w:rFonts w:ascii="Calibri" w:hAnsi="Calibri" w:cs="Calibri"/>
          <w:color w:val="000000" w:themeColor="text1"/>
        </w:rPr>
        <w:t xml:space="preserve">focusing on </w:t>
      </w:r>
      <w:r w:rsidR="00780562" w:rsidRPr="005C607F">
        <w:rPr>
          <w:rFonts w:ascii="Calibri" w:hAnsi="Calibri" w:cs="Calibri"/>
          <w:color w:val="000000" w:themeColor="text1"/>
        </w:rPr>
        <w:t xml:space="preserve">cases </w:t>
      </w:r>
      <w:r w:rsidR="00C06730">
        <w:rPr>
          <w:rFonts w:ascii="Calibri" w:hAnsi="Calibri" w:cs="Calibri"/>
          <w:color w:val="000000" w:themeColor="text1"/>
        </w:rPr>
        <w:t xml:space="preserve">that </w:t>
      </w:r>
      <w:r w:rsidR="00C80072" w:rsidRPr="005C607F">
        <w:rPr>
          <w:rFonts w:ascii="Calibri" w:hAnsi="Calibri" w:cs="Calibri"/>
          <w:color w:val="000000" w:themeColor="text1"/>
        </w:rPr>
        <w:t>receiv</w:t>
      </w:r>
      <w:r w:rsidR="00C06730">
        <w:rPr>
          <w:rFonts w:ascii="Calibri" w:hAnsi="Calibri" w:cs="Calibri"/>
          <w:color w:val="000000" w:themeColor="text1"/>
        </w:rPr>
        <w:t>ed</w:t>
      </w:r>
      <w:r w:rsidR="00780562" w:rsidRPr="005C607F">
        <w:rPr>
          <w:rFonts w:ascii="Calibri" w:hAnsi="Calibri" w:cs="Calibri"/>
          <w:color w:val="000000" w:themeColor="text1"/>
        </w:rPr>
        <w:t xml:space="preserve"> medical treatment</w:t>
      </w:r>
      <w:r w:rsidR="00E41998">
        <w:rPr>
          <w:rFonts w:ascii="Calibri" w:hAnsi="Calibri" w:cs="Calibri"/>
          <w:color w:val="000000" w:themeColor="text1"/>
        </w:rPr>
        <w:t>,</w:t>
      </w:r>
      <w:r w:rsidR="002F325C">
        <w:rPr>
          <w:rFonts w:ascii="Calibri" w:hAnsi="Calibri" w:cs="Calibri"/>
          <w:color w:val="000000" w:themeColor="text1"/>
        </w:rPr>
        <w:t xml:space="preserve"> </w:t>
      </w:r>
      <w:r w:rsidR="002F325C">
        <w:rPr>
          <w:rFonts w:ascii="Calibri" w:hAnsi="Calibri" w:cs="Calibri"/>
        </w:rPr>
        <w:t>and</w:t>
      </w:r>
      <w:r w:rsidR="002F325C" w:rsidRPr="005C607F">
        <w:rPr>
          <w:rFonts w:ascii="Calibri" w:hAnsi="Calibri" w:cs="Calibri"/>
        </w:rPr>
        <w:t xml:space="preserve"> </w:t>
      </w:r>
      <w:r w:rsidR="002F325C">
        <w:rPr>
          <w:rFonts w:ascii="Calibri" w:hAnsi="Calibri" w:cs="Calibri"/>
        </w:rPr>
        <w:t xml:space="preserve">to </w:t>
      </w:r>
      <w:r w:rsidR="002F325C" w:rsidRPr="005C607F">
        <w:rPr>
          <w:rFonts w:ascii="Calibri" w:hAnsi="Calibri" w:cs="Calibri"/>
        </w:rPr>
        <w:t>identify patient factors that influence</w:t>
      </w:r>
      <w:r w:rsidR="002F325C">
        <w:rPr>
          <w:rFonts w:ascii="Calibri" w:hAnsi="Calibri" w:cs="Calibri"/>
        </w:rPr>
        <w:t>d</w:t>
      </w:r>
      <w:r w:rsidR="002F325C" w:rsidRPr="005C607F">
        <w:rPr>
          <w:rFonts w:ascii="Calibri" w:hAnsi="Calibri" w:cs="Calibri"/>
        </w:rPr>
        <w:t xml:space="preserve"> decision-making </w:t>
      </w:r>
      <w:r w:rsidR="002F325C">
        <w:rPr>
          <w:rFonts w:ascii="Calibri" w:hAnsi="Calibri" w:cs="Calibri"/>
        </w:rPr>
        <w:t xml:space="preserve">for </w:t>
      </w:r>
      <w:r w:rsidR="002F325C" w:rsidRPr="005C607F">
        <w:rPr>
          <w:rFonts w:ascii="Calibri" w:hAnsi="Calibri" w:cs="Calibri"/>
        </w:rPr>
        <w:t>surgical</w:t>
      </w:r>
      <w:r w:rsidR="002F325C">
        <w:rPr>
          <w:rFonts w:ascii="Calibri" w:hAnsi="Calibri" w:cs="Calibri"/>
        </w:rPr>
        <w:t xml:space="preserve"> or medical</w:t>
      </w:r>
      <w:r w:rsidR="002F325C" w:rsidRPr="005C607F">
        <w:rPr>
          <w:rFonts w:ascii="Calibri" w:hAnsi="Calibri" w:cs="Calibri"/>
        </w:rPr>
        <w:t xml:space="preserve"> </w:t>
      </w:r>
      <w:r w:rsidR="002F325C">
        <w:rPr>
          <w:rFonts w:ascii="Calibri" w:hAnsi="Calibri" w:cs="Calibri"/>
        </w:rPr>
        <w:t>management</w:t>
      </w:r>
      <w:r w:rsidR="00780562" w:rsidRPr="005C607F">
        <w:rPr>
          <w:rFonts w:ascii="Calibri" w:hAnsi="Calibri" w:cs="Calibri"/>
          <w:color w:val="000000" w:themeColor="text1"/>
        </w:rPr>
        <w:t xml:space="preserve">.  </w:t>
      </w:r>
    </w:p>
    <w:p w14:paraId="424E0B98" w14:textId="77777777" w:rsidR="003D140C" w:rsidRPr="005C607F" w:rsidRDefault="003D140C" w:rsidP="00867264">
      <w:pPr>
        <w:spacing w:line="480" w:lineRule="auto"/>
        <w:rPr>
          <w:rFonts w:ascii="Calibri" w:hAnsi="Calibri" w:cs="Calibri"/>
        </w:rPr>
      </w:pPr>
    </w:p>
    <w:p w14:paraId="0EB1AA14" w14:textId="4CA6659E" w:rsidR="00780562" w:rsidRPr="005C607F" w:rsidRDefault="00626D9C" w:rsidP="00867264">
      <w:pPr>
        <w:spacing w:line="480" w:lineRule="auto"/>
        <w:rPr>
          <w:rFonts w:ascii="Calibri" w:hAnsi="Calibri" w:cs="Calibri"/>
          <w:b/>
          <w:bCs/>
        </w:rPr>
      </w:pPr>
      <w:r w:rsidRPr="005C607F">
        <w:rPr>
          <w:rFonts w:ascii="Calibri" w:hAnsi="Calibri" w:cs="Calibri"/>
          <w:b/>
          <w:bCs/>
        </w:rPr>
        <w:t xml:space="preserve">Animals </w:t>
      </w:r>
    </w:p>
    <w:p w14:paraId="51F56468" w14:textId="34A5877C" w:rsidR="00780562" w:rsidRPr="005C607F" w:rsidRDefault="00780562" w:rsidP="00867264">
      <w:pPr>
        <w:spacing w:line="480" w:lineRule="auto"/>
        <w:rPr>
          <w:rFonts w:ascii="Calibri" w:hAnsi="Calibri" w:cs="Calibri"/>
        </w:rPr>
      </w:pPr>
      <w:r w:rsidRPr="005C607F">
        <w:rPr>
          <w:rFonts w:ascii="Calibri" w:hAnsi="Calibri" w:cs="Calibri"/>
        </w:rPr>
        <w:t>Thirty-eight dogs</w:t>
      </w:r>
      <w:r w:rsidR="00565CE8" w:rsidRPr="005C607F">
        <w:rPr>
          <w:rFonts w:ascii="Calibri" w:hAnsi="Calibri" w:cs="Calibri"/>
        </w:rPr>
        <w:t xml:space="preserve"> with cholelithiasis </w:t>
      </w:r>
      <w:r w:rsidR="00C06730">
        <w:rPr>
          <w:rFonts w:ascii="Calibri" w:hAnsi="Calibri" w:cs="Calibri"/>
        </w:rPr>
        <w:t xml:space="preserve">identified </w:t>
      </w:r>
      <w:r w:rsidR="00565CE8" w:rsidRPr="005C607F">
        <w:rPr>
          <w:rFonts w:ascii="Calibri" w:hAnsi="Calibri" w:cs="Calibri"/>
        </w:rPr>
        <w:t>on abdominal ultrasonography</w:t>
      </w:r>
      <w:r w:rsidR="0026065A">
        <w:rPr>
          <w:rFonts w:ascii="Calibri" w:hAnsi="Calibri" w:cs="Calibri"/>
        </w:rPr>
        <w:t xml:space="preserve"> (AUS)</w:t>
      </w:r>
      <w:r w:rsidRPr="005C607F">
        <w:rPr>
          <w:rFonts w:ascii="Calibri" w:hAnsi="Calibri" w:cs="Calibri"/>
        </w:rPr>
        <w:t xml:space="preserve">. </w:t>
      </w:r>
    </w:p>
    <w:p w14:paraId="216F0697" w14:textId="77777777" w:rsidR="003D140C" w:rsidRPr="005C607F" w:rsidRDefault="003D140C" w:rsidP="00867264">
      <w:pPr>
        <w:spacing w:line="480" w:lineRule="auto"/>
        <w:rPr>
          <w:rFonts w:ascii="Calibri" w:hAnsi="Calibri" w:cs="Calibri"/>
        </w:rPr>
      </w:pPr>
    </w:p>
    <w:p w14:paraId="6EBD2E1D" w14:textId="096E0F8C" w:rsidR="00565CE8" w:rsidRPr="005C607F" w:rsidRDefault="00626D9C" w:rsidP="00867264">
      <w:pPr>
        <w:spacing w:line="480" w:lineRule="auto"/>
        <w:rPr>
          <w:rFonts w:ascii="Calibri" w:hAnsi="Calibri" w:cs="Calibri"/>
          <w:b/>
          <w:bCs/>
        </w:rPr>
      </w:pPr>
      <w:r w:rsidRPr="005C607F">
        <w:rPr>
          <w:rFonts w:ascii="Calibri" w:hAnsi="Calibri" w:cs="Calibri"/>
          <w:b/>
          <w:bCs/>
        </w:rPr>
        <w:t>Methods</w:t>
      </w:r>
    </w:p>
    <w:p w14:paraId="495B5759" w14:textId="6BFCD1BD" w:rsidR="00565CE8" w:rsidRPr="005C607F" w:rsidRDefault="00565CE8" w:rsidP="00867264">
      <w:pPr>
        <w:spacing w:line="480" w:lineRule="auto"/>
        <w:rPr>
          <w:rFonts w:ascii="Calibri" w:hAnsi="Calibri" w:cs="Calibri"/>
          <w:color w:val="0087B7"/>
        </w:rPr>
      </w:pPr>
      <w:r w:rsidRPr="005C607F">
        <w:rPr>
          <w:rFonts w:ascii="Calibri" w:hAnsi="Calibri" w:cs="Calibri"/>
          <w:color w:val="000000" w:themeColor="text1"/>
        </w:rPr>
        <w:t xml:space="preserve">Medical records of dogs with cholelithiasis </w:t>
      </w:r>
      <w:r w:rsidR="00443032">
        <w:rPr>
          <w:rFonts w:ascii="Calibri" w:hAnsi="Calibri" w:cs="Calibri"/>
          <w:color w:val="000000" w:themeColor="text1"/>
        </w:rPr>
        <w:t xml:space="preserve">on AUS </w:t>
      </w:r>
      <w:r w:rsidRPr="005C607F">
        <w:rPr>
          <w:rFonts w:ascii="Calibri" w:hAnsi="Calibri" w:cs="Calibri"/>
          <w:color w:val="000000" w:themeColor="text1"/>
        </w:rPr>
        <w:t xml:space="preserve">between 2010 to 2019 were retrospectively reviewed. Cases were </w:t>
      </w:r>
      <w:r w:rsidR="00C06730">
        <w:rPr>
          <w:rFonts w:ascii="Calibri" w:hAnsi="Calibri" w:cs="Calibri"/>
          <w:color w:val="000000" w:themeColor="text1"/>
        </w:rPr>
        <w:t>classified</w:t>
      </w:r>
      <w:r w:rsidR="00C06730" w:rsidRPr="005C607F">
        <w:rPr>
          <w:rFonts w:ascii="Calibri" w:hAnsi="Calibri" w:cs="Calibri"/>
          <w:color w:val="000000" w:themeColor="text1"/>
        </w:rPr>
        <w:t xml:space="preserve"> </w:t>
      </w:r>
      <w:r w:rsidRPr="005C607F">
        <w:rPr>
          <w:rFonts w:ascii="Calibri" w:hAnsi="Calibri" w:cs="Calibri"/>
          <w:color w:val="000000" w:themeColor="text1"/>
        </w:rPr>
        <w:t xml:space="preserve">as </w:t>
      </w:r>
      <w:r w:rsidR="00BB6773" w:rsidRPr="005C607F">
        <w:rPr>
          <w:rFonts w:ascii="Calibri" w:hAnsi="Calibri" w:cs="Calibri"/>
          <w:color w:val="000000" w:themeColor="text1"/>
        </w:rPr>
        <w:t>symptomatic</w:t>
      </w:r>
      <w:r w:rsidRPr="005C607F">
        <w:rPr>
          <w:rFonts w:ascii="Calibri" w:hAnsi="Calibri" w:cs="Calibri"/>
          <w:color w:val="000000" w:themeColor="text1"/>
        </w:rPr>
        <w:t xml:space="preserve"> </w:t>
      </w:r>
      <w:r w:rsidR="00A229FB" w:rsidRPr="005C607F">
        <w:rPr>
          <w:rFonts w:ascii="Calibri" w:hAnsi="Calibri" w:cs="Calibri"/>
          <w:color w:val="000000" w:themeColor="text1"/>
        </w:rPr>
        <w:t xml:space="preserve">(n=18) </w:t>
      </w:r>
      <w:r w:rsidRPr="005C607F">
        <w:rPr>
          <w:rFonts w:ascii="Calibri" w:hAnsi="Calibri" w:cs="Calibri"/>
          <w:color w:val="000000" w:themeColor="text1"/>
        </w:rPr>
        <w:t xml:space="preserve">or incidental </w:t>
      </w:r>
      <w:r w:rsidR="00A229FB" w:rsidRPr="005C607F">
        <w:rPr>
          <w:rFonts w:ascii="Calibri" w:hAnsi="Calibri" w:cs="Calibri"/>
          <w:color w:val="000000" w:themeColor="text1"/>
        </w:rPr>
        <w:t xml:space="preserve">(n=20) </w:t>
      </w:r>
      <w:r w:rsidRPr="005C607F">
        <w:rPr>
          <w:rFonts w:ascii="Calibri" w:hAnsi="Calibri" w:cs="Calibri"/>
          <w:color w:val="000000" w:themeColor="text1"/>
        </w:rPr>
        <w:t>and divided into medically treated</w:t>
      </w:r>
      <w:r w:rsidR="00A229FB" w:rsidRPr="005C607F">
        <w:rPr>
          <w:rFonts w:ascii="Calibri" w:hAnsi="Calibri" w:cs="Calibri"/>
          <w:color w:val="000000" w:themeColor="text1"/>
        </w:rPr>
        <w:t xml:space="preserve"> (n=1</w:t>
      </w:r>
      <w:r w:rsidR="00445EA9">
        <w:rPr>
          <w:rFonts w:ascii="Calibri" w:hAnsi="Calibri" w:cs="Calibri"/>
          <w:color w:val="000000" w:themeColor="text1"/>
        </w:rPr>
        <w:t>3</w:t>
      </w:r>
      <w:r w:rsidR="00A229FB" w:rsidRPr="005C607F">
        <w:rPr>
          <w:rFonts w:ascii="Calibri" w:hAnsi="Calibri" w:cs="Calibri"/>
          <w:color w:val="000000" w:themeColor="text1"/>
        </w:rPr>
        <w:t>)</w:t>
      </w:r>
      <w:r w:rsidRPr="005C607F">
        <w:rPr>
          <w:rFonts w:ascii="Calibri" w:hAnsi="Calibri" w:cs="Calibri"/>
          <w:color w:val="000000" w:themeColor="text1"/>
        </w:rPr>
        <w:t xml:space="preserve">, surgically treated </w:t>
      </w:r>
      <w:r w:rsidR="00A229FB" w:rsidRPr="005C607F">
        <w:rPr>
          <w:rFonts w:ascii="Calibri" w:hAnsi="Calibri" w:cs="Calibri"/>
          <w:color w:val="000000" w:themeColor="text1"/>
        </w:rPr>
        <w:t>(n=</w:t>
      </w:r>
      <w:r w:rsidR="00445EA9">
        <w:rPr>
          <w:rFonts w:ascii="Calibri" w:hAnsi="Calibri" w:cs="Calibri"/>
          <w:color w:val="000000" w:themeColor="text1"/>
        </w:rPr>
        <w:t>10</w:t>
      </w:r>
      <w:r w:rsidR="00A229FB" w:rsidRPr="005C607F">
        <w:rPr>
          <w:rFonts w:ascii="Calibri" w:hAnsi="Calibri" w:cs="Calibri"/>
          <w:color w:val="000000" w:themeColor="text1"/>
        </w:rPr>
        <w:t>)</w:t>
      </w:r>
      <w:r w:rsidR="00C06730">
        <w:rPr>
          <w:rFonts w:ascii="Calibri" w:hAnsi="Calibri" w:cs="Calibri"/>
          <w:color w:val="000000" w:themeColor="text1"/>
        </w:rPr>
        <w:t>,</w:t>
      </w:r>
      <w:r w:rsidR="00A229FB" w:rsidRPr="005C607F">
        <w:rPr>
          <w:rFonts w:ascii="Calibri" w:hAnsi="Calibri" w:cs="Calibri"/>
          <w:color w:val="000000" w:themeColor="text1"/>
        </w:rPr>
        <w:t xml:space="preserve"> </w:t>
      </w:r>
      <w:r w:rsidRPr="005C607F">
        <w:rPr>
          <w:rFonts w:ascii="Calibri" w:hAnsi="Calibri" w:cs="Calibri"/>
          <w:color w:val="000000" w:themeColor="text1"/>
        </w:rPr>
        <w:t>and no</w:t>
      </w:r>
      <w:r w:rsidR="00B053FD">
        <w:rPr>
          <w:rFonts w:ascii="Calibri" w:hAnsi="Calibri" w:cs="Calibri"/>
          <w:color w:val="000000" w:themeColor="text1"/>
        </w:rPr>
        <w:t xml:space="preserve"> </w:t>
      </w:r>
      <w:r w:rsidRPr="005C607F">
        <w:rPr>
          <w:rFonts w:ascii="Calibri" w:hAnsi="Calibri" w:cs="Calibri"/>
          <w:color w:val="000000" w:themeColor="text1"/>
        </w:rPr>
        <w:t>treat</w:t>
      </w:r>
      <w:r w:rsidR="00B053FD">
        <w:rPr>
          <w:rFonts w:ascii="Calibri" w:hAnsi="Calibri" w:cs="Calibri"/>
          <w:color w:val="000000" w:themeColor="text1"/>
        </w:rPr>
        <w:t>ment</w:t>
      </w:r>
      <w:r w:rsidR="00A229FB" w:rsidRPr="005C607F">
        <w:rPr>
          <w:rFonts w:ascii="Calibri" w:hAnsi="Calibri" w:cs="Calibri"/>
          <w:color w:val="000000" w:themeColor="text1"/>
        </w:rPr>
        <w:t xml:space="preserve"> (n=15)</w:t>
      </w:r>
      <w:r w:rsidRPr="005C607F">
        <w:rPr>
          <w:rFonts w:ascii="Calibri" w:hAnsi="Calibri" w:cs="Calibri"/>
          <w:color w:val="000000" w:themeColor="text1"/>
        </w:rPr>
        <w:t xml:space="preserve"> groups. Biochemical </w:t>
      </w:r>
      <w:r w:rsidR="00C06730">
        <w:rPr>
          <w:rFonts w:ascii="Calibri" w:hAnsi="Calibri" w:cs="Calibri"/>
          <w:color w:val="000000" w:themeColor="text1"/>
        </w:rPr>
        <w:t>variables</w:t>
      </w:r>
      <w:r w:rsidR="00C06730" w:rsidRPr="005C607F">
        <w:rPr>
          <w:rFonts w:ascii="Calibri" w:hAnsi="Calibri" w:cs="Calibri"/>
          <w:color w:val="000000" w:themeColor="text1"/>
        </w:rPr>
        <w:t xml:space="preserve"> </w:t>
      </w:r>
      <w:r w:rsidR="003D34D5">
        <w:rPr>
          <w:rFonts w:ascii="Calibri" w:hAnsi="Calibri" w:cs="Calibri"/>
          <w:color w:val="000000" w:themeColor="text1"/>
        </w:rPr>
        <w:t xml:space="preserve">and cholelith location </w:t>
      </w:r>
      <w:r w:rsidRPr="005C607F">
        <w:rPr>
          <w:rFonts w:ascii="Calibri" w:hAnsi="Calibri" w:cs="Calibri"/>
          <w:color w:val="000000" w:themeColor="text1"/>
        </w:rPr>
        <w:t xml:space="preserve">were compared between </w:t>
      </w:r>
      <w:r w:rsidR="00F20F5C">
        <w:rPr>
          <w:rFonts w:ascii="Calibri" w:hAnsi="Calibri" w:cs="Calibri"/>
          <w:color w:val="000000" w:themeColor="text1"/>
        </w:rPr>
        <w:t xml:space="preserve">symptomatic and incidental </w:t>
      </w:r>
      <w:r w:rsidRPr="005C607F">
        <w:rPr>
          <w:rFonts w:ascii="Calibri" w:hAnsi="Calibri" w:cs="Calibri"/>
          <w:color w:val="000000" w:themeColor="text1"/>
        </w:rPr>
        <w:t xml:space="preserve">groups </w:t>
      </w:r>
      <w:r w:rsidR="00C06730">
        <w:rPr>
          <w:rFonts w:ascii="Calibri" w:hAnsi="Calibri" w:cs="Calibri"/>
          <w:color w:val="000000" w:themeColor="text1"/>
        </w:rPr>
        <w:t>using</w:t>
      </w:r>
      <w:r w:rsidR="00C06730" w:rsidRPr="005C607F">
        <w:rPr>
          <w:rFonts w:ascii="Calibri" w:hAnsi="Calibri" w:cs="Calibri"/>
          <w:color w:val="000000" w:themeColor="text1"/>
        </w:rPr>
        <w:t xml:space="preserve"> </w:t>
      </w:r>
      <w:r w:rsidRPr="005C607F">
        <w:rPr>
          <w:rFonts w:ascii="Calibri" w:hAnsi="Calibri" w:cs="Calibri"/>
          <w:color w:val="000000" w:themeColor="text1"/>
        </w:rPr>
        <w:t>Mann-Whitney U and Chi-squared test</w:t>
      </w:r>
      <w:r w:rsidR="00C06730">
        <w:rPr>
          <w:rFonts w:ascii="Calibri" w:hAnsi="Calibri" w:cs="Calibri"/>
          <w:color w:val="000000" w:themeColor="text1"/>
        </w:rPr>
        <w:t>s</w:t>
      </w:r>
      <w:r w:rsidRPr="005C607F">
        <w:rPr>
          <w:rFonts w:ascii="Calibri" w:hAnsi="Calibri" w:cs="Calibri"/>
          <w:color w:val="000000" w:themeColor="text1"/>
        </w:rPr>
        <w:t xml:space="preserve">, respectively. Survival times were compared </w:t>
      </w:r>
      <w:r w:rsidR="00C06730">
        <w:rPr>
          <w:rFonts w:ascii="Calibri" w:hAnsi="Calibri" w:cs="Calibri"/>
          <w:color w:val="000000" w:themeColor="text1"/>
        </w:rPr>
        <w:t>using</w:t>
      </w:r>
      <w:r w:rsidR="00C06730" w:rsidRPr="005C607F">
        <w:rPr>
          <w:rFonts w:ascii="Calibri" w:hAnsi="Calibri" w:cs="Calibri"/>
          <w:color w:val="000000" w:themeColor="text1"/>
        </w:rPr>
        <w:t xml:space="preserve"> </w:t>
      </w:r>
      <w:r w:rsidRPr="005C607F">
        <w:rPr>
          <w:rFonts w:ascii="Calibri" w:hAnsi="Calibri" w:cs="Calibri"/>
          <w:color w:val="000000" w:themeColor="text1"/>
        </w:rPr>
        <w:t xml:space="preserve">Kaplan-Meier survival analysis. </w:t>
      </w:r>
    </w:p>
    <w:p w14:paraId="6BB8123B" w14:textId="77777777" w:rsidR="003D140C" w:rsidRPr="005C607F" w:rsidRDefault="003D140C" w:rsidP="00867264">
      <w:pPr>
        <w:spacing w:line="480" w:lineRule="auto"/>
        <w:rPr>
          <w:rFonts w:ascii="Calibri" w:hAnsi="Calibri" w:cs="Calibri"/>
        </w:rPr>
      </w:pPr>
    </w:p>
    <w:p w14:paraId="443F9F57" w14:textId="77777777" w:rsidR="00565CE8" w:rsidRPr="005C607F" w:rsidRDefault="00626D9C" w:rsidP="00867264">
      <w:pPr>
        <w:spacing w:line="480" w:lineRule="auto"/>
        <w:rPr>
          <w:rFonts w:ascii="Calibri" w:hAnsi="Calibri" w:cs="Calibri"/>
          <w:b/>
          <w:bCs/>
        </w:rPr>
      </w:pPr>
      <w:r w:rsidRPr="005C607F">
        <w:rPr>
          <w:rFonts w:ascii="Calibri" w:hAnsi="Calibri" w:cs="Calibri"/>
          <w:b/>
          <w:bCs/>
        </w:rPr>
        <w:t xml:space="preserve">Results </w:t>
      </w:r>
    </w:p>
    <w:p w14:paraId="7982E11C" w14:textId="03E4D3C0" w:rsidR="00565CE8" w:rsidRPr="005C607F" w:rsidRDefault="00BB6773" w:rsidP="00867264">
      <w:pPr>
        <w:spacing w:line="480" w:lineRule="auto"/>
        <w:rPr>
          <w:rFonts w:ascii="Calibri" w:hAnsi="Calibri" w:cs="Calibri"/>
        </w:rPr>
      </w:pPr>
      <w:r w:rsidRPr="005C607F">
        <w:rPr>
          <w:rFonts w:ascii="Calibri" w:hAnsi="Calibri" w:cs="Calibri"/>
        </w:rPr>
        <w:lastRenderedPageBreak/>
        <w:t xml:space="preserve">Symptomatic </w:t>
      </w:r>
      <w:r w:rsidR="00FF2DF6">
        <w:rPr>
          <w:rFonts w:ascii="Calibri" w:hAnsi="Calibri" w:cs="Calibri"/>
        </w:rPr>
        <w:t>cases</w:t>
      </w:r>
      <w:r w:rsidR="00FF2DF6" w:rsidRPr="005C607F">
        <w:rPr>
          <w:rFonts w:ascii="Calibri" w:hAnsi="Calibri" w:cs="Calibri"/>
        </w:rPr>
        <w:t xml:space="preserve"> </w:t>
      </w:r>
      <w:r w:rsidRPr="005C607F">
        <w:rPr>
          <w:rFonts w:ascii="Calibri" w:hAnsi="Calibri" w:cs="Calibri"/>
        </w:rPr>
        <w:t xml:space="preserve">had higher </w:t>
      </w:r>
      <w:r w:rsidR="001F5997">
        <w:rPr>
          <w:rFonts w:ascii="Calibri" w:hAnsi="Calibri" w:cs="Calibri"/>
        </w:rPr>
        <w:t>alkaline phosphatase (ALP</w:t>
      </w:r>
      <w:r w:rsidR="00DB7443">
        <w:rPr>
          <w:rFonts w:ascii="Calibri" w:hAnsi="Calibri" w:cs="Calibri"/>
        </w:rPr>
        <w:t xml:space="preserve">; </w:t>
      </w:r>
      <w:r w:rsidR="0034325E" w:rsidRPr="005C607F">
        <w:rPr>
          <w:rFonts w:ascii="Calibri" w:hAnsi="Calibri" w:cs="Calibri"/>
          <w:i/>
          <w:iCs/>
        </w:rPr>
        <w:t>P</w:t>
      </w:r>
      <w:r w:rsidR="0034325E" w:rsidRPr="005C607F">
        <w:rPr>
          <w:rFonts w:ascii="Calibri" w:hAnsi="Calibri" w:cs="Calibri"/>
        </w:rPr>
        <w:t>=.03)</w:t>
      </w:r>
      <w:r w:rsidRPr="005C607F">
        <w:rPr>
          <w:rFonts w:ascii="Calibri" w:hAnsi="Calibri" w:cs="Calibri"/>
        </w:rPr>
        <w:t xml:space="preserve">, </w:t>
      </w:r>
      <w:r w:rsidR="001F5997">
        <w:rPr>
          <w:rFonts w:ascii="Calibri" w:hAnsi="Calibri" w:cs="Calibri"/>
        </w:rPr>
        <w:t>gamma</w:t>
      </w:r>
      <w:r w:rsidR="0026065A">
        <w:rPr>
          <w:rFonts w:ascii="Calibri" w:hAnsi="Calibri" w:cs="Calibri"/>
        </w:rPr>
        <w:t>-</w:t>
      </w:r>
      <w:r w:rsidR="001F5997">
        <w:rPr>
          <w:rFonts w:ascii="Calibri" w:hAnsi="Calibri" w:cs="Calibri"/>
        </w:rPr>
        <w:t>gluta</w:t>
      </w:r>
      <w:r w:rsidR="0026065A">
        <w:rPr>
          <w:rFonts w:ascii="Calibri" w:hAnsi="Calibri" w:cs="Calibri"/>
        </w:rPr>
        <w:t>m</w:t>
      </w:r>
      <w:r w:rsidR="001F5997">
        <w:rPr>
          <w:rFonts w:ascii="Calibri" w:hAnsi="Calibri" w:cs="Calibri"/>
        </w:rPr>
        <w:t>yl transferase (GGT</w:t>
      </w:r>
      <w:r w:rsidR="00DB7443">
        <w:rPr>
          <w:rFonts w:ascii="Calibri" w:hAnsi="Calibri" w:cs="Calibri"/>
        </w:rPr>
        <w:t xml:space="preserve">; </w:t>
      </w:r>
      <w:r w:rsidR="0034325E" w:rsidRPr="005C607F">
        <w:rPr>
          <w:rFonts w:ascii="Calibri" w:hAnsi="Calibri" w:cs="Calibri"/>
          <w:i/>
          <w:iCs/>
        </w:rPr>
        <w:t>P</w:t>
      </w:r>
      <w:r w:rsidR="0034325E" w:rsidRPr="005C607F">
        <w:rPr>
          <w:rFonts w:ascii="Calibri" w:hAnsi="Calibri" w:cs="Calibri"/>
        </w:rPr>
        <w:t>=.03)</w:t>
      </w:r>
      <w:r w:rsidRPr="005C607F">
        <w:rPr>
          <w:rFonts w:ascii="Calibri" w:hAnsi="Calibri" w:cs="Calibri"/>
        </w:rPr>
        <w:t xml:space="preserve"> and</w:t>
      </w:r>
      <w:r w:rsidR="001F5997">
        <w:rPr>
          <w:rFonts w:ascii="Calibri" w:hAnsi="Calibri" w:cs="Calibri"/>
        </w:rPr>
        <w:t xml:space="preserve"> alanine transferase (ALT</w:t>
      </w:r>
      <w:r w:rsidR="00DB7443">
        <w:rPr>
          <w:rFonts w:ascii="Calibri" w:hAnsi="Calibri" w:cs="Calibri"/>
        </w:rPr>
        <w:t xml:space="preserve">; </w:t>
      </w:r>
      <w:r w:rsidR="0034325E" w:rsidRPr="005C607F">
        <w:rPr>
          <w:rFonts w:ascii="Calibri" w:hAnsi="Calibri" w:cs="Calibri"/>
          <w:i/>
          <w:iCs/>
        </w:rPr>
        <w:t>P</w:t>
      </w:r>
      <w:r w:rsidR="0034325E" w:rsidRPr="005C607F">
        <w:rPr>
          <w:rFonts w:ascii="Calibri" w:hAnsi="Calibri" w:cs="Calibri"/>
        </w:rPr>
        <w:t>=.02)</w:t>
      </w:r>
      <w:r w:rsidR="00DB7443">
        <w:rPr>
          <w:rFonts w:ascii="Calibri" w:hAnsi="Calibri" w:cs="Calibri"/>
        </w:rPr>
        <w:t xml:space="preserve"> activities</w:t>
      </w:r>
      <w:r w:rsidR="0034325E" w:rsidRPr="005C607F">
        <w:rPr>
          <w:rFonts w:ascii="Calibri" w:hAnsi="Calibri" w:cs="Calibri"/>
        </w:rPr>
        <w:t xml:space="preserve"> </w:t>
      </w:r>
      <w:r w:rsidRPr="005C607F">
        <w:rPr>
          <w:rFonts w:ascii="Calibri" w:hAnsi="Calibri" w:cs="Calibri"/>
        </w:rPr>
        <w:t>than</w:t>
      </w:r>
      <w:r w:rsidR="00DB7443">
        <w:rPr>
          <w:rFonts w:ascii="Calibri" w:hAnsi="Calibri" w:cs="Calibri"/>
        </w:rPr>
        <w:t xml:space="preserve"> did</w:t>
      </w:r>
      <w:r w:rsidRPr="005C607F">
        <w:rPr>
          <w:rFonts w:ascii="Calibri" w:hAnsi="Calibri" w:cs="Calibri"/>
        </w:rPr>
        <w:t xml:space="preserve"> </w:t>
      </w:r>
      <w:r w:rsidR="003F696D">
        <w:rPr>
          <w:rFonts w:ascii="Calibri" w:hAnsi="Calibri" w:cs="Calibri"/>
        </w:rPr>
        <w:t>incidental</w:t>
      </w:r>
      <w:r w:rsidRPr="005C607F">
        <w:rPr>
          <w:rFonts w:ascii="Calibri" w:hAnsi="Calibri" w:cs="Calibri"/>
        </w:rPr>
        <w:t xml:space="preserve"> </w:t>
      </w:r>
      <w:r w:rsidR="00FF2DF6">
        <w:rPr>
          <w:rFonts w:ascii="Calibri" w:hAnsi="Calibri" w:cs="Calibri"/>
        </w:rPr>
        <w:t>cases</w:t>
      </w:r>
      <w:r w:rsidRPr="005C607F">
        <w:rPr>
          <w:rFonts w:ascii="Calibri" w:hAnsi="Calibri" w:cs="Calibri"/>
        </w:rPr>
        <w:t xml:space="preserve">. </w:t>
      </w:r>
      <w:r w:rsidR="003D34D5">
        <w:rPr>
          <w:rFonts w:ascii="Calibri" w:hAnsi="Calibri" w:cs="Calibri"/>
        </w:rPr>
        <w:t xml:space="preserve">A higher proportion of symptomatic </w:t>
      </w:r>
      <w:r w:rsidR="00FF2DF6">
        <w:rPr>
          <w:rFonts w:ascii="Calibri" w:hAnsi="Calibri" w:cs="Calibri"/>
        </w:rPr>
        <w:t>cases</w:t>
      </w:r>
      <w:r w:rsidR="003D34D5">
        <w:rPr>
          <w:rFonts w:ascii="Calibri" w:hAnsi="Calibri" w:cs="Calibri"/>
        </w:rPr>
        <w:t xml:space="preserve"> (44.4%)</w:t>
      </w:r>
      <w:r w:rsidR="0088582A">
        <w:rPr>
          <w:rFonts w:ascii="Calibri" w:hAnsi="Calibri" w:cs="Calibri"/>
        </w:rPr>
        <w:t xml:space="preserve"> had choledocholithiasis</w:t>
      </w:r>
      <w:r w:rsidR="003D34D5">
        <w:rPr>
          <w:rFonts w:ascii="Calibri" w:hAnsi="Calibri" w:cs="Calibri"/>
        </w:rPr>
        <w:t xml:space="preserve"> than </w:t>
      </w:r>
      <w:r w:rsidR="0047110D">
        <w:rPr>
          <w:rFonts w:ascii="Calibri" w:hAnsi="Calibri" w:cs="Calibri"/>
        </w:rPr>
        <w:t xml:space="preserve">did </w:t>
      </w:r>
      <w:r w:rsidR="003D34D5">
        <w:rPr>
          <w:rFonts w:ascii="Calibri" w:hAnsi="Calibri" w:cs="Calibri"/>
        </w:rPr>
        <w:t xml:space="preserve">incidental </w:t>
      </w:r>
      <w:r w:rsidR="00FF2DF6">
        <w:rPr>
          <w:rFonts w:ascii="Calibri" w:hAnsi="Calibri" w:cs="Calibri"/>
        </w:rPr>
        <w:t>cases</w:t>
      </w:r>
      <w:r w:rsidR="003D34D5">
        <w:rPr>
          <w:rFonts w:ascii="Calibri" w:hAnsi="Calibri" w:cs="Calibri"/>
        </w:rPr>
        <w:t xml:space="preserve"> (0%</w:t>
      </w:r>
      <w:r w:rsidR="0047110D">
        <w:rPr>
          <w:rFonts w:ascii="Calibri" w:hAnsi="Calibri" w:cs="Calibri"/>
        </w:rPr>
        <w:t xml:space="preserve">; </w:t>
      </w:r>
      <w:r w:rsidR="003D34D5">
        <w:rPr>
          <w:rFonts w:ascii="Calibri" w:hAnsi="Calibri" w:cs="Calibri"/>
          <w:i/>
          <w:iCs/>
        </w:rPr>
        <w:t>P=.003)</w:t>
      </w:r>
      <w:r w:rsidR="0088582A">
        <w:rPr>
          <w:rFonts w:ascii="Calibri" w:hAnsi="Calibri" w:cs="Calibri"/>
        </w:rPr>
        <w:t xml:space="preserve">. </w:t>
      </w:r>
      <w:r w:rsidR="008007BC">
        <w:rPr>
          <w:rFonts w:ascii="Calibri" w:hAnsi="Calibri" w:cs="Calibri"/>
        </w:rPr>
        <w:t>Seventy</w:t>
      </w:r>
      <w:r w:rsidR="00C97285">
        <w:rPr>
          <w:rFonts w:ascii="Calibri" w:hAnsi="Calibri" w:cs="Calibri"/>
        </w:rPr>
        <w:t xml:space="preserve"> </w:t>
      </w:r>
      <w:r w:rsidR="008007BC">
        <w:rPr>
          <w:rFonts w:ascii="Calibri" w:hAnsi="Calibri" w:cs="Calibri"/>
        </w:rPr>
        <w:t>percent</w:t>
      </w:r>
      <w:r w:rsidR="0088582A">
        <w:rPr>
          <w:rFonts w:ascii="Calibri" w:hAnsi="Calibri" w:cs="Calibri"/>
        </w:rPr>
        <w:t xml:space="preserve"> of surgically</w:t>
      </w:r>
      <w:r w:rsidR="0047110D">
        <w:rPr>
          <w:rFonts w:ascii="Calibri" w:hAnsi="Calibri" w:cs="Calibri"/>
        </w:rPr>
        <w:t>-</w:t>
      </w:r>
      <w:r w:rsidR="0088582A">
        <w:rPr>
          <w:rFonts w:ascii="Calibri" w:hAnsi="Calibri" w:cs="Calibri"/>
        </w:rPr>
        <w:t>managed dogs, 7.7% of medically</w:t>
      </w:r>
      <w:r w:rsidR="0047110D">
        <w:rPr>
          <w:rFonts w:ascii="Calibri" w:hAnsi="Calibri" w:cs="Calibri"/>
        </w:rPr>
        <w:t>-</w:t>
      </w:r>
      <w:r w:rsidR="0088582A">
        <w:rPr>
          <w:rFonts w:ascii="Calibri" w:hAnsi="Calibri" w:cs="Calibri"/>
        </w:rPr>
        <w:t xml:space="preserve">managed dogs and 0% of non-treated dogs </w:t>
      </w:r>
      <w:r w:rsidR="0088582A" w:rsidRPr="0088582A">
        <w:rPr>
          <w:rFonts w:ascii="Calibri" w:hAnsi="Calibri" w:cs="Calibri"/>
        </w:rPr>
        <w:t>had choledocholiths at presentation.</w:t>
      </w:r>
      <w:r w:rsidR="0088582A">
        <w:rPr>
          <w:rFonts w:ascii="Calibri" w:hAnsi="Calibri" w:cs="Calibri"/>
        </w:rPr>
        <w:t xml:space="preserve"> </w:t>
      </w:r>
      <w:r w:rsidRPr="005C607F">
        <w:rPr>
          <w:rFonts w:ascii="Calibri" w:hAnsi="Calibri" w:cs="Calibri"/>
        </w:rPr>
        <w:t xml:space="preserve">Seventeen </w:t>
      </w:r>
      <w:r w:rsidR="0047110D">
        <w:rPr>
          <w:rFonts w:ascii="Calibri" w:hAnsi="Calibri" w:cs="Calibri"/>
        </w:rPr>
        <w:t>dogs</w:t>
      </w:r>
      <w:r w:rsidR="0047110D" w:rsidRPr="005C607F">
        <w:rPr>
          <w:rFonts w:ascii="Calibri" w:hAnsi="Calibri" w:cs="Calibri"/>
        </w:rPr>
        <w:t xml:space="preserve"> </w:t>
      </w:r>
      <w:r w:rsidRPr="005C607F">
        <w:rPr>
          <w:rFonts w:ascii="Calibri" w:hAnsi="Calibri" w:cs="Calibri"/>
        </w:rPr>
        <w:t xml:space="preserve">had follow-up </w:t>
      </w:r>
      <w:r w:rsidR="0026065A">
        <w:rPr>
          <w:rFonts w:ascii="Calibri" w:hAnsi="Calibri" w:cs="Calibri"/>
        </w:rPr>
        <w:t>AUS</w:t>
      </w:r>
      <w:r w:rsidRPr="005C607F">
        <w:rPr>
          <w:rFonts w:ascii="Calibri" w:hAnsi="Calibri" w:cs="Calibri"/>
        </w:rPr>
        <w:t xml:space="preserve">: cholelithiasis completely resolved in </w:t>
      </w:r>
      <w:r w:rsidR="00A229FB" w:rsidRPr="005C607F">
        <w:rPr>
          <w:rFonts w:ascii="Calibri" w:hAnsi="Calibri" w:cs="Calibri"/>
        </w:rPr>
        <w:t>4/</w:t>
      </w:r>
      <w:r w:rsidR="001B3AD5">
        <w:rPr>
          <w:rFonts w:ascii="Calibri" w:hAnsi="Calibri" w:cs="Calibri"/>
        </w:rPr>
        <w:t>8</w:t>
      </w:r>
      <w:r w:rsidRPr="005C607F">
        <w:rPr>
          <w:rFonts w:ascii="Calibri" w:hAnsi="Calibri" w:cs="Calibri"/>
        </w:rPr>
        <w:t xml:space="preserve"> medically</w:t>
      </w:r>
      <w:r w:rsidR="0047110D">
        <w:rPr>
          <w:rFonts w:ascii="Calibri" w:hAnsi="Calibri" w:cs="Calibri"/>
        </w:rPr>
        <w:t>-</w:t>
      </w:r>
      <w:r w:rsidRPr="005C607F">
        <w:rPr>
          <w:rFonts w:ascii="Calibri" w:hAnsi="Calibri" w:cs="Calibri"/>
        </w:rPr>
        <w:t xml:space="preserve">treated, </w:t>
      </w:r>
      <w:r w:rsidR="001B3AD5">
        <w:rPr>
          <w:rFonts w:ascii="Calibri" w:hAnsi="Calibri" w:cs="Calibri"/>
        </w:rPr>
        <w:t>5</w:t>
      </w:r>
      <w:r w:rsidR="00A229FB" w:rsidRPr="005C607F">
        <w:rPr>
          <w:rFonts w:ascii="Calibri" w:hAnsi="Calibri" w:cs="Calibri"/>
        </w:rPr>
        <w:t>/</w:t>
      </w:r>
      <w:r w:rsidR="001B3AD5">
        <w:rPr>
          <w:rFonts w:ascii="Calibri" w:hAnsi="Calibri" w:cs="Calibri"/>
        </w:rPr>
        <w:t>7</w:t>
      </w:r>
      <w:r w:rsidRPr="005C607F">
        <w:rPr>
          <w:rFonts w:ascii="Calibri" w:hAnsi="Calibri" w:cs="Calibri"/>
        </w:rPr>
        <w:t xml:space="preserve"> of surgically</w:t>
      </w:r>
      <w:r w:rsidR="0047110D">
        <w:rPr>
          <w:rFonts w:ascii="Calibri" w:hAnsi="Calibri" w:cs="Calibri"/>
        </w:rPr>
        <w:t>-</w:t>
      </w:r>
      <w:r w:rsidRPr="005C607F">
        <w:rPr>
          <w:rFonts w:ascii="Calibri" w:hAnsi="Calibri" w:cs="Calibri"/>
        </w:rPr>
        <w:t xml:space="preserve">treated and </w:t>
      </w:r>
      <w:r w:rsidR="00A229FB" w:rsidRPr="005C607F">
        <w:rPr>
          <w:rFonts w:ascii="Calibri" w:hAnsi="Calibri" w:cs="Calibri"/>
        </w:rPr>
        <w:t>1/2</w:t>
      </w:r>
      <w:r w:rsidRPr="005C607F">
        <w:rPr>
          <w:rFonts w:ascii="Calibri" w:hAnsi="Calibri" w:cs="Calibri"/>
        </w:rPr>
        <w:t xml:space="preserve"> no</w:t>
      </w:r>
      <w:r w:rsidR="004E752B">
        <w:rPr>
          <w:rFonts w:ascii="Calibri" w:hAnsi="Calibri" w:cs="Calibri"/>
        </w:rPr>
        <w:t>n-</w:t>
      </w:r>
      <w:r w:rsidRPr="005C607F">
        <w:rPr>
          <w:rFonts w:ascii="Calibri" w:hAnsi="Calibri" w:cs="Calibri"/>
        </w:rPr>
        <w:t>treat</w:t>
      </w:r>
      <w:r w:rsidR="004E752B">
        <w:rPr>
          <w:rFonts w:ascii="Calibri" w:hAnsi="Calibri" w:cs="Calibri"/>
        </w:rPr>
        <w:t>ed</w:t>
      </w:r>
      <w:r w:rsidRPr="005C607F">
        <w:rPr>
          <w:rFonts w:ascii="Calibri" w:hAnsi="Calibri" w:cs="Calibri"/>
        </w:rPr>
        <w:t xml:space="preserve"> dogs. Median survival time was 457.4 d</w:t>
      </w:r>
      <w:r w:rsidR="002E2EA5" w:rsidRPr="005C607F">
        <w:rPr>
          <w:rFonts w:ascii="Calibri" w:hAnsi="Calibri" w:cs="Calibri"/>
        </w:rPr>
        <w:t>ay</w:t>
      </w:r>
      <w:r w:rsidRPr="005C607F">
        <w:rPr>
          <w:rFonts w:ascii="Calibri" w:hAnsi="Calibri" w:cs="Calibri"/>
        </w:rPr>
        <w:t xml:space="preserve">s, with no significant difference between </w:t>
      </w:r>
      <w:r w:rsidR="001B3AD5">
        <w:rPr>
          <w:rFonts w:ascii="Calibri" w:hAnsi="Calibri" w:cs="Calibri"/>
        </w:rPr>
        <w:t>incidental and symptomatic dogs</w:t>
      </w:r>
      <w:r w:rsidRPr="005C607F">
        <w:rPr>
          <w:rFonts w:ascii="Calibri" w:hAnsi="Calibri" w:cs="Calibri"/>
        </w:rPr>
        <w:t xml:space="preserve">. </w:t>
      </w:r>
    </w:p>
    <w:p w14:paraId="1610C480" w14:textId="77777777" w:rsidR="003D140C" w:rsidRPr="005C607F" w:rsidRDefault="003D140C" w:rsidP="00867264">
      <w:pPr>
        <w:spacing w:line="480" w:lineRule="auto"/>
        <w:rPr>
          <w:rFonts w:ascii="Calibri" w:hAnsi="Calibri" w:cs="Calibri"/>
        </w:rPr>
      </w:pPr>
    </w:p>
    <w:p w14:paraId="498FE5E4" w14:textId="121998B1" w:rsidR="00BB6773" w:rsidRPr="005C607F" w:rsidRDefault="00626D9C" w:rsidP="00867264">
      <w:pPr>
        <w:spacing w:line="480" w:lineRule="auto"/>
        <w:rPr>
          <w:rFonts w:ascii="Calibri" w:hAnsi="Calibri" w:cs="Calibri"/>
          <w:b/>
          <w:bCs/>
        </w:rPr>
      </w:pPr>
      <w:r w:rsidRPr="005C607F">
        <w:rPr>
          <w:rFonts w:ascii="Calibri" w:hAnsi="Calibri" w:cs="Calibri"/>
          <w:b/>
          <w:bCs/>
        </w:rPr>
        <w:t xml:space="preserve">Conclusions and clinical importance </w:t>
      </w:r>
    </w:p>
    <w:p w14:paraId="07397969" w14:textId="09AD43DA" w:rsidR="00A229FB" w:rsidRPr="005C607F" w:rsidRDefault="00BB6773" w:rsidP="00867264">
      <w:pPr>
        <w:spacing w:line="480" w:lineRule="auto"/>
        <w:rPr>
          <w:rFonts w:ascii="Calibri" w:hAnsi="Calibri" w:cs="Calibri"/>
          <w:color w:val="000000" w:themeColor="text1"/>
        </w:rPr>
      </w:pPr>
      <w:r w:rsidRPr="005C607F">
        <w:rPr>
          <w:rFonts w:ascii="Calibri" w:hAnsi="Calibri" w:cs="Calibri"/>
          <w:color w:val="000000" w:themeColor="text1"/>
        </w:rPr>
        <w:t xml:space="preserve">Medical treatment </w:t>
      </w:r>
      <w:r w:rsidR="004E752B">
        <w:rPr>
          <w:rFonts w:ascii="Calibri" w:hAnsi="Calibri" w:cs="Calibri"/>
          <w:color w:val="000000" w:themeColor="text1"/>
        </w:rPr>
        <w:t xml:space="preserve">can be </w:t>
      </w:r>
      <w:r w:rsidRPr="005C607F">
        <w:rPr>
          <w:rFonts w:ascii="Calibri" w:hAnsi="Calibri" w:cs="Calibri"/>
          <w:color w:val="000000" w:themeColor="text1"/>
        </w:rPr>
        <w:t xml:space="preserve">effective for management of cholelithiasis </w:t>
      </w:r>
      <w:r w:rsidR="00986BE7">
        <w:rPr>
          <w:rFonts w:ascii="Calibri" w:hAnsi="Calibri" w:cs="Calibri"/>
          <w:color w:val="000000" w:themeColor="text1"/>
        </w:rPr>
        <w:t xml:space="preserve">in dogs, </w:t>
      </w:r>
      <w:r w:rsidRPr="005C607F">
        <w:rPr>
          <w:rFonts w:ascii="Calibri" w:hAnsi="Calibri" w:cs="Calibri"/>
          <w:color w:val="000000" w:themeColor="text1"/>
        </w:rPr>
        <w:t xml:space="preserve">with clinical </w:t>
      </w:r>
      <w:r w:rsidR="0075056E">
        <w:rPr>
          <w:rFonts w:ascii="Calibri" w:hAnsi="Calibri" w:cs="Calibri"/>
          <w:color w:val="000000" w:themeColor="text1"/>
        </w:rPr>
        <w:t>presentation</w:t>
      </w:r>
      <w:r w:rsidR="00D658D1">
        <w:rPr>
          <w:rFonts w:ascii="Calibri" w:hAnsi="Calibri" w:cs="Calibri"/>
          <w:color w:val="000000" w:themeColor="text1"/>
        </w:rPr>
        <w:t xml:space="preserve"> </w:t>
      </w:r>
      <w:r w:rsidRPr="005C607F">
        <w:rPr>
          <w:rFonts w:ascii="Calibri" w:hAnsi="Calibri" w:cs="Calibri"/>
          <w:color w:val="000000" w:themeColor="text1"/>
        </w:rPr>
        <w:t>and cholelith location play</w:t>
      </w:r>
      <w:r w:rsidR="004C5E58">
        <w:rPr>
          <w:rFonts w:ascii="Calibri" w:hAnsi="Calibri" w:cs="Calibri"/>
          <w:color w:val="000000" w:themeColor="text1"/>
        </w:rPr>
        <w:t>ing</w:t>
      </w:r>
      <w:r w:rsidRPr="005C607F">
        <w:rPr>
          <w:rFonts w:ascii="Calibri" w:hAnsi="Calibri" w:cs="Calibri"/>
          <w:color w:val="000000" w:themeColor="text1"/>
        </w:rPr>
        <w:t xml:space="preserve"> </w:t>
      </w:r>
      <w:r w:rsidR="00986BE7">
        <w:rPr>
          <w:rFonts w:ascii="Calibri" w:hAnsi="Calibri" w:cs="Calibri"/>
          <w:color w:val="000000" w:themeColor="text1"/>
        </w:rPr>
        <w:t>important</w:t>
      </w:r>
      <w:r w:rsidRPr="005C607F">
        <w:rPr>
          <w:rFonts w:ascii="Calibri" w:hAnsi="Calibri" w:cs="Calibri"/>
          <w:color w:val="000000" w:themeColor="text1"/>
        </w:rPr>
        <w:t xml:space="preserve"> role</w:t>
      </w:r>
      <w:r w:rsidR="00986BE7">
        <w:rPr>
          <w:rFonts w:ascii="Calibri" w:hAnsi="Calibri" w:cs="Calibri"/>
          <w:color w:val="000000" w:themeColor="text1"/>
        </w:rPr>
        <w:t>s</w:t>
      </w:r>
      <w:r w:rsidRPr="005C607F">
        <w:rPr>
          <w:rFonts w:ascii="Calibri" w:hAnsi="Calibri" w:cs="Calibri"/>
          <w:color w:val="000000" w:themeColor="text1"/>
        </w:rPr>
        <w:t xml:space="preserve"> in treatment decision-making. </w:t>
      </w:r>
    </w:p>
    <w:p w14:paraId="0D20EE8D" w14:textId="12FC3A59" w:rsidR="00A229FB" w:rsidRPr="005C607F" w:rsidRDefault="00A229FB" w:rsidP="00867264">
      <w:pPr>
        <w:spacing w:line="480" w:lineRule="auto"/>
        <w:rPr>
          <w:rFonts w:ascii="Calibri" w:hAnsi="Calibri" w:cs="Calibri"/>
          <w:color w:val="000000" w:themeColor="text1"/>
        </w:rPr>
      </w:pPr>
    </w:p>
    <w:p w14:paraId="71573249" w14:textId="51B12979" w:rsidR="0034325E" w:rsidRPr="005C607F" w:rsidRDefault="0034325E" w:rsidP="00867264">
      <w:pPr>
        <w:spacing w:line="480" w:lineRule="auto"/>
        <w:rPr>
          <w:rFonts w:ascii="Calibri" w:hAnsi="Calibri" w:cs="Calibri"/>
          <w:color w:val="000000" w:themeColor="text1"/>
        </w:rPr>
      </w:pPr>
    </w:p>
    <w:p w14:paraId="1490F6E7" w14:textId="0CA42C15" w:rsidR="0034325E" w:rsidRPr="005C607F" w:rsidRDefault="0034325E" w:rsidP="00867264">
      <w:pPr>
        <w:spacing w:line="480" w:lineRule="auto"/>
        <w:rPr>
          <w:rFonts w:ascii="Calibri" w:hAnsi="Calibri" w:cs="Calibri"/>
          <w:color w:val="000000" w:themeColor="text1"/>
        </w:rPr>
      </w:pPr>
    </w:p>
    <w:p w14:paraId="113BCA2B" w14:textId="6B7392EC" w:rsidR="0034325E" w:rsidRPr="005C607F" w:rsidRDefault="0034325E" w:rsidP="00867264">
      <w:pPr>
        <w:spacing w:line="480" w:lineRule="auto"/>
        <w:rPr>
          <w:rFonts w:ascii="Calibri" w:hAnsi="Calibri" w:cs="Calibri"/>
          <w:color w:val="000000" w:themeColor="text1"/>
        </w:rPr>
      </w:pPr>
    </w:p>
    <w:p w14:paraId="4BD8452B" w14:textId="3818E37B" w:rsidR="0034325E" w:rsidRDefault="0034325E" w:rsidP="00867264">
      <w:pPr>
        <w:spacing w:line="480" w:lineRule="auto"/>
        <w:rPr>
          <w:rFonts w:ascii="Calibri" w:hAnsi="Calibri" w:cs="Calibri"/>
          <w:color w:val="000000" w:themeColor="text1"/>
        </w:rPr>
      </w:pPr>
    </w:p>
    <w:p w14:paraId="2DDBB855" w14:textId="2A22E729" w:rsidR="001B7BF2" w:rsidRDefault="001B7BF2" w:rsidP="00867264">
      <w:pPr>
        <w:spacing w:line="480" w:lineRule="auto"/>
        <w:rPr>
          <w:rFonts w:ascii="Calibri" w:hAnsi="Calibri" w:cs="Calibri"/>
          <w:color w:val="000000" w:themeColor="text1"/>
        </w:rPr>
      </w:pPr>
    </w:p>
    <w:p w14:paraId="180AE9BC" w14:textId="75B5A2F7" w:rsidR="00A83D87" w:rsidRDefault="00A83D87" w:rsidP="00867264">
      <w:pPr>
        <w:spacing w:line="480" w:lineRule="auto"/>
        <w:rPr>
          <w:rFonts w:ascii="Calibri" w:hAnsi="Calibri" w:cs="Calibri"/>
          <w:color w:val="000000" w:themeColor="text1"/>
        </w:rPr>
      </w:pPr>
    </w:p>
    <w:p w14:paraId="5439DD7B" w14:textId="06C0B318" w:rsidR="00A83D87" w:rsidRDefault="00A83D87" w:rsidP="00867264">
      <w:pPr>
        <w:spacing w:line="480" w:lineRule="auto"/>
        <w:rPr>
          <w:rFonts w:ascii="Calibri" w:hAnsi="Calibri" w:cs="Calibri"/>
          <w:color w:val="000000" w:themeColor="text1"/>
        </w:rPr>
      </w:pPr>
    </w:p>
    <w:p w14:paraId="29A34329" w14:textId="77777777" w:rsidR="00555B83" w:rsidRDefault="00555B83" w:rsidP="00867264">
      <w:pPr>
        <w:spacing w:line="480" w:lineRule="auto"/>
        <w:rPr>
          <w:rFonts w:ascii="Calibri" w:hAnsi="Calibri" w:cs="Calibri"/>
          <w:color w:val="000000" w:themeColor="text1"/>
        </w:rPr>
      </w:pPr>
    </w:p>
    <w:p w14:paraId="5ACAA50D" w14:textId="7BA77DDF" w:rsidR="00A83D87" w:rsidRDefault="00A83D87" w:rsidP="00867264">
      <w:pPr>
        <w:spacing w:line="480" w:lineRule="auto"/>
        <w:rPr>
          <w:rFonts w:ascii="Calibri" w:hAnsi="Calibri" w:cs="Calibri"/>
          <w:color w:val="000000" w:themeColor="text1"/>
        </w:rPr>
      </w:pPr>
    </w:p>
    <w:p w14:paraId="2894607E" w14:textId="73024414" w:rsidR="00DC107E" w:rsidRDefault="00DC107E" w:rsidP="00867264">
      <w:pPr>
        <w:spacing w:line="480" w:lineRule="auto"/>
        <w:rPr>
          <w:rFonts w:ascii="Calibri" w:hAnsi="Calibri" w:cs="Calibri"/>
          <w:color w:val="000000" w:themeColor="text1"/>
        </w:rPr>
      </w:pPr>
    </w:p>
    <w:p w14:paraId="38FA9BCB" w14:textId="77777777" w:rsidR="0002494F" w:rsidRDefault="0002494F" w:rsidP="00867264">
      <w:pPr>
        <w:spacing w:line="480" w:lineRule="auto"/>
        <w:rPr>
          <w:rFonts w:ascii="Calibri" w:hAnsi="Calibri" w:cs="Calibri"/>
          <w:color w:val="000000" w:themeColor="text1"/>
        </w:rPr>
      </w:pPr>
    </w:p>
    <w:p w14:paraId="1561F3B1" w14:textId="102CFA8B" w:rsidR="0078468F" w:rsidRPr="001B7BF2" w:rsidRDefault="0078468F" w:rsidP="00867264">
      <w:pPr>
        <w:spacing w:line="480" w:lineRule="auto"/>
        <w:rPr>
          <w:rFonts w:ascii="Calibri" w:hAnsi="Calibri" w:cs="Calibri"/>
          <w:b/>
          <w:bCs/>
          <w:color w:val="000000" w:themeColor="text1"/>
        </w:rPr>
      </w:pPr>
      <w:r w:rsidRPr="001B7BF2">
        <w:rPr>
          <w:rFonts w:ascii="Calibri" w:hAnsi="Calibri" w:cs="Calibri"/>
          <w:b/>
          <w:bCs/>
        </w:rPr>
        <w:lastRenderedPageBreak/>
        <w:t>Introduction</w:t>
      </w:r>
      <w:r w:rsidR="00422A00" w:rsidRPr="001B7BF2">
        <w:rPr>
          <w:rFonts w:ascii="Calibri" w:hAnsi="Calibri" w:cs="Calibri"/>
          <w:b/>
          <w:bCs/>
        </w:rPr>
        <w:t xml:space="preserve"> </w:t>
      </w:r>
    </w:p>
    <w:p w14:paraId="712A42B9" w14:textId="674392DA" w:rsidR="0078468F" w:rsidRDefault="0078468F" w:rsidP="00867264">
      <w:pPr>
        <w:spacing w:line="480" w:lineRule="auto"/>
        <w:jc w:val="both"/>
        <w:rPr>
          <w:rFonts w:ascii="Calibri" w:hAnsi="Calibri" w:cs="Calibri"/>
        </w:rPr>
      </w:pPr>
      <w:r w:rsidRPr="005C607F">
        <w:rPr>
          <w:rFonts w:ascii="Calibri" w:hAnsi="Calibri" w:cs="Calibri"/>
        </w:rPr>
        <w:t xml:space="preserve">Cholelithiasis </w:t>
      </w:r>
      <w:r w:rsidR="00523D86" w:rsidRPr="005C607F">
        <w:rPr>
          <w:rFonts w:ascii="Calibri" w:hAnsi="Calibri" w:cs="Calibri"/>
        </w:rPr>
        <w:t>is an uncommon condition in dogs,</w:t>
      </w:r>
      <w:r w:rsidRPr="005C607F">
        <w:rPr>
          <w:rFonts w:ascii="Calibri" w:hAnsi="Calibri" w:cs="Calibri"/>
        </w:rPr>
        <w:t xml:space="preserve"> with a recent study identifying a prevalence of 0.97% </w:t>
      </w:r>
      <w:r w:rsidR="00857AB0" w:rsidRPr="005C607F">
        <w:rPr>
          <w:rFonts w:ascii="Calibri" w:hAnsi="Calibri" w:cs="Calibri"/>
        </w:rPr>
        <w:fldChar w:fldCharType="begin" w:fldLock="1"/>
      </w:r>
      <w:r w:rsidR="00444A57" w:rsidRPr="005C607F">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mendeley":{"formattedCitation":"(1)","plainTextFormattedCitation":"(1)","previouslyFormattedCitation":"(1)"},"properties":{"noteIndex":0},"schema":"https://github.com/citation-style-language/schema/raw/master/csl-citation.json"}</w:instrText>
      </w:r>
      <w:r w:rsidR="00857AB0" w:rsidRPr="005C607F">
        <w:rPr>
          <w:rFonts w:ascii="Calibri" w:hAnsi="Calibri" w:cs="Calibri"/>
        </w:rPr>
        <w:fldChar w:fldCharType="separate"/>
      </w:r>
      <w:r w:rsidR="00B64BFC" w:rsidRPr="005C607F">
        <w:rPr>
          <w:rFonts w:ascii="Calibri" w:hAnsi="Calibri" w:cs="Calibri"/>
          <w:noProof/>
        </w:rPr>
        <w:t>(1)</w:t>
      </w:r>
      <w:r w:rsidR="00857AB0" w:rsidRPr="005C607F">
        <w:rPr>
          <w:rFonts w:ascii="Calibri" w:hAnsi="Calibri" w:cs="Calibri"/>
        </w:rPr>
        <w:fldChar w:fldCharType="end"/>
      </w:r>
      <w:r w:rsidRPr="005C607F">
        <w:rPr>
          <w:rFonts w:ascii="Calibri" w:hAnsi="Calibri" w:cs="Calibri"/>
        </w:rPr>
        <w:t xml:space="preserve">. </w:t>
      </w:r>
      <w:r w:rsidR="00084456">
        <w:rPr>
          <w:rFonts w:ascii="Calibri" w:hAnsi="Calibri" w:cs="Calibri"/>
        </w:rPr>
        <w:t>Geriatric</w:t>
      </w:r>
      <w:r w:rsidRPr="005C607F">
        <w:rPr>
          <w:rFonts w:ascii="Calibri" w:hAnsi="Calibri" w:cs="Calibri"/>
        </w:rPr>
        <w:t xml:space="preserve">, female, small breed dogs </w:t>
      </w:r>
      <w:r w:rsidR="001F5997">
        <w:rPr>
          <w:rFonts w:ascii="Calibri" w:hAnsi="Calibri" w:cs="Calibri"/>
        </w:rPr>
        <w:t>are</w:t>
      </w:r>
      <w:r w:rsidRPr="005C607F">
        <w:rPr>
          <w:rFonts w:ascii="Calibri" w:hAnsi="Calibri" w:cs="Calibri"/>
        </w:rPr>
        <w:t xml:space="preserve"> overrepresented in studies of cholelithiasis</w:t>
      </w:r>
      <w:r w:rsidR="00084456">
        <w:rPr>
          <w:rFonts w:ascii="Calibri" w:hAnsi="Calibri" w:cs="Calibri"/>
        </w:rPr>
        <w:t xml:space="preserve"> in dogs</w:t>
      </w:r>
      <w:r w:rsidRPr="005C607F">
        <w:rPr>
          <w:rFonts w:ascii="Calibri" w:hAnsi="Calibri" w:cs="Calibri"/>
        </w:rPr>
        <w:t xml:space="preserve"> </w:t>
      </w:r>
      <w:r w:rsidR="00523D86" w:rsidRPr="005C607F">
        <w:rPr>
          <w:rFonts w:ascii="Calibri" w:hAnsi="Calibri" w:cs="Calibri"/>
        </w:rPr>
        <w:fldChar w:fldCharType="begin" w:fldLock="1"/>
      </w:r>
      <w:r w:rsidR="00444A57" w:rsidRPr="005C607F">
        <w:rPr>
          <w:rFonts w:ascii="Calibri" w:hAnsi="Calibri" w:cs="Calibri"/>
        </w:rPr>
        <w:instrText>ADDIN CSL_CITATION {"citationItems":[{"id":"ITEM-1","itemData":{"ISSN":"0008-5286","abstract":"A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canadienne","id":"ITEM-1","issue":"9","issued":{"date-parts":[["2017","9"]]},"language":"eng","page":"971-973","publisher":"Canadian Veterinary Medical Association","title":"Intrahepatic cholelithiasis in dogs and cats: A case series","type":"article-journal","volume":"58"},"uris":["http://www.mendeley.com/documents/?uuid=752cbfbe-cc88-4e01-9294-a3295e386423"]},{"id":"ITEM-2","itemData":{"ISSN":"0003-1488","author":[{"dropping-particle":"","family":"Kirpensteijn","given":"J","non-dropping-particle":"","parse-names":false,"suffix":""},{"dropping-particle":"","family":"Fingland","given":"R B","non-dropping-particle":"","parse-names":false,"suffix":""},{"dropping-particle":"","family":"Ulrich","given":"T","non-dropping-particle":"","parse-names":false,"suffix":""},{"dropping-particle":"","family":"Sikkema","given":"D A","non-dropping-particle":"","parse-names":false,"suffix":""},{"dropping-particle":"","family":"Allen","given":"S W","non-dropping-particle":"","parse-names":false,"suffix":""}],"container-title":"Journal of the American Veterinary Medical Association","id":"ITEM-2","issue":"7","issued":{"date-parts":[["1993","4"]]},"page":"1137—1142","title":"Cholelithiasis in dogs: 29 cases (1980-1990)","type":"article-journal","volume":"202"},"uris":["http://www.mendeley.com/documents/?uuid=ea2fcfa7-1d2a-4b11-8772-90011ad056fc"]},{"id":"ITEM-3","itemData":{"DOI":"10.1371/journal.pone.0187315","ISSN":"1932-6203","abstract":"Leptin and its receptor play several physiological roles in the canine gallbladder, and the dysregulation of leptin might play a role in the pathogenesis of gallbladder diseases such as gallbladder mucocele. Previous studies revealed a positive association between hyperlipidemia and gallstones in humans. However, the latter is still unclear in dogs with cholelithiasis. In this study, we examined the differences in leptin, leptin receptor, total cholesterol, and triglyceride levels between healthy dogs and dogs with cholelithiasis, and evaluated the correlation between leptin and hyperlipidemia. Twenty-eight healthy dogs and 34 client-owned dogs with cholelithiasis were enrolled in the study. Leptin concentrations and lipid profiles were determined from sera, and leptin and leptin receptor expression levels were quantified in gallbladder tissue. In dogs with cholelithiasis, serum concentrations of leptin (p &lt; 0.001), total cholesterol (p &lt; 0.001), and triglycerides (p &lt; 0.001) were significantly higher compared with those in healthy dogs. Positive correlations were observed between serum leptin and total cholesterol (95% confidence interval (CI) = 0.61-0.89, r = 0.725, p &lt; 0.001), and between leptin and triglycerides (95% CI = 0.63-0.89, r = 0.782, p &lt; 0.001) in the cholelithiasis group. Hypercholesterolemia (Odds Ratio (OR) = 9.720; 95% CI = 1.148-82.318) and hypertriglyceridemia (OR = 12.913; 95% CI = 1.548-107.722) were shown to be risk factors for gallstone disease. In cholelithiasis patients who underwent cholecystectomy, serum leptin levels were significantly higher than in patients that had not undergone surgery (p &lt; 0.001). Leptin and leptin receptor expression was upregulated in the gallbladder tissues of cholelithiasis patients (p &lt; 0.01 and p &lt; 0.001, respectively). These results indicate that increased serum leptin concentrations and hyperlipidemia (hypercholesterolemia or hypertriglyceridemia) are associated with canine cholelithiasis and that homeostatic imbalance of these parameters might affect the pathogenesis of gallstones.","author":[{"dropping-particle":"","family":"Lee","given":"Sungin","non-dropping-particle":"","parse-names":false,"suffix":""},{"dropping-particle":"","family":"Kweon","given":"Oh-Kyeong","non-dropping-particle":"","parse-names":false,"suffix":""},{"dropping-particle":"","family":"Kim","given":"Wan Hee","non-dropping-particle":"","parse-names":false,"suffix":""}],"container-title":"PloS one","id":"ITEM-3","issue":"10","issued":{"date-parts":[["2017","10","31"]]},"language":"eng","page":"e0187315-e0187315","publisher":"Public Library of Science","title":"Associations between serum leptin levels, hyperlipidemia, and cholelithiasis in dogs","type":"article-journal","volume":"12"},"uris":["http://www.mendeley.com/documents/?uuid=d22eecb5-55d8-43ca-87ed-39aeef993e8e"]}],"mendeley":{"formattedCitation":"(2–4)","plainTextFormattedCitation":"(2–4)","previouslyFormattedCitation":"(2–4)"},"properties":{"noteIndex":0},"schema":"https://github.com/citation-style-language/schema/raw/master/csl-citation.json"}</w:instrText>
      </w:r>
      <w:r w:rsidR="00523D86" w:rsidRPr="005C607F">
        <w:rPr>
          <w:rFonts w:ascii="Calibri" w:hAnsi="Calibri" w:cs="Calibri"/>
        </w:rPr>
        <w:fldChar w:fldCharType="separate"/>
      </w:r>
      <w:r w:rsidR="00B64BFC" w:rsidRPr="005C607F">
        <w:rPr>
          <w:rFonts w:ascii="Calibri" w:hAnsi="Calibri" w:cs="Calibri"/>
          <w:noProof/>
        </w:rPr>
        <w:t>(2–4)</w:t>
      </w:r>
      <w:r w:rsidR="00523D86" w:rsidRPr="005C607F">
        <w:rPr>
          <w:rFonts w:ascii="Calibri" w:hAnsi="Calibri" w:cs="Calibri"/>
        </w:rPr>
        <w:fldChar w:fldCharType="end"/>
      </w:r>
      <w:r w:rsidRPr="005C607F">
        <w:rPr>
          <w:rFonts w:ascii="Calibri" w:hAnsi="Calibri" w:cs="Calibri"/>
        </w:rPr>
        <w:t xml:space="preserve">. </w:t>
      </w:r>
      <w:r w:rsidR="00605EE9" w:rsidRPr="005C607F">
        <w:rPr>
          <w:rFonts w:ascii="Calibri" w:hAnsi="Calibri" w:cs="Calibri"/>
        </w:rPr>
        <w:t>Clinical signs are often non-specific and include abdominal pain, vomiting, anorexia, icterus, polyuria</w:t>
      </w:r>
      <w:r w:rsidR="00084456">
        <w:rPr>
          <w:rFonts w:ascii="Calibri" w:hAnsi="Calibri" w:cs="Calibri"/>
        </w:rPr>
        <w:t>,</w:t>
      </w:r>
      <w:r w:rsidR="00605EE9" w:rsidRPr="005C607F">
        <w:rPr>
          <w:rFonts w:ascii="Calibri" w:hAnsi="Calibri" w:cs="Calibri"/>
        </w:rPr>
        <w:t xml:space="preserve"> and polydipsia</w:t>
      </w:r>
      <w:r w:rsidR="00376876" w:rsidRPr="005C607F">
        <w:rPr>
          <w:rFonts w:ascii="Calibri" w:hAnsi="Calibri" w:cs="Calibri"/>
        </w:rPr>
        <w:t xml:space="preserve">, </w:t>
      </w:r>
      <w:r w:rsidR="00084456">
        <w:rPr>
          <w:rFonts w:ascii="Calibri" w:hAnsi="Calibri" w:cs="Calibri"/>
        </w:rPr>
        <w:t>but</w:t>
      </w:r>
      <w:r w:rsidR="00376876" w:rsidRPr="005C607F">
        <w:rPr>
          <w:rFonts w:ascii="Calibri" w:hAnsi="Calibri" w:cs="Calibri"/>
        </w:rPr>
        <w:t xml:space="preserve"> the </w:t>
      </w:r>
      <w:r w:rsidR="006C38B9">
        <w:rPr>
          <w:rFonts w:ascii="Calibri" w:hAnsi="Calibri" w:cs="Calibri"/>
        </w:rPr>
        <w:t xml:space="preserve">frequency </w:t>
      </w:r>
      <w:r w:rsidR="00376876" w:rsidRPr="005C607F">
        <w:rPr>
          <w:rFonts w:ascii="Calibri" w:hAnsi="Calibri" w:cs="Calibri"/>
        </w:rPr>
        <w:t>of symptomatic cholelithiasis is low</w:t>
      </w:r>
      <w:r w:rsidR="005C0C42" w:rsidRPr="005C607F">
        <w:rPr>
          <w:rFonts w:ascii="Calibri" w:hAnsi="Calibri" w:cs="Calibri"/>
        </w:rPr>
        <w:t xml:space="preserve"> </w:t>
      </w:r>
      <w:r w:rsidR="005C0C42" w:rsidRPr="005C607F">
        <w:rPr>
          <w:rFonts w:ascii="Calibri" w:hAnsi="Calibri" w:cs="Calibri"/>
        </w:rPr>
        <w:fldChar w:fldCharType="begin" w:fldLock="1"/>
      </w:r>
      <w:r w:rsidR="00444A57" w:rsidRPr="005C607F">
        <w:rPr>
          <w:rFonts w:ascii="Calibri" w:hAnsi="Calibri" w:cs="Calibri"/>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acid","type":"article-journal","volume":"8"},"uris":["http://www.mendeley.com/documents/?uuid=f8418430-3666-4855-8a6c-26f07935f03d"]},{"id":"ITEM-2","itemData":{"DOI":"10.5326/JAAHA-MS-7000","ISSN":"0587-2871","abstract":"Canine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Association","id":"ITEM-2","issue":"3","issued":{"date-parts":[["2020","5","1"]]},"page":"152","title":"Cholelithiasis in the Dog: Prevalence, Clinical Presentation, and Outcome","type":"article-journal","volume":"56"},"uris":["http://www.mendeley.com/documents/?uuid=ff3a9338-b98b-4d01-965b-26009b9d5232"]},{"id":"ITEM-3","itemData":{"ISSN":"0008-5286","abstract":"A 10-year-old, neutered male, keeshond was presented for vomiting, lethargy, icterus, and anorexia. Obstructive cholelithiasis was diagnosed based on analysis of a serum biochemical profile, abdominal radiographs, and ultrasonography. Choleliths were removed from the gall bladder and common bile duct via a cholecystotomy.","author":[{"dropping-particle":"","family":"Ward","given":"Renata","non-dropping-particle":"","parse-names":false,"suffix":""}],"container-title":"The Canadian veterinary journal = La revue veterinaire canadienne","id":"ITEM-3","issue":"11","issued":{"date-parts":[["2006","11"]]},"language":"eng","page":"1119-1121","publisher":"Canadian Veterinary Medical Association","title":"Obstructive cholelithiasis and cholecystitis in a keeshond","type":"article-journal","volume":"47"},"uris":["http://www.mendeley.com/documents/?uuid=06b3d2f8-200d-466d-ba24-a168fa5eb871"]},{"id":"ITEM-4","itemData":{"ISSN":"0008-5286","abstract":"A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canadienne","id":"ITEM-4","issue":"9","issued":{"date-parts":[["2017","9"]]},"language":"eng","page":"971-973","publisher":"Canadian Veterinary Medical Association","title":"Intrahepatic cholelithiasis in dogs and cats: A case series","type":"article-journal","volume":"58"},"uris":["http://www.mendeley.com/documents/?uuid=752cbfbe-cc88-4e01-9294-a3295e386423"]}],"mendeley":{"formattedCitation":"(1,2,5,6)","plainTextFormattedCitation":"(1,2,5,6)","previouslyFormattedCitation":"(1,2,5,6)"},"properties":{"noteIndex":0},"schema":"https://github.com/citation-style-language/schema/raw/master/csl-citation.json"}</w:instrText>
      </w:r>
      <w:r w:rsidR="005C0C42" w:rsidRPr="005C607F">
        <w:rPr>
          <w:rFonts w:ascii="Calibri" w:hAnsi="Calibri" w:cs="Calibri"/>
        </w:rPr>
        <w:fldChar w:fldCharType="separate"/>
      </w:r>
      <w:r w:rsidR="00B64BFC" w:rsidRPr="005C607F">
        <w:rPr>
          <w:rFonts w:ascii="Calibri" w:hAnsi="Calibri" w:cs="Calibri"/>
          <w:noProof/>
        </w:rPr>
        <w:t>(1,2,5,6)</w:t>
      </w:r>
      <w:r w:rsidR="005C0C42" w:rsidRPr="005C607F">
        <w:rPr>
          <w:rFonts w:ascii="Calibri" w:hAnsi="Calibri" w:cs="Calibri"/>
        </w:rPr>
        <w:fldChar w:fldCharType="end"/>
      </w:r>
      <w:r w:rsidR="005170C5" w:rsidRPr="005C607F">
        <w:rPr>
          <w:rFonts w:ascii="Calibri" w:hAnsi="Calibri" w:cs="Calibri"/>
        </w:rPr>
        <w:t xml:space="preserve"> with </w:t>
      </w:r>
      <w:r w:rsidR="00084456">
        <w:rPr>
          <w:rFonts w:ascii="Calibri" w:hAnsi="Calibri" w:cs="Calibri"/>
        </w:rPr>
        <w:t>1</w:t>
      </w:r>
      <w:r w:rsidR="00084456" w:rsidRPr="005C607F">
        <w:rPr>
          <w:rFonts w:ascii="Calibri" w:hAnsi="Calibri" w:cs="Calibri"/>
        </w:rPr>
        <w:t xml:space="preserve"> </w:t>
      </w:r>
      <w:r w:rsidR="005170C5" w:rsidRPr="005C607F">
        <w:rPr>
          <w:rFonts w:ascii="Calibri" w:hAnsi="Calibri" w:cs="Calibri"/>
        </w:rPr>
        <w:t>study reporting 13.1% of dogs</w:t>
      </w:r>
      <w:r w:rsidR="00FF406B">
        <w:rPr>
          <w:rFonts w:ascii="Calibri" w:hAnsi="Calibri" w:cs="Calibri"/>
        </w:rPr>
        <w:t xml:space="preserve"> </w:t>
      </w:r>
      <w:r w:rsidR="00E933E6">
        <w:rPr>
          <w:rFonts w:ascii="Calibri" w:hAnsi="Calibri" w:cs="Calibri"/>
        </w:rPr>
        <w:t>to be</w:t>
      </w:r>
      <w:r w:rsidR="005170C5" w:rsidRPr="005C607F">
        <w:rPr>
          <w:rFonts w:ascii="Calibri" w:hAnsi="Calibri" w:cs="Calibri"/>
        </w:rPr>
        <w:t xml:space="preserve"> symptomatic</w:t>
      </w:r>
      <w:r w:rsidR="00605EE9" w:rsidRPr="005C607F">
        <w:rPr>
          <w:rFonts w:ascii="Calibri" w:hAnsi="Calibri" w:cs="Calibri"/>
        </w:rPr>
        <w:t xml:space="preserve">. </w:t>
      </w:r>
      <w:r w:rsidR="00632ACD" w:rsidRPr="005C607F">
        <w:rPr>
          <w:rFonts w:ascii="Calibri" w:hAnsi="Calibri" w:cs="Calibri"/>
        </w:rPr>
        <w:t>U</w:t>
      </w:r>
      <w:r w:rsidR="000407AA" w:rsidRPr="005C607F">
        <w:rPr>
          <w:rFonts w:ascii="Calibri" w:hAnsi="Calibri" w:cs="Calibri"/>
        </w:rPr>
        <w:t>rsodeoxycholic acid (U</w:t>
      </w:r>
      <w:r w:rsidR="00632ACD" w:rsidRPr="005C607F">
        <w:rPr>
          <w:rFonts w:ascii="Calibri" w:hAnsi="Calibri" w:cs="Calibri"/>
        </w:rPr>
        <w:t>DCA</w:t>
      </w:r>
      <w:r w:rsidR="000407AA" w:rsidRPr="005C607F">
        <w:rPr>
          <w:rFonts w:ascii="Calibri" w:hAnsi="Calibri" w:cs="Calibri"/>
        </w:rPr>
        <w:t>)</w:t>
      </w:r>
      <w:r w:rsidR="00632ACD" w:rsidRPr="005C607F">
        <w:rPr>
          <w:rFonts w:ascii="Calibri" w:hAnsi="Calibri" w:cs="Calibri"/>
        </w:rPr>
        <w:t xml:space="preserve"> is a </w:t>
      </w:r>
      <w:r w:rsidR="00FE4E1C" w:rsidRPr="005C607F">
        <w:rPr>
          <w:rFonts w:ascii="Calibri" w:hAnsi="Calibri" w:cs="Calibri"/>
        </w:rPr>
        <w:t xml:space="preserve">synthetic </w:t>
      </w:r>
      <w:r w:rsidR="00632ACD" w:rsidRPr="005C607F">
        <w:rPr>
          <w:rFonts w:ascii="Calibri" w:hAnsi="Calibri" w:cs="Calibri"/>
        </w:rPr>
        <w:t>hydrophilic bile acid</w:t>
      </w:r>
      <w:r w:rsidR="00FE4E1C" w:rsidRPr="005C607F">
        <w:rPr>
          <w:rFonts w:ascii="Calibri" w:hAnsi="Calibri" w:cs="Calibri"/>
        </w:rPr>
        <w:t xml:space="preserve"> </w:t>
      </w:r>
      <w:r w:rsidR="000407AA" w:rsidRPr="005C607F">
        <w:rPr>
          <w:rFonts w:ascii="Calibri" w:hAnsi="Calibri" w:cs="Calibri"/>
        </w:rPr>
        <w:t xml:space="preserve">that </w:t>
      </w:r>
      <w:r w:rsidR="00084456">
        <w:rPr>
          <w:rFonts w:ascii="Calibri" w:hAnsi="Calibri" w:cs="Calibri"/>
        </w:rPr>
        <w:t>minimizes</w:t>
      </w:r>
      <w:r w:rsidR="00084456" w:rsidRPr="005C607F">
        <w:rPr>
          <w:rFonts w:ascii="Calibri" w:hAnsi="Calibri" w:cs="Calibri"/>
        </w:rPr>
        <w:t xml:space="preserve"> </w:t>
      </w:r>
      <w:r w:rsidR="000407AA" w:rsidRPr="005C607F">
        <w:rPr>
          <w:rFonts w:ascii="Calibri" w:hAnsi="Calibri" w:cs="Calibri"/>
        </w:rPr>
        <w:t xml:space="preserve">hepatocellular and oxidative damage </w:t>
      </w:r>
      <w:r w:rsidR="00084456">
        <w:rPr>
          <w:rFonts w:ascii="Calibri" w:hAnsi="Calibri" w:cs="Calibri"/>
        </w:rPr>
        <w:t>resulting</w:t>
      </w:r>
      <w:r w:rsidR="00084456" w:rsidRPr="005C607F">
        <w:rPr>
          <w:rFonts w:ascii="Calibri" w:hAnsi="Calibri" w:cs="Calibri"/>
        </w:rPr>
        <w:t xml:space="preserve"> </w:t>
      </w:r>
      <w:r w:rsidR="000407AA" w:rsidRPr="005C607F">
        <w:rPr>
          <w:rFonts w:ascii="Calibri" w:hAnsi="Calibri" w:cs="Calibri"/>
        </w:rPr>
        <w:t>from bile acid retention in the liver by displacing hydrophobic bile acids</w:t>
      </w:r>
      <w:r w:rsidR="00D12D39">
        <w:rPr>
          <w:rFonts w:ascii="Calibri" w:hAnsi="Calibri" w:cs="Calibri"/>
        </w:rPr>
        <w:t>. It also</w:t>
      </w:r>
      <w:r w:rsidR="004E752B">
        <w:rPr>
          <w:rFonts w:ascii="Calibri" w:hAnsi="Calibri" w:cs="Calibri"/>
        </w:rPr>
        <w:t xml:space="preserve"> has</w:t>
      </w:r>
      <w:r w:rsidR="00D12D39">
        <w:rPr>
          <w:rFonts w:ascii="Calibri" w:hAnsi="Calibri" w:cs="Calibri"/>
        </w:rPr>
        <w:t xml:space="preserve"> choleretic and anti-inflammatory </w:t>
      </w:r>
      <w:r w:rsidR="004E752B">
        <w:rPr>
          <w:rFonts w:ascii="Calibri" w:hAnsi="Calibri" w:cs="Calibri"/>
        </w:rPr>
        <w:t xml:space="preserve">actions </w:t>
      </w:r>
      <w:r w:rsidR="00D12D39">
        <w:rPr>
          <w:rFonts w:ascii="Calibri" w:hAnsi="Calibri" w:cs="Calibri"/>
        </w:rPr>
        <w:t>in the gallbladder</w:t>
      </w:r>
      <w:r w:rsidR="00545A60">
        <w:rPr>
          <w:rFonts w:ascii="Calibri" w:hAnsi="Calibri" w:cs="Calibri"/>
        </w:rPr>
        <w:t xml:space="preserve"> </w:t>
      </w:r>
      <w:r w:rsidR="00545A60">
        <w:rPr>
          <w:rFonts w:ascii="Calibri" w:hAnsi="Calibri" w:cs="Calibri"/>
        </w:rPr>
        <w:fldChar w:fldCharType="begin" w:fldLock="1"/>
      </w:r>
      <w:r w:rsidR="000B0E63">
        <w:rPr>
          <w:rFonts w:ascii="Calibri" w:hAnsi="Calibri" w:cs="Calibri"/>
        </w:rPr>
        <w:instrText>ADDIN CSL_CITATION {"citationItems":[{"id":"ITEM-1","itemData":{"DOI":"10.1111/j.1939-1676.1997.tb00090.x","ISSN":"0891-6640","abstract":"A dog with severe cholestasis secondary to chronic hepatitis was treated with ursodeoxycholic acid (UDCA1 PO. After 2 weeks of daily treatment, the dog was more active and had an improved appetite. Monthly serum biochemical determinations and analysis of individual bile acid profiles documented improvement in hepatobiliary tests and a marked reduction in the concentrations of potentially hepatotoxic endogenous bile acids. These effects were maintained for approximately 6 months- The findings in this dog are similar to those reported for human patients treated with UDCA and provide preliminary evidence in support of its continued evaluation in the treatment of cholestatic liver disease in the dog.","author":[{"dropping-particle":"","family":"Meyer","given":"Denny J","non-dropping-particle":"","parse-names":false,"suffix":""},{"dropping-particle":"","family":"Thompson","given":"Morrow B","non-dropping-particle":"","parse-names":false,"suffix":""},{"dropping-particle":"","family":"Senior","given":"David F","non-dropping-particle":"","parse-names":false,"suffix":""}],"container-title":"Journal of Veterinary Internal Medicine","id":"ITEM-1","issue":"3","issued":{"date-parts":[["1997","5","1"]]},"note":"doi: 10.1111/j.1939-1676.1997.tb00090.x","page":"195-197","publisher":"John Wiley &amp; Sons, Ltd","title":"Use of Ursodeoxycholic Acids in a Dog With Chronic Hepatitis: Effects on Serum Hepatic Tests and Endogenous Bile Acid Composition","type":"article-journal","volume":"11"},"uris":["http://www.mendeley.com/documents/?uuid=ad42bfc6-ebce-446b-a1e5-d05423ec5987"]},{"id":"ITEM-2","itemData":{"DOI":"10.1111/j.1365-2982.2005.00683.x","ISSN":"1350-1925","abstract":"Abstract? Ursodeoxycholic acid (UDCA) prevents in vitro gallbladder (GB) muscle damage caused by acute cholecystitis and reduces risk of biliary pain and complications in gallstone (GS) patients. These effects could be partially explained by the improved GB bile turnover. Objectives:? To assess the effect of short-term UDCA treatment on GB motility and bile turnover. Methods:? Ultrasonographic (US) assessment of GB volumes was performed in 16 GS patients, in the postprandial phase, for 90?min with a time sampling of 1?min, before and after 30?days of UDCA (10?mg?kg?1?die?1) or placebo, randomly assigned. US data were analysed with statistical tools and with computer fluido-dynamic (CFD) software FluentTM to simulate GB bile flow. Results:? After therapy, fasting volume (FV) increased from 21.6 ± 9 to 28.2 ± 12?mL (p?&lt;?0.001) while the ejection fraction (EF) remained unchanged (44.5?±?17% vs 45.1?±?20%; p: ns). Volumes before and after treatment were poorly correlated (0.02?&lt;?r?&lt; 0.35), unlike those in placebo patients (r?&gt;?0.6). The average GB volume was increased in 7 out of 10 patients following UDCA (range 7?67%). CFD analysis supports the finding of improved bile flow after treatment. Conclusions:? Unlike results of conventional US parameters of GB motility, CFD analysis shows that UDCA improves GB bile turnover in GS patients.","author":[{"dropping-particle":"","family":"Guarino","given":"M P","non-dropping-particle":"","parse-names":false,"suffix":""},{"dropping-particle":"","family":"Carotti","given":"S","non-dropping-particle":"","parse-names":false,"suffix":""},{"dropping-particle":"","family":"Sarzano","given":"M","non-dropping-particle":"","parse-names":false,"suffix":""},{"dropping-particle":"","family":"Alloni","given":"R","non-dropping-particle":"","parse-names":false,"suffix":""},{"dropping-particle":"","family":"Vanni","given":"M","non-dropping-particle":"","parse-names":false,"suffix":""},{"dropping-particle":"","family":"Grosso","given":"M","non-dropping-particle":"","parse-names":false,"suffix":""},{"dropping-particle":"","family":"Sironi","given":"G","non-dropping-particle":"","parse-names":false,"suffix":""},{"dropping-particle":"","family":"Maffettone","given":"P L","non-dropping-particle":"","parse-names":false,"suffix":""},{"dropping-particle":"","family":"Cicala","given":"M","non-dropping-particle":"","parse-names":false,"suffix":""}],"container-title":"Neurogastroenterology &amp; Motility","id":"ITEM-2","issue":"5","issued":{"date-parts":[["2005","10","1"]]},"note":"doi: 10.1111/j.1365-2982.2005.00683.x","page":"680-686","publisher":"John Wiley &amp; Sons, Ltd","title":"Short-term ursodeoxycholic acid treatment improves gallbladder bile turnover in gallstone patients: a randomized trial","type":"article-journal","volume":"17"},"uris":["http://www.mendeley.com/documents/?uuid=53294476-3d44-4bd0-a45e-5d04d7e92c45"]},{"id":"ITEM-3","itemData":{"DOI":"10.1254/jjp.28.383","author":[{"dropping-particle":"","family":"Yanaura","given":"Saizo","non-dropping-particle":"","parse-names":false,"suffix":""},{"dropping-particle":"","family":"Ishikawa","given":"Shigeru","non-dropping-particle":"","parse-names":false,"suffix":""}],"container-title":"The Japanese Journal of Pharmacology","id":"ITEM-3","issue":"3","issued":{"date-parts":[["1978"]]},"page":"383-389","title":"Cholerectic properties of ursodeoxycholic acid and chenodeoxycholic acid in dogs","type":"article-journal","volume":"28"},"uris":["http://www.mendeley.com/documents/?uuid=d203b2e4-56ea-4425-9640-ea34503cc186"]}],"mendeley":{"formattedCitation":"(7–9)","plainTextFormattedCitation":"(7–9)","previouslyFormattedCitation":"(7–9)"},"properties":{"noteIndex":0},"schema":"https://github.com/citation-style-language/schema/raw/master/csl-citation.json"}</w:instrText>
      </w:r>
      <w:r w:rsidR="00545A60">
        <w:rPr>
          <w:rFonts w:ascii="Calibri" w:hAnsi="Calibri" w:cs="Calibri"/>
        </w:rPr>
        <w:fldChar w:fldCharType="separate"/>
      </w:r>
      <w:r w:rsidR="00545A60" w:rsidRPr="00545A60">
        <w:rPr>
          <w:rFonts w:ascii="Calibri" w:hAnsi="Calibri" w:cs="Calibri"/>
          <w:noProof/>
        </w:rPr>
        <w:t>(7–9)</w:t>
      </w:r>
      <w:r w:rsidR="00545A60">
        <w:rPr>
          <w:rFonts w:ascii="Calibri" w:hAnsi="Calibri" w:cs="Calibri"/>
        </w:rPr>
        <w:fldChar w:fldCharType="end"/>
      </w:r>
      <w:r w:rsidR="008159AD">
        <w:rPr>
          <w:rFonts w:ascii="Calibri" w:hAnsi="Calibri" w:cs="Calibri"/>
        </w:rPr>
        <w:t>.</w:t>
      </w:r>
      <w:r w:rsidR="000407AA" w:rsidRPr="005C607F">
        <w:rPr>
          <w:rFonts w:ascii="Calibri" w:hAnsi="Calibri" w:cs="Calibri"/>
        </w:rPr>
        <w:t xml:space="preserve"> </w:t>
      </w:r>
      <w:r w:rsidR="00084456">
        <w:rPr>
          <w:rFonts w:ascii="Calibri" w:hAnsi="Calibri" w:cs="Calibri"/>
        </w:rPr>
        <w:t>It</w:t>
      </w:r>
      <w:r w:rsidR="00084456" w:rsidRPr="005C607F">
        <w:rPr>
          <w:rFonts w:ascii="Calibri" w:hAnsi="Calibri" w:cs="Calibri"/>
        </w:rPr>
        <w:t xml:space="preserve"> </w:t>
      </w:r>
      <w:r w:rsidR="003E0AEA" w:rsidRPr="005C607F">
        <w:rPr>
          <w:rFonts w:ascii="Calibri" w:hAnsi="Calibri" w:cs="Calibri"/>
        </w:rPr>
        <w:t xml:space="preserve">is </w:t>
      </w:r>
      <w:r w:rsidR="00084456">
        <w:rPr>
          <w:rFonts w:ascii="Calibri" w:hAnsi="Calibri" w:cs="Calibri"/>
        </w:rPr>
        <w:t xml:space="preserve">used </w:t>
      </w:r>
      <w:r w:rsidR="003E0AEA" w:rsidRPr="005C607F">
        <w:rPr>
          <w:rFonts w:ascii="Calibri" w:hAnsi="Calibri" w:cs="Calibri"/>
        </w:rPr>
        <w:t>commonly</w:t>
      </w:r>
      <w:r w:rsidR="00084456">
        <w:rPr>
          <w:rFonts w:ascii="Calibri" w:hAnsi="Calibri" w:cs="Calibri"/>
        </w:rPr>
        <w:t xml:space="preserve"> </w:t>
      </w:r>
      <w:r w:rsidR="003E0AEA" w:rsidRPr="005C607F">
        <w:rPr>
          <w:rFonts w:ascii="Calibri" w:hAnsi="Calibri" w:cs="Calibri"/>
        </w:rPr>
        <w:t xml:space="preserve">in </w:t>
      </w:r>
      <w:r w:rsidR="001F5997">
        <w:rPr>
          <w:rFonts w:ascii="Calibri" w:hAnsi="Calibri" w:cs="Calibri"/>
        </w:rPr>
        <w:t>people</w:t>
      </w:r>
      <w:r w:rsidR="003E0AEA" w:rsidRPr="005C607F">
        <w:rPr>
          <w:rFonts w:ascii="Calibri" w:hAnsi="Calibri" w:cs="Calibri"/>
        </w:rPr>
        <w:t xml:space="preserve"> for </w:t>
      </w:r>
      <w:r w:rsidR="001F5997">
        <w:rPr>
          <w:rFonts w:ascii="Calibri" w:hAnsi="Calibri" w:cs="Calibri"/>
        </w:rPr>
        <w:t xml:space="preserve">medical dissolution and prevention </w:t>
      </w:r>
      <w:r w:rsidR="003E0AEA" w:rsidRPr="005C607F">
        <w:rPr>
          <w:rFonts w:ascii="Calibri" w:hAnsi="Calibri" w:cs="Calibri"/>
        </w:rPr>
        <w:t>of cholelithiasis</w:t>
      </w:r>
      <w:r w:rsidR="00376876" w:rsidRPr="005C607F">
        <w:rPr>
          <w:rFonts w:ascii="Calibri" w:hAnsi="Calibri" w:cs="Calibri"/>
        </w:rPr>
        <w:t xml:space="preserve"> </w:t>
      </w:r>
      <w:r w:rsidR="00376876" w:rsidRPr="005C607F">
        <w:rPr>
          <w:rFonts w:ascii="Calibri" w:hAnsi="Calibri" w:cs="Calibri"/>
        </w:rPr>
        <w:fldChar w:fldCharType="begin" w:fldLock="1"/>
      </w:r>
      <w:r w:rsidR="00156950">
        <w:rPr>
          <w:rFonts w:ascii="Calibri" w:hAnsi="Calibri" w:cs="Calibri"/>
        </w:rPr>
        <w:instrText>ADDIN CSL_CITATION {"citationItems":[{"id":"ITEM-1","itemData":{"DOI":"10.4254/wjh.v4.i2.18","ISSN":"1948-5182","abstract":"Gallstone disease (GD) is a chronic recurrent hepatobiliary disease, the basis for which is the impaired metabolism of cholesterol, bilirubin and bile acids, which is characterized by the formation of gallstones in the hepatic bile duct, common bile duct, or gallbladder. GD is one of the most prevalent gastrointestinal diseases with a substantial burden to health care systems. GD can result in serious outcomes, such as acute gallstone pancreatitis and gallbladder cancer. The epidemiology, pathogenesis and treatment of GD are discussed in this review. The prevalence of GD varies widely by region. The prevalence of gallstone disease has increased in recent years. This is connected with a change in lifestyle: reduction of motor activity, reduction of the physical load and changes to diets. One of the important benefits of early screening for gallstone disease is that ultrasonography can detect asymptomatic cases, which results in early treatment and the prevention of serious outcomes. The pathogenesis of GD is suggested to be multifactorial and probably develops from complex interactions between many genetic and environmental factors. It suggests that corticosteroids and oral contraceptives, which contain hormones related to steroid hormones, may be regarded as a model system of cholelithiasis development in man. The achievement in the study of the physiology of bile formation and the pathogenesis of GD has allowed expanding indications for therapeutic treatment of GD.","author":[{"dropping-particle":"","family":"Reshetnyak","given":"Vasiliy Ivanovich","non-dropping-particle":"","parse-names":false,"suffix":""}],"container-title":"World journal of hepatology","id":"ITEM-1","issue":"2","issued":{"date-parts":[["2012","2","27"]]},"language":"eng","page":"18-34","publisher":"Baishideng Publishing Group Co., Limited","title":"Concept of the pathogenesis and treatment of cholelithiasis","type":"article-journal","volume":"4"},"uris":["http://www.mendeley.com/documents/?uuid=6c1c9924-fdf8-4e0a-9f81-76d4b36f14f9"]},{"id":"ITEM-2","itemData":{"DOI":"10.12688/f1000research.15505.1","ISSN":"2046-1402","abstract":"The high prevalence of cholesterol gallstones, the availability of new information about pathogenesis, and the relevant health costs due to the management of cholelithiasis in both children and adults contribute to a growing interest in this disease. From an epidemiologic point of view, the risk of gallstones has been associated with higher risk of incident ischemic heart disease, total mortality, and disease-specific mortality (including cancer) independently from the presence of traditional risk factors such as body weight, lifestyle, diabetes, and dyslipidemia. This evidence points to the existence of complex pathogenic pathways linking the occurrence of gallstones to altered systemic homeostasis involving multiple organs and dynamics. In fact, the formation of gallstones is secondary to local factors strictly dependent on the gallbladder (that is, impaired smooth muscle function, wall inflammation, and intraluminal mucin accumulation) and bile (that is, supersaturation in cholesterol and precipitation of solid crystals) but also to \"extra-gallbladder\" features such as gene polymorphism, epigenetic factors, expression and activity of nuclear receptors, hormonal factors (in particular, insulin resistance), multi-level alterations in cholesterol metabolism, altered intestinal motility, and variations in gut microbiota. Of note, the majority of these factors are potentially manageable. Thus, cholelithiasis appears as the expression of systemic unbalances that, besides the classic therapeutic approaches to patients with clinical evidence of symptomatic disease or complications (surgery and, in a small subgroup of subjects, oral litholysis with bile acids), could be managed with tools oriented to primary prevention (changes in diet and lifestyle and pharmacologic prevention in subgroups at high risk), and there could be relevant implications in reducing both prevalence and health costs.","author":[{"dropping-particle":"","family":"Ciaula","given":"Agostino","non-dropping-particle":"Di","parse-names":false,"suffix":""},{"dropping-particle":"","family":"Portincasa","given":"Piero","non-dropping-particle":"","parse-names":false,"suffix":""}],"container-title":"F1000Research","id":"ITEM-2","issued":{"date-parts":[["2018","9","24"]]},"language":"eng","page":"F1000 Faculty Rev-1529","publisher":"F1000 Research Limited","title":"Recent advances in understanding and managing cholesterol gallstones","type":"article-journal","volume":"7"},"uris":["http://www.mendeley.com/documents/?uuid=e87cb6f7-4af1-4370-9b49-22c0e2e43e77"]},{"id":"ITEM-3","itemData":{"DOI":"10.1111/j.1365-2982.2005.00683.x","ISSN":"1350-1925","abstract":"Abstract? Ursodeoxycholic acid (UDCA) prevents in vitro gallbladder (GB) muscle damage caused by acute cholecystitis and reduces risk of biliary pain and complications in gallstone (GS) patients. These effects could be partially explained by the improved GB bile turnover. Objectives:? To assess the effect of short-term UDCA treatment on GB motility and bile turnover. Methods:? Ultrasonographic (US) assessment of GB volumes was performed in 16 GS patients, in the postprandial phase, for 90?min with a time sampling of 1?min, before and after 30?days of UDCA (10?mg?kg?1?die?1) or placebo, randomly assigned. US data were analysed with statistical tools and with computer fluido-dynamic (CFD) software FluentTM to simulate GB bile flow. Results:? After therapy, fasting volume (FV) increased from 21.6 ± 9 to 28.2 ± 12?mL (p?&lt;?0.001) while the ejection fraction (EF) remained unchanged (44.5?±?17% vs 45.1?±?20%; p: ns). Volumes before and after treatment were poorly correlated (0.02?&lt;?r?&lt; 0.35), unlike those in placebo patients (r?&gt;?0.6). The average GB volume was increased in 7 out of 10 patients following UDCA (range 7?67%). CFD analysis supports the finding of improved bile flow after treatment. Conclusions:? Unlike results of conventional US parameters of GB motility, CFD analysis shows that UDCA improves GB bile turnover in GS patients.","author":[{"dropping-particle":"","family":"Guarino","given":"M P","non-dropping-particle":"","parse-names":false,"suffix":""},{"dropping-particle":"","family":"Carotti","given":"S","non-dropping-particle":"","parse-names":false,"suffix":""},{"dropping-particle":"","family":"Sarzano","given":"M","non-dropping-particle":"","parse-names":false,"suffix":""},{"dropping-particle":"","family":"Alloni","given":"R","non-dropping-particle":"","parse-names":false,"suffix":""},{"dropping-particle":"","family":"Vanni","given":"M","non-dropping-particle":"","parse-names":false,"suffix":""},{"dropping-particle":"","family":"Grosso","given":"M","non-dropping-particle":"","parse-names":false,"suffix":""},{"dropping-particle":"","family":"Sironi","given":"G","non-dropping-particle":"","parse-names":false,"suffix":""},{"dropping-particle":"","family":"Maffettone","given":"P L","non-dropping-particle":"","parse-names":false,"suffix":""},{"dropping-particle":"","family":"Cicala","given":"M","non-dropping-particle":"","parse-names":false,"suffix":""}],"container-title":"Neurogastroenterology &amp; Motility","id":"ITEM-3","issue":"5","issued":{"date-parts":[["2005","10","1"]]},"note":"doi: 10.1111/j.1365-2982.2005.00683.x","page":"680-686","publisher":"John Wiley &amp; Sons, Ltd","title":"Short-term ursodeoxycholic acid treatment improves gallbladder bile turnover in gallstone patients: a randomized trial","type":"article-journal","volume":"17"},"uris":["http://www.mendeley.com/documents/?uuid=53294476-3d44-4bd0-a45e-5d04d7e92c45"]}],"mendeley":{"formattedCitation":"(8,10,11)","plainTextFormattedCitation":"(8,10,11)","previouslyFormattedCitation":"(8,10,11)"},"properties":{"noteIndex":0},"schema":"https://github.com/citation-style-language/schema/raw/master/csl-citation.json"}</w:instrText>
      </w:r>
      <w:r w:rsidR="00376876" w:rsidRPr="005C607F">
        <w:rPr>
          <w:rFonts w:ascii="Calibri" w:hAnsi="Calibri" w:cs="Calibri"/>
        </w:rPr>
        <w:fldChar w:fldCharType="separate"/>
      </w:r>
      <w:r w:rsidR="00156950" w:rsidRPr="00156950">
        <w:rPr>
          <w:rFonts w:ascii="Calibri" w:hAnsi="Calibri" w:cs="Calibri"/>
          <w:noProof/>
        </w:rPr>
        <w:t>(8,10,11)</w:t>
      </w:r>
      <w:r w:rsidR="00376876" w:rsidRPr="005C607F">
        <w:rPr>
          <w:rFonts w:ascii="Calibri" w:hAnsi="Calibri" w:cs="Calibri"/>
        </w:rPr>
        <w:fldChar w:fldCharType="end"/>
      </w:r>
      <w:r w:rsidR="001F5997">
        <w:rPr>
          <w:rFonts w:ascii="Calibri" w:hAnsi="Calibri" w:cs="Calibri"/>
        </w:rPr>
        <w:t>,</w:t>
      </w:r>
      <w:r w:rsidR="003E0AEA" w:rsidRPr="005C607F">
        <w:rPr>
          <w:rFonts w:ascii="Calibri" w:hAnsi="Calibri" w:cs="Calibri"/>
        </w:rPr>
        <w:t xml:space="preserve"> </w:t>
      </w:r>
      <w:r w:rsidR="00084456">
        <w:rPr>
          <w:rFonts w:ascii="Calibri" w:hAnsi="Calibri" w:cs="Calibri"/>
        </w:rPr>
        <w:t>but</w:t>
      </w:r>
      <w:r w:rsidR="00084456" w:rsidRPr="005C607F">
        <w:rPr>
          <w:rFonts w:ascii="Calibri" w:hAnsi="Calibri" w:cs="Calibri"/>
        </w:rPr>
        <w:t xml:space="preserve"> </w:t>
      </w:r>
      <w:r w:rsidR="00D83AB6" w:rsidRPr="005C607F">
        <w:rPr>
          <w:rFonts w:ascii="Calibri" w:hAnsi="Calibri" w:cs="Calibri"/>
        </w:rPr>
        <w:t>only a single case report document</w:t>
      </w:r>
      <w:r w:rsidR="00084456">
        <w:rPr>
          <w:rFonts w:ascii="Calibri" w:hAnsi="Calibri" w:cs="Calibri"/>
        </w:rPr>
        <w:t>s</w:t>
      </w:r>
      <w:r w:rsidR="00D83AB6" w:rsidRPr="005C607F">
        <w:rPr>
          <w:rFonts w:ascii="Calibri" w:hAnsi="Calibri" w:cs="Calibri"/>
        </w:rPr>
        <w:t xml:space="preserve"> dissolution of choleliths in a </w:t>
      </w:r>
      <w:r w:rsidR="00380507" w:rsidRPr="005C607F">
        <w:rPr>
          <w:rFonts w:ascii="Calibri" w:hAnsi="Calibri" w:cs="Calibri"/>
        </w:rPr>
        <w:t>dog</w:t>
      </w:r>
      <w:r w:rsidR="00D83AB6" w:rsidRPr="005C607F">
        <w:rPr>
          <w:rFonts w:ascii="Calibri" w:hAnsi="Calibri" w:cs="Calibri"/>
        </w:rPr>
        <w:t xml:space="preserve"> treated with UDCA </w:t>
      </w:r>
      <w:r w:rsidR="00D83AB6" w:rsidRPr="005C607F">
        <w:rPr>
          <w:rFonts w:ascii="Calibri" w:hAnsi="Calibri" w:cs="Calibri"/>
        </w:rPr>
        <w:fldChar w:fldCharType="begin" w:fldLock="1"/>
      </w:r>
      <w:r w:rsidR="00444A57" w:rsidRPr="005C607F">
        <w:rPr>
          <w:rFonts w:ascii="Calibri" w:hAnsi="Calibri" w:cs="Calibri"/>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mendeley":{"formattedCitation":"(5)","plainTextFormattedCitation":"(5)","previouslyFormattedCitation":"(5)"},"properties":{"noteIndex":0},"schema":"https://github.com/citation-style-language/schema/raw/master/csl-citation.json"}</w:instrText>
      </w:r>
      <w:r w:rsidR="00D83AB6" w:rsidRPr="005C607F">
        <w:rPr>
          <w:rFonts w:ascii="Calibri" w:hAnsi="Calibri" w:cs="Calibri"/>
        </w:rPr>
        <w:fldChar w:fldCharType="separate"/>
      </w:r>
      <w:r w:rsidR="00B64BFC" w:rsidRPr="005C607F">
        <w:rPr>
          <w:rFonts w:ascii="Calibri" w:hAnsi="Calibri" w:cs="Calibri"/>
          <w:noProof/>
        </w:rPr>
        <w:t>(5)</w:t>
      </w:r>
      <w:r w:rsidR="00D83AB6" w:rsidRPr="005C607F">
        <w:rPr>
          <w:rFonts w:ascii="Calibri" w:hAnsi="Calibri" w:cs="Calibri"/>
        </w:rPr>
        <w:fldChar w:fldCharType="end"/>
      </w:r>
      <w:r w:rsidR="00D83AB6" w:rsidRPr="005C607F">
        <w:rPr>
          <w:rFonts w:ascii="Calibri" w:hAnsi="Calibri" w:cs="Calibri"/>
        </w:rPr>
        <w:t xml:space="preserve">. </w:t>
      </w:r>
    </w:p>
    <w:p w14:paraId="4581D0CE" w14:textId="64FAD6A5" w:rsidR="0046670F" w:rsidRPr="005C607F" w:rsidRDefault="00084456" w:rsidP="00867264">
      <w:pPr>
        <w:spacing w:line="480" w:lineRule="auto"/>
        <w:jc w:val="both"/>
        <w:rPr>
          <w:rFonts w:ascii="Calibri" w:hAnsi="Calibri" w:cs="Calibri"/>
        </w:rPr>
      </w:pPr>
      <w:r>
        <w:rPr>
          <w:rFonts w:ascii="Calibri" w:hAnsi="Calibri" w:cs="Calibri"/>
        </w:rPr>
        <w:t>F</w:t>
      </w:r>
      <w:r w:rsidR="00F47EDD">
        <w:rPr>
          <w:rFonts w:ascii="Calibri" w:hAnsi="Calibri" w:cs="Calibri"/>
        </w:rPr>
        <w:t>ew</w:t>
      </w:r>
      <w:r w:rsidR="0046670F">
        <w:rPr>
          <w:rFonts w:ascii="Calibri" w:hAnsi="Calibri" w:cs="Calibri"/>
        </w:rPr>
        <w:t xml:space="preserve"> previous </w:t>
      </w:r>
      <w:r w:rsidR="00CF78BE">
        <w:rPr>
          <w:rFonts w:ascii="Calibri" w:hAnsi="Calibri" w:cs="Calibri"/>
        </w:rPr>
        <w:t xml:space="preserve">descriptive </w:t>
      </w:r>
      <w:r w:rsidR="0046670F">
        <w:rPr>
          <w:rFonts w:ascii="Calibri" w:hAnsi="Calibri" w:cs="Calibri"/>
        </w:rPr>
        <w:t xml:space="preserve">studies of medical management of </w:t>
      </w:r>
      <w:r w:rsidR="00CF78BE">
        <w:rPr>
          <w:rFonts w:ascii="Calibri" w:hAnsi="Calibri" w:cs="Calibri"/>
        </w:rPr>
        <w:t>c</w:t>
      </w:r>
      <w:r w:rsidR="0046670F">
        <w:rPr>
          <w:rFonts w:ascii="Calibri" w:hAnsi="Calibri" w:cs="Calibri"/>
        </w:rPr>
        <w:t>holelithiasi</w:t>
      </w:r>
      <w:r w:rsidR="00CF78BE">
        <w:rPr>
          <w:rFonts w:ascii="Calibri" w:hAnsi="Calibri" w:cs="Calibri"/>
        </w:rPr>
        <w:t>s</w:t>
      </w:r>
      <w:r>
        <w:rPr>
          <w:rFonts w:ascii="Calibri" w:hAnsi="Calibri" w:cs="Calibri"/>
        </w:rPr>
        <w:t xml:space="preserve"> in dogs are avaiilable</w:t>
      </w:r>
      <w:r w:rsidR="00DB4784">
        <w:rPr>
          <w:rFonts w:ascii="Calibri" w:hAnsi="Calibri" w:cs="Calibri"/>
        </w:rPr>
        <w:t xml:space="preserve">, resulting in </w:t>
      </w:r>
      <w:r w:rsidR="00AD2801">
        <w:rPr>
          <w:rFonts w:ascii="Calibri" w:hAnsi="Calibri" w:cs="Calibri"/>
        </w:rPr>
        <w:t>l</w:t>
      </w:r>
      <w:r w:rsidR="00DB4784">
        <w:rPr>
          <w:rFonts w:ascii="Calibri" w:hAnsi="Calibri" w:cs="Calibri"/>
        </w:rPr>
        <w:t>imited evidence from</w:t>
      </w:r>
      <w:r w:rsidR="003200ED">
        <w:rPr>
          <w:rFonts w:ascii="Calibri" w:hAnsi="Calibri" w:cs="Calibri"/>
        </w:rPr>
        <w:t xml:space="preserve"> which to </w:t>
      </w:r>
      <w:r w:rsidR="00167505">
        <w:rPr>
          <w:rFonts w:ascii="Calibri" w:hAnsi="Calibri" w:cs="Calibri"/>
        </w:rPr>
        <w:t xml:space="preserve">base treatment decisions on </w:t>
      </w:r>
      <w:r w:rsidR="00E67142">
        <w:rPr>
          <w:rFonts w:ascii="Calibri" w:hAnsi="Calibri" w:cs="Calibri"/>
        </w:rPr>
        <w:fldChar w:fldCharType="begin" w:fldLock="1"/>
      </w:r>
      <w:r w:rsidR="00DF0E9A">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Outcome","type":"article-journal","volume":"56"},"uris":["http://www.mendeley.com/documents/?uuid=ff3a9338-b98b-4d01-965b-26009b9d5232"]},{"id":"ITEM-2","itemData":{"ISSN":"0008-5286","abstract":"A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canadienne","id":"ITEM-2","issue":"9","issued":{"date-parts":[["2017","9"]]},"language":"eng","page":"971-973","publisher":"Canadian Veterinary Medical Association","title":"Intrahepatic cholelithiasis in dogs and cats: A case series","type":"article-journal","volume":"58"},"uris":["http://www.mendeley.com/documents/?uuid=752cbfbe-cc88-4e01-9294-a3295e386423"]}],"mendeley":{"formattedCitation":"(1,2)","plainTextFormattedCitation":"(1,2)","previouslyFormattedCitation":"(1,2)"},"properties":{"noteIndex":0},"schema":"https://github.com/citation-style-language/schema/raw/master/csl-citation.json"}</w:instrText>
      </w:r>
      <w:r w:rsidR="00E67142">
        <w:rPr>
          <w:rFonts w:ascii="Calibri" w:hAnsi="Calibri" w:cs="Calibri"/>
        </w:rPr>
        <w:fldChar w:fldCharType="separate"/>
      </w:r>
      <w:r w:rsidR="00E67142" w:rsidRPr="00E67142">
        <w:rPr>
          <w:rFonts w:ascii="Calibri" w:hAnsi="Calibri" w:cs="Calibri"/>
          <w:noProof/>
        </w:rPr>
        <w:t>(1,2)</w:t>
      </w:r>
      <w:r w:rsidR="00E67142">
        <w:rPr>
          <w:rFonts w:ascii="Calibri" w:hAnsi="Calibri" w:cs="Calibri"/>
        </w:rPr>
        <w:fldChar w:fldCharType="end"/>
      </w:r>
      <w:r w:rsidR="0046670F">
        <w:rPr>
          <w:rFonts w:ascii="Calibri" w:hAnsi="Calibri" w:cs="Calibri"/>
        </w:rPr>
        <w:t xml:space="preserve">. </w:t>
      </w:r>
      <w:r>
        <w:rPr>
          <w:rFonts w:ascii="Calibri" w:hAnsi="Calibri" w:cs="Calibri"/>
        </w:rPr>
        <w:t xml:space="preserve">Additional </w:t>
      </w:r>
      <w:r w:rsidR="0046670F">
        <w:rPr>
          <w:rFonts w:ascii="Calibri" w:hAnsi="Calibri" w:cs="Calibri"/>
        </w:rPr>
        <w:t xml:space="preserve">studies in dogs are </w:t>
      </w:r>
      <w:r>
        <w:rPr>
          <w:rFonts w:ascii="Calibri" w:hAnsi="Calibri" w:cs="Calibri"/>
        </w:rPr>
        <w:t xml:space="preserve">needed </w:t>
      </w:r>
      <w:r w:rsidR="0046670F">
        <w:rPr>
          <w:rFonts w:ascii="Calibri" w:hAnsi="Calibri" w:cs="Calibri"/>
        </w:rPr>
        <w:t>to develop a consensus for treatment</w:t>
      </w:r>
      <w:r w:rsidR="001B645D">
        <w:rPr>
          <w:rFonts w:ascii="Calibri" w:hAnsi="Calibri" w:cs="Calibri"/>
        </w:rPr>
        <w:t>.</w:t>
      </w:r>
    </w:p>
    <w:p w14:paraId="343A4C6E" w14:textId="06096677" w:rsidR="0078468F" w:rsidRPr="005C607F" w:rsidRDefault="00632ACD" w:rsidP="00867264">
      <w:pPr>
        <w:spacing w:line="480" w:lineRule="auto"/>
        <w:jc w:val="both"/>
        <w:rPr>
          <w:rFonts w:ascii="Calibri" w:hAnsi="Calibri" w:cs="Calibri"/>
        </w:rPr>
      </w:pPr>
      <w:r w:rsidRPr="005C607F">
        <w:rPr>
          <w:rFonts w:ascii="Calibri" w:hAnsi="Calibri" w:cs="Calibri"/>
        </w:rPr>
        <w:t xml:space="preserve">The aims of </w:t>
      </w:r>
      <w:r w:rsidR="00247170">
        <w:rPr>
          <w:rFonts w:ascii="Calibri" w:hAnsi="Calibri" w:cs="Calibri"/>
        </w:rPr>
        <w:t>our</w:t>
      </w:r>
      <w:r w:rsidR="00247170" w:rsidRPr="005C607F">
        <w:rPr>
          <w:rFonts w:ascii="Calibri" w:hAnsi="Calibri" w:cs="Calibri"/>
        </w:rPr>
        <w:t xml:space="preserve"> </w:t>
      </w:r>
      <w:r w:rsidRPr="005C607F">
        <w:rPr>
          <w:rFonts w:ascii="Calibri" w:hAnsi="Calibri" w:cs="Calibri"/>
        </w:rPr>
        <w:t xml:space="preserve">retrospective study were to </w:t>
      </w:r>
      <w:r w:rsidR="00D57623">
        <w:rPr>
          <w:rFonts w:ascii="Calibri" w:hAnsi="Calibri" w:cs="Calibri"/>
        </w:rPr>
        <w:t>describe</w:t>
      </w:r>
      <w:r w:rsidR="00D57623" w:rsidRPr="005C607F">
        <w:rPr>
          <w:rFonts w:ascii="Calibri" w:hAnsi="Calibri" w:cs="Calibri"/>
        </w:rPr>
        <w:t xml:space="preserve"> </w:t>
      </w:r>
      <w:r w:rsidRPr="005C607F">
        <w:rPr>
          <w:rFonts w:ascii="Calibri" w:hAnsi="Calibri" w:cs="Calibri"/>
        </w:rPr>
        <w:t>outcomes of medically and surgically managed dogs</w:t>
      </w:r>
      <w:r w:rsidR="00305F6F">
        <w:rPr>
          <w:rFonts w:ascii="Calibri" w:hAnsi="Calibri" w:cs="Calibri"/>
        </w:rPr>
        <w:t xml:space="preserve"> and</w:t>
      </w:r>
      <w:r w:rsidRPr="005C607F">
        <w:rPr>
          <w:rFonts w:ascii="Calibri" w:hAnsi="Calibri" w:cs="Calibri"/>
        </w:rPr>
        <w:t xml:space="preserve"> to identify patient factors that influence decision-making </w:t>
      </w:r>
      <w:r w:rsidR="00871C63">
        <w:rPr>
          <w:rFonts w:ascii="Calibri" w:hAnsi="Calibri" w:cs="Calibri"/>
        </w:rPr>
        <w:t xml:space="preserve">for </w:t>
      </w:r>
      <w:r w:rsidRPr="005C607F">
        <w:rPr>
          <w:rFonts w:ascii="Calibri" w:hAnsi="Calibri" w:cs="Calibri"/>
        </w:rPr>
        <w:t>surgical</w:t>
      </w:r>
      <w:r w:rsidR="00871C63">
        <w:rPr>
          <w:rFonts w:ascii="Calibri" w:hAnsi="Calibri" w:cs="Calibri"/>
        </w:rPr>
        <w:t xml:space="preserve"> or medical</w:t>
      </w:r>
      <w:r w:rsidRPr="005C607F">
        <w:rPr>
          <w:rFonts w:ascii="Calibri" w:hAnsi="Calibri" w:cs="Calibri"/>
        </w:rPr>
        <w:t xml:space="preserve"> </w:t>
      </w:r>
      <w:r w:rsidR="00D217C0">
        <w:rPr>
          <w:rFonts w:ascii="Calibri" w:hAnsi="Calibri" w:cs="Calibri"/>
        </w:rPr>
        <w:t>management</w:t>
      </w:r>
      <w:r w:rsidR="00305F6F">
        <w:rPr>
          <w:rFonts w:ascii="Calibri" w:hAnsi="Calibri" w:cs="Calibri"/>
        </w:rPr>
        <w:t>.</w:t>
      </w:r>
    </w:p>
    <w:p w14:paraId="0C173C65" w14:textId="77777777" w:rsidR="0078468F" w:rsidRPr="005C607F" w:rsidRDefault="0078468F" w:rsidP="00867264">
      <w:pPr>
        <w:spacing w:line="480" w:lineRule="auto"/>
        <w:jc w:val="both"/>
        <w:rPr>
          <w:rFonts w:ascii="Calibri" w:hAnsi="Calibri" w:cs="Calibri"/>
        </w:rPr>
      </w:pPr>
    </w:p>
    <w:p w14:paraId="312B61D8" w14:textId="69CE8E69" w:rsidR="002C57D9" w:rsidRPr="002A4263" w:rsidRDefault="002C57D9" w:rsidP="00867264">
      <w:pPr>
        <w:spacing w:line="480" w:lineRule="auto"/>
        <w:jc w:val="both"/>
        <w:rPr>
          <w:rFonts w:ascii="Calibri" w:hAnsi="Calibri" w:cs="Calibri"/>
          <w:b/>
          <w:bCs/>
        </w:rPr>
      </w:pPr>
      <w:r w:rsidRPr="002A4263">
        <w:rPr>
          <w:rFonts w:ascii="Calibri" w:hAnsi="Calibri" w:cs="Calibri"/>
          <w:b/>
          <w:bCs/>
        </w:rPr>
        <w:t>Materials and Methods</w:t>
      </w:r>
    </w:p>
    <w:p w14:paraId="3CFB901E" w14:textId="2EF67215" w:rsidR="0043070F" w:rsidRDefault="002C57D9" w:rsidP="00867264">
      <w:pPr>
        <w:spacing w:line="480" w:lineRule="auto"/>
        <w:jc w:val="both"/>
        <w:rPr>
          <w:rFonts w:ascii="Calibri" w:hAnsi="Calibri" w:cs="Calibri"/>
        </w:rPr>
      </w:pPr>
      <w:r w:rsidRPr="005C607F">
        <w:rPr>
          <w:rFonts w:ascii="Calibri" w:hAnsi="Calibri" w:cs="Calibri"/>
        </w:rPr>
        <w:t xml:space="preserve">The medical records of dogs diagnosed with cholelithiasis from 2010 to 2019 at </w:t>
      </w:r>
      <w:r w:rsidR="00247170">
        <w:rPr>
          <w:rFonts w:ascii="Calibri" w:hAnsi="Calibri" w:cs="Calibri"/>
        </w:rPr>
        <w:t>The Queen’s Veterinary School Hospital, University of Cambridge</w:t>
      </w:r>
      <w:r w:rsidR="0046670F">
        <w:rPr>
          <w:rFonts w:ascii="Calibri" w:hAnsi="Calibri" w:cs="Calibri"/>
          <w:i/>
          <w:iCs/>
        </w:rPr>
        <w:t xml:space="preserve"> </w:t>
      </w:r>
      <w:r w:rsidRPr="005C607F">
        <w:rPr>
          <w:rFonts w:ascii="Calibri" w:hAnsi="Calibri" w:cs="Calibri"/>
        </w:rPr>
        <w:t xml:space="preserve">were retrospectively evaluated. Cases were identified </w:t>
      </w:r>
      <w:r w:rsidR="00134544">
        <w:rPr>
          <w:rFonts w:ascii="Calibri" w:hAnsi="Calibri" w:cs="Calibri"/>
        </w:rPr>
        <w:t>by</w:t>
      </w:r>
      <w:r w:rsidR="00134544" w:rsidRPr="005C607F">
        <w:rPr>
          <w:rFonts w:ascii="Calibri" w:hAnsi="Calibri" w:cs="Calibri"/>
        </w:rPr>
        <w:t xml:space="preserve"> </w:t>
      </w:r>
      <w:r w:rsidRPr="005C607F">
        <w:rPr>
          <w:rFonts w:ascii="Calibri" w:hAnsi="Calibri" w:cs="Calibri"/>
        </w:rPr>
        <w:t xml:space="preserve">searches of the </w:t>
      </w:r>
      <w:r w:rsidR="00035F69">
        <w:rPr>
          <w:rFonts w:ascii="Calibri" w:hAnsi="Calibri" w:cs="Calibri"/>
        </w:rPr>
        <w:t>Hospital</w:t>
      </w:r>
      <w:r w:rsidRPr="005C607F">
        <w:rPr>
          <w:rFonts w:ascii="Calibri" w:hAnsi="Calibri" w:cs="Calibri"/>
        </w:rPr>
        <w:t>’s imaging database</w:t>
      </w:r>
      <w:r w:rsidR="00507153">
        <w:rPr>
          <w:rFonts w:ascii="Calibri" w:hAnsi="Calibri" w:cs="Calibri"/>
        </w:rPr>
        <w:t xml:space="preserve"> for key word</w:t>
      </w:r>
      <w:r w:rsidR="00732997">
        <w:rPr>
          <w:rFonts w:ascii="Calibri" w:hAnsi="Calibri" w:cs="Calibri"/>
        </w:rPr>
        <w:t xml:space="preserve"> tag</w:t>
      </w:r>
      <w:r w:rsidR="00507153">
        <w:rPr>
          <w:rFonts w:ascii="Calibri" w:hAnsi="Calibri" w:cs="Calibri"/>
        </w:rPr>
        <w:t xml:space="preserve">s </w:t>
      </w:r>
      <w:r w:rsidR="00AD2801">
        <w:rPr>
          <w:rFonts w:ascii="Calibri" w:hAnsi="Calibri" w:cs="Calibri"/>
        </w:rPr>
        <w:t xml:space="preserve">(liver – gb stones, cholelith, gallstones) </w:t>
      </w:r>
      <w:r w:rsidR="00507153">
        <w:rPr>
          <w:rFonts w:ascii="Calibri" w:hAnsi="Calibri" w:cs="Calibri"/>
        </w:rPr>
        <w:t xml:space="preserve">to identify imaging reports </w:t>
      </w:r>
      <w:r w:rsidR="005042BE">
        <w:rPr>
          <w:rFonts w:ascii="Calibri" w:hAnsi="Calibri" w:cs="Calibri"/>
        </w:rPr>
        <w:t>in which</w:t>
      </w:r>
      <w:r w:rsidR="00507153">
        <w:rPr>
          <w:rFonts w:ascii="Calibri" w:hAnsi="Calibri" w:cs="Calibri"/>
        </w:rPr>
        <w:t xml:space="preserve"> cholelithiasis was </w:t>
      </w:r>
      <w:r w:rsidR="00134544">
        <w:rPr>
          <w:rFonts w:ascii="Calibri" w:hAnsi="Calibri" w:cs="Calibri"/>
        </w:rPr>
        <w:t>described</w:t>
      </w:r>
      <w:r w:rsidRPr="005C607F">
        <w:rPr>
          <w:rFonts w:ascii="Calibri" w:hAnsi="Calibri" w:cs="Calibri"/>
        </w:rPr>
        <w:t xml:space="preserve">. </w:t>
      </w:r>
      <w:r w:rsidRPr="005C607F">
        <w:rPr>
          <w:rFonts w:ascii="Calibri" w:hAnsi="Calibri" w:cs="Calibri"/>
        </w:rPr>
        <w:lastRenderedPageBreak/>
        <w:t>Data collected included signalment (</w:t>
      </w:r>
      <w:r w:rsidR="00FC4CEC">
        <w:rPr>
          <w:rFonts w:ascii="Calibri" w:hAnsi="Calibri" w:cs="Calibri"/>
        </w:rPr>
        <w:t xml:space="preserve">sex, </w:t>
      </w:r>
      <w:r w:rsidRPr="005C607F">
        <w:rPr>
          <w:rFonts w:ascii="Calibri" w:hAnsi="Calibri" w:cs="Calibri"/>
        </w:rPr>
        <w:t>neuter status</w:t>
      </w:r>
      <w:r w:rsidR="00134544">
        <w:rPr>
          <w:rFonts w:ascii="Calibri" w:hAnsi="Calibri" w:cs="Calibri"/>
        </w:rPr>
        <w:t>,</w:t>
      </w:r>
      <w:r w:rsidRPr="005C607F">
        <w:rPr>
          <w:rFonts w:ascii="Calibri" w:hAnsi="Calibri" w:cs="Calibri"/>
        </w:rPr>
        <w:t xml:space="preserve"> age), clinical signs, physical examination findings, clinical pathology data (including results of </w:t>
      </w:r>
      <w:r w:rsidR="003B3199">
        <w:rPr>
          <w:rFonts w:ascii="Calibri" w:hAnsi="Calibri" w:cs="Calibri"/>
        </w:rPr>
        <w:t>CBC</w:t>
      </w:r>
      <w:r w:rsidRPr="005C607F">
        <w:rPr>
          <w:rFonts w:ascii="Calibri" w:hAnsi="Calibri" w:cs="Calibri"/>
        </w:rPr>
        <w:t xml:space="preserve"> </w:t>
      </w:r>
      <w:r w:rsidR="000B3018">
        <w:rPr>
          <w:rFonts w:ascii="Calibri" w:hAnsi="Calibri" w:cs="Calibri"/>
        </w:rPr>
        <w:t xml:space="preserve">[Sysmex XT-2000iV automated hematology analyzer; Sysmex XN-1000 automated hematology analyzer, Sysmex Corporation, Kobe, Japan] </w:t>
      </w:r>
      <w:r w:rsidRPr="005C607F">
        <w:rPr>
          <w:rFonts w:ascii="Calibri" w:hAnsi="Calibri" w:cs="Calibri"/>
        </w:rPr>
        <w:t>and blood biochemistry</w:t>
      </w:r>
      <w:r w:rsidR="000B3018">
        <w:rPr>
          <w:rFonts w:ascii="Calibri" w:hAnsi="Calibri" w:cs="Calibri"/>
        </w:rPr>
        <w:t xml:space="preserve"> [Olympus AU400 chemistry analyzer; Olympus AU480 chemistry analyzer, Olympus, Tokyo, Japan])</w:t>
      </w:r>
      <w:r w:rsidRPr="005C607F">
        <w:rPr>
          <w:rFonts w:ascii="Calibri" w:hAnsi="Calibri" w:cs="Calibri"/>
        </w:rPr>
        <w:t xml:space="preserve">, </w:t>
      </w:r>
      <w:r w:rsidR="00AD2801">
        <w:rPr>
          <w:rFonts w:ascii="Calibri" w:hAnsi="Calibri" w:cs="Calibri"/>
        </w:rPr>
        <w:t>abdominal ultrasonography (</w:t>
      </w:r>
      <w:r w:rsidRPr="005C607F">
        <w:rPr>
          <w:rFonts w:ascii="Calibri" w:hAnsi="Calibri" w:cs="Calibri"/>
        </w:rPr>
        <w:t>AUS</w:t>
      </w:r>
      <w:r w:rsidR="00AD2801">
        <w:rPr>
          <w:rFonts w:ascii="Calibri" w:hAnsi="Calibri" w:cs="Calibri"/>
        </w:rPr>
        <w:t>)</w:t>
      </w:r>
      <w:r w:rsidRPr="005C607F">
        <w:rPr>
          <w:rFonts w:ascii="Calibri" w:hAnsi="Calibri" w:cs="Calibri"/>
        </w:rPr>
        <w:t xml:space="preserve"> findings, </w:t>
      </w:r>
      <w:r w:rsidR="004369A8">
        <w:rPr>
          <w:rFonts w:ascii="Calibri" w:hAnsi="Calibri" w:cs="Calibri"/>
        </w:rPr>
        <w:t>results of liver and gallbladder histo</w:t>
      </w:r>
      <w:r w:rsidR="000301F8">
        <w:rPr>
          <w:rFonts w:ascii="Calibri" w:hAnsi="Calibri" w:cs="Calibri"/>
        </w:rPr>
        <w:t>patho</w:t>
      </w:r>
      <w:r w:rsidR="004369A8">
        <w:rPr>
          <w:rFonts w:ascii="Calibri" w:hAnsi="Calibri" w:cs="Calibri"/>
        </w:rPr>
        <w:t>logy</w:t>
      </w:r>
      <w:r w:rsidR="00134544">
        <w:rPr>
          <w:rFonts w:ascii="Calibri" w:hAnsi="Calibri" w:cs="Calibri"/>
        </w:rPr>
        <w:t>,</w:t>
      </w:r>
      <w:r w:rsidR="004369A8">
        <w:rPr>
          <w:rFonts w:ascii="Calibri" w:hAnsi="Calibri" w:cs="Calibri"/>
        </w:rPr>
        <w:t xml:space="preserve"> bile cytology</w:t>
      </w:r>
      <w:r w:rsidR="00134544">
        <w:rPr>
          <w:rFonts w:ascii="Calibri" w:hAnsi="Calibri" w:cs="Calibri"/>
        </w:rPr>
        <w:t>,</w:t>
      </w:r>
      <w:r w:rsidR="004369A8">
        <w:rPr>
          <w:rFonts w:ascii="Calibri" w:hAnsi="Calibri" w:cs="Calibri"/>
        </w:rPr>
        <w:t xml:space="preserve"> </w:t>
      </w:r>
      <w:r w:rsidR="00134544">
        <w:rPr>
          <w:rFonts w:ascii="Calibri" w:hAnsi="Calibri" w:cs="Calibri"/>
        </w:rPr>
        <w:t>bile</w:t>
      </w:r>
      <w:r w:rsidR="004369A8">
        <w:rPr>
          <w:rFonts w:ascii="Calibri" w:hAnsi="Calibri" w:cs="Calibri"/>
        </w:rPr>
        <w:t xml:space="preserve"> culture, </w:t>
      </w:r>
      <w:r w:rsidRPr="005C607F">
        <w:rPr>
          <w:rFonts w:ascii="Calibri" w:hAnsi="Calibri" w:cs="Calibri"/>
        </w:rPr>
        <w:t>treatment</w:t>
      </w:r>
      <w:r w:rsidR="00134544">
        <w:rPr>
          <w:rFonts w:ascii="Calibri" w:hAnsi="Calibri" w:cs="Calibri"/>
        </w:rPr>
        <w:t>,</w:t>
      </w:r>
      <w:r w:rsidRPr="005C607F">
        <w:rPr>
          <w:rFonts w:ascii="Calibri" w:hAnsi="Calibri" w:cs="Calibri"/>
        </w:rPr>
        <w:t xml:space="preserve"> and outcome (including </w:t>
      </w:r>
      <w:r w:rsidR="00562C7A" w:rsidRPr="005C607F">
        <w:rPr>
          <w:rFonts w:ascii="Calibri" w:hAnsi="Calibri" w:cs="Calibri"/>
        </w:rPr>
        <w:t>follow-up</w:t>
      </w:r>
      <w:r w:rsidRPr="005C607F">
        <w:rPr>
          <w:rFonts w:ascii="Calibri" w:hAnsi="Calibri" w:cs="Calibri"/>
        </w:rPr>
        <w:t xml:space="preserve"> AUS and biochemistry results). </w:t>
      </w:r>
      <w:r w:rsidR="000B3018">
        <w:rPr>
          <w:rFonts w:ascii="Calibri" w:hAnsi="Calibri" w:cs="Calibri"/>
        </w:rPr>
        <w:t xml:space="preserve">The reference intervals for all assessed CBC and </w:t>
      </w:r>
      <w:r w:rsidR="000B3876">
        <w:rPr>
          <w:rFonts w:ascii="Calibri" w:hAnsi="Calibri" w:cs="Calibri"/>
        </w:rPr>
        <w:t>blood</w:t>
      </w:r>
      <w:r w:rsidR="000B3018">
        <w:rPr>
          <w:rFonts w:ascii="Calibri" w:hAnsi="Calibri" w:cs="Calibri"/>
        </w:rPr>
        <w:t xml:space="preserve"> biochemistry values are identical between respective CBC and biochemistry analyzers, therefore results are presented as values rather than multiples of upper reference limits. </w:t>
      </w:r>
      <w:r w:rsidR="00562C7A" w:rsidRPr="005C607F">
        <w:rPr>
          <w:rFonts w:ascii="Calibri" w:hAnsi="Calibri" w:cs="Calibri"/>
        </w:rPr>
        <w:t>I</w:t>
      </w:r>
      <w:r w:rsidRPr="005C607F">
        <w:rPr>
          <w:rFonts w:ascii="Calibri" w:hAnsi="Calibri" w:cs="Calibri"/>
        </w:rPr>
        <w:t xml:space="preserve">nclusion criteria required </w:t>
      </w:r>
      <w:r w:rsidR="000F4174" w:rsidRPr="005C607F">
        <w:rPr>
          <w:rFonts w:ascii="Calibri" w:hAnsi="Calibri" w:cs="Calibri"/>
        </w:rPr>
        <w:t xml:space="preserve">an </w:t>
      </w:r>
      <w:r w:rsidR="00EF0114">
        <w:rPr>
          <w:rFonts w:ascii="Calibri" w:hAnsi="Calibri" w:cs="Calibri"/>
        </w:rPr>
        <w:t>ultrasonographic</w:t>
      </w:r>
      <w:r w:rsidR="00EF0114" w:rsidRPr="005C607F">
        <w:rPr>
          <w:rFonts w:ascii="Calibri" w:hAnsi="Calibri" w:cs="Calibri"/>
        </w:rPr>
        <w:t xml:space="preserve"> </w:t>
      </w:r>
      <w:r w:rsidR="000F4174" w:rsidRPr="005C607F">
        <w:rPr>
          <w:rFonts w:ascii="Calibri" w:hAnsi="Calibri" w:cs="Calibri"/>
        </w:rPr>
        <w:t>diagnosis of</w:t>
      </w:r>
      <w:r w:rsidRPr="005C607F">
        <w:rPr>
          <w:rFonts w:ascii="Calibri" w:hAnsi="Calibri" w:cs="Calibri"/>
        </w:rPr>
        <w:t xml:space="preserve"> cholelithiasis</w:t>
      </w:r>
      <w:r w:rsidR="00EF0114">
        <w:rPr>
          <w:rFonts w:ascii="Calibri" w:hAnsi="Calibri" w:cs="Calibri"/>
        </w:rPr>
        <w:t xml:space="preserve"> consistent with published criteria </w:t>
      </w:r>
      <w:r w:rsidR="006C2112">
        <w:rPr>
          <w:rFonts w:ascii="Calibri" w:hAnsi="Calibri" w:cs="Calibri"/>
        </w:rPr>
        <w:fldChar w:fldCharType="begin" w:fldLock="1"/>
      </w:r>
      <w:r w:rsidR="00E677A0">
        <w:rPr>
          <w:rFonts w:ascii="Calibri" w:hAnsi="Calibri" w:cs="Calibri"/>
        </w:rPr>
        <w:instrText>ADDIN CSL_CITATION {"citationItems":[{"id":"ITEM-1","itemData":{"ISBN":"9781455703647","author":[{"dropping-particle":"","family":"Thrall","given":"Donald E.","non-dropping-particle":"","parse-names":false,"suffix":""}],"chapter-number":"37","container-title":"Textbook of Veterinary Diagnostic Radiology","edition":"Sixth Edit","editor":[{"dropping-particle":"","family":"Larson","given":"Martha Moon","non-dropping-particle":"","parse-names":false,"suffix":""}],"id":"ITEM-1","issued":{"date-parts":[["2013"]]},"page":"692","publisher":"Elsevier","title":"Textbook of Veterinary Diagnostic Radiology","type":"chapter"},"uris":["http://www.mendeley.com/documents/?uuid=4a22069f-7abd-41ad-a9f2-1f75d44c2388"]}],"mendeley":{"formattedCitation":"(12)","plainTextFormattedCitation":"(12)","previouslyFormattedCitation":"(12)"},"properties":{"noteIndex":0},"schema":"https://github.com/citation-style-language/schema/raw/master/csl-citation.json"}</w:instrText>
      </w:r>
      <w:r w:rsidR="006C2112">
        <w:rPr>
          <w:rFonts w:ascii="Calibri" w:hAnsi="Calibri" w:cs="Calibri"/>
        </w:rPr>
        <w:fldChar w:fldCharType="separate"/>
      </w:r>
      <w:r w:rsidR="00E677A0" w:rsidRPr="00E677A0">
        <w:rPr>
          <w:rFonts w:ascii="Calibri" w:hAnsi="Calibri" w:cs="Calibri"/>
          <w:noProof/>
        </w:rPr>
        <w:t>(12)</w:t>
      </w:r>
      <w:r w:rsidR="006C2112">
        <w:rPr>
          <w:rFonts w:ascii="Calibri" w:hAnsi="Calibri" w:cs="Calibri"/>
        </w:rPr>
        <w:fldChar w:fldCharType="end"/>
      </w:r>
      <w:r w:rsidR="000F4174" w:rsidRPr="005C607F">
        <w:rPr>
          <w:rFonts w:ascii="Calibri" w:hAnsi="Calibri" w:cs="Calibri"/>
        </w:rPr>
        <w:t>.</w:t>
      </w:r>
      <w:r w:rsidR="00297524" w:rsidRPr="005C607F">
        <w:rPr>
          <w:rFonts w:ascii="Calibri" w:hAnsi="Calibri" w:cs="Calibri"/>
        </w:rPr>
        <w:t xml:space="preserve"> </w:t>
      </w:r>
      <w:r w:rsidRPr="005C607F">
        <w:rPr>
          <w:rFonts w:ascii="Calibri" w:hAnsi="Calibri" w:cs="Calibri"/>
        </w:rPr>
        <w:t xml:space="preserve">Dogs with incomplete or absent medical records were excluded. </w:t>
      </w:r>
      <w:r w:rsidR="00EF0114">
        <w:rPr>
          <w:rFonts w:ascii="Calibri" w:hAnsi="Calibri" w:cs="Calibri"/>
        </w:rPr>
        <w:t xml:space="preserve">Medical records were considered incomplete when no clinical </w:t>
      </w:r>
      <w:r w:rsidR="00470650">
        <w:rPr>
          <w:rFonts w:ascii="Calibri" w:hAnsi="Calibri" w:cs="Calibri"/>
        </w:rPr>
        <w:t>records</w:t>
      </w:r>
      <w:r w:rsidR="00EF0114">
        <w:rPr>
          <w:rFonts w:ascii="Calibri" w:hAnsi="Calibri" w:cs="Calibri"/>
        </w:rPr>
        <w:t xml:space="preserve"> or imaging reports</w:t>
      </w:r>
      <w:r w:rsidR="00470650">
        <w:rPr>
          <w:rFonts w:ascii="Calibri" w:hAnsi="Calibri" w:cs="Calibri"/>
        </w:rPr>
        <w:t xml:space="preserve"> from the time of diagnosis</w:t>
      </w:r>
      <w:r w:rsidR="00EF0114">
        <w:rPr>
          <w:rFonts w:ascii="Calibri" w:hAnsi="Calibri" w:cs="Calibri"/>
        </w:rPr>
        <w:t xml:space="preserve"> were available for analysis. </w:t>
      </w:r>
      <w:r w:rsidRPr="005C607F">
        <w:rPr>
          <w:rFonts w:ascii="Calibri" w:hAnsi="Calibri" w:cs="Calibri"/>
        </w:rPr>
        <w:t xml:space="preserve">Follow-up </w:t>
      </w:r>
      <w:r w:rsidR="00FF406B">
        <w:rPr>
          <w:rFonts w:ascii="Calibri" w:hAnsi="Calibri" w:cs="Calibri"/>
        </w:rPr>
        <w:t xml:space="preserve">information </w:t>
      </w:r>
      <w:r w:rsidRPr="005C607F">
        <w:rPr>
          <w:rFonts w:ascii="Calibri" w:hAnsi="Calibri" w:cs="Calibri"/>
        </w:rPr>
        <w:t xml:space="preserve">was obtained </w:t>
      </w:r>
      <w:r w:rsidR="00FF406B">
        <w:rPr>
          <w:rFonts w:ascii="Calibri" w:hAnsi="Calibri" w:cs="Calibri"/>
        </w:rPr>
        <w:t xml:space="preserve">in 35 cases </w:t>
      </w:r>
      <w:r w:rsidRPr="005C607F">
        <w:rPr>
          <w:rFonts w:ascii="Calibri" w:hAnsi="Calibri" w:cs="Calibri"/>
        </w:rPr>
        <w:t xml:space="preserve">by contacting the registered owner </w:t>
      </w:r>
      <w:r w:rsidR="003B3199">
        <w:rPr>
          <w:rFonts w:ascii="Calibri" w:hAnsi="Calibri" w:cs="Calibri"/>
        </w:rPr>
        <w:t xml:space="preserve">to ask about outcome and </w:t>
      </w:r>
      <w:r w:rsidRPr="005C607F">
        <w:rPr>
          <w:rFonts w:ascii="Calibri" w:hAnsi="Calibri" w:cs="Calibri"/>
        </w:rPr>
        <w:t>for permission to contact their primary</w:t>
      </w:r>
      <w:r w:rsidR="00134544">
        <w:rPr>
          <w:rFonts w:ascii="Calibri" w:hAnsi="Calibri" w:cs="Calibri"/>
        </w:rPr>
        <w:t xml:space="preserve"> </w:t>
      </w:r>
      <w:r w:rsidRPr="005C607F">
        <w:rPr>
          <w:rFonts w:ascii="Calibri" w:hAnsi="Calibri" w:cs="Calibri"/>
        </w:rPr>
        <w:t xml:space="preserve">care practice for clinical records. The study was approved by the Ethics and Welfare committee of </w:t>
      </w:r>
      <w:r w:rsidR="00134544">
        <w:rPr>
          <w:rFonts w:ascii="Calibri" w:hAnsi="Calibri" w:cs="Calibri"/>
        </w:rPr>
        <w:t>the Department of Veterinary Medicine, University of Cambridge,</w:t>
      </w:r>
      <w:r w:rsidRPr="005C607F">
        <w:rPr>
          <w:rFonts w:ascii="Calibri" w:hAnsi="Calibri" w:cs="Calibri"/>
        </w:rPr>
        <w:t xml:space="preserve"> reference CR435.     </w:t>
      </w:r>
    </w:p>
    <w:p w14:paraId="68F90A9C" w14:textId="796589AB" w:rsidR="000B3522" w:rsidRDefault="000B3522" w:rsidP="00867264">
      <w:pPr>
        <w:spacing w:line="480" w:lineRule="auto"/>
        <w:jc w:val="both"/>
        <w:rPr>
          <w:rFonts w:ascii="Calibri" w:hAnsi="Calibri" w:cs="Calibri"/>
        </w:rPr>
      </w:pPr>
    </w:p>
    <w:p w14:paraId="37AC2FF2" w14:textId="0DBD8D07" w:rsidR="00460AEA" w:rsidRPr="00A737FB" w:rsidRDefault="00460AEA" w:rsidP="00867264">
      <w:pPr>
        <w:spacing w:line="480" w:lineRule="auto"/>
        <w:jc w:val="both"/>
        <w:rPr>
          <w:rFonts w:ascii="Calibri" w:hAnsi="Calibri" w:cs="Calibri"/>
        </w:rPr>
        <w:sectPr w:rsidR="00460AEA" w:rsidRPr="00A737FB" w:rsidSect="00867264">
          <w:headerReference w:type="even" r:id="rId8"/>
          <w:headerReference w:type="default" r:id="rId9"/>
          <w:pgSz w:w="11900" w:h="16840"/>
          <w:pgMar w:top="1440" w:right="1440" w:bottom="1440" w:left="1440" w:header="709" w:footer="709" w:gutter="0"/>
          <w:lnNumType w:countBy="1" w:restart="continuous"/>
          <w:cols w:space="708"/>
          <w:docGrid w:linePitch="360"/>
        </w:sectPr>
      </w:pPr>
      <w:r>
        <w:rPr>
          <w:rFonts w:ascii="Calibri" w:hAnsi="Calibri" w:cs="Calibri"/>
        </w:rPr>
        <w:t xml:space="preserve">Ultrasound </w:t>
      </w:r>
      <w:r w:rsidR="001E315E">
        <w:rPr>
          <w:rFonts w:ascii="Calibri" w:hAnsi="Calibri" w:cs="Calibri"/>
        </w:rPr>
        <w:t xml:space="preserve">examinations were </w:t>
      </w:r>
      <w:r>
        <w:rPr>
          <w:rFonts w:ascii="Calibri" w:hAnsi="Calibri" w:cs="Calibri"/>
        </w:rPr>
        <w:t xml:space="preserve">performed in all cases by board-certified </w:t>
      </w:r>
      <w:r w:rsidR="001E315E">
        <w:rPr>
          <w:rFonts w:ascii="Calibri" w:hAnsi="Calibri" w:cs="Calibri"/>
        </w:rPr>
        <w:t>r</w:t>
      </w:r>
      <w:r w:rsidR="000B3018">
        <w:rPr>
          <w:rFonts w:ascii="Calibri" w:hAnsi="Calibri" w:cs="Calibri"/>
        </w:rPr>
        <w:t>adiologists</w:t>
      </w:r>
      <w:r w:rsidR="001E315E">
        <w:rPr>
          <w:rFonts w:ascii="Calibri" w:hAnsi="Calibri" w:cs="Calibri"/>
        </w:rPr>
        <w:t xml:space="preserve"> </w:t>
      </w:r>
      <w:r>
        <w:rPr>
          <w:rFonts w:ascii="Calibri" w:hAnsi="Calibri" w:cs="Calibri"/>
        </w:rPr>
        <w:t>or under their supervision</w:t>
      </w:r>
      <w:r w:rsidR="000B3018">
        <w:rPr>
          <w:rFonts w:ascii="Calibri" w:hAnsi="Calibri" w:cs="Calibri"/>
        </w:rPr>
        <w:t xml:space="preserve">. Ultrasonography was performed in all cases using either a Philips HDI 5000 (Philips, Eindhoven, The Netherlands), Philips EPIQ 7 (Philips, Eindhoven, The Netherlands) or Esaote MyLab Eight XP (Esaote, Genoa, Italy) machine. </w:t>
      </w:r>
    </w:p>
    <w:p w14:paraId="475F5746" w14:textId="25D8A51F" w:rsidR="00460AEA" w:rsidRDefault="00460AEA" w:rsidP="00867264">
      <w:pPr>
        <w:spacing w:line="480" w:lineRule="auto"/>
        <w:jc w:val="both"/>
        <w:rPr>
          <w:rFonts w:ascii="Calibri" w:hAnsi="Calibri" w:cs="Calibri"/>
        </w:rPr>
      </w:pPr>
      <w:r>
        <w:rPr>
          <w:rFonts w:ascii="Calibri" w:hAnsi="Calibri" w:cs="Calibri"/>
        </w:rPr>
        <w:lastRenderedPageBreak/>
        <w:t>Follow-up biochemistry was performed at variable time point</w:t>
      </w:r>
      <w:r w:rsidR="001E315E">
        <w:rPr>
          <w:rFonts w:ascii="Calibri" w:hAnsi="Calibri" w:cs="Calibri"/>
        </w:rPr>
        <w:t>s</w:t>
      </w:r>
      <w:r>
        <w:rPr>
          <w:rFonts w:ascii="Calibri" w:hAnsi="Calibri" w:cs="Calibri"/>
        </w:rPr>
        <w:t>,</w:t>
      </w:r>
      <w:r w:rsidR="001E315E">
        <w:rPr>
          <w:rFonts w:ascii="Calibri" w:hAnsi="Calibri" w:cs="Calibri"/>
        </w:rPr>
        <w:t xml:space="preserve"> and</w:t>
      </w:r>
      <w:r>
        <w:rPr>
          <w:rFonts w:ascii="Calibri" w:hAnsi="Calibri" w:cs="Calibri"/>
        </w:rPr>
        <w:t xml:space="preserve"> therefore data were categori</w:t>
      </w:r>
      <w:r w:rsidR="001E315E">
        <w:rPr>
          <w:rFonts w:ascii="Calibri" w:hAnsi="Calibri" w:cs="Calibri"/>
        </w:rPr>
        <w:t>z</w:t>
      </w:r>
      <w:r>
        <w:rPr>
          <w:rFonts w:ascii="Calibri" w:hAnsi="Calibri" w:cs="Calibri"/>
        </w:rPr>
        <w:t xml:space="preserve">ed into </w:t>
      </w:r>
      <w:r w:rsidR="001E315E">
        <w:rPr>
          <w:rFonts w:ascii="Calibri" w:hAnsi="Calibri" w:cs="Calibri"/>
        </w:rPr>
        <w:t xml:space="preserve">6 </w:t>
      </w:r>
      <w:r>
        <w:rPr>
          <w:rFonts w:ascii="Calibri" w:hAnsi="Calibri" w:cs="Calibri"/>
        </w:rPr>
        <w:t>time</w:t>
      </w:r>
      <w:r w:rsidR="001E315E">
        <w:rPr>
          <w:rFonts w:ascii="Calibri" w:hAnsi="Calibri" w:cs="Calibri"/>
        </w:rPr>
        <w:t xml:space="preserve"> </w:t>
      </w:r>
      <w:r>
        <w:rPr>
          <w:rFonts w:ascii="Calibri" w:hAnsi="Calibri" w:cs="Calibri"/>
        </w:rPr>
        <w:t>intervals after presentation: 0.5-1 months, 1-3 months, 3-6 months, 6-12 months, 12-24 months and &gt;24 months.</w:t>
      </w:r>
      <w:r w:rsidR="000E1B37">
        <w:rPr>
          <w:rFonts w:ascii="Calibri" w:hAnsi="Calibri" w:cs="Calibri"/>
        </w:rPr>
        <w:t xml:space="preserve"> </w:t>
      </w:r>
    </w:p>
    <w:p w14:paraId="3EDB5873" w14:textId="77777777" w:rsidR="000E1B37" w:rsidRDefault="000E1B37" w:rsidP="00867264">
      <w:pPr>
        <w:spacing w:line="480" w:lineRule="auto"/>
        <w:jc w:val="both"/>
        <w:rPr>
          <w:rFonts w:ascii="Calibri" w:hAnsi="Calibri" w:cs="Calibri"/>
        </w:rPr>
      </w:pPr>
    </w:p>
    <w:p w14:paraId="0FF25215" w14:textId="5AA10AFE" w:rsidR="000E1B37" w:rsidRDefault="000E1B37" w:rsidP="00867264">
      <w:pPr>
        <w:spacing w:line="480" w:lineRule="auto"/>
        <w:jc w:val="both"/>
        <w:rPr>
          <w:rFonts w:ascii="Calibri" w:hAnsi="Calibri" w:cs="Calibri"/>
        </w:rPr>
      </w:pPr>
      <w:r>
        <w:rPr>
          <w:rFonts w:ascii="Calibri" w:hAnsi="Calibri" w:cs="Calibri"/>
        </w:rPr>
        <w:t xml:space="preserve">Presence of </w:t>
      </w:r>
      <w:r w:rsidR="00AF383F">
        <w:rPr>
          <w:rFonts w:ascii="Calibri" w:hAnsi="Calibri" w:cs="Calibri"/>
        </w:rPr>
        <w:t xml:space="preserve">concurrent </w:t>
      </w:r>
      <w:r>
        <w:rPr>
          <w:rFonts w:ascii="Calibri" w:hAnsi="Calibri" w:cs="Calibri"/>
        </w:rPr>
        <w:t>endocrinopathi</w:t>
      </w:r>
      <w:r w:rsidR="00AF383F">
        <w:rPr>
          <w:rFonts w:ascii="Calibri" w:hAnsi="Calibri" w:cs="Calibri"/>
        </w:rPr>
        <w:t>es</w:t>
      </w:r>
      <w:r>
        <w:rPr>
          <w:rFonts w:ascii="Calibri" w:hAnsi="Calibri" w:cs="Calibri"/>
        </w:rPr>
        <w:t xml:space="preserve"> </w:t>
      </w:r>
      <w:r w:rsidR="00AF383F">
        <w:rPr>
          <w:rFonts w:ascii="Calibri" w:hAnsi="Calibri" w:cs="Calibri"/>
        </w:rPr>
        <w:t>w</w:t>
      </w:r>
      <w:r w:rsidR="001E315E">
        <w:rPr>
          <w:rFonts w:ascii="Calibri" w:hAnsi="Calibri" w:cs="Calibri"/>
        </w:rPr>
        <w:t>as</w:t>
      </w:r>
      <w:r>
        <w:rPr>
          <w:rFonts w:ascii="Calibri" w:hAnsi="Calibri" w:cs="Calibri"/>
        </w:rPr>
        <w:t xml:space="preserve"> recorded. </w:t>
      </w:r>
      <w:r w:rsidR="009E0513">
        <w:rPr>
          <w:rFonts w:ascii="Calibri" w:hAnsi="Calibri" w:cs="Calibri"/>
        </w:rPr>
        <w:t xml:space="preserve">Cases were diagnosed either </w:t>
      </w:r>
      <w:r w:rsidR="001E315E">
        <w:rPr>
          <w:rFonts w:ascii="Calibri" w:hAnsi="Calibri" w:cs="Calibri"/>
        </w:rPr>
        <w:t xml:space="preserve">before </w:t>
      </w:r>
      <w:r w:rsidR="009E0513">
        <w:rPr>
          <w:rFonts w:ascii="Calibri" w:hAnsi="Calibri" w:cs="Calibri"/>
        </w:rPr>
        <w:t xml:space="preserve">referral or during investigations at the </w:t>
      </w:r>
      <w:r w:rsidR="001E315E">
        <w:rPr>
          <w:rFonts w:ascii="Calibri" w:hAnsi="Calibri" w:cs="Calibri"/>
        </w:rPr>
        <w:t>investigators</w:t>
      </w:r>
      <w:r w:rsidR="009E0513">
        <w:rPr>
          <w:rFonts w:ascii="Calibri" w:hAnsi="Calibri" w:cs="Calibri"/>
        </w:rPr>
        <w:t>’ institut</w:t>
      </w:r>
      <w:r w:rsidR="001E315E">
        <w:rPr>
          <w:rFonts w:ascii="Calibri" w:hAnsi="Calibri" w:cs="Calibri"/>
        </w:rPr>
        <w:t>ion</w:t>
      </w:r>
      <w:r w:rsidR="009E0513">
        <w:rPr>
          <w:rFonts w:ascii="Calibri" w:hAnsi="Calibri" w:cs="Calibri"/>
        </w:rPr>
        <w:t xml:space="preserve">. </w:t>
      </w:r>
      <w:r w:rsidR="001E315E">
        <w:rPr>
          <w:rFonts w:ascii="Calibri" w:hAnsi="Calibri" w:cs="Calibri"/>
        </w:rPr>
        <w:t>Dog</w:t>
      </w:r>
      <w:r>
        <w:rPr>
          <w:rFonts w:ascii="Calibri" w:hAnsi="Calibri" w:cs="Calibri"/>
        </w:rPr>
        <w:t>s were considered to have hyperadrenocorticism if an ACTH stimulation test or low-dose dexamethasone suppression test was positive along</w:t>
      </w:r>
      <w:r w:rsidR="001E315E">
        <w:rPr>
          <w:rFonts w:ascii="Calibri" w:hAnsi="Calibri" w:cs="Calibri"/>
        </w:rPr>
        <w:t xml:space="preserve"> with</w:t>
      </w:r>
      <w:r>
        <w:rPr>
          <w:rFonts w:ascii="Calibri" w:hAnsi="Calibri" w:cs="Calibri"/>
        </w:rPr>
        <w:t xml:space="preserve"> compatible clinical sign</w:t>
      </w:r>
      <w:r w:rsidR="00921451">
        <w:rPr>
          <w:rFonts w:ascii="Calibri" w:hAnsi="Calibri" w:cs="Calibri"/>
        </w:rPr>
        <w:t>s</w:t>
      </w:r>
      <w:r>
        <w:rPr>
          <w:rFonts w:ascii="Calibri" w:hAnsi="Calibri" w:cs="Calibri"/>
        </w:rPr>
        <w:t>.</w:t>
      </w:r>
      <w:r w:rsidR="00921451">
        <w:rPr>
          <w:rFonts w:ascii="Calibri" w:hAnsi="Calibri" w:cs="Calibri"/>
        </w:rPr>
        <w:t xml:space="preserve"> </w:t>
      </w:r>
      <w:r w:rsidR="001E315E">
        <w:rPr>
          <w:rFonts w:ascii="Calibri" w:hAnsi="Calibri" w:cs="Calibri"/>
        </w:rPr>
        <w:t>Dog</w:t>
      </w:r>
      <w:r>
        <w:rPr>
          <w:rFonts w:ascii="Calibri" w:hAnsi="Calibri" w:cs="Calibri"/>
        </w:rPr>
        <w:t xml:space="preserve">s were considered to have hypothyroidism if a </w:t>
      </w:r>
      <w:r w:rsidR="00AE346E">
        <w:rPr>
          <w:rFonts w:ascii="Calibri" w:hAnsi="Calibri" w:cs="Calibri"/>
        </w:rPr>
        <w:t xml:space="preserve">historical </w:t>
      </w:r>
      <w:r>
        <w:rPr>
          <w:rFonts w:ascii="Calibri" w:hAnsi="Calibri" w:cs="Calibri"/>
        </w:rPr>
        <w:t>diagnosis</w:t>
      </w:r>
      <w:r w:rsidR="00AE346E">
        <w:rPr>
          <w:rFonts w:ascii="Calibri" w:hAnsi="Calibri" w:cs="Calibri"/>
        </w:rPr>
        <w:t xml:space="preserve"> (with consistent</w:t>
      </w:r>
      <w:r w:rsidR="001E315E">
        <w:rPr>
          <w:rFonts w:ascii="Calibri" w:hAnsi="Calibri" w:cs="Calibri"/>
        </w:rPr>
        <w:t xml:space="preserve"> serum</w:t>
      </w:r>
      <w:r w:rsidR="00AE346E">
        <w:rPr>
          <w:rFonts w:ascii="Calibri" w:hAnsi="Calibri" w:cs="Calibri"/>
        </w:rPr>
        <w:t xml:space="preserve"> total thyroxine and thyroid stimulating hormone </w:t>
      </w:r>
      <w:r w:rsidR="001E315E">
        <w:rPr>
          <w:rFonts w:ascii="Calibri" w:hAnsi="Calibri" w:cs="Calibri"/>
        </w:rPr>
        <w:t>[</w:t>
      </w:r>
      <w:r w:rsidR="00AE346E">
        <w:rPr>
          <w:rFonts w:ascii="Calibri" w:hAnsi="Calibri" w:cs="Calibri"/>
        </w:rPr>
        <w:t>TSH</w:t>
      </w:r>
      <w:r w:rsidR="001E315E">
        <w:rPr>
          <w:rFonts w:ascii="Calibri" w:hAnsi="Calibri" w:cs="Calibri"/>
        </w:rPr>
        <w:t>]</w:t>
      </w:r>
      <w:r w:rsidR="00AE346E">
        <w:rPr>
          <w:rFonts w:ascii="Calibri" w:hAnsi="Calibri" w:cs="Calibri"/>
        </w:rPr>
        <w:t xml:space="preserve"> </w:t>
      </w:r>
      <w:r w:rsidR="001E315E">
        <w:rPr>
          <w:rFonts w:ascii="Calibri" w:hAnsi="Calibri" w:cs="Calibri"/>
        </w:rPr>
        <w:t>concentrations</w:t>
      </w:r>
      <w:r w:rsidR="00AE346E">
        <w:rPr>
          <w:rFonts w:ascii="Calibri" w:hAnsi="Calibri" w:cs="Calibri"/>
        </w:rPr>
        <w:t>)</w:t>
      </w:r>
      <w:r>
        <w:rPr>
          <w:rFonts w:ascii="Calibri" w:hAnsi="Calibri" w:cs="Calibri"/>
        </w:rPr>
        <w:t xml:space="preserve"> </w:t>
      </w:r>
      <w:r w:rsidR="00226C51">
        <w:rPr>
          <w:rFonts w:ascii="Calibri" w:hAnsi="Calibri" w:cs="Calibri"/>
        </w:rPr>
        <w:t>had been made</w:t>
      </w:r>
      <w:r w:rsidR="003229BC">
        <w:rPr>
          <w:rFonts w:ascii="Calibri" w:hAnsi="Calibri" w:cs="Calibri"/>
        </w:rPr>
        <w:t xml:space="preserve"> </w:t>
      </w:r>
      <w:r w:rsidR="001E315E">
        <w:rPr>
          <w:rFonts w:ascii="Calibri" w:hAnsi="Calibri" w:cs="Calibri"/>
        </w:rPr>
        <w:t>before</w:t>
      </w:r>
      <w:r w:rsidR="003229BC">
        <w:rPr>
          <w:rFonts w:ascii="Calibri" w:hAnsi="Calibri" w:cs="Calibri"/>
        </w:rPr>
        <w:t xml:space="preserve"> referral.</w:t>
      </w:r>
      <w:r>
        <w:rPr>
          <w:rFonts w:ascii="Calibri" w:hAnsi="Calibri" w:cs="Calibri"/>
        </w:rPr>
        <w:t xml:space="preserve"> </w:t>
      </w:r>
      <w:r w:rsidR="001E315E">
        <w:rPr>
          <w:rFonts w:ascii="Calibri" w:hAnsi="Calibri" w:cs="Calibri"/>
        </w:rPr>
        <w:t>Dog</w:t>
      </w:r>
      <w:r w:rsidR="009A7736">
        <w:rPr>
          <w:rFonts w:ascii="Calibri" w:hAnsi="Calibri" w:cs="Calibri"/>
        </w:rPr>
        <w:t>s were considered to have primary hyperparathyroidism when</w:t>
      </w:r>
      <w:r w:rsidR="00C770CE">
        <w:rPr>
          <w:rFonts w:ascii="Calibri" w:hAnsi="Calibri" w:cs="Calibri"/>
        </w:rPr>
        <w:t xml:space="preserve"> ioni</w:t>
      </w:r>
      <w:r w:rsidR="001E315E">
        <w:rPr>
          <w:rFonts w:ascii="Calibri" w:hAnsi="Calibri" w:cs="Calibri"/>
        </w:rPr>
        <w:t>z</w:t>
      </w:r>
      <w:r w:rsidR="00C770CE">
        <w:rPr>
          <w:rFonts w:ascii="Calibri" w:hAnsi="Calibri" w:cs="Calibri"/>
        </w:rPr>
        <w:t xml:space="preserve">ed hypercalcaemia was present with </w:t>
      </w:r>
      <w:r w:rsidR="00A75C66">
        <w:rPr>
          <w:rFonts w:ascii="Calibri" w:hAnsi="Calibri" w:cs="Calibri"/>
        </w:rPr>
        <w:t>increased</w:t>
      </w:r>
      <w:r w:rsidR="00226C51">
        <w:rPr>
          <w:rFonts w:ascii="Calibri" w:hAnsi="Calibri" w:cs="Calibri"/>
        </w:rPr>
        <w:t xml:space="preserve"> parathyroid hormone (PTH)</w:t>
      </w:r>
      <w:r w:rsidR="001E315E">
        <w:rPr>
          <w:rFonts w:ascii="Calibri" w:hAnsi="Calibri" w:cs="Calibri"/>
        </w:rPr>
        <w:t xml:space="preserve"> concentration</w:t>
      </w:r>
      <w:r w:rsidR="00226C51">
        <w:rPr>
          <w:rFonts w:ascii="Calibri" w:hAnsi="Calibri" w:cs="Calibri"/>
        </w:rPr>
        <w:t xml:space="preserve"> </w:t>
      </w:r>
      <w:r w:rsidR="00A75C66">
        <w:rPr>
          <w:rFonts w:ascii="Calibri" w:hAnsi="Calibri" w:cs="Calibri"/>
        </w:rPr>
        <w:t xml:space="preserve">and a parathyroid mass </w:t>
      </w:r>
      <w:r w:rsidR="001E315E">
        <w:rPr>
          <w:rFonts w:ascii="Calibri" w:hAnsi="Calibri" w:cs="Calibri"/>
        </w:rPr>
        <w:t xml:space="preserve">visible </w:t>
      </w:r>
      <w:r w:rsidR="00A75C66">
        <w:rPr>
          <w:rFonts w:ascii="Calibri" w:hAnsi="Calibri" w:cs="Calibri"/>
        </w:rPr>
        <w:t xml:space="preserve">on ultrasound </w:t>
      </w:r>
      <w:r w:rsidR="001E315E">
        <w:rPr>
          <w:rFonts w:ascii="Calibri" w:hAnsi="Calibri" w:cs="Calibri"/>
        </w:rPr>
        <w:t xml:space="preserve">examinations </w:t>
      </w:r>
      <w:r w:rsidR="00AE346E">
        <w:rPr>
          <w:rFonts w:ascii="Calibri" w:hAnsi="Calibri" w:cs="Calibri"/>
        </w:rPr>
        <w:t>an</w:t>
      </w:r>
      <w:r w:rsidR="001E315E">
        <w:rPr>
          <w:rFonts w:ascii="Calibri" w:hAnsi="Calibri" w:cs="Calibri"/>
        </w:rPr>
        <w:t>d</w:t>
      </w:r>
      <w:r w:rsidR="00A75C66">
        <w:rPr>
          <w:rFonts w:ascii="Calibri" w:hAnsi="Calibri" w:cs="Calibri"/>
        </w:rPr>
        <w:t xml:space="preserve"> </w:t>
      </w:r>
      <w:r w:rsidR="00C770CE">
        <w:rPr>
          <w:rFonts w:ascii="Calibri" w:hAnsi="Calibri" w:cs="Calibri"/>
        </w:rPr>
        <w:t>other causes of hypercalcaemia</w:t>
      </w:r>
      <w:r w:rsidR="002E7473">
        <w:rPr>
          <w:rFonts w:ascii="Calibri" w:hAnsi="Calibri" w:cs="Calibri"/>
        </w:rPr>
        <w:t xml:space="preserve"> </w:t>
      </w:r>
      <w:r w:rsidR="00EC2102">
        <w:rPr>
          <w:rFonts w:ascii="Calibri" w:hAnsi="Calibri" w:cs="Calibri"/>
        </w:rPr>
        <w:t xml:space="preserve">had been </w:t>
      </w:r>
      <w:r w:rsidR="00C770CE">
        <w:rPr>
          <w:rFonts w:ascii="Calibri" w:hAnsi="Calibri" w:cs="Calibri"/>
        </w:rPr>
        <w:t>ruled out</w:t>
      </w:r>
      <w:r w:rsidR="00A75C66">
        <w:rPr>
          <w:rFonts w:ascii="Calibri" w:hAnsi="Calibri" w:cs="Calibri"/>
        </w:rPr>
        <w:t xml:space="preserve"> during clinical investigations at the </w:t>
      </w:r>
      <w:r w:rsidR="001E315E">
        <w:rPr>
          <w:rFonts w:ascii="Calibri" w:hAnsi="Calibri" w:cs="Calibri"/>
        </w:rPr>
        <w:t>investigator</w:t>
      </w:r>
      <w:r w:rsidR="00A75C66">
        <w:rPr>
          <w:rFonts w:ascii="Calibri" w:hAnsi="Calibri" w:cs="Calibri"/>
        </w:rPr>
        <w:t>s’ institution</w:t>
      </w:r>
      <w:r w:rsidR="00C770CE">
        <w:rPr>
          <w:rFonts w:ascii="Calibri" w:hAnsi="Calibri" w:cs="Calibri"/>
        </w:rPr>
        <w:t xml:space="preserve">. </w:t>
      </w:r>
      <w:r w:rsidR="001E315E">
        <w:rPr>
          <w:rFonts w:ascii="Calibri" w:hAnsi="Calibri" w:cs="Calibri"/>
        </w:rPr>
        <w:t xml:space="preserve">Dogs </w:t>
      </w:r>
      <w:r w:rsidR="009A7736">
        <w:rPr>
          <w:rFonts w:ascii="Calibri" w:hAnsi="Calibri" w:cs="Calibri"/>
        </w:rPr>
        <w:t xml:space="preserve">were considered to have diabetes mellitus when </w:t>
      </w:r>
      <w:r w:rsidR="009E0513">
        <w:rPr>
          <w:rFonts w:ascii="Calibri" w:hAnsi="Calibri" w:cs="Calibri"/>
        </w:rPr>
        <w:t>present</w:t>
      </w:r>
      <w:r w:rsidR="001E315E">
        <w:rPr>
          <w:rFonts w:ascii="Calibri" w:hAnsi="Calibri" w:cs="Calibri"/>
        </w:rPr>
        <w:t>ed</w:t>
      </w:r>
      <w:r w:rsidR="009E0513">
        <w:rPr>
          <w:rFonts w:ascii="Calibri" w:hAnsi="Calibri" w:cs="Calibri"/>
        </w:rPr>
        <w:t xml:space="preserve"> with</w:t>
      </w:r>
      <w:r w:rsidR="009A7736">
        <w:rPr>
          <w:rFonts w:ascii="Calibri" w:hAnsi="Calibri" w:cs="Calibri"/>
        </w:rPr>
        <w:t xml:space="preserve"> fasting hyperglycemia</w:t>
      </w:r>
      <w:r w:rsidR="009E0513">
        <w:rPr>
          <w:rFonts w:ascii="Calibri" w:hAnsi="Calibri" w:cs="Calibri"/>
        </w:rPr>
        <w:t>, in combination with glucosuria</w:t>
      </w:r>
      <w:r w:rsidR="009A7736">
        <w:rPr>
          <w:rFonts w:ascii="Calibri" w:hAnsi="Calibri" w:cs="Calibri"/>
        </w:rPr>
        <w:t xml:space="preserve"> </w:t>
      </w:r>
      <w:r w:rsidR="009E0513">
        <w:rPr>
          <w:rFonts w:ascii="Calibri" w:hAnsi="Calibri" w:cs="Calibri"/>
        </w:rPr>
        <w:t>and</w:t>
      </w:r>
      <w:r w:rsidR="009A7736">
        <w:rPr>
          <w:rFonts w:ascii="Calibri" w:hAnsi="Calibri" w:cs="Calibri"/>
        </w:rPr>
        <w:t xml:space="preserve"> compatible clinical signs.</w:t>
      </w:r>
      <w:r w:rsidR="0050072C">
        <w:rPr>
          <w:rFonts w:ascii="Calibri" w:hAnsi="Calibri" w:cs="Calibri"/>
        </w:rPr>
        <w:t xml:space="preserve"> </w:t>
      </w:r>
    </w:p>
    <w:p w14:paraId="2B7D656F" w14:textId="77777777" w:rsidR="00E06BFB" w:rsidRPr="005C607F" w:rsidRDefault="00E06BFB" w:rsidP="00867264">
      <w:pPr>
        <w:spacing w:line="480" w:lineRule="auto"/>
        <w:jc w:val="both"/>
        <w:rPr>
          <w:rFonts w:ascii="Calibri" w:hAnsi="Calibri" w:cs="Calibri"/>
        </w:rPr>
      </w:pPr>
    </w:p>
    <w:p w14:paraId="6F08F6E0" w14:textId="17F2DA22" w:rsidR="000F4174" w:rsidRDefault="000F4174" w:rsidP="00867264">
      <w:pPr>
        <w:spacing w:line="480" w:lineRule="auto"/>
        <w:jc w:val="both"/>
        <w:rPr>
          <w:rFonts w:ascii="Calibri" w:hAnsi="Calibri" w:cs="Calibri"/>
        </w:rPr>
      </w:pPr>
      <w:r w:rsidRPr="005C607F">
        <w:rPr>
          <w:rFonts w:ascii="Calibri" w:hAnsi="Calibri" w:cs="Calibri"/>
        </w:rPr>
        <w:t xml:space="preserve">Cases were subdivided into </w:t>
      </w:r>
      <w:r w:rsidR="000B3D49" w:rsidRPr="005C607F">
        <w:rPr>
          <w:rFonts w:ascii="Calibri" w:hAnsi="Calibri" w:cs="Calibri"/>
        </w:rPr>
        <w:t>symptomatic</w:t>
      </w:r>
      <w:r w:rsidRPr="005C607F">
        <w:rPr>
          <w:rFonts w:ascii="Calibri" w:hAnsi="Calibri" w:cs="Calibri"/>
        </w:rPr>
        <w:t xml:space="preserve"> and incidental cholelithiasis. Dogs were classified as </w:t>
      </w:r>
      <w:r w:rsidR="00F63332" w:rsidRPr="005C607F">
        <w:rPr>
          <w:rFonts w:ascii="Calibri" w:hAnsi="Calibri" w:cs="Calibri"/>
        </w:rPr>
        <w:t>symptomatic</w:t>
      </w:r>
      <w:r w:rsidRPr="005C607F">
        <w:rPr>
          <w:rFonts w:ascii="Calibri" w:hAnsi="Calibri" w:cs="Calibri"/>
        </w:rPr>
        <w:t xml:space="preserve"> if they had clinical signs attributable to cholelithiasis </w:t>
      </w:r>
      <w:r w:rsidR="00027512">
        <w:rPr>
          <w:rFonts w:ascii="Calibri" w:hAnsi="Calibri" w:cs="Calibri"/>
        </w:rPr>
        <w:t xml:space="preserve">(e.g. </w:t>
      </w:r>
      <w:r w:rsidRPr="005C607F">
        <w:rPr>
          <w:rFonts w:ascii="Calibri" w:hAnsi="Calibri" w:cs="Calibri"/>
        </w:rPr>
        <w:t>vomiting, abdominal pain, inappetence, lethargy</w:t>
      </w:r>
      <w:r w:rsidR="00027512">
        <w:rPr>
          <w:rFonts w:ascii="Calibri" w:hAnsi="Calibri" w:cs="Calibri"/>
        </w:rPr>
        <w:t>,</w:t>
      </w:r>
      <w:r w:rsidRPr="005C607F">
        <w:rPr>
          <w:rFonts w:ascii="Calibri" w:hAnsi="Calibri" w:cs="Calibri"/>
        </w:rPr>
        <w:t xml:space="preserve"> icterus), ultrasonographic abnormalities of the gallbladder or biliary tree (increased</w:t>
      </w:r>
      <w:r w:rsidR="000B570A">
        <w:rPr>
          <w:rFonts w:ascii="Calibri" w:hAnsi="Calibri" w:cs="Calibri"/>
        </w:rPr>
        <w:t xml:space="preserve"> gallbladder wall</w:t>
      </w:r>
      <w:r w:rsidRPr="005C607F">
        <w:rPr>
          <w:rFonts w:ascii="Calibri" w:hAnsi="Calibri" w:cs="Calibri"/>
        </w:rPr>
        <w:t xml:space="preserve"> thickness or echogenicity, common bile duct dila</w:t>
      </w:r>
      <w:r w:rsidR="00027512">
        <w:rPr>
          <w:rFonts w:ascii="Calibri" w:hAnsi="Calibri" w:cs="Calibri"/>
        </w:rPr>
        <w:t>ta</w:t>
      </w:r>
      <w:r w:rsidRPr="005C607F">
        <w:rPr>
          <w:rFonts w:ascii="Calibri" w:hAnsi="Calibri" w:cs="Calibri"/>
        </w:rPr>
        <w:t>tion</w:t>
      </w:r>
      <w:r w:rsidR="00EB6368">
        <w:rPr>
          <w:rFonts w:ascii="Calibri" w:hAnsi="Calibri" w:cs="Calibri"/>
        </w:rPr>
        <w:t>,</w:t>
      </w:r>
      <w:r w:rsidRPr="005C607F">
        <w:rPr>
          <w:rFonts w:ascii="Calibri" w:hAnsi="Calibri" w:cs="Calibri"/>
        </w:rPr>
        <w:t xml:space="preserve"> cystic duct dila</w:t>
      </w:r>
      <w:r w:rsidR="00EB6368">
        <w:rPr>
          <w:rFonts w:ascii="Calibri" w:hAnsi="Calibri" w:cs="Calibri"/>
        </w:rPr>
        <w:t>ta</w:t>
      </w:r>
      <w:r w:rsidRPr="005C607F">
        <w:rPr>
          <w:rFonts w:ascii="Calibri" w:hAnsi="Calibri" w:cs="Calibri"/>
        </w:rPr>
        <w:t>tion) and blood biochemistry abnormalities consistent with cholelithiasis (</w:t>
      </w:r>
      <w:r w:rsidR="00856EAF">
        <w:rPr>
          <w:rFonts w:ascii="Calibri" w:hAnsi="Calibri" w:cs="Calibri"/>
        </w:rPr>
        <w:t>increases</w:t>
      </w:r>
      <w:r w:rsidR="00856EAF" w:rsidRPr="005C607F">
        <w:rPr>
          <w:rFonts w:ascii="Calibri" w:hAnsi="Calibri" w:cs="Calibri"/>
        </w:rPr>
        <w:t xml:space="preserve"> </w:t>
      </w:r>
      <w:r w:rsidRPr="005C607F">
        <w:rPr>
          <w:rFonts w:ascii="Calibri" w:hAnsi="Calibri" w:cs="Calibri"/>
        </w:rPr>
        <w:t xml:space="preserve">in hepatobiliary </w:t>
      </w:r>
      <w:r w:rsidR="00856EAF">
        <w:rPr>
          <w:rFonts w:ascii="Calibri" w:hAnsi="Calibri" w:cs="Calibri"/>
        </w:rPr>
        <w:t>variables</w:t>
      </w:r>
      <w:r w:rsidRPr="005C607F">
        <w:rPr>
          <w:rFonts w:ascii="Calibri" w:hAnsi="Calibri" w:cs="Calibri"/>
        </w:rPr>
        <w:t xml:space="preserve">, cholesterol or bilirubin) </w:t>
      </w:r>
      <w:r w:rsidRPr="005C607F">
        <w:rPr>
          <w:rFonts w:ascii="Calibri" w:hAnsi="Calibri" w:cs="Calibri"/>
        </w:rPr>
        <w:fldChar w:fldCharType="begin" w:fldLock="1"/>
      </w:r>
      <w:r w:rsidRPr="005C607F">
        <w:rPr>
          <w:rFonts w:ascii="Calibri" w:hAnsi="Calibri" w:cs="Calibri"/>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id":"ITEM-2","itemData":{"ISSN":"0003-1488","author":[{"dropping-particle":"","family":"Kirpensteijn","given":"J","non-dropping-particle":"","parse-names":false,"suffix":""},{"dropping-particle":"","family":"Fingland","given":"R B","non-dropping-particle":"","parse-names":false,"suffix":""},{"dropping-particle":"","family":"Ulrich","given":"T","non-dropping-particle":"","parse-names":false,"suffix":""},{"dropping-particle":"","family":"Sikkema","given":"D A","non-dropping-particle":"","parse-names":false,"suffix":""},{"dropping-particle":"","family":"Allen","given":"S W","non-dropping-particle":"","parse-names":false,"suffix":""}],"container-title":"Journal of the American Veterinary Medical Association","id":"ITEM-2","issue":"7","issued":{"date-parts":[["1993","4"]]},"page":"1137—1142","title":"Cholelithiasis in dogs: 29 cases (1980-1990)","type":"article-journal","volume":"202"},"uris":["http://www.mendeley.com/documents/?uuid=ea2fcfa7-1d2a-4b11-8772-90011ad056fc"]},{"id":"ITEM-3","itemData":{"DOI":"10.5326/JAAHA-MS-7000","ISSN":"0587-2871","abstract":"Canine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Association","id":"ITEM-3","issue":"3","issued":{"date-parts":[["2020","5","1"]]},"page":"152","title":"Cholelithiasis in the Dog: Prevalence, Clinical Presentation, and Outcome","type":"article-journal","volume":"56"},"uris":["http://www.mendeley.com/documents/?uuid=ff3a9338-b98b-4d01-965b-26009b9d5232"]}],"mendeley":{"formattedCitation":"(1,3,5)","plainTextFormattedCitation":"(1,3,5)","previouslyFormattedCitation":"(1,3,5)"},"properties":{"noteIndex":0},"schema":"https://github.com/citation-style-language/schema/raw/master/csl-citation.json"}</w:instrText>
      </w:r>
      <w:r w:rsidRPr="005C607F">
        <w:rPr>
          <w:rFonts w:ascii="Calibri" w:hAnsi="Calibri" w:cs="Calibri"/>
        </w:rPr>
        <w:fldChar w:fldCharType="separate"/>
      </w:r>
      <w:r w:rsidRPr="005C607F">
        <w:rPr>
          <w:rFonts w:ascii="Calibri" w:hAnsi="Calibri" w:cs="Calibri"/>
          <w:noProof/>
        </w:rPr>
        <w:t>(1,3,5)</w:t>
      </w:r>
      <w:r w:rsidRPr="005C607F">
        <w:rPr>
          <w:rFonts w:ascii="Calibri" w:hAnsi="Calibri" w:cs="Calibri"/>
        </w:rPr>
        <w:fldChar w:fldCharType="end"/>
      </w:r>
      <w:r w:rsidRPr="005C607F">
        <w:rPr>
          <w:rFonts w:ascii="Calibri" w:hAnsi="Calibri" w:cs="Calibri"/>
        </w:rPr>
        <w:t xml:space="preserve"> and whe</w:t>
      </w:r>
      <w:r w:rsidR="00856EAF">
        <w:rPr>
          <w:rFonts w:ascii="Calibri" w:hAnsi="Calibri" w:cs="Calibri"/>
        </w:rPr>
        <w:t>n</w:t>
      </w:r>
      <w:r w:rsidRPr="005C607F">
        <w:rPr>
          <w:rFonts w:ascii="Calibri" w:hAnsi="Calibri" w:cs="Calibri"/>
        </w:rPr>
        <w:t xml:space="preserve"> no alternative disease process </w:t>
      </w:r>
      <w:r w:rsidR="00856EAF">
        <w:rPr>
          <w:rFonts w:ascii="Calibri" w:hAnsi="Calibri" w:cs="Calibri"/>
        </w:rPr>
        <w:t xml:space="preserve">could </w:t>
      </w:r>
      <w:r w:rsidRPr="005C607F">
        <w:rPr>
          <w:rFonts w:ascii="Calibri" w:hAnsi="Calibri" w:cs="Calibri"/>
        </w:rPr>
        <w:t>account for</w:t>
      </w:r>
      <w:r w:rsidR="00FC4CEC">
        <w:rPr>
          <w:rFonts w:ascii="Calibri" w:hAnsi="Calibri" w:cs="Calibri"/>
        </w:rPr>
        <w:t xml:space="preserve"> </w:t>
      </w:r>
      <w:r w:rsidR="00856EAF">
        <w:rPr>
          <w:rFonts w:ascii="Calibri" w:hAnsi="Calibri" w:cs="Calibri"/>
        </w:rPr>
        <w:t xml:space="preserve">the </w:t>
      </w:r>
      <w:r w:rsidRPr="005C607F">
        <w:rPr>
          <w:rFonts w:ascii="Calibri" w:hAnsi="Calibri" w:cs="Calibri"/>
        </w:rPr>
        <w:t xml:space="preserve">clinical presentation. </w:t>
      </w:r>
      <w:r w:rsidR="00FC4CEC">
        <w:rPr>
          <w:rFonts w:ascii="Calibri" w:hAnsi="Calibri" w:cs="Calibri"/>
        </w:rPr>
        <w:t>Cases</w:t>
      </w:r>
      <w:r w:rsidR="00FC4CEC" w:rsidRPr="005C607F">
        <w:rPr>
          <w:rFonts w:ascii="Calibri" w:hAnsi="Calibri" w:cs="Calibri"/>
        </w:rPr>
        <w:t xml:space="preserve"> </w:t>
      </w:r>
      <w:r w:rsidRPr="005C607F">
        <w:rPr>
          <w:rFonts w:ascii="Calibri" w:hAnsi="Calibri" w:cs="Calibri"/>
        </w:rPr>
        <w:t xml:space="preserve">were classified as incidental </w:t>
      </w:r>
      <w:r w:rsidRPr="005C607F">
        <w:rPr>
          <w:rFonts w:ascii="Calibri" w:hAnsi="Calibri" w:cs="Calibri"/>
        </w:rPr>
        <w:lastRenderedPageBreak/>
        <w:t>when the</w:t>
      </w:r>
      <w:r w:rsidR="00B620D6">
        <w:rPr>
          <w:rFonts w:ascii="Calibri" w:hAnsi="Calibri" w:cs="Calibri"/>
        </w:rPr>
        <w:t>i</w:t>
      </w:r>
      <w:r w:rsidRPr="005C607F">
        <w:rPr>
          <w:rFonts w:ascii="Calibri" w:hAnsi="Calibri" w:cs="Calibri"/>
        </w:rPr>
        <w:t xml:space="preserve">r clinical signs </w:t>
      </w:r>
      <w:r w:rsidR="00B620D6">
        <w:rPr>
          <w:rFonts w:ascii="Calibri" w:hAnsi="Calibri" w:cs="Calibri"/>
        </w:rPr>
        <w:t xml:space="preserve">were not </w:t>
      </w:r>
      <w:r w:rsidRPr="005C607F">
        <w:rPr>
          <w:rFonts w:ascii="Calibri" w:hAnsi="Calibri" w:cs="Calibri"/>
        </w:rPr>
        <w:t xml:space="preserve">attributable to cholelithiasis, with ultrasonographic evidence of an otherwise normal biliary tract and no biochemical </w:t>
      </w:r>
      <w:r w:rsidR="00B620D6">
        <w:rPr>
          <w:rFonts w:ascii="Calibri" w:hAnsi="Calibri" w:cs="Calibri"/>
        </w:rPr>
        <w:t>abnormalitie</w:t>
      </w:r>
      <w:r w:rsidRPr="005C607F">
        <w:rPr>
          <w:rFonts w:ascii="Calibri" w:hAnsi="Calibri" w:cs="Calibri"/>
        </w:rPr>
        <w:t xml:space="preserve">s attributable to cholelithiasis, or when clinical signs and biochemical </w:t>
      </w:r>
      <w:r w:rsidR="00B620D6">
        <w:rPr>
          <w:rFonts w:ascii="Calibri" w:hAnsi="Calibri" w:cs="Calibri"/>
        </w:rPr>
        <w:t>abnormalities</w:t>
      </w:r>
      <w:r w:rsidR="00B620D6" w:rsidRPr="005C607F">
        <w:rPr>
          <w:rFonts w:ascii="Calibri" w:hAnsi="Calibri" w:cs="Calibri"/>
        </w:rPr>
        <w:t xml:space="preserve"> </w:t>
      </w:r>
      <w:r w:rsidRPr="005C607F">
        <w:rPr>
          <w:rFonts w:ascii="Calibri" w:hAnsi="Calibri" w:cs="Calibri"/>
        </w:rPr>
        <w:t>could be attributed to another disease process</w:t>
      </w:r>
      <w:r w:rsidR="00FC4CEC">
        <w:rPr>
          <w:rFonts w:ascii="Calibri" w:hAnsi="Calibri" w:cs="Calibri"/>
        </w:rPr>
        <w:t xml:space="preserve">. </w:t>
      </w:r>
      <w:r w:rsidR="0043070F">
        <w:rPr>
          <w:rFonts w:ascii="Calibri" w:hAnsi="Calibri" w:cs="Calibri"/>
        </w:rPr>
        <w:t>Criteria were</w:t>
      </w:r>
      <w:r w:rsidRPr="005C607F">
        <w:rPr>
          <w:rFonts w:ascii="Calibri" w:hAnsi="Calibri" w:cs="Calibri"/>
        </w:rPr>
        <w:t xml:space="preserve"> modeled on a recent study of cholelithiasis</w:t>
      </w:r>
      <w:r w:rsidR="00B620D6">
        <w:rPr>
          <w:rFonts w:ascii="Calibri" w:hAnsi="Calibri" w:cs="Calibri"/>
        </w:rPr>
        <w:t xml:space="preserve"> in dogs</w:t>
      </w:r>
      <w:r w:rsidRPr="005C607F">
        <w:rPr>
          <w:rFonts w:ascii="Calibri" w:hAnsi="Calibri" w:cs="Calibri"/>
        </w:rPr>
        <w:t xml:space="preserve"> </w:t>
      </w:r>
      <w:r w:rsidRPr="005C607F">
        <w:rPr>
          <w:rFonts w:ascii="Calibri" w:hAnsi="Calibri" w:cs="Calibri"/>
        </w:rPr>
        <w:fldChar w:fldCharType="begin" w:fldLock="1"/>
      </w:r>
      <w:r w:rsidRPr="005C607F">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mendeley":{"formattedCitation":"(1)","plainTextFormattedCitation":"(1)","previouslyFormattedCitation":"(1)"},"properties":{"noteIndex":0},"schema":"https://github.com/citation-style-language/schema/raw/master/csl-citation.json"}</w:instrText>
      </w:r>
      <w:r w:rsidRPr="005C607F">
        <w:rPr>
          <w:rFonts w:ascii="Calibri" w:hAnsi="Calibri" w:cs="Calibri"/>
        </w:rPr>
        <w:fldChar w:fldCharType="separate"/>
      </w:r>
      <w:r w:rsidRPr="005C607F">
        <w:rPr>
          <w:rFonts w:ascii="Calibri" w:hAnsi="Calibri" w:cs="Calibri"/>
          <w:noProof/>
        </w:rPr>
        <w:t>(1)</w:t>
      </w:r>
      <w:r w:rsidRPr="005C607F">
        <w:rPr>
          <w:rFonts w:ascii="Calibri" w:hAnsi="Calibri" w:cs="Calibri"/>
        </w:rPr>
        <w:fldChar w:fldCharType="end"/>
      </w:r>
      <w:r w:rsidRPr="005C607F">
        <w:rPr>
          <w:rFonts w:ascii="Calibri" w:hAnsi="Calibri" w:cs="Calibri"/>
        </w:rPr>
        <w:t>.</w:t>
      </w:r>
    </w:p>
    <w:p w14:paraId="14FB038D" w14:textId="77777777" w:rsidR="0043070F" w:rsidRPr="005C607F" w:rsidRDefault="0043070F" w:rsidP="00867264">
      <w:pPr>
        <w:spacing w:line="480" w:lineRule="auto"/>
        <w:jc w:val="both"/>
        <w:rPr>
          <w:rFonts w:ascii="Calibri" w:hAnsi="Calibri" w:cs="Calibri"/>
        </w:rPr>
      </w:pPr>
    </w:p>
    <w:p w14:paraId="2AFD5436" w14:textId="7DD19C26" w:rsidR="00444436" w:rsidRDefault="003F61E8" w:rsidP="00867264">
      <w:pPr>
        <w:spacing w:line="480" w:lineRule="auto"/>
        <w:jc w:val="both"/>
        <w:rPr>
          <w:rFonts w:ascii="Calibri" w:hAnsi="Calibri" w:cs="Calibri"/>
        </w:rPr>
      </w:pPr>
      <w:r>
        <w:rPr>
          <w:rFonts w:ascii="Calibri" w:hAnsi="Calibri" w:cs="Calibri"/>
        </w:rPr>
        <w:t xml:space="preserve">Cases </w:t>
      </w:r>
      <w:r w:rsidR="00854E25">
        <w:rPr>
          <w:rFonts w:ascii="Calibri" w:hAnsi="Calibri" w:cs="Calibri"/>
        </w:rPr>
        <w:t>also</w:t>
      </w:r>
      <w:r w:rsidR="00E20DCF">
        <w:rPr>
          <w:rFonts w:ascii="Calibri" w:hAnsi="Calibri" w:cs="Calibri"/>
        </w:rPr>
        <w:t xml:space="preserve"> were</w:t>
      </w:r>
      <w:r w:rsidR="00854E25">
        <w:rPr>
          <w:rFonts w:ascii="Calibri" w:hAnsi="Calibri" w:cs="Calibri"/>
        </w:rPr>
        <w:t xml:space="preserve"> </w:t>
      </w:r>
      <w:r>
        <w:rPr>
          <w:rFonts w:ascii="Calibri" w:hAnsi="Calibri" w:cs="Calibri"/>
        </w:rPr>
        <w:t>divided into</w:t>
      </w:r>
      <w:r w:rsidR="0051329F" w:rsidRPr="005C607F">
        <w:rPr>
          <w:rFonts w:ascii="Calibri" w:hAnsi="Calibri" w:cs="Calibri"/>
        </w:rPr>
        <w:t xml:space="preserve"> </w:t>
      </w:r>
      <w:r w:rsidR="00DB74CF">
        <w:rPr>
          <w:rFonts w:ascii="Calibri" w:hAnsi="Calibri" w:cs="Calibri"/>
        </w:rPr>
        <w:t>3</w:t>
      </w:r>
      <w:r w:rsidR="00DB74CF" w:rsidRPr="005C607F">
        <w:rPr>
          <w:rFonts w:ascii="Calibri" w:hAnsi="Calibri" w:cs="Calibri"/>
        </w:rPr>
        <w:t xml:space="preserve"> </w:t>
      </w:r>
      <w:r w:rsidR="0051329F" w:rsidRPr="005C607F">
        <w:rPr>
          <w:rFonts w:ascii="Calibri" w:hAnsi="Calibri" w:cs="Calibri"/>
        </w:rPr>
        <w:t xml:space="preserve">treatment categories: surgical, medical and no treatment. </w:t>
      </w:r>
      <w:r w:rsidR="00755C8B">
        <w:rPr>
          <w:rFonts w:ascii="Calibri" w:hAnsi="Calibri" w:cs="Calibri"/>
        </w:rPr>
        <w:t xml:space="preserve">Cases included in the surgical group underwent surgical intervention </w:t>
      </w:r>
      <w:r w:rsidR="00661405">
        <w:rPr>
          <w:rFonts w:ascii="Calibri" w:hAnsi="Calibri" w:cs="Calibri"/>
        </w:rPr>
        <w:t>for cholelithiasis</w:t>
      </w:r>
      <w:r w:rsidR="00457F0A">
        <w:rPr>
          <w:rFonts w:ascii="Calibri" w:hAnsi="Calibri" w:cs="Calibri"/>
        </w:rPr>
        <w:t>, c</w:t>
      </w:r>
      <w:r w:rsidR="0051329F" w:rsidRPr="005C607F">
        <w:rPr>
          <w:rFonts w:ascii="Calibri" w:hAnsi="Calibri" w:cs="Calibri"/>
        </w:rPr>
        <w:t xml:space="preserve">ases in the medical group all received UDCA </w:t>
      </w:r>
      <w:r w:rsidR="00BE7AAF" w:rsidRPr="005C607F">
        <w:rPr>
          <w:rFonts w:ascii="Calibri" w:hAnsi="Calibri" w:cs="Calibri"/>
        </w:rPr>
        <w:t xml:space="preserve">(Destolit, Norgine, UK) </w:t>
      </w:r>
      <w:r w:rsidR="0051329F" w:rsidRPr="005C607F">
        <w:rPr>
          <w:rFonts w:ascii="Calibri" w:hAnsi="Calibri" w:cs="Calibri"/>
        </w:rPr>
        <w:t xml:space="preserve">without </w:t>
      </w:r>
      <w:r w:rsidR="0051329F" w:rsidRPr="003451B4">
        <w:rPr>
          <w:rFonts w:ascii="Calibri" w:hAnsi="Calibri" w:cs="Calibri"/>
        </w:rPr>
        <w:t>s</w:t>
      </w:r>
      <w:r w:rsidR="0051329F" w:rsidRPr="005C607F">
        <w:rPr>
          <w:rFonts w:ascii="Calibri" w:hAnsi="Calibri" w:cs="Calibri"/>
        </w:rPr>
        <w:t>urgical intervention for cholelithiasi</w:t>
      </w:r>
      <w:r>
        <w:rPr>
          <w:rFonts w:ascii="Calibri" w:hAnsi="Calibri" w:cs="Calibri"/>
        </w:rPr>
        <w:t>s</w:t>
      </w:r>
      <w:r w:rsidR="0051329F" w:rsidRPr="005C607F">
        <w:rPr>
          <w:rFonts w:ascii="Calibri" w:hAnsi="Calibri" w:cs="Calibri"/>
        </w:rPr>
        <w:t xml:space="preserve"> and cases in the no treatment group </w:t>
      </w:r>
      <w:r w:rsidR="009E0FFF">
        <w:rPr>
          <w:rFonts w:ascii="Calibri" w:hAnsi="Calibri" w:cs="Calibri"/>
        </w:rPr>
        <w:t>did not receive</w:t>
      </w:r>
      <w:r w:rsidR="009E0FFF" w:rsidRPr="005C607F">
        <w:rPr>
          <w:rFonts w:ascii="Calibri" w:hAnsi="Calibri" w:cs="Calibri"/>
        </w:rPr>
        <w:t xml:space="preserve"> </w:t>
      </w:r>
      <w:r w:rsidR="00F6392E">
        <w:rPr>
          <w:rFonts w:ascii="Calibri" w:hAnsi="Calibri" w:cs="Calibri"/>
        </w:rPr>
        <w:t>any specific treatment for cholelithiasis</w:t>
      </w:r>
      <w:r w:rsidR="0051329F" w:rsidRPr="007D3543">
        <w:rPr>
          <w:rFonts w:ascii="Calibri" w:hAnsi="Calibri" w:cs="Calibri"/>
        </w:rPr>
        <w:t>.</w:t>
      </w:r>
      <w:r w:rsidR="002F5CB3" w:rsidRPr="00162A4B">
        <w:rPr>
          <w:rFonts w:ascii="Calibri" w:hAnsi="Calibri" w:cs="Calibri"/>
        </w:rPr>
        <w:t xml:space="preserve"> </w:t>
      </w:r>
      <w:r w:rsidR="0073016E" w:rsidRPr="009011CC">
        <w:rPr>
          <w:rFonts w:ascii="Calibri" w:hAnsi="Calibri" w:cs="Calibri"/>
        </w:rPr>
        <w:t xml:space="preserve">One case </w:t>
      </w:r>
      <w:r w:rsidR="00AB00A0">
        <w:rPr>
          <w:rFonts w:ascii="Calibri" w:hAnsi="Calibri" w:cs="Calibri"/>
        </w:rPr>
        <w:t>reported here also</w:t>
      </w:r>
      <w:r w:rsidR="0073016E" w:rsidRPr="009011CC">
        <w:rPr>
          <w:rFonts w:ascii="Calibri" w:hAnsi="Calibri" w:cs="Calibri"/>
        </w:rPr>
        <w:t xml:space="preserve"> has been described in a case report, whereas the </w:t>
      </w:r>
      <w:r w:rsidR="00226C51" w:rsidRPr="009011CC">
        <w:rPr>
          <w:rFonts w:ascii="Calibri" w:hAnsi="Calibri" w:cs="Calibri"/>
        </w:rPr>
        <w:t>re</w:t>
      </w:r>
      <w:r w:rsidR="00226C51">
        <w:rPr>
          <w:rFonts w:ascii="Calibri" w:hAnsi="Calibri" w:cs="Calibri"/>
        </w:rPr>
        <w:t>mainder have n</w:t>
      </w:r>
      <w:r w:rsidR="00615C7A">
        <w:rPr>
          <w:rFonts w:ascii="Calibri" w:hAnsi="Calibri" w:cs="Calibri"/>
        </w:rPr>
        <w:t>ot</w:t>
      </w:r>
      <w:r w:rsidR="00226C51">
        <w:rPr>
          <w:rFonts w:ascii="Calibri" w:hAnsi="Calibri" w:cs="Calibri"/>
        </w:rPr>
        <w:t xml:space="preserve"> been reported</w:t>
      </w:r>
      <w:r w:rsidR="00AB00A0">
        <w:rPr>
          <w:rFonts w:ascii="Calibri" w:hAnsi="Calibri" w:cs="Calibri"/>
        </w:rPr>
        <w:t xml:space="preserve"> previously</w:t>
      </w:r>
      <w:r w:rsidR="00226C51" w:rsidRPr="009011CC">
        <w:rPr>
          <w:rFonts w:ascii="Calibri" w:hAnsi="Calibri" w:cs="Calibri"/>
        </w:rPr>
        <w:t xml:space="preserve"> </w:t>
      </w:r>
      <w:r w:rsidR="0073016E" w:rsidRPr="006F7887">
        <w:rPr>
          <w:rFonts w:ascii="Calibri" w:hAnsi="Calibri" w:cs="Calibri"/>
        </w:rPr>
        <w:fldChar w:fldCharType="begin" w:fldLock="1"/>
      </w:r>
      <w:r w:rsidR="0073016E" w:rsidRPr="006F7887">
        <w:rPr>
          <w:rFonts w:ascii="Calibri" w:hAnsi="Calibri" w:cs="Calibri"/>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mendeley":{"formattedCitation":"(5)","plainTextFormattedCitation":"(5)","previouslyFormattedCitation":"(5)"},"properties":{"noteIndex":0},"schema":"https://github.com/citation-style-language/schema/raw/master/csl-citation.json"}</w:instrText>
      </w:r>
      <w:r w:rsidR="0073016E" w:rsidRPr="006F7887">
        <w:rPr>
          <w:rFonts w:ascii="Calibri" w:hAnsi="Calibri" w:cs="Calibri"/>
        </w:rPr>
        <w:fldChar w:fldCharType="separate"/>
      </w:r>
      <w:r w:rsidR="0073016E" w:rsidRPr="006F7887">
        <w:rPr>
          <w:rFonts w:ascii="Calibri" w:hAnsi="Calibri" w:cs="Calibri"/>
          <w:noProof/>
        </w:rPr>
        <w:t>(5)</w:t>
      </w:r>
      <w:r w:rsidR="0073016E" w:rsidRPr="006F7887">
        <w:rPr>
          <w:rFonts w:ascii="Calibri" w:hAnsi="Calibri" w:cs="Calibri"/>
        </w:rPr>
        <w:fldChar w:fldCharType="end"/>
      </w:r>
      <w:r w:rsidR="0073016E" w:rsidRPr="006F7887">
        <w:rPr>
          <w:rFonts w:ascii="Calibri" w:hAnsi="Calibri" w:cs="Calibri"/>
        </w:rPr>
        <w:t>.</w:t>
      </w:r>
      <w:r w:rsidR="004369A8">
        <w:rPr>
          <w:rFonts w:ascii="Calibri" w:hAnsi="Calibri" w:cs="Calibri"/>
        </w:rPr>
        <w:t xml:space="preserve"> </w:t>
      </w:r>
    </w:p>
    <w:p w14:paraId="71CCB424" w14:textId="77777777" w:rsidR="00372E7A" w:rsidRPr="00682B04" w:rsidRDefault="00372E7A" w:rsidP="00867264">
      <w:pPr>
        <w:spacing w:line="480" w:lineRule="auto"/>
        <w:jc w:val="both"/>
        <w:rPr>
          <w:rFonts w:ascii="Calibri" w:hAnsi="Calibri" w:cs="Calibri"/>
        </w:rPr>
      </w:pPr>
    </w:p>
    <w:p w14:paraId="790B5BCC" w14:textId="3B7537D3" w:rsidR="000F4174" w:rsidRPr="005C607F" w:rsidRDefault="000F4174" w:rsidP="00867264">
      <w:pPr>
        <w:spacing w:line="480" w:lineRule="auto"/>
        <w:jc w:val="both"/>
        <w:rPr>
          <w:rFonts w:ascii="Calibri" w:hAnsi="Calibri" w:cs="Calibri"/>
          <w:b/>
          <w:bCs/>
        </w:rPr>
      </w:pPr>
      <w:r w:rsidRPr="005C607F">
        <w:rPr>
          <w:rFonts w:ascii="Calibri" w:hAnsi="Calibri" w:cs="Calibri"/>
          <w:b/>
          <w:bCs/>
        </w:rPr>
        <w:t>Statistic</w:t>
      </w:r>
      <w:r w:rsidR="00215F32" w:rsidRPr="005C607F">
        <w:rPr>
          <w:rFonts w:ascii="Calibri" w:hAnsi="Calibri" w:cs="Calibri"/>
          <w:b/>
          <w:bCs/>
        </w:rPr>
        <w:t>al analysis</w:t>
      </w:r>
    </w:p>
    <w:p w14:paraId="7325B238" w14:textId="6D6053E4" w:rsidR="002C57D9" w:rsidRPr="005C607F" w:rsidRDefault="002C57D9" w:rsidP="00867264">
      <w:pPr>
        <w:spacing w:line="480" w:lineRule="auto"/>
        <w:jc w:val="both"/>
        <w:rPr>
          <w:rFonts w:ascii="Calibri" w:hAnsi="Calibri" w:cs="Calibri"/>
        </w:rPr>
      </w:pPr>
      <w:r w:rsidRPr="005C607F">
        <w:rPr>
          <w:rFonts w:ascii="Calibri" w:hAnsi="Calibri" w:cs="Calibri"/>
        </w:rPr>
        <w:t>Categorical data were anonymi</w:t>
      </w:r>
      <w:r w:rsidR="001500D8">
        <w:rPr>
          <w:rFonts w:ascii="Calibri" w:hAnsi="Calibri" w:cs="Calibri"/>
        </w:rPr>
        <w:t>z</w:t>
      </w:r>
      <w:r w:rsidRPr="005C607F">
        <w:rPr>
          <w:rFonts w:ascii="Calibri" w:hAnsi="Calibri" w:cs="Calibri"/>
        </w:rPr>
        <w:t xml:space="preserve">ed and recorded, with each category presented descriptively. Continuous data (including age in </w:t>
      </w:r>
      <w:r w:rsidR="004D118B">
        <w:rPr>
          <w:rFonts w:ascii="Calibri" w:hAnsi="Calibri" w:cs="Calibri"/>
        </w:rPr>
        <w:t>year</w:t>
      </w:r>
      <w:r w:rsidRPr="005C607F">
        <w:rPr>
          <w:rFonts w:ascii="Calibri" w:hAnsi="Calibri" w:cs="Calibri"/>
        </w:rPr>
        <w:t xml:space="preserve">s, </w:t>
      </w:r>
      <w:r w:rsidR="00C80D52">
        <w:rPr>
          <w:rFonts w:ascii="Calibri" w:hAnsi="Calibri" w:cs="Calibri"/>
        </w:rPr>
        <w:t xml:space="preserve">CBC and </w:t>
      </w:r>
      <w:r w:rsidRPr="005C607F">
        <w:rPr>
          <w:rFonts w:ascii="Calibri" w:hAnsi="Calibri" w:cs="Calibri"/>
        </w:rPr>
        <w:t xml:space="preserve">blood biochemistry results, treatment doses and </w:t>
      </w:r>
      <w:r w:rsidR="00F47EDD" w:rsidRPr="005C607F">
        <w:rPr>
          <w:rFonts w:ascii="Calibri" w:hAnsi="Calibri" w:cs="Calibri"/>
        </w:rPr>
        <w:t xml:space="preserve">duration) </w:t>
      </w:r>
      <w:r w:rsidR="002F022A">
        <w:rPr>
          <w:rFonts w:ascii="Calibri" w:hAnsi="Calibri" w:cs="Calibri"/>
        </w:rPr>
        <w:t xml:space="preserve">were recorded </w:t>
      </w:r>
      <w:r w:rsidR="00F47EDD" w:rsidRPr="005C607F">
        <w:rPr>
          <w:rFonts w:ascii="Calibri" w:hAnsi="Calibri" w:cs="Calibri"/>
        </w:rPr>
        <w:t>and</w:t>
      </w:r>
      <w:r w:rsidRPr="005C607F">
        <w:rPr>
          <w:rFonts w:ascii="Calibri" w:hAnsi="Calibri" w:cs="Calibri"/>
        </w:rPr>
        <w:t xml:space="preserve"> values for median and range were calculated for each </w:t>
      </w:r>
      <w:r w:rsidR="007F34A3">
        <w:rPr>
          <w:rFonts w:ascii="Calibri" w:hAnsi="Calibri" w:cs="Calibri"/>
        </w:rPr>
        <w:t>variable</w:t>
      </w:r>
      <w:r w:rsidRPr="005C607F">
        <w:rPr>
          <w:rFonts w:ascii="Calibri" w:hAnsi="Calibri" w:cs="Calibri"/>
        </w:rPr>
        <w:t xml:space="preserve">. </w:t>
      </w:r>
    </w:p>
    <w:p w14:paraId="08330C9A" w14:textId="15FC93DC" w:rsidR="002C57D9" w:rsidRPr="005C607F" w:rsidRDefault="007F34A3" w:rsidP="00867264">
      <w:pPr>
        <w:spacing w:line="480" w:lineRule="auto"/>
        <w:jc w:val="both"/>
        <w:rPr>
          <w:rFonts w:ascii="Calibri" w:hAnsi="Calibri" w:cs="Calibri"/>
        </w:rPr>
      </w:pPr>
      <w:r>
        <w:rPr>
          <w:rFonts w:ascii="Calibri" w:hAnsi="Calibri" w:cs="Calibri"/>
        </w:rPr>
        <w:t>Because</w:t>
      </w:r>
      <w:r w:rsidR="002C57D9" w:rsidRPr="005C607F">
        <w:rPr>
          <w:rFonts w:ascii="Calibri" w:hAnsi="Calibri" w:cs="Calibri"/>
        </w:rPr>
        <w:t xml:space="preserve"> both groups consisted of</w:t>
      </w:r>
      <w:r w:rsidR="00EE713D">
        <w:rPr>
          <w:rFonts w:ascii="Calibri" w:hAnsi="Calibri" w:cs="Calibri"/>
        </w:rPr>
        <w:t xml:space="preserve"> ≤ </w:t>
      </w:r>
      <w:r w:rsidR="002C57D9" w:rsidRPr="005C607F">
        <w:rPr>
          <w:rFonts w:ascii="Calibri" w:hAnsi="Calibri" w:cs="Calibri"/>
        </w:rPr>
        <w:t xml:space="preserve">20 cases, non-parametric </w:t>
      </w:r>
      <w:r w:rsidR="00EE713D">
        <w:rPr>
          <w:rFonts w:ascii="Calibri" w:hAnsi="Calibri" w:cs="Calibri"/>
        </w:rPr>
        <w:t>2</w:t>
      </w:r>
      <w:r w:rsidR="002C57D9" w:rsidRPr="005C607F">
        <w:rPr>
          <w:rFonts w:ascii="Calibri" w:hAnsi="Calibri" w:cs="Calibri"/>
        </w:rPr>
        <w:t xml:space="preserve">-tailed Mann-Whitney u-tests were performed to compare </w:t>
      </w:r>
      <w:r w:rsidR="00563329">
        <w:rPr>
          <w:rFonts w:ascii="Calibri" w:hAnsi="Calibri" w:cs="Calibri"/>
        </w:rPr>
        <w:t xml:space="preserve">age, CBC and blood biochemistry </w:t>
      </w:r>
      <w:r w:rsidR="00EE713D">
        <w:rPr>
          <w:rFonts w:ascii="Calibri" w:hAnsi="Calibri" w:cs="Calibri"/>
        </w:rPr>
        <w:t>variables</w:t>
      </w:r>
      <w:r w:rsidR="00EE713D" w:rsidRPr="005C607F">
        <w:rPr>
          <w:rFonts w:ascii="Calibri" w:hAnsi="Calibri" w:cs="Calibri"/>
        </w:rPr>
        <w:t xml:space="preserve"> </w:t>
      </w:r>
      <w:r w:rsidR="002C57D9" w:rsidRPr="005C607F">
        <w:rPr>
          <w:rFonts w:ascii="Calibri" w:hAnsi="Calibri" w:cs="Calibri"/>
        </w:rPr>
        <w:t xml:space="preserve">between </w:t>
      </w:r>
      <w:r w:rsidR="00615B07">
        <w:rPr>
          <w:rFonts w:ascii="Calibri" w:hAnsi="Calibri" w:cs="Calibri"/>
        </w:rPr>
        <w:t>symptomatic</w:t>
      </w:r>
      <w:r w:rsidR="002C57D9" w:rsidRPr="005C607F">
        <w:rPr>
          <w:rFonts w:ascii="Calibri" w:hAnsi="Calibri" w:cs="Calibri"/>
        </w:rPr>
        <w:t xml:space="preserve"> and incidental groups. </w:t>
      </w:r>
      <w:r w:rsidR="001B6E6D">
        <w:rPr>
          <w:rFonts w:ascii="Calibri" w:hAnsi="Calibri" w:cs="Calibri"/>
        </w:rPr>
        <w:t xml:space="preserve">Proportions of dogs with choledocholiths were compared between symptomatic and incidental groups </w:t>
      </w:r>
      <w:r w:rsidR="00A063BF">
        <w:rPr>
          <w:rFonts w:ascii="Calibri" w:hAnsi="Calibri" w:cs="Calibri"/>
        </w:rPr>
        <w:t xml:space="preserve">using </w:t>
      </w:r>
      <w:r w:rsidR="001B6E6D">
        <w:rPr>
          <w:rFonts w:ascii="Calibri" w:hAnsi="Calibri" w:cs="Calibri"/>
        </w:rPr>
        <w:t xml:space="preserve">Chi-squared tests with Yates correction. </w:t>
      </w:r>
      <w:r w:rsidR="002C57D9" w:rsidRPr="005C607F">
        <w:rPr>
          <w:rFonts w:ascii="Calibri" w:hAnsi="Calibri" w:cs="Calibri"/>
        </w:rPr>
        <w:t>Data regarding location</w:t>
      </w:r>
      <w:r w:rsidR="00CF78BE">
        <w:rPr>
          <w:rFonts w:ascii="Calibri" w:hAnsi="Calibri" w:cs="Calibri"/>
        </w:rPr>
        <w:t>, number and radiopacity</w:t>
      </w:r>
      <w:r w:rsidR="002C57D9" w:rsidRPr="005C607F">
        <w:rPr>
          <w:rFonts w:ascii="Calibri" w:hAnsi="Calibri" w:cs="Calibri"/>
        </w:rPr>
        <w:t xml:space="preserve"> of</w:t>
      </w:r>
      <w:r w:rsidR="009739BF">
        <w:rPr>
          <w:rFonts w:ascii="Calibri" w:hAnsi="Calibri" w:cs="Calibri"/>
        </w:rPr>
        <w:t xml:space="preserve"> choleliths, </w:t>
      </w:r>
      <w:r w:rsidR="002C57D9" w:rsidRPr="005C607F">
        <w:rPr>
          <w:rFonts w:ascii="Calibri" w:hAnsi="Calibri" w:cs="Calibri"/>
        </w:rPr>
        <w:t>breed</w:t>
      </w:r>
      <w:r w:rsidR="00BB3DE1">
        <w:rPr>
          <w:rFonts w:ascii="Calibri" w:hAnsi="Calibri" w:cs="Calibri"/>
        </w:rPr>
        <w:t>,</w:t>
      </w:r>
      <w:r w:rsidR="002C57D9" w:rsidRPr="005C607F">
        <w:rPr>
          <w:rFonts w:ascii="Calibri" w:hAnsi="Calibri" w:cs="Calibri"/>
        </w:rPr>
        <w:t xml:space="preserve"> and neuter status </w:t>
      </w:r>
      <w:r w:rsidR="009E0FFF">
        <w:rPr>
          <w:rFonts w:ascii="Calibri" w:hAnsi="Calibri" w:cs="Calibri"/>
        </w:rPr>
        <w:t>w</w:t>
      </w:r>
      <w:r w:rsidR="00854E25">
        <w:rPr>
          <w:rFonts w:ascii="Calibri" w:hAnsi="Calibri" w:cs="Calibri"/>
        </w:rPr>
        <w:t>ere</w:t>
      </w:r>
      <w:r w:rsidR="002C57D9" w:rsidRPr="005C607F">
        <w:rPr>
          <w:rFonts w:ascii="Calibri" w:hAnsi="Calibri" w:cs="Calibri"/>
        </w:rPr>
        <w:t xml:space="preserve"> presented descriptively.   </w:t>
      </w:r>
    </w:p>
    <w:p w14:paraId="65F05F3B" w14:textId="31F5D85B" w:rsidR="00C36C61" w:rsidRDefault="00BC26F5" w:rsidP="00867264">
      <w:pPr>
        <w:spacing w:line="480" w:lineRule="auto"/>
        <w:jc w:val="both"/>
        <w:rPr>
          <w:rFonts w:ascii="Calibri" w:hAnsi="Calibri" w:cs="Calibri"/>
        </w:rPr>
      </w:pPr>
      <w:r>
        <w:rPr>
          <w:rFonts w:ascii="Calibri" w:hAnsi="Calibri" w:cs="Calibri"/>
        </w:rPr>
        <w:lastRenderedPageBreak/>
        <w:t>Age</w:t>
      </w:r>
      <w:r w:rsidR="00854E25" w:rsidRPr="005C607F">
        <w:rPr>
          <w:rFonts w:ascii="Calibri" w:hAnsi="Calibri" w:cs="Calibri"/>
        </w:rPr>
        <w:t xml:space="preserve">, </w:t>
      </w:r>
      <w:r w:rsidR="00C36C61" w:rsidRPr="005C607F">
        <w:rPr>
          <w:rFonts w:ascii="Calibri" w:hAnsi="Calibri" w:cs="Calibri"/>
        </w:rPr>
        <w:t>breed and neuter status</w:t>
      </w:r>
      <w:r w:rsidR="00C36C61">
        <w:rPr>
          <w:rFonts w:ascii="Calibri" w:hAnsi="Calibri" w:cs="Calibri"/>
        </w:rPr>
        <w:t xml:space="preserve">, </w:t>
      </w:r>
      <w:r w:rsidR="00854E25">
        <w:rPr>
          <w:rFonts w:ascii="Calibri" w:hAnsi="Calibri" w:cs="Calibri"/>
        </w:rPr>
        <w:t>CBC and</w:t>
      </w:r>
      <w:r w:rsidR="00854E25" w:rsidRPr="005C607F">
        <w:rPr>
          <w:rFonts w:ascii="Calibri" w:hAnsi="Calibri" w:cs="Calibri"/>
        </w:rPr>
        <w:t xml:space="preserve"> biochemistry results, treatment doses and duration</w:t>
      </w:r>
      <w:r w:rsidR="00854E25">
        <w:rPr>
          <w:rFonts w:ascii="Calibri" w:hAnsi="Calibri" w:cs="Calibri"/>
        </w:rPr>
        <w:t>,</w:t>
      </w:r>
      <w:r w:rsidR="00854E25" w:rsidRPr="005C607F">
        <w:rPr>
          <w:rFonts w:ascii="Calibri" w:hAnsi="Calibri" w:cs="Calibri"/>
        </w:rPr>
        <w:t xml:space="preserve"> location</w:t>
      </w:r>
      <w:r w:rsidR="00854E25">
        <w:rPr>
          <w:rFonts w:ascii="Calibri" w:hAnsi="Calibri" w:cs="Calibri"/>
        </w:rPr>
        <w:t xml:space="preserve"> and number of choleliths</w:t>
      </w:r>
      <w:r w:rsidR="00C1722C">
        <w:rPr>
          <w:rFonts w:ascii="Calibri" w:hAnsi="Calibri" w:cs="Calibri"/>
        </w:rPr>
        <w:t>,</w:t>
      </w:r>
      <w:r w:rsidR="00854E25">
        <w:rPr>
          <w:rFonts w:ascii="Calibri" w:hAnsi="Calibri" w:cs="Calibri"/>
        </w:rPr>
        <w:t xml:space="preserve"> radiopacity</w:t>
      </w:r>
      <w:r w:rsidR="00854E25" w:rsidRPr="005C607F">
        <w:rPr>
          <w:rFonts w:ascii="Calibri" w:hAnsi="Calibri" w:cs="Calibri"/>
        </w:rPr>
        <w:t xml:space="preserve"> of</w:t>
      </w:r>
      <w:r w:rsidR="00854E25">
        <w:rPr>
          <w:rFonts w:ascii="Calibri" w:hAnsi="Calibri" w:cs="Calibri"/>
        </w:rPr>
        <w:t xml:space="preserve"> choleliths</w:t>
      </w:r>
      <w:r w:rsidR="00FE6DE2">
        <w:rPr>
          <w:rFonts w:ascii="Calibri" w:hAnsi="Calibri" w:cs="Calibri"/>
        </w:rPr>
        <w:t>,</w:t>
      </w:r>
      <w:r w:rsidR="00854E25">
        <w:rPr>
          <w:rFonts w:ascii="Calibri" w:hAnsi="Calibri" w:cs="Calibri"/>
        </w:rPr>
        <w:t xml:space="preserve"> </w:t>
      </w:r>
      <w:r w:rsidR="00C1722C" w:rsidRPr="005C607F">
        <w:rPr>
          <w:rFonts w:ascii="Calibri" w:hAnsi="Calibri" w:cs="Calibri"/>
        </w:rPr>
        <w:t xml:space="preserve">and </w:t>
      </w:r>
      <w:r w:rsidR="00C1722C">
        <w:rPr>
          <w:rFonts w:ascii="Calibri" w:hAnsi="Calibri" w:cs="Calibri"/>
        </w:rPr>
        <w:t xml:space="preserve">ultrasonographic </w:t>
      </w:r>
      <w:r w:rsidR="00C1722C" w:rsidRPr="005C607F">
        <w:rPr>
          <w:rFonts w:ascii="Calibri" w:hAnsi="Calibri" w:cs="Calibri"/>
        </w:rPr>
        <w:t>progression of cholelith</w:t>
      </w:r>
      <w:r w:rsidR="00C1722C">
        <w:rPr>
          <w:rFonts w:ascii="Calibri" w:hAnsi="Calibri" w:cs="Calibri"/>
        </w:rPr>
        <w:t>iasis</w:t>
      </w:r>
      <w:r w:rsidR="00C1722C" w:rsidRPr="005C607F">
        <w:rPr>
          <w:rFonts w:ascii="Calibri" w:hAnsi="Calibri" w:cs="Calibri"/>
        </w:rPr>
        <w:t xml:space="preserve"> at follow-up </w:t>
      </w:r>
      <w:r w:rsidR="00854E25" w:rsidRPr="00C36C61">
        <w:rPr>
          <w:rFonts w:ascii="Calibri" w:hAnsi="Calibri" w:cs="Calibri"/>
        </w:rPr>
        <w:t xml:space="preserve">for each treatment group </w:t>
      </w:r>
      <w:r w:rsidR="009E333B">
        <w:rPr>
          <w:rFonts w:ascii="Calibri" w:hAnsi="Calibri" w:cs="Calibri"/>
        </w:rPr>
        <w:t>we</w:t>
      </w:r>
      <w:r w:rsidR="00EC53E9">
        <w:rPr>
          <w:rFonts w:ascii="Calibri" w:hAnsi="Calibri" w:cs="Calibri"/>
        </w:rPr>
        <w:t>re</w:t>
      </w:r>
      <w:r w:rsidR="00854E25" w:rsidRPr="00C36C61">
        <w:rPr>
          <w:rFonts w:ascii="Calibri" w:hAnsi="Calibri" w:cs="Calibri"/>
        </w:rPr>
        <w:t xml:space="preserve"> presented descriptively</w:t>
      </w:r>
      <w:r w:rsidR="00C636D2" w:rsidRPr="00C36C61">
        <w:rPr>
          <w:rFonts w:ascii="Calibri" w:hAnsi="Calibri" w:cs="Calibri"/>
        </w:rPr>
        <w:t>.</w:t>
      </w:r>
      <w:r w:rsidR="00C636D2" w:rsidRPr="005C607F">
        <w:rPr>
          <w:rFonts w:ascii="Calibri" w:hAnsi="Calibri" w:cs="Calibri"/>
        </w:rPr>
        <w:t xml:space="preserve"> </w:t>
      </w:r>
    </w:p>
    <w:p w14:paraId="56B83646" w14:textId="65CE3C0B" w:rsidR="00DC4DF4" w:rsidRPr="005C607F" w:rsidRDefault="00C05E64" w:rsidP="00867264">
      <w:pPr>
        <w:spacing w:line="480" w:lineRule="auto"/>
        <w:jc w:val="both"/>
        <w:rPr>
          <w:rFonts w:ascii="Calibri" w:hAnsi="Calibri" w:cs="Calibri"/>
        </w:rPr>
      </w:pPr>
      <w:r>
        <w:rPr>
          <w:rFonts w:ascii="Calibri" w:hAnsi="Calibri" w:cs="Calibri"/>
        </w:rPr>
        <w:t xml:space="preserve">The </w:t>
      </w:r>
      <w:r w:rsidR="00A275EA" w:rsidRPr="005C607F">
        <w:rPr>
          <w:rFonts w:ascii="Calibri" w:hAnsi="Calibri" w:cs="Calibri"/>
        </w:rPr>
        <w:t xml:space="preserve">Kaplan-Meier method was used to </w:t>
      </w:r>
      <w:r w:rsidR="00651BBB" w:rsidRPr="005C607F">
        <w:rPr>
          <w:rFonts w:ascii="Calibri" w:hAnsi="Calibri" w:cs="Calibri"/>
        </w:rPr>
        <w:t>calculate</w:t>
      </w:r>
      <w:r w:rsidR="00A275EA" w:rsidRPr="005C607F">
        <w:rPr>
          <w:rFonts w:ascii="Calibri" w:hAnsi="Calibri" w:cs="Calibri"/>
        </w:rPr>
        <w:t xml:space="preserve"> survival curves from observed survival times and a</w:t>
      </w:r>
      <w:r w:rsidR="002C57D9" w:rsidRPr="005C607F">
        <w:rPr>
          <w:rFonts w:ascii="Calibri" w:hAnsi="Calibri" w:cs="Calibri"/>
        </w:rPr>
        <w:t xml:space="preserve"> log rank test was </w:t>
      </w:r>
      <w:r w:rsidR="00E251CD">
        <w:rPr>
          <w:rFonts w:ascii="Calibri" w:hAnsi="Calibri" w:cs="Calibri"/>
        </w:rPr>
        <w:t>performed</w:t>
      </w:r>
      <w:r w:rsidR="00E251CD" w:rsidRPr="005C607F">
        <w:rPr>
          <w:rFonts w:ascii="Calibri" w:hAnsi="Calibri" w:cs="Calibri"/>
        </w:rPr>
        <w:t xml:space="preserve"> </w:t>
      </w:r>
      <w:r w:rsidR="002C57D9" w:rsidRPr="005C607F">
        <w:rPr>
          <w:rFonts w:ascii="Calibri" w:hAnsi="Calibri" w:cs="Calibri"/>
        </w:rPr>
        <w:t xml:space="preserve">to determine if differences in survival distribution </w:t>
      </w:r>
      <w:r w:rsidR="00DC43A3">
        <w:rPr>
          <w:rFonts w:ascii="Calibri" w:hAnsi="Calibri" w:cs="Calibri"/>
        </w:rPr>
        <w:t xml:space="preserve">existed </w:t>
      </w:r>
      <w:r w:rsidR="002C57D9" w:rsidRPr="005C607F">
        <w:rPr>
          <w:rFonts w:ascii="Calibri" w:hAnsi="Calibri" w:cs="Calibri"/>
        </w:rPr>
        <w:t xml:space="preserve">between </w:t>
      </w:r>
      <w:r w:rsidR="00615B07">
        <w:rPr>
          <w:rFonts w:ascii="Calibri" w:hAnsi="Calibri" w:cs="Calibri"/>
        </w:rPr>
        <w:t xml:space="preserve">symptomatic and incidental </w:t>
      </w:r>
      <w:r w:rsidR="00BC26F5">
        <w:rPr>
          <w:rFonts w:ascii="Calibri" w:hAnsi="Calibri" w:cs="Calibri"/>
        </w:rPr>
        <w:t>case</w:t>
      </w:r>
      <w:r w:rsidR="00C36C61">
        <w:rPr>
          <w:rFonts w:ascii="Calibri" w:hAnsi="Calibri" w:cs="Calibri"/>
        </w:rPr>
        <w:t>s</w:t>
      </w:r>
      <w:r w:rsidR="002C57D9" w:rsidRPr="005C607F">
        <w:rPr>
          <w:rFonts w:ascii="Calibri" w:hAnsi="Calibri" w:cs="Calibri"/>
        </w:rPr>
        <w:t xml:space="preserve">. All statistical analyses were performed </w:t>
      </w:r>
      <w:r w:rsidR="00DC43A3">
        <w:rPr>
          <w:rFonts w:ascii="Calibri" w:hAnsi="Calibri" w:cs="Calibri"/>
        </w:rPr>
        <w:t>using</w:t>
      </w:r>
      <w:r w:rsidR="00DC43A3" w:rsidRPr="005C607F">
        <w:rPr>
          <w:rFonts w:ascii="Calibri" w:hAnsi="Calibri" w:cs="Calibri"/>
        </w:rPr>
        <w:t xml:space="preserve"> </w:t>
      </w:r>
      <w:r w:rsidR="002C57D9" w:rsidRPr="005C607F">
        <w:rPr>
          <w:rFonts w:ascii="Calibri" w:hAnsi="Calibri" w:cs="Calibri"/>
        </w:rPr>
        <w:t>SPSS v</w:t>
      </w:r>
      <w:r w:rsidR="00483381" w:rsidRPr="005C607F">
        <w:rPr>
          <w:rFonts w:ascii="Calibri" w:hAnsi="Calibri" w:cs="Calibri"/>
        </w:rPr>
        <w:t xml:space="preserve">ersion </w:t>
      </w:r>
      <w:r w:rsidR="002C57D9" w:rsidRPr="005C607F">
        <w:rPr>
          <w:rFonts w:ascii="Calibri" w:hAnsi="Calibri" w:cs="Calibri"/>
        </w:rPr>
        <w:t xml:space="preserve">26 </w:t>
      </w:r>
      <w:r w:rsidR="001823F7" w:rsidRPr="005C607F">
        <w:rPr>
          <w:rFonts w:ascii="Calibri" w:hAnsi="Calibri" w:cs="Calibri"/>
        </w:rPr>
        <w:t>and Graphpad QuickCalcs</w:t>
      </w:r>
      <w:r w:rsidR="00C34865">
        <w:rPr>
          <w:rFonts w:ascii="Calibri" w:hAnsi="Calibri" w:cs="Calibri"/>
        </w:rPr>
        <w:t>.</w:t>
      </w:r>
      <w:r w:rsidR="002C57D9" w:rsidRPr="005C607F">
        <w:rPr>
          <w:rFonts w:ascii="Calibri" w:hAnsi="Calibri" w:cs="Calibri"/>
        </w:rPr>
        <w:t xml:space="preserve"> </w:t>
      </w:r>
      <w:r w:rsidR="00C34865">
        <w:rPr>
          <w:rFonts w:ascii="Calibri" w:hAnsi="Calibri" w:cs="Calibri"/>
        </w:rPr>
        <w:t>R</w:t>
      </w:r>
      <w:r w:rsidR="002C57D9" w:rsidRPr="005C607F">
        <w:rPr>
          <w:rFonts w:ascii="Calibri" w:hAnsi="Calibri" w:cs="Calibri"/>
        </w:rPr>
        <w:t>esults were considered significant if p &lt;.05.</w:t>
      </w:r>
    </w:p>
    <w:p w14:paraId="0A13AC0E" w14:textId="77777777" w:rsidR="0084167B" w:rsidRDefault="0084167B" w:rsidP="00867264">
      <w:pPr>
        <w:spacing w:line="480" w:lineRule="auto"/>
        <w:jc w:val="both"/>
        <w:rPr>
          <w:rFonts w:ascii="Calibri" w:hAnsi="Calibri" w:cs="Calibri"/>
          <w:b/>
          <w:bCs/>
        </w:rPr>
      </w:pPr>
    </w:p>
    <w:p w14:paraId="00CD5DB3" w14:textId="247DC964" w:rsidR="004A0516" w:rsidRPr="002A4263" w:rsidRDefault="006F7F08" w:rsidP="00867264">
      <w:pPr>
        <w:spacing w:line="480" w:lineRule="auto"/>
        <w:jc w:val="both"/>
        <w:rPr>
          <w:rFonts w:ascii="Calibri" w:hAnsi="Calibri" w:cs="Calibri"/>
          <w:b/>
          <w:bCs/>
        </w:rPr>
      </w:pPr>
      <w:r w:rsidRPr="002A4263">
        <w:rPr>
          <w:rFonts w:ascii="Calibri" w:hAnsi="Calibri" w:cs="Calibri"/>
          <w:b/>
          <w:bCs/>
        </w:rPr>
        <w:t>Results</w:t>
      </w:r>
    </w:p>
    <w:p w14:paraId="10E1B10A" w14:textId="58143D26" w:rsidR="003F1843" w:rsidRPr="005C607F" w:rsidRDefault="00AC7BC6" w:rsidP="00867264">
      <w:pPr>
        <w:spacing w:line="480" w:lineRule="auto"/>
        <w:jc w:val="both"/>
        <w:rPr>
          <w:rFonts w:ascii="Calibri" w:hAnsi="Calibri" w:cs="Calibri"/>
          <w:b/>
          <w:bCs/>
        </w:rPr>
      </w:pPr>
      <w:r w:rsidRPr="005C607F">
        <w:rPr>
          <w:rFonts w:ascii="Calibri" w:hAnsi="Calibri" w:cs="Calibri"/>
          <w:b/>
          <w:bCs/>
        </w:rPr>
        <w:t xml:space="preserve">Signalment </w:t>
      </w:r>
    </w:p>
    <w:p w14:paraId="06D5A3E5" w14:textId="33E25AD2" w:rsidR="00291C34" w:rsidRPr="005C607F" w:rsidRDefault="00C67532" w:rsidP="00867264">
      <w:pPr>
        <w:spacing w:line="480" w:lineRule="auto"/>
        <w:jc w:val="both"/>
        <w:rPr>
          <w:rFonts w:ascii="Calibri" w:hAnsi="Calibri" w:cs="Calibri"/>
        </w:rPr>
      </w:pPr>
      <w:r w:rsidRPr="005C607F">
        <w:rPr>
          <w:rFonts w:ascii="Calibri" w:hAnsi="Calibri" w:cs="Calibri"/>
        </w:rPr>
        <w:t>Cholelithiasis w</w:t>
      </w:r>
      <w:r w:rsidR="0049196B">
        <w:rPr>
          <w:rFonts w:ascii="Calibri" w:hAnsi="Calibri" w:cs="Calibri"/>
        </w:rPr>
        <w:t>as</w:t>
      </w:r>
      <w:r w:rsidRPr="005C607F">
        <w:rPr>
          <w:rFonts w:ascii="Calibri" w:hAnsi="Calibri" w:cs="Calibri"/>
        </w:rPr>
        <w:t xml:space="preserve"> identified in 38 </w:t>
      </w:r>
      <w:r w:rsidR="009739BF">
        <w:rPr>
          <w:rFonts w:ascii="Calibri" w:hAnsi="Calibri" w:cs="Calibri"/>
        </w:rPr>
        <w:t>dogs</w:t>
      </w:r>
      <w:r w:rsidRPr="005C607F">
        <w:rPr>
          <w:rFonts w:ascii="Calibri" w:hAnsi="Calibri" w:cs="Calibri"/>
        </w:rPr>
        <w:t xml:space="preserve">. </w:t>
      </w:r>
      <w:r w:rsidR="00B507D0" w:rsidRPr="005C607F">
        <w:rPr>
          <w:rFonts w:ascii="Calibri" w:hAnsi="Calibri" w:cs="Calibri"/>
        </w:rPr>
        <w:t>Th</w:t>
      </w:r>
      <w:r w:rsidR="0095357F">
        <w:rPr>
          <w:rFonts w:ascii="Calibri" w:hAnsi="Calibri" w:cs="Calibri"/>
        </w:rPr>
        <w:t>e</w:t>
      </w:r>
      <w:r w:rsidR="00B507D0" w:rsidRPr="005C607F">
        <w:rPr>
          <w:rFonts w:ascii="Calibri" w:hAnsi="Calibri" w:cs="Calibri"/>
        </w:rPr>
        <w:t>s</w:t>
      </w:r>
      <w:r w:rsidR="0095357F">
        <w:rPr>
          <w:rFonts w:ascii="Calibri" w:hAnsi="Calibri" w:cs="Calibri"/>
        </w:rPr>
        <w:t>e</w:t>
      </w:r>
      <w:r w:rsidR="00B507D0" w:rsidRPr="005C607F">
        <w:rPr>
          <w:rFonts w:ascii="Calibri" w:hAnsi="Calibri" w:cs="Calibri"/>
        </w:rPr>
        <w:t xml:space="preserve"> included 22 breeds </w:t>
      </w:r>
      <w:r w:rsidR="00D80B33">
        <w:rPr>
          <w:rFonts w:ascii="Calibri" w:hAnsi="Calibri" w:cs="Calibri"/>
        </w:rPr>
        <w:t>and 2</w:t>
      </w:r>
      <w:r w:rsidR="00B507D0" w:rsidRPr="005C607F">
        <w:rPr>
          <w:rFonts w:ascii="Calibri" w:hAnsi="Calibri" w:cs="Calibri"/>
        </w:rPr>
        <w:t xml:space="preserve"> mixed-breed dogs. Cavalier King Charles Spaniels (</w:t>
      </w:r>
      <w:r w:rsidR="00D80B33">
        <w:rPr>
          <w:rFonts w:ascii="Calibri" w:hAnsi="Calibri" w:cs="Calibri"/>
        </w:rPr>
        <w:t xml:space="preserve">CKCS; </w:t>
      </w:r>
      <w:r w:rsidR="007F4B1A" w:rsidRPr="005C607F">
        <w:rPr>
          <w:rFonts w:ascii="Calibri" w:hAnsi="Calibri" w:cs="Calibri"/>
        </w:rPr>
        <w:t xml:space="preserve">10.5%, n=4) </w:t>
      </w:r>
      <w:r w:rsidR="00B507D0" w:rsidRPr="005C607F">
        <w:rPr>
          <w:rFonts w:ascii="Calibri" w:hAnsi="Calibri" w:cs="Calibri"/>
        </w:rPr>
        <w:t>were the most commonly identified breed, followed by</w:t>
      </w:r>
      <w:r w:rsidR="007F4B1A" w:rsidRPr="005C607F">
        <w:rPr>
          <w:rFonts w:ascii="Calibri" w:hAnsi="Calibri" w:cs="Calibri"/>
        </w:rPr>
        <w:t xml:space="preserve"> Dachshunds (7.9%, n=3)</w:t>
      </w:r>
      <w:r w:rsidR="000645F4" w:rsidRPr="005C607F">
        <w:rPr>
          <w:rFonts w:ascii="Calibri" w:hAnsi="Calibri" w:cs="Calibri"/>
        </w:rPr>
        <w:t xml:space="preserve">, Jack Russell Terriers (7.9%, n=3), Labradors (7.9%, n=3), Cocker Spaniels (5.2%, n=2), Miniature Schnauzers (5.2%, n=2), </w:t>
      </w:r>
      <w:r w:rsidR="00F228F1" w:rsidRPr="005C607F">
        <w:rPr>
          <w:rFonts w:ascii="Calibri" w:hAnsi="Calibri" w:cs="Calibri"/>
        </w:rPr>
        <w:t xml:space="preserve">Whippets (5.2%, n=2) and Yorkshire Terriers (5.2%, n=2). </w:t>
      </w:r>
    </w:p>
    <w:p w14:paraId="1F9C2B1D" w14:textId="46268895" w:rsidR="00243301" w:rsidRPr="005C607F" w:rsidRDefault="00425441" w:rsidP="00867264">
      <w:pPr>
        <w:spacing w:line="480" w:lineRule="auto"/>
        <w:jc w:val="both"/>
        <w:rPr>
          <w:rFonts w:ascii="Calibri" w:hAnsi="Calibri" w:cs="Calibri"/>
        </w:rPr>
      </w:pPr>
      <w:r>
        <w:rPr>
          <w:rFonts w:ascii="Calibri" w:hAnsi="Calibri" w:cs="Calibri"/>
        </w:rPr>
        <w:t>Sex</w:t>
      </w:r>
      <w:r w:rsidRPr="005C607F">
        <w:rPr>
          <w:rFonts w:ascii="Calibri" w:hAnsi="Calibri" w:cs="Calibri"/>
        </w:rPr>
        <w:t xml:space="preserve"> </w:t>
      </w:r>
      <w:r w:rsidR="00F66572" w:rsidRPr="005C607F">
        <w:rPr>
          <w:rFonts w:ascii="Calibri" w:hAnsi="Calibri" w:cs="Calibri"/>
        </w:rPr>
        <w:t xml:space="preserve">and neuter status were recorded in all cases. </w:t>
      </w:r>
      <w:r w:rsidR="00EB3007">
        <w:rPr>
          <w:rFonts w:ascii="Calibri" w:hAnsi="Calibri" w:cs="Calibri"/>
        </w:rPr>
        <w:t xml:space="preserve">There were </w:t>
      </w:r>
      <w:r w:rsidR="00F66572" w:rsidRPr="005C607F">
        <w:rPr>
          <w:rFonts w:ascii="Calibri" w:hAnsi="Calibri" w:cs="Calibri"/>
        </w:rPr>
        <w:t xml:space="preserve">14 neutered males, 13 neutered females, </w:t>
      </w:r>
      <w:r>
        <w:rPr>
          <w:rFonts w:ascii="Calibri" w:hAnsi="Calibri" w:cs="Calibri"/>
        </w:rPr>
        <w:t>6</w:t>
      </w:r>
      <w:r w:rsidRPr="005C607F">
        <w:rPr>
          <w:rFonts w:ascii="Calibri" w:hAnsi="Calibri" w:cs="Calibri"/>
        </w:rPr>
        <w:t xml:space="preserve"> </w:t>
      </w:r>
      <w:r w:rsidR="0031085D" w:rsidRPr="005C607F">
        <w:rPr>
          <w:rFonts w:ascii="Calibri" w:hAnsi="Calibri" w:cs="Calibri"/>
        </w:rPr>
        <w:t>i</w:t>
      </w:r>
      <w:r>
        <w:rPr>
          <w:rFonts w:ascii="Calibri" w:hAnsi="Calibri" w:cs="Calibri"/>
        </w:rPr>
        <w:t>ntact</w:t>
      </w:r>
      <w:r w:rsidR="0031085D" w:rsidRPr="005C607F">
        <w:rPr>
          <w:rFonts w:ascii="Calibri" w:hAnsi="Calibri" w:cs="Calibri"/>
        </w:rPr>
        <w:t xml:space="preserve"> </w:t>
      </w:r>
      <w:r w:rsidR="00F66572" w:rsidRPr="005C607F">
        <w:rPr>
          <w:rFonts w:ascii="Calibri" w:hAnsi="Calibri" w:cs="Calibri"/>
        </w:rPr>
        <w:t xml:space="preserve">males and </w:t>
      </w:r>
      <w:r w:rsidR="00C8434E">
        <w:rPr>
          <w:rFonts w:ascii="Calibri" w:hAnsi="Calibri" w:cs="Calibri"/>
        </w:rPr>
        <w:t>5 intact</w:t>
      </w:r>
      <w:r w:rsidR="00F66572" w:rsidRPr="005C607F">
        <w:rPr>
          <w:rFonts w:ascii="Calibri" w:hAnsi="Calibri" w:cs="Calibri"/>
        </w:rPr>
        <w:t xml:space="preserve"> females. </w:t>
      </w:r>
      <w:r w:rsidR="002F022A">
        <w:rPr>
          <w:rFonts w:ascii="Calibri" w:hAnsi="Calibri" w:cs="Calibri"/>
        </w:rPr>
        <w:t>Median</w:t>
      </w:r>
      <w:r w:rsidR="00243301" w:rsidRPr="005C607F">
        <w:rPr>
          <w:rFonts w:ascii="Calibri" w:hAnsi="Calibri" w:cs="Calibri"/>
        </w:rPr>
        <w:t xml:space="preserve"> age at diagnosis was 9</w:t>
      </w:r>
      <w:r w:rsidR="00DB6E46" w:rsidRPr="005C607F">
        <w:rPr>
          <w:rFonts w:ascii="Calibri" w:hAnsi="Calibri" w:cs="Calibri"/>
        </w:rPr>
        <w:t>.54 years</w:t>
      </w:r>
      <w:r w:rsidR="004943B4" w:rsidRPr="005C607F">
        <w:rPr>
          <w:rFonts w:ascii="Calibri" w:hAnsi="Calibri" w:cs="Calibri"/>
        </w:rPr>
        <w:t xml:space="preserve"> (range</w:t>
      </w:r>
      <w:r w:rsidR="00D130AF">
        <w:rPr>
          <w:rFonts w:ascii="Calibri" w:hAnsi="Calibri" w:cs="Calibri"/>
        </w:rPr>
        <w:t>,</w:t>
      </w:r>
      <w:r w:rsidR="004943B4" w:rsidRPr="005C607F">
        <w:rPr>
          <w:rFonts w:ascii="Calibri" w:hAnsi="Calibri" w:cs="Calibri"/>
        </w:rPr>
        <w:t xml:space="preserve"> 0.25-12</w:t>
      </w:r>
      <w:r w:rsidR="00D130AF">
        <w:rPr>
          <w:rFonts w:ascii="Calibri" w:hAnsi="Calibri" w:cs="Calibri"/>
        </w:rPr>
        <w:t xml:space="preserve"> </w:t>
      </w:r>
      <w:r w:rsidR="004943B4" w:rsidRPr="005C607F">
        <w:rPr>
          <w:rFonts w:ascii="Calibri" w:hAnsi="Calibri" w:cs="Calibri"/>
        </w:rPr>
        <w:t>y</w:t>
      </w:r>
      <w:r w:rsidR="00D130AF">
        <w:rPr>
          <w:rFonts w:ascii="Calibri" w:hAnsi="Calibri" w:cs="Calibri"/>
        </w:rPr>
        <w:t>ea</w:t>
      </w:r>
      <w:r w:rsidR="004943B4" w:rsidRPr="005C607F">
        <w:rPr>
          <w:rFonts w:ascii="Calibri" w:hAnsi="Calibri" w:cs="Calibri"/>
        </w:rPr>
        <w:t>r</w:t>
      </w:r>
      <w:r w:rsidR="00D130AF">
        <w:rPr>
          <w:rFonts w:ascii="Calibri" w:hAnsi="Calibri" w:cs="Calibri"/>
        </w:rPr>
        <w:t>s</w:t>
      </w:r>
      <w:r w:rsidR="004943B4" w:rsidRPr="005C607F">
        <w:rPr>
          <w:rFonts w:ascii="Calibri" w:hAnsi="Calibri" w:cs="Calibri"/>
        </w:rPr>
        <w:t>).</w:t>
      </w:r>
      <w:r w:rsidR="00243301" w:rsidRPr="005C607F">
        <w:rPr>
          <w:rFonts w:ascii="Calibri" w:hAnsi="Calibri" w:cs="Calibri"/>
        </w:rPr>
        <w:t xml:space="preserve"> </w:t>
      </w:r>
    </w:p>
    <w:p w14:paraId="25355DBC" w14:textId="77777777" w:rsidR="00317942" w:rsidRPr="005C607F" w:rsidRDefault="00317942" w:rsidP="00867264">
      <w:pPr>
        <w:spacing w:line="480" w:lineRule="auto"/>
        <w:jc w:val="both"/>
        <w:rPr>
          <w:rFonts w:ascii="Calibri" w:hAnsi="Calibri" w:cs="Calibri"/>
        </w:rPr>
      </w:pPr>
    </w:p>
    <w:p w14:paraId="0B47931D" w14:textId="5C26D05C" w:rsidR="00317942" w:rsidRPr="005C607F" w:rsidRDefault="00317942" w:rsidP="00867264">
      <w:pPr>
        <w:spacing w:line="480" w:lineRule="auto"/>
        <w:jc w:val="both"/>
        <w:rPr>
          <w:rFonts w:ascii="Calibri" w:hAnsi="Calibri" w:cs="Calibri"/>
          <w:b/>
          <w:bCs/>
        </w:rPr>
      </w:pPr>
      <w:r w:rsidRPr="005C607F">
        <w:rPr>
          <w:rFonts w:ascii="Calibri" w:hAnsi="Calibri" w:cs="Calibri"/>
          <w:b/>
          <w:bCs/>
        </w:rPr>
        <w:t>Clinical presentation</w:t>
      </w:r>
    </w:p>
    <w:p w14:paraId="144EB93A" w14:textId="35225B5D" w:rsidR="003A2F98" w:rsidRPr="005C607F" w:rsidRDefault="00250CA1" w:rsidP="00867264">
      <w:pPr>
        <w:spacing w:line="480" w:lineRule="auto"/>
        <w:jc w:val="both"/>
        <w:rPr>
          <w:rFonts w:ascii="Calibri" w:hAnsi="Calibri" w:cs="Calibri"/>
        </w:rPr>
      </w:pPr>
      <w:r>
        <w:rPr>
          <w:rFonts w:ascii="Calibri" w:hAnsi="Calibri" w:cs="Calibri"/>
        </w:rPr>
        <w:t>Eighteen dogs</w:t>
      </w:r>
      <w:r w:rsidR="003A2F98" w:rsidRPr="005C607F">
        <w:rPr>
          <w:rFonts w:ascii="Calibri" w:hAnsi="Calibri" w:cs="Calibri"/>
        </w:rPr>
        <w:t xml:space="preserve"> </w:t>
      </w:r>
      <w:r w:rsidR="004943B4" w:rsidRPr="005C607F">
        <w:rPr>
          <w:rFonts w:ascii="Calibri" w:hAnsi="Calibri" w:cs="Calibri"/>
        </w:rPr>
        <w:t>(47.4%)</w:t>
      </w:r>
      <w:r>
        <w:rPr>
          <w:rFonts w:ascii="Calibri" w:hAnsi="Calibri" w:cs="Calibri"/>
        </w:rPr>
        <w:t xml:space="preserve"> </w:t>
      </w:r>
      <w:r w:rsidR="003A2F98" w:rsidRPr="005C607F">
        <w:rPr>
          <w:rFonts w:ascii="Calibri" w:hAnsi="Calibri" w:cs="Calibri"/>
        </w:rPr>
        <w:t>h</w:t>
      </w:r>
      <w:r>
        <w:rPr>
          <w:rFonts w:ascii="Calibri" w:hAnsi="Calibri" w:cs="Calibri"/>
        </w:rPr>
        <w:t>ad</w:t>
      </w:r>
      <w:r w:rsidR="003A2F98" w:rsidRPr="005C607F">
        <w:rPr>
          <w:rFonts w:ascii="Calibri" w:hAnsi="Calibri" w:cs="Calibri"/>
        </w:rPr>
        <w:t xml:space="preserve"> </w:t>
      </w:r>
      <w:r w:rsidR="00F63332" w:rsidRPr="005C607F">
        <w:rPr>
          <w:rFonts w:ascii="Calibri" w:hAnsi="Calibri" w:cs="Calibri"/>
        </w:rPr>
        <w:t>symptomatic</w:t>
      </w:r>
      <w:r w:rsidR="003A2F98" w:rsidRPr="005C607F">
        <w:rPr>
          <w:rFonts w:ascii="Calibri" w:hAnsi="Calibri" w:cs="Calibri"/>
        </w:rPr>
        <w:t xml:space="preserve"> cholelithiasis, </w:t>
      </w:r>
      <w:r w:rsidR="00B84991">
        <w:rPr>
          <w:rFonts w:ascii="Calibri" w:hAnsi="Calibri" w:cs="Calibri"/>
        </w:rPr>
        <w:t>and</w:t>
      </w:r>
      <w:r w:rsidR="00B84991" w:rsidRPr="005C607F">
        <w:rPr>
          <w:rFonts w:ascii="Calibri" w:hAnsi="Calibri" w:cs="Calibri"/>
        </w:rPr>
        <w:t xml:space="preserve"> </w:t>
      </w:r>
      <w:r w:rsidR="003A2F98" w:rsidRPr="005C607F">
        <w:rPr>
          <w:rFonts w:ascii="Calibri" w:hAnsi="Calibri" w:cs="Calibri"/>
        </w:rPr>
        <w:t>20 cases</w:t>
      </w:r>
      <w:r w:rsidR="004943B4" w:rsidRPr="005C607F">
        <w:rPr>
          <w:rFonts w:ascii="Calibri" w:hAnsi="Calibri" w:cs="Calibri"/>
        </w:rPr>
        <w:t xml:space="preserve"> (52.6%)</w:t>
      </w:r>
      <w:r w:rsidR="003A2F98" w:rsidRPr="005C607F">
        <w:rPr>
          <w:rFonts w:ascii="Calibri" w:hAnsi="Calibri" w:cs="Calibri"/>
        </w:rPr>
        <w:t xml:space="preserve"> </w:t>
      </w:r>
      <w:r w:rsidR="00B84991">
        <w:rPr>
          <w:rFonts w:ascii="Calibri" w:hAnsi="Calibri" w:cs="Calibri"/>
        </w:rPr>
        <w:t xml:space="preserve">were </w:t>
      </w:r>
      <w:r w:rsidR="00615B07">
        <w:rPr>
          <w:rFonts w:ascii="Calibri" w:hAnsi="Calibri" w:cs="Calibri"/>
        </w:rPr>
        <w:t>classified as incidental</w:t>
      </w:r>
      <w:r w:rsidR="003A2F98" w:rsidRPr="005C607F">
        <w:rPr>
          <w:rFonts w:ascii="Calibri" w:hAnsi="Calibri" w:cs="Calibri"/>
        </w:rPr>
        <w:t xml:space="preserve">. The median age at presentation of dogs with incidental cholelithiasis </w:t>
      </w:r>
      <w:r w:rsidR="002F022A">
        <w:rPr>
          <w:rFonts w:ascii="Calibri" w:hAnsi="Calibri" w:cs="Calibri"/>
        </w:rPr>
        <w:t xml:space="preserve">(10.4 years) </w:t>
      </w:r>
      <w:r w:rsidR="003A2F98" w:rsidRPr="005C607F">
        <w:rPr>
          <w:rFonts w:ascii="Calibri" w:hAnsi="Calibri" w:cs="Calibri"/>
        </w:rPr>
        <w:t xml:space="preserve">was significantly higher than </w:t>
      </w:r>
      <w:r w:rsidR="00B84991">
        <w:rPr>
          <w:rFonts w:ascii="Calibri" w:hAnsi="Calibri" w:cs="Calibri"/>
        </w:rPr>
        <w:t xml:space="preserve">that of </w:t>
      </w:r>
      <w:r w:rsidR="003A2F98" w:rsidRPr="005C607F">
        <w:rPr>
          <w:rFonts w:ascii="Calibri" w:hAnsi="Calibri" w:cs="Calibri"/>
        </w:rPr>
        <w:t xml:space="preserve">dogs with </w:t>
      </w:r>
      <w:r w:rsidR="00A54DFF" w:rsidRPr="005C607F">
        <w:rPr>
          <w:rFonts w:ascii="Calibri" w:hAnsi="Calibri" w:cs="Calibri"/>
        </w:rPr>
        <w:t>symptomatic</w:t>
      </w:r>
      <w:r w:rsidR="003A2F98" w:rsidRPr="005C607F">
        <w:rPr>
          <w:rFonts w:ascii="Calibri" w:hAnsi="Calibri" w:cs="Calibri"/>
        </w:rPr>
        <w:t xml:space="preserve"> cholelithiasis </w:t>
      </w:r>
      <w:r w:rsidR="002F022A">
        <w:rPr>
          <w:rFonts w:ascii="Calibri" w:hAnsi="Calibri" w:cs="Calibri"/>
        </w:rPr>
        <w:t>(</w:t>
      </w:r>
      <w:r w:rsidR="003A2F98" w:rsidRPr="005C607F">
        <w:rPr>
          <w:rFonts w:ascii="Calibri" w:hAnsi="Calibri" w:cs="Calibri"/>
        </w:rPr>
        <w:t>8</w:t>
      </w:r>
      <w:r w:rsidR="004943B4" w:rsidRPr="005C607F">
        <w:rPr>
          <w:rFonts w:ascii="Calibri" w:hAnsi="Calibri" w:cs="Calibri"/>
        </w:rPr>
        <w:t>.75</w:t>
      </w:r>
      <w:r w:rsidR="003A2F98" w:rsidRPr="005C607F">
        <w:rPr>
          <w:rFonts w:ascii="Calibri" w:hAnsi="Calibri" w:cs="Calibri"/>
        </w:rPr>
        <w:t xml:space="preserve"> years</w:t>
      </w:r>
      <w:r w:rsidR="00B84991">
        <w:rPr>
          <w:rFonts w:ascii="Calibri" w:hAnsi="Calibri" w:cs="Calibri"/>
        </w:rPr>
        <w:t>;</w:t>
      </w:r>
      <w:r w:rsidR="003A2F98" w:rsidRPr="005C607F">
        <w:rPr>
          <w:rFonts w:ascii="Calibri" w:hAnsi="Calibri" w:cs="Calibri"/>
        </w:rPr>
        <w:t xml:space="preserve"> p=.01).</w:t>
      </w:r>
      <w:r w:rsidR="003323AA" w:rsidRPr="005C607F">
        <w:rPr>
          <w:rFonts w:ascii="Calibri" w:hAnsi="Calibri" w:cs="Calibri"/>
        </w:rPr>
        <w:t xml:space="preserve"> </w:t>
      </w:r>
    </w:p>
    <w:p w14:paraId="7FC43E3B" w14:textId="76A644DE" w:rsidR="007B353D" w:rsidRPr="005C607F" w:rsidRDefault="00185EEA" w:rsidP="00867264">
      <w:pPr>
        <w:spacing w:line="480" w:lineRule="auto"/>
        <w:jc w:val="both"/>
        <w:rPr>
          <w:rFonts w:ascii="Calibri" w:hAnsi="Calibri" w:cs="Calibri"/>
        </w:rPr>
      </w:pPr>
      <w:r w:rsidRPr="005C607F">
        <w:rPr>
          <w:rFonts w:ascii="Calibri" w:hAnsi="Calibri" w:cs="Calibri"/>
        </w:rPr>
        <w:lastRenderedPageBreak/>
        <w:t xml:space="preserve">Clinical signs of </w:t>
      </w:r>
      <w:r w:rsidR="00A54DFF" w:rsidRPr="005C607F">
        <w:rPr>
          <w:rFonts w:ascii="Calibri" w:hAnsi="Calibri" w:cs="Calibri"/>
        </w:rPr>
        <w:t>symptomatic</w:t>
      </w:r>
      <w:r w:rsidRPr="005C607F">
        <w:rPr>
          <w:rFonts w:ascii="Calibri" w:hAnsi="Calibri" w:cs="Calibri"/>
        </w:rPr>
        <w:t xml:space="preserve"> </w:t>
      </w:r>
      <w:r w:rsidR="005F7CFC">
        <w:rPr>
          <w:rFonts w:ascii="Calibri" w:hAnsi="Calibri" w:cs="Calibri"/>
        </w:rPr>
        <w:t>dogs</w:t>
      </w:r>
      <w:r w:rsidR="005F7CFC" w:rsidRPr="005C607F">
        <w:rPr>
          <w:rFonts w:ascii="Calibri" w:hAnsi="Calibri" w:cs="Calibri"/>
        </w:rPr>
        <w:t xml:space="preserve"> </w:t>
      </w:r>
      <w:r w:rsidRPr="005C607F">
        <w:rPr>
          <w:rFonts w:ascii="Calibri" w:hAnsi="Calibri" w:cs="Calibri"/>
        </w:rPr>
        <w:t xml:space="preserve">are </w:t>
      </w:r>
      <w:r w:rsidR="005F7CFC">
        <w:rPr>
          <w:rFonts w:ascii="Calibri" w:hAnsi="Calibri" w:cs="Calibri"/>
        </w:rPr>
        <w:t>presented</w:t>
      </w:r>
      <w:r w:rsidR="005F7CFC" w:rsidRPr="005C607F">
        <w:rPr>
          <w:rFonts w:ascii="Calibri" w:hAnsi="Calibri" w:cs="Calibri"/>
        </w:rPr>
        <w:t xml:space="preserve"> </w:t>
      </w:r>
      <w:r w:rsidRPr="005C607F">
        <w:rPr>
          <w:rFonts w:ascii="Calibri" w:hAnsi="Calibri" w:cs="Calibri"/>
        </w:rPr>
        <w:t xml:space="preserve">in </w:t>
      </w:r>
      <w:r w:rsidR="00DD24C2" w:rsidRPr="005C607F">
        <w:rPr>
          <w:rFonts w:ascii="Calibri" w:hAnsi="Calibri" w:cs="Calibri"/>
        </w:rPr>
        <w:t>T</w:t>
      </w:r>
      <w:r w:rsidRPr="005C607F">
        <w:rPr>
          <w:rFonts w:ascii="Calibri" w:hAnsi="Calibri" w:cs="Calibri"/>
        </w:rPr>
        <w:t>able 1.</w:t>
      </w:r>
      <w:r w:rsidR="00E2650A" w:rsidRPr="005C607F">
        <w:rPr>
          <w:rFonts w:ascii="Calibri" w:hAnsi="Calibri" w:cs="Calibri"/>
        </w:rPr>
        <w:t xml:space="preserve"> </w:t>
      </w:r>
      <w:r w:rsidR="00BB4190" w:rsidRPr="005C607F">
        <w:rPr>
          <w:rFonts w:ascii="Calibri" w:hAnsi="Calibri" w:cs="Calibri"/>
        </w:rPr>
        <w:t>The</w:t>
      </w:r>
      <w:r w:rsidR="00D9311D" w:rsidRPr="005C607F">
        <w:rPr>
          <w:rFonts w:ascii="Calibri" w:hAnsi="Calibri" w:cs="Calibri"/>
        </w:rPr>
        <w:t xml:space="preserve"> </w:t>
      </w:r>
      <w:r w:rsidR="000B3D49" w:rsidRPr="005C607F">
        <w:rPr>
          <w:rFonts w:ascii="Calibri" w:hAnsi="Calibri" w:cs="Calibri"/>
        </w:rPr>
        <w:t>primary disease process</w:t>
      </w:r>
      <w:r w:rsidR="00BB4190" w:rsidRPr="005C607F">
        <w:rPr>
          <w:rFonts w:ascii="Calibri" w:hAnsi="Calibri" w:cs="Calibri"/>
        </w:rPr>
        <w:t xml:space="preserve">es of dogs with incidental cholelithiasis </w:t>
      </w:r>
      <w:r w:rsidR="000B3D49" w:rsidRPr="005C607F">
        <w:rPr>
          <w:rFonts w:ascii="Calibri" w:hAnsi="Calibri" w:cs="Calibri"/>
        </w:rPr>
        <w:t xml:space="preserve">were neoplasia (n=8), </w:t>
      </w:r>
      <w:r w:rsidR="0095357F">
        <w:rPr>
          <w:rFonts w:ascii="Calibri" w:hAnsi="Calibri" w:cs="Calibri"/>
        </w:rPr>
        <w:t xml:space="preserve">other </w:t>
      </w:r>
      <w:r w:rsidR="000B3D49" w:rsidRPr="005C607F">
        <w:rPr>
          <w:rFonts w:ascii="Calibri" w:hAnsi="Calibri" w:cs="Calibri"/>
        </w:rPr>
        <w:t>hepatobiliary</w:t>
      </w:r>
      <w:r w:rsidR="0095357F">
        <w:rPr>
          <w:rFonts w:ascii="Calibri" w:hAnsi="Calibri" w:cs="Calibri"/>
        </w:rPr>
        <w:t xml:space="preserve"> </w:t>
      </w:r>
      <w:r w:rsidR="000B3D49" w:rsidRPr="005C607F">
        <w:rPr>
          <w:rFonts w:ascii="Calibri" w:hAnsi="Calibri" w:cs="Calibri"/>
        </w:rPr>
        <w:t>(n=</w:t>
      </w:r>
      <w:r w:rsidR="00C376DF" w:rsidRPr="005C607F">
        <w:rPr>
          <w:rFonts w:ascii="Calibri" w:hAnsi="Calibri" w:cs="Calibri"/>
        </w:rPr>
        <w:t>3</w:t>
      </w:r>
      <w:r w:rsidR="000B3D49" w:rsidRPr="005C607F">
        <w:rPr>
          <w:rFonts w:ascii="Calibri" w:hAnsi="Calibri" w:cs="Calibri"/>
        </w:rPr>
        <w:t>), endocrine (n=3), autoimmune (n=2), neurological (n=2), gastrointestinal (n=1) and reproductive (n=1)</w:t>
      </w:r>
      <w:r w:rsidR="00BB4190" w:rsidRPr="005C607F">
        <w:rPr>
          <w:rFonts w:ascii="Calibri" w:hAnsi="Calibri" w:cs="Calibri"/>
        </w:rPr>
        <w:t xml:space="preserve">. </w:t>
      </w:r>
      <w:r w:rsidR="00975F66">
        <w:rPr>
          <w:rFonts w:ascii="Calibri" w:hAnsi="Calibri" w:cs="Calibri"/>
        </w:rPr>
        <w:t xml:space="preserve">Three dogs with incidental cholelithiasis had concurrent endocrinopathies that were not the primary presenting complaint. </w:t>
      </w:r>
    </w:p>
    <w:p w14:paraId="1216BE4B" w14:textId="77777777" w:rsidR="0045191F" w:rsidRPr="005C607F" w:rsidRDefault="0045191F" w:rsidP="00867264">
      <w:pPr>
        <w:spacing w:line="480" w:lineRule="auto"/>
        <w:jc w:val="both"/>
        <w:rPr>
          <w:rFonts w:ascii="Calibri" w:hAnsi="Calibri" w:cs="Calibri"/>
        </w:rPr>
      </w:pPr>
    </w:p>
    <w:p w14:paraId="20510229" w14:textId="1AA7CD8D" w:rsidR="00406CF8" w:rsidRPr="005C607F" w:rsidRDefault="00406CF8" w:rsidP="00867264">
      <w:pPr>
        <w:spacing w:line="480" w:lineRule="auto"/>
        <w:jc w:val="both"/>
        <w:rPr>
          <w:rFonts w:ascii="Calibri" w:hAnsi="Calibri" w:cs="Calibri"/>
          <w:b/>
          <w:bCs/>
        </w:rPr>
      </w:pPr>
      <w:r w:rsidRPr="005C607F">
        <w:rPr>
          <w:rFonts w:ascii="Calibri" w:hAnsi="Calibri" w:cs="Calibri"/>
          <w:b/>
          <w:bCs/>
        </w:rPr>
        <w:t>Concurrent endocrinopathy</w:t>
      </w:r>
    </w:p>
    <w:p w14:paraId="4F4036AC" w14:textId="464A1A71" w:rsidR="00702CF5" w:rsidRPr="005C607F" w:rsidRDefault="00B011A3" w:rsidP="00867264">
      <w:pPr>
        <w:spacing w:line="480" w:lineRule="auto"/>
        <w:jc w:val="both"/>
        <w:rPr>
          <w:rFonts w:ascii="Calibri" w:hAnsi="Calibri" w:cs="Calibri"/>
        </w:rPr>
      </w:pPr>
      <w:r w:rsidRPr="005C607F">
        <w:rPr>
          <w:rFonts w:ascii="Calibri" w:hAnsi="Calibri" w:cs="Calibri"/>
        </w:rPr>
        <w:t>Eight</w:t>
      </w:r>
      <w:r w:rsidR="006F25FC" w:rsidRPr="005C607F">
        <w:rPr>
          <w:rFonts w:ascii="Calibri" w:hAnsi="Calibri" w:cs="Calibri"/>
        </w:rPr>
        <w:t xml:space="preserve"> </w:t>
      </w:r>
      <w:r w:rsidR="006E6203">
        <w:rPr>
          <w:rFonts w:ascii="Calibri" w:hAnsi="Calibri" w:cs="Calibri"/>
        </w:rPr>
        <w:t>dogs were</w:t>
      </w:r>
      <w:r w:rsidR="006E6203" w:rsidRPr="005C607F">
        <w:rPr>
          <w:rFonts w:ascii="Calibri" w:hAnsi="Calibri" w:cs="Calibri"/>
        </w:rPr>
        <w:t xml:space="preserve"> </w:t>
      </w:r>
      <w:r w:rsidR="006F25FC" w:rsidRPr="005C607F">
        <w:rPr>
          <w:rFonts w:ascii="Calibri" w:hAnsi="Calibri" w:cs="Calibri"/>
        </w:rPr>
        <w:t>presented with concurrent endocrinopathi</w:t>
      </w:r>
      <w:r w:rsidR="00326D31" w:rsidRPr="005C607F">
        <w:rPr>
          <w:rFonts w:ascii="Calibri" w:hAnsi="Calibri" w:cs="Calibri"/>
        </w:rPr>
        <w:t xml:space="preserve">es. </w:t>
      </w:r>
      <w:r w:rsidR="00923CE8" w:rsidRPr="005C607F">
        <w:rPr>
          <w:rFonts w:ascii="Calibri" w:hAnsi="Calibri" w:cs="Calibri"/>
        </w:rPr>
        <w:t xml:space="preserve">Two dogs </w:t>
      </w:r>
      <w:r w:rsidR="006E6203">
        <w:rPr>
          <w:rFonts w:ascii="Calibri" w:hAnsi="Calibri" w:cs="Calibri"/>
        </w:rPr>
        <w:t>had</w:t>
      </w:r>
      <w:r w:rsidR="00923CE8" w:rsidRPr="005C607F">
        <w:rPr>
          <w:rFonts w:ascii="Calibri" w:hAnsi="Calibri" w:cs="Calibri"/>
        </w:rPr>
        <w:t xml:space="preserve"> </w:t>
      </w:r>
      <w:r w:rsidR="00A54DFF" w:rsidRPr="005C607F">
        <w:rPr>
          <w:rFonts w:ascii="Calibri" w:hAnsi="Calibri" w:cs="Calibri"/>
        </w:rPr>
        <w:t>symptomatic</w:t>
      </w:r>
      <w:r w:rsidR="00923CE8" w:rsidRPr="005C607F">
        <w:rPr>
          <w:rFonts w:ascii="Calibri" w:hAnsi="Calibri" w:cs="Calibri"/>
        </w:rPr>
        <w:t xml:space="preserve"> cholelithiasis</w:t>
      </w:r>
      <w:r w:rsidR="001873A1" w:rsidRPr="005C607F">
        <w:rPr>
          <w:rFonts w:ascii="Calibri" w:hAnsi="Calibri" w:cs="Calibri"/>
        </w:rPr>
        <w:t xml:space="preserve"> and concurrent endocrinopathies</w:t>
      </w:r>
      <w:r w:rsidR="00A54DFF" w:rsidRPr="005C607F">
        <w:rPr>
          <w:rFonts w:ascii="Calibri" w:hAnsi="Calibri" w:cs="Calibri"/>
        </w:rPr>
        <w:t>:</w:t>
      </w:r>
      <w:r w:rsidR="00065D4A" w:rsidRPr="005C607F">
        <w:rPr>
          <w:rFonts w:ascii="Calibri" w:hAnsi="Calibri" w:cs="Calibri"/>
        </w:rPr>
        <w:t xml:space="preserve"> </w:t>
      </w:r>
      <w:r w:rsidR="00923CE8" w:rsidRPr="005C607F">
        <w:rPr>
          <w:rFonts w:ascii="Calibri" w:hAnsi="Calibri" w:cs="Calibri"/>
        </w:rPr>
        <w:t>primary hyperparathyroidism</w:t>
      </w:r>
      <w:r w:rsidR="00A54DFF" w:rsidRPr="005C607F">
        <w:rPr>
          <w:rFonts w:ascii="Calibri" w:hAnsi="Calibri" w:cs="Calibri"/>
        </w:rPr>
        <w:t xml:space="preserve"> (n=1)</w:t>
      </w:r>
      <w:r w:rsidR="00923CE8" w:rsidRPr="005C607F">
        <w:rPr>
          <w:rFonts w:ascii="Calibri" w:hAnsi="Calibri" w:cs="Calibri"/>
        </w:rPr>
        <w:t xml:space="preserve"> and hypothyroidism</w:t>
      </w:r>
      <w:r w:rsidR="008575EC">
        <w:rPr>
          <w:rFonts w:ascii="Calibri" w:hAnsi="Calibri" w:cs="Calibri"/>
        </w:rPr>
        <w:t xml:space="preserve"> </w:t>
      </w:r>
      <w:r w:rsidR="00A54DFF" w:rsidRPr="005C607F">
        <w:rPr>
          <w:rFonts w:ascii="Calibri" w:hAnsi="Calibri" w:cs="Calibri"/>
        </w:rPr>
        <w:t>(n=1)</w:t>
      </w:r>
      <w:r w:rsidR="00923CE8" w:rsidRPr="005C607F">
        <w:rPr>
          <w:rFonts w:ascii="Calibri" w:hAnsi="Calibri" w:cs="Calibri"/>
        </w:rPr>
        <w:t xml:space="preserve">. The remaining </w:t>
      </w:r>
      <w:r w:rsidR="006E6203">
        <w:rPr>
          <w:rFonts w:ascii="Calibri" w:hAnsi="Calibri" w:cs="Calibri"/>
        </w:rPr>
        <w:t>6</w:t>
      </w:r>
      <w:r w:rsidR="006E6203" w:rsidRPr="005C607F">
        <w:rPr>
          <w:rFonts w:ascii="Calibri" w:hAnsi="Calibri" w:cs="Calibri"/>
        </w:rPr>
        <w:t xml:space="preserve"> </w:t>
      </w:r>
      <w:r w:rsidR="00923CE8" w:rsidRPr="005C607F">
        <w:rPr>
          <w:rFonts w:ascii="Calibri" w:hAnsi="Calibri" w:cs="Calibri"/>
        </w:rPr>
        <w:t xml:space="preserve">dogs had incidental cholelithiasis </w:t>
      </w:r>
      <w:r w:rsidR="00F9179E" w:rsidRPr="005C607F">
        <w:rPr>
          <w:rFonts w:ascii="Calibri" w:hAnsi="Calibri" w:cs="Calibri"/>
        </w:rPr>
        <w:t>and hyperadrenocorticism</w:t>
      </w:r>
      <w:r w:rsidR="00A54DFF" w:rsidRPr="005C607F">
        <w:rPr>
          <w:rFonts w:ascii="Calibri" w:hAnsi="Calibri" w:cs="Calibri"/>
        </w:rPr>
        <w:t xml:space="preserve"> (n=3)</w:t>
      </w:r>
      <w:r w:rsidR="00326D31" w:rsidRPr="005C607F">
        <w:rPr>
          <w:rFonts w:ascii="Calibri" w:hAnsi="Calibri" w:cs="Calibri"/>
        </w:rPr>
        <w:t>, primary hyperparathyroidism</w:t>
      </w:r>
      <w:r w:rsidR="00923CE8" w:rsidRPr="005C607F">
        <w:rPr>
          <w:rFonts w:ascii="Calibri" w:hAnsi="Calibri" w:cs="Calibri"/>
        </w:rPr>
        <w:t xml:space="preserve"> </w:t>
      </w:r>
      <w:r w:rsidR="00A54DFF" w:rsidRPr="005C607F">
        <w:rPr>
          <w:rFonts w:ascii="Calibri" w:hAnsi="Calibri" w:cs="Calibri"/>
        </w:rPr>
        <w:t xml:space="preserve">(n=1) </w:t>
      </w:r>
      <w:r w:rsidR="00923CE8" w:rsidRPr="005C607F">
        <w:rPr>
          <w:rFonts w:ascii="Calibri" w:hAnsi="Calibri" w:cs="Calibri"/>
        </w:rPr>
        <w:t xml:space="preserve">and </w:t>
      </w:r>
      <w:r w:rsidR="00326D31" w:rsidRPr="005C607F">
        <w:rPr>
          <w:rFonts w:ascii="Calibri" w:hAnsi="Calibri" w:cs="Calibri"/>
        </w:rPr>
        <w:t>diabetes mellitus</w:t>
      </w:r>
      <w:r w:rsidR="00A54DFF" w:rsidRPr="005C607F">
        <w:rPr>
          <w:rFonts w:ascii="Calibri" w:hAnsi="Calibri" w:cs="Calibri"/>
        </w:rPr>
        <w:t xml:space="preserve"> (n=2).</w:t>
      </w:r>
      <w:r w:rsidR="00326D31" w:rsidRPr="005C607F">
        <w:rPr>
          <w:rFonts w:ascii="Calibri" w:hAnsi="Calibri" w:cs="Calibri"/>
        </w:rPr>
        <w:t xml:space="preserve"> </w:t>
      </w:r>
    </w:p>
    <w:p w14:paraId="097456C2" w14:textId="4F30FC02" w:rsidR="00E37298" w:rsidRPr="005C607F" w:rsidRDefault="00E37298" w:rsidP="00867264">
      <w:pPr>
        <w:spacing w:line="480" w:lineRule="auto"/>
        <w:jc w:val="both"/>
        <w:rPr>
          <w:rFonts w:ascii="Calibri" w:hAnsi="Calibri" w:cs="Calibri"/>
        </w:rPr>
      </w:pPr>
    </w:p>
    <w:p w14:paraId="411FF30B" w14:textId="10763D83" w:rsidR="00E37298" w:rsidRPr="005C607F" w:rsidRDefault="00E37298" w:rsidP="00867264">
      <w:pPr>
        <w:spacing w:line="480" w:lineRule="auto"/>
        <w:jc w:val="both"/>
        <w:rPr>
          <w:rFonts w:ascii="Calibri" w:hAnsi="Calibri" w:cs="Calibri"/>
          <w:b/>
          <w:bCs/>
        </w:rPr>
      </w:pPr>
      <w:r w:rsidRPr="005C607F">
        <w:rPr>
          <w:rFonts w:ascii="Calibri" w:hAnsi="Calibri" w:cs="Calibri"/>
          <w:b/>
          <w:bCs/>
        </w:rPr>
        <w:t>Clinical Pathology</w:t>
      </w:r>
    </w:p>
    <w:p w14:paraId="124E7C24" w14:textId="4CEA3F7E" w:rsidR="0075589F" w:rsidRDefault="006E6203" w:rsidP="00867264">
      <w:pPr>
        <w:spacing w:line="480" w:lineRule="auto"/>
        <w:jc w:val="both"/>
        <w:rPr>
          <w:rFonts w:ascii="Calibri" w:hAnsi="Calibri" w:cs="Calibri"/>
        </w:rPr>
      </w:pPr>
      <w:r>
        <w:rPr>
          <w:rFonts w:ascii="Calibri" w:hAnsi="Calibri" w:cs="Calibri"/>
        </w:rPr>
        <w:t>R</w:t>
      </w:r>
      <w:r w:rsidR="0075589F">
        <w:rPr>
          <w:rFonts w:ascii="Calibri" w:hAnsi="Calibri" w:cs="Calibri"/>
        </w:rPr>
        <w:t>esults</w:t>
      </w:r>
      <w:r>
        <w:rPr>
          <w:rFonts w:ascii="Calibri" w:hAnsi="Calibri" w:cs="Calibri"/>
        </w:rPr>
        <w:t xml:space="preserve"> of CBC</w:t>
      </w:r>
      <w:r w:rsidR="0075589F">
        <w:rPr>
          <w:rFonts w:ascii="Calibri" w:hAnsi="Calibri" w:cs="Calibri"/>
        </w:rPr>
        <w:t xml:space="preserve"> at presentation were available for </w:t>
      </w:r>
      <w:r w:rsidR="008B1897">
        <w:rPr>
          <w:rFonts w:ascii="Calibri" w:hAnsi="Calibri" w:cs="Calibri"/>
        </w:rPr>
        <w:t>35</w:t>
      </w:r>
      <w:r w:rsidR="0075589F">
        <w:rPr>
          <w:rFonts w:ascii="Calibri" w:hAnsi="Calibri" w:cs="Calibri"/>
        </w:rPr>
        <w:t xml:space="preserve"> dogs. </w:t>
      </w:r>
      <w:r>
        <w:rPr>
          <w:rFonts w:ascii="Calibri" w:hAnsi="Calibri" w:cs="Calibri"/>
        </w:rPr>
        <w:t xml:space="preserve">No </w:t>
      </w:r>
      <w:r w:rsidR="0075589F">
        <w:rPr>
          <w:rFonts w:ascii="Calibri" w:hAnsi="Calibri" w:cs="Calibri"/>
        </w:rPr>
        <w:t>significant differences in</w:t>
      </w:r>
      <w:r w:rsidR="004D118B">
        <w:rPr>
          <w:rFonts w:ascii="Calibri" w:hAnsi="Calibri" w:cs="Calibri"/>
        </w:rPr>
        <w:t xml:space="preserve"> hematological </w:t>
      </w:r>
      <w:r>
        <w:rPr>
          <w:rFonts w:ascii="Calibri" w:hAnsi="Calibri" w:cs="Calibri"/>
        </w:rPr>
        <w:t xml:space="preserve">variables </w:t>
      </w:r>
      <w:r w:rsidR="00A57B86">
        <w:rPr>
          <w:rFonts w:ascii="Calibri" w:hAnsi="Calibri" w:cs="Calibri"/>
        </w:rPr>
        <w:t>(Table 2)</w:t>
      </w:r>
      <w:r>
        <w:rPr>
          <w:rFonts w:ascii="Calibri" w:hAnsi="Calibri" w:cs="Calibri"/>
        </w:rPr>
        <w:t xml:space="preserve"> were found</w:t>
      </w:r>
      <w:r w:rsidR="003A732C">
        <w:rPr>
          <w:rFonts w:ascii="Calibri" w:hAnsi="Calibri" w:cs="Calibri"/>
          <w:i/>
          <w:iCs/>
        </w:rPr>
        <w:t xml:space="preserve"> </w:t>
      </w:r>
      <w:r w:rsidR="0075589F">
        <w:rPr>
          <w:rFonts w:ascii="Calibri" w:hAnsi="Calibri" w:cs="Calibri"/>
        </w:rPr>
        <w:t xml:space="preserve">between symptomatic and incidental groups. </w:t>
      </w:r>
    </w:p>
    <w:p w14:paraId="01BBB9E0" w14:textId="7596E376" w:rsidR="00E37298" w:rsidRPr="005C607F" w:rsidRDefault="00E37298" w:rsidP="00867264">
      <w:pPr>
        <w:spacing w:line="480" w:lineRule="auto"/>
        <w:jc w:val="both"/>
        <w:rPr>
          <w:rFonts w:ascii="Calibri" w:hAnsi="Calibri" w:cs="Calibri"/>
        </w:rPr>
      </w:pPr>
      <w:r w:rsidRPr="005C607F">
        <w:rPr>
          <w:rFonts w:ascii="Calibri" w:hAnsi="Calibri" w:cs="Calibri"/>
        </w:rPr>
        <w:t xml:space="preserve">Blood biochemistry results at presentation were available for 37 dogs </w:t>
      </w:r>
      <w:r w:rsidRPr="009E421C">
        <w:rPr>
          <w:rFonts w:ascii="Calibri" w:hAnsi="Calibri" w:cs="Calibri"/>
        </w:rPr>
        <w:t xml:space="preserve">(Table </w:t>
      </w:r>
      <w:r w:rsidR="00B92D72" w:rsidRPr="00162A4B">
        <w:rPr>
          <w:rFonts w:ascii="Calibri" w:hAnsi="Calibri" w:cs="Calibri"/>
        </w:rPr>
        <w:t>3</w:t>
      </w:r>
      <w:r w:rsidRPr="009E421C">
        <w:rPr>
          <w:rFonts w:ascii="Calibri" w:hAnsi="Calibri" w:cs="Calibri"/>
        </w:rPr>
        <w:t>).</w:t>
      </w:r>
      <w:r w:rsidRPr="005C607F">
        <w:rPr>
          <w:rFonts w:ascii="Calibri" w:hAnsi="Calibri" w:cs="Calibri"/>
        </w:rPr>
        <w:t xml:space="preserve"> </w:t>
      </w:r>
      <w:r w:rsidR="006E6203">
        <w:rPr>
          <w:rFonts w:ascii="Calibri" w:hAnsi="Calibri" w:cs="Calibri"/>
        </w:rPr>
        <w:t xml:space="preserve">Activities of </w:t>
      </w:r>
      <w:r w:rsidRPr="005C607F">
        <w:rPr>
          <w:rFonts w:ascii="Calibri" w:hAnsi="Calibri" w:cs="Calibri"/>
        </w:rPr>
        <w:t xml:space="preserve">ALP (p=.03), GGT (p=.03) </w:t>
      </w:r>
      <w:r w:rsidR="00CF78BE">
        <w:rPr>
          <w:rFonts w:ascii="Calibri" w:hAnsi="Calibri" w:cs="Calibri"/>
        </w:rPr>
        <w:t xml:space="preserve">and </w:t>
      </w:r>
      <w:r w:rsidRPr="005C607F">
        <w:rPr>
          <w:rFonts w:ascii="Calibri" w:hAnsi="Calibri" w:cs="Calibri"/>
        </w:rPr>
        <w:t xml:space="preserve">ALT (p=.02) were significantly higher in symptomatic </w:t>
      </w:r>
      <w:r w:rsidR="0008594E">
        <w:rPr>
          <w:rFonts w:ascii="Calibri" w:hAnsi="Calibri" w:cs="Calibri"/>
        </w:rPr>
        <w:t>cases</w:t>
      </w:r>
      <w:r w:rsidRPr="005C607F">
        <w:rPr>
          <w:rFonts w:ascii="Calibri" w:hAnsi="Calibri" w:cs="Calibri"/>
        </w:rPr>
        <w:t xml:space="preserve"> than</w:t>
      </w:r>
      <w:r w:rsidR="006E6203">
        <w:rPr>
          <w:rFonts w:ascii="Calibri" w:hAnsi="Calibri" w:cs="Calibri"/>
        </w:rPr>
        <w:t xml:space="preserve"> in</w:t>
      </w:r>
      <w:r w:rsidRPr="005C607F">
        <w:rPr>
          <w:rFonts w:ascii="Calibri" w:hAnsi="Calibri" w:cs="Calibri"/>
        </w:rPr>
        <w:t xml:space="preserve"> incidental </w:t>
      </w:r>
      <w:r w:rsidR="0008594E">
        <w:rPr>
          <w:rFonts w:ascii="Calibri" w:hAnsi="Calibri" w:cs="Calibri"/>
        </w:rPr>
        <w:t>cases</w:t>
      </w:r>
      <w:r w:rsidRPr="005C607F">
        <w:rPr>
          <w:rFonts w:ascii="Calibri" w:hAnsi="Calibri" w:cs="Calibri"/>
        </w:rPr>
        <w:t xml:space="preserve">. </w:t>
      </w:r>
      <w:r w:rsidR="002225D8">
        <w:rPr>
          <w:rFonts w:ascii="Calibri" w:hAnsi="Calibri" w:cs="Calibri"/>
        </w:rPr>
        <w:t>No</w:t>
      </w:r>
      <w:r w:rsidRPr="005C607F">
        <w:rPr>
          <w:rFonts w:ascii="Calibri" w:hAnsi="Calibri" w:cs="Calibri"/>
        </w:rPr>
        <w:t xml:space="preserve"> significant differences </w:t>
      </w:r>
      <w:r w:rsidR="002225D8">
        <w:rPr>
          <w:rFonts w:ascii="Calibri" w:hAnsi="Calibri" w:cs="Calibri"/>
        </w:rPr>
        <w:t xml:space="preserve">were found </w:t>
      </w:r>
      <w:r w:rsidRPr="005C607F">
        <w:rPr>
          <w:rFonts w:ascii="Calibri" w:hAnsi="Calibri" w:cs="Calibri"/>
        </w:rPr>
        <w:t>in bilirubin</w:t>
      </w:r>
      <w:r w:rsidR="002225D8">
        <w:rPr>
          <w:rFonts w:ascii="Calibri" w:hAnsi="Calibri" w:cs="Calibri"/>
        </w:rPr>
        <w:t xml:space="preserve"> or</w:t>
      </w:r>
      <w:r w:rsidRPr="005C607F">
        <w:rPr>
          <w:rFonts w:ascii="Calibri" w:hAnsi="Calibri" w:cs="Calibri"/>
        </w:rPr>
        <w:t xml:space="preserve"> cholesterol</w:t>
      </w:r>
      <w:r w:rsidR="002225D8">
        <w:rPr>
          <w:rFonts w:ascii="Calibri" w:hAnsi="Calibri" w:cs="Calibri"/>
        </w:rPr>
        <w:t xml:space="preserve"> concentrations</w:t>
      </w:r>
      <w:r w:rsidRPr="005C607F">
        <w:rPr>
          <w:rFonts w:ascii="Calibri" w:hAnsi="Calibri" w:cs="Calibri"/>
        </w:rPr>
        <w:t xml:space="preserve"> or </w:t>
      </w:r>
      <w:r w:rsidR="00D43BF5">
        <w:rPr>
          <w:rFonts w:ascii="Calibri" w:hAnsi="Calibri" w:cs="Calibri"/>
        </w:rPr>
        <w:t>aspartate aminotransferase (</w:t>
      </w:r>
      <w:r w:rsidRPr="005C607F">
        <w:rPr>
          <w:rFonts w:ascii="Calibri" w:hAnsi="Calibri" w:cs="Calibri"/>
        </w:rPr>
        <w:t>AST</w:t>
      </w:r>
      <w:r w:rsidR="00D43BF5">
        <w:rPr>
          <w:rFonts w:ascii="Calibri" w:hAnsi="Calibri" w:cs="Calibri"/>
        </w:rPr>
        <w:t>)</w:t>
      </w:r>
      <w:r w:rsidRPr="005C607F">
        <w:rPr>
          <w:rFonts w:ascii="Calibri" w:hAnsi="Calibri" w:cs="Calibri"/>
        </w:rPr>
        <w:t xml:space="preserve"> </w:t>
      </w:r>
      <w:r w:rsidR="002225D8">
        <w:rPr>
          <w:rFonts w:ascii="Calibri" w:hAnsi="Calibri" w:cs="Calibri"/>
        </w:rPr>
        <w:t xml:space="preserve">activity </w:t>
      </w:r>
      <w:r w:rsidRPr="005C607F">
        <w:rPr>
          <w:rFonts w:ascii="Calibri" w:hAnsi="Calibri" w:cs="Calibri"/>
        </w:rPr>
        <w:t xml:space="preserve">between </w:t>
      </w:r>
      <w:r w:rsidR="00615B07">
        <w:rPr>
          <w:rFonts w:ascii="Calibri" w:hAnsi="Calibri" w:cs="Calibri"/>
        </w:rPr>
        <w:t>symptomatic and incidental groups</w:t>
      </w:r>
      <w:r w:rsidRPr="005C607F">
        <w:rPr>
          <w:rFonts w:ascii="Calibri" w:hAnsi="Calibri" w:cs="Calibri"/>
        </w:rPr>
        <w:t xml:space="preserve">. </w:t>
      </w:r>
    </w:p>
    <w:p w14:paraId="7B76B74B" w14:textId="5616267B" w:rsidR="00E37298" w:rsidRPr="005C607F" w:rsidRDefault="00E37298" w:rsidP="00867264">
      <w:pPr>
        <w:spacing w:line="480" w:lineRule="auto"/>
        <w:jc w:val="both"/>
        <w:rPr>
          <w:rFonts w:ascii="Calibri" w:hAnsi="Calibri" w:cs="Calibri"/>
        </w:rPr>
      </w:pPr>
    </w:p>
    <w:p w14:paraId="2ACF0E5B" w14:textId="54B30ADF" w:rsidR="00E37298" w:rsidRPr="005C607F" w:rsidRDefault="00E37298" w:rsidP="00867264">
      <w:pPr>
        <w:spacing w:line="480" w:lineRule="auto"/>
        <w:jc w:val="both"/>
        <w:rPr>
          <w:rFonts w:ascii="Calibri" w:hAnsi="Calibri" w:cs="Calibri"/>
          <w:b/>
          <w:bCs/>
        </w:rPr>
      </w:pPr>
      <w:r w:rsidRPr="005C607F">
        <w:rPr>
          <w:rFonts w:ascii="Calibri" w:hAnsi="Calibri" w:cs="Calibri"/>
          <w:b/>
          <w:bCs/>
        </w:rPr>
        <w:t>Diagnostic Imaging</w:t>
      </w:r>
    </w:p>
    <w:p w14:paraId="0B273DB3" w14:textId="6433CE2D" w:rsidR="00E37298" w:rsidRDefault="00E37298" w:rsidP="00867264">
      <w:pPr>
        <w:spacing w:line="480" w:lineRule="auto"/>
        <w:jc w:val="both"/>
        <w:rPr>
          <w:rFonts w:ascii="Calibri" w:hAnsi="Calibri" w:cs="Calibri"/>
        </w:rPr>
      </w:pPr>
      <w:r w:rsidRPr="005C607F">
        <w:rPr>
          <w:rFonts w:ascii="Calibri" w:hAnsi="Calibri" w:cs="Calibri"/>
        </w:rPr>
        <w:t xml:space="preserve">Imaging findings are summarized in </w:t>
      </w:r>
      <w:r w:rsidRPr="009E421C">
        <w:rPr>
          <w:rFonts w:ascii="Calibri" w:hAnsi="Calibri" w:cs="Calibri"/>
        </w:rPr>
        <w:t xml:space="preserve">Table </w:t>
      </w:r>
      <w:r w:rsidR="00B92D72" w:rsidRPr="00162A4B">
        <w:rPr>
          <w:rFonts w:ascii="Calibri" w:hAnsi="Calibri" w:cs="Calibri"/>
        </w:rPr>
        <w:t>4</w:t>
      </w:r>
      <w:r w:rsidRPr="009E421C">
        <w:rPr>
          <w:rFonts w:ascii="Calibri" w:hAnsi="Calibri" w:cs="Calibri"/>
        </w:rPr>
        <w:t>.</w:t>
      </w:r>
      <w:r w:rsidRPr="005C607F">
        <w:rPr>
          <w:rFonts w:ascii="Calibri" w:hAnsi="Calibri" w:cs="Calibri"/>
        </w:rPr>
        <w:t xml:space="preserve"> In the incidental group, choleliths were reported </w:t>
      </w:r>
      <w:r w:rsidR="004A77F1">
        <w:rPr>
          <w:rFonts w:ascii="Calibri" w:hAnsi="Calibri" w:cs="Calibri"/>
        </w:rPr>
        <w:t>s</w:t>
      </w:r>
      <w:r w:rsidR="0084364B">
        <w:rPr>
          <w:rFonts w:ascii="Calibri" w:hAnsi="Calibri" w:cs="Calibri"/>
        </w:rPr>
        <w:t xml:space="preserve">olely </w:t>
      </w:r>
      <w:r w:rsidRPr="005C607F">
        <w:rPr>
          <w:rFonts w:ascii="Calibri" w:hAnsi="Calibri" w:cs="Calibri"/>
        </w:rPr>
        <w:t xml:space="preserve">within the gallbladder in 19/20 (95%) cases, </w:t>
      </w:r>
      <w:r w:rsidR="005B4BA9">
        <w:rPr>
          <w:rFonts w:ascii="Calibri" w:hAnsi="Calibri" w:cs="Calibri"/>
        </w:rPr>
        <w:t>n</w:t>
      </w:r>
      <w:r w:rsidRPr="005C607F">
        <w:rPr>
          <w:rFonts w:ascii="Calibri" w:hAnsi="Calibri" w:cs="Calibri"/>
        </w:rPr>
        <w:t xml:space="preserve">o dogs in the incidental group </w:t>
      </w:r>
      <w:r w:rsidR="00D01A67">
        <w:rPr>
          <w:rFonts w:ascii="Calibri" w:hAnsi="Calibri" w:cs="Calibri"/>
        </w:rPr>
        <w:t xml:space="preserve">had </w:t>
      </w:r>
      <w:r w:rsidR="005B4BA9">
        <w:rPr>
          <w:rFonts w:ascii="Calibri" w:hAnsi="Calibri" w:cs="Calibri"/>
        </w:rPr>
        <w:lastRenderedPageBreak/>
        <w:t>choledocholith</w:t>
      </w:r>
      <w:r w:rsidR="00180B81">
        <w:rPr>
          <w:rFonts w:ascii="Calibri" w:hAnsi="Calibri" w:cs="Calibri"/>
        </w:rPr>
        <w:t>iasi</w:t>
      </w:r>
      <w:r w:rsidR="005B4BA9">
        <w:rPr>
          <w:rFonts w:ascii="Calibri" w:hAnsi="Calibri" w:cs="Calibri"/>
        </w:rPr>
        <w:t>s</w:t>
      </w:r>
      <w:r w:rsidRPr="005C607F">
        <w:rPr>
          <w:rFonts w:ascii="Calibri" w:hAnsi="Calibri" w:cs="Calibri"/>
        </w:rPr>
        <w:t>.</w:t>
      </w:r>
      <w:r w:rsidR="005B4BA9">
        <w:rPr>
          <w:rFonts w:ascii="Calibri" w:hAnsi="Calibri" w:cs="Calibri"/>
        </w:rPr>
        <w:t xml:space="preserve"> </w:t>
      </w:r>
      <w:r w:rsidR="00C23157" w:rsidRPr="005C607F">
        <w:rPr>
          <w:rFonts w:ascii="Calibri" w:hAnsi="Calibri" w:cs="Calibri"/>
        </w:rPr>
        <w:t xml:space="preserve">A significantly higher proportion of </w:t>
      </w:r>
      <w:r w:rsidR="00C23157">
        <w:rPr>
          <w:rFonts w:ascii="Calibri" w:hAnsi="Calibri" w:cs="Calibri"/>
        </w:rPr>
        <w:t>symptomatic</w:t>
      </w:r>
      <w:r w:rsidR="00C23157" w:rsidRPr="005C607F">
        <w:rPr>
          <w:rFonts w:ascii="Calibri" w:hAnsi="Calibri" w:cs="Calibri"/>
        </w:rPr>
        <w:t xml:space="preserve"> dogs </w:t>
      </w:r>
      <w:r w:rsidR="00C23157">
        <w:rPr>
          <w:rFonts w:ascii="Calibri" w:hAnsi="Calibri" w:cs="Calibri"/>
        </w:rPr>
        <w:t xml:space="preserve">(44.4%) </w:t>
      </w:r>
      <w:r w:rsidR="00C23157" w:rsidRPr="005C607F">
        <w:rPr>
          <w:rFonts w:ascii="Calibri" w:hAnsi="Calibri" w:cs="Calibri"/>
        </w:rPr>
        <w:t>had chole</w:t>
      </w:r>
      <w:r w:rsidR="00C23157">
        <w:rPr>
          <w:rFonts w:ascii="Calibri" w:hAnsi="Calibri" w:cs="Calibri"/>
        </w:rPr>
        <w:t>docho</w:t>
      </w:r>
      <w:r w:rsidR="00C23157" w:rsidRPr="005C607F">
        <w:rPr>
          <w:rFonts w:ascii="Calibri" w:hAnsi="Calibri" w:cs="Calibri"/>
        </w:rPr>
        <w:t xml:space="preserve">liths than </w:t>
      </w:r>
      <w:r w:rsidR="00C23157">
        <w:rPr>
          <w:rFonts w:ascii="Calibri" w:hAnsi="Calibri" w:cs="Calibri"/>
        </w:rPr>
        <w:t xml:space="preserve">incidental </w:t>
      </w:r>
      <w:r w:rsidR="00C23157" w:rsidRPr="005C607F">
        <w:rPr>
          <w:rFonts w:ascii="Calibri" w:hAnsi="Calibri" w:cs="Calibri"/>
        </w:rPr>
        <w:t>dogs</w:t>
      </w:r>
      <w:r w:rsidR="00C23157">
        <w:rPr>
          <w:rFonts w:ascii="Calibri" w:hAnsi="Calibri" w:cs="Calibri"/>
        </w:rPr>
        <w:t xml:space="preserve"> (0%</w:t>
      </w:r>
      <w:r w:rsidR="00E7506C">
        <w:rPr>
          <w:rFonts w:ascii="Calibri" w:hAnsi="Calibri" w:cs="Calibri"/>
        </w:rPr>
        <w:t xml:space="preserve">; </w:t>
      </w:r>
      <w:r w:rsidR="00C23157" w:rsidRPr="005C607F">
        <w:rPr>
          <w:rFonts w:ascii="Calibri" w:hAnsi="Calibri" w:cs="Calibri"/>
        </w:rPr>
        <w:t>X</w:t>
      </w:r>
      <w:r w:rsidR="00C23157" w:rsidRPr="005C607F">
        <w:rPr>
          <w:rFonts w:ascii="Calibri" w:hAnsi="Calibri" w:cs="Calibri"/>
          <w:vertAlign w:val="superscript"/>
        </w:rPr>
        <w:t xml:space="preserve">2 </w:t>
      </w:r>
      <w:r w:rsidR="00C23157" w:rsidRPr="005C607F">
        <w:rPr>
          <w:rFonts w:ascii="Calibri" w:hAnsi="Calibri" w:cs="Calibri"/>
        </w:rPr>
        <w:t>=</w:t>
      </w:r>
      <w:r w:rsidR="00067923">
        <w:rPr>
          <w:rFonts w:ascii="Calibri" w:hAnsi="Calibri" w:cs="Calibri"/>
        </w:rPr>
        <w:t>8.744</w:t>
      </w:r>
      <w:r w:rsidR="00C23157" w:rsidRPr="005C607F">
        <w:rPr>
          <w:rFonts w:ascii="Calibri" w:hAnsi="Calibri" w:cs="Calibri"/>
        </w:rPr>
        <w:t>, d</w:t>
      </w:r>
      <w:r w:rsidR="00E7506C">
        <w:rPr>
          <w:rFonts w:ascii="Calibri" w:hAnsi="Calibri" w:cs="Calibri"/>
        </w:rPr>
        <w:t xml:space="preserve">egrees of </w:t>
      </w:r>
      <w:r w:rsidR="00C23157" w:rsidRPr="005C607F">
        <w:rPr>
          <w:rFonts w:ascii="Calibri" w:hAnsi="Calibri" w:cs="Calibri"/>
        </w:rPr>
        <w:t>f</w:t>
      </w:r>
      <w:r w:rsidR="00E7506C">
        <w:rPr>
          <w:rFonts w:ascii="Calibri" w:hAnsi="Calibri" w:cs="Calibri"/>
        </w:rPr>
        <w:t>reedom</w:t>
      </w:r>
      <w:r w:rsidR="001F09FE">
        <w:rPr>
          <w:rFonts w:ascii="Calibri" w:hAnsi="Calibri" w:cs="Calibri"/>
        </w:rPr>
        <w:t xml:space="preserve"> [df]</w:t>
      </w:r>
      <w:r w:rsidR="00C23157" w:rsidRPr="005C607F">
        <w:rPr>
          <w:rFonts w:ascii="Calibri" w:hAnsi="Calibri" w:cs="Calibri"/>
        </w:rPr>
        <w:t>=1, p=.0</w:t>
      </w:r>
      <w:r w:rsidR="00067923">
        <w:rPr>
          <w:rFonts w:ascii="Calibri" w:hAnsi="Calibri" w:cs="Calibri"/>
        </w:rPr>
        <w:t>03</w:t>
      </w:r>
      <w:r w:rsidR="00C23157" w:rsidRPr="005C607F">
        <w:rPr>
          <w:rFonts w:ascii="Calibri" w:hAnsi="Calibri" w:cs="Calibri"/>
        </w:rPr>
        <w:t>)</w:t>
      </w:r>
      <w:r w:rsidR="00C23157">
        <w:rPr>
          <w:rFonts w:ascii="Calibri" w:hAnsi="Calibri" w:cs="Calibri"/>
        </w:rPr>
        <w:t>.</w:t>
      </w:r>
      <w:r w:rsidR="00C036EB">
        <w:rPr>
          <w:rFonts w:ascii="Calibri" w:hAnsi="Calibri" w:cs="Calibri"/>
        </w:rPr>
        <w:t xml:space="preserve"> </w:t>
      </w:r>
      <w:r w:rsidR="000C7022">
        <w:rPr>
          <w:rFonts w:ascii="Calibri" w:hAnsi="Calibri" w:cs="Calibri"/>
        </w:rPr>
        <w:t>Seven of ten</w:t>
      </w:r>
      <w:r w:rsidR="00064D4D">
        <w:rPr>
          <w:rFonts w:ascii="Calibri" w:hAnsi="Calibri" w:cs="Calibri"/>
        </w:rPr>
        <w:t xml:space="preserve"> (70%)</w:t>
      </w:r>
      <w:r w:rsidR="00E318F9">
        <w:rPr>
          <w:rFonts w:ascii="Calibri" w:hAnsi="Calibri" w:cs="Calibri"/>
        </w:rPr>
        <w:t xml:space="preserve"> surgically</w:t>
      </w:r>
      <w:r w:rsidR="000C7022">
        <w:rPr>
          <w:rFonts w:ascii="Calibri" w:hAnsi="Calibri" w:cs="Calibri"/>
        </w:rPr>
        <w:t>-</w:t>
      </w:r>
      <w:r w:rsidR="00E318F9">
        <w:rPr>
          <w:rFonts w:ascii="Calibri" w:hAnsi="Calibri" w:cs="Calibri"/>
        </w:rPr>
        <w:t xml:space="preserve">managed dogs, </w:t>
      </w:r>
      <w:r w:rsidR="00064D4D">
        <w:rPr>
          <w:rFonts w:ascii="Calibri" w:hAnsi="Calibri" w:cs="Calibri"/>
        </w:rPr>
        <w:t>1/13 (</w:t>
      </w:r>
      <w:r w:rsidR="003B2795">
        <w:rPr>
          <w:rFonts w:ascii="Calibri" w:hAnsi="Calibri" w:cs="Calibri"/>
        </w:rPr>
        <w:t>7.7</w:t>
      </w:r>
      <w:r w:rsidR="00E318F9">
        <w:rPr>
          <w:rFonts w:ascii="Calibri" w:hAnsi="Calibri" w:cs="Calibri"/>
        </w:rPr>
        <w:t>%</w:t>
      </w:r>
      <w:r w:rsidR="00064D4D">
        <w:rPr>
          <w:rFonts w:ascii="Calibri" w:hAnsi="Calibri" w:cs="Calibri"/>
        </w:rPr>
        <w:t>)</w:t>
      </w:r>
      <w:r w:rsidR="00E318F9">
        <w:rPr>
          <w:rFonts w:ascii="Calibri" w:hAnsi="Calibri" w:cs="Calibri"/>
        </w:rPr>
        <w:t xml:space="preserve"> medically</w:t>
      </w:r>
      <w:r w:rsidR="000C7022">
        <w:rPr>
          <w:rFonts w:ascii="Calibri" w:hAnsi="Calibri" w:cs="Calibri"/>
        </w:rPr>
        <w:t>-</w:t>
      </w:r>
      <w:r w:rsidR="00E318F9">
        <w:rPr>
          <w:rFonts w:ascii="Calibri" w:hAnsi="Calibri" w:cs="Calibri"/>
        </w:rPr>
        <w:t>managed dogs and 0</w:t>
      </w:r>
      <w:r w:rsidR="00064D4D">
        <w:rPr>
          <w:rFonts w:ascii="Calibri" w:hAnsi="Calibri" w:cs="Calibri"/>
        </w:rPr>
        <w:t>/15</w:t>
      </w:r>
      <w:r w:rsidR="00E318F9">
        <w:rPr>
          <w:rFonts w:ascii="Calibri" w:hAnsi="Calibri" w:cs="Calibri"/>
        </w:rPr>
        <w:t xml:space="preserve"> </w:t>
      </w:r>
      <w:r w:rsidR="00B84194">
        <w:rPr>
          <w:rFonts w:ascii="Calibri" w:hAnsi="Calibri" w:cs="Calibri"/>
        </w:rPr>
        <w:t xml:space="preserve">(0%) </w:t>
      </w:r>
      <w:r w:rsidR="00E318F9">
        <w:rPr>
          <w:rFonts w:ascii="Calibri" w:hAnsi="Calibri" w:cs="Calibri"/>
        </w:rPr>
        <w:t xml:space="preserve">non-treated dogs </w:t>
      </w:r>
      <w:r w:rsidRPr="009E421C">
        <w:rPr>
          <w:rFonts w:ascii="Calibri" w:hAnsi="Calibri" w:cs="Calibri"/>
        </w:rPr>
        <w:t>had chole</w:t>
      </w:r>
      <w:r w:rsidR="00030E5F" w:rsidRPr="009E421C">
        <w:rPr>
          <w:rFonts w:ascii="Calibri" w:hAnsi="Calibri" w:cs="Calibri"/>
        </w:rPr>
        <w:t>docho</w:t>
      </w:r>
      <w:r w:rsidRPr="009E421C">
        <w:rPr>
          <w:rFonts w:ascii="Calibri" w:hAnsi="Calibri" w:cs="Calibri"/>
        </w:rPr>
        <w:t>liths</w:t>
      </w:r>
      <w:r w:rsidR="00E318F9" w:rsidRPr="009E421C">
        <w:rPr>
          <w:rFonts w:ascii="Calibri" w:hAnsi="Calibri" w:cs="Calibri"/>
        </w:rPr>
        <w:t>.</w:t>
      </w:r>
    </w:p>
    <w:p w14:paraId="055E61B9" w14:textId="7770DA03" w:rsidR="001F4112" w:rsidRPr="005C607F" w:rsidRDefault="001F4112" w:rsidP="00867264">
      <w:pPr>
        <w:spacing w:line="480" w:lineRule="auto"/>
        <w:jc w:val="both"/>
        <w:rPr>
          <w:rFonts w:ascii="Calibri" w:hAnsi="Calibri" w:cs="Calibri"/>
        </w:rPr>
      </w:pPr>
      <w:r>
        <w:rPr>
          <w:rFonts w:ascii="Calibri" w:hAnsi="Calibri" w:cs="Calibri"/>
        </w:rPr>
        <w:t>Abdominal radiograph</w:t>
      </w:r>
      <w:r w:rsidR="00177FAB">
        <w:rPr>
          <w:rFonts w:ascii="Calibri" w:hAnsi="Calibri" w:cs="Calibri"/>
        </w:rPr>
        <w:t>y</w:t>
      </w:r>
      <w:r w:rsidR="008A6E91">
        <w:rPr>
          <w:rFonts w:ascii="Calibri" w:hAnsi="Calibri" w:cs="Calibri"/>
        </w:rPr>
        <w:t xml:space="preserve"> w</w:t>
      </w:r>
      <w:r w:rsidR="00177FAB">
        <w:rPr>
          <w:rFonts w:ascii="Calibri" w:hAnsi="Calibri" w:cs="Calibri"/>
        </w:rPr>
        <w:t>as</w:t>
      </w:r>
      <w:r>
        <w:rPr>
          <w:rFonts w:ascii="Calibri" w:hAnsi="Calibri" w:cs="Calibri"/>
        </w:rPr>
        <w:t xml:space="preserve"> performed </w:t>
      </w:r>
      <w:r w:rsidR="00614996">
        <w:rPr>
          <w:rFonts w:ascii="Calibri" w:hAnsi="Calibri" w:cs="Calibri"/>
        </w:rPr>
        <w:t>i</w:t>
      </w:r>
      <w:r>
        <w:rPr>
          <w:rFonts w:ascii="Calibri" w:hAnsi="Calibri" w:cs="Calibri"/>
        </w:rPr>
        <w:t xml:space="preserve">n </w:t>
      </w:r>
      <w:r w:rsidR="009011CC">
        <w:rPr>
          <w:rFonts w:ascii="Calibri" w:hAnsi="Calibri" w:cs="Calibri"/>
        </w:rPr>
        <w:t>22</w:t>
      </w:r>
      <w:r>
        <w:rPr>
          <w:rFonts w:ascii="Calibri" w:hAnsi="Calibri" w:cs="Calibri"/>
        </w:rPr>
        <w:t xml:space="preserve"> dogs. </w:t>
      </w:r>
      <w:r w:rsidR="00283037">
        <w:rPr>
          <w:rFonts w:ascii="Calibri" w:hAnsi="Calibri" w:cs="Calibri"/>
        </w:rPr>
        <w:t>Five</w:t>
      </w:r>
      <w:r>
        <w:rPr>
          <w:rFonts w:ascii="Calibri" w:hAnsi="Calibri" w:cs="Calibri"/>
        </w:rPr>
        <w:t xml:space="preserve"> dogs had </w:t>
      </w:r>
      <w:r w:rsidR="00380F11">
        <w:rPr>
          <w:rFonts w:ascii="Calibri" w:hAnsi="Calibri" w:cs="Calibri"/>
        </w:rPr>
        <w:t xml:space="preserve">evidence of </w:t>
      </w:r>
      <w:r w:rsidR="0094159C">
        <w:rPr>
          <w:rFonts w:ascii="Calibri" w:hAnsi="Calibri" w:cs="Calibri"/>
        </w:rPr>
        <w:t>mineral</w:t>
      </w:r>
      <w:r>
        <w:rPr>
          <w:rFonts w:ascii="Calibri" w:hAnsi="Calibri" w:cs="Calibri"/>
        </w:rPr>
        <w:t xml:space="preserve"> density and </w:t>
      </w:r>
      <w:r w:rsidR="00283037">
        <w:rPr>
          <w:rFonts w:ascii="Calibri" w:hAnsi="Calibri" w:cs="Calibri"/>
        </w:rPr>
        <w:t>17</w:t>
      </w:r>
      <w:r>
        <w:rPr>
          <w:rFonts w:ascii="Calibri" w:hAnsi="Calibri" w:cs="Calibri"/>
        </w:rPr>
        <w:t xml:space="preserve"> dogs had radiolucent cholelithiasis (Table </w:t>
      </w:r>
      <w:r w:rsidR="00B92D72">
        <w:rPr>
          <w:rFonts w:ascii="Calibri" w:hAnsi="Calibri" w:cs="Calibri"/>
        </w:rPr>
        <w:t>4</w:t>
      </w:r>
      <w:r>
        <w:rPr>
          <w:rFonts w:ascii="Calibri" w:hAnsi="Calibri" w:cs="Calibri"/>
        </w:rPr>
        <w:t xml:space="preserve">). </w:t>
      </w:r>
      <w:r w:rsidR="005E39D2">
        <w:rPr>
          <w:rFonts w:ascii="Calibri" w:hAnsi="Calibri" w:cs="Calibri"/>
        </w:rPr>
        <w:t xml:space="preserve">Both dogs with primary hyperparathyroidism had radiopaque choleliths.  </w:t>
      </w:r>
    </w:p>
    <w:p w14:paraId="3365F01E" w14:textId="77777777" w:rsidR="00291C34" w:rsidRPr="005C607F" w:rsidRDefault="00291C34" w:rsidP="00867264">
      <w:pPr>
        <w:spacing w:line="480" w:lineRule="auto"/>
        <w:jc w:val="both"/>
        <w:rPr>
          <w:rFonts w:ascii="Calibri" w:hAnsi="Calibri" w:cs="Calibri"/>
        </w:rPr>
      </w:pPr>
    </w:p>
    <w:p w14:paraId="38F22655" w14:textId="16E5F986" w:rsidR="00DD09AF" w:rsidRPr="005C607F" w:rsidRDefault="00DD09AF" w:rsidP="00867264">
      <w:pPr>
        <w:spacing w:line="480" w:lineRule="auto"/>
        <w:jc w:val="both"/>
        <w:rPr>
          <w:rFonts w:ascii="Calibri" w:hAnsi="Calibri" w:cs="Calibri"/>
          <w:b/>
          <w:bCs/>
        </w:rPr>
      </w:pPr>
      <w:r w:rsidRPr="005C607F">
        <w:rPr>
          <w:rFonts w:ascii="Calibri" w:hAnsi="Calibri" w:cs="Calibri"/>
          <w:b/>
          <w:bCs/>
        </w:rPr>
        <w:t>Treatment groups</w:t>
      </w:r>
    </w:p>
    <w:p w14:paraId="5EFC08E7" w14:textId="606C700B" w:rsidR="00DD09AF" w:rsidRPr="005C607F" w:rsidRDefault="000573DA" w:rsidP="00867264">
      <w:pPr>
        <w:spacing w:line="480" w:lineRule="auto"/>
        <w:jc w:val="both"/>
        <w:rPr>
          <w:rFonts w:ascii="Calibri" w:hAnsi="Calibri" w:cs="Calibri"/>
        </w:rPr>
      </w:pPr>
      <w:r w:rsidRPr="00162A4B">
        <w:rPr>
          <w:rFonts w:ascii="Calibri" w:hAnsi="Calibri" w:cs="Calibri"/>
        </w:rPr>
        <w:t>Ten</w:t>
      </w:r>
      <w:r w:rsidR="00DD09AF" w:rsidRPr="005C607F">
        <w:rPr>
          <w:rFonts w:ascii="Calibri" w:hAnsi="Calibri" w:cs="Calibri"/>
        </w:rPr>
        <w:t xml:space="preserve"> dogs</w:t>
      </w:r>
      <w:r w:rsidR="00AA01D6" w:rsidRPr="005C607F">
        <w:rPr>
          <w:rFonts w:ascii="Calibri" w:hAnsi="Calibri" w:cs="Calibri"/>
        </w:rPr>
        <w:t xml:space="preserve"> (2</w:t>
      </w:r>
      <w:r w:rsidR="0084615D">
        <w:rPr>
          <w:rFonts w:ascii="Calibri" w:hAnsi="Calibri" w:cs="Calibri"/>
        </w:rPr>
        <w:t>6</w:t>
      </w:r>
      <w:r w:rsidR="00AA01D6" w:rsidRPr="005C607F">
        <w:rPr>
          <w:rFonts w:ascii="Calibri" w:hAnsi="Calibri" w:cs="Calibri"/>
        </w:rPr>
        <w:t>.</w:t>
      </w:r>
      <w:r w:rsidR="0084615D">
        <w:rPr>
          <w:rFonts w:ascii="Calibri" w:hAnsi="Calibri" w:cs="Calibri"/>
        </w:rPr>
        <w:t>3</w:t>
      </w:r>
      <w:r w:rsidR="00AA01D6" w:rsidRPr="005C607F">
        <w:rPr>
          <w:rFonts w:ascii="Calibri" w:hAnsi="Calibri" w:cs="Calibri"/>
        </w:rPr>
        <w:t>%)</w:t>
      </w:r>
      <w:r w:rsidR="00DD09AF" w:rsidRPr="005C607F">
        <w:rPr>
          <w:rFonts w:ascii="Calibri" w:hAnsi="Calibri" w:cs="Calibri"/>
        </w:rPr>
        <w:t xml:space="preserve"> underwent surg</w:t>
      </w:r>
      <w:r w:rsidR="00A54DFF" w:rsidRPr="005C607F">
        <w:rPr>
          <w:rFonts w:ascii="Calibri" w:hAnsi="Calibri" w:cs="Calibri"/>
        </w:rPr>
        <w:t>ical management</w:t>
      </w:r>
      <w:r w:rsidR="00DD09AF" w:rsidRPr="005C607F">
        <w:rPr>
          <w:rFonts w:ascii="Calibri" w:hAnsi="Calibri" w:cs="Calibri"/>
        </w:rPr>
        <w:t xml:space="preserve"> for cholelithiasis</w:t>
      </w:r>
      <w:r w:rsidR="00DD09AF" w:rsidRPr="009E421C">
        <w:rPr>
          <w:rFonts w:ascii="Calibri" w:hAnsi="Calibri" w:cs="Calibri"/>
        </w:rPr>
        <w:t xml:space="preserve">, </w:t>
      </w:r>
      <w:r w:rsidR="00AA01D6" w:rsidRPr="009E421C">
        <w:rPr>
          <w:rFonts w:ascii="Calibri" w:hAnsi="Calibri" w:cs="Calibri"/>
        </w:rPr>
        <w:t>1</w:t>
      </w:r>
      <w:r w:rsidRPr="00162A4B">
        <w:rPr>
          <w:rFonts w:ascii="Calibri" w:hAnsi="Calibri" w:cs="Calibri"/>
        </w:rPr>
        <w:t>3</w:t>
      </w:r>
      <w:r w:rsidR="00AA01D6" w:rsidRPr="005C607F">
        <w:rPr>
          <w:rFonts w:ascii="Calibri" w:hAnsi="Calibri" w:cs="Calibri"/>
        </w:rPr>
        <w:t xml:space="preserve"> dogs (</w:t>
      </w:r>
      <w:r w:rsidR="00FF3CE9" w:rsidRPr="005C607F">
        <w:rPr>
          <w:rFonts w:ascii="Calibri" w:hAnsi="Calibri" w:cs="Calibri"/>
        </w:rPr>
        <w:t>3</w:t>
      </w:r>
      <w:r w:rsidR="0084615D">
        <w:rPr>
          <w:rFonts w:ascii="Calibri" w:hAnsi="Calibri" w:cs="Calibri"/>
        </w:rPr>
        <w:t>4</w:t>
      </w:r>
      <w:r w:rsidR="00FF3CE9" w:rsidRPr="005C607F">
        <w:rPr>
          <w:rFonts w:ascii="Calibri" w:hAnsi="Calibri" w:cs="Calibri"/>
        </w:rPr>
        <w:t>.</w:t>
      </w:r>
      <w:r w:rsidR="0084615D">
        <w:rPr>
          <w:rFonts w:ascii="Calibri" w:hAnsi="Calibri" w:cs="Calibri"/>
        </w:rPr>
        <w:t>2</w:t>
      </w:r>
      <w:r w:rsidR="00FF3CE9" w:rsidRPr="005C607F">
        <w:rPr>
          <w:rFonts w:ascii="Calibri" w:hAnsi="Calibri" w:cs="Calibri"/>
        </w:rPr>
        <w:t>%</w:t>
      </w:r>
      <w:r w:rsidR="00AA01D6" w:rsidRPr="005C607F">
        <w:rPr>
          <w:rFonts w:ascii="Calibri" w:hAnsi="Calibri" w:cs="Calibri"/>
        </w:rPr>
        <w:t>)</w:t>
      </w:r>
      <w:r w:rsidR="00DD09AF" w:rsidRPr="005C607F">
        <w:rPr>
          <w:rFonts w:ascii="Calibri" w:hAnsi="Calibri" w:cs="Calibri"/>
        </w:rPr>
        <w:t xml:space="preserve"> </w:t>
      </w:r>
      <w:r w:rsidR="000E1E76">
        <w:rPr>
          <w:rFonts w:ascii="Calibri" w:hAnsi="Calibri" w:cs="Calibri"/>
        </w:rPr>
        <w:t>were</w:t>
      </w:r>
      <w:r w:rsidR="000E1E76" w:rsidRPr="005C607F">
        <w:rPr>
          <w:rFonts w:ascii="Calibri" w:hAnsi="Calibri" w:cs="Calibri"/>
        </w:rPr>
        <w:t xml:space="preserve"> </w:t>
      </w:r>
      <w:r w:rsidR="00DD09AF" w:rsidRPr="005C607F">
        <w:rPr>
          <w:rFonts w:ascii="Calibri" w:hAnsi="Calibri" w:cs="Calibri"/>
        </w:rPr>
        <w:t>medical</w:t>
      </w:r>
      <w:r w:rsidR="000E1E76">
        <w:rPr>
          <w:rFonts w:ascii="Calibri" w:hAnsi="Calibri" w:cs="Calibri"/>
        </w:rPr>
        <w:t>ly treated using</w:t>
      </w:r>
      <w:r w:rsidR="0012398A">
        <w:rPr>
          <w:rFonts w:ascii="Calibri" w:hAnsi="Calibri" w:cs="Calibri"/>
        </w:rPr>
        <w:t xml:space="preserve"> UDCA </w:t>
      </w:r>
      <w:r w:rsidR="00DD09AF" w:rsidRPr="005C607F">
        <w:rPr>
          <w:rFonts w:ascii="Calibri" w:hAnsi="Calibri" w:cs="Calibri"/>
        </w:rPr>
        <w:t xml:space="preserve">and </w:t>
      </w:r>
      <w:r w:rsidR="00AA01D6" w:rsidRPr="005C607F">
        <w:rPr>
          <w:rFonts w:ascii="Calibri" w:hAnsi="Calibri" w:cs="Calibri"/>
        </w:rPr>
        <w:t>15 dogs (</w:t>
      </w:r>
      <w:r w:rsidR="00FF3CE9" w:rsidRPr="005C607F">
        <w:rPr>
          <w:rFonts w:ascii="Calibri" w:hAnsi="Calibri" w:cs="Calibri"/>
        </w:rPr>
        <w:t>39.5%</w:t>
      </w:r>
      <w:r w:rsidR="00AA01D6" w:rsidRPr="005C607F">
        <w:rPr>
          <w:rFonts w:ascii="Calibri" w:hAnsi="Calibri" w:cs="Calibri"/>
        </w:rPr>
        <w:t>)</w:t>
      </w:r>
      <w:r w:rsidR="00DD09AF" w:rsidRPr="005C607F">
        <w:rPr>
          <w:rFonts w:ascii="Calibri" w:hAnsi="Calibri" w:cs="Calibri"/>
        </w:rPr>
        <w:t xml:space="preserve"> received no specific treatment.</w:t>
      </w:r>
    </w:p>
    <w:p w14:paraId="54D1A889" w14:textId="77777777" w:rsidR="006D1FAC" w:rsidRPr="005C607F" w:rsidRDefault="006D1FAC" w:rsidP="00867264">
      <w:pPr>
        <w:spacing w:line="480" w:lineRule="auto"/>
        <w:jc w:val="both"/>
        <w:rPr>
          <w:rFonts w:ascii="Calibri" w:hAnsi="Calibri" w:cs="Calibri"/>
        </w:rPr>
      </w:pPr>
    </w:p>
    <w:p w14:paraId="40604A7A" w14:textId="76C0CB68" w:rsidR="00167144" w:rsidRPr="005C607F" w:rsidRDefault="00167144" w:rsidP="00867264">
      <w:pPr>
        <w:spacing w:line="480" w:lineRule="auto"/>
        <w:jc w:val="both"/>
        <w:rPr>
          <w:rFonts w:ascii="Calibri" w:hAnsi="Calibri" w:cs="Calibri"/>
          <w:b/>
          <w:bCs/>
        </w:rPr>
      </w:pPr>
      <w:r w:rsidRPr="005C607F">
        <w:rPr>
          <w:rFonts w:ascii="Calibri" w:hAnsi="Calibri" w:cs="Calibri"/>
          <w:b/>
          <w:bCs/>
        </w:rPr>
        <w:t>Surgical</w:t>
      </w:r>
      <w:r w:rsidR="00A54DFF" w:rsidRPr="005C607F">
        <w:rPr>
          <w:rFonts w:ascii="Calibri" w:hAnsi="Calibri" w:cs="Calibri"/>
          <w:b/>
          <w:bCs/>
        </w:rPr>
        <w:t xml:space="preserve"> management</w:t>
      </w:r>
    </w:p>
    <w:p w14:paraId="2C92EE5E" w14:textId="3B1336E1" w:rsidR="00351223" w:rsidRDefault="00EA7576" w:rsidP="00867264">
      <w:pPr>
        <w:spacing w:line="480" w:lineRule="auto"/>
        <w:jc w:val="both"/>
        <w:rPr>
          <w:rFonts w:ascii="Calibri" w:hAnsi="Calibri" w:cs="Calibri"/>
        </w:rPr>
      </w:pPr>
      <w:r w:rsidRPr="005C607F">
        <w:rPr>
          <w:rFonts w:ascii="Calibri" w:hAnsi="Calibri" w:cs="Calibri"/>
        </w:rPr>
        <w:t>All surgically</w:t>
      </w:r>
      <w:r w:rsidR="001F7482">
        <w:rPr>
          <w:rFonts w:ascii="Calibri" w:hAnsi="Calibri" w:cs="Calibri"/>
        </w:rPr>
        <w:t>-</w:t>
      </w:r>
      <w:r w:rsidRPr="005C607F">
        <w:rPr>
          <w:rFonts w:ascii="Calibri" w:hAnsi="Calibri" w:cs="Calibri"/>
        </w:rPr>
        <w:t>treated dogs</w:t>
      </w:r>
      <w:r w:rsidR="00A54DFF" w:rsidRPr="005C607F">
        <w:rPr>
          <w:rFonts w:ascii="Calibri" w:hAnsi="Calibri" w:cs="Calibri"/>
        </w:rPr>
        <w:t xml:space="preserve"> were symptomatic for</w:t>
      </w:r>
      <w:r w:rsidR="00BD37CD" w:rsidRPr="005C607F">
        <w:rPr>
          <w:rFonts w:ascii="Calibri" w:hAnsi="Calibri" w:cs="Calibri"/>
        </w:rPr>
        <w:t xml:space="preserve"> cholelithiasis. T</w:t>
      </w:r>
      <w:r w:rsidR="00BD37CD" w:rsidRPr="009E421C">
        <w:rPr>
          <w:rFonts w:ascii="Calibri" w:hAnsi="Calibri" w:cs="Calibri"/>
        </w:rPr>
        <w:t xml:space="preserve">he </w:t>
      </w:r>
      <w:r w:rsidR="00BD37CD" w:rsidRPr="00BA16DC">
        <w:rPr>
          <w:rFonts w:ascii="Calibri" w:hAnsi="Calibri" w:cs="Calibri"/>
        </w:rPr>
        <w:t>median age was 9</w:t>
      </w:r>
      <w:r w:rsidR="000D1D31" w:rsidRPr="00BA16DC">
        <w:rPr>
          <w:rFonts w:ascii="Calibri" w:hAnsi="Calibri" w:cs="Calibri"/>
        </w:rPr>
        <w:t>.3</w:t>
      </w:r>
      <w:r w:rsidR="00064D4D">
        <w:rPr>
          <w:rFonts w:ascii="Calibri" w:hAnsi="Calibri" w:cs="Calibri"/>
        </w:rPr>
        <w:t>3</w:t>
      </w:r>
      <w:r w:rsidR="00BD37CD" w:rsidRPr="009E421C">
        <w:rPr>
          <w:rFonts w:ascii="Calibri" w:hAnsi="Calibri" w:cs="Calibri"/>
        </w:rPr>
        <w:t xml:space="preserve"> years (</w:t>
      </w:r>
      <w:r w:rsidR="00AF5609" w:rsidRPr="009E421C">
        <w:rPr>
          <w:rFonts w:ascii="Calibri" w:hAnsi="Calibri" w:cs="Calibri"/>
        </w:rPr>
        <w:t>range</w:t>
      </w:r>
      <w:r w:rsidR="007D10B2">
        <w:rPr>
          <w:rFonts w:ascii="Calibri" w:hAnsi="Calibri" w:cs="Calibri"/>
        </w:rPr>
        <w:t>,</w:t>
      </w:r>
      <w:r w:rsidR="000D1D31" w:rsidRPr="009E421C">
        <w:rPr>
          <w:rFonts w:ascii="Calibri" w:hAnsi="Calibri" w:cs="Calibri"/>
        </w:rPr>
        <w:t xml:space="preserve"> 4.5-11</w:t>
      </w:r>
      <w:r w:rsidR="00AA01D6" w:rsidRPr="009E421C">
        <w:rPr>
          <w:rFonts w:ascii="Calibri" w:hAnsi="Calibri" w:cs="Calibri"/>
        </w:rPr>
        <w:t>.0</w:t>
      </w:r>
      <w:r w:rsidR="000D1D31" w:rsidRPr="009E421C">
        <w:rPr>
          <w:rFonts w:ascii="Calibri" w:hAnsi="Calibri" w:cs="Calibri"/>
        </w:rPr>
        <w:t xml:space="preserve"> year</w:t>
      </w:r>
      <w:r w:rsidR="00AF5609" w:rsidRPr="009E421C">
        <w:rPr>
          <w:rFonts w:ascii="Calibri" w:hAnsi="Calibri" w:cs="Calibri"/>
        </w:rPr>
        <w:t>s</w:t>
      </w:r>
      <w:r w:rsidR="00BD37CD" w:rsidRPr="009E421C">
        <w:rPr>
          <w:rFonts w:ascii="Calibri" w:hAnsi="Calibri" w:cs="Calibri"/>
        </w:rPr>
        <w:t>).</w:t>
      </w:r>
      <w:r w:rsidR="00BD37CD" w:rsidRPr="005C607F">
        <w:rPr>
          <w:rFonts w:ascii="Calibri" w:hAnsi="Calibri" w:cs="Calibri"/>
        </w:rPr>
        <w:t xml:space="preserve"> </w:t>
      </w:r>
    </w:p>
    <w:p w14:paraId="15AF3F59" w14:textId="6B2D2A41" w:rsidR="0084615D" w:rsidRDefault="00724266" w:rsidP="00867264">
      <w:pPr>
        <w:spacing w:line="480" w:lineRule="auto"/>
        <w:jc w:val="both"/>
        <w:rPr>
          <w:rFonts w:ascii="Calibri" w:hAnsi="Calibri" w:cs="Calibri"/>
        </w:rPr>
      </w:pPr>
      <w:r>
        <w:rPr>
          <w:rFonts w:ascii="Calibri" w:hAnsi="Calibri" w:cs="Calibri"/>
        </w:rPr>
        <w:t xml:space="preserve">Nine </w:t>
      </w:r>
      <w:r w:rsidR="00464809">
        <w:rPr>
          <w:rFonts w:ascii="Calibri" w:hAnsi="Calibri" w:cs="Calibri"/>
        </w:rPr>
        <w:t>dogs underwent cholecystectomy, with additional choledochotomy (n=</w:t>
      </w:r>
      <w:r w:rsidR="006B0E34">
        <w:rPr>
          <w:rFonts w:ascii="Calibri" w:hAnsi="Calibri" w:cs="Calibri"/>
        </w:rPr>
        <w:t>1</w:t>
      </w:r>
      <w:r w:rsidR="00464809">
        <w:rPr>
          <w:rFonts w:ascii="Calibri" w:hAnsi="Calibri" w:cs="Calibri"/>
        </w:rPr>
        <w:t>), duodenotomy (n=</w:t>
      </w:r>
      <w:r>
        <w:rPr>
          <w:rFonts w:ascii="Calibri" w:hAnsi="Calibri" w:cs="Calibri"/>
        </w:rPr>
        <w:t>2</w:t>
      </w:r>
      <w:r w:rsidR="00464809">
        <w:rPr>
          <w:rFonts w:ascii="Calibri" w:hAnsi="Calibri" w:cs="Calibri"/>
        </w:rPr>
        <w:t xml:space="preserve">), choledocholithotomy </w:t>
      </w:r>
      <w:r w:rsidR="006B0E34">
        <w:rPr>
          <w:rFonts w:ascii="Calibri" w:hAnsi="Calibri" w:cs="Calibri"/>
        </w:rPr>
        <w:t xml:space="preserve">and duodenotomy </w:t>
      </w:r>
      <w:r w:rsidR="00464809">
        <w:rPr>
          <w:rFonts w:ascii="Calibri" w:hAnsi="Calibri" w:cs="Calibri"/>
        </w:rPr>
        <w:t>(n=</w:t>
      </w:r>
      <w:r w:rsidR="007931B2">
        <w:rPr>
          <w:rFonts w:ascii="Calibri" w:hAnsi="Calibri" w:cs="Calibri"/>
        </w:rPr>
        <w:t>1</w:t>
      </w:r>
      <w:r w:rsidR="00464809">
        <w:rPr>
          <w:rFonts w:ascii="Calibri" w:hAnsi="Calibri" w:cs="Calibri"/>
        </w:rPr>
        <w:t>)</w:t>
      </w:r>
      <w:r>
        <w:rPr>
          <w:rFonts w:ascii="Calibri" w:hAnsi="Calibri" w:cs="Calibri"/>
        </w:rPr>
        <w:t>, duodenotomy and sphincterotomy (n=1)</w:t>
      </w:r>
      <w:r w:rsidR="00004AC0">
        <w:rPr>
          <w:rFonts w:ascii="Calibri" w:hAnsi="Calibri" w:cs="Calibri"/>
        </w:rPr>
        <w:t xml:space="preserve"> and</w:t>
      </w:r>
      <w:r w:rsidR="006B0E34">
        <w:rPr>
          <w:rFonts w:ascii="Calibri" w:hAnsi="Calibri" w:cs="Calibri"/>
        </w:rPr>
        <w:t xml:space="preserve"> choledochotomy</w:t>
      </w:r>
      <w:r w:rsidR="00D3487D">
        <w:rPr>
          <w:rFonts w:ascii="Calibri" w:hAnsi="Calibri" w:cs="Calibri"/>
        </w:rPr>
        <w:t xml:space="preserve"> and</w:t>
      </w:r>
      <w:r w:rsidR="00464809">
        <w:rPr>
          <w:rFonts w:ascii="Calibri" w:hAnsi="Calibri" w:cs="Calibri"/>
        </w:rPr>
        <w:t xml:space="preserve"> duodenostomy (n=</w:t>
      </w:r>
      <w:r w:rsidR="007931B2">
        <w:rPr>
          <w:rFonts w:ascii="Calibri" w:hAnsi="Calibri" w:cs="Calibri"/>
        </w:rPr>
        <w:t>1</w:t>
      </w:r>
      <w:r w:rsidR="00464809">
        <w:rPr>
          <w:rFonts w:ascii="Calibri" w:hAnsi="Calibri" w:cs="Calibri"/>
        </w:rPr>
        <w:t>)</w:t>
      </w:r>
      <w:r w:rsidR="00D3487D">
        <w:rPr>
          <w:rFonts w:ascii="Calibri" w:hAnsi="Calibri" w:cs="Calibri"/>
        </w:rPr>
        <w:t>,</w:t>
      </w:r>
      <w:r w:rsidR="00464809">
        <w:rPr>
          <w:rFonts w:ascii="Calibri" w:hAnsi="Calibri" w:cs="Calibri"/>
        </w:rPr>
        <w:t xml:space="preserve"> and </w:t>
      </w:r>
      <w:r w:rsidR="007D10B2">
        <w:rPr>
          <w:rFonts w:ascii="Calibri" w:hAnsi="Calibri" w:cs="Calibri"/>
        </w:rPr>
        <w:t xml:space="preserve">1 </w:t>
      </w:r>
      <w:r w:rsidR="00464809">
        <w:rPr>
          <w:rFonts w:ascii="Calibri" w:hAnsi="Calibri" w:cs="Calibri"/>
        </w:rPr>
        <w:t>dog underwent solely duodenotomy to place a biliary stent</w:t>
      </w:r>
      <w:r w:rsidR="00772074">
        <w:rPr>
          <w:rFonts w:ascii="Calibri" w:hAnsi="Calibri" w:cs="Calibri"/>
        </w:rPr>
        <w:t xml:space="preserve"> (Figure </w:t>
      </w:r>
      <w:r w:rsidR="008002E1">
        <w:rPr>
          <w:rFonts w:ascii="Calibri" w:hAnsi="Calibri" w:cs="Calibri"/>
        </w:rPr>
        <w:t>1</w:t>
      </w:r>
      <w:r w:rsidR="00772074">
        <w:rPr>
          <w:rFonts w:ascii="Calibri" w:hAnsi="Calibri" w:cs="Calibri"/>
        </w:rPr>
        <w:t>)</w:t>
      </w:r>
      <w:r w:rsidR="00464809">
        <w:rPr>
          <w:rFonts w:ascii="Calibri" w:hAnsi="Calibri" w:cs="Calibri"/>
        </w:rPr>
        <w:t xml:space="preserve">. </w:t>
      </w:r>
      <w:r w:rsidR="002578C6">
        <w:rPr>
          <w:rFonts w:ascii="Calibri" w:hAnsi="Calibri" w:cs="Calibri"/>
        </w:rPr>
        <w:t>Cholelith</w:t>
      </w:r>
      <w:r w:rsidR="00D57623">
        <w:rPr>
          <w:rFonts w:ascii="Calibri" w:hAnsi="Calibri" w:cs="Calibri"/>
        </w:rPr>
        <w:t xml:space="preserve"> </w:t>
      </w:r>
      <w:r w:rsidR="00F07443">
        <w:rPr>
          <w:rFonts w:ascii="Calibri" w:hAnsi="Calibri" w:cs="Calibri"/>
        </w:rPr>
        <w:t xml:space="preserve">composition </w:t>
      </w:r>
      <w:r w:rsidR="00D57623">
        <w:rPr>
          <w:rFonts w:ascii="Calibri" w:hAnsi="Calibri" w:cs="Calibri"/>
        </w:rPr>
        <w:t xml:space="preserve">was not </w:t>
      </w:r>
      <w:r w:rsidR="0083744B">
        <w:rPr>
          <w:rFonts w:ascii="Calibri" w:hAnsi="Calibri" w:cs="Calibri"/>
        </w:rPr>
        <w:t>determin</w:t>
      </w:r>
      <w:r w:rsidR="00D57623">
        <w:rPr>
          <w:rFonts w:ascii="Calibri" w:hAnsi="Calibri" w:cs="Calibri"/>
        </w:rPr>
        <w:t xml:space="preserve">ed in these cases.  </w:t>
      </w:r>
    </w:p>
    <w:p w14:paraId="0099C6D6" w14:textId="2653CDEB" w:rsidR="00BF5713" w:rsidRDefault="00BF5713" w:rsidP="00867264">
      <w:pPr>
        <w:spacing w:line="480" w:lineRule="auto"/>
        <w:jc w:val="both"/>
        <w:rPr>
          <w:rFonts w:ascii="Calibri" w:hAnsi="Calibri" w:cs="Calibri"/>
        </w:rPr>
      </w:pPr>
      <w:r>
        <w:rPr>
          <w:rFonts w:ascii="Calibri" w:hAnsi="Calibri" w:cs="Calibri"/>
        </w:rPr>
        <w:t xml:space="preserve">Two </w:t>
      </w:r>
      <w:r w:rsidR="0008594E">
        <w:rPr>
          <w:rFonts w:ascii="Calibri" w:hAnsi="Calibri" w:cs="Calibri"/>
        </w:rPr>
        <w:t>dogs</w:t>
      </w:r>
      <w:r>
        <w:rPr>
          <w:rFonts w:ascii="Calibri" w:hAnsi="Calibri" w:cs="Calibri"/>
        </w:rPr>
        <w:t xml:space="preserve"> were managed </w:t>
      </w:r>
      <w:r w:rsidR="001A2AA5">
        <w:rPr>
          <w:rFonts w:ascii="Calibri" w:hAnsi="Calibri" w:cs="Calibri"/>
        </w:rPr>
        <w:t xml:space="preserve">using </w:t>
      </w:r>
      <w:r>
        <w:rPr>
          <w:rFonts w:ascii="Calibri" w:hAnsi="Calibri" w:cs="Calibri"/>
        </w:rPr>
        <w:t>UDCA for 43 days and 72 days</w:t>
      </w:r>
      <w:r w:rsidR="008678A7">
        <w:rPr>
          <w:rFonts w:ascii="Calibri" w:hAnsi="Calibri" w:cs="Calibri"/>
        </w:rPr>
        <w:t>,</w:t>
      </w:r>
      <w:r>
        <w:rPr>
          <w:rFonts w:ascii="Calibri" w:hAnsi="Calibri" w:cs="Calibri"/>
        </w:rPr>
        <w:t xml:space="preserve"> </w:t>
      </w:r>
      <w:r w:rsidR="00AD2801">
        <w:rPr>
          <w:rFonts w:ascii="Calibri" w:hAnsi="Calibri" w:cs="Calibri"/>
        </w:rPr>
        <w:t>respectively</w:t>
      </w:r>
      <w:r w:rsidR="008678A7">
        <w:rPr>
          <w:rFonts w:ascii="Calibri" w:hAnsi="Calibri" w:cs="Calibri"/>
        </w:rPr>
        <w:t>,</w:t>
      </w:r>
      <w:r w:rsidR="00AD2801">
        <w:rPr>
          <w:rFonts w:ascii="Calibri" w:hAnsi="Calibri" w:cs="Calibri"/>
        </w:rPr>
        <w:t xml:space="preserve"> </w:t>
      </w:r>
      <w:r w:rsidR="008678A7">
        <w:rPr>
          <w:rFonts w:ascii="Calibri" w:hAnsi="Calibri" w:cs="Calibri"/>
        </w:rPr>
        <w:t>before</w:t>
      </w:r>
      <w:r w:rsidR="00CC5A21">
        <w:rPr>
          <w:rFonts w:ascii="Calibri" w:hAnsi="Calibri" w:cs="Calibri"/>
        </w:rPr>
        <w:t xml:space="preserve"> surgery </w:t>
      </w:r>
      <w:r w:rsidR="00597D51">
        <w:rPr>
          <w:rFonts w:ascii="Calibri" w:hAnsi="Calibri" w:cs="Calibri"/>
        </w:rPr>
        <w:t>and</w:t>
      </w:r>
      <w:r w:rsidR="00685BDD">
        <w:rPr>
          <w:rFonts w:ascii="Calibri" w:hAnsi="Calibri" w:cs="Calibri"/>
        </w:rPr>
        <w:t xml:space="preserve"> </w:t>
      </w:r>
      <w:r>
        <w:rPr>
          <w:rFonts w:ascii="Calibri" w:hAnsi="Calibri" w:cs="Calibri"/>
        </w:rPr>
        <w:t>before developing</w:t>
      </w:r>
      <w:r w:rsidRPr="005C607F">
        <w:rPr>
          <w:rFonts w:ascii="Calibri" w:hAnsi="Calibri" w:cs="Calibri"/>
        </w:rPr>
        <w:t xml:space="preserve"> gallbladder rupture and </w:t>
      </w:r>
      <w:r w:rsidR="002A35D7">
        <w:rPr>
          <w:rFonts w:ascii="Calibri" w:hAnsi="Calibri" w:cs="Calibri"/>
        </w:rPr>
        <w:t>extrahepatic biliary duct obstruction (</w:t>
      </w:r>
      <w:r w:rsidRPr="005C607F">
        <w:rPr>
          <w:rFonts w:ascii="Calibri" w:hAnsi="Calibri" w:cs="Calibri"/>
        </w:rPr>
        <w:t>EHBDO</w:t>
      </w:r>
      <w:r w:rsidR="002A35D7">
        <w:rPr>
          <w:rFonts w:ascii="Calibri" w:hAnsi="Calibri" w:cs="Calibri"/>
        </w:rPr>
        <w:t>)</w:t>
      </w:r>
      <w:r w:rsidR="00110BC4">
        <w:rPr>
          <w:rFonts w:ascii="Calibri" w:hAnsi="Calibri" w:cs="Calibri"/>
        </w:rPr>
        <w:t>,</w:t>
      </w:r>
      <w:r w:rsidRPr="005C607F">
        <w:rPr>
          <w:rFonts w:ascii="Calibri" w:hAnsi="Calibri" w:cs="Calibri"/>
        </w:rPr>
        <w:t xml:space="preserve"> respectively</w:t>
      </w:r>
      <w:r>
        <w:rPr>
          <w:rFonts w:ascii="Calibri" w:hAnsi="Calibri" w:cs="Calibri"/>
        </w:rPr>
        <w:t>.</w:t>
      </w:r>
    </w:p>
    <w:p w14:paraId="1E430384" w14:textId="53FE579E" w:rsidR="00A96243" w:rsidRDefault="001A4B9C" w:rsidP="009F7715">
      <w:pPr>
        <w:spacing w:line="480" w:lineRule="auto"/>
        <w:jc w:val="both"/>
        <w:rPr>
          <w:rFonts w:ascii="Calibri" w:hAnsi="Calibri" w:cs="Calibri"/>
        </w:rPr>
      </w:pPr>
      <w:r>
        <w:rPr>
          <w:rFonts w:ascii="Calibri" w:hAnsi="Calibri" w:cs="Calibri"/>
        </w:rPr>
        <w:lastRenderedPageBreak/>
        <w:t>Liver h</w:t>
      </w:r>
      <w:r w:rsidR="0084615D">
        <w:rPr>
          <w:rFonts w:ascii="Calibri" w:hAnsi="Calibri" w:cs="Calibri"/>
        </w:rPr>
        <w:t>isto</w:t>
      </w:r>
      <w:r w:rsidR="000301F8">
        <w:rPr>
          <w:rFonts w:ascii="Calibri" w:hAnsi="Calibri" w:cs="Calibri"/>
        </w:rPr>
        <w:t>patho</w:t>
      </w:r>
      <w:r w:rsidR="0084615D">
        <w:rPr>
          <w:rFonts w:ascii="Calibri" w:hAnsi="Calibri" w:cs="Calibri"/>
        </w:rPr>
        <w:t xml:space="preserve">logy results were available for </w:t>
      </w:r>
      <w:r w:rsidR="00821041">
        <w:rPr>
          <w:rFonts w:ascii="Calibri" w:hAnsi="Calibri" w:cs="Calibri"/>
        </w:rPr>
        <w:t xml:space="preserve">9 </w:t>
      </w:r>
      <w:r w:rsidR="0084615D">
        <w:rPr>
          <w:rFonts w:ascii="Calibri" w:hAnsi="Calibri" w:cs="Calibri"/>
        </w:rPr>
        <w:t>dogs</w:t>
      </w:r>
      <w:r>
        <w:rPr>
          <w:rFonts w:ascii="Calibri" w:hAnsi="Calibri" w:cs="Calibri"/>
        </w:rPr>
        <w:t xml:space="preserve">, of which </w:t>
      </w:r>
      <w:r w:rsidR="00821041">
        <w:rPr>
          <w:rFonts w:ascii="Calibri" w:hAnsi="Calibri" w:cs="Calibri"/>
        </w:rPr>
        <w:t xml:space="preserve">8 </w:t>
      </w:r>
      <w:r>
        <w:rPr>
          <w:rFonts w:ascii="Calibri" w:hAnsi="Calibri" w:cs="Calibri"/>
        </w:rPr>
        <w:t>had gallbladder histo</w:t>
      </w:r>
      <w:r w:rsidR="000301F8">
        <w:rPr>
          <w:rFonts w:ascii="Calibri" w:hAnsi="Calibri" w:cs="Calibri"/>
        </w:rPr>
        <w:t>patho</w:t>
      </w:r>
      <w:r>
        <w:rPr>
          <w:rFonts w:ascii="Calibri" w:hAnsi="Calibri" w:cs="Calibri"/>
        </w:rPr>
        <w:t>logy results available</w:t>
      </w:r>
      <w:r w:rsidR="009F7715">
        <w:rPr>
          <w:rFonts w:ascii="Calibri" w:hAnsi="Calibri" w:cs="Calibri"/>
        </w:rPr>
        <w:t xml:space="preserve"> (</w:t>
      </w:r>
      <w:r w:rsidR="00C65F42">
        <w:rPr>
          <w:rFonts w:ascii="Calibri" w:hAnsi="Calibri" w:cs="Calibri"/>
        </w:rPr>
        <w:t>supplementation information</w:t>
      </w:r>
      <w:r w:rsidR="009F7715">
        <w:rPr>
          <w:rFonts w:ascii="Calibri" w:hAnsi="Calibri" w:cs="Calibri"/>
        </w:rPr>
        <w:t>)</w:t>
      </w:r>
      <w:r w:rsidR="0084615D">
        <w:rPr>
          <w:rFonts w:ascii="Calibri" w:hAnsi="Calibri" w:cs="Calibri"/>
        </w:rPr>
        <w:t xml:space="preserve">. </w:t>
      </w:r>
    </w:p>
    <w:p w14:paraId="548C5131" w14:textId="63806E02" w:rsidR="004369A8" w:rsidRPr="004369A8" w:rsidRDefault="004369A8" w:rsidP="00867264">
      <w:pPr>
        <w:spacing w:line="480" w:lineRule="auto"/>
        <w:jc w:val="both"/>
        <w:rPr>
          <w:rFonts w:ascii="Calibri" w:hAnsi="Calibri" w:cs="Calibri"/>
        </w:rPr>
      </w:pPr>
      <w:r>
        <w:rPr>
          <w:rFonts w:ascii="Calibri" w:hAnsi="Calibri" w:cs="Calibri"/>
        </w:rPr>
        <w:t xml:space="preserve">Bile culture results were available for </w:t>
      </w:r>
      <w:r w:rsidR="004B02A1">
        <w:rPr>
          <w:rFonts w:ascii="Calibri" w:hAnsi="Calibri" w:cs="Calibri"/>
        </w:rPr>
        <w:t xml:space="preserve">3 </w:t>
      </w:r>
      <w:r>
        <w:rPr>
          <w:rFonts w:ascii="Calibri" w:hAnsi="Calibri" w:cs="Calibri"/>
        </w:rPr>
        <w:t>dogs</w:t>
      </w:r>
      <w:r w:rsidR="001A4B9C">
        <w:rPr>
          <w:rFonts w:ascii="Calibri" w:hAnsi="Calibri" w:cs="Calibri"/>
        </w:rPr>
        <w:t xml:space="preserve"> and all culture</w:t>
      </w:r>
      <w:r w:rsidR="0012200A">
        <w:rPr>
          <w:rFonts w:ascii="Calibri" w:hAnsi="Calibri" w:cs="Calibri"/>
        </w:rPr>
        <w:t>s yielded</w:t>
      </w:r>
      <w:r w:rsidR="001A4B9C">
        <w:rPr>
          <w:rFonts w:ascii="Calibri" w:hAnsi="Calibri" w:cs="Calibri"/>
        </w:rPr>
        <w:t xml:space="preserve"> multiple organisms</w:t>
      </w:r>
      <w:r>
        <w:rPr>
          <w:rFonts w:ascii="Calibri" w:hAnsi="Calibri" w:cs="Calibri"/>
        </w:rPr>
        <w:t xml:space="preserve">, with positive cultures </w:t>
      </w:r>
      <w:r w:rsidR="0012200A">
        <w:rPr>
          <w:rFonts w:ascii="Calibri" w:hAnsi="Calibri" w:cs="Calibri"/>
        </w:rPr>
        <w:t>for</w:t>
      </w:r>
      <w:r w:rsidR="0012200A" w:rsidRPr="004369A8">
        <w:rPr>
          <w:rFonts w:ascii="Calibri" w:hAnsi="Calibri" w:cs="Calibri"/>
        </w:rPr>
        <w:t xml:space="preserve"> </w:t>
      </w:r>
      <w:r w:rsidR="004F0713">
        <w:rPr>
          <w:rFonts w:ascii="Calibri" w:hAnsi="Calibri" w:cs="Calibri"/>
          <w:i/>
          <w:iCs/>
        </w:rPr>
        <w:t>E</w:t>
      </w:r>
      <w:r w:rsidR="00435EA5">
        <w:rPr>
          <w:rFonts w:ascii="Calibri" w:hAnsi="Calibri" w:cs="Calibri"/>
          <w:i/>
          <w:iCs/>
        </w:rPr>
        <w:t>scherichia</w:t>
      </w:r>
      <w:r w:rsidRPr="004F0713">
        <w:rPr>
          <w:rFonts w:ascii="Calibri" w:hAnsi="Calibri" w:cs="Calibri"/>
          <w:i/>
          <w:iCs/>
        </w:rPr>
        <w:t xml:space="preserve"> coli</w:t>
      </w:r>
      <w:r w:rsidRPr="00162A4B">
        <w:rPr>
          <w:rFonts w:ascii="Calibri" w:hAnsi="Calibri" w:cs="Calibri"/>
        </w:rPr>
        <w:t xml:space="preserve"> </w:t>
      </w:r>
      <w:r w:rsidRPr="004369A8">
        <w:rPr>
          <w:rFonts w:ascii="Calibri" w:hAnsi="Calibri" w:cs="Calibri"/>
        </w:rPr>
        <w:t xml:space="preserve">(n=2), </w:t>
      </w:r>
      <w:r w:rsidR="004F0713">
        <w:rPr>
          <w:rFonts w:ascii="Calibri" w:hAnsi="Calibri" w:cs="Calibri"/>
          <w:i/>
          <w:iCs/>
        </w:rPr>
        <w:t>E</w:t>
      </w:r>
      <w:r w:rsidRPr="004F0713">
        <w:rPr>
          <w:rFonts w:ascii="Calibri" w:hAnsi="Calibri" w:cs="Calibri"/>
          <w:i/>
          <w:iCs/>
        </w:rPr>
        <w:t>nterococcus</w:t>
      </w:r>
      <w:r w:rsidRPr="00162A4B">
        <w:rPr>
          <w:rFonts w:ascii="Calibri" w:hAnsi="Calibri" w:cs="Calibri"/>
        </w:rPr>
        <w:t xml:space="preserve"> spp </w:t>
      </w:r>
      <w:r w:rsidRPr="004369A8">
        <w:rPr>
          <w:rFonts w:ascii="Calibri" w:hAnsi="Calibri" w:cs="Calibri"/>
        </w:rPr>
        <w:t>(n=</w:t>
      </w:r>
      <w:r w:rsidR="004F0713">
        <w:rPr>
          <w:rFonts w:ascii="Calibri" w:hAnsi="Calibri" w:cs="Calibri"/>
        </w:rPr>
        <w:t>3</w:t>
      </w:r>
      <w:r w:rsidRPr="004369A8">
        <w:rPr>
          <w:rFonts w:ascii="Calibri" w:hAnsi="Calibri" w:cs="Calibri"/>
        </w:rPr>
        <w:t>)</w:t>
      </w:r>
      <w:r w:rsidR="004F0713">
        <w:rPr>
          <w:rFonts w:ascii="Calibri" w:hAnsi="Calibri" w:cs="Calibri"/>
        </w:rPr>
        <w:t xml:space="preserve"> </w:t>
      </w:r>
      <w:r>
        <w:rPr>
          <w:rFonts w:ascii="Calibri" w:hAnsi="Calibri" w:cs="Calibri"/>
        </w:rPr>
        <w:t xml:space="preserve"> and coliform species (n=1). </w:t>
      </w:r>
    </w:p>
    <w:p w14:paraId="27266208" w14:textId="57A3F72E" w:rsidR="00035307" w:rsidRPr="005C607F" w:rsidRDefault="00790978" w:rsidP="00867264">
      <w:pPr>
        <w:spacing w:line="480" w:lineRule="auto"/>
        <w:jc w:val="both"/>
        <w:rPr>
          <w:rFonts w:ascii="Calibri" w:hAnsi="Calibri" w:cs="Calibri"/>
        </w:rPr>
      </w:pPr>
      <w:r>
        <w:rPr>
          <w:rFonts w:ascii="Calibri" w:hAnsi="Calibri" w:cs="Calibri"/>
        </w:rPr>
        <w:t>Nine</w:t>
      </w:r>
      <w:r w:rsidRPr="005C607F">
        <w:rPr>
          <w:rFonts w:ascii="Calibri" w:hAnsi="Calibri" w:cs="Calibri"/>
        </w:rPr>
        <w:t xml:space="preserve"> </w:t>
      </w:r>
      <w:r w:rsidR="00167144" w:rsidRPr="005C607F">
        <w:rPr>
          <w:rFonts w:ascii="Calibri" w:hAnsi="Calibri" w:cs="Calibri"/>
        </w:rPr>
        <w:t xml:space="preserve">dogs survived to discharge and all </w:t>
      </w:r>
      <w:r w:rsidR="002439E6">
        <w:rPr>
          <w:rFonts w:ascii="Calibri" w:hAnsi="Calibri" w:cs="Calibri"/>
        </w:rPr>
        <w:t xml:space="preserve">were </w:t>
      </w:r>
      <w:r w:rsidR="00167144" w:rsidRPr="005C607F">
        <w:rPr>
          <w:rFonts w:ascii="Calibri" w:hAnsi="Calibri" w:cs="Calibri"/>
        </w:rPr>
        <w:t xml:space="preserve">treated </w:t>
      </w:r>
      <w:r w:rsidR="00785015">
        <w:rPr>
          <w:rFonts w:ascii="Calibri" w:hAnsi="Calibri" w:cs="Calibri"/>
        </w:rPr>
        <w:t>using</w:t>
      </w:r>
      <w:r w:rsidR="00785015" w:rsidRPr="005C607F">
        <w:rPr>
          <w:rFonts w:ascii="Calibri" w:hAnsi="Calibri" w:cs="Calibri"/>
        </w:rPr>
        <w:t xml:space="preserve"> </w:t>
      </w:r>
      <w:r w:rsidR="00180B81">
        <w:rPr>
          <w:rFonts w:ascii="Calibri" w:hAnsi="Calibri" w:cs="Calibri"/>
        </w:rPr>
        <w:t>a median dose of 1</w:t>
      </w:r>
      <w:r>
        <w:rPr>
          <w:rFonts w:ascii="Calibri" w:hAnsi="Calibri" w:cs="Calibri"/>
        </w:rPr>
        <w:t>1.9</w:t>
      </w:r>
      <w:r w:rsidR="00590A6A">
        <w:rPr>
          <w:rFonts w:ascii="Calibri" w:hAnsi="Calibri" w:cs="Calibri"/>
        </w:rPr>
        <w:t xml:space="preserve"> </w:t>
      </w:r>
      <w:r w:rsidR="00180B81">
        <w:rPr>
          <w:rFonts w:ascii="Calibri" w:hAnsi="Calibri" w:cs="Calibri"/>
        </w:rPr>
        <w:t xml:space="preserve">mg/kg/day </w:t>
      </w:r>
      <w:r w:rsidR="007473E9" w:rsidRPr="005C607F">
        <w:rPr>
          <w:rFonts w:ascii="Calibri" w:hAnsi="Calibri" w:cs="Calibri"/>
        </w:rPr>
        <w:t>(</w:t>
      </w:r>
      <w:r w:rsidR="00590A6A">
        <w:rPr>
          <w:rFonts w:ascii="Calibri" w:hAnsi="Calibri" w:cs="Calibri"/>
        </w:rPr>
        <w:t xml:space="preserve">range, </w:t>
      </w:r>
      <w:r>
        <w:rPr>
          <w:rFonts w:ascii="Calibri" w:hAnsi="Calibri" w:cs="Calibri"/>
        </w:rPr>
        <w:t>8.9</w:t>
      </w:r>
      <w:r w:rsidR="007473E9" w:rsidRPr="005C607F">
        <w:rPr>
          <w:rFonts w:ascii="Calibri" w:hAnsi="Calibri" w:cs="Calibri"/>
        </w:rPr>
        <w:t>-14.4</w:t>
      </w:r>
      <w:r w:rsidR="00590A6A">
        <w:rPr>
          <w:rFonts w:ascii="Calibri" w:hAnsi="Calibri" w:cs="Calibri"/>
        </w:rPr>
        <w:t xml:space="preserve"> </w:t>
      </w:r>
      <w:r w:rsidR="007473E9" w:rsidRPr="005C607F">
        <w:rPr>
          <w:rFonts w:ascii="Calibri" w:hAnsi="Calibri" w:cs="Calibri"/>
        </w:rPr>
        <w:t>mg/kg/day)</w:t>
      </w:r>
      <w:r w:rsidR="007473E9">
        <w:rPr>
          <w:rFonts w:ascii="Calibri" w:hAnsi="Calibri" w:cs="Calibri"/>
        </w:rPr>
        <w:t xml:space="preserve"> </w:t>
      </w:r>
      <w:r w:rsidR="00167144" w:rsidRPr="005C607F">
        <w:rPr>
          <w:rFonts w:ascii="Calibri" w:hAnsi="Calibri" w:cs="Calibri"/>
        </w:rPr>
        <w:t>UDCA post-operatively</w:t>
      </w:r>
      <w:r w:rsidR="00284658">
        <w:rPr>
          <w:rFonts w:ascii="Calibri" w:hAnsi="Calibri" w:cs="Calibri"/>
        </w:rPr>
        <w:t xml:space="preserve"> </w:t>
      </w:r>
      <w:r w:rsidR="00F119F3">
        <w:rPr>
          <w:rFonts w:ascii="Calibri" w:hAnsi="Calibri" w:cs="Calibri"/>
        </w:rPr>
        <w:t xml:space="preserve">for </w:t>
      </w:r>
      <w:r w:rsidR="00284658">
        <w:rPr>
          <w:rFonts w:ascii="Calibri" w:hAnsi="Calibri" w:cs="Calibri"/>
        </w:rPr>
        <w:t>a</w:t>
      </w:r>
      <w:r w:rsidR="00032D9B" w:rsidRPr="005C607F">
        <w:rPr>
          <w:rFonts w:ascii="Calibri" w:hAnsi="Calibri" w:cs="Calibri"/>
        </w:rPr>
        <w:t xml:space="preserve"> median duration of 1</w:t>
      </w:r>
      <w:r>
        <w:rPr>
          <w:rFonts w:ascii="Calibri" w:hAnsi="Calibri" w:cs="Calibri"/>
        </w:rPr>
        <w:t>28.5</w:t>
      </w:r>
      <w:r w:rsidR="00032D9B" w:rsidRPr="005C607F">
        <w:rPr>
          <w:rFonts w:ascii="Calibri" w:hAnsi="Calibri" w:cs="Calibri"/>
        </w:rPr>
        <w:t xml:space="preserve"> days</w:t>
      </w:r>
      <w:r w:rsidR="00A54DFF" w:rsidRPr="005C607F">
        <w:rPr>
          <w:rFonts w:ascii="Calibri" w:hAnsi="Calibri" w:cs="Calibri"/>
        </w:rPr>
        <w:t xml:space="preserve"> (</w:t>
      </w:r>
      <w:r w:rsidR="00A27933">
        <w:rPr>
          <w:rFonts w:ascii="Calibri" w:hAnsi="Calibri" w:cs="Calibri"/>
        </w:rPr>
        <w:t xml:space="preserve">range, </w:t>
      </w:r>
      <w:r w:rsidR="00032D9B" w:rsidRPr="005C607F">
        <w:rPr>
          <w:rFonts w:ascii="Calibri" w:hAnsi="Calibri" w:cs="Calibri"/>
        </w:rPr>
        <w:t>25-1990</w:t>
      </w:r>
      <w:r w:rsidR="0095357F">
        <w:rPr>
          <w:rFonts w:ascii="Calibri" w:hAnsi="Calibri" w:cs="Calibri"/>
        </w:rPr>
        <w:t xml:space="preserve"> </w:t>
      </w:r>
      <w:r w:rsidR="00032D9B" w:rsidRPr="005C607F">
        <w:rPr>
          <w:rFonts w:ascii="Calibri" w:hAnsi="Calibri" w:cs="Calibri"/>
        </w:rPr>
        <w:t>days</w:t>
      </w:r>
      <w:r w:rsidR="00A54DFF" w:rsidRPr="005C607F">
        <w:rPr>
          <w:rFonts w:ascii="Calibri" w:hAnsi="Calibri" w:cs="Calibri"/>
        </w:rPr>
        <w:t>)</w:t>
      </w:r>
      <w:r w:rsidR="00032D9B" w:rsidRPr="005C607F">
        <w:rPr>
          <w:rFonts w:ascii="Calibri" w:hAnsi="Calibri" w:cs="Calibri"/>
        </w:rPr>
        <w:t>.</w:t>
      </w:r>
      <w:r w:rsidR="00B86F50" w:rsidRPr="005C607F">
        <w:rPr>
          <w:rFonts w:ascii="Calibri" w:hAnsi="Calibri" w:cs="Calibri"/>
        </w:rPr>
        <w:t xml:space="preserve"> </w:t>
      </w:r>
      <w:r w:rsidR="00306580" w:rsidRPr="005C607F">
        <w:rPr>
          <w:rFonts w:ascii="Calibri" w:hAnsi="Calibri" w:cs="Calibri"/>
        </w:rPr>
        <w:t xml:space="preserve">Three dogs were treated </w:t>
      </w:r>
      <w:r w:rsidR="00A27933">
        <w:rPr>
          <w:rFonts w:ascii="Calibri" w:hAnsi="Calibri" w:cs="Calibri"/>
        </w:rPr>
        <w:t>using</w:t>
      </w:r>
      <w:r w:rsidR="00A27933" w:rsidRPr="005C607F">
        <w:rPr>
          <w:rFonts w:ascii="Calibri" w:hAnsi="Calibri" w:cs="Calibri"/>
        </w:rPr>
        <w:t xml:space="preserve"> </w:t>
      </w:r>
      <w:r w:rsidR="00306580" w:rsidRPr="005C607F">
        <w:rPr>
          <w:rFonts w:ascii="Calibri" w:hAnsi="Calibri" w:cs="Calibri"/>
        </w:rPr>
        <w:t>S-</w:t>
      </w:r>
      <w:r w:rsidR="00474F9C" w:rsidRPr="005C607F">
        <w:rPr>
          <w:rFonts w:ascii="Calibri" w:hAnsi="Calibri" w:cs="Calibri"/>
        </w:rPr>
        <w:t>adenosylmethionine (</w:t>
      </w:r>
      <w:r w:rsidR="00130BC0" w:rsidRPr="005C607F">
        <w:rPr>
          <w:rFonts w:ascii="Calibri" w:hAnsi="Calibri" w:cs="Calibri"/>
        </w:rPr>
        <w:t>SAMe)</w:t>
      </w:r>
      <w:r w:rsidR="00306580" w:rsidRPr="005C607F">
        <w:rPr>
          <w:rFonts w:ascii="Calibri" w:hAnsi="Calibri" w:cs="Calibri"/>
        </w:rPr>
        <w:t xml:space="preserve">/Silybin </w:t>
      </w:r>
      <w:r w:rsidR="00CC3AA5" w:rsidRPr="005C607F">
        <w:rPr>
          <w:rFonts w:ascii="Calibri" w:hAnsi="Calibri" w:cs="Calibri"/>
        </w:rPr>
        <w:t xml:space="preserve">(Denamarin, Protexin, UK) </w:t>
      </w:r>
      <w:r w:rsidR="00306580" w:rsidRPr="005C607F">
        <w:rPr>
          <w:rFonts w:ascii="Calibri" w:hAnsi="Calibri" w:cs="Calibri"/>
        </w:rPr>
        <w:t>post-operatively</w:t>
      </w:r>
      <w:r w:rsidR="00166DE8" w:rsidRPr="005C607F">
        <w:rPr>
          <w:rFonts w:ascii="Calibri" w:hAnsi="Calibri" w:cs="Calibri"/>
        </w:rPr>
        <w:t xml:space="preserve"> </w:t>
      </w:r>
      <w:r w:rsidR="00A27933">
        <w:rPr>
          <w:rFonts w:ascii="Calibri" w:hAnsi="Calibri" w:cs="Calibri"/>
        </w:rPr>
        <w:t>at</w:t>
      </w:r>
      <w:r w:rsidR="00A27933" w:rsidRPr="005C607F">
        <w:rPr>
          <w:rFonts w:ascii="Calibri" w:hAnsi="Calibri" w:cs="Calibri"/>
        </w:rPr>
        <w:t xml:space="preserve"> </w:t>
      </w:r>
      <w:r w:rsidR="00166DE8" w:rsidRPr="005C607F">
        <w:rPr>
          <w:rFonts w:ascii="Calibri" w:hAnsi="Calibri" w:cs="Calibri"/>
        </w:rPr>
        <w:t>a median dose of 16</w:t>
      </w:r>
      <w:r w:rsidR="00BE7F1B">
        <w:rPr>
          <w:rFonts w:ascii="Calibri" w:hAnsi="Calibri" w:cs="Calibri"/>
        </w:rPr>
        <w:t xml:space="preserve"> </w:t>
      </w:r>
      <w:r w:rsidR="00166DE8" w:rsidRPr="005C607F">
        <w:rPr>
          <w:rFonts w:ascii="Calibri" w:hAnsi="Calibri" w:cs="Calibri"/>
        </w:rPr>
        <w:t>mg/kg/day (</w:t>
      </w:r>
      <w:r w:rsidR="00BE7F1B">
        <w:rPr>
          <w:rFonts w:ascii="Calibri" w:hAnsi="Calibri" w:cs="Calibri"/>
        </w:rPr>
        <w:t xml:space="preserve">range, </w:t>
      </w:r>
      <w:r w:rsidR="00166DE8" w:rsidRPr="005C607F">
        <w:rPr>
          <w:rFonts w:ascii="Calibri" w:hAnsi="Calibri" w:cs="Calibri"/>
        </w:rPr>
        <w:t>11.9-37.7</w:t>
      </w:r>
      <w:r w:rsidR="00BE7F1B">
        <w:rPr>
          <w:rFonts w:ascii="Calibri" w:hAnsi="Calibri" w:cs="Calibri"/>
        </w:rPr>
        <w:t xml:space="preserve"> </w:t>
      </w:r>
      <w:r w:rsidR="00166DE8" w:rsidRPr="005C607F">
        <w:rPr>
          <w:rFonts w:ascii="Calibri" w:hAnsi="Calibri" w:cs="Calibri"/>
        </w:rPr>
        <w:t>mg/kg/day) and median duration of 14 days (</w:t>
      </w:r>
      <w:r w:rsidR="00BE7F1B">
        <w:rPr>
          <w:rFonts w:ascii="Calibri" w:hAnsi="Calibri" w:cs="Calibri"/>
        </w:rPr>
        <w:t xml:space="preserve">range, </w:t>
      </w:r>
      <w:r w:rsidR="0080165C" w:rsidRPr="005C607F">
        <w:rPr>
          <w:rFonts w:ascii="Calibri" w:hAnsi="Calibri" w:cs="Calibri"/>
        </w:rPr>
        <w:t>1</w:t>
      </w:r>
      <w:r w:rsidR="00166DE8" w:rsidRPr="005C607F">
        <w:rPr>
          <w:rFonts w:ascii="Calibri" w:hAnsi="Calibri" w:cs="Calibri"/>
        </w:rPr>
        <w:t>4-28</w:t>
      </w:r>
      <w:r w:rsidR="00AD2801">
        <w:rPr>
          <w:rFonts w:ascii="Calibri" w:hAnsi="Calibri" w:cs="Calibri"/>
        </w:rPr>
        <w:t xml:space="preserve"> </w:t>
      </w:r>
      <w:r w:rsidR="00166DE8" w:rsidRPr="005C607F">
        <w:rPr>
          <w:rFonts w:ascii="Calibri" w:hAnsi="Calibri" w:cs="Calibri"/>
        </w:rPr>
        <w:t>days)</w:t>
      </w:r>
      <w:r w:rsidR="00306580" w:rsidRPr="005C607F">
        <w:rPr>
          <w:rFonts w:ascii="Calibri" w:hAnsi="Calibri" w:cs="Calibri"/>
        </w:rPr>
        <w:t xml:space="preserve">. </w:t>
      </w:r>
      <w:r w:rsidR="0074745E">
        <w:rPr>
          <w:rFonts w:ascii="Calibri" w:hAnsi="Calibri" w:cs="Calibri"/>
        </w:rPr>
        <w:t>Additional post-operative medication</w:t>
      </w:r>
      <w:r w:rsidR="00BE7F1B">
        <w:rPr>
          <w:rFonts w:ascii="Calibri" w:hAnsi="Calibri" w:cs="Calibri"/>
        </w:rPr>
        <w:t>s</w:t>
      </w:r>
      <w:r w:rsidR="0074745E">
        <w:rPr>
          <w:rFonts w:ascii="Calibri" w:hAnsi="Calibri" w:cs="Calibri"/>
        </w:rPr>
        <w:t xml:space="preserve"> consisted of potentiated amoxicillin (n=</w:t>
      </w:r>
      <w:r w:rsidR="0084496D">
        <w:rPr>
          <w:rFonts w:ascii="Calibri" w:hAnsi="Calibri" w:cs="Calibri"/>
        </w:rPr>
        <w:t>4</w:t>
      </w:r>
      <w:r w:rsidR="0074745E">
        <w:rPr>
          <w:rFonts w:ascii="Calibri" w:hAnsi="Calibri" w:cs="Calibri"/>
        </w:rPr>
        <w:t>), cephalexin (n=</w:t>
      </w:r>
      <w:r w:rsidR="0084496D">
        <w:rPr>
          <w:rFonts w:ascii="Calibri" w:hAnsi="Calibri" w:cs="Calibri"/>
        </w:rPr>
        <w:t>2</w:t>
      </w:r>
      <w:r w:rsidR="0074745E">
        <w:rPr>
          <w:rFonts w:ascii="Calibri" w:hAnsi="Calibri" w:cs="Calibri"/>
        </w:rPr>
        <w:t>), marbofloxacin (n=</w:t>
      </w:r>
      <w:r w:rsidR="0084496D">
        <w:rPr>
          <w:rFonts w:ascii="Calibri" w:hAnsi="Calibri" w:cs="Calibri"/>
        </w:rPr>
        <w:t>2</w:t>
      </w:r>
      <w:r w:rsidR="0074745E">
        <w:rPr>
          <w:rFonts w:ascii="Calibri" w:hAnsi="Calibri" w:cs="Calibri"/>
        </w:rPr>
        <w:t xml:space="preserve">), </w:t>
      </w:r>
      <w:r w:rsidR="000B7031">
        <w:rPr>
          <w:rFonts w:ascii="Calibri" w:hAnsi="Calibri" w:cs="Calibri"/>
        </w:rPr>
        <w:t>tramadol (n=</w:t>
      </w:r>
      <w:r w:rsidR="0084496D">
        <w:rPr>
          <w:rFonts w:ascii="Calibri" w:hAnsi="Calibri" w:cs="Calibri"/>
        </w:rPr>
        <w:t>3</w:t>
      </w:r>
      <w:r w:rsidR="000B7031">
        <w:rPr>
          <w:rFonts w:ascii="Calibri" w:hAnsi="Calibri" w:cs="Calibri"/>
        </w:rPr>
        <w:t xml:space="preserve">), carprofen (n=1), paracetamol/codeine (n=1), </w:t>
      </w:r>
      <w:r w:rsidR="0079531A">
        <w:rPr>
          <w:rFonts w:ascii="Calibri" w:hAnsi="Calibri" w:cs="Calibri"/>
        </w:rPr>
        <w:t xml:space="preserve">PO </w:t>
      </w:r>
      <w:r w:rsidR="000B7031">
        <w:rPr>
          <w:rFonts w:ascii="Calibri" w:hAnsi="Calibri" w:cs="Calibri"/>
        </w:rPr>
        <w:t>potassium</w:t>
      </w:r>
      <w:r w:rsidR="00070ABC">
        <w:rPr>
          <w:rFonts w:ascii="Calibri" w:hAnsi="Calibri" w:cs="Calibri"/>
        </w:rPr>
        <w:t xml:space="preserve"> gluconate</w:t>
      </w:r>
      <w:r w:rsidR="000B7031">
        <w:rPr>
          <w:rFonts w:ascii="Calibri" w:hAnsi="Calibri" w:cs="Calibri"/>
        </w:rPr>
        <w:t xml:space="preserve"> (n=1)</w:t>
      </w:r>
      <w:r w:rsidR="009D31B2">
        <w:rPr>
          <w:rFonts w:ascii="Calibri" w:hAnsi="Calibri" w:cs="Calibri"/>
        </w:rPr>
        <w:t xml:space="preserve"> and</w:t>
      </w:r>
      <w:r w:rsidR="000B7031">
        <w:rPr>
          <w:rFonts w:ascii="Calibri" w:hAnsi="Calibri" w:cs="Calibri"/>
        </w:rPr>
        <w:t xml:space="preserve"> </w:t>
      </w:r>
      <w:r w:rsidR="0074745E">
        <w:rPr>
          <w:rFonts w:ascii="Calibri" w:hAnsi="Calibri" w:cs="Calibri"/>
        </w:rPr>
        <w:t>omeprazole (n=1)</w:t>
      </w:r>
      <w:r w:rsidR="00DE0536">
        <w:rPr>
          <w:rFonts w:ascii="Calibri" w:hAnsi="Calibri" w:cs="Calibri"/>
        </w:rPr>
        <w:t>.</w:t>
      </w:r>
    </w:p>
    <w:p w14:paraId="7FA8252C" w14:textId="51451B7C" w:rsidR="00AB4C66" w:rsidRPr="005C607F" w:rsidRDefault="00AB4C66" w:rsidP="00867264">
      <w:pPr>
        <w:spacing w:line="480" w:lineRule="auto"/>
        <w:jc w:val="both"/>
        <w:rPr>
          <w:rFonts w:ascii="Calibri" w:hAnsi="Calibri" w:cs="Calibri"/>
        </w:rPr>
      </w:pPr>
    </w:p>
    <w:p w14:paraId="7939C21C" w14:textId="46657274" w:rsidR="00167144" w:rsidRPr="005C607F" w:rsidRDefault="00167144" w:rsidP="00867264">
      <w:pPr>
        <w:spacing w:line="480" w:lineRule="auto"/>
        <w:jc w:val="both"/>
        <w:rPr>
          <w:rFonts w:ascii="Calibri" w:hAnsi="Calibri" w:cs="Calibri"/>
          <w:b/>
          <w:bCs/>
        </w:rPr>
      </w:pPr>
      <w:r w:rsidRPr="005C607F">
        <w:rPr>
          <w:rFonts w:ascii="Calibri" w:hAnsi="Calibri" w:cs="Calibri"/>
          <w:b/>
          <w:bCs/>
        </w:rPr>
        <w:t>Medical management</w:t>
      </w:r>
    </w:p>
    <w:p w14:paraId="5BFCF95E" w14:textId="19CB3235" w:rsidR="00167144" w:rsidRDefault="00533785" w:rsidP="00867264">
      <w:pPr>
        <w:spacing w:line="480" w:lineRule="auto"/>
        <w:jc w:val="both"/>
        <w:rPr>
          <w:rFonts w:ascii="Calibri" w:hAnsi="Calibri" w:cs="Calibri"/>
        </w:rPr>
      </w:pPr>
      <w:r w:rsidRPr="005C607F">
        <w:rPr>
          <w:rFonts w:ascii="Calibri" w:hAnsi="Calibri" w:cs="Calibri"/>
        </w:rPr>
        <w:t>Medically</w:t>
      </w:r>
      <w:r w:rsidR="00A95D9F">
        <w:rPr>
          <w:rFonts w:ascii="Calibri" w:hAnsi="Calibri" w:cs="Calibri"/>
        </w:rPr>
        <w:t>-</w:t>
      </w:r>
      <w:r w:rsidRPr="005C607F">
        <w:rPr>
          <w:rFonts w:ascii="Calibri" w:hAnsi="Calibri" w:cs="Calibri"/>
        </w:rPr>
        <w:t>managed dogs</w:t>
      </w:r>
      <w:r w:rsidR="00A95D9F">
        <w:rPr>
          <w:rFonts w:ascii="Calibri" w:hAnsi="Calibri" w:cs="Calibri"/>
        </w:rPr>
        <w:t xml:space="preserve"> were</w:t>
      </w:r>
      <w:r w:rsidRPr="005C607F">
        <w:rPr>
          <w:rFonts w:ascii="Calibri" w:hAnsi="Calibri" w:cs="Calibri"/>
        </w:rPr>
        <w:t xml:space="preserve"> </w:t>
      </w:r>
      <w:r w:rsidR="00E318F9">
        <w:rPr>
          <w:rFonts w:ascii="Calibri" w:hAnsi="Calibri" w:cs="Calibri"/>
        </w:rPr>
        <w:t xml:space="preserve">presented </w:t>
      </w:r>
      <w:r w:rsidR="00A95D9F">
        <w:rPr>
          <w:rFonts w:ascii="Calibri" w:hAnsi="Calibri" w:cs="Calibri"/>
        </w:rPr>
        <w:t xml:space="preserve">at </w:t>
      </w:r>
      <w:r w:rsidR="000E0101">
        <w:rPr>
          <w:rFonts w:ascii="Calibri" w:hAnsi="Calibri" w:cs="Calibri"/>
        </w:rPr>
        <w:t xml:space="preserve">a median age of </w:t>
      </w:r>
      <w:r w:rsidR="000E0101" w:rsidRPr="005C607F">
        <w:rPr>
          <w:rFonts w:ascii="Calibri" w:hAnsi="Calibri" w:cs="Calibri"/>
        </w:rPr>
        <w:t>8.</w:t>
      </w:r>
      <w:r w:rsidR="009639E9">
        <w:rPr>
          <w:rFonts w:ascii="Calibri" w:hAnsi="Calibri" w:cs="Calibri"/>
        </w:rPr>
        <w:t>58</w:t>
      </w:r>
      <w:r w:rsidR="000E0101" w:rsidRPr="005C607F">
        <w:rPr>
          <w:rFonts w:ascii="Calibri" w:hAnsi="Calibri" w:cs="Calibri"/>
        </w:rPr>
        <w:t xml:space="preserve"> years (range</w:t>
      </w:r>
      <w:r w:rsidR="007A4C97">
        <w:rPr>
          <w:rFonts w:ascii="Calibri" w:hAnsi="Calibri" w:cs="Calibri"/>
        </w:rPr>
        <w:t>,</w:t>
      </w:r>
      <w:r w:rsidR="000E0101" w:rsidRPr="005C607F">
        <w:rPr>
          <w:rFonts w:ascii="Calibri" w:hAnsi="Calibri" w:cs="Calibri"/>
        </w:rPr>
        <w:t xml:space="preserve"> 0.25-11.7 years)</w:t>
      </w:r>
      <w:r w:rsidR="00167144" w:rsidRPr="005C607F">
        <w:rPr>
          <w:rFonts w:ascii="Calibri" w:hAnsi="Calibri" w:cs="Calibri"/>
        </w:rPr>
        <w:t xml:space="preserve">. </w:t>
      </w:r>
      <w:r w:rsidR="009639E9">
        <w:rPr>
          <w:rFonts w:ascii="Calibri" w:hAnsi="Calibri" w:cs="Calibri"/>
        </w:rPr>
        <w:t>Eight</w:t>
      </w:r>
      <w:r w:rsidR="00167144" w:rsidRPr="005C607F">
        <w:rPr>
          <w:rFonts w:ascii="Calibri" w:hAnsi="Calibri" w:cs="Calibri"/>
        </w:rPr>
        <w:t xml:space="preserve"> dogs</w:t>
      </w:r>
      <w:r w:rsidRPr="005C607F">
        <w:rPr>
          <w:rFonts w:ascii="Calibri" w:hAnsi="Calibri" w:cs="Calibri"/>
        </w:rPr>
        <w:t xml:space="preserve"> (6</w:t>
      </w:r>
      <w:r w:rsidR="009639E9">
        <w:rPr>
          <w:rFonts w:ascii="Calibri" w:hAnsi="Calibri" w:cs="Calibri"/>
        </w:rPr>
        <w:t>1</w:t>
      </w:r>
      <w:r w:rsidRPr="005C607F">
        <w:rPr>
          <w:rFonts w:ascii="Calibri" w:hAnsi="Calibri" w:cs="Calibri"/>
        </w:rPr>
        <w:t>.</w:t>
      </w:r>
      <w:r w:rsidR="009639E9">
        <w:rPr>
          <w:rFonts w:ascii="Calibri" w:hAnsi="Calibri" w:cs="Calibri"/>
        </w:rPr>
        <w:t>5</w:t>
      </w:r>
      <w:r w:rsidRPr="005C607F">
        <w:rPr>
          <w:rFonts w:ascii="Calibri" w:hAnsi="Calibri" w:cs="Calibri"/>
        </w:rPr>
        <w:t>%)</w:t>
      </w:r>
      <w:r w:rsidR="00167144" w:rsidRPr="005C607F">
        <w:rPr>
          <w:rFonts w:ascii="Calibri" w:hAnsi="Calibri" w:cs="Calibri"/>
        </w:rPr>
        <w:t xml:space="preserve"> wer</w:t>
      </w:r>
      <w:r w:rsidR="002F022A">
        <w:rPr>
          <w:rFonts w:ascii="Calibri" w:hAnsi="Calibri" w:cs="Calibri"/>
        </w:rPr>
        <w:t>e</w:t>
      </w:r>
      <w:r w:rsidR="00167144" w:rsidRPr="005C607F">
        <w:rPr>
          <w:rFonts w:ascii="Calibri" w:hAnsi="Calibri" w:cs="Calibri"/>
        </w:rPr>
        <w:t xml:space="preserve"> </w:t>
      </w:r>
      <w:r w:rsidR="0080165C" w:rsidRPr="005C607F">
        <w:rPr>
          <w:rFonts w:ascii="Calibri" w:hAnsi="Calibri" w:cs="Calibri"/>
        </w:rPr>
        <w:t>symptomatic</w:t>
      </w:r>
      <w:r w:rsidR="002F022A">
        <w:rPr>
          <w:rFonts w:ascii="Calibri" w:hAnsi="Calibri" w:cs="Calibri"/>
        </w:rPr>
        <w:t xml:space="preserve"> for</w:t>
      </w:r>
      <w:r w:rsidR="00167144" w:rsidRPr="005C607F">
        <w:rPr>
          <w:rFonts w:ascii="Calibri" w:hAnsi="Calibri" w:cs="Calibri"/>
        </w:rPr>
        <w:t xml:space="preserve"> cholelithiasis and </w:t>
      </w:r>
      <w:r w:rsidR="007A4C97">
        <w:rPr>
          <w:rFonts w:ascii="Calibri" w:hAnsi="Calibri" w:cs="Calibri"/>
        </w:rPr>
        <w:t>5</w:t>
      </w:r>
      <w:r w:rsidR="007A4C97" w:rsidRPr="005C607F">
        <w:rPr>
          <w:rFonts w:ascii="Calibri" w:hAnsi="Calibri" w:cs="Calibri"/>
        </w:rPr>
        <w:t xml:space="preserve"> </w:t>
      </w:r>
      <w:r w:rsidRPr="005C607F">
        <w:rPr>
          <w:rFonts w:ascii="Calibri" w:hAnsi="Calibri" w:cs="Calibri"/>
        </w:rPr>
        <w:t>(3</w:t>
      </w:r>
      <w:r w:rsidR="009639E9">
        <w:rPr>
          <w:rFonts w:ascii="Calibri" w:hAnsi="Calibri" w:cs="Calibri"/>
        </w:rPr>
        <w:t>8</w:t>
      </w:r>
      <w:r w:rsidRPr="005C607F">
        <w:rPr>
          <w:rFonts w:ascii="Calibri" w:hAnsi="Calibri" w:cs="Calibri"/>
        </w:rPr>
        <w:t>.</w:t>
      </w:r>
      <w:r w:rsidR="009639E9">
        <w:rPr>
          <w:rFonts w:ascii="Calibri" w:hAnsi="Calibri" w:cs="Calibri"/>
        </w:rPr>
        <w:t>5</w:t>
      </w:r>
      <w:r w:rsidRPr="005C607F">
        <w:rPr>
          <w:rFonts w:ascii="Calibri" w:hAnsi="Calibri" w:cs="Calibri"/>
        </w:rPr>
        <w:t xml:space="preserve">%) </w:t>
      </w:r>
      <w:r w:rsidR="00167144" w:rsidRPr="005C607F">
        <w:rPr>
          <w:rFonts w:ascii="Calibri" w:hAnsi="Calibri" w:cs="Calibri"/>
        </w:rPr>
        <w:t>were incidental</w:t>
      </w:r>
      <w:r w:rsidR="008C1087">
        <w:rPr>
          <w:rFonts w:ascii="Calibri" w:hAnsi="Calibri" w:cs="Calibri"/>
        </w:rPr>
        <w:t xml:space="preserve"> cases</w:t>
      </w:r>
      <w:r w:rsidR="00167144" w:rsidRPr="005C607F">
        <w:rPr>
          <w:rFonts w:ascii="Calibri" w:hAnsi="Calibri" w:cs="Calibri"/>
        </w:rPr>
        <w:t xml:space="preserve">. The median dose </w:t>
      </w:r>
      <w:r w:rsidR="0095357F">
        <w:rPr>
          <w:rFonts w:ascii="Calibri" w:hAnsi="Calibri" w:cs="Calibri"/>
        </w:rPr>
        <w:t xml:space="preserve">of UCDA </w:t>
      </w:r>
      <w:r w:rsidR="00167144" w:rsidRPr="005C607F">
        <w:rPr>
          <w:rFonts w:ascii="Calibri" w:hAnsi="Calibri" w:cs="Calibri"/>
        </w:rPr>
        <w:t>administered was 11.</w:t>
      </w:r>
      <w:r w:rsidR="003D3521">
        <w:rPr>
          <w:rFonts w:ascii="Calibri" w:hAnsi="Calibri" w:cs="Calibri"/>
        </w:rPr>
        <w:t>7</w:t>
      </w:r>
      <w:r w:rsidR="00340202">
        <w:rPr>
          <w:rFonts w:ascii="Calibri" w:hAnsi="Calibri" w:cs="Calibri"/>
        </w:rPr>
        <w:t xml:space="preserve"> </w:t>
      </w:r>
      <w:r w:rsidR="00167144" w:rsidRPr="005C607F">
        <w:rPr>
          <w:rFonts w:ascii="Calibri" w:hAnsi="Calibri" w:cs="Calibri"/>
        </w:rPr>
        <w:t>mg/kg</w:t>
      </w:r>
      <w:r w:rsidR="00BC26F5">
        <w:rPr>
          <w:rFonts w:ascii="Calibri" w:hAnsi="Calibri" w:cs="Calibri"/>
        </w:rPr>
        <w:t>/</w:t>
      </w:r>
      <w:r w:rsidR="00167144" w:rsidRPr="005C607F">
        <w:rPr>
          <w:rFonts w:ascii="Calibri" w:hAnsi="Calibri" w:cs="Calibri"/>
        </w:rPr>
        <w:t>day (</w:t>
      </w:r>
      <w:r w:rsidR="00340202">
        <w:rPr>
          <w:rFonts w:ascii="Calibri" w:hAnsi="Calibri" w:cs="Calibri"/>
        </w:rPr>
        <w:t xml:space="preserve">range, </w:t>
      </w:r>
      <w:r w:rsidR="00167144" w:rsidRPr="005C607F">
        <w:rPr>
          <w:rFonts w:ascii="Calibri" w:hAnsi="Calibri" w:cs="Calibri"/>
        </w:rPr>
        <w:t>6.2</w:t>
      </w:r>
      <w:r w:rsidR="00180B81">
        <w:rPr>
          <w:rFonts w:ascii="Calibri" w:hAnsi="Calibri" w:cs="Calibri"/>
        </w:rPr>
        <w:t>8-</w:t>
      </w:r>
      <w:r w:rsidR="003D3521">
        <w:rPr>
          <w:rFonts w:ascii="Calibri" w:hAnsi="Calibri" w:cs="Calibri"/>
        </w:rPr>
        <w:t>41.</w:t>
      </w:r>
      <w:r w:rsidR="00A965B8">
        <w:rPr>
          <w:rFonts w:ascii="Calibri" w:hAnsi="Calibri" w:cs="Calibri"/>
        </w:rPr>
        <w:t>1</w:t>
      </w:r>
      <w:r w:rsidR="00340202">
        <w:rPr>
          <w:rFonts w:ascii="Calibri" w:hAnsi="Calibri" w:cs="Calibri"/>
        </w:rPr>
        <w:t xml:space="preserve"> </w:t>
      </w:r>
      <w:r w:rsidR="00167144" w:rsidRPr="005C607F">
        <w:rPr>
          <w:rFonts w:ascii="Calibri" w:hAnsi="Calibri" w:cs="Calibri"/>
        </w:rPr>
        <w:t>mg/kg/day)</w:t>
      </w:r>
      <w:r w:rsidR="00AD2801">
        <w:rPr>
          <w:rFonts w:ascii="Calibri" w:hAnsi="Calibri" w:cs="Calibri"/>
        </w:rPr>
        <w:t xml:space="preserve"> with a</w:t>
      </w:r>
      <w:r w:rsidR="00F67550" w:rsidRPr="005C607F">
        <w:rPr>
          <w:rFonts w:ascii="Calibri" w:hAnsi="Calibri" w:cs="Calibri"/>
        </w:rPr>
        <w:t xml:space="preserve"> median duration of administration </w:t>
      </w:r>
      <w:r w:rsidR="00B5342D">
        <w:rPr>
          <w:rFonts w:ascii="Calibri" w:hAnsi="Calibri" w:cs="Calibri"/>
        </w:rPr>
        <w:t>of</w:t>
      </w:r>
      <w:r w:rsidR="00B5342D" w:rsidRPr="005C607F">
        <w:rPr>
          <w:rFonts w:ascii="Calibri" w:hAnsi="Calibri" w:cs="Calibri"/>
        </w:rPr>
        <w:t xml:space="preserve"> </w:t>
      </w:r>
      <w:r w:rsidR="00F67550" w:rsidRPr="005C607F">
        <w:rPr>
          <w:rFonts w:ascii="Calibri" w:hAnsi="Calibri" w:cs="Calibri"/>
        </w:rPr>
        <w:t>91 days (</w:t>
      </w:r>
      <w:r w:rsidR="00BD7A20">
        <w:rPr>
          <w:rFonts w:ascii="Calibri" w:hAnsi="Calibri" w:cs="Calibri"/>
        </w:rPr>
        <w:t xml:space="preserve">range, </w:t>
      </w:r>
      <w:r w:rsidR="00F67550" w:rsidRPr="005C607F">
        <w:rPr>
          <w:rFonts w:ascii="Calibri" w:hAnsi="Calibri" w:cs="Calibri"/>
        </w:rPr>
        <w:t xml:space="preserve">30-1642 days). </w:t>
      </w:r>
      <w:r w:rsidR="00747D4F" w:rsidRPr="005C607F">
        <w:rPr>
          <w:rFonts w:ascii="Calibri" w:hAnsi="Calibri" w:cs="Calibri"/>
        </w:rPr>
        <w:t>Five dogs were treated</w:t>
      </w:r>
      <w:r w:rsidR="00C903A9" w:rsidRPr="005C607F">
        <w:rPr>
          <w:rFonts w:ascii="Calibri" w:hAnsi="Calibri" w:cs="Calibri"/>
        </w:rPr>
        <w:t xml:space="preserve"> concurrently</w:t>
      </w:r>
      <w:r w:rsidR="00747D4F" w:rsidRPr="005C607F">
        <w:rPr>
          <w:rFonts w:ascii="Calibri" w:hAnsi="Calibri" w:cs="Calibri"/>
        </w:rPr>
        <w:t xml:space="preserve"> with SAMe/Silybin </w:t>
      </w:r>
      <w:r w:rsidR="00BD7A20">
        <w:rPr>
          <w:rFonts w:ascii="Calibri" w:hAnsi="Calibri" w:cs="Calibri"/>
        </w:rPr>
        <w:t>at</w:t>
      </w:r>
      <w:r w:rsidR="00BD7A20" w:rsidRPr="005C607F">
        <w:rPr>
          <w:rFonts w:ascii="Calibri" w:hAnsi="Calibri" w:cs="Calibri"/>
        </w:rPr>
        <w:t xml:space="preserve"> </w:t>
      </w:r>
      <w:r w:rsidR="00747D4F" w:rsidRPr="005C607F">
        <w:rPr>
          <w:rFonts w:ascii="Calibri" w:hAnsi="Calibri" w:cs="Calibri"/>
        </w:rPr>
        <w:t>a median dose of 19.1</w:t>
      </w:r>
      <w:r w:rsidR="00466086">
        <w:rPr>
          <w:rFonts w:ascii="Calibri" w:hAnsi="Calibri" w:cs="Calibri"/>
        </w:rPr>
        <w:t xml:space="preserve"> </w:t>
      </w:r>
      <w:r w:rsidR="00747D4F" w:rsidRPr="005C607F">
        <w:rPr>
          <w:rFonts w:ascii="Calibri" w:hAnsi="Calibri" w:cs="Calibri"/>
        </w:rPr>
        <w:t>mg/kg/day (</w:t>
      </w:r>
      <w:r w:rsidR="00466086">
        <w:rPr>
          <w:rFonts w:ascii="Calibri" w:hAnsi="Calibri" w:cs="Calibri"/>
        </w:rPr>
        <w:t xml:space="preserve">range, </w:t>
      </w:r>
      <w:r w:rsidR="00747D4F" w:rsidRPr="005C607F">
        <w:rPr>
          <w:rFonts w:ascii="Calibri" w:hAnsi="Calibri" w:cs="Calibri"/>
        </w:rPr>
        <w:t>17.9-29.4</w:t>
      </w:r>
      <w:r w:rsidR="00466086">
        <w:rPr>
          <w:rFonts w:ascii="Calibri" w:hAnsi="Calibri" w:cs="Calibri"/>
        </w:rPr>
        <w:t xml:space="preserve"> </w:t>
      </w:r>
      <w:r w:rsidR="00747D4F" w:rsidRPr="005C607F">
        <w:rPr>
          <w:rFonts w:ascii="Calibri" w:hAnsi="Calibri" w:cs="Calibri"/>
        </w:rPr>
        <w:t>mg/kg/day)</w:t>
      </w:r>
      <w:r w:rsidR="002136F8" w:rsidRPr="005C607F">
        <w:rPr>
          <w:rFonts w:ascii="Calibri" w:hAnsi="Calibri" w:cs="Calibri"/>
        </w:rPr>
        <w:t xml:space="preserve"> and</w:t>
      </w:r>
      <w:r w:rsidR="00A639D7" w:rsidRPr="005C607F">
        <w:rPr>
          <w:rFonts w:ascii="Calibri" w:hAnsi="Calibri" w:cs="Calibri"/>
        </w:rPr>
        <w:t xml:space="preserve"> </w:t>
      </w:r>
      <w:r w:rsidR="00466086">
        <w:rPr>
          <w:rFonts w:ascii="Calibri" w:hAnsi="Calibri" w:cs="Calibri"/>
        </w:rPr>
        <w:t>7</w:t>
      </w:r>
      <w:r w:rsidR="00466086" w:rsidRPr="005C607F">
        <w:rPr>
          <w:rFonts w:ascii="Calibri" w:hAnsi="Calibri" w:cs="Calibri"/>
        </w:rPr>
        <w:t xml:space="preserve"> </w:t>
      </w:r>
      <w:r w:rsidR="00A639D7" w:rsidRPr="005C607F">
        <w:rPr>
          <w:rFonts w:ascii="Calibri" w:hAnsi="Calibri" w:cs="Calibri"/>
        </w:rPr>
        <w:t xml:space="preserve">dogs were treated concurrently </w:t>
      </w:r>
      <w:r w:rsidR="00D779E6">
        <w:rPr>
          <w:rFonts w:ascii="Calibri" w:hAnsi="Calibri" w:cs="Calibri"/>
        </w:rPr>
        <w:t>using</w:t>
      </w:r>
      <w:r w:rsidR="00D779E6" w:rsidRPr="005C607F">
        <w:rPr>
          <w:rFonts w:ascii="Calibri" w:hAnsi="Calibri" w:cs="Calibri"/>
        </w:rPr>
        <w:t xml:space="preserve"> </w:t>
      </w:r>
      <w:r w:rsidR="00A639D7" w:rsidRPr="005C607F">
        <w:rPr>
          <w:rFonts w:ascii="Calibri" w:hAnsi="Calibri" w:cs="Calibri"/>
        </w:rPr>
        <w:t>antibiotic</w:t>
      </w:r>
      <w:r w:rsidR="0072311D" w:rsidRPr="005C607F">
        <w:rPr>
          <w:rFonts w:ascii="Calibri" w:hAnsi="Calibri" w:cs="Calibri"/>
        </w:rPr>
        <w:t>s</w:t>
      </w:r>
      <w:r w:rsidR="00187151">
        <w:rPr>
          <w:rFonts w:ascii="Calibri" w:hAnsi="Calibri" w:cs="Calibri"/>
        </w:rPr>
        <w:t>, consisting of potentiated amoxicillin (n=4), amoxicillin (n=1), potentiated amoxicillin and marbofloxacin (n=1) and metronidazole (n=1</w:t>
      </w:r>
      <w:r w:rsidR="005B0DC0">
        <w:rPr>
          <w:rFonts w:ascii="Calibri" w:hAnsi="Calibri" w:cs="Calibri"/>
        </w:rPr>
        <w:t>).</w:t>
      </w:r>
      <w:r w:rsidR="00A639D7" w:rsidRPr="005C607F">
        <w:rPr>
          <w:rFonts w:ascii="Calibri" w:hAnsi="Calibri" w:cs="Calibri"/>
        </w:rPr>
        <w:t xml:space="preserve">  </w:t>
      </w:r>
    </w:p>
    <w:p w14:paraId="2A9B9AEA" w14:textId="39E32F7D" w:rsidR="005251B5" w:rsidRDefault="00AB09DE" w:rsidP="00867264">
      <w:pPr>
        <w:spacing w:line="480" w:lineRule="auto"/>
        <w:jc w:val="both"/>
        <w:rPr>
          <w:rFonts w:ascii="Calibri" w:hAnsi="Calibri" w:cs="Calibri"/>
        </w:rPr>
      </w:pPr>
      <w:r>
        <w:rPr>
          <w:rFonts w:ascii="Calibri" w:hAnsi="Calibri" w:cs="Calibri"/>
        </w:rPr>
        <w:t>Liver biopsy h</w:t>
      </w:r>
      <w:r w:rsidR="005251B5">
        <w:rPr>
          <w:rFonts w:ascii="Calibri" w:hAnsi="Calibri" w:cs="Calibri"/>
        </w:rPr>
        <w:t xml:space="preserve">istopathology results were available for </w:t>
      </w:r>
      <w:r w:rsidR="0091111A">
        <w:rPr>
          <w:rFonts w:ascii="Calibri" w:hAnsi="Calibri" w:cs="Calibri"/>
        </w:rPr>
        <w:t xml:space="preserve">2 </w:t>
      </w:r>
      <w:r w:rsidR="005251B5">
        <w:rPr>
          <w:rFonts w:ascii="Calibri" w:hAnsi="Calibri" w:cs="Calibri"/>
        </w:rPr>
        <w:t>dogs</w:t>
      </w:r>
      <w:r w:rsidR="009F7715">
        <w:rPr>
          <w:rFonts w:ascii="Calibri" w:hAnsi="Calibri" w:cs="Calibri"/>
        </w:rPr>
        <w:t xml:space="preserve"> (</w:t>
      </w:r>
      <w:r w:rsidR="00C862B4">
        <w:rPr>
          <w:rFonts w:ascii="Calibri" w:hAnsi="Calibri" w:cs="Calibri"/>
        </w:rPr>
        <w:t>supplemental information</w:t>
      </w:r>
      <w:r w:rsidR="009F7715">
        <w:rPr>
          <w:rFonts w:ascii="Calibri" w:hAnsi="Calibri" w:cs="Calibri"/>
        </w:rPr>
        <w:t>)</w:t>
      </w:r>
      <w:r w:rsidR="005251B5">
        <w:rPr>
          <w:rFonts w:ascii="Calibri" w:hAnsi="Calibri" w:cs="Calibri"/>
        </w:rPr>
        <w:t xml:space="preserve">. </w:t>
      </w:r>
    </w:p>
    <w:p w14:paraId="6052CE2D" w14:textId="4B19B62E" w:rsidR="004369A8" w:rsidRPr="005C607F" w:rsidRDefault="004369A8" w:rsidP="00867264">
      <w:pPr>
        <w:spacing w:line="480" w:lineRule="auto"/>
        <w:jc w:val="both"/>
        <w:rPr>
          <w:rFonts w:ascii="Calibri" w:hAnsi="Calibri" w:cs="Calibri"/>
        </w:rPr>
      </w:pPr>
      <w:r>
        <w:rPr>
          <w:rFonts w:ascii="Calibri" w:hAnsi="Calibri" w:cs="Calibri"/>
        </w:rPr>
        <w:lastRenderedPageBreak/>
        <w:t xml:space="preserve">Bile cytology </w:t>
      </w:r>
      <w:r w:rsidR="00C862B4">
        <w:rPr>
          <w:rFonts w:ascii="Calibri" w:hAnsi="Calibri" w:cs="Calibri"/>
        </w:rPr>
        <w:t>results were</w:t>
      </w:r>
      <w:r>
        <w:rPr>
          <w:rFonts w:ascii="Calibri" w:hAnsi="Calibri" w:cs="Calibri"/>
        </w:rPr>
        <w:t xml:space="preserve"> available for </w:t>
      </w:r>
      <w:r w:rsidR="003E4FD8">
        <w:rPr>
          <w:rFonts w:ascii="Calibri" w:hAnsi="Calibri" w:cs="Calibri"/>
        </w:rPr>
        <w:t>1</w:t>
      </w:r>
      <w:r>
        <w:rPr>
          <w:rFonts w:ascii="Calibri" w:hAnsi="Calibri" w:cs="Calibri"/>
        </w:rPr>
        <w:t xml:space="preserve"> dog </w:t>
      </w:r>
      <w:r w:rsidR="003E4FD8">
        <w:rPr>
          <w:rFonts w:ascii="Calibri" w:hAnsi="Calibri" w:cs="Calibri"/>
        </w:rPr>
        <w:t>and disclosed</w:t>
      </w:r>
      <w:r>
        <w:rPr>
          <w:rFonts w:ascii="Calibri" w:hAnsi="Calibri" w:cs="Calibri"/>
        </w:rPr>
        <w:t xml:space="preserve"> septic neutrophilic cholecystitis with gram</w:t>
      </w:r>
      <w:r w:rsidR="00BC26F5">
        <w:rPr>
          <w:rFonts w:ascii="Calibri" w:hAnsi="Calibri" w:cs="Calibri"/>
        </w:rPr>
        <w:t>-</w:t>
      </w:r>
      <w:r>
        <w:rPr>
          <w:rFonts w:ascii="Calibri" w:hAnsi="Calibri" w:cs="Calibri"/>
        </w:rPr>
        <w:t xml:space="preserve">positive bacilli. </w:t>
      </w:r>
    </w:p>
    <w:p w14:paraId="58130BC0" w14:textId="6DB6B7FD" w:rsidR="00167144" w:rsidRPr="005C607F" w:rsidRDefault="00167144" w:rsidP="00867264">
      <w:pPr>
        <w:spacing w:line="480" w:lineRule="auto"/>
        <w:jc w:val="both"/>
        <w:rPr>
          <w:rFonts w:ascii="Calibri" w:hAnsi="Calibri" w:cs="Calibri"/>
        </w:rPr>
      </w:pPr>
    </w:p>
    <w:p w14:paraId="66B44798" w14:textId="5E279E76" w:rsidR="00167144" w:rsidRPr="005C607F" w:rsidRDefault="00167144" w:rsidP="00867264">
      <w:pPr>
        <w:spacing w:line="480" w:lineRule="auto"/>
        <w:jc w:val="both"/>
        <w:rPr>
          <w:rFonts w:ascii="Calibri" w:hAnsi="Calibri" w:cs="Calibri"/>
          <w:b/>
          <w:bCs/>
        </w:rPr>
      </w:pPr>
      <w:r w:rsidRPr="005C607F">
        <w:rPr>
          <w:rFonts w:ascii="Calibri" w:hAnsi="Calibri" w:cs="Calibri"/>
          <w:b/>
          <w:bCs/>
        </w:rPr>
        <w:t>No treatment</w:t>
      </w:r>
    </w:p>
    <w:p w14:paraId="5FEC1EE7" w14:textId="30DEE9A8" w:rsidR="00C1245D" w:rsidRPr="005C607F" w:rsidRDefault="008303C6" w:rsidP="00867264">
      <w:pPr>
        <w:spacing w:line="480" w:lineRule="auto"/>
        <w:jc w:val="both"/>
        <w:rPr>
          <w:rFonts w:ascii="Calibri" w:hAnsi="Calibri" w:cs="Calibri"/>
        </w:rPr>
      </w:pPr>
      <w:r>
        <w:rPr>
          <w:rFonts w:ascii="Calibri" w:hAnsi="Calibri" w:cs="Calibri"/>
        </w:rPr>
        <w:t>Fifteen</w:t>
      </w:r>
      <w:r w:rsidRPr="005C607F">
        <w:rPr>
          <w:rFonts w:ascii="Calibri" w:hAnsi="Calibri" w:cs="Calibri"/>
        </w:rPr>
        <w:t xml:space="preserve"> </w:t>
      </w:r>
      <w:r w:rsidR="00167144" w:rsidRPr="005C607F">
        <w:rPr>
          <w:rFonts w:ascii="Calibri" w:hAnsi="Calibri" w:cs="Calibri"/>
        </w:rPr>
        <w:t>dogs received no specific treatment for cholelithiasis</w:t>
      </w:r>
      <w:r w:rsidR="00180B81">
        <w:rPr>
          <w:rFonts w:ascii="Calibri" w:hAnsi="Calibri" w:cs="Calibri"/>
        </w:rPr>
        <w:t xml:space="preserve"> and all were incidental</w:t>
      </w:r>
      <w:r w:rsidR="00456B29">
        <w:rPr>
          <w:rFonts w:ascii="Calibri" w:hAnsi="Calibri" w:cs="Calibri"/>
        </w:rPr>
        <w:t xml:space="preserve"> cases</w:t>
      </w:r>
      <w:r w:rsidR="00167144" w:rsidRPr="005C607F">
        <w:rPr>
          <w:rFonts w:ascii="Calibri" w:hAnsi="Calibri" w:cs="Calibri"/>
        </w:rPr>
        <w:t xml:space="preserve">. </w:t>
      </w:r>
      <w:r w:rsidR="00E56360">
        <w:rPr>
          <w:rFonts w:ascii="Calibri" w:hAnsi="Calibri" w:cs="Calibri"/>
        </w:rPr>
        <w:t xml:space="preserve">The primary disease processes </w:t>
      </w:r>
      <w:r w:rsidR="00E56360" w:rsidRPr="005C607F">
        <w:rPr>
          <w:rFonts w:ascii="Calibri" w:hAnsi="Calibri" w:cs="Calibri"/>
        </w:rPr>
        <w:t>were neoplasia (n=8), autoimmune (n=2), neurological (n=2),</w:t>
      </w:r>
      <w:r w:rsidR="00E56360">
        <w:rPr>
          <w:rFonts w:ascii="Calibri" w:hAnsi="Calibri" w:cs="Calibri"/>
        </w:rPr>
        <w:t xml:space="preserve"> </w:t>
      </w:r>
      <w:r w:rsidR="00E56360" w:rsidRPr="005C607F">
        <w:rPr>
          <w:rFonts w:ascii="Calibri" w:hAnsi="Calibri" w:cs="Calibri"/>
        </w:rPr>
        <w:t>hepatobiliary (n=</w:t>
      </w:r>
      <w:r w:rsidR="00E56360">
        <w:rPr>
          <w:rFonts w:ascii="Calibri" w:hAnsi="Calibri" w:cs="Calibri"/>
        </w:rPr>
        <w:t>1</w:t>
      </w:r>
      <w:r w:rsidR="00E56360" w:rsidRPr="005C607F">
        <w:rPr>
          <w:rFonts w:ascii="Calibri" w:hAnsi="Calibri" w:cs="Calibri"/>
        </w:rPr>
        <w:t>), endocrine (n=</w:t>
      </w:r>
      <w:r w:rsidR="00E56360">
        <w:rPr>
          <w:rFonts w:ascii="Calibri" w:hAnsi="Calibri" w:cs="Calibri"/>
        </w:rPr>
        <w:t>1</w:t>
      </w:r>
      <w:r w:rsidR="00E56360" w:rsidRPr="005C607F">
        <w:rPr>
          <w:rFonts w:ascii="Calibri" w:hAnsi="Calibri" w:cs="Calibri"/>
        </w:rPr>
        <w:t>) and reproductive (n=1</w:t>
      </w:r>
      <w:r w:rsidR="00E56360">
        <w:rPr>
          <w:rFonts w:ascii="Calibri" w:hAnsi="Calibri" w:cs="Calibri"/>
        </w:rPr>
        <w:t xml:space="preserve">). </w:t>
      </w:r>
      <w:r w:rsidR="00167144" w:rsidRPr="005C607F">
        <w:rPr>
          <w:rFonts w:ascii="Calibri" w:hAnsi="Calibri" w:cs="Calibri"/>
        </w:rPr>
        <w:t>The median age was 10</w:t>
      </w:r>
      <w:r w:rsidR="00065D4A" w:rsidRPr="005C607F">
        <w:rPr>
          <w:rFonts w:ascii="Calibri" w:hAnsi="Calibri" w:cs="Calibri"/>
        </w:rPr>
        <w:t>.83</w:t>
      </w:r>
      <w:r w:rsidR="00167144" w:rsidRPr="005C607F">
        <w:rPr>
          <w:rFonts w:ascii="Calibri" w:hAnsi="Calibri" w:cs="Calibri"/>
        </w:rPr>
        <w:t xml:space="preserve"> years</w:t>
      </w:r>
      <w:r w:rsidR="00065D4A" w:rsidRPr="005C607F">
        <w:rPr>
          <w:rFonts w:ascii="Calibri" w:hAnsi="Calibri" w:cs="Calibri"/>
        </w:rPr>
        <w:t xml:space="preserve"> (range</w:t>
      </w:r>
      <w:r w:rsidR="0012671C">
        <w:rPr>
          <w:rFonts w:ascii="Calibri" w:hAnsi="Calibri" w:cs="Calibri"/>
        </w:rPr>
        <w:t>,</w:t>
      </w:r>
      <w:r w:rsidR="00065D4A" w:rsidRPr="005C607F">
        <w:rPr>
          <w:rFonts w:ascii="Calibri" w:hAnsi="Calibri" w:cs="Calibri"/>
        </w:rPr>
        <w:t xml:space="preserve"> 7.25-12.0 years). </w:t>
      </w:r>
      <w:r w:rsidR="00C1245D">
        <w:rPr>
          <w:rFonts w:ascii="Calibri" w:hAnsi="Calibri" w:cs="Calibri"/>
        </w:rPr>
        <w:t xml:space="preserve">Histopathology </w:t>
      </w:r>
      <w:r w:rsidR="001D1695">
        <w:rPr>
          <w:rFonts w:ascii="Calibri" w:hAnsi="Calibri" w:cs="Calibri"/>
        </w:rPr>
        <w:t>results were</w:t>
      </w:r>
      <w:r w:rsidR="00C1245D">
        <w:rPr>
          <w:rFonts w:ascii="Calibri" w:hAnsi="Calibri" w:cs="Calibri"/>
        </w:rPr>
        <w:t xml:space="preserve"> available for one dog</w:t>
      </w:r>
      <w:r w:rsidR="009F7715">
        <w:rPr>
          <w:rFonts w:ascii="Calibri" w:hAnsi="Calibri" w:cs="Calibri"/>
        </w:rPr>
        <w:t xml:space="preserve"> (</w:t>
      </w:r>
      <w:r w:rsidR="00921AF9">
        <w:rPr>
          <w:rFonts w:ascii="Calibri" w:hAnsi="Calibri" w:cs="Calibri"/>
        </w:rPr>
        <w:t>supplemental information</w:t>
      </w:r>
      <w:r w:rsidR="009F7715">
        <w:rPr>
          <w:rFonts w:ascii="Calibri" w:hAnsi="Calibri" w:cs="Calibri"/>
        </w:rPr>
        <w:t>)</w:t>
      </w:r>
      <w:r w:rsidR="00C1245D">
        <w:rPr>
          <w:rFonts w:ascii="Calibri" w:hAnsi="Calibri" w:cs="Calibri"/>
        </w:rPr>
        <w:t xml:space="preserve">. </w:t>
      </w:r>
    </w:p>
    <w:p w14:paraId="23BB9138" w14:textId="77777777" w:rsidR="006C57FB" w:rsidRPr="005C607F" w:rsidRDefault="006C57FB" w:rsidP="00867264">
      <w:pPr>
        <w:spacing w:line="480" w:lineRule="auto"/>
        <w:jc w:val="both"/>
        <w:rPr>
          <w:rFonts w:ascii="Calibri" w:hAnsi="Calibri" w:cs="Calibri"/>
          <w:b/>
          <w:bCs/>
        </w:rPr>
      </w:pPr>
    </w:p>
    <w:p w14:paraId="01684C79" w14:textId="77777777" w:rsidR="009B0FA2" w:rsidRPr="005C607F" w:rsidRDefault="009B0FA2" w:rsidP="00867264">
      <w:pPr>
        <w:spacing w:line="480" w:lineRule="auto"/>
        <w:jc w:val="both"/>
        <w:rPr>
          <w:rFonts w:ascii="Calibri" w:hAnsi="Calibri" w:cs="Calibri"/>
        </w:rPr>
      </w:pPr>
      <w:r w:rsidRPr="005C607F">
        <w:rPr>
          <w:rFonts w:ascii="Calibri" w:hAnsi="Calibri" w:cs="Calibri"/>
          <w:b/>
          <w:bCs/>
        </w:rPr>
        <w:t>Outcomes</w:t>
      </w:r>
    </w:p>
    <w:p w14:paraId="194A6FF0" w14:textId="77777777" w:rsidR="009B0FA2" w:rsidRPr="005C607F" w:rsidRDefault="009B0FA2" w:rsidP="00867264">
      <w:pPr>
        <w:spacing w:line="480" w:lineRule="auto"/>
        <w:jc w:val="both"/>
        <w:rPr>
          <w:rFonts w:ascii="Calibri" w:hAnsi="Calibri" w:cs="Calibri"/>
          <w:b/>
          <w:bCs/>
        </w:rPr>
      </w:pPr>
      <w:r w:rsidRPr="005C607F">
        <w:rPr>
          <w:rFonts w:ascii="Calibri" w:hAnsi="Calibri" w:cs="Calibri"/>
          <w:b/>
          <w:bCs/>
        </w:rPr>
        <w:t>Surgical management outcome</w:t>
      </w:r>
    </w:p>
    <w:p w14:paraId="57B50395" w14:textId="4D88A40F" w:rsidR="009B0FA2" w:rsidRDefault="009B0FA2" w:rsidP="00867264">
      <w:pPr>
        <w:spacing w:line="480" w:lineRule="auto"/>
        <w:jc w:val="both"/>
        <w:rPr>
          <w:rFonts w:ascii="Calibri" w:hAnsi="Calibri" w:cs="Calibri"/>
        </w:rPr>
      </w:pPr>
      <w:r>
        <w:rPr>
          <w:rFonts w:ascii="Calibri" w:hAnsi="Calibri" w:cs="Calibri"/>
        </w:rPr>
        <w:t xml:space="preserve">Follow-up biochemistry results were available for </w:t>
      </w:r>
      <w:r w:rsidR="001B3020">
        <w:rPr>
          <w:rFonts w:ascii="Calibri" w:hAnsi="Calibri" w:cs="Calibri"/>
        </w:rPr>
        <w:t xml:space="preserve">7 </w:t>
      </w:r>
      <w:r>
        <w:rPr>
          <w:rFonts w:ascii="Calibri" w:hAnsi="Calibri" w:cs="Calibri"/>
        </w:rPr>
        <w:t>dogs with a median final follow-up time of 193 days (range</w:t>
      </w:r>
      <w:r w:rsidR="00112136">
        <w:rPr>
          <w:rFonts w:ascii="Calibri" w:hAnsi="Calibri" w:cs="Calibri"/>
        </w:rPr>
        <w:t>,</w:t>
      </w:r>
      <w:r>
        <w:rPr>
          <w:rFonts w:ascii="Calibri" w:hAnsi="Calibri" w:cs="Calibri"/>
        </w:rPr>
        <w:t xml:space="preserve"> 27-1463</w:t>
      </w:r>
      <w:r w:rsidR="00112136">
        <w:rPr>
          <w:rFonts w:ascii="Calibri" w:hAnsi="Calibri" w:cs="Calibri"/>
        </w:rPr>
        <w:t xml:space="preserve"> days</w:t>
      </w:r>
      <w:r w:rsidR="00150CE7">
        <w:rPr>
          <w:rFonts w:ascii="Calibri" w:hAnsi="Calibri" w:cs="Calibri"/>
        </w:rPr>
        <w:t xml:space="preserve">; </w:t>
      </w:r>
      <w:r w:rsidR="006F5FD6">
        <w:rPr>
          <w:rFonts w:ascii="Calibri" w:hAnsi="Calibri" w:cs="Calibri"/>
        </w:rPr>
        <w:t>Table 5</w:t>
      </w:r>
      <w:r>
        <w:rPr>
          <w:rFonts w:ascii="Calibri" w:hAnsi="Calibri" w:cs="Calibri"/>
        </w:rPr>
        <w:t xml:space="preserve">). Follow-up AUS was performed in </w:t>
      </w:r>
      <w:r w:rsidR="00E513C4">
        <w:rPr>
          <w:rFonts w:ascii="Calibri" w:hAnsi="Calibri" w:cs="Calibri"/>
        </w:rPr>
        <w:t xml:space="preserve">7 </w:t>
      </w:r>
      <w:r>
        <w:rPr>
          <w:rFonts w:ascii="Calibri" w:hAnsi="Calibri" w:cs="Calibri"/>
        </w:rPr>
        <w:t>surgically managed dogs with a median time from presentation to final AUS of 325 days (range</w:t>
      </w:r>
      <w:r w:rsidR="00B740C4">
        <w:rPr>
          <w:rFonts w:ascii="Calibri" w:hAnsi="Calibri" w:cs="Calibri"/>
        </w:rPr>
        <w:t>,</w:t>
      </w:r>
      <w:r>
        <w:rPr>
          <w:rFonts w:ascii="Calibri" w:hAnsi="Calibri" w:cs="Calibri"/>
        </w:rPr>
        <w:t xml:space="preserve"> 12-1461</w:t>
      </w:r>
      <w:r w:rsidR="00B740C4">
        <w:rPr>
          <w:rFonts w:ascii="Calibri" w:hAnsi="Calibri" w:cs="Calibri"/>
        </w:rPr>
        <w:t xml:space="preserve"> days</w:t>
      </w:r>
      <w:r w:rsidR="0017750A">
        <w:rPr>
          <w:rFonts w:ascii="Calibri" w:hAnsi="Calibri" w:cs="Calibri"/>
        </w:rPr>
        <w:t xml:space="preserve">; </w:t>
      </w:r>
      <w:r>
        <w:rPr>
          <w:rFonts w:ascii="Calibri" w:hAnsi="Calibri" w:cs="Calibri"/>
        </w:rPr>
        <w:t>Table</w:t>
      </w:r>
      <w:r w:rsidR="00114165">
        <w:rPr>
          <w:rFonts w:ascii="Calibri" w:hAnsi="Calibri" w:cs="Calibri"/>
        </w:rPr>
        <w:t xml:space="preserve"> </w:t>
      </w:r>
      <w:r w:rsidR="006F5FD6">
        <w:rPr>
          <w:rFonts w:ascii="Calibri" w:hAnsi="Calibri" w:cs="Calibri"/>
        </w:rPr>
        <w:t>6</w:t>
      </w:r>
      <w:r>
        <w:rPr>
          <w:rFonts w:ascii="Calibri" w:hAnsi="Calibri" w:cs="Calibri"/>
        </w:rPr>
        <w:t xml:space="preserve">). </w:t>
      </w:r>
      <w:r w:rsidR="001167B1">
        <w:rPr>
          <w:rFonts w:ascii="Calibri" w:hAnsi="Calibri" w:cs="Calibri"/>
        </w:rPr>
        <w:t>Five of seven</w:t>
      </w:r>
      <w:r w:rsidR="00663321">
        <w:rPr>
          <w:rFonts w:ascii="Calibri" w:hAnsi="Calibri" w:cs="Calibri"/>
        </w:rPr>
        <w:t xml:space="preserve"> (</w:t>
      </w:r>
      <w:r w:rsidR="005D6257">
        <w:rPr>
          <w:rFonts w:ascii="Calibri" w:hAnsi="Calibri" w:cs="Calibri"/>
        </w:rPr>
        <w:t>71.4</w:t>
      </w:r>
      <w:r>
        <w:rPr>
          <w:rFonts w:ascii="Calibri" w:hAnsi="Calibri" w:cs="Calibri"/>
        </w:rPr>
        <w:t>%</w:t>
      </w:r>
      <w:r w:rsidR="00663321">
        <w:rPr>
          <w:rFonts w:ascii="Calibri" w:hAnsi="Calibri" w:cs="Calibri"/>
        </w:rPr>
        <w:t>)</w:t>
      </w:r>
      <w:r w:rsidRPr="005C607F">
        <w:rPr>
          <w:rFonts w:ascii="Calibri" w:hAnsi="Calibri" w:cs="Calibri"/>
        </w:rPr>
        <w:t xml:space="preserve"> dogs with imaging follow-up </w:t>
      </w:r>
      <w:r w:rsidR="00F21505">
        <w:rPr>
          <w:rFonts w:ascii="Calibri" w:hAnsi="Calibri" w:cs="Calibri"/>
        </w:rPr>
        <w:t>experienced</w:t>
      </w:r>
      <w:r w:rsidRPr="005C607F">
        <w:rPr>
          <w:rFonts w:ascii="Calibri" w:hAnsi="Calibri" w:cs="Calibri"/>
        </w:rPr>
        <w:t xml:space="preserve"> complete resolution of cholelithiasis</w:t>
      </w:r>
      <w:r w:rsidR="00BE4FC1">
        <w:rPr>
          <w:rFonts w:ascii="Calibri" w:hAnsi="Calibri" w:cs="Calibri"/>
        </w:rPr>
        <w:t xml:space="preserve">, </w:t>
      </w:r>
      <w:r w:rsidR="00C67EDC">
        <w:rPr>
          <w:rFonts w:ascii="Calibri" w:hAnsi="Calibri" w:cs="Calibri"/>
        </w:rPr>
        <w:t>and 2/7 (29.6%)</w:t>
      </w:r>
      <w:r w:rsidR="006C53A2">
        <w:rPr>
          <w:rFonts w:ascii="Calibri" w:hAnsi="Calibri" w:cs="Calibri"/>
        </w:rPr>
        <w:t xml:space="preserve"> </w:t>
      </w:r>
      <w:r w:rsidR="00C67EDC">
        <w:rPr>
          <w:rFonts w:ascii="Calibri" w:hAnsi="Calibri" w:cs="Calibri"/>
        </w:rPr>
        <w:t>did not have complete resolution</w:t>
      </w:r>
      <w:r w:rsidRPr="005C607F">
        <w:rPr>
          <w:rFonts w:ascii="Calibri" w:hAnsi="Calibri" w:cs="Calibri"/>
        </w:rPr>
        <w:t xml:space="preserve">. </w:t>
      </w:r>
    </w:p>
    <w:p w14:paraId="565755B7" w14:textId="6F4FD5F7" w:rsidR="009B0FA2" w:rsidRPr="005C607F" w:rsidRDefault="009B0FA2" w:rsidP="00867264">
      <w:pPr>
        <w:spacing w:line="480" w:lineRule="auto"/>
        <w:jc w:val="both"/>
        <w:rPr>
          <w:rFonts w:ascii="Calibri" w:hAnsi="Calibri" w:cs="Calibri"/>
        </w:rPr>
      </w:pPr>
      <w:r w:rsidRPr="005C607F">
        <w:rPr>
          <w:rFonts w:ascii="Calibri" w:hAnsi="Calibri" w:cs="Calibri"/>
        </w:rPr>
        <w:t>T</w:t>
      </w:r>
      <w:r w:rsidR="001A6F43">
        <w:rPr>
          <w:rFonts w:ascii="Calibri" w:hAnsi="Calibri" w:cs="Calibri"/>
        </w:rPr>
        <w:t>hree</w:t>
      </w:r>
      <w:r w:rsidRPr="005C607F">
        <w:rPr>
          <w:rFonts w:ascii="Calibri" w:hAnsi="Calibri" w:cs="Calibri"/>
        </w:rPr>
        <w:t xml:space="preserve"> </w:t>
      </w:r>
      <w:r w:rsidR="0017750A">
        <w:rPr>
          <w:rFonts w:ascii="Calibri" w:hAnsi="Calibri" w:cs="Calibri"/>
        </w:rPr>
        <w:t>dogs were</w:t>
      </w:r>
      <w:r w:rsidR="0017750A" w:rsidRPr="005C607F">
        <w:rPr>
          <w:rFonts w:ascii="Calibri" w:hAnsi="Calibri" w:cs="Calibri"/>
        </w:rPr>
        <w:t xml:space="preserve"> </w:t>
      </w:r>
      <w:r w:rsidRPr="005C607F">
        <w:rPr>
          <w:rFonts w:ascii="Calibri" w:hAnsi="Calibri" w:cs="Calibri"/>
        </w:rPr>
        <w:t xml:space="preserve">alive at the time of writing, </w:t>
      </w:r>
      <w:r w:rsidR="0017750A">
        <w:rPr>
          <w:rFonts w:ascii="Calibri" w:hAnsi="Calibri" w:cs="Calibri"/>
        </w:rPr>
        <w:t>6 were dead and</w:t>
      </w:r>
      <w:r w:rsidR="0017750A" w:rsidRPr="005C607F">
        <w:rPr>
          <w:rFonts w:ascii="Calibri" w:hAnsi="Calibri" w:cs="Calibri"/>
        </w:rPr>
        <w:t xml:space="preserve"> </w:t>
      </w:r>
      <w:r w:rsidR="0017750A">
        <w:rPr>
          <w:rFonts w:ascii="Calibri" w:hAnsi="Calibri" w:cs="Calibri"/>
        </w:rPr>
        <w:t>1 was</w:t>
      </w:r>
      <w:r w:rsidRPr="005C607F">
        <w:rPr>
          <w:rFonts w:ascii="Calibri" w:hAnsi="Calibri" w:cs="Calibri"/>
        </w:rPr>
        <w:t xml:space="preserve"> lost to follow</w:t>
      </w:r>
      <w:r w:rsidR="009E7B4B">
        <w:rPr>
          <w:rFonts w:ascii="Calibri" w:hAnsi="Calibri" w:cs="Calibri"/>
        </w:rPr>
        <w:t>-</w:t>
      </w:r>
      <w:r w:rsidRPr="005C607F">
        <w:rPr>
          <w:rFonts w:ascii="Calibri" w:hAnsi="Calibri" w:cs="Calibri"/>
        </w:rPr>
        <w:t>up</w:t>
      </w:r>
      <w:r>
        <w:rPr>
          <w:rFonts w:ascii="Calibri" w:hAnsi="Calibri" w:cs="Calibri"/>
        </w:rPr>
        <w:t xml:space="preserve"> (Figure </w:t>
      </w:r>
      <w:r w:rsidR="007D4DB0">
        <w:rPr>
          <w:rFonts w:ascii="Calibri" w:hAnsi="Calibri" w:cs="Calibri"/>
        </w:rPr>
        <w:t>1</w:t>
      </w:r>
      <w:r>
        <w:rPr>
          <w:rFonts w:ascii="Calibri" w:hAnsi="Calibri" w:cs="Calibri"/>
        </w:rPr>
        <w:t>)</w:t>
      </w:r>
      <w:r w:rsidRPr="005C607F">
        <w:rPr>
          <w:rFonts w:ascii="Calibri" w:hAnsi="Calibri" w:cs="Calibri"/>
        </w:rPr>
        <w:t xml:space="preserve">. Median survival time </w:t>
      </w:r>
      <w:r w:rsidR="00F439FB">
        <w:rPr>
          <w:rFonts w:ascii="Calibri" w:hAnsi="Calibri" w:cs="Calibri"/>
        </w:rPr>
        <w:t>wa</w:t>
      </w:r>
      <w:r w:rsidRPr="005C607F">
        <w:rPr>
          <w:rFonts w:ascii="Calibri" w:hAnsi="Calibri" w:cs="Calibri"/>
        </w:rPr>
        <w:t xml:space="preserve">s </w:t>
      </w:r>
      <w:r w:rsidR="00F66F8D">
        <w:rPr>
          <w:rFonts w:ascii="Calibri" w:hAnsi="Calibri" w:cs="Calibri"/>
        </w:rPr>
        <w:t>577</w:t>
      </w:r>
      <w:r w:rsidRPr="005C607F">
        <w:rPr>
          <w:rFonts w:ascii="Calibri" w:hAnsi="Calibri" w:cs="Calibri"/>
        </w:rPr>
        <w:t xml:space="preserve"> days (range</w:t>
      </w:r>
      <w:r w:rsidR="000F218F">
        <w:rPr>
          <w:rFonts w:ascii="Calibri" w:hAnsi="Calibri" w:cs="Calibri"/>
        </w:rPr>
        <w:t>,</w:t>
      </w:r>
      <w:r w:rsidRPr="005C607F">
        <w:rPr>
          <w:rFonts w:ascii="Calibri" w:hAnsi="Calibri" w:cs="Calibri"/>
        </w:rPr>
        <w:t xml:space="preserve"> 0-</w:t>
      </w:r>
      <w:r w:rsidR="00F66F8D">
        <w:rPr>
          <w:rFonts w:ascii="Calibri" w:hAnsi="Calibri" w:cs="Calibri"/>
        </w:rPr>
        <w:t>2266</w:t>
      </w:r>
      <w:r w:rsidR="000F218F">
        <w:rPr>
          <w:rFonts w:ascii="Calibri" w:hAnsi="Calibri" w:cs="Calibri"/>
        </w:rPr>
        <w:t xml:space="preserve"> days</w:t>
      </w:r>
      <w:r w:rsidRPr="005C607F">
        <w:rPr>
          <w:rFonts w:ascii="Calibri" w:hAnsi="Calibri" w:cs="Calibri"/>
        </w:rPr>
        <w:t xml:space="preserve">). One dog underwent repeat surgery to place a biliary stent 198 days after initial cholecystectomy </w:t>
      </w:r>
      <w:r w:rsidR="00D3674B">
        <w:rPr>
          <w:rFonts w:ascii="Calibri" w:hAnsi="Calibri" w:cs="Calibri"/>
        </w:rPr>
        <w:t>because of</w:t>
      </w:r>
      <w:r w:rsidRPr="005C607F">
        <w:rPr>
          <w:rFonts w:ascii="Calibri" w:hAnsi="Calibri" w:cs="Calibri"/>
        </w:rPr>
        <w:t xml:space="preserve"> lack of clinical improvement and persistently </w:t>
      </w:r>
      <w:r w:rsidR="00D3674B">
        <w:rPr>
          <w:rFonts w:ascii="Calibri" w:hAnsi="Calibri" w:cs="Calibri"/>
        </w:rPr>
        <w:t>increased</w:t>
      </w:r>
      <w:r w:rsidR="00D3674B" w:rsidRPr="005C607F">
        <w:rPr>
          <w:rFonts w:ascii="Calibri" w:hAnsi="Calibri" w:cs="Calibri"/>
        </w:rPr>
        <w:t xml:space="preserve"> </w:t>
      </w:r>
      <w:r w:rsidRPr="005C607F">
        <w:rPr>
          <w:rFonts w:ascii="Calibri" w:hAnsi="Calibri" w:cs="Calibri"/>
        </w:rPr>
        <w:t>liver enzyme</w:t>
      </w:r>
      <w:r w:rsidR="00D3674B">
        <w:rPr>
          <w:rFonts w:ascii="Calibri" w:hAnsi="Calibri" w:cs="Calibri"/>
        </w:rPr>
        <w:t xml:space="preserve"> activitie</w:t>
      </w:r>
      <w:r w:rsidRPr="005C607F">
        <w:rPr>
          <w:rFonts w:ascii="Calibri" w:hAnsi="Calibri" w:cs="Calibri"/>
        </w:rPr>
        <w:t xml:space="preserve">s, suspected to be </w:t>
      </w:r>
      <w:r w:rsidR="00D3674B">
        <w:rPr>
          <w:rFonts w:ascii="Calibri" w:hAnsi="Calibri" w:cs="Calibri"/>
        </w:rPr>
        <w:t>caused by</w:t>
      </w:r>
      <w:r w:rsidRPr="005C607F">
        <w:rPr>
          <w:rFonts w:ascii="Calibri" w:hAnsi="Calibri" w:cs="Calibri"/>
        </w:rPr>
        <w:t xml:space="preserve"> chronic scarring of the sphincter</w:t>
      </w:r>
      <w:r w:rsidR="00D3674B">
        <w:rPr>
          <w:rFonts w:ascii="Calibri" w:hAnsi="Calibri" w:cs="Calibri"/>
        </w:rPr>
        <w:t>,</w:t>
      </w:r>
      <w:r w:rsidRPr="005C607F">
        <w:rPr>
          <w:rFonts w:ascii="Calibri" w:hAnsi="Calibri" w:cs="Calibri"/>
        </w:rPr>
        <w:t xml:space="preserve"> resulting in chronic biliary tract obstruction.</w:t>
      </w:r>
      <w:r>
        <w:rPr>
          <w:rFonts w:ascii="Calibri" w:hAnsi="Calibri" w:cs="Calibri"/>
        </w:rPr>
        <w:t xml:space="preserve"> C</w:t>
      </w:r>
      <w:r w:rsidRPr="005C607F">
        <w:rPr>
          <w:rFonts w:ascii="Calibri" w:hAnsi="Calibri" w:cs="Calibri"/>
        </w:rPr>
        <w:t xml:space="preserve">omplete resolution of cholelithiasis </w:t>
      </w:r>
      <w:r>
        <w:rPr>
          <w:rFonts w:ascii="Calibri" w:hAnsi="Calibri" w:cs="Calibri"/>
        </w:rPr>
        <w:t xml:space="preserve">was documented </w:t>
      </w:r>
      <w:r w:rsidRPr="005C607F">
        <w:rPr>
          <w:rFonts w:ascii="Calibri" w:hAnsi="Calibri" w:cs="Calibri"/>
        </w:rPr>
        <w:t xml:space="preserve">at imaging follow-up 134 days after </w:t>
      </w:r>
      <w:r w:rsidR="005872D2">
        <w:rPr>
          <w:rFonts w:ascii="Calibri" w:hAnsi="Calibri" w:cs="Calibri"/>
        </w:rPr>
        <w:t xml:space="preserve">the </w:t>
      </w:r>
      <w:r w:rsidRPr="005C607F">
        <w:rPr>
          <w:rFonts w:ascii="Calibri" w:hAnsi="Calibri" w:cs="Calibri"/>
        </w:rPr>
        <w:t xml:space="preserve">second surgery. </w:t>
      </w:r>
    </w:p>
    <w:p w14:paraId="6F8022E5" w14:textId="052D8F33" w:rsidR="009B0FA2" w:rsidRDefault="009B0FA2" w:rsidP="00867264">
      <w:pPr>
        <w:spacing w:line="480" w:lineRule="auto"/>
        <w:jc w:val="both"/>
        <w:rPr>
          <w:rFonts w:ascii="Calibri" w:hAnsi="Calibri" w:cs="Calibri"/>
        </w:rPr>
      </w:pPr>
      <w:r w:rsidRPr="005C607F">
        <w:rPr>
          <w:rFonts w:ascii="Calibri" w:hAnsi="Calibri" w:cs="Calibri"/>
        </w:rPr>
        <w:lastRenderedPageBreak/>
        <w:t xml:space="preserve">One dog with primary hyperparathyroidism that underwent cholecystectomy had evidence of recurrent </w:t>
      </w:r>
      <w:r w:rsidR="006F15E8">
        <w:rPr>
          <w:rFonts w:ascii="Calibri" w:hAnsi="Calibri" w:cs="Calibri"/>
        </w:rPr>
        <w:t>choledocholithiasis</w:t>
      </w:r>
      <w:r w:rsidRPr="005C607F">
        <w:rPr>
          <w:rFonts w:ascii="Calibri" w:hAnsi="Calibri" w:cs="Calibri"/>
        </w:rPr>
        <w:t xml:space="preserve"> at 41 days post-surgery</w:t>
      </w:r>
      <w:r w:rsidR="006F15E8">
        <w:rPr>
          <w:rFonts w:ascii="Calibri" w:hAnsi="Calibri" w:cs="Calibri"/>
        </w:rPr>
        <w:t xml:space="preserve"> and subsequently</w:t>
      </w:r>
      <w:r w:rsidR="003E04C6">
        <w:rPr>
          <w:rFonts w:ascii="Calibri" w:hAnsi="Calibri" w:cs="Calibri"/>
        </w:rPr>
        <w:t xml:space="preserve"> was</w:t>
      </w:r>
      <w:r w:rsidR="006F15E8">
        <w:rPr>
          <w:rFonts w:ascii="Calibri" w:hAnsi="Calibri" w:cs="Calibri"/>
        </w:rPr>
        <w:t xml:space="preserve"> treated </w:t>
      </w:r>
      <w:r w:rsidR="00096A00">
        <w:rPr>
          <w:rFonts w:ascii="Calibri" w:hAnsi="Calibri" w:cs="Calibri"/>
        </w:rPr>
        <w:t xml:space="preserve">using </w:t>
      </w:r>
      <w:r w:rsidR="006F15E8">
        <w:rPr>
          <w:rFonts w:ascii="Calibri" w:hAnsi="Calibri" w:cs="Calibri"/>
        </w:rPr>
        <w:t>UDCA without recurrence of symptomatic cholelithiasis</w:t>
      </w:r>
      <w:r w:rsidR="00E42251">
        <w:rPr>
          <w:rFonts w:ascii="Calibri" w:hAnsi="Calibri" w:cs="Calibri"/>
        </w:rPr>
        <w:t xml:space="preserve"> and was euthan</w:t>
      </w:r>
      <w:r w:rsidR="00E525D7">
        <w:rPr>
          <w:rFonts w:ascii="Calibri" w:hAnsi="Calibri" w:cs="Calibri"/>
        </w:rPr>
        <w:t>iz</w:t>
      </w:r>
      <w:r w:rsidR="00E42251">
        <w:rPr>
          <w:rFonts w:ascii="Calibri" w:hAnsi="Calibri" w:cs="Calibri"/>
        </w:rPr>
        <w:t xml:space="preserve">ed 577 days after presentation </w:t>
      </w:r>
      <w:r w:rsidR="002E076B">
        <w:rPr>
          <w:rFonts w:ascii="Calibri" w:hAnsi="Calibri" w:cs="Calibri"/>
        </w:rPr>
        <w:t>for</w:t>
      </w:r>
      <w:r w:rsidR="00E42251">
        <w:rPr>
          <w:rFonts w:ascii="Calibri" w:hAnsi="Calibri" w:cs="Calibri"/>
        </w:rPr>
        <w:t xml:space="preserve"> causes unrelated to cholelithiasis. </w:t>
      </w:r>
      <w:r w:rsidR="00B83C0B">
        <w:rPr>
          <w:rFonts w:ascii="Calibri" w:hAnsi="Calibri" w:cs="Calibri"/>
        </w:rPr>
        <w:t xml:space="preserve"> </w:t>
      </w:r>
    </w:p>
    <w:p w14:paraId="28F5B988" w14:textId="545548F5" w:rsidR="00BF5713" w:rsidRPr="005C607F" w:rsidRDefault="00AD1A4E" w:rsidP="00867264">
      <w:pPr>
        <w:spacing w:line="480" w:lineRule="auto"/>
        <w:jc w:val="both"/>
        <w:rPr>
          <w:rFonts w:ascii="Calibri" w:hAnsi="Calibri" w:cs="Calibri"/>
        </w:rPr>
      </w:pPr>
      <w:r>
        <w:rPr>
          <w:rFonts w:ascii="Calibri" w:hAnsi="Calibri" w:cs="Calibri"/>
        </w:rPr>
        <w:t>The single</w:t>
      </w:r>
      <w:r w:rsidR="00BF5713">
        <w:rPr>
          <w:rFonts w:ascii="Calibri" w:hAnsi="Calibri" w:cs="Calibri"/>
        </w:rPr>
        <w:t xml:space="preserve"> dog </w:t>
      </w:r>
      <w:r>
        <w:rPr>
          <w:rFonts w:ascii="Calibri" w:hAnsi="Calibri" w:cs="Calibri"/>
        </w:rPr>
        <w:t xml:space="preserve">with a decrease in cholelith number at final imaging follow-up </w:t>
      </w:r>
      <w:r w:rsidR="00F01A89">
        <w:rPr>
          <w:rFonts w:ascii="Calibri" w:hAnsi="Calibri" w:cs="Calibri"/>
        </w:rPr>
        <w:t xml:space="preserve">was </w:t>
      </w:r>
      <w:r>
        <w:rPr>
          <w:rFonts w:ascii="Calibri" w:hAnsi="Calibri" w:cs="Calibri"/>
        </w:rPr>
        <w:t xml:space="preserve">presented </w:t>
      </w:r>
      <w:r w:rsidR="00404D7D">
        <w:rPr>
          <w:rFonts w:ascii="Calibri" w:hAnsi="Calibri" w:cs="Calibri"/>
        </w:rPr>
        <w:t xml:space="preserve">initially </w:t>
      </w:r>
      <w:r>
        <w:rPr>
          <w:rFonts w:ascii="Calibri" w:hAnsi="Calibri" w:cs="Calibri"/>
        </w:rPr>
        <w:t>with multiple cholecystoliths, choledocholiths and choleliths within the intrahepatic ducts</w:t>
      </w:r>
      <w:r w:rsidR="00F01A89">
        <w:rPr>
          <w:rFonts w:ascii="Calibri" w:hAnsi="Calibri" w:cs="Calibri"/>
        </w:rPr>
        <w:t>,</w:t>
      </w:r>
      <w:r>
        <w:rPr>
          <w:rFonts w:ascii="Calibri" w:hAnsi="Calibri" w:cs="Calibri"/>
        </w:rPr>
        <w:t xml:space="preserve"> and the presence of a single cholelith within the intrahepatic ducts was documented at follow-up 892 days post-operatively. </w:t>
      </w:r>
    </w:p>
    <w:p w14:paraId="21C7AE18" w14:textId="6D791627" w:rsidR="009B0FA2" w:rsidRPr="005C607F" w:rsidRDefault="00F060BE" w:rsidP="00867264">
      <w:pPr>
        <w:spacing w:line="480" w:lineRule="auto"/>
        <w:jc w:val="both"/>
        <w:rPr>
          <w:rFonts w:ascii="Calibri" w:hAnsi="Calibri" w:cs="Calibri"/>
        </w:rPr>
      </w:pPr>
      <w:r>
        <w:rPr>
          <w:rFonts w:ascii="Calibri" w:hAnsi="Calibri" w:cs="Calibri"/>
        </w:rPr>
        <w:t xml:space="preserve">All </w:t>
      </w:r>
      <w:r w:rsidR="00140AAA">
        <w:rPr>
          <w:rFonts w:ascii="Calibri" w:hAnsi="Calibri" w:cs="Calibri"/>
        </w:rPr>
        <w:t xml:space="preserve">5 </w:t>
      </w:r>
      <w:r>
        <w:rPr>
          <w:rFonts w:ascii="Calibri" w:hAnsi="Calibri" w:cs="Calibri"/>
        </w:rPr>
        <w:t>dogs</w:t>
      </w:r>
      <w:r w:rsidR="00140AAA">
        <w:rPr>
          <w:rFonts w:ascii="Calibri" w:hAnsi="Calibri" w:cs="Calibri"/>
        </w:rPr>
        <w:t xml:space="preserve"> that</w:t>
      </w:r>
      <w:r w:rsidR="009B0FA2">
        <w:rPr>
          <w:rFonts w:ascii="Calibri" w:hAnsi="Calibri" w:cs="Calibri"/>
        </w:rPr>
        <w:t xml:space="preserve"> surviv</w:t>
      </w:r>
      <w:r w:rsidR="00140AAA">
        <w:rPr>
          <w:rFonts w:ascii="Calibri" w:hAnsi="Calibri" w:cs="Calibri"/>
        </w:rPr>
        <w:t>ed</w:t>
      </w:r>
      <w:r w:rsidR="009B0FA2">
        <w:rPr>
          <w:rFonts w:ascii="Calibri" w:hAnsi="Calibri" w:cs="Calibri"/>
        </w:rPr>
        <w:t xml:space="preserve"> to discharge </w:t>
      </w:r>
      <w:r w:rsidR="00140AAA">
        <w:rPr>
          <w:rFonts w:ascii="Calibri" w:hAnsi="Calibri" w:cs="Calibri"/>
        </w:rPr>
        <w:t xml:space="preserve">and </w:t>
      </w:r>
      <w:r w:rsidR="009B0FA2">
        <w:rPr>
          <w:rFonts w:ascii="Calibri" w:hAnsi="Calibri" w:cs="Calibri"/>
        </w:rPr>
        <w:t>that</w:t>
      </w:r>
      <w:r w:rsidR="009B0FA2" w:rsidRPr="005C607F">
        <w:rPr>
          <w:rFonts w:ascii="Calibri" w:hAnsi="Calibri" w:cs="Calibri"/>
        </w:rPr>
        <w:t xml:space="preserve"> were de</w:t>
      </w:r>
      <w:r w:rsidR="00140AAA">
        <w:rPr>
          <w:rFonts w:ascii="Calibri" w:hAnsi="Calibri" w:cs="Calibri"/>
        </w:rPr>
        <w:t>a</w:t>
      </w:r>
      <w:r w:rsidR="009B0FA2" w:rsidRPr="005C607F">
        <w:rPr>
          <w:rFonts w:ascii="Calibri" w:hAnsi="Calibri" w:cs="Calibri"/>
        </w:rPr>
        <w:t>d at the time of writing</w:t>
      </w:r>
      <w:r>
        <w:rPr>
          <w:rFonts w:ascii="Calibri" w:hAnsi="Calibri" w:cs="Calibri"/>
        </w:rPr>
        <w:t xml:space="preserve"> were euthanized</w:t>
      </w:r>
      <w:r w:rsidR="00213F6B">
        <w:rPr>
          <w:rFonts w:ascii="Calibri" w:hAnsi="Calibri" w:cs="Calibri"/>
        </w:rPr>
        <w:t xml:space="preserve"> because of</w:t>
      </w:r>
      <w:r w:rsidR="00AF5C38">
        <w:rPr>
          <w:rFonts w:ascii="Calibri" w:hAnsi="Calibri" w:cs="Calibri"/>
        </w:rPr>
        <w:t>,</w:t>
      </w:r>
      <w:r>
        <w:rPr>
          <w:rFonts w:ascii="Calibri" w:hAnsi="Calibri" w:cs="Calibri"/>
        </w:rPr>
        <w:t xml:space="preserve"> or </w:t>
      </w:r>
      <w:r w:rsidR="009B0FA2" w:rsidRPr="005C607F">
        <w:rPr>
          <w:rFonts w:ascii="Calibri" w:hAnsi="Calibri" w:cs="Calibri"/>
        </w:rPr>
        <w:t>died of</w:t>
      </w:r>
      <w:r w:rsidR="00AF5C38">
        <w:rPr>
          <w:rFonts w:ascii="Calibri" w:hAnsi="Calibri" w:cs="Calibri"/>
        </w:rPr>
        <w:t>,</w:t>
      </w:r>
      <w:r w:rsidR="009B0FA2" w:rsidRPr="005C607F">
        <w:rPr>
          <w:rFonts w:ascii="Calibri" w:hAnsi="Calibri" w:cs="Calibri"/>
        </w:rPr>
        <w:t xml:space="preserve"> disease unrelated to cholelithiasis.  </w:t>
      </w:r>
    </w:p>
    <w:p w14:paraId="046E8EC9" w14:textId="77777777" w:rsidR="009B0FA2" w:rsidRPr="005C607F" w:rsidRDefault="009B0FA2" w:rsidP="00867264">
      <w:pPr>
        <w:spacing w:line="480" w:lineRule="auto"/>
        <w:jc w:val="both"/>
        <w:rPr>
          <w:rFonts w:ascii="Calibri" w:hAnsi="Calibri" w:cs="Calibri"/>
        </w:rPr>
      </w:pPr>
    </w:p>
    <w:p w14:paraId="2068741D" w14:textId="77777777" w:rsidR="009B0FA2" w:rsidRPr="005C607F" w:rsidRDefault="009B0FA2" w:rsidP="00867264">
      <w:pPr>
        <w:spacing w:line="480" w:lineRule="auto"/>
        <w:jc w:val="both"/>
        <w:rPr>
          <w:rFonts w:ascii="Calibri" w:hAnsi="Calibri" w:cs="Calibri"/>
          <w:b/>
          <w:bCs/>
        </w:rPr>
      </w:pPr>
      <w:r w:rsidRPr="005C607F">
        <w:rPr>
          <w:rFonts w:ascii="Calibri" w:hAnsi="Calibri" w:cs="Calibri"/>
          <w:b/>
          <w:bCs/>
        </w:rPr>
        <w:t>Medical management outcome</w:t>
      </w:r>
    </w:p>
    <w:p w14:paraId="623B2DC3" w14:textId="2EC3128C" w:rsidR="009B0FA2" w:rsidRDefault="009B0FA2" w:rsidP="00867264">
      <w:pPr>
        <w:spacing w:line="480" w:lineRule="auto"/>
        <w:jc w:val="both"/>
        <w:rPr>
          <w:rFonts w:ascii="Calibri" w:hAnsi="Calibri" w:cs="Calibri"/>
        </w:rPr>
      </w:pPr>
      <w:r>
        <w:rPr>
          <w:rFonts w:ascii="Calibri" w:hAnsi="Calibri" w:cs="Calibri"/>
        </w:rPr>
        <w:t>Follow-up biochemistry results were available for 1</w:t>
      </w:r>
      <w:r w:rsidR="00774717">
        <w:rPr>
          <w:rFonts w:ascii="Calibri" w:hAnsi="Calibri" w:cs="Calibri"/>
        </w:rPr>
        <w:t>0</w:t>
      </w:r>
      <w:r>
        <w:rPr>
          <w:rFonts w:ascii="Calibri" w:hAnsi="Calibri" w:cs="Calibri"/>
        </w:rPr>
        <w:t xml:space="preserve"> dogs with a median follow-up time of 6</w:t>
      </w:r>
      <w:r w:rsidR="000253C7">
        <w:rPr>
          <w:rFonts w:ascii="Calibri" w:hAnsi="Calibri" w:cs="Calibri"/>
        </w:rPr>
        <w:t>7</w:t>
      </w:r>
      <w:r>
        <w:rPr>
          <w:rFonts w:ascii="Calibri" w:hAnsi="Calibri" w:cs="Calibri"/>
        </w:rPr>
        <w:t>.5 days (range</w:t>
      </w:r>
      <w:r w:rsidR="002B59CB">
        <w:rPr>
          <w:rFonts w:ascii="Calibri" w:hAnsi="Calibri" w:cs="Calibri"/>
        </w:rPr>
        <w:t>,</w:t>
      </w:r>
      <w:r>
        <w:rPr>
          <w:rFonts w:ascii="Calibri" w:hAnsi="Calibri" w:cs="Calibri"/>
        </w:rPr>
        <w:t xml:space="preserve"> 29-</w:t>
      </w:r>
      <w:r w:rsidR="000253C7">
        <w:rPr>
          <w:rFonts w:ascii="Calibri" w:hAnsi="Calibri" w:cs="Calibri"/>
        </w:rPr>
        <w:t>833</w:t>
      </w:r>
      <w:r w:rsidR="002B59CB">
        <w:rPr>
          <w:rFonts w:ascii="Calibri" w:hAnsi="Calibri" w:cs="Calibri"/>
        </w:rPr>
        <w:t xml:space="preserve"> days</w:t>
      </w:r>
      <w:r w:rsidR="00C07929">
        <w:rPr>
          <w:rFonts w:ascii="Calibri" w:hAnsi="Calibri" w:cs="Calibri"/>
        </w:rPr>
        <w:t xml:space="preserve">; </w:t>
      </w:r>
      <w:r w:rsidR="006F5FD6">
        <w:rPr>
          <w:rFonts w:ascii="Calibri" w:hAnsi="Calibri" w:cs="Calibri"/>
        </w:rPr>
        <w:t>Table 5</w:t>
      </w:r>
      <w:r>
        <w:rPr>
          <w:rFonts w:ascii="Calibri" w:hAnsi="Calibri" w:cs="Calibri"/>
        </w:rPr>
        <w:t xml:space="preserve">). Follow-up AUS was performed in </w:t>
      </w:r>
      <w:r w:rsidR="00921BFE">
        <w:rPr>
          <w:rFonts w:ascii="Calibri" w:hAnsi="Calibri" w:cs="Calibri"/>
        </w:rPr>
        <w:t>8 dog</w:t>
      </w:r>
      <w:r w:rsidR="002F022A">
        <w:rPr>
          <w:rFonts w:ascii="Calibri" w:hAnsi="Calibri" w:cs="Calibri"/>
        </w:rPr>
        <w:t xml:space="preserve">s </w:t>
      </w:r>
      <w:r>
        <w:rPr>
          <w:rFonts w:ascii="Calibri" w:hAnsi="Calibri" w:cs="Calibri"/>
        </w:rPr>
        <w:t>with a median time from presentation to final AUS of 79 days (range</w:t>
      </w:r>
      <w:r w:rsidR="00C11352">
        <w:rPr>
          <w:rFonts w:ascii="Calibri" w:hAnsi="Calibri" w:cs="Calibri"/>
        </w:rPr>
        <w:t>;</w:t>
      </w:r>
      <w:r>
        <w:rPr>
          <w:rFonts w:ascii="Calibri" w:hAnsi="Calibri" w:cs="Calibri"/>
        </w:rPr>
        <w:t xml:space="preserve"> 37-</w:t>
      </w:r>
      <w:r w:rsidR="003D39EF">
        <w:rPr>
          <w:rFonts w:ascii="Calibri" w:hAnsi="Calibri" w:cs="Calibri"/>
        </w:rPr>
        <w:t>833</w:t>
      </w:r>
      <w:r w:rsidR="00C11352">
        <w:rPr>
          <w:rFonts w:ascii="Calibri" w:hAnsi="Calibri" w:cs="Calibri"/>
        </w:rPr>
        <w:t xml:space="preserve"> days</w:t>
      </w:r>
      <w:r w:rsidR="00FF6DA6">
        <w:rPr>
          <w:rFonts w:ascii="Calibri" w:hAnsi="Calibri" w:cs="Calibri"/>
        </w:rPr>
        <w:t xml:space="preserve">; </w:t>
      </w:r>
      <w:r w:rsidR="005E0E4A">
        <w:rPr>
          <w:rFonts w:ascii="Calibri" w:hAnsi="Calibri" w:cs="Calibri"/>
        </w:rPr>
        <w:t xml:space="preserve">Table </w:t>
      </w:r>
      <w:r w:rsidR="006F5FD6">
        <w:rPr>
          <w:rFonts w:ascii="Calibri" w:hAnsi="Calibri" w:cs="Calibri"/>
        </w:rPr>
        <w:t>6</w:t>
      </w:r>
      <w:r w:rsidR="005E0E4A">
        <w:rPr>
          <w:rFonts w:ascii="Calibri" w:hAnsi="Calibri" w:cs="Calibri"/>
        </w:rPr>
        <w:t>)</w:t>
      </w:r>
      <w:r>
        <w:rPr>
          <w:rFonts w:ascii="Calibri" w:hAnsi="Calibri" w:cs="Calibri"/>
        </w:rPr>
        <w:t xml:space="preserve">. </w:t>
      </w:r>
      <w:r w:rsidR="00FF6DA6">
        <w:rPr>
          <w:rFonts w:ascii="Calibri" w:hAnsi="Calibri" w:cs="Calibri"/>
        </w:rPr>
        <w:t xml:space="preserve">Fifty percent </w:t>
      </w:r>
      <w:r>
        <w:rPr>
          <w:rFonts w:ascii="Calibri" w:hAnsi="Calibri" w:cs="Calibri"/>
        </w:rPr>
        <w:t>of medically</w:t>
      </w:r>
      <w:r w:rsidR="00B32536">
        <w:rPr>
          <w:rFonts w:ascii="Calibri" w:hAnsi="Calibri" w:cs="Calibri"/>
        </w:rPr>
        <w:t>-</w:t>
      </w:r>
      <w:r>
        <w:rPr>
          <w:rFonts w:ascii="Calibri" w:hAnsi="Calibri" w:cs="Calibri"/>
        </w:rPr>
        <w:t>managed dogs with repeat AUS had complete resolution of cholelithiasis</w:t>
      </w:r>
      <w:r w:rsidR="00FE4E9C">
        <w:rPr>
          <w:rFonts w:ascii="Calibri" w:hAnsi="Calibri" w:cs="Calibri"/>
        </w:rPr>
        <w:t xml:space="preserve"> and 1</w:t>
      </w:r>
      <w:r w:rsidR="003D39EF">
        <w:rPr>
          <w:rFonts w:ascii="Calibri" w:hAnsi="Calibri" w:cs="Calibri"/>
        </w:rPr>
        <w:t>2.5</w:t>
      </w:r>
      <w:r w:rsidR="00FE4E9C">
        <w:rPr>
          <w:rFonts w:ascii="Calibri" w:hAnsi="Calibri" w:cs="Calibri"/>
        </w:rPr>
        <w:t>% had a decrease in cholelith number</w:t>
      </w:r>
      <w:r w:rsidR="005E0E4A">
        <w:rPr>
          <w:rFonts w:ascii="Calibri" w:hAnsi="Calibri" w:cs="Calibri"/>
        </w:rPr>
        <w:t>.</w:t>
      </w:r>
    </w:p>
    <w:p w14:paraId="135778A5" w14:textId="40EBF43C" w:rsidR="009B0FA2" w:rsidRPr="005C607F" w:rsidRDefault="00715A3A" w:rsidP="00867264">
      <w:pPr>
        <w:spacing w:line="480" w:lineRule="auto"/>
        <w:jc w:val="both"/>
        <w:rPr>
          <w:rFonts w:ascii="Calibri" w:hAnsi="Calibri" w:cs="Calibri"/>
        </w:rPr>
      </w:pPr>
      <w:r>
        <w:rPr>
          <w:rFonts w:ascii="Calibri" w:hAnsi="Calibri" w:cs="Calibri"/>
        </w:rPr>
        <w:t>Four</w:t>
      </w:r>
      <w:r w:rsidRPr="005C607F">
        <w:rPr>
          <w:rFonts w:ascii="Calibri" w:hAnsi="Calibri" w:cs="Calibri"/>
        </w:rPr>
        <w:t xml:space="preserve"> </w:t>
      </w:r>
      <w:r w:rsidR="009B0FA2" w:rsidRPr="005C607F">
        <w:rPr>
          <w:rFonts w:ascii="Calibri" w:hAnsi="Calibri" w:cs="Calibri"/>
        </w:rPr>
        <w:t xml:space="preserve">dogs </w:t>
      </w:r>
      <w:r w:rsidR="000B192F">
        <w:rPr>
          <w:rFonts w:ascii="Calibri" w:hAnsi="Calibri" w:cs="Calibri"/>
        </w:rPr>
        <w:t>we</w:t>
      </w:r>
      <w:r w:rsidR="009B0FA2" w:rsidRPr="005C607F">
        <w:rPr>
          <w:rFonts w:ascii="Calibri" w:hAnsi="Calibri" w:cs="Calibri"/>
        </w:rPr>
        <w:t xml:space="preserve">re alive at the time of writing, </w:t>
      </w:r>
      <w:r w:rsidR="003F270F">
        <w:rPr>
          <w:rFonts w:ascii="Calibri" w:hAnsi="Calibri" w:cs="Calibri"/>
        </w:rPr>
        <w:t>8 were dead</w:t>
      </w:r>
      <w:r w:rsidR="003F270F" w:rsidRPr="005C607F">
        <w:rPr>
          <w:rFonts w:ascii="Calibri" w:hAnsi="Calibri" w:cs="Calibri"/>
        </w:rPr>
        <w:t xml:space="preserve"> </w:t>
      </w:r>
      <w:r w:rsidR="009B0FA2" w:rsidRPr="005C607F">
        <w:rPr>
          <w:rFonts w:ascii="Calibri" w:hAnsi="Calibri" w:cs="Calibri"/>
        </w:rPr>
        <w:t xml:space="preserve">and </w:t>
      </w:r>
      <w:r w:rsidR="003F270F">
        <w:rPr>
          <w:rFonts w:ascii="Calibri" w:hAnsi="Calibri" w:cs="Calibri"/>
        </w:rPr>
        <w:t>1 was</w:t>
      </w:r>
      <w:r w:rsidR="009B0FA2" w:rsidRPr="005C607F">
        <w:rPr>
          <w:rFonts w:ascii="Calibri" w:hAnsi="Calibri" w:cs="Calibri"/>
        </w:rPr>
        <w:t xml:space="preserve"> </w:t>
      </w:r>
      <w:r w:rsidR="009E7B4B">
        <w:rPr>
          <w:rFonts w:ascii="Calibri" w:hAnsi="Calibri" w:cs="Calibri"/>
        </w:rPr>
        <w:t>lost to follow-up</w:t>
      </w:r>
      <w:r w:rsidR="009B0FA2">
        <w:rPr>
          <w:rFonts w:ascii="Calibri" w:hAnsi="Calibri" w:cs="Calibri"/>
        </w:rPr>
        <w:t xml:space="preserve"> (Figure </w:t>
      </w:r>
      <w:r w:rsidR="007D4DB0">
        <w:rPr>
          <w:rFonts w:ascii="Calibri" w:hAnsi="Calibri" w:cs="Calibri"/>
        </w:rPr>
        <w:t>2</w:t>
      </w:r>
      <w:r w:rsidR="009B0FA2">
        <w:rPr>
          <w:rFonts w:ascii="Calibri" w:hAnsi="Calibri" w:cs="Calibri"/>
        </w:rPr>
        <w:t>)</w:t>
      </w:r>
      <w:r w:rsidR="009B0FA2" w:rsidRPr="005C607F">
        <w:rPr>
          <w:rFonts w:ascii="Calibri" w:hAnsi="Calibri" w:cs="Calibri"/>
        </w:rPr>
        <w:t xml:space="preserve">. Median survival time </w:t>
      </w:r>
      <w:r w:rsidR="006564D5">
        <w:rPr>
          <w:rFonts w:ascii="Calibri" w:hAnsi="Calibri" w:cs="Calibri"/>
        </w:rPr>
        <w:t>wa</w:t>
      </w:r>
      <w:r w:rsidR="009B0FA2" w:rsidRPr="005C607F">
        <w:rPr>
          <w:rFonts w:ascii="Calibri" w:hAnsi="Calibri" w:cs="Calibri"/>
        </w:rPr>
        <w:t xml:space="preserve">s </w:t>
      </w:r>
      <w:r>
        <w:rPr>
          <w:rFonts w:ascii="Calibri" w:hAnsi="Calibri" w:cs="Calibri"/>
        </w:rPr>
        <w:t>498.5</w:t>
      </w:r>
      <w:r w:rsidR="009B0FA2" w:rsidRPr="005C607F">
        <w:rPr>
          <w:rFonts w:ascii="Calibri" w:hAnsi="Calibri" w:cs="Calibri"/>
        </w:rPr>
        <w:t xml:space="preserve"> days (range</w:t>
      </w:r>
      <w:r w:rsidR="006564D5">
        <w:rPr>
          <w:rFonts w:ascii="Calibri" w:hAnsi="Calibri" w:cs="Calibri"/>
        </w:rPr>
        <w:t>,</w:t>
      </w:r>
      <w:r w:rsidR="009B0FA2" w:rsidRPr="005C607F">
        <w:rPr>
          <w:rFonts w:ascii="Calibri" w:hAnsi="Calibri" w:cs="Calibri"/>
        </w:rPr>
        <w:t xml:space="preserve"> 56-2457</w:t>
      </w:r>
      <w:r w:rsidR="006564D5">
        <w:rPr>
          <w:rFonts w:ascii="Calibri" w:hAnsi="Calibri" w:cs="Calibri"/>
        </w:rPr>
        <w:t xml:space="preserve"> days</w:t>
      </w:r>
      <w:r w:rsidR="009B0FA2" w:rsidRPr="005C607F">
        <w:rPr>
          <w:rFonts w:ascii="Calibri" w:hAnsi="Calibri" w:cs="Calibri"/>
        </w:rPr>
        <w:t xml:space="preserve">). </w:t>
      </w:r>
    </w:p>
    <w:p w14:paraId="1DBC0D83" w14:textId="3389BA1D" w:rsidR="009B0FA2" w:rsidRPr="005C607F" w:rsidRDefault="009B0FA2" w:rsidP="00867264">
      <w:pPr>
        <w:spacing w:line="480" w:lineRule="auto"/>
        <w:jc w:val="both"/>
        <w:rPr>
          <w:rFonts w:ascii="Calibri" w:hAnsi="Calibri" w:cs="Calibri"/>
        </w:rPr>
      </w:pPr>
      <w:r w:rsidRPr="005C607F">
        <w:rPr>
          <w:rFonts w:ascii="Calibri" w:hAnsi="Calibri" w:cs="Calibri"/>
        </w:rPr>
        <w:t xml:space="preserve">Recurrence of clinical signs </w:t>
      </w:r>
      <w:r w:rsidR="00C86BD4">
        <w:rPr>
          <w:rFonts w:ascii="Calibri" w:hAnsi="Calibri" w:cs="Calibri"/>
        </w:rPr>
        <w:t xml:space="preserve">that </w:t>
      </w:r>
      <w:r w:rsidR="0097251A">
        <w:rPr>
          <w:rFonts w:ascii="Calibri" w:hAnsi="Calibri" w:cs="Calibri"/>
        </w:rPr>
        <w:t xml:space="preserve">could be </w:t>
      </w:r>
      <w:r w:rsidRPr="005C607F">
        <w:rPr>
          <w:rFonts w:ascii="Calibri" w:hAnsi="Calibri" w:cs="Calibri"/>
        </w:rPr>
        <w:t>attributable to cholelithiasis w</w:t>
      </w:r>
      <w:r w:rsidR="000F0E43">
        <w:rPr>
          <w:rFonts w:ascii="Calibri" w:hAnsi="Calibri" w:cs="Calibri"/>
        </w:rPr>
        <w:t>as</w:t>
      </w:r>
      <w:r w:rsidRPr="005C607F">
        <w:rPr>
          <w:rFonts w:ascii="Calibri" w:hAnsi="Calibri" w:cs="Calibri"/>
        </w:rPr>
        <w:t xml:space="preserve"> seen in </w:t>
      </w:r>
      <w:r w:rsidR="000F31C8">
        <w:rPr>
          <w:rFonts w:ascii="Calibri" w:hAnsi="Calibri" w:cs="Calibri"/>
        </w:rPr>
        <w:t>1</w:t>
      </w:r>
      <w:r w:rsidR="000F31C8" w:rsidRPr="005C607F">
        <w:rPr>
          <w:rFonts w:ascii="Calibri" w:hAnsi="Calibri" w:cs="Calibri"/>
        </w:rPr>
        <w:t xml:space="preserve"> </w:t>
      </w:r>
      <w:r w:rsidRPr="005C607F">
        <w:rPr>
          <w:rFonts w:ascii="Calibri" w:hAnsi="Calibri" w:cs="Calibri"/>
        </w:rPr>
        <w:t>symptomatic dog with multiple cholecystoliths after 314 days</w:t>
      </w:r>
      <w:r w:rsidR="000F31C8">
        <w:rPr>
          <w:rFonts w:ascii="Calibri" w:hAnsi="Calibri" w:cs="Calibri"/>
        </w:rPr>
        <w:t>,</w:t>
      </w:r>
      <w:r w:rsidRPr="005C607F">
        <w:rPr>
          <w:rFonts w:ascii="Calibri" w:hAnsi="Calibri" w:cs="Calibri"/>
        </w:rPr>
        <w:t xml:space="preserve"> which </w:t>
      </w:r>
      <w:r w:rsidR="007473E9">
        <w:rPr>
          <w:rFonts w:ascii="Calibri" w:hAnsi="Calibri" w:cs="Calibri"/>
        </w:rPr>
        <w:t xml:space="preserve">improved with </w:t>
      </w:r>
      <w:r w:rsidR="000F31C8">
        <w:rPr>
          <w:rFonts w:ascii="Calibri" w:hAnsi="Calibri" w:cs="Calibri"/>
        </w:rPr>
        <w:t xml:space="preserve">PO </w:t>
      </w:r>
      <w:r w:rsidR="007473E9">
        <w:rPr>
          <w:rFonts w:ascii="Calibri" w:hAnsi="Calibri" w:cs="Calibri"/>
        </w:rPr>
        <w:t>antibiotic and</w:t>
      </w:r>
      <w:r w:rsidRPr="005C607F">
        <w:rPr>
          <w:rFonts w:ascii="Calibri" w:hAnsi="Calibri" w:cs="Calibri"/>
        </w:rPr>
        <w:t xml:space="preserve"> </w:t>
      </w:r>
      <w:r w:rsidR="000F31C8">
        <w:rPr>
          <w:rFonts w:ascii="Calibri" w:hAnsi="Calibri" w:cs="Calibri"/>
        </w:rPr>
        <w:t>IV</w:t>
      </w:r>
      <w:r w:rsidR="000F31C8" w:rsidRPr="005C607F">
        <w:rPr>
          <w:rFonts w:ascii="Calibri" w:hAnsi="Calibri" w:cs="Calibri"/>
        </w:rPr>
        <w:t xml:space="preserve"> </w:t>
      </w:r>
      <w:r w:rsidRPr="005C607F">
        <w:rPr>
          <w:rFonts w:ascii="Calibri" w:hAnsi="Calibri" w:cs="Calibri"/>
        </w:rPr>
        <w:t xml:space="preserve">fluid </w:t>
      </w:r>
      <w:r w:rsidR="00073191">
        <w:rPr>
          <w:rFonts w:ascii="Calibri" w:hAnsi="Calibri" w:cs="Calibri"/>
        </w:rPr>
        <w:t>treatment</w:t>
      </w:r>
      <w:r w:rsidR="00DE1A9D">
        <w:rPr>
          <w:rFonts w:ascii="Calibri" w:hAnsi="Calibri" w:cs="Calibri"/>
        </w:rPr>
        <w:t xml:space="preserve">, </w:t>
      </w:r>
      <w:r w:rsidR="006241AA">
        <w:rPr>
          <w:rFonts w:ascii="Calibri" w:hAnsi="Calibri" w:cs="Calibri"/>
        </w:rPr>
        <w:t>but</w:t>
      </w:r>
      <w:r w:rsidR="00DE1A9D">
        <w:rPr>
          <w:rFonts w:ascii="Calibri" w:hAnsi="Calibri" w:cs="Calibri"/>
        </w:rPr>
        <w:t xml:space="preserve"> repeat AUS was not performed</w:t>
      </w:r>
      <w:r w:rsidR="002D722A">
        <w:rPr>
          <w:rFonts w:ascii="Calibri" w:hAnsi="Calibri" w:cs="Calibri"/>
        </w:rPr>
        <w:t>.</w:t>
      </w:r>
      <w:r w:rsidR="00DE1A9D">
        <w:rPr>
          <w:rFonts w:ascii="Calibri" w:hAnsi="Calibri" w:cs="Calibri"/>
        </w:rPr>
        <w:t xml:space="preserve"> </w:t>
      </w:r>
      <w:r w:rsidRPr="005C607F">
        <w:rPr>
          <w:rFonts w:ascii="Calibri" w:hAnsi="Calibri" w:cs="Calibri"/>
        </w:rPr>
        <w:t xml:space="preserve">  </w:t>
      </w:r>
    </w:p>
    <w:p w14:paraId="25FE7914" w14:textId="0ED33CFD" w:rsidR="009B0FA2" w:rsidRPr="005C607F" w:rsidRDefault="009B0FA2" w:rsidP="00867264">
      <w:pPr>
        <w:spacing w:line="480" w:lineRule="auto"/>
        <w:jc w:val="both"/>
        <w:rPr>
          <w:rFonts w:ascii="Calibri" w:hAnsi="Calibri" w:cs="Calibri"/>
        </w:rPr>
      </w:pPr>
      <w:r w:rsidRPr="005C607F">
        <w:rPr>
          <w:rFonts w:ascii="Calibri" w:hAnsi="Calibri" w:cs="Calibri"/>
        </w:rPr>
        <w:t xml:space="preserve">Of </w:t>
      </w:r>
      <w:r w:rsidR="00867A85">
        <w:rPr>
          <w:rFonts w:ascii="Calibri" w:hAnsi="Calibri" w:cs="Calibri"/>
        </w:rPr>
        <w:t>3</w:t>
      </w:r>
      <w:r w:rsidR="00867A85" w:rsidRPr="005C607F">
        <w:rPr>
          <w:rFonts w:ascii="Calibri" w:hAnsi="Calibri" w:cs="Calibri"/>
        </w:rPr>
        <w:t xml:space="preserve"> </w:t>
      </w:r>
      <w:r w:rsidRPr="005C607F">
        <w:rPr>
          <w:rFonts w:ascii="Calibri" w:hAnsi="Calibri" w:cs="Calibri"/>
        </w:rPr>
        <w:t xml:space="preserve">dogs that died with </w:t>
      </w:r>
      <w:r w:rsidR="00507A60">
        <w:rPr>
          <w:rFonts w:ascii="Calibri" w:hAnsi="Calibri" w:cs="Calibri"/>
        </w:rPr>
        <w:t xml:space="preserve">signs of </w:t>
      </w:r>
      <w:r w:rsidRPr="005C607F">
        <w:rPr>
          <w:rFonts w:ascii="Calibri" w:hAnsi="Calibri" w:cs="Calibri"/>
        </w:rPr>
        <w:t xml:space="preserve">hepatobiliary </w:t>
      </w:r>
      <w:r w:rsidR="00507A60">
        <w:rPr>
          <w:rFonts w:ascii="Calibri" w:hAnsi="Calibri" w:cs="Calibri"/>
        </w:rPr>
        <w:t>disease</w:t>
      </w:r>
      <w:r w:rsidRPr="005C607F">
        <w:rPr>
          <w:rFonts w:ascii="Calibri" w:hAnsi="Calibri" w:cs="Calibri"/>
        </w:rPr>
        <w:t xml:space="preserve">, </w:t>
      </w:r>
      <w:r w:rsidR="005937DF">
        <w:rPr>
          <w:rFonts w:ascii="Calibri" w:hAnsi="Calibri" w:cs="Calibri"/>
        </w:rPr>
        <w:t>1</w:t>
      </w:r>
      <w:r w:rsidR="005937DF" w:rsidRPr="005C607F">
        <w:rPr>
          <w:rFonts w:ascii="Calibri" w:hAnsi="Calibri" w:cs="Calibri"/>
        </w:rPr>
        <w:t xml:space="preserve"> </w:t>
      </w:r>
      <w:r w:rsidRPr="005C607F">
        <w:rPr>
          <w:rFonts w:ascii="Calibri" w:hAnsi="Calibri" w:cs="Calibri"/>
        </w:rPr>
        <w:t>was diagnosed with multiple acquired portosystemic shunts and had no evidence of cholelithiasis at final imaging follow-</w:t>
      </w:r>
      <w:r w:rsidRPr="005C607F">
        <w:rPr>
          <w:rFonts w:ascii="Calibri" w:hAnsi="Calibri" w:cs="Calibri"/>
        </w:rPr>
        <w:lastRenderedPageBreak/>
        <w:t xml:space="preserve">up 64 days </w:t>
      </w:r>
      <w:r w:rsidR="00766397">
        <w:rPr>
          <w:rFonts w:ascii="Calibri" w:hAnsi="Calibri" w:cs="Calibri"/>
        </w:rPr>
        <w:t>before</w:t>
      </w:r>
      <w:r w:rsidRPr="005C607F">
        <w:rPr>
          <w:rFonts w:ascii="Calibri" w:hAnsi="Calibri" w:cs="Calibri"/>
        </w:rPr>
        <w:t xml:space="preserve"> death and another underwent </w:t>
      </w:r>
      <w:r w:rsidR="005B1332">
        <w:rPr>
          <w:rFonts w:ascii="Calibri" w:hAnsi="Calibri" w:cs="Calibri"/>
        </w:rPr>
        <w:t>necropsy</w:t>
      </w:r>
      <w:r w:rsidR="009F7715">
        <w:rPr>
          <w:rFonts w:ascii="Calibri" w:hAnsi="Calibri" w:cs="Calibri"/>
        </w:rPr>
        <w:t xml:space="preserve"> (</w:t>
      </w:r>
      <w:r w:rsidR="00947F8D">
        <w:rPr>
          <w:rFonts w:ascii="Calibri" w:hAnsi="Calibri" w:cs="Calibri"/>
        </w:rPr>
        <w:t>supplemental information</w:t>
      </w:r>
      <w:r w:rsidR="009F7715">
        <w:rPr>
          <w:rFonts w:ascii="Calibri" w:hAnsi="Calibri" w:cs="Calibri"/>
        </w:rPr>
        <w:t>)</w:t>
      </w:r>
      <w:r w:rsidRPr="005C607F">
        <w:rPr>
          <w:rFonts w:ascii="Calibri" w:hAnsi="Calibri" w:cs="Calibri"/>
        </w:rPr>
        <w:t xml:space="preserve"> </w:t>
      </w:r>
      <w:r w:rsidR="00947F8D">
        <w:rPr>
          <w:rFonts w:ascii="Calibri" w:hAnsi="Calibri" w:cs="Calibri"/>
        </w:rPr>
        <w:t xml:space="preserve">at </w:t>
      </w:r>
      <w:r w:rsidRPr="005C607F">
        <w:rPr>
          <w:rFonts w:ascii="Calibri" w:hAnsi="Calibri" w:cs="Calibri"/>
        </w:rPr>
        <w:t xml:space="preserve">which no choleliths were noted. The final dog </w:t>
      </w:r>
      <w:r w:rsidR="00274D32">
        <w:rPr>
          <w:rFonts w:ascii="Calibri" w:hAnsi="Calibri" w:cs="Calibri"/>
        </w:rPr>
        <w:t xml:space="preserve">was </w:t>
      </w:r>
      <w:r w:rsidRPr="005C607F">
        <w:rPr>
          <w:rFonts w:ascii="Calibri" w:hAnsi="Calibri" w:cs="Calibri"/>
        </w:rPr>
        <w:t>presented with weight loss and icterus and euthani</w:t>
      </w:r>
      <w:r w:rsidR="003E3EE5">
        <w:rPr>
          <w:rFonts w:ascii="Calibri" w:hAnsi="Calibri" w:cs="Calibri"/>
        </w:rPr>
        <w:t>z</w:t>
      </w:r>
      <w:r w:rsidRPr="005C607F">
        <w:rPr>
          <w:rFonts w:ascii="Calibri" w:hAnsi="Calibri" w:cs="Calibri"/>
        </w:rPr>
        <w:t xml:space="preserve">ed 158 days after detection of cholelithiasis </w:t>
      </w:r>
      <w:r w:rsidR="00C122B3">
        <w:rPr>
          <w:rFonts w:ascii="Calibri" w:hAnsi="Calibri" w:cs="Calibri"/>
        </w:rPr>
        <w:t>because of</w:t>
      </w:r>
      <w:r w:rsidRPr="005C607F">
        <w:rPr>
          <w:rFonts w:ascii="Calibri" w:hAnsi="Calibri" w:cs="Calibri"/>
        </w:rPr>
        <w:t xml:space="preserve"> suspicion of necroti</w:t>
      </w:r>
      <w:r w:rsidR="00F6330A">
        <w:rPr>
          <w:rFonts w:ascii="Calibri" w:hAnsi="Calibri" w:cs="Calibri"/>
        </w:rPr>
        <w:t>z</w:t>
      </w:r>
      <w:r w:rsidRPr="005C607F">
        <w:rPr>
          <w:rFonts w:ascii="Calibri" w:hAnsi="Calibri" w:cs="Calibri"/>
        </w:rPr>
        <w:t xml:space="preserve">ing pancreatitis or pancreatic neoplasia, </w:t>
      </w:r>
      <w:r w:rsidR="00F6330A">
        <w:rPr>
          <w:rFonts w:ascii="Calibri" w:hAnsi="Calibri" w:cs="Calibri"/>
        </w:rPr>
        <w:t>but necropsy</w:t>
      </w:r>
      <w:r w:rsidRPr="005C607F">
        <w:rPr>
          <w:rFonts w:ascii="Calibri" w:hAnsi="Calibri" w:cs="Calibri"/>
        </w:rPr>
        <w:t xml:space="preserve"> was not performed. </w:t>
      </w:r>
      <w:r w:rsidR="00B80946">
        <w:rPr>
          <w:rFonts w:ascii="Calibri" w:hAnsi="Calibri" w:cs="Calibri"/>
        </w:rPr>
        <w:t>No</w:t>
      </w:r>
      <w:r w:rsidR="00E53423">
        <w:rPr>
          <w:rFonts w:ascii="Calibri" w:hAnsi="Calibri" w:cs="Calibri"/>
        </w:rPr>
        <w:t xml:space="preserve"> evidence </w:t>
      </w:r>
      <w:r w:rsidR="00B80946">
        <w:rPr>
          <w:rFonts w:ascii="Calibri" w:hAnsi="Calibri" w:cs="Calibri"/>
        </w:rPr>
        <w:t xml:space="preserve">was found </w:t>
      </w:r>
      <w:r w:rsidR="00E53423">
        <w:rPr>
          <w:rFonts w:ascii="Calibri" w:hAnsi="Calibri" w:cs="Calibri"/>
        </w:rPr>
        <w:t xml:space="preserve">that ongoing cholelithiasis in this subset of patients directly contributed to death. </w:t>
      </w:r>
    </w:p>
    <w:p w14:paraId="2E77C497" w14:textId="77777777" w:rsidR="009B0FA2" w:rsidRPr="005C607F" w:rsidRDefault="009B0FA2" w:rsidP="00867264">
      <w:pPr>
        <w:spacing w:line="480" w:lineRule="auto"/>
        <w:jc w:val="both"/>
        <w:rPr>
          <w:rFonts w:ascii="Calibri" w:hAnsi="Calibri" w:cs="Calibri"/>
        </w:rPr>
      </w:pPr>
    </w:p>
    <w:p w14:paraId="43BDA3E8" w14:textId="77777777" w:rsidR="009B0FA2" w:rsidRPr="005C607F" w:rsidRDefault="009B0FA2" w:rsidP="00867264">
      <w:pPr>
        <w:spacing w:line="480" w:lineRule="auto"/>
        <w:jc w:val="both"/>
        <w:rPr>
          <w:rFonts w:ascii="Calibri" w:hAnsi="Calibri" w:cs="Calibri"/>
          <w:b/>
          <w:bCs/>
        </w:rPr>
      </w:pPr>
      <w:r w:rsidRPr="005C607F">
        <w:rPr>
          <w:rFonts w:ascii="Calibri" w:hAnsi="Calibri" w:cs="Calibri"/>
          <w:b/>
          <w:bCs/>
        </w:rPr>
        <w:t>Outcome of non-treatment group</w:t>
      </w:r>
    </w:p>
    <w:p w14:paraId="58EE9060" w14:textId="1A90B481" w:rsidR="009B0FA2" w:rsidRPr="005C607F" w:rsidRDefault="009B0FA2" w:rsidP="00867264">
      <w:pPr>
        <w:spacing w:line="480" w:lineRule="auto"/>
        <w:jc w:val="both"/>
        <w:rPr>
          <w:rFonts w:ascii="Calibri" w:hAnsi="Calibri" w:cs="Calibri"/>
        </w:rPr>
      </w:pPr>
      <w:r>
        <w:rPr>
          <w:rFonts w:ascii="Calibri" w:hAnsi="Calibri" w:cs="Calibri"/>
        </w:rPr>
        <w:t xml:space="preserve">Follow-up biochemistry results were available for </w:t>
      </w:r>
      <w:r w:rsidR="00913D32">
        <w:rPr>
          <w:rFonts w:ascii="Calibri" w:hAnsi="Calibri" w:cs="Calibri"/>
        </w:rPr>
        <w:t xml:space="preserve">6 </w:t>
      </w:r>
      <w:r>
        <w:rPr>
          <w:rFonts w:ascii="Calibri" w:hAnsi="Calibri" w:cs="Calibri"/>
        </w:rPr>
        <w:t>dogs with a median final follow-up time of 85.5 days (range</w:t>
      </w:r>
      <w:r w:rsidR="00EA6156">
        <w:rPr>
          <w:rFonts w:ascii="Calibri" w:hAnsi="Calibri" w:cs="Calibri"/>
        </w:rPr>
        <w:t>,</w:t>
      </w:r>
      <w:r>
        <w:rPr>
          <w:rFonts w:ascii="Calibri" w:hAnsi="Calibri" w:cs="Calibri"/>
        </w:rPr>
        <w:t xml:space="preserve"> 3-461</w:t>
      </w:r>
      <w:r w:rsidR="00EA6156">
        <w:rPr>
          <w:rFonts w:ascii="Calibri" w:hAnsi="Calibri" w:cs="Calibri"/>
        </w:rPr>
        <w:t xml:space="preserve"> days; </w:t>
      </w:r>
      <w:r w:rsidR="006F5FD6">
        <w:rPr>
          <w:rFonts w:ascii="Calibri" w:hAnsi="Calibri" w:cs="Calibri"/>
        </w:rPr>
        <w:t>Table 5</w:t>
      </w:r>
      <w:r>
        <w:rPr>
          <w:rFonts w:ascii="Calibri" w:hAnsi="Calibri" w:cs="Calibri"/>
        </w:rPr>
        <w:t xml:space="preserve">). Follow-up AUS was performed in </w:t>
      </w:r>
      <w:r w:rsidR="003C1ABE">
        <w:rPr>
          <w:rFonts w:ascii="Calibri" w:hAnsi="Calibri" w:cs="Calibri"/>
        </w:rPr>
        <w:t>2 dog</w:t>
      </w:r>
      <w:r>
        <w:rPr>
          <w:rFonts w:ascii="Calibri" w:hAnsi="Calibri" w:cs="Calibri"/>
        </w:rPr>
        <w:t>s with a median time from presentation to final AUS of 160 days (range</w:t>
      </w:r>
      <w:r w:rsidR="00E608F3">
        <w:rPr>
          <w:rFonts w:ascii="Calibri" w:hAnsi="Calibri" w:cs="Calibri"/>
        </w:rPr>
        <w:t>,</w:t>
      </w:r>
      <w:r>
        <w:rPr>
          <w:rFonts w:ascii="Calibri" w:hAnsi="Calibri" w:cs="Calibri"/>
        </w:rPr>
        <w:t xml:space="preserve"> 81-238</w:t>
      </w:r>
      <w:r w:rsidR="00E608F3">
        <w:rPr>
          <w:rFonts w:ascii="Calibri" w:hAnsi="Calibri" w:cs="Calibri"/>
        </w:rPr>
        <w:t xml:space="preserve"> days</w:t>
      </w:r>
      <w:r w:rsidR="001B7889">
        <w:rPr>
          <w:rFonts w:ascii="Calibri" w:hAnsi="Calibri" w:cs="Calibri"/>
        </w:rPr>
        <w:t xml:space="preserve">; </w:t>
      </w:r>
      <w:r>
        <w:rPr>
          <w:rFonts w:ascii="Calibri" w:hAnsi="Calibri" w:cs="Calibri"/>
        </w:rPr>
        <w:t xml:space="preserve">Table </w:t>
      </w:r>
      <w:r w:rsidR="006F5FD6">
        <w:rPr>
          <w:rFonts w:ascii="Calibri" w:hAnsi="Calibri" w:cs="Calibri"/>
        </w:rPr>
        <w:t>6</w:t>
      </w:r>
      <w:r>
        <w:rPr>
          <w:rFonts w:ascii="Calibri" w:hAnsi="Calibri" w:cs="Calibri"/>
        </w:rPr>
        <w:t xml:space="preserve">). One dog with repeat AUS had complete resolution of cholelithiasis. Six dogs </w:t>
      </w:r>
      <w:r w:rsidR="0006377A">
        <w:rPr>
          <w:rFonts w:ascii="Calibri" w:hAnsi="Calibri" w:cs="Calibri"/>
        </w:rPr>
        <w:t>we</w:t>
      </w:r>
      <w:r>
        <w:rPr>
          <w:rFonts w:ascii="Calibri" w:hAnsi="Calibri" w:cs="Calibri"/>
        </w:rPr>
        <w:t xml:space="preserve">re alive, </w:t>
      </w:r>
      <w:r w:rsidR="0006377A">
        <w:rPr>
          <w:rFonts w:ascii="Calibri" w:hAnsi="Calibri" w:cs="Calibri"/>
        </w:rPr>
        <w:t xml:space="preserve">8 were dead </w:t>
      </w:r>
      <w:r>
        <w:rPr>
          <w:rFonts w:ascii="Calibri" w:hAnsi="Calibri" w:cs="Calibri"/>
        </w:rPr>
        <w:t xml:space="preserve">and </w:t>
      </w:r>
      <w:r w:rsidR="0006377A">
        <w:rPr>
          <w:rFonts w:ascii="Calibri" w:hAnsi="Calibri" w:cs="Calibri"/>
        </w:rPr>
        <w:t xml:space="preserve">1 was </w:t>
      </w:r>
      <w:r w:rsidR="009E7B4B">
        <w:rPr>
          <w:rFonts w:ascii="Calibri" w:hAnsi="Calibri" w:cs="Calibri"/>
        </w:rPr>
        <w:t>lost to follow-up</w:t>
      </w:r>
      <w:r>
        <w:rPr>
          <w:rFonts w:ascii="Calibri" w:hAnsi="Calibri" w:cs="Calibri"/>
        </w:rPr>
        <w:t xml:space="preserve"> (Figure </w:t>
      </w:r>
      <w:r w:rsidR="007D4DB0">
        <w:rPr>
          <w:rFonts w:ascii="Calibri" w:hAnsi="Calibri" w:cs="Calibri"/>
        </w:rPr>
        <w:t>3</w:t>
      </w:r>
      <w:r>
        <w:rPr>
          <w:rFonts w:ascii="Calibri" w:hAnsi="Calibri" w:cs="Calibri"/>
        </w:rPr>
        <w:t xml:space="preserve">). </w:t>
      </w:r>
      <w:r w:rsidR="0006377A">
        <w:rPr>
          <w:rFonts w:ascii="Calibri" w:hAnsi="Calibri" w:cs="Calibri"/>
        </w:rPr>
        <w:t>M</w:t>
      </w:r>
      <w:r w:rsidRPr="005C607F">
        <w:rPr>
          <w:rFonts w:ascii="Calibri" w:hAnsi="Calibri" w:cs="Calibri"/>
        </w:rPr>
        <w:t xml:space="preserve">edian survival time </w:t>
      </w:r>
      <w:r w:rsidR="00E53423">
        <w:rPr>
          <w:rFonts w:ascii="Calibri" w:hAnsi="Calibri" w:cs="Calibri"/>
        </w:rPr>
        <w:t>wa</w:t>
      </w:r>
      <w:r w:rsidRPr="005C607F">
        <w:rPr>
          <w:rFonts w:ascii="Calibri" w:hAnsi="Calibri" w:cs="Calibri"/>
        </w:rPr>
        <w:t>s 399.5 days (range</w:t>
      </w:r>
      <w:r w:rsidR="0006377A">
        <w:rPr>
          <w:rFonts w:ascii="Calibri" w:hAnsi="Calibri" w:cs="Calibri"/>
        </w:rPr>
        <w:t>,</w:t>
      </w:r>
      <w:r w:rsidRPr="005C607F">
        <w:rPr>
          <w:rFonts w:ascii="Calibri" w:hAnsi="Calibri" w:cs="Calibri"/>
        </w:rPr>
        <w:t xml:space="preserve"> 3-2191</w:t>
      </w:r>
      <w:r w:rsidR="0006377A">
        <w:rPr>
          <w:rFonts w:ascii="Calibri" w:hAnsi="Calibri" w:cs="Calibri"/>
        </w:rPr>
        <w:t xml:space="preserve"> days</w:t>
      </w:r>
      <w:r w:rsidRPr="005C607F">
        <w:rPr>
          <w:rFonts w:ascii="Calibri" w:hAnsi="Calibri" w:cs="Calibri"/>
        </w:rPr>
        <w:t xml:space="preserve">). </w:t>
      </w:r>
      <w:r w:rsidR="000232D1">
        <w:rPr>
          <w:rFonts w:ascii="Calibri" w:hAnsi="Calibri" w:cs="Calibri"/>
        </w:rPr>
        <w:t>O</w:t>
      </w:r>
      <w:r>
        <w:rPr>
          <w:rFonts w:ascii="Calibri" w:hAnsi="Calibri" w:cs="Calibri"/>
        </w:rPr>
        <w:t>ne</w:t>
      </w:r>
      <w:r w:rsidRPr="005C607F">
        <w:rPr>
          <w:rFonts w:ascii="Calibri" w:hAnsi="Calibri" w:cs="Calibri"/>
        </w:rPr>
        <w:t xml:space="preserve"> dog died with </w:t>
      </w:r>
      <w:r w:rsidR="0059738F">
        <w:rPr>
          <w:rFonts w:ascii="Calibri" w:hAnsi="Calibri" w:cs="Calibri"/>
        </w:rPr>
        <w:t xml:space="preserve">signs of </w:t>
      </w:r>
      <w:r w:rsidRPr="005C607F">
        <w:rPr>
          <w:rFonts w:ascii="Calibri" w:hAnsi="Calibri" w:cs="Calibri"/>
        </w:rPr>
        <w:t xml:space="preserve">hepatobiliary </w:t>
      </w:r>
      <w:r w:rsidR="0059738F">
        <w:rPr>
          <w:rFonts w:ascii="Calibri" w:hAnsi="Calibri" w:cs="Calibri"/>
        </w:rPr>
        <w:t>disease</w:t>
      </w:r>
      <w:r w:rsidR="000232D1">
        <w:rPr>
          <w:rFonts w:ascii="Calibri" w:hAnsi="Calibri" w:cs="Calibri"/>
        </w:rPr>
        <w:t>, having</w:t>
      </w:r>
      <w:r w:rsidRPr="005C607F">
        <w:rPr>
          <w:rFonts w:ascii="Calibri" w:hAnsi="Calibri" w:cs="Calibri"/>
        </w:rPr>
        <w:t xml:space="preserve"> </w:t>
      </w:r>
      <w:r w:rsidR="0059738F">
        <w:rPr>
          <w:rFonts w:ascii="Calibri" w:hAnsi="Calibri" w:cs="Calibri"/>
        </w:rPr>
        <w:t xml:space="preserve">been </w:t>
      </w:r>
      <w:r w:rsidRPr="005C607F">
        <w:rPr>
          <w:rFonts w:ascii="Calibri" w:hAnsi="Calibri" w:cs="Calibri"/>
        </w:rPr>
        <w:t>presented with hepatocellular carcinoma</w:t>
      </w:r>
      <w:r w:rsidR="000232D1">
        <w:rPr>
          <w:rFonts w:ascii="Calibri" w:hAnsi="Calibri" w:cs="Calibri"/>
        </w:rPr>
        <w:t>,</w:t>
      </w:r>
      <w:r w:rsidRPr="005C607F">
        <w:rPr>
          <w:rFonts w:ascii="Calibri" w:hAnsi="Calibri" w:cs="Calibri"/>
        </w:rPr>
        <w:t xml:space="preserve"> and was euthani</w:t>
      </w:r>
      <w:r w:rsidR="006A2AF6">
        <w:rPr>
          <w:rFonts w:ascii="Calibri" w:hAnsi="Calibri" w:cs="Calibri"/>
        </w:rPr>
        <w:t>z</w:t>
      </w:r>
      <w:r w:rsidRPr="005C607F">
        <w:rPr>
          <w:rFonts w:ascii="Calibri" w:hAnsi="Calibri" w:cs="Calibri"/>
        </w:rPr>
        <w:t xml:space="preserve">ed 10 days after cholelith detection </w:t>
      </w:r>
      <w:r w:rsidR="00956F5A">
        <w:rPr>
          <w:rFonts w:ascii="Calibri" w:hAnsi="Calibri" w:cs="Calibri"/>
        </w:rPr>
        <w:t>because of</w:t>
      </w:r>
      <w:r w:rsidRPr="005C607F">
        <w:rPr>
          <w:rFonts w:ascii="Calibri" w:hAnsi="Calibri" w:cs="Calibri"/>
        </w:rPr>
        <w:t xml:space="preserve"> development of neurological signs. No dogs were reported to have </w:t>
      </w:r>
      <w:r w:rsidR="005B378E">
        <w:rPr>
          <w:rFonts w:ascii="Calibri" w:hAnsi="Calibri" w:cs="Calibri"/>
        </w:rPr>
        <w:t xml:space="preserve">either developed or </w:t>
      </w:r>
      <w:r w:rsidRPr="005C607F">
        <w:rPr>
          <w:rFonts w:ascii="Calibri" w:hAnsi="Calibri" w:cs="Calibri"/>
        </w:rPr>
        <w:t xml:space="preserve">died with </w:t>
      </w:r>
      <w:r w:rsidR="00956F5A">
        <w:rPr>
          <w:rFonts w:ascii="Calibri" w:hAnsi="Calibri" w:cs="Calibri"/>
        </w:rPr>
        <w:t>clinical signs</w:t>
      </w:r>
      <w:r w:rsidR="00956F5A" w:rsidRPr="005C607F">
        <w:rPr>
          <w:rFonts w:ascii="Calibri" w:hAnsi="Calibri" w:cs="Calibri"/>
        </w:rPr>
        <w:t xml:space="preserve"> </w:t>
      </w:r>
      <w:r w:rsidRPr="005C607F">
        <w:rPr>
          <w:rFonts w:ascii="Calibri" w:hAnsi="Calibri" w:cs="Calibri"/>
        </w:rPr>
        <w:t xml:space="preserve">attributable to cholelithiasis. </w:t>
      </w:r>
    </w:p>
    <w:p w14:paraId="532597E1" w14:textId="77777777" w:rsidR="009B0FA2" w:rsidRPr="005C607F" w:rsidRDefault="009B0FA2" w:rsidP="00867264">
      <w:pPr>
        <w:spacing w:line="480" w:lineRule="auto"/>
        <w:jc w:val="both"/>
        <w:rPr>
          <w:rFonts w:ascii="Calibri" w:hAnsi="Calibri" w:cs="Calibri"/>
        </w:rPr>
      </w:pPr>
    </w:p>
    <w:p w14:paraId="644066E2" w14:textId="77777777" w:rsidR="009B0FA2" w:rsidRPr="005C607F" w:rsidRDefault="009B0FA2" w:rsidP="00867264">
      <w:pPr>
        <w:spacing w:line="480" w:lineRule="auto"/>
        <w:jc w:val="both"/>
        <w:rPr>
          <w:rFonts w:ascii="Calibri" w:hAnsi="Calibri" w:cs="Calibri"/>
          <w:b/>
          <w:bCs/>
        </w:rPr>
      </w:pPr>
      <w:r w:rsidRPr="005C607F">
        <w:rPr>
          <w:rFonts w:ascii="Calibri" w:hAnsi="Calibri" w:cs="Calibri"/>
          <w:b/>
          <w:bCs/>
        </w:rPr>
        <w:t>Survival</w:t>
      </w:r>
    </w:p>
    <w:p w14:paraId="4617A163" w14:textId="4997BDAC" w:rsidR="009B0FA2" w:rsidRPr="005C607F" w:rsidRDefault="003D2664" w:rsidP="00867264">
      <w:pPr>
        <w:spacing w:line="480" w:lineRule="auto"/>
        <w:jc w:val="both"/>
        <w:rPr>
          <w:rFonts w:ascii="Calibri" w:hAnsi="Calibri" w:cs="Calibri"/>
        </w:rPr>
      </w:pPr>
      <w:r>
        <w:rPr>
          <w:rFonts w:ascii="Calibri" w:hAnsi="Calibri" w:cs="Calibri"/>
        </w:rPr>
        <w:t>M</w:t>
      </w:r>
      <w:r w:rsidR="009B0FA2" w:rsidRPr="005C607F">
        <w:rPr>
          <w:rFonts w:ascii="Calibri" w:hAnsi="Calibri" w:cs="Calibri"/>
        </w:rPr>
        <w:t xml:space="preserve">edian survival time of all </w:t>
      </w:r>
      <w:r w:rsidR="00477AC3">
        <w:rPr>
          <w:rFonts w:ascii="Calibri" w:hAnsi="Calibri" w:cs="Calibri"/>
        </w:rPr>
        <w:t>dog</w:t>
      </w:r>
      <w:r w:rsidR="009B0FA2" w:rsidRPr="005C607F">
        <w:rPr>
          <w:rFonts w:ascii="Calibri" w:hAnsi="Calibri" w:cs="Calibri"/>
        </w:rPr>
        <w:t xml:space="preserve">s </w:t>
      </w:r>
      <w:r w:rsidR="00AD2801">
        <w:rPr>
          <w:rFonts w:ascii="Calibri" w:hAnsi="Calibri" w:cs="Calibri"/>
        </w:rPr>
        <w:t>wa</w:t>
      </w:r>
      <w:r w:rsidR="009B0FA2" w:rsidRPr="005C607F">
        <w:rPr>
          <w:rFonts w:ascii="Calibri" w:hAnsi="Calibri" w:cs="Calibri"/>
        </w:rPr>
        <w:t>s 457.4 days (range</w:t>
      </w:r>
      <w:r w:rsidR="001A6D91">
        <w:rPr>
          <w:rFonts w:ascii="Calibri" w:hAnsi="Calibri" w:cs="Calibri"/>
        </w:rPr>
        <w:t>,</w:t>
      </w:r>
      <w:r w:rsidR="009B0FA2" w:rsidRPr="005C607F">
        <w:rPr>
          <w:rFonts w:ascii="Calibri" w:hAnsi="Calibri" w:cs="Calibri"/>
        </w:rPr>
        <w:t xml:space="preserve"> 0-2457</w:t>
      </w:r>
      <w:r w:rsidR="001A6D91">
        <w:rPr>
          <w:rFonts w:ascii="Calibri" w:hAnsi="Calibri" w:cs="Calibri"/>
        </w:rPr>
        <w:t xml:space="preserve"> days</w:t>
      </w:r>
      <w:r w:rsidR="009B0FA2" w:rsidRPr="005C607F">
        <w:rPr>
          <w:rFonts w:ascii="Calibri" w:hAnsi="Calibri" w:cs="Calibri"/>
        </w:rPr>
        <w:t xml:space="preserve">). Four symptomatic </w:t>
      </w:r>
      <w:r w:rsidR="00A16EEB">
        <w:rPr>
          <w:rFonts w:ascii="Calibri" w:hAnsi="Calibri" w:cs="Calibri"/>
        </w:rPr>
        <w:t>dogs</w:t>
      </w:r>
      <w:r w:rsidR="00A16EEB" w:rsidRPr="005C607F">
        <w:rPr>
          <w:rFonts w:ascii="Calibri" w:hAnsi="Calibri" w:cs="Calibri"/>
        </w:rPr>
        <w:t xml:space="preserve"> </w:t>
      </w:r>
      <w:r w:rsidR="00AD2801">
        <w:rPr>
          <w:rFonts w:ascii="Calibri" w:hAnsi="Calibri" w:cs="Calibri"/>
        </w:rPr>
        <w:t>we</w:t>
      </w:r>
      <w:r w:rsidR="009B0FA2" w:rsidRPr="005C607F">
        <w:rPr>
          <w:rFonts w:ascii="Calibri" w:hAnsi="Calibri" w:cs="Calibri"/>
        </w:rPr>
        <w:t xml:space="preserve">re alive at the time of writing, </w:t>
      </w:r>
      <w:r w:rsidR="00A45B1E">
        <w:rPr>
          <w:rFonts w:ascii="Calibri" w:hAnsi="Calibri" w:cs="Calibri"/>
        </w:rPr>
        <w:t>12</w:t>
      </w:r>
      <w:r w:rsidR="00A45B1E" w:rsidRPr="005C607F">
        <w:rPr>
          <w:rFonts w:ascii="Calibri" w:hAnsi="Calibri" w:cs="Calibri"/>
        </w:rPr>
        <w:t xml:space="preserve"> </w:t>
      </w:r>
      <w:r w:rsidR="009B0FA2" w:rsidRPr="005C607F">
        <w:rPr>
          <w:rFonts w:ascii="Calibri" w:hAnsi="Calibri" w:cs="Calibri"/>
        </w:rPr>
        <w:t>ha</w:t>
      </w:r>
      <w:r w:rsidR="00AD2801">
        <w:rPr>
          <w:rFonts w:ascii="Calibri" w:hAnsi="Calibri" w:cs="Calibri"/>
        </w:rPr>
        <w:t>d</w:t>
      </w:r>
      <w:r w:rsidR="009B0FA2" w:rsidRPr="005C607F">
        <w:rPr>
          <w:rFonts w:ascii="Calibri" w:hAnsi="Calibri" w:cs="Calibri"/>
        </w:rPr>
        <w:t xml:space="preserve"> died and </w:t>
      </w:r>
      <w:r w:rsidR="004E5F1C">
        <w:rPr>
          <w:rFonts w:ascii="Calibri" w:hAnsi="Calibri" w:cs="Calibri"/>
        </w:rPr>
        <w:t>2</w:t>
      </w:r>
      <w:r w:rsidR="004E5F1C" w:rsidRPr="005C607F">
        <w:rPr>
          <w:rFonts w:ascii="Calibri" w:hAnsi="Calibri" w:cs="Calibri"/>
        </w:rPr>
        <w:t xml:space="preserve"> </w:t>
      </w:r>
      <w:r w:rsidR="00AD2801">
        <w:rPr>
          <w:rFonts w:ascii="Calibri" w:hAnsi="Calibri" w:cs="Calibri"/>
        </w:rPr>
        <w:t>we</w:t>
      </w:r>
      <w:r w:rsidR="009B0FA2" w:rsidRPr="005C607F">
        <w:rPr>
          <w:rFonts w:ascii="Calibri" w:hAnsi="Calibri" w:cs="Calibri"/>
        </w:rPr>
        <w:t xml:space="preserve">re lost to follow-up. The median survival time of symptomatic cases </w:t>
      </w:r>
      <w:r w:rsidR="00AD2801">
        <w:rPr>
          <w:rFonts w:ascii="Calibri" w:hAnsi="Calibri" w:cs="Calibri"/>
        </w:rPr>
        <w:t>wa</w:t>
      </w:r>
      <w:r w:rsidR="009B0FA2" w:rsidRPr="005C607F">
        <w:rPr>
          <w:rFonts w:ascii="Calibri" w:hAnsi="Calibri" w:cs="Calibri"/>
        </w:rPr>
        <w:t>s 498 days (range</w:t>
      </w:r>
      <w:r w:rsidR="004E5F1C">
        <w:rPr>
          <w:rFonts w:ascii="Calibri" w:hAnsi="Calibri" w:cs="Calibri"/>
        </w:rPr>
        <w:t>,</w:t>
      </w:r>
      <w:r w:rsidR="009B0FA2" w:rsidRPr="005C607F">
        <w:rPr>
          <w:rFonts w:ascii="Calibri" w:hAnsi="Calibri" w:cs="Calibri"/>
        </w:rPr>
        <w:t xml:space="preserve"> 0-2457</w:t>
      </w:r>
      <w:r w:rsidR="004E5F1C">
        <w:rPr>
          <w:rFonts w:ascii="Calibri" w:hAnsi="Calibri" w:cs="Calibri"/>
        </w:rPr>
        <w:t xml:space="preserve"> days</w:t>
      </w:r>
      <w:r w:rsidR="009B0FA2" w:rsidRPr="005C607F">
        <w:rPr>
          <w:rFonts w:ascii="Calibri" w:hAnsi="Calibri" w:cs="Calibri"/>
        </w:rPr>
        <w:t>). Nine</w:t>
      </w:r>
      <w:r w:rsidR="00D10918">
        <w:rPr>
          <w:rFonts w:ascii="Calibri" w:hAnsi="Calibri" w:cs="Calibri"/>
        </w:rPr>
        <w:t xml:space="preserve"> dogs in the </w:t>
      </w:r>
      <w:r w:rsidR="009B0FA2" w:rsidRPr="005C607F">
        <w:rPr>
          <w:rFonts w:ascii="Calibri" w:hAnsi="Calibri" w:cs="Calibri"/>
        </w:rPr>
        <w:t xml:space="preserve">incidental </w:t>
      </w:r>
      <w:r w:rsidR="00D10918">
        <w:rPr>
          <w:rFonts w:ascii="Calibri" w:hAnsi="Calibri" w:cs="Calibri"/>
        </w:rPr>
        <w:t>group</w:t>
      </w:r>
      <w:r w:rsidR="00D10918" w:rsidRPr="005C607F">
        <w:rPr>
          <w:rFonts w:ascii="Calibri" w:hAnsi="Calibri" w:cs="Calibri"/>
        </w:rPr>
        <w:t xml:space="preserve"> </w:t>
      </w:r>
      <w:r w:rsidR="00AD2801">
        <w:rPr>
          <w:rFonts w:ascii="Calibri" w:hAnsi="Calibri" w:cs="Calibri"/>
        </w:rPr>
        <w:t>we</w:t>
      </w:r>
      <w:r w:rsidR="009B0FA2" w:rsidRPr="005C607F">
        <w:rPr>
          <w:rFonts w:ascii="Calibri" w:hAnsi="Calibri" w:cs="Calibri"/>
        </w:rPr>
        <w:t>re alive at the time of writing and 11 ha</w:t>
      </w:r>
      <w:r w:rsidR="00AD2801">
        <w:rPr>
          <w:rFonts w:ascii="Calibri" w:hAnsi="Calibri" w:cs="Calibri"/>
        </w:rPr>
        <w:t>d</w:t>
      </w:r>
      <w:r w:rsidR="009B0FA2" w:rsidRPr="005C607F">
        <w:rPr>
          <w:rFonts w:ascii="Calibri" w:hAnsi="Calibri" w:cs="Calibri"/>
        </w:rPr>
        <w:t xml:space="preserve"> died</w:t>
      </w:r>
      <w:r w:rsidR="003772C5">
        <w:rPr>
          <w:rFonts w:ascii="Calibri" w:hAnsi="Calibri" w:cs="Calibri"/>
        </w:rPr>
        <w:t xml:space="preserve">, </w:t>
      </w:r>
      <w:r w:rsidR="00D10918">
        <w:rPr>
          <w:rFonts w:ascii="Calibri" w:hAnsi="Calibri" w:cs="Calibri"/>
        </w:rPr>
        <w:t xml:space="preserve">but the </w:t>
      </w:r>
      <w:r w:rsidR="003772C5">
        <w:rPr>
          <w:rFonts w:ascii="Calibri" w:hAnsi="Calibri" w:cs="Calibri"/>
        </w:rPr>
        <w:t xml:space="preserve">cause and time of death in </w:t>
      </w:r>
      <w:r w:rsidR="00BB0B3B">
        <w:rPr>
          <w:rFonts w:ascii="Calibri" w:hAnsi="Calibri" w:cs="Calibri"/>
        </w:rPr>
        <w:t xml:space="preserve">1 dog </w:t>
      </w:r>
      <w:r w:rsidR="00AD2801">
        <w:rPr>
          <w:rFonts w:ascii="Calibri" w:hAnsi="Calibri" w:cs="Calibri"/>
        </w:rPr>
        <w:t>wa</w:t>
      </w:r>
      <w:r w:rsidR="003772C5">
        <w:rPr>
          <w:rFonts w:ascii="Calibri" w:hAnsi="Calibri" w:cs="Calibri"/>
        </w:rPr>
        <w:t>s unknown</w:t>
      </w:r>
      <w:r w:rsidR="009B0FA2" w:rsidRPr="005C607F">
        <w:rPr>
          <w:rFonts w:ascii="Calibri" w:hAnsi="Calibri" w:cs="Calibri"/>
        </w:rPr>
        <w:t xml:space="preserve">. The median survival time of </w:t>
      </w:r>
      <w:r w:rsidR="00F96F18">
        <w:rPr>
          <w:rFonts w:ascii="Calibri" w:hAnsi="Calibri" w:cs="Calibri"/>
        </w:rPr>
        <w:t xml:space="preserve">dogs in the </w:t>
      </w:r>
      <w:r w:rsidR="009B0FA2" w:rsidRPr="005C607F">
        <w:rPr>
          <w:rFonts w:ascii="Calibri" w:hAnsi="Calibri" w:cs="Calibri"/>
        </w:rPr>
        <w:t xml:space="preserve">incidental </w:t>
      </w:r>
      <w:r w:rsidR="00F96F18">
        <w:rPr>
          <w:rFonts w:ascii="Calibri" w:hAnsi="Calibri" w:cs="Calibri"/>
        </w:rPr>
        <w:t>group</w:t>
      </w:r>
      <w:r w:rsidR="00F96F18" w:rsidRPr="005C607F">
        <w:rPr>
          <w:rFonts w:ascii="Calibri" w:hAnsi="Calibri" w:cs="Calibri"/>
        </w:rPr>
        <w:t xml:space="preserve"> </w:t>
      </w:r>
      <w:r w:rsidR="00AD2801">
        <w:rPr>
          <w:rFonts w:ascii="Calibri" w:hAnsi="Calibri" w:cs="Calibri"/>
        </w:rPr>
        <w:t>wa</w:t>
      </w:r>
      <w:r w:rsidR="009B0FA2" w:rsidRPr="005C607F">
        <w:rPr>
          <w:rFonts w:ascii="Calibri" w:hAnsi="Calibri" w:cs="Calibri"/>
        </w:rPr>
        <w:t xml:space="preserve">s 434 days </w:t>
      </w:r>
      <w:r w:rsidR="009B0FA2" w:rsidRPr="005C607F">
        <w:rPr>
          <w:rFonts w:ascii="Calibri" w:hAnsi="Calibri" w:cs="Calibri"/>
        </w:rPr>
        <w:lastRenderedPageBreak/>
        <w:t>(range</w:t>
      </w:r>
      <w:r w:rsidR="00F96F18">
        <w:rPr>
          <w:rFonts w:ascii="Calibri" w:hAnsi="Calibri" w:cs="Calibri"/>
        </w:rPr>
        <w:t>,</w:t>
      </w:r>
      <w:r w:rsidR="009B0FA2" w:rsidRPr="005C607F">
        <w:rPr>
          <w:rFonts w:ascii="Calibri" w:hAnsi="Calibri" w:cs="Calibri"/>
        </w:rPr>
        <w:t xml:space="preserve"> 3-</w:t>
      </w:r>
      <w:r w:rsidR="00235C3B">
        <w:rPr>
          <w:rFonts w:ascii="Calibri" w:hAnsi="Calibri" w:cs="Calibri"/>
        </w:rPr>
        <w:t>2191</w:t>
      </w:r>
      <w:r w:rsidR="00F96F18">
        <w:rPr>
          <w:rFonts w:ascii="Calibri" w:hAnsi="Calibri" w:cs="Calibri"/>
        </w:rPr>
        <w:t xml:space="preserve"> days</w:t>
      </w:r>
      <w:r w:rsidR="009B0FA2" w:rsidRPr="005C607F">
        <w:rPr>
          <w:rFonts w:ascii="Calibri" w:hAnsi="Calibri" w:cs="Calibri"/>
        </w:rPr>
        <w:t xml:space="preserve">). </w:t>
      </w:r>
      <w:r w:rsidR="00F96F18">
        <w:rPr>
          <w:rFonts w:ascii="Calibri" w:hAnsi="Calibri" w:cs="Calibri"/>
        </w:rPr>
        <w:t>No</w:t>
      </w:r>
      <w:r w:rsidR="009B0FA2" w:rsidRPr="005C607F">
        <w:rPr>
          <w:rFonts w:ascii="Calibri" w:hAnsi="Calibri" w:cs="Calibri"/>
        </w:rPr>
        <w:t xml:space="preserve"> significant difference</w:t>
      </w:r>
      <w:r w:rsidR="00F96F18">
        <w:rPr>
          <w:rFonts w:ascii="Calibri" w:hAnsi="Calibri" w:cs="Calibri"/>
        </w:rPr>
        <w:t xml:space="preserve"> was found</w:t>
      </w:r>
      <w:r w:rsidR="009B0FA2" w:rsidRPr="005C607F">
        <w:rPr>
          <w:rFonts w:ascii="Calibri" w:hAnsi="Calibri" w:cs="Calibri"/>
        </w:rPr>
        <w:t xml:space="preserve"> in survival distribution between </w:t>
      </w:r>
      <w:r w:rsidR="001E639B">
        <w:rPr>
          <w:rFonts w:ascii="Calibri" w:hAnsi="Calibri" w:cs="Calibri"/>
        </w:rPr>
        <w:t xml:space="preserve">the </w:t>
      </w:r>
      <w:r w:rsidR="009B0FA2" w:rsidRPr="005C607F">
        <w:rPr>
          <w:rFonts w:ascii="Calibri" w:hAnsi="Calibri" w:cs="Calibri"/>
        </w:rPr>
        <w:t>symptomatic and incidental groups (X</w:t>
      </w:r>
      <w:r w:rsidR="009B0FA2" w:rsidRPr="005C607F">
        <w:rPr>
          <w:rFonts w:ascii="Calibri" w:hAnsi="Calibri" w:cs="Calibri"/>
          <w:vertAlign w:val="superscript"/>
        </w:rPr>
        <w:t>2</w:t>
      </w:r>
      <w:r w:rsidR="009B0FA2" w:rsidRPr="005C607F">
        <w:rPr>
          <w:rFonts w:ascii="Calibri" w:hAnsi="Calibri" w:cs="Calibri"/>
        </w:rPr>
        <w:t>=0.044, df = 1, p=.83</w:t>
      </w:r>
      <w:r w:rsidR="003A4574">
        <w:rPr>
          <w:rFonts w:ascii="Calibri" w:hAnsi="Calibri" w:cs="Calibri"/>
        </w:rPr>
        <w:t xml:space="preserve">; </w:t>
      </w:r>
      <w:r w:rsidR="009B0FA2" w:rsidRPr="005C607F">
        <w:rPr>
          <w:rFonts w:ascii="Calibri" w:hAnsi="Calibri" w:cs="Calibri"/>
        </w:rPr>
        <w:t xml:space="preserve">Figure </w:t>
      </w:r>
      <w:r w:rsidR="00BD79BF">
        <w:rPr>
          <w:rFonts w:ascii="Calibri" w:hAnsi="Calibri" w:cs="Calibri"/>
        </w:rPr>
        <w:t>4</w:t>
      </w:r>
      <w:r w:rsidR="009B0FA2" w:rsidRPr="005C607F">
        <w:rPr>
          <w:rFonts w:ascii="Calibri" w:hAnsi="Calibri" w:cs="Calibri"/>
        </w:rPr>
        <w:t xml:space="preserve">). </w:t>
      </w:r>
    </w:p>
    <w:p w14:paraId="686AD8B8" w14:textId="77777777" w:rsidR="00CE6B5C" w:rsidRDefault="00CE6B5C" w:rsidP="00867264">
      <w:pPr>
        <w:spacing w:line="480" w:lineRule="auto"/>
        <w:jc w:val="both"/>
        <w:rPr>
          <w:rFonts w:ascii="Calibri" w:hAnsi="Calibri" w:cs="Calibri"/>
          <w:b/>
          <w:bCs/>
        </w:rPr>
      </w:pPr>
    </w:p>
    <w:p w14:paraId="3540BBBB" w14:textId="34A992A0" w:rsidR="00EC0187" w:rsidRPr="00F70358" w:rsidRDefault="00661F7E" w:rsidP="00867264">
      <w:pPr>
        <w:spacing w:line="480" w:lineRule="auto"/>
        <w:jc w:val="both"/>
        <w:rPr>
          <w:rFonts w:ascii="Calibri" w:hAnsi="Calibri" w:cs="Calibri"/>
          <w:b/>
          <w:bCs/>
        </w:rPr>
      </w:pPr>
      <w:r w:rsidRPr="00F70358">
        <w:rPr>
          <w:rFonts w:ascii="Calibri" w:hAnsi="Calibri" w:cs="Calibri"/>
          <w:b/>
          <w:bCs/>
        </w:rPr>
        <w:t xml:space="preserve">Discussion </w:t>
      </w:r>
    </w:p>
    <w:p w14:paraId="34566774" w14:textId="2684D616" w:rsidR="00826A6D" w:rsidRPr="005C607F" w:rsidRDefault="00097507" w:rsidP="00867264">
      <w:pPr>
        <w:spacing w:line="480" w:lineRule="auto"/>
        <w:jc w:val="both"/>
        <w:rPr>
          <w:rFonts w:ascii="Calibri" w:hAnsi="Calibri" w:cs="Calibri"/>
        </w:rPr>
      </w:pPr>
      <w:r w:rsidRPr="005C607F">
        <w:rPr>
          <w:rFonts w:ascii="Calibri" w:hAnsi="Calibri" w:cs="Calibri"/>
        </w:rPr>
        <w:t xml:space="preserve">Previous reports of medical management of cholelithiasis </w:t>
      </w:r>
      <w:r w:rsidR="00731E2D">
        <w:rPr>
          <w:rFonts w:ascii="Calibri" w:hAnsi="Calibri" w:cs="Calibri"/>
        </w:rPr>
        <w:t xml:space="preserve">in dogs </w:t>
      </w:r>
      <w:r w:rsidRPr="005C607F">
        <w:rPr>
          <w:rFonts w:ascii="Calibri" w:hAnsi="Calibri" w:cs="Calibri"/>
        </w:rPr>
        <w:t xml:space="preserve">have </w:t>
      </w:r>
      <w:r w:rsidR="00AC7961">
        <w:rPr>
          <w:rFonts w:ascii="Calibri" w:hAnsi="Calibri" w:cs="Calibri"/>
        </w:rPr>
        <w:t>documented</w:t>
      </w:r>
      <w:r w:rsidR="00731E2D">
        <w:rPr>
          <w:rFonts w:ascii="Calibri" w:hAnsi="Calibri" w:cs="Calibri"/>
        </w:rPr>
        <w:t xml:space="preserve"> </w:t>
      </w:r>
      <w:r w:rsidRPr="005C607F">
        <w:rPr>
          <w:rFonts w:ascii="Calibri" w:hAnsi="Calibri" w:cs="Calibri"/>
        </w:rPr>
        <w:t>persistence of cholelithiasis</w:t>
      </w:r>
      <w:r w:rsidR="00731E2D" w:rsidRPr="005C607F">
        <w:rPr>
          <w:rFonts w:ascii="Calibri" w:hAnsi="Calibri" w:cs="Calibri"/>
        </w:rPr>
        <w:t xml:space="preserve"> despite clinical improvement </w:t>
      </w:r>
      <w:r w:rsidRPr="005C607F">
        <w:rPr>
          <w:rFonts w:ascii="Calibri" w:hAnsi="Calibri" w:cs="Calibri"/>
        </w:rPr>
        <w:fldChar w:fldCharType="begin" w:fldLock="1"/>
      </w:r>
      <w:r w:rsidRPr="005C607F">
        <w:rPr>
          <w:rFonts w:ascii="Calibri" w:hAnsi="Calibri" w:cs="Calibri"/>
        </w:rPr>
        <w:instrText>ADDIN CSL_CITATION {"citationItems":[{"id":"ITEM-1","itemData":{"ISSN":"0003-1488","author":[{"dropping-particle":"","family":"Kirpensteijn","given":"J","non-dropping-particle":"","parse-names":false,"suffix":""},{"dropping-particle":"","family":"Fingland","given":"R B","non-dropping-particle":"","parse-names":false,"suffix":""},{"dropping-particle":"","family":"Ulrich","given":"T","non-dropping-particle":"","parse-names":false,"suffix":""},{"dropping-particle":"","family":"Sikkema","given":"D A","non-dropping-particle":"","parse-names":false,"suffix":""},{"dropping-particle":"","family":"Allen","given":"S W","non-dropping-particle":"","parse-names":false,"suffix":""}],"container-title":"Journal of the American Veterinary Medical Association","id":"ITEM-1","issue":"7","issued":{"date-parts":[["1993","4"]]},"page":"1137—1142","title":"Cholelithiasis in dogs: 29 cases (1980-1990)","type":"article-journal","volume":"202"},"uris":["http://www.mendeley.com/documents/?uuid=ea2fcfa7-1d2a-4b11-8772-90011ad056fc"]},{"id":"ITEM-2","itemData":{"ISSN":"0008-5286","abstract":"A 10-year-old, neutered male, keeshond was presented for vomiting, lethargy, icterus, and anorexia. Obstructive cholelithiasis was diagnosed based on analysis of a serum biochemical profile, abdominal radiographs, and ultrasonography. Choleliths were removed from the gall bladder and common bile duct via a cholecystotomy.","author":[{"dropping-particle":"","family":"Ward","given":"Renata","non-dropping-particle":"","parse-names":false,"suffix":""}],"container-title":"The Canadian veterinary journal = La revue veterinaire canadienne","id":"ITEM-2","issue":"11","issued":{"date-parts":[["2006","11"]]},"language":"eng","page":"1119-1121","publisher":"Canadian Veterinary Medical Association","title":"Obstructive cholelithiasis and cholecystitis in a keeshond","type":"article-journal","volume":"47"},"uris":["http://www.mendeley.com/documents/?uuid=06b3d2f8-200d-466d-ba24-a168fa5eb871"]},{"id":"ITEM-3","itemData":{"ISSN":"0008-5286","abstract":"A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canadienne","id":"ITEM-3","issue":"9","issued":{"date-parts":[["2017","9"]]},"language":"eng","page":"971-973","publisher":"Canadian Veterinary Medical Association","title":"Intrahepatic cholelithiasis in dogs and cats: A case series","type":"article-journal","volume":"58"},"uris":["http://www.mendeley.com/documents/?uuid=752cbfbe-cc88-4e01-9294-a3295e386423"]},{"id":"ITEM-4","itemData":{"DOI":"10.5326/JAAHA-MS-7000","ISSN":"0587-2871","abstract":"Canine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Association","id":"ITEM-4","issue":"3","issued":{"date-parts":[["2020","5","1"]]},"page":"152","title":"Cholelithiasis in the Dog: Prevalence, Clinical Presentation, and Outcome","type":"article-journal","volume":"56"},"uris":["http://www.mendeley.com/documents/?uuid=ff3a9338-b98b-4d01-965b-26009b9d5232"]}],"mendeley":{"formattedCitation":"(1–3,6)","plainTextFormattedCitation":"(1–3,6)","previouslyFormattedCitation":"(1–3,6)"},"properties":{"noteIndex":0},"schema":"https://github.com/citation-style-language/schema/raw/master/csl-citation.json"}</w:instrText>
      </w:r>
      <w:r w:rsidRPr="005C607F">
        <w:rPr>
          <w:rFonts w:ascii="Calibri" w:hAnsi="Calibri" w:cs="Calibri"/>
        </w:rPr>
        <w:fldChar w:fldCharType="separate"/>
      </w:r>
      <w:r w:rsidRPr="005C607F">
        <w:rPr>
          <w:rFonts w:ascii="Calibri" w:hAnsi="Calibri" w:cs="Calibri"/>
          <w:noProof/>
        </w:rPr>
        <w:t>(1–3,6)</w:t>
      </w:r>
      <w:r w:rsidRPr="005C607F">
        <w:rPr>
          <w:rFonts w:ascii="Calibri" w:hAnsi="Calibri" w:cs="Calibri"/>
        </w:rPr>
        <w:fldChar w:fldCharType="end"/>
      </w:r>
      <w:r>
        <w:rPr>
          <w:rFonts w:ascii="Calibri" w:hAnsi="Calibri" w:cs="Calibri"/>
        </w:rPr>
        <w:t>.</w:t>
      </w:r>
      <w:r w:rsidR="00A46080" w:rsidRPr="00A46080">
        <w:rPr>
          <w:rFonts w:ascii="Calibri" w:hAnsi="Calibri" w:cs="Calibri"/>
          <w:lang w:val="en-US"/>
        </w:rPr>
        <w:t xml:space="preserve"> </w:t>
      </w:r>
      <w:r w:rsidR="00A46080" w:rsidRPr="005C607F">
        <w:rPr>
          <w:rFonts w:ascii="Calibri" w:hAnsi="Calibri" w:cs="Calibri"/>
          <w:lang w:val="en-US"/>
        </w:rPr>
        <w:t xml:space="preserve">In contrast to </w:t>
      </w:r>
      <w:r w:rsidR="00A46080">
        <w:rPr>
          <w:rFonts w:ascii="Calibri" w:hAnsi="Calibri" w:cs="Calibri"/>
          <w:lang w:val="en-US"/>
        </w:rPr>
        <w:t>choleliths</w:t>
      </w:r>
      <w:r w:rsidR="00A46080" w:rsidRPr="005C607F">
        <w:rPr>
          <w:rFonts w:ascii="Calibri" w:hAnsi="Calibri" w:cs="Calibri"/>
          <w:lang w:val="en-US"/>
        </w:rPr>
        <w:t xml:space="preserve"> </w:t>
      </w:r>
      <w:r w:rsidR="00731E2D">
        <w:rPr>
          <w:rFonts w:ascii="Calibri" w:hAnsi="Calibri" w:cs="Calibri"/>
          <w:lang w:val="en-US"/>
        </w:rPr>
        <w:t xml:space="preserve">in humans, </w:t>
      </w:r>
      <w:r w:rsidR="00A46080" w:rsidRPr="005C607F">
        <w:rPr>
          <w:rFonts w:ascii="Calibri" w:hAnsi="Calibri" w:cs="Calibri"/>
          <w:lang w:val="en-US"/>
        </w:rPr>
        <w:t>which are primarily cholesterol</w:t>
      </w:r>
      <w:r w:rsidR="00280668">
        <w:rPr>
          <w:rFonts w:ascii="Calibri" w:hAnsi="Calibri" w:cs="Calibri"/>
          <w:lang w:val="en-US"/>
        </w:rPr>
        <w:t>-based</w:t>
      </w:r>
      <w:r w:rsidR="00A46080" w:rsidRPr="005C607F">
        <w:rPr>
          <w:rFonts w:ascii="Calibri" w:hAnsi="Calibri" w:cs="Calibri"/>
          <w:lang w:val="en-US"/>
        </w:rPr>
        <w:t xml:space="preserve">, choleliths </w:t>
      </w:r>
      <w:r w:rsidR="00731E2D">
        <w:rPr>
          <w:rFonts w:ascii="Calibri" w:hAnsi="Calibri" w:cs="Calibri"/>
          <w:lang w:val="en-US"/>
        </w:rPr>
        <w:t xml:space="preserve">in dogs </w:t>
      </w:r>
      <w:r w:rsidR="00A46080" w:rsidRPr="005C607F">
        <w:rPr>
          <w:rFonts w:ascii="Calibri" w:hAnsi="Calibri" w:cs="Calibri"/>
          <w:lang w:val="en-US"/>
        </w:rPr>
        <w:t xml:space="preserve">usually </w:t>
      </w:r>
      <w:r w:rsidR="00731E2D">
        <w:rPr>
          <w:rFonts w:ascii="Calibri" w:hAnsi="Calibri" w:cs="Calibri"/>
          <w:lang w:val="en-US"/>
        </w:rPr>
        <w:t xml:space="preserve">are </w:t>
      </w:r>
      <w:r w:rsidR="00A46080" w:rsidRPr="005C607F">
        <w:rPr>
          <w:rFonts w:ascii="Calibri" w:hAnsi="Calibri" w:cs="Calibri"/>
          <w:lang w:val="en-US"/>
        </w:rPr>
        <w:t xml:space="preserve">composed of calcium </w:t>
      </w:r>
      <w:r w:rsidR="0000684E">
        <w:rPr>
          <w:rFonts w:ascii="Calibri" w:hAnsi="Calibri" w:cs="Calibri"/>
          <w:lang w:val="en-US"/>
        </w:rPr>
        <w:t>carbo</w:t>
      </w:r>
      <w:r w:rsidR="00A46080" w:rsidRPr="005C607F">
        <w:rPr>
          <w:rFonts w:ascii="Calibri" w:hAnsi="Calibri" w:cs="Calibri"/>
          <w:lang w:val="en-US"/>
        </w:rPr>
        <w:t>nate</w:t>
      </w:r>
      <w:r w:rsidR="001B6E6D">
        <w:rPr>
          <w:rFonts w:ascii="Calibri" w:hAnsi="Calibri" w:cs="Calibri"/>
          <w:lang w:val="en-US"/>
        </w:rPr>
        <w:t>,</w:t>
      </w:r>
      <w:r w:rsidR="00A46080" w:rsidRPr="005C607F">
        <w:rPr>
          <w:rFonts w:ascii="Calibri" w:hAnsi="Calibri" w:cs="Calibri"/>
          <w:lang w:val="en-US"/>
        </w:rPr>
        <w:t xml:space="preserve"> cholesterol and bilirubin </w:t>
      </w:r>
      <w:r w:rsidR="00A46080" w:rsidRPr="005C607F">
        <w:rPr>
          <w:rFonts w:ascii="Calibri" w:hAnsi="Calibri" w:cs="Calibri"/>
          <w:lang w:val="en-US"/>
        </w:rPr>
        <w:fldChar w:fldCharType="begin" w:fldLock="1"/>
      </w:r>
      <w:r w:rsidR="00A46080" w:rsidRPr="005C607F">
        <w:rPr>
          <w:rFonts w:ascii="Calibri" w:hAnsi="Calibri" w:cs="Calibri"/>
          <w:lang w:val="en-US"/>
        </w:rPr>
        <w:instrText>ADDIN CSL_CITATION {"citationItems":[{"id":"ITEM-1","itemData":{"DOI":"10.1371/journal.pone.0187315","ISSN":"1932-6203","abstract":"Leptin and its receptor play several physiological roles in the canine gallbladder, and the dysregulation of leptin might play a role in the pathogenesis of gallbladder diseases such as gallbladder mucocele. Previous studies revealed a positive association between hyperlipidemia and gallstones in humans. However, the latter is still unclear in dogs with cholelithiasis. In this study, we examined the differences in leptin, leptin receptor, total cholesterol, and triglyceride levels between healthy dogs and dogs with cholelithiasis, and evaluated the correlation between leptin and hyperlipidemia. Twenty-eight healthy dogs and 34 client-owned dogs with cholelithiasis were enrolled in the study. Leptin concentrations and lipid profiles were determined from sera, and leptin and leptin receptor expression levels were quantified in gallbladder tissue. In dogs with cholelithiasis, serum concentrations of leptin (p &lt; 0.001), total cholesterol (p &lt; 0.001), and triglycerides (p &lt; 0.001) were significantly higher compared with those in healthy dogs. Positive correlations were observed between serum leptin and total cholesterol (95% confidence interval (CI) = 0.61-0.89, r = 0.725, p &lt; 0.001), and between leptin and triglycerides (95% CI = 0.63-0.89, r = 0.782, p &lt; 0.001) in the cholelithiasis group. Hypercholesterolemia (Odds Ratio (OR) = 9.720; 95% CI = 1.148-82.318) and hypertriglyceridemia (OR = 12.913; 95% CI = 1.548-107.722) were shown to be risk factors for gallstone disease. In cholelithiasis patients who underwent cholecystectomy, serum leptin levels were significantly higher than in patients that had not undergone surgery (p &lt; 0.001). Leptin and leptin receptor expression was upregulated in the gallbladder tissues of cholelithiasis patients (p &lt; 0.01 and p &lt; 0.001, respectively). These results indicate that increased serum leptin concentrations and hyperlipidemia (hypercholesterolemia or hypertriglyceridemia) are associated with canine cholelithiasis and that homeostatic imbalance of these parameters might affect the pathogenesis of gallstones.","author":[{"dropping-particle":"","family":"Lee","given":"Sungin","non-dropping-particle":"","parse-names":false,"suffix":""},{"dropping-particle":"","family":"Kweon","given":"Oh-Kyeong","non-dropping-particle":"","parse-names":false,"suffix":""},{"dropping-particle":"","family":"Kim","given":"Wan Hee","non-dropping-particle":"","parse-names":false,"suffix":""}],"container-title":"PloS one","id":"ITEM-1","issue":"10","issued":{"date-parts":[["2017","10","31"]]},"language":"eng","page":"e0187315-e0187315","publisher":"Public Library of Science","title":"Associations between serum leptin levels, hyperlipidemia, and cholelithiasis in dogs","type":"article-journal","volume":"12"},"uris":["http://www.mendeley.com/documents/?uuid=d22eecb5-55d8-43ca-87ed-39aeef993e8e"]}],"mendeley":{"formattedCitation":"(4)","plainTextFormattedCitation":"(4)","previouslyFormattedCitation":"(4)"},"properties":{"noteIndex":0},"schema":"https://github.com/citation-style-language/schema/raw/master/csl-citation.json"}</w:instrText>
      </w:r>
      <w:r w:rsidR="00A46080" w:rsidRPr="005C607F">
        <w:rPr>
          <w:rFonts w:ascii="Calibri" w:hAnsi="Calibri" w:cs="Calibri"/>
          <w:lang w:val="en-US"/>
        </w:rPr>
        <w:fldChar w:fldCharType="separate"/>
      </w:r>
      <w:r w:rsidR="00A46080" w:rsidRPr="005C607F">
        <w:rPr>
          <w:rFonts w:ascii="Calibri" w:hAnsi="Calibri" w:cs="Calibri"/>
          <w:noProof/>
          <w:lang w:val="en-US"/>
        </w:rPr>
        <w:t>(4)</w:t>
      </w:r>
      <w:r w:rsidR="00A46080" w:rsidRPr="005C607F">
        <w:rPr>
          <w:rFonts w:ascii="Calibri" w:hAnsi="Calibri" w:cs="Calibri"/>
          <w:lang w:val="en-US"/>
        </w:rPr>
        <w:fldChar w:fldCharType="end"/>
      </w:r>
      <w:r w:rsidR="00A46080" w:rsidRPr="005C607F">
        <w:rPr>
          <w:rFonts w:ascii="Calibri" w:hAnsi="Calibri" w:cs="Calibri"/>
          <w:lang w:val="en-US"/>
        </w:rPr>
        <w:t>.</w:t>
      </w:r>
      <w:r w:rsidR="00EA2A21">
        <w:rPr>
          <w:rFonts w:ascii="Calibri" w:hAnsi="Calibri" w:cs="Calibri"/>
          <w:lang w:val="en-US"/>
        </w:rPr>
        <w:t xml:space="preserve"> </w:t>
      </w:r>
      <w:r w:rsidR="00731E2D">
        <w:rPr>
          <w:rFonts w:ascii="Calibri" w:hAnsi="Calibri" w:cs="Calibri"/>
          <w:lang w:val="en-US"/>
        </w:rPr>
        <w:t>Ursodeoxycholic acid</w:t>
      </w:r>
      <w:r w:rsidR="00731E2D" w:rsidRPr="005C607F">
        <w:rPr>
          <w:rFonts w:ascii="Calibri" w:hAnsi="Calibri" w:cs="Calibri"/>
          <w:lang w:val="en-US"/>
        </w:rPr>
        <w:t xml:space="preserve"> </w:t>
      </w:r>
      <w:r w:rsidR="00AC14BB">
        <w:rPr>
          <w:rFonts w:ascii="Calibri" w:hAnsi="Calibri" w:cs="Calibri"/>
          <w:lang w:val="en-US"/>
        </w:rPr>
        <w:t xml:space="preserve">(UDCA) </w:t>
      </w:r>
      <w:r w:rsidR="00AC14BB" w:rsidRPr="005C607F">
        <w:rPr>
          <w:rFonts w:ascii="Calibri" w:hAnsi="Calibri" w:cs="Calibri"/>
          <w:lang w:val="en-US"/>
        </w:rPr>
        <w:t xml:space="preserve">commonly </w:t>
      </w:r>
      <w:r w:rsidR="00826A6D" w:rsidRPr="005C607F">
        <w:rPr>
          <w:rFonts w:ascii="Calibri" w:hAnsi="Calibri" w:cs="Calibri"/>
          <w:lang w:val="en-US"/>
        </w:rPr>
        <w:t xml:space="preserve">is </w:t>
      </w:r>
      <w:r w:rsidR="00D84A3F">
        <w:rPr>
          <w:rFonts w:ascii="Calibri" w:hAnsi="Calibri" w:cs="Calibri"/>
          <w:lang w:val="en-US"/>
        </w:rPr>
        <w:t>u</w:t>
      </w:r>
      <w:r w:rsidR="00DE0536">
        <w:rPr>
          <w:rFonts w:ascii="Calibri" w:hAnsi="Calibri" w:cs="Calibri"/>
          <w:lang w:val="en-US"/>
        </w:rPr>
        <w:t>tilized</w:t>
      </w:r>
      <w:r w:rsidR="00826A6D" w:rsidRPr="005C607F">
        <w:rPr>
          <w:rFonts w:ascii="Calibri" w:hAnsi="Calibri" w:cs="Calibri"/>
          <w:lang w:val="en-US"/>
        </w:rPr>
        <w:t xml:space="preserve"> in the management of </w:t>
      </w:r>
      <w:r w:rsidR="00AC14BB">
        <w:rPr>
          <w:rFonts w:ascii="Calibri" w:hAnsi="Calibri" w:cs="Calibri"/>
          <w:lang w:val="en-US"/>
        </w:rPr>
        <w:t xml:space="preserve">some affected </w:t>
      </w:r>
      <w:r w:rsidR="00826A6D" w:rsidRPr="005C607F">
        <w:rPr>
          <w:rFonts w:ascii="Calibri" w:hAnsi="Calibri" w:cs="Calibri"/>
          <w:lang w:val="en-US"/>
        </w:rPr>
        <w:t>human</w:t>
      </w:r>
      <w:r w:rsidR="00AC14BB">
        <w:rPr>
          <w:rFonts w:ascii="Calibri" w:hAnsi="Calibri" w:cs="Calibri"/>
          <w:lang w:val="en-US"/>
        </w:rPr>
        <w:t>s</w:t>
      </w:r>
      <w:r w:rsidR="00826A6D" w:rsidRPr="005C607F">
        <w:rPr>
          <w:rFonts w:ascii="Calibri" w:hAnsi="Calibri" w:cs="Calibri"/>
          <w:lang w:val="en-US"/>
        </w:rPr>
        <w:t xml:space="preserve">, </w:t>
      </w:r>
      <w:r w:rsidR="00AC14BB">
        <w:rPr>
          <w:rFonts w:ascii="Calibri" w:hAnsi="Calibri" w:cs="Calibri"/>
          <w:lang w:val="en-US"/>
        </w:rPr>
        <w:t xml:space="preserve">but </w:t>
      </w:r>
      <w:r w:rsidR="00B96F7C">
        <w:rPr>
          <w:rFonts w:ascii="Calibri" w:hAnsi="Calibri" w:cs="Calibri"/>
          <w:lang w:val="en-US"/>
        </w:rPr>
        <w:t xml:space="preserve">surgery usually </w:t>
      </w:r>
      <w:r w:rsidR="00AC14BB">
        <w:rPr>
          <w:rFonts w:ascii="Calibri" w:hAnsi="Calibri" w:cs="Calibri"/>
          <w:lang w:val="en-US"/>
        </w:rPr>
        <w:t xml:space="preserve">is </w:t>
      </w:r>
      <w:r w:rsidR="00B96F7C">
        <w:rPr>
          <w:rFonts w:ascii="Calibri" w:hAnsi="Calibri" w:cs="Calibri"/>
          <w:lang w:val="en-US"/>
        </w:rPr>
        <w:t xml:space="preserve">recommended for symptomatic patients </w:t>
      </w:r>
      <w:r w:rsidR="00C136B8">
        <w:rPr>
          <w:rFonts w:ascii="Calibri" w:hAnsi="Calibri" w:cs="Calibri"/>
          <w:lang w:val="en-US"/>
        </w:rPr>
        <w:fldChar w:fldCharType="begin" w:fldLock="1"/>
      </w:r>
      <w:r w:rsidR="00E677A0">
        <w:rPr>
          <w:rFonts w:ascii="Calibri" w:hAnsi="Calibri" w:cs="Calibri"/>
          <w:lang w:val="en-US"/>
        </w:rPr>
        <w:instrText>ADDIN CSL_CITATION {"citationItems":[{"id":"ITEM-1","itemData":{"DOI":"10.1007/s00535-016-1289-7","ISSN":"0944-1174","abstract":"Cholelithiasis is one of the commonest diseases in gastroenterology. Remarkable improvements in therapeutic modalities for cholelithiasis and its complications are evident. The Japanese Society of Gastroenterology has revised the evidence-based clinical practice guidelines for cholelithiasis. Forty-three clinical questions, for four categories-epidemiology and pathogenesis, diagnosis, treatments, and prognosis and complications-were selected, and a literature search was performed for the clinical questions with use of the MEDLINE, Cochrane, and Igaku Chuo Zasshi databases for the period between 1983 and June 2012. The guidelines were developed with use of the Grading of Recommendations Assessment, Development, and Evaluation (GRADE) system. This article preferentially describes the clinical management of cholelithiasis and its complications. Following description of the diagnosis performed stepwise through imaging modalities, treatments of cholecystolithiasis, choledocholithiasis, and hepatolithiasis are introduced along with a flowchart. Since there have been remarkable improvements in endoscopic treatments and surgical techniques, the guidelines ensure flexibility in choices according to the actual clinical environment. The revised clinical practice guidelines are appropriate for use by clinicians in their daily practice.","author":[{"dropping-particle":"","family":"Tazuma","given":"Susumu","non-dropping-particle":"","parse-names":false,"suffix":""},{"dropping-particle":"","family":"Unno","given":"Michiaki","non-dropping-particle":"","parse-names":false,"suffix":""},{"dropping-particle":"","family":"Igarashi","given":"Yoshinori","non-dropping-particle":"","parse-names":false,"suffix":""},{"dropping-particle":"","family":"Inui","given":"Kazuo","non-dropping-particle":"","parse-names":false,"suffix":""},{"dropping-particle":"","family":"Uchiyama","given":"Kazuhisa","non-dropping-particle":"","parse-names":false,"suffix":""},{"dropping-particle":"","family":"Kai","given":"Masahiro","non-dropping-particle":"","parse-names":false,"suffix":""},{"dropping-particle":"","family":"Tsuyuguchi","given":"Toshio","non-dropping-particle":"","parse-names":false,"suffix":""},{"dropping-particle":"","family":"Maguchi","given":"Hiroyuki","non-dropping-particle":"","parse-names":false,"suffix":""},{"dropping-particle":"","family":"Mori","given":"Toshiyuki","non-dropping-particle":"","parse-names":false,"suffix":""},{"dropping-particle":"","family":"Yamaguchi","given":"Koji","non-dropping-particle":"","parse-names":false,"suffix":""},{"dropping-particle":"","family":"Ryozawa","given":"Shomei","non-dropping-particle":"","parse-names":false,"suffix":""},{"dropping-particle":"","family":"Nimura","given":"Yuji","non-dropping-particle":"","parse-names":false,"suffix":""},{"dropping-particle":"","family":"Fujita","given":"Naotaka","non-dropping-particle":"","parse-names":false,"suffix":""},{"dropping-particle":"","family":"Kubota","given":"Keiichi","non-dropping-particle":"","parse-names":false,"suffix":""},{"dropping-particle":"","family":"Shoda","given":"Junichi","non-dropping-particle":"","parse-names":false,"suffix":""},{"dropping-particle":"","family":"Tabata","given":"Masami","non-dropping-particle":"","parse-names":false,"suffix":""},{"dropping-particle":"","family":"Mine","given":"Tetsuya","non-dropping-particle":"","parse-names":false,"suffix":""},{"dropping-particle":"","family":"Sugano","given":"Kentaro","non-dropping-particle":"","parse-names":false,"suffix":""},{"dropping-particle":"","family":"Watanabe","given":"Mamoru","non-dropping-particle":"","parse-names":false,"suffix":""},{"dropping-particle":"","family":"Shimosegawa","given":"Tooru","non-dropping-particle":"","parse-names":false,"suffix":""}],"container-title":"Journal of gastroenterology","id":"ITEM-1","issue":"3","issued":{"date-parts":[["2017"]]},"language":"eng","page":"276-300","publisher-place":"Department of General Internal Medicine, Hiroshima University Hospital, Graduate School of Medicine, 1-2-3, Kasumi, Minami-ku, Hiroshima, 734-8551, Japan. stazuma@hiroshima-u.ac.jp.","title":"Evidence-based clinical practice guidelines for cholelithiasis 2016","type":"article-journal","volume":"52"},"uris":["http://www.mendeley.com/documents/?uuid=8f375131-6859-4707-a524-163a94aaed32"]}],"mendeley":{"formattedCitation":"(13)","plainTextFormattedCitation":"(13)","previouslyFormattedCitation":"(13)"},"properties":{"noteIndex":0},"schema":"https://github.com/citation-style-language/schema/raw/master/csl-citation.json"}</w:instrText>
      </w:r>
      <w:r w:rsidR="00C136B8">
        <w:rPr>
          <w:rFonts w:ascii="Calibri" w:hAnsi="Calibri" w:cs="Calibri"/>
          <w:lang w:val="en-US"/>
        </w:rPr>
        <w:fldChar w:fldCharType="separate"/>
      </w:r>
      <w:r w:rsidR="00E677A0" w:rsidRPr="00E677A0">
        <w:rPr>
          <w:rFonts w:ascii="Calibri" w:hAnsi="Calibri" w:cs="Calibri"/>
          <w:noProof/>
          <w:lang w:val="en-US"/>
        </w:rPr>
        <w:t>(13)</w:t>
      </w:r>
      <w:r w:rsidR="00C136B8">
        <w:rPr>
          <w:rFonts w:ascii="Calibri" w:hAnsi="Calibri" w:cs="Calibri"/>
          <w:lang w:val="en-US"/>
        </w:rPr>
        <w:fldChar w:fldCharType="end"/>
      </w:r>
      <w:r w:rsidR="00AC14BB">
        <w:rPr>
          <w:rFonts w:ascii="Calibri" w:hAnsi="Calibri" w:cs="Calibri"/>
          <w:lang w:val="en-US"/>
        </w:rPr>
        <w:t>.</w:t>
      </w:r>
      <w:r w:rsidR="00B96F7C">
        <w:rPr>
          <w:rFonts w:ascii="Calibri" w:hAnsi="Calibri" w:cs="Calibri"/>
          <w:lang w:val="en-US"/>
        </w:rPr>
        <w:t xml:space="preserve"> </w:t>
      </w:r>
      <w:r w:rsidR="00AC14BB">
        <w:rPr>
          <w:rFonts w:ascii="Calibri" w:hAnsi="Calibri" w:cs="Calibri"/>
          <w:lang w:val="en-US"/>
        </w:rPr>
        <w:t>L</w:t>
      </w:r>
      <w:r w:rsidR="00826A6D" w:rsidRPr="005C607F">
        <w:rPr>
          <w:rFonts w:ascii="Calibri" w:hAnsi="Calibri" w:cs="Calibri"/>
          <w:lang w:val="en-US"/>
        </w:rPr>
        <w:t xml:space="preserve">iterature describing use of UDCA in </w:t>
      </w:r>
      <w:r w:rsidR="00AC14BB">
        <w:rPr>
          <w:rFonts w:ascii="Calibri" w:hAnsi="Calibri" w:cs="Calibri"/>
          <w:lang w:val="en-US"/>
        </w:rPr>
        <w:t>dogs with</w:t>
      </w:r>
      <w:r w:rsidR="00AC14BB" w:rsidRPr="005C607F">
        <w:rPr>
          <w:rFonts w:ascii="Calibri" w:hAnsi="Calibri" w:cs="Calibri"/>
          <w:lang w:val="en-US"/>
        </w:rPr>
        <w:t xml:space="preserve"> </w:t>
      </w:r>
      <w:r w:rsidR="00826A6D" w:rsidRPr="005C607F">
        <w:rPr>
          <w:rFonts w:ascii="Calibri" w:hAnsi="Calibri" w:cs="Calibri"/>
          <w:lang w:val="en-US"/>
        </w:rPr>
        <w:t xml:space="preserve">cholelithiasis </w:t>
      </w:r>
      <w:r w:rsidR="00AC14BB">
        <w:rPr>
          <w:rFonts w:ascii="Calibri" w:hAnsi="Calibri" w:cs="Calibri"/>
          <w:lang w:val="en-US"/>
        </w:rPr>
        <w:t xml:space="preserve">is limited </w:t>
      </w:r>
      <w:r w:rsidR="00826A6D" w:rsidRPr="005C607F">
        <w:rPr>
          <w:rFonts w:ascii="Calibri" w:hAnsi="Calibri" w:cs="Calibri"/>
          <w:lang w:val="en-US"/>
        </w:rPr>
        <w:fldChar w:fldCharType="begin" w:fldLock="1"/>
      </w:r>
      <w:r w:rsidR="00826A6D" w:rsidRPr="005C607F">
        <w:rPr>
          <w:rFonts w:ascii="Calibri" w:hAnsi="Calibri" w:cs="Calibri"/>
          <w:lang w:val="en-US"/>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acid","type":"article-journal","volume":"8"},"uris":["http://www.mendeley.com/documents/?uuid=f8418430-3666-4855-8a6c-26f07935f03d"]},{"id":"ITEM-2","itemData":{"DOI":"10.5326/JAAHA-MS-7000","ISSN":"0587-2871","abstract":"Canine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Association","id":"ITEM-2","issue":"3","issued":{"date-parts":[["2020","5","1"]]},"page":"152","title":"Cholelithiasis in the Dog: Prevalence, Clinical Presentation, and Outcome","type":"article-journal","volume":"56"},"uris":["http://www.mendeley.com/documents/?uuid=ff3a9338-b98b-4d01-965b-26009b9d5232"]},{"id":"ITEM-3","itemData":{"ISSN":"0008-5286","abstract":"A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canadienne","id":"ITEM-3","issue":"9","issued":{"date-parts":[["2017","9"]]},"language":"eng","page":"971-973","publisher":"Canadian Veterinary Medical Association","title":"Intrahepatic cholelithiasis in dogs and cats: A case series","type":"article-journal","volume":"58"},"uris":["http://www.mendeley.com/documents/?uuid=752cbfbe-cc88-4e01-9294-a3295e386423"]},{"id":"ITEM-4","itemData":{"ISSN":"0008-5286","abstract":"A 10-year-old, neutered male, keeshond was presented for vomiting, lethargy, icterus, and anorexia. Obstructive cholelithiasis was diagnosed based on analysis of a serum biochemical profile, abdominal radiographs, and ultrasonography. Choleliths were removed from the gall bladder and common bile duct via a cholecystotomy.","author":[{"dropping-particle":"","family":"Ward","given":"Renata","non-dropping-particle":"","parse-names":false,"suffix":""}],"container-title":"The Canadian veterinary journal = La revue veterinaire canadienne","id":"ITEM-4","issue":"11","issued":{"date-parts":[["2006","11"]]},"language":"eng","page":"1119-1121","publisher":"Canadian Veterinary Medical Association","title":"Obstructive cholelithiasis and cholecystitis in a keeshond","type":"article-journal","volume":"47"},"uris":["http://www.mendeley.com/documents/?uuid=06b3d2f8-200d-466d-ba24-a168fa5eb871"]}],"mendeley":{"formattedCitation":"(1,2,5,6)","plainTextFormattedCitation":"(1,2,5,6)","previouslyFormattedCitation":"(1,2,5,6)"},"properties":{"noteIndex":0},"schema":"https://github.com/citation-style-language/schema/raw/master/csl-citation.json"}</w:instrText>
      </w:r>
      <w:r w:rsidR="00826A6D" w:rsidRPr="005C607F">
        <w:rPr>
          <w:rFonts w:ascii="Calibri" w:hAnsi="Calibri" w:cs="Calibri"/>
          <w:lang w:val="en-US"/>
        </w:rPr>
        <w:fldChar w:fldCharType="separate"/>
      </w:r>
      <w:r w:rsidR="00826A6D" w:rsidRPr="005C607F">
        <w:rPr>
          <w:rFonts w:ascii="Calibri" w:hAnsi="Calibri" w:cs="Calibri"/>
          <w:noProof/>
          <w:lang w:val="en-US"/>
        </w:rPr>
        <w:t>(1,2,5,6)</w:t>
      </w:r>
      <w:r w:rsidR="00826A6D" w:rsidRPr="005C607F">
        <w:rPr>
          <w:rFonts w:ascii="Calibri" w:hAnsi="Calibri" w:cs="Calibri"/>
          <w:lang w:val="en-US"/>
        </w:rPr>
        <w:fldChar w:fldCharType="end"/>
      </w:r>
      <w:r w:rsidR="00AC14BB">
        <w:rPr>
          <w:rFonts w:ascii="Calibri" w:hAnsi="Calibri" w:cs="Calibri"/>
          <w:lang w:val="en-US"/>
        </w:rPr>
        <w:t>,</w:t>
      </w:r>
      <w:r w:rsidR="000D10A5">
        <w:rPr>
          <w:rFonts w:ascii="Calibri" w:hAnsi="Calibri" w:cs="Calibri"/>
          <w:lang w:val="en-US"/>
        </w:rPr>
        <w:t xml:space="preserve"> and no published guidelines guide treatment </w:t>
      </w:r>
      <w:r w:rsidR="00AC14BB">
        <w:rPr>
          <w:rFonts w:ascii="Calibri" w:hAnsi="Calibri" w:cs="Calibri"/>
          <w:lang w:val="en-US"/>
        </w:rPr>
        <w:t>in veterinary medicine</w:t>
      </w:r>
      <w:r w:rsidR="005525B7">
        <w:rPr>
          <w:rFonts w:ascii="Calibri" w:hAnsi="Calibri" w:cs="Calibri"/>
          <w:lang w:val="en-US"/>
        </w:rPr>
        <w:t>,</w:t>
      </w:r>
      <w:r w:rsidR="00343E17">
        <w:rPr>
          <w:rFonts w:ascii="Calibri" w:hAnsi="Calibri" w:cs="Calibri"/>
          <w:lang w:val="en-US"/>
        </w:rPr>
        <w:t xml:space="preserve"> as </w:t>
      </w:r>
      <w:r w:rsidR="00AC14BB">
        <w:rPr>
          <w:rFonts w:ascii="Calibri" w:hAnsi="Calibri" w:cs="Calibri"/>
          <w:lang w:val="en-US"/>
        </w:rPr>
        <w:t xml:space="preserve">compared to </w:t>
      </w:r>
      <w:r w:rsidR="00343E17">
        <w:rPr>
          <w:rFonts w:ascii="Calibri" w:hAnsi="Calibri" w:cs="Calibri"/>
          <w:lang w:val="en-US"/>
        </w:rPr>
        <w:t xml:space="preserve">human medicine </w:t>
      </w:r>
      <w:r w:rsidR="00343E17">
        <w:rPr>
          <w:rFonts w:ascii="Calibri" w:hAnsi="Calibri" w:cs="Calibri"/>
          <w:lang w:val="en-US"/>
        </w:rPr>
        <w:fldChar w:fldCharType="begin" w:fldLock="1"/>
      </w:r>
      <w:r w:rsidR="00E677A0">
        <w:rPr>
          <w:rFonts w:ascii="Calibri" w:hAnsi="Calibri" w:cs="Calibri"/>
          <w:lang w:val="en-US"/>
        </w:rPr>
        <w:instrText>ADDIN CSL_CITATION {"citationItems":[{"id":"ITEM-1","itemData":{"DOI":"10.1007/s00535-016-1289-7","ISSN":"0944-1174","abstract":"Cholelithiasis is one of the commonest diseases in gastroenterology. Remarkable improvements in therapeutic modalities for cholelithiasis and its complications are evident. The Japanese Society of Gastroenterology has revised the evidence-based clinical practice guidelines for cholelithiasis. Forty-three clinical questions, for four categories-epidemiology and pathogenesis, diagnosis, treatments, and prognosis and complications-were selected, and a literature search was performed for the clinical questions with use of the MEDLINE, Cochrane, and Igaku Chuo Zasshi databases for the period between 1983 and June 2012. The guidelines were developed with use of the Grading of Recommendations Assessment, Development, and Evaluation (GRADE) system. This article preferentially describes the clinical management of cholelithiasis and its complications. Following description of the diagnosis performed stepwise through imaging modalities, treatments of cholecystolithiasis, choledocholithiasis, and hepatolithiasis are introduced along with a flowchart. Since there have been remarkable improvements in endoscopic treatments and surgical techniques, the guidelines ensure flexibility in choices according to the actual clinical environment. The revised clinical practice guidelines are appropriate for use by clinicians in their daily practice.","author":[{"dropping-particle":"","family":"Tazuma","given":"Susumu","non-dropping-particle":"","parse-names":false,"suffix":""},{"dropping-particle":"","family":"Unno","given":"Michiaki","non-dropping-particle":"","parse-names":false,"suffix":""},{"dropping-particle":"","family":"Igarashi","given":"Yoshinori","non-dropping-particle":"","parse-names":false,"suffix":""},{"dropping-particle":"","family":"Inui","given":"Kazuo","non-dropping-particle":"","parse-names":false,"suffix":""},{"dropping-particle":"","family":"Uchiyama","given":"Kazuhisa","non-dropping-particle":"","parse-names":false,"suffix":""},{"dropping-particle":"","family":"Kai","given":"Masahiro","non-dropping-particle":"","parse-names":false,"suffix":""},{"dropping-particle":"","family":"Tsuyuguchi","given":"Toshio","non-dropping-particle":"","parse-names":false,"suffix":""},{"dropping-particle":"","family":"Maguchi","given":"Hiroyuki","non-dropping-particle":"","parse-names":false,"suffix":""},{"dropping-particle":"","family":"Mori","given":"Toshiyuki","non-dropping-particle":"","parse-names":false,"suffix":""},{"dropping-particle":"","family":"Yamaguchi","given":"Koji","non-dropping-particle":"","parse-names":false,"suffix":""},{"dropping-particle":"","family":"Ryozawa","given":"Shomei","non-dropping-particle":"","parse-names":false,"suffix":""},{"dropping-particle":"","family":"Nimura","given":"Yuji","non-dropping-particle":"","parse-names":false,"suffix":""},{"dropping-particle":"","family":"Fujita","given":"Naotaka","non-dropping-particle":"","parse-names":false,"suffix":""},{"dropping-particle":"","family":"Kubota","given":"Keiichi","non-dropping-particle":"","parse-names":false,"suffix":""},{"dropping-particle":"","family":"Shoda","given":"Junichi","non-dropping-particle":"","parse-names":false,"suffix":""},{"dropping-particle":"","family":"Tabata","given":"Masami","non-dropping-particle":"","parse-names":false,"suffix":""},{"dropping-particle":"","family":"Mine","given":"Tetsuya","non-dropping-particle":"","parse-names":false,"suffix":""},{"dropping-particle":"","family":"Sugano","given":"Kentaro","non-dropping-particle":"","parse-names":false,"suffix":""},{"dropping-particle":"","family":"Watanabe","given":"Mamoru","non-dropping-particle":"","parse-names":false,"suffix":""},{"dropping-particle":"","family":"Shimosegawa","given":"Tooru","non-dropping-particle":"","parse-names":false,"suffix":""}],"container-title":"Journal of gastroenterology","id":"ITEM-1","issue":"3","issued":{"date-parts":[["2017"]]},"language":"eng","page":"276-300","publisher-place":"Department of General Internal Medicine, Hiroshima University Hospital, Graduate School of Medicine, 1-2-3, Kasumi, Minami-ku, Hiroshima, 734-8551, Japan. stazuma@hiroshima-u.ac.jp.","title":"Evidence-based clinical practice guidelines for cholelithiasis 2016","type":"article-journal","volume":"52"},"uris":["http://www.mendeley.com/documents/?uuid=8f375131-6859-4707-a524-163a94aaed32"]}],"mendeley":{"formattedCitation":"(13)","plainTextFormattedCitation":"(13)","previouslyFormattedCitation":"(13)"},"properties":{"noteIndex":0},"schema":"https://github.com/citation-style-language/schema/raw/master/csl-citation.json"}</w:instrText>
      </w:r>
      <w:r w:rsidR="00343E17">
        <w:rPr>
          <w:rFonts w:ascii="Calibri" w:hAnsi="Calibri" w:cs="Calibri"/>
          <w:lang w:val="en-US"/>
        </w:rPr>
        <w:fldChar w:fldCharType="separate"/>
      </w:r>
      <w:r w:rsidR="00E677A0" w:rsidRPr="00E677A0">
        <w:rPr>
          <w:rFonts w:ascii="Calibri" w:hAnsi="Calibri" w:cs="Calibri"/>
          <w:noProof/>
          <w:lang w:val="en-US"/>
        </w:rPr>
        <w:t>(13)</w:t>
      </w:r>
      <w:r w:rsidR="00343E17">
        <w:rPr>
          <w:rFonts w:ascii="Calibri" w:hAnsi="Calibri" w:cs="Calibri"/>
          <w:lang w:val="en-US"/>
        </w:rPr>
        <w:fldChar w:fldCharType="end"/>
      </w:r>
      <w:r w:rsidR="00826A6D" w:rsidRPr="005C607F">
        <w:rPr>
          <w:rFonts w:ascii="Calibri" w:hAnsi="Calibri" w:cs="Calibri"/>
          <w:lang w:val="en-US"/>
        </w:rPr>
        <w:t xml:space="preserve">. </w:t>
      </w:r>
      <w:r w:rsidR="008A2E66">
        <w:rPr>
          <w:rFonts w:ascii="Calibri" w:hAnsi="Calibri" w:cs="Calibri"/>
          <w:lang w:val="en-US"/>
        </w:rPr>
        <w:t>In the absence of</w:t>
      </w:r>
      <w:r w:rsidR="008C20CE">
        <w:rPr>
          <w:rFonts w:ascii="Calibri" w:hAnsi="Calibri" w:cs="Calibri"/>
          <w:lang w:val="en-US"/>
        </w:rPr>
        <w:t xml:space="preserve"> such</w:t>
      </w:r>
      <w:r w:rsidR="007B0769">
        <w:rPr>
          <w:rFonts w:ascii="Calibri" w:hAnsi="Calibri" w:cs="Calibri"/>
          <w:lang w:val="en-US"/>
        </w:rPr>
        <w:t xml:space="preserve"> </w:t>
      </w:r>
      <w:r w:rsidR="008A2E66">
        <w:rPr>
          <w:rFonts w:ascii="Calibri" w:hAnsi="Calibri" w:cs="Calibri"/>
          <w:lang w:val="en-US"/>
        </w:rPr>
        <w:t>guidelines</w:t>
      </w:r>
      <w:r w:rsidR="00EC7DD7">
        <w:rPr>
          <w:rFonts w:ascii="Calibri" w:hAnsi="Calibri" w:cs="Calibri"/>
          <w:lang w:val="en-US"/>
        </w:rPr>
        <w:t xml:space="preserve">, </w:t>
      </w:r>
      <w:r w:rsidR="00705E83">
        <w:rPr>
          <w:rFonts w:ascii="Calibri" w:hAnsi="Calibri" w:cs="Calibri"/>
          <w:lang w:val="en-US"/>
        </w:rPr>
        <w:t>factors</w:t>
      </w:r>
      <w:r w:rsidR="00EC7DD7">
        <w:rPr>
          <w:rFonts w:ascii="Calibri" w:hAnsi="Calibri" w:cs="Calibri"/>
          <w:lang w:val="en-US"/>
        </w:rPr>
        <w:t xml:space="preserve"> </w:t>
      </w:r>
      <w:r w:rsidR="00705E83">
        <w:rPr>
          <w:rFonts w:ascii="Calibri" w:hAnsi="Calibri" w:cs="Calibri"/>
          <w:lang w:val="en-US"/>
        </w:rPr>
        <w:t>that appeared</w:t>
      </w:r>
      <w:r w:rsidR="00EC7DD7">
        <w:rPr>
          <w:rFonts w:ascii="Calibri" w:hAnsi="Calibri" w:cs="Calibri"/>
          <w:lang w:val="en-US"/>
        </w:rPr>
        <w:t xml:space="preserve"> to </w:t>
      </w:r>
      <w:r w:rsidR="007B0769">
        <w:rPr>
          <w:rFonts w:ascii="Calibri" w:hAnsi="Calibri" w:cs="Calibri"/>
          <w:lang w:val="en-US"/>
        </w:rPr>
        <w:t>influence</w:t>
      </w:r>
      <w:r w:rsidR="00EC7DD7">
        <w:rPr>
          <w:rFonts w:ascii="Calibri" w:hAnsi="Calibri" w:cs="Calibri"/>
          <w:lang w:val="en-US"/>
        </w:rPr>
        <w:t xml:space="preserve"> treatment </w:t>
      </w:r>
      <w:r w:rsidR="00206D89">
        <w:rPr>
          <w:rFonts w:ascii="Calibri" w:hAnsi="Calibri" w:cs="Calibri"/>
          <w:lang w:val="en-US"/>
        </w:rPr>
        <w:t>choice</w:t>
      </w:r>
      <w:r w:rsidR="00EC7DD7">
        <w:rPr>
          <w:rFonts w:ascii="Calibri" w:hAnsi="Calibri" w:cs="Calibri"/>
          <w:lang w:val="en-US"/>
        </w:rPr>
        <w:t xml:space="preserve"> </w:t>
      </w:r>
      <w:r w:rsidR="00686E25">
        <w:rPr>
          <w:rFonts w:ascii="Calibri" w:hAnsi="Calibri" w:cs="Calibri"/>
          <w:lang w:val="en-US"/>
        </w:rPr>
        <w:t>included</w:t>
      </w:r>
      <w:r w:rsidR="00B010F6">
        <w:rPr>
          <w:rFonts w:ascii="Calibri" w:hAnsi="Calibri" w:cs="Calibri"/>
          <w:lang w:val="en-US"/>
        </w:rPr>
        <w:t xml:space="preserve"> clinical presentation,</w:t>
      </w:r>
      <w:r w:rsidR="007B0769">
        <w:rPr>
          <w:rFonts w:ascii="Calibri" w:hAnsi="Calibri" w:cs="Calibri"/>
          <w:lang w:val="en-US"/>
        </w:rPr>
        <w:t xml:space="preserve"> </w:t>
      </w:r>
      <w:r w:rsidR="00EC7DD7">
        <w:rPr>
          <w:rFonts w:ascii="Calibri" w:hAnsi="Calibri" w:cs="Calibri"/>
          <w:lang w:val="en-US"/>
        </w:rPr>
        <w:t>cholelith location</w:t>
      </w:r>
      <w:r w:rsidR="007B0769">
        <w:rPr>
          <w:rFonts w:ascii="Calibri" w:hAnsi="Calibri" w:cs="Calibri"/>
          <w:lang w:val="en-US"/>
        </w:rPr>
        <w:t xml:space="preserve"> and hepatobiliary enzyme activit</w:t>
      </w:r>
      <w:r w:rsidR="00752F7F">
        <w:rPr>
          <w:rFonts w:ascii="Calibri" w:hAnsi="Calibri" w:cs="Calibri"/>
          <w:lang w:val="en-US"/>
        </w:rPr>
        <w:t>i</w:t>
      </w:r>
      <w:r w:rsidR="007B0769">
        <w:rPr>
          <w:rFonts w:ascii="Calibri" w:hAnsi="Calibri" w:cs="Calibri"/>
          <w:lang w:val="en-US"/>
        </w:rPr>
        <w:t>es</w:t>
      </w:r>
      <w:r w:rsidR="00206D89">
        <w:rPr>
          <w:rFonts w:ascii="Calibri" w:hAnsi="Calibri" w:cs="Calibri"/>
          <w:lang w:val="en-US"/>
        </w:rPr>
        <w:t>.</w:t>
      </w:r>
      <w:r w:rsidR="00EC7DD7">
        <w:rPr>
          <w:rFonts w:ascii="Calibri" w:hAnsi="Calibri" w:cs="Calibri"/>
          <w:lang w:val="en-US"/>
        </w:rPr>
        <w:t xml:space="preserve"> </w:t>
      </w:r>
      <w:r w:rsidR="005870ED" w:rsidRPr="005C607F">
        <w:rPr>
          <w:rFonts w:ascii="Calibri" w:hAnsi="Calibri" w:cs="Calibri"/>
          <w:lang w:val="en-US"/>
        </w:rPr>
        <w:t xml:space="preserve"> </w:t>
      </w:r>
    </w:p>
    <w:p w14:paraId="4A73F340" w14:textId="77777777" w:rsidR="001972EB" w:rsidRPr="005C607F" w:rsidRDefault="001972EB" w:rsidP="00867264">
      <w:pPr>
        <w:spacing w:line="480" w:lineRule="auto"/>
        <w:jc w:val="both"/>
        <w:rPr>
          <w:rFonts w:ascii="Calibri" w:hAnsi="Calibri" w:cs="Calibri"/>
        </w:rPr>
      </w:pPr>
    </w:p>
    <w:p w14:paraId="37B400E9" w14:textId="7AF66BF2" w:rsidR="004F501C" w:rsidRPr="005C607F" w:rsidRDefault="002F5BE7" w:rsidP="00867264">
      <w:pPr>
        <w:spacing w:line="480" w:lineRule="auto"/>
        <w:jc w:val="both"/>
        <w:rPr>
          <w:rFonts w:ascii="Calibri" w:hAnsi="Calibri" w:cs="Calibri"/>
        </w:rPr>
      </w:pPr>
      <w:r>
        <w:rPr>
          <w:rFonts w:ascii="Calibri" w:hAnsi="Calibri" w:cs="Calibri"/>
        </w:rPr>
        <w:t>Similar to</w:t>
      </w:r>
      <w:r w:rsidR="00016E04" w:rsidRPr="005C607F">
        <w:rPr>
          <w:rFonts w:ascii="Calibri" w:hAnsi="Calibri" w:cs="Calibri"/>
        </w:rPr>
        <w:t xml:space="preserve"> </w:t>
      </w:r>
      <w:r w:rsidR="000D10A5">
        <w:rPr>
          <w:rFonts w:ascii="Calibri" w:hAnsi="Calibri" w:cs="Calibri"/>
        </w:rPr>
        <w:t>previous report</w:t>
      </w:r>
      <w:r>
        <w:rPr>
          <w:rFonts w:ascii="Calibri" w:hAnsi="Calibri" w:cs="Calibri"/>
        </w:rPr>
        <w:t>s,</w:t>
      </w:r>
      <w:r w:rsidR="00B63F13">
        <w:rPr>
          <w:rFonts w:ascii="Calibri" w:hAnsi="Calibri" w:cs="Calibri"/>
        </w:rPr>
        <w:t xml:space="preserve"> </w:t>
      </w:r>
      <w:r w:rsidR="00E677A0">
        <w:rPr>
          <w:rFonts w:ascii="Calibri" w:hAnsi="Calibri" w:cs="Calibri"/>
        </w:rPr>
        <w:t>older</w:t>
      </w:r>
      <w:r w:rsidR="00984AAC" w:rsidRPr="005C607F">
        <w:rPr>
          <w:rFonts w:ascii="Calibri" w:hAnsi="Calibri" w:cs="Calibri"/>
        </w:rPr>
        <w:t>, small-breed dogs</w:t>
      </w:r>
      <w:r w:rsidR="00CF1214" w:rsidRPr="005C607F">
        <w:rPr>
          <w:rFonts w:ascii="Calibri" w:hAnsi="Calibri" w:cs="Calibri"/>
        </w:rPr>
        <w:t xml:space="preserve"> </w:t>
      </w:r>
      <w:r w:rsidR="000D10A5">
        <w:rPr>
          <w:rFonts w:ascii="Calibri" w:hAnsi="Calibri" w:cs="Calibri"/>
        </w:rPr>
        <w:t>were</w:t>
      </w:r>
      <w:r w:rsidR="00CF1214" w:rsidRPr="005C607F">
        <w:rPr>
          <w:rFonts w:ascii="Calibri" w:hAnsi="Calibri" w:cs="Calibri"/>
        </w:rPr>
        <w:t xml:space="preserve"> overrepresented </w:t>
      </w:r>
      <w:r w:rsidR="000D10A5">
        <w:rPr>
          <w:rFonts w:ascii="Calibri" w:hAnsi="Calibri" w:cs="Calibri"/>
        </w:rPr>
        <w:t xml:space="preserve">in our study with a high prevalence in CKCS </w:t>
      </w:r>
      <w:r w:rsidR="00A169DA" w:rsidRPr="005C607F">
        <w:rPr>
          <w:rFonts w:ascii="Calibri" w:hAnsi="Calibri" w:cs="Calibri"/>
        </w:rPr>
        <w:fldChar w:fldCharType="begin" w:fldLock="1"/>
      </w:r>
      <w:r w:rsidR="00E05A88">
        <w:rPr>
          <w:rFonts w:ascii="Calibri" w:hAnsi="Calibri" w:cs="Calibri"/>
        </w:rPr>
        <w:instrText>ADDIN CSL_CITATION {"citationItems":[{"id":"ITEM-1","itemData":{"ISSN":"0008-5286","abstract":"A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canadienne","id":"ITEM-1","issue":"9","issued":{"date-parts":[["2017","9"]]},"language":"eng","page":"971-973","publisher":"Canadian Veterinary Medical Association","title":"Intrahepatic cholelithiasis in dogs and cats: A case series","type":"article-journal","volume":"58"},"uris":["http://www.mendeley.com/documents/?uuid=752cbfbe-cc88-4e01-9294-a3295e386423"]},{"id":"ITEM-2","itemData":{"DOI":"10.1371/journal.pone.0187315","ISSN":"1932-6203","abstract":"Leptin and its receptor play several physiological roles in the canine gallbladder, and the dysregulation of leptin might play a role in the pathogenesis of gallbladder diseases such as gallbladder mucocele. Previous studies revealed a positive association between hyperlipidemia and gallstones in humans. However, the latter is still unclear in dogs with cholelithiasis. In this study, we examined the differences in leptin, leptin receptor, total cholesterol, and triglyceride levels between healthy dogs and dogs with cholelithiasis, and evaluated the correlation between leptin and hyperlipidemia. Twenty-eight healthy dogs and 34 client-owned dogs with cholelithiasis were enrolled in the study. Leptin concentrations and lipid profiles were determined from sera, and leptin and leptin receptor expression levels were quantified in gallbladder tissue. In dogs with cholelithiasis, serum concentrations of leptin (p &lt; 0.001), total cholesterol (p &lt; 0.001), and triglycerides (p &lt; 0.001) were significantly higher compared with those in healthy dogs. Positive correlations were observed between serum leptin and total cholesterol (95% confidence interval (CI) = 0.61-0.89, r = 0.725, p &lt; 0.001), and between leptin and triglycerides (95% CI = 0.63-0.89, r = 0.782, p &lt; 0.001) in the cholelithiasis group. Hypercholesterolemia (Odds Ratio (OR) = 9.720; 95% CI = 1.148-82.318) and hypertriglyceridemia (OR = 12.913; 95% CI = 1.548-107.722) were shown to be risk factors for gallstone disease. In cholelithiasis patients who underwent cholecystectomy, serum leptin levels were significantly higher than in patients that had not undergone surgery (p &lt; 0.001). Leptin and leptin receptor expression was upregulated in the gallbladder tissues of cholelithiasis patients (p &lt; 0.01 and p &lt; 0.001, respectively). These results indicate that increased serum leptin concentrations and hyperlipidemia (hypercholesterolemia or hypertriglyceridemia) are associated with canine cholelithiasis and that homeostatic imbalance of these parameters might affect the pathogenesis of gallstones.","author":[{"dropping-particle":"","family":"Lee","given":"Sungin","non-dropping-particle":"","parse-names":false,"suffix":""},{"dropping-particle":"","family":"Kweon","given":"Oh-Kyeong","non-dropping-particle":"","parse-names":false,"suffix":""},{"dropping-particle":"","family":"Kim","given":"Wan Hee","non-dropping-particle":"","parse-names":false,"suffix":""}],"container-title":"PloS one","id":"ITEM-2","issue":"10","issued":{"date-parts":[["2017","10","31"]]},"language":"eng","page":"e0187315-e0187315","publisher":"Public Library of Science","title":"Associations between serum leptin levels, hyperlipidemia, and cholelithiasis in dogs","type":"article-journal","volume":"12"},"uris":["http://www.mendeley.com/documents/?uuid=d22eecb5-55d8-43ca-87ed-39aeef993e8e"]},{"id":"ITEM-3","itemData":{"DOI":"10.1186/s12917-019-1964-z","ISSN":"1746-6148","abstract":"Leptin has been shown to have various physiological and pathological roles in the canine gallbladder. In this study, we performed pre- and postoperative short-term follow-up analyses to confirm changes in serum leptin levels before and after cholecystectomy due to gallbladder mucocele (GBM) or cholelithiasis in dogs.","author":[{"dropping-particle":"","family":"Lee","given":"Sungin","non-dropping-particle":"","parse-names":false,"suffix":""},{"dropping-particle":"","family":"Lee","given":"Aeri","non-dropping-particle":"","parse-names":false,"suffix":""},{"dropping-particle":"","family":"Kweon","given":"Oh-kyeong","non-dropping-particle":"","parse-names":false,"suffix":""},{"dropping-particle":"","family":"Kim","given":"Wan Hee","non-dropping-particle":"","parse-names":false,"suffix":""}],"container-title":"BMC Veterinary Research","id":"ITEM-3","issue":"1","issued":{"date-parts":[["2019"]]},"page":"215","title":"Changes in pre- and postoperative serum leptin concentrations in dogs with gallbladder mucocele and cholelithiasis","type":"article-journal","volume":"15"},"uris":["http://www.mendeley.com/documents/?uuid=18e8362b-d572-4657-a19c-c22462f045f5"]}],"mendeley":{"formattedCitation":"(2,4,14)","plainTextFormattedCitation":"(2,4,14)","previouslyFormattedCitation":"(2,4,14)"},"properties":{"noteIndex":0},"schema":"https://github.com/citation-style-language/schema/raw/master/csl-citation.json"}</w:instrText>
      </w:r>
      <w:r w:rsidR="00A169DA" w:rsidRPr="005C607F">
        <w:rPr>
          <w:rFonts w:ascii="Calibri" w:hAnsi="Calibri" w:cs="Calibri"/>
        </w:rPr>
        <w:fldChar w:fldCharType="separate"/>
      </w:r>
      <w:r w:rsidR="006C2112" w:rsidRPr="006C2112">
        <w:rPr>
          <w:rFonts w:ascii="Calibri" w:hAnsi="Calibri" w:cs="Calibri"/>
          <w:noProof/>
        </w:rPr>
        <w:t>(2,4,14)</w:t>
      </w:r>
      <w:r w:rsidR="00A169DA" w:rsidRPr="005C607F">
        <w:rPr>
          <w:rFonts w:ascii="Calibri" w:hAnsi="Calibri" w:cs="Calibri"/>
        </w:rPr>
        <w:fldChar w:fldCharType="end"/>
      </w:r>
      <w:r w:rsidR="00016E04" w:rsidRPr="005C607F">
        <w:rPr>
          <w:rFonts w:ascii="Calibri" w:hAnsi="Calibri" w:cs="Calibri"/>
        </w:rPr>
        <w:t xml:space="preserve">. We did not </w:t>
      </w:r>
      <w:r w:rsidR="00E677A0">
        <w:rPr>
          <w:rFonts w:ascii="Calibri" w:hAnsi="Calibri" w:cs="Calibri"/>
        </w:rPr>
        <w:t>identify</w:t>
      </w:r>
      <w:r w:rsidR="00E677A0" w:rsidRPr="005C607F">
        <w:rPr>
          <w:rFonts w:ascii="Calibri" w:hAnsi="Calibri" w:cs="Calibri"/>
        </w:rPr>
        <w:t xml:space="preserve"> </w:t>
      </w:r>
      <w:r w:rsidR="00016E04" w:rsidRPr="005C607F">
        <w:rPr>
          <w:rFonts w:ascii="Calibri" w:hAnsi="Calibri" w:cs="Calibri"/>
        </w:rPr>
        <w:t xml:space="preserve">a significant sex predisposition, similar to </w:t>
      </w:r>
      <w:r w:rsidR="00E677A0">
        <w:rPr>
          <w:rFonts w:ascii="Calibri" w:hAnsi="Calibri" w:cs="Calibri"/>
        </w:rPr>
        <w:t xml:space="preserve">a previous study </w:t>
      </w:r>
      <w:r w:rsidR="00E677A0">
        <w:rPr>
          <w:rFonts w:ascii="Calibri" w:hAnsi="Calibri" w:cs="Calibri"/>
        </w:rPr>
        <w:fldChar w:fldCharType="begin" w:fldLock="1"/>
      </w:r>
      <w:r w:rsidR="00E677A0">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mendeley":{"formattedCitation":"(1)","plainTextFormattedCitation":"(1)"},"properties":{"noteIndex":0},"schema":"https://github.com/citation-style-language/schema/raw/master/csl-citation.json"}</w:instrText>
      </w:r>
      <w:r w:rsidR="00E677A0">
        <w:rPr>
          <w:rFonts w:ascii="Calibri" w:hAnsi="Calibri" w:cs="Calibri"/>
        </w:rPr>
        <w:fldChar w:fldCharType="separate"/>
      </w:r>
      <w:r w:rsidR="00E677A0" w:rsidRPr="00E677A0">
        <w:rPr>
          <w:rFonts w:ascii="Calibri" w:hAnsi="Calibri" w:cs="Calibri"/>
          <w:noProof/>
        </w:rPr>
        <w:t>(1)</w:t>
      </w:r>
      <w:r w:rsidR="00E677A0">
        <w:rPr>
          <w:rFonts w:ascii="Calibri" w:hAnsi="Calibri" w:cs="Calibri"/>
        </w:rPr>
        <w:fldChar w:fldCharType="end"/>
      </w:r>
      <w:r w:rsidR="00016E04" w:rsidRPr="005C607F">
        <w:rPr>
          <w:rFonts w:ascii="Calibri" w:hAnsi="Calibri" w:cs="Calibri"/>
        </w:rPr>
        <w:t>. Th</w:t>
      </w:r>
      <w:r w:rsidR="00E677A0">
        <w:rPr>
          <w:rFonts w:ascii="Calibri" w:hAnsi="Calibri" w:cs="Calibri"/>
        </w:rPr>
        <w:t>e</w:t>
      </w:r>
      <w:r w:rsidR="00016E04" w:rsidRPr="005C607F">
        <w:rPr>
          <w:rFonts w:ascii="Calibri" w:hAnsi="Calibri" w:cs="Calibri"/>
        </w:rPr>
        <w:t>s</w:t>
      </w:r>
      <w:r w:rsidR="00E677A0">
        <w:rPr>
          <w:rFonts w:ascii="Calibri" w:hAnsi="Calibri" w:cs="Calibri"/>
        </w:rPr>
        <w:t>e findings</w:t>
      </w:r>
      <w:r w:rsidR="00016E04" w:rsidRPr="005C607F">
        <w:rPr>
          <w:rFonts w:ascii="Calibri" w:hAnsi="Calibri" w:cs="Calibri"/>
        </w:rPr>
        <w:t xml:space="preserve"> </w:t>
      </w:r>
      <w:r w:rsidR="00107E40" w:rsidRPr="005C607F">
        <w:rPr>
          <w:rFonts w:ascii="Calibri" w:hAnsi="Calibri" w:cs="Calibri"/>
        </w:rPr>
        <w:t>contrast</w:t>
      </w:r>
      <w:r w:rsidR="00385FC3" w:rsidRPr="005C607F">
        <w:rPr>
          <w:rFonts w:ascii="Calibri" w:hAnsi="Calibri" w:cs="Calibri"/>
        </w:rPr>
        <w:t xml:space="preserve"> </w:t>
      </w:r>
      <w:r w:rsidR="00107E40" w:rsidRPr="005C607F">
        <w:rPr>
          <w:rFonts w:ascii="Calibri" w:hAnsi="Calibri" w:cs="Calibri"/>
        </w:rPr>
        <w:t>with</w:t>
      </w:r>
      <w:r w:rsidR="00E677A0">
        <w:rPr>
          <w:rFonts w:ascii="Calibri" w:hAnsi="Calibri" w:cs="Calibri"/>
        </w:rPr>
        <w:t xml:space="preserve"> those in</w:t>
      </w:r>
      <w:r w:rsidR="00107E40" w:rsidRPr="005C607F">
        <w:rPr>
          <w:rFonts w:ascii="Calibri" w:hAnsi="Calibri" w:cs="Calibri"/>
        </w:rPr>
        <w:t xml:space="preserve"> the</w:t>
      </w:r>
      <w:r w:rsidR="00385FC3" w:rsidRPr="005C607F">
        <w:rPr>
          <w:rFonts w:ascii="Calibri" w:hAnsi="Calibri" w:cs="Calibri"/>
        </w:rPr>
        <w:t xml:space="preserve"> human </w:t>
      </w:r>
      <w:r w:rsidR="00E677A0">
        <w:rPr>
          <w:rFonts w:ascii="Calibri" w:hAnsi="Calibri" w:cs="Calibri"/>
        </w:rPr>
        <w:t xml:space="preserve">medical </w:t>
      </w:r>
      <w:r w:rsidR="00385FC3" w:rsidRPr="005C607F">
        <w:rPr>
          <w:rFonts w:ascii="Calibri" w:hAnsi="Calibri" w:cs="Calibri"/>
        </w:rPr>
        <w:t xml:space="preserve">literature where females have </w:t>
      </w:r>
      <w:r w:rsidR="00E677A0">
        <w:rPr>
          <w:rFonts w:ascii="Calibri" w:hAnsi="Calibri" w:cs="Calibri"/>
        </w:rPr>
        <w:t xml:space="preserve">a </w:t>
      </w:r>
      <w:r w:rsidR="00385FC3" w:rsidRPr="005C607F">
        <w:rPr>
          <w:rFonts w:ascii="Calibri" w:hAnsi="Calibri" w:cs="Calibri"/>
        </w:rPr>
        <w:t xml:space="preserve">higher incidence </w:t>
      </w:r>
      <w:r w:rsidR="00016E04" w:rsidRPr="005C607F">
        <w:rPr>
          <w:rFonts w:ascii="Calibri" w:hAnsi="Calibri" w:cs="Calibri"/>
        </w:rPr>
        <w:t xml:space="preserve">of cholelithiasis, suspected </w:t>
      </w:r>
      <w:r w:rsidR="008A2211" w:rsidRPr="005C607F">
        <w:rPr>
          <w:rFonts w:ascii="Calibri" w:hAnsi="Calibri" w:cs="Calibri"/>
        </w:rPr>
        <w:t xml:space="preserve">to be </w:t>
      </w:r>
      <w:r w:rsidR="00E677A0">
        <w:rPr>
          <w:rFonts w:ascii="Calibri" w:hAnsi="Calibri" w:cs="Calibri"/>
        </w:rPr>
        <w:t>associated with</w:t>
      </w:r>
      <w:r w:rsidR="00016E04" w:rsidRPr="005C607F">
        <w:rPr>
          <w:rFonts w:ascii="Calibri" w:hAnsi="Calibri" w:cs="Calibri"/>
        </w:rPr>
        <w:t xml:space="preserve"> </w:t>
      </w:r>
      <w:r w:rsidR="00797A60">
        <w:rPr>
          <w:rFonts w:ascii="Calibri" w:hAnsi="Calibri" w:cs="Calibri"/>
        </w:rPr>
        <w:t xml:space="preserve">the effects of </w:t>
      </w:r>
      <w:r w:rsidR="00016E04" w:rsidRPr="005C607F">
        <w:rPr>
          <w:rFonts w:ascii="Calibri" w:hAnsi="Calibri" w:cs="Calibri"/>
        </w:rPr>
        <w:t>estrogen</w:t>
      </w:r>
      <w:r w:rsidR="000D10A5">
        <w:rPr>
          <w:rFonts w:ascii="Calibri" w:hAnsi="Calibri" w:cs="Calibri"/>
        </w:rPr>
        <w:t xml:space="preserve"> </w:t>
      </w:r>
      <w:r w:rsidR="00E677A0">
        <w:rPr>
          <w:rFonts w:ascii="Calibri" w:hAnsi="Calibri" w:cs="Calibri"/>
        </w:rPr>
        <w:t xml:space="preserve">to </w:t>
      </w:r>
      <w:r w:rsidR="00016E04" w:rsidRPr="005C607F">
        <w:rPr>
          <w:rFonts w:ascii="Calibri" w:hAnsi="Calibri" w:cs="Calibri"/>
        </w:rPr>
        <w:t>enhanc</w:t>
      </w:r>
      <w:r w:rsidR="00E677A0">
        <w:rPr>
          <w:rFonts w:ascii="Calibri" w:hAnsi="Calibri" w:cs="Calibri"/>
        </w:rPr>
        <w:t>e</w:t>
      </w:r>
      <w:r w:rsidR="00016E04" w:rsidRPr="005C607F">
        <w:rPr>
          <w:rFonts w:ascii="Calibri" w:hAnsi="Calibri" w:cs="Calibri"/>
        </w:rPr>
        <w:t xml:space="preserve"> cholesterol synthesis and </w:t>
      </w:r>
      <w:r w:rsidR="00E677A0">
        <w:rPr>
          <w:rFonts w:ascii="Calibri" w:hAnsi="Calibri" w:cs="Calibri"/>
        </w:rPr>
        <w:t>decrease</w:t>
      </w:r>
      <w:r w:rsidR="00E677A0" w:rsidRPr="005C607F">
        <w:rPr>
          <w:rFonts w:ascii="Calibri" w:hAnsi="Calibri" w:cs="Calibri"/>
        </w:rPr>
        <w:t xml:space="preserve"> </w:t>
      </w:r>
      <w:r w:rsidR="00016E04" w:rsidRPr="005C607F">
        <w:rPr>
          <w:rFonts w:ascii="Calibri" w:hAnsi="Calibri" w:cs="Calibri"/>
        </w:rPr>
        <w:t xml:space="preserve">bile acid synthesis </w:t>
      </w:r>
      <w:r w:rsidR="00ED79AB" w:rsidRPr="005C607F">
        <w:rPr>
          <w:rFonts w:ascii="Calibri" w:hAnsi="Calibri" w:cs="Calibri"/>
        </w:rPr>
        <w:fldChar w:fldCharType="begin" w:fldLock="1"/>
      </w:r>
      <w:r w:rsidR="00E677A0">
        <w:rPr>
          <w:rFonts w:ascii="Calibri" w:hAnsi="Calibri" w:cs="Calibri"/>
        </w:rPr>
        <w:instrText>ADDIN CSL_CITATION {"citationItems":[{"id":"ITEM-1","itemData":{"DOI":"10.4254/wjh.v8.i23.961","ISSN":"1948-5182","abstract":"Plasma cholesterol level is determined by a complex dynamics that involves transport lipoproteins which levels are tightly dependent on how the liver and the intestine regulate cholesterol and biliary acid metabolism. Regulation of cholesterol and biliary acids by the liver and the intestine is in turn coupled to a large array of enzymes and transporters that largely influence the inflow and the outflow of cholesterol and biliary acids through these organs. The activity of the key regulators of cholesterol and biliary acids may be influenced by several external factors such as pharmacological drugs and the nutritional status. In recent years, more information has been gathered about the impact of estrogens on regulation of cholesterol in the body. Exposure to high levels of estrogens has been reported to promote cholesterol gallstone formation and women are twice as likely as men to develop cholesterol gallstones. The impact of estrogen withdrawal, such as experienced by menopausal women, is therefore of importance and more information on how the absence of estrogens influence cholesterol regulation is started to come out, especially through the use of animal models. An interesting alternative to metabolic deterioration due to estrogen deficiency is exercise training. The present review is intended to summarize the present information that links key regulators of cholesterol and biliary acid pathways in liver and intestine to the absence of estrogens in an animal model and to discuss the potential role of exercise training as an alternative.","author":[{"dropping-particle":"","family":"Lavoie","given":"Jean-Marc","non-dropping-particle":"","parse-names":false,"suffix":""}],"container-title":"World journal of hepatology","id":"ITEM-1","issue":"23","issued":{"date-parts":[["2016","8","18"]]},"language":"eng","page":"961-975","publisher":"Baishideng Publishing Group Inc","title":"Dynamics of hepatic and intestinal cholesterol and bile acid pathways: The impact of the animal model of estrogen deficiency and exercise training","type":"article-journal","volume":"8"},"uris":["http://www.mendeley.com/documents/?uuid=86ce1739-3233-4000-a310-bf611aa34fbd"]},{"id":"ITEM-2","itemData":{"DOI":"10.12688/f1000research.15505.1","ISSN":"2046-1402","abstract":"The high prevalence of cholesterol gallstones, the availability of new information about pathogenesis, and the relevant health costs due to the management of cholelithiasis in both children and adults contribute to a growing interest in this disease. From an epidemiologic point of view, the risk of gallstones has been associated with higher risk of incident ischemic heart disease, total mortality, and disease-specific mortality (including cancer) independently from the presence of traditional risk factors such as body weight, lifestyle, diabetes, and dyslipidemia. This evidence points to the existence of complex pathogenic pathways linking the occurrence of gallstones to altered systemic homeostasis involving multiple organs and dynamics. In fact, the formation of gallstones is secondary to local factors strictly dependent on the gallbladder (that is, impaired smooth muscle function, wall inflammation, and intraluminal mucin accumulation) and bile (that is, supersaturation in cholesterol and precipitation of solid crystals) but also to \"extra-gallbladder\" features such as gene polymorphism, epigenetic factors, expression and activity of nuclear receptors, hormonal factors (in particular, insulin resistance), multi-level alterations in cholesterol metabolism, altered intestinal motility, and variations in gut microbiota. Of note, the majority of these factors are potentially manageable. Thus, cholelithiasis appears as the expression of systemic unbalances that, besides the classic therapeutic approaches to patients with clinical evidence of symptomatic disease or complications (surgery and, in a small subgroup of subjects, oral litholysis with bile acids), could be managed with tools oriented to primary prevention (changes in diet and lifestyle and pharmacologic prevention in subgroups at high risk), and there could be relevant implications in reducing both prevalence and health costs.","author":[{"dropping-particle":"","family":"Ciaula","given":"Agostino","non-dropping-particle":"Di","parse-names":false,"suffix":""},{"dropping-particle":"","family":"Portincasa","given":"Piero","non-dropping-particle":"","parse-names":false,"suffix":""}],"container-title":"F1000Research","id":"ITEM-2","issued":{"date-parts":[["2018","9","24"]]},"language":"eng","page":"F1000 Faculty Rev-1529","publisher":"F1000 Research Limited","title":"Recent advances in understanding and managing cholesterol gallstones","type":"article-journal","volume":"7"},"uris":["http://www.mendeley.com/documents/?uuid=e87cb6f7-4af1-4370-9b49-22c0e2e43e77"]},{"id":"ITEM-3","itemData":{"DOI":"10.1097/00000658-198507000-00009","ISSN":"0003-4932","abstract":"The natural history of gallstone disease in 691 patients, followed for a mean +/- SD duration of 78 +/- 61.6 months (median 62.9 months), is presented. These patients are all subscribers of a large health maintenance organization and are believed to represent a cross-section of middle income Americans. Symptoms attributed to biliary tract disease were present in 556 (80.5%), and the other 135 (19.5%) patients were asymptomatic. In the symptomatic group, the mean +/- SD duration of observation was 82.9 +/- 63.2 months (median 68.5 months); 242 (44%) eventually underwent biliary tract operations most often because of persistent symptoms. Only 10% of asymptomatic patients followed for 58 +/- 50.2 months (median 46.3 months) developed symptoms of biliary calculi, and seven per cent required operations. There were 50 deaths in this series of 691 patients, 25 in the symptomatic group, and 25 in the asymptomatic. Only two of these deaths were biliary tract related, and both were in the symptomatic group. This study suggests that patients with silent stones do not need to be operated on prior to the development of symptoms. In addition, many patients with symptoms of biliary calculi can tolerate their symptoms for long periods of time and prefer this course of action to cholecystectomy.","author":[{"dropping-particle":"","family":"McSherry","given":"C K","non-dropping-particle":"","parse-names":false,"suffix":""},{"dropping-particle":"","family":"Ferstenberg","given":"H","non-dropping-particle":"","parse-names":false,"suffix":""},{"dropping-particle":"","family":"Calhoun","given":"W F","non-dropping-particle":"","parse-names":false,"suffix":""},{"dropping-particle":"","family":"Lahman","given":"E","non-dropping-particle":"","parse-names":false,"suffix":""},{"dropping-particle":"","family":"Virshup","given":"M","non-dropping-particle":"","parse-names":false,"suffix":""}],"container-title":"Annals of surgery","id":"ITEM-3","issue":"1","issued":{"date-parts":[["1985","7"]]},"language":"eng","page":"59-63","title":"The natural history of diagnosed gallstone disease in symptomatic and asymptomatic patients","type":"article-journal","volume":"202"},"uris":["http://www.mendeley.com/documents/?uuid=729fad5c-a352-442b-b5e9-126e3769fb82"]},{"id":"ITEM-4","itemData":{"DOI":"https://doi.org/10.1053/j.gastro.2015.09.002","ISSN":"0016-5085","abstract":"Background &amp; Aims No one knows exactly what proportion of gallstones cause clinical events among subjects unaware of their gallstone status. We investigated the long-term occurrence of clinical events of gallstones and associations between ultrasound observations and clinical events. Methods We analyzed data from 3 randomly selected groups in the general population of urban Copenhagen (age, 30–70 y) participating in an international study of cardiovascular risk factors (the Multinational mONItoring of trends and determinants in CArdiovascular disease study). In this study, participants (n = 6037) were examined from 1982 through 1994, and underwent abdominal ultrasound examinations to detect gallstones. Our study population comprised 664 subjects with gallstones; subjects were not informed of their gallstone status. Participants were followed up for clinical events through central registers until December 31, 2011. Independent variables included ultrasound characteristics, age, sex, comorbidity, and female-associated factors, which were analyzed using Cox regression. Results Study participants were followed up for a median of 17.4 years (range, 0.1–29.1 y); 99.7% of participants completed the study. A total of 19.6% participants developed events (8.0% complicated and 11.6% uncomplicated). Ten percent had awareness of their gallstones; awareness was associated with uncomplicated and complicated events. Stones larger than 10 mm were associated with all events (hazard ratio [HR], 2.31; 95% confidence interval [CI], 1.45–3.69), acute cholecystitis (HR, 9.49; 95% CI, 2.05–43.92), and uncomplicated events (HR, 2.55; 95% CI, 1.38−4.71), including cholecystectomy (HR, 2.69; 95% CI, 1.29–5.60). Multiple stones were associated with all events (HR, 1.68; 95% CI, 1.00–2.81), complicated events (HR, 2.52; 95% CI, 1.05−6.04), and common bile duct stones (HR, 11.83; 95% CI, 1.54−91). There was an association between gallstones more than 5 years old and acute cholecystitis. Female sex was associated with all and uncomplicated events. We found a negative association between participant age and all events, uncomplicated events, and acute cholecystitis. Comorbidities and female-associated factors (intake of birth control pills or estrogens and number of births) were not associated with events. Compared with men with a single stone of 10 mm or smaller (reference), women with multiple stones greater than 10 mm had the highest risk for events (HR, 11.05; 95% CI, 3.76–32.44; u…","author":[{"dropping-particle":"","family":"Shabanzadeh","given":"Daniel Mønsted","non-dropping-particle":"","parse-names":false,"suffix":""},{"dropping-particle":"","family":"Sørensen","given":"Lars Tue","non-dropping-particle":"","parse-names":false,"suffix":""},{"dropping-particle":"","family":"Jørgensen","given":"Torben","non-dropping-particle":"","parse-names":false,"suffix":""}],"container-title":"Gastroenterology","id":"ITEM-4","issue":"1","issued":{"date-parts":[["2016"]]},"page":"156-167.e1","title":"A Prediction Rule for Risk Stratification of Incidentally Discovered Gallstones: Results From a Large Cohort Study","type":"article-journal","volume":"150"},"uris":["http://www.mendeley.com/documents/?uuid=31af8aaa-d0e7-4876-a692-ce5e15257da7"]},{"id":"ITEM-5","itemData":{"ISSN":"0267-1379","abstract":"Purpose of review \nGallstone disease is a major epidemiologic and economic burden worldwide, and the most frequent form is cholesterol gallstone disease.\nRecent findings\nMajor pathogenetic factors for cholesterol gallstones include a genetic background, hepatic hypersecretion of cholesterol, and supersaturated bile which give life to precipitating cholesterol crystals that accumulate and grow in a sluggish gallbladder. Additional factors include mucin and inflammatory changes in the gallbladder, slow intestinal motility, increased intestinal absorption of cholesterol, and altered gut microbiota. Mechanisms of disease are linked with insulin resistance, obesity, the metabolic syndrome, and type 2 diabetes. The role of nuclear receptors, signaling pathways, gut microbiota, and epigenome are being actively investigated.\nSummary\nOngoing research on cholesterol gallstone disease is intensively investigating several pathogenic mechanisms, associated metabolic disorders, new therapeutic approaches, and novel strategies for primary prevention, including lifestyles.","author":[{"dropping-particle":"","family":"Ciaula","given":"Agostino","non-dropping-particle":"Di","parse-names":false,"suffix":""},{"dropping-particle":"","family":"Wang","given":"David Q.-H.","non-dropping-particle":"","parse-names":false,"suffix":""},{"dropping-particle":"","family":"Portincasa","given":"Piero","non-dropping-particle":"","parse-names":false,"suffix":""}],"container-title":"Current Opinion in Gastroenterology","id":"ITEM-5","issue":"2","issued":{"date-parts":[["2018"]]},"title":"An update on the pathogenesis of cholesterol gallstone disease","type":"article-journal","volume":"34"},"uris":["http://www.mendeley.com/documents/?uuid=0eac0da7-5420-4632-a1bc-93604e50bac9"]},{"id":"ITEM-6","itemData":{"ISSN":"1042-895X","abstract":"Gallstone disease is one of the most common public health problems in the United States. Approximately 10%–20% of the national adult populations currently carry gallstones, and gallstone prevalence is rising. In addition, nearly 750,000 cholecystectomies are performed annually in the United States; direct and indirect costs of gallbladder surgery are estimated to be $6.5 billion. Cholelithiasis is also strongly associated with gallbladder, pancreatic, and colorectal cancer occurrence. Moreover, the National Institutes of Health estimates that almost 3,000 deaths (0.12% of all deaths) per year are attributed to complications of cholelithiasis and gallbladder disease. Although extensive research has tried to identify risk factors for cholelithiasis, several studies indicate that definitive findings still remain elusive. In this review, predisposing factors for cholelithiasis are identified, the pathophysiology of gallstone disease is described, and nonsurgical preventive options are discussed. Understanding the risk factors for cholelithiasis may not only be useful in assisting nurses to provide resources and education for patients who are diagnosed with gallstones, but also in developing novel preventive measures for the disease.","author":[{"dropping-particle":"","family":"Pak","given":"Mila","non-dropping-particle":"","parse-names":false,"suffix":""},{"dropping-particle":"","family":"Lindseth","given":"Glenda","non-dropping-particle":"","parse-names":false,"suffix":""}],"container-title":"Gastroenterology Nursing","id":"ITEM-6","issue":"4","issued":{"date-parts":[["2016"]]},"title":"Risk Factors for Cholelithiasis","type":"article-journal","volume":"39"},"uris":["http://www.mendeley.com/documents/?uuid=6e39493d-13eb-4100-b3b3-f024afff8fb0"]}],"mendeley":{"formattedCitation":"(11,15–19)","plainTextFormattedCitation":"(11,15–19)","previouslyFormattedCitation":"(11,16–20)"},"properties":{"noteIndex":0},"schema":"https://github.com/citation-style-language/schema/raw/master/csl-citation.json"}</w:instrText>
      </w:r>
      <w:r w:rsidR="00ED79AB" w:rsidRPr="005C607F">
        <w:rPr>
          <w:rFonts w:ascii="Calibri" w:hAnsi="Calibri" w:cs="Calibri"/>
        </w:rPr>
        <w:fldChar w:fldCharType="separate"/>
      </w:r>
      <w:r w:rsidR="00E677A0" w:rsidRPr="00E677A0">
        <w:rPr>
          <w:rFonts w:ascii="Calibri" w:hAnsi="Calibri" w:cs="Calibri"/>
          <w:noProof/>
        </w:rPr>
        <w:t>(11,15–19)</w:t>
      </w:r>
      <w:r w:rsidR="00ED79AB" w:rsidRPr="005C607F">
        <w:rPr>
          <w:rFonts w:ascii="Calibri" w:hAnsi="Calibri" w:cs="Calibri"/>
        </w:rPr>
        <w:fldChar w:fldCharType="end"/>
      </w:r>
      <w:r w:rsidR="00385FC3" w:rsidRPr="005C607F">
        <w:rPr>
          <w:rFonts w:ascii="Calibri" w:hAnsi="Calibri" w:cs="Calibri"/>
        </w:rPr>
        <w:t xml:space="preserve">. </w:t>
      </w:r>
      <w:r w:rsidR="0023618B" w:rsidRPr="005C607F">
        <w:rPr>
          <w:rFonts w:ascii="Calibri" w:hAnsi="Calibri" w:cs="Calibri"/>
        </w:rPr>
        <w:t>T</w:t>
      </w:r>
      <w:r w:rsidR="00385FC3" w:rsidRPr="005C607F">
        <w:rPr>
          <w:rFonts w:ascii="Calibri" w:hAnsi="Calibri" w:cs="Calibri"/>
        </w:rPr>
        <w:t>his</w:t>
      </w:r>
      <w:r w:rsidR="00BF62E4">
        <w:rPr>
          <w:rFonts w:ascii="Calibri" w:hAnsi="Calibri" w:cs="Calibri"/>
        </w:rPr>
        <w:t xml:space="preserve"> effect</w:t>
      </w:r>
      <w:r w:rsidR="002F5DBA" w:rsidRPr="005C607F">
        <w:rPr>
          <w:rFonts w:ascii="Calibri" w:hAnsi="Calibri" w:cs="Calibri"/>
        </w:rPr>
        <w:t xml:space="preserve"> </w:t>
      </w:r>
      <w:r w:rsidR="00016E04" w:rsidRPr="005C607F">
        <w:rPr>
          <w:rFonts w:ascii="Calibri" w:hAnsi="Calibri" w:cs="Calibri"/>
        </w:rPr>
        <w:t>likely doesn’t influence</w:t>
      </w:r>
      <w:r w:rsidR="00BF62E4">
        <w:rPr>
          <w:rFonts w:ascii="Calibri" w:hAnsi="Calibri" w:cs="Calibri"/>
        </w:rPr>
        <w:t xml:space="preserve"> the pathophysiology in</w:t>
      </w:r>
      <w:r w:rsidR="00016E04" w:rsidRPr="005C607F">
        <w:rPr>
          <w:rFonts w:ascii="Calibri" w:hAnsi="Calibri" w:cs="Calibri"/>
        </w:rPr>
        <w:t xml:space="preserve"> dogs</w:t>
      </w:r>
      <w:r w:rsidR="00BB071A">
        <w:rPr>
          <w:rFonts w:ascii="Calibri" w:hAnsi="Calibri" w:cs="Calibri"/>
        </w:rPr>
        <w:t xml:space="preserve"> </w:t>
      </w:r>
      <w:r w:rsidR="004858D7">
        <w:rPr>
          <w:rFonts w:ascii="Calibri" w:hAnsi="Calibri" w:cs="Calibri"/>
        </w:rPr>
        <w:t xml:space="preserve">because </w:t>
      </w:r>
      <w:r w:rsidR="00B010F6">
        <w:rPr>
          <w:rFonts w:ascii="Calibri" w:hAnsi="Calibri" w:cs="Calibri"/>
        </w:rPr>
        <w:t>they</w:t>
      </w:r>
      <w:r w:rsidR="009B14E4" w:rsidRPr="005C607F">
        <w:rPr>
          <w:rFonts w:ascii="Calibri" w:hAnsi="Calibri" w:cs="Calibri"/>
        </w:rPr>
        <w:t xml:space="preserve"> commonly </w:t>
      </w:r>
      <w:r w:rsidR="00BF62E4" w:rsidRPr="005C607F">
        <w:rPr>
          <w:rFonts w:ascii="Calibri" w:hAnsi="Calibri" w:cs="Calibri"/>
        </w:rPr>
        <w:t xml:space="preserve">are </w:t>
      </w:r>
      <w:r w:rsidR="009B14E4" w:rsidRPr="005C607F">
        <w:rPr>
          <w:rFonts w:ascii="Calibri" w:hAnsi="Calibri" w:cs="Calibri"/>
        </w:rPr>
        <w:t>neutered</w:t>
      </w:r>
      <w:r w:rsidR="00BF62E4">
        <w:rPr>
          <w:rFonts w:ascii="Calibri" w:hAnsi="Calibri" w:cs="Calibri"/>
        </w:rPr>
        <w:t>,</w:t>
      </w:r>
      <w:r w:rsidR="009B14E4" w:rsidRPr="005C607F">
        <w:rPr>
          <w:rFonts w:ascii="Calibri" w:hAnsi="Calibri" w:cs="Calibri"/>
        </w:rPr>
        <w:t xml:space="preserve"> and </w:t>
      </w:r>
      <w:r w:rsidR="00BB071A">
        <w:rPr>
          <w:rFonts w:ascii="Calibri" w:hAnsi="Calibri" w:cs="Calibri"/>
        </w:rPr>
        <w:t>cholelith</w:t>
      </w:r>
      <w:r w:rsidR="009B14E4" w:rsidRPr="005C607F">
        <w:rPr>
          <w:rFonts w:ascii="Calibri" w:hAnsi="Calibri" w:cs="Calibri"/>
        </w:rPr>
        <w:t xml:space="preserve"> </w:t>
      </w:r>
      <w:r w:rsidR="00016E04" w:rsidRPr="005C607F">
        <w:rPr>
          <w:rFonts w:ascii="Calibri" w:hAnsi="Calibri" w:cs="Calibri"/>
        </w:rPr>
        <w:t>composition</w:t>
      </w:r>
      <w:r w:rsidR="008C20CE">
        <w:rPr>
          <w:rFonts w:ascii="Calibri" w:hAnsi="Calibri" w:cs="Calibri"/>
        </w:rPr>
        <w:t xml:space="preserve"> </w:t>
      </w:r>
      <w:r w:rsidR="00AC0BC9">
        <w:rPr>
          <w:rFonts w:ascii="Calibri" w:hAnsi="Calibri" w:cs="Calibri"/>
        </w:rPr>
        <w:t xml:space="preserve">differs </w:t>
      </w:r>
      <w:r w:rsidR="00F526FD">
        <w:rPr>
          <w:rFonts w:ascii="Calibri" w:hAnsi="Calibri" w:cs="Calibri"/>
        </w:rPr>
        <w:t>from that in</w:t>
      </w:r>
      <w:r w:rsidR="00F526FD" w:rsidRPr="005C607F">
        <w:rPr>
          <w:rFonts w:ascii="Calibri" w:hAnsi="Calibri" w:cs="Calibri"/>
        </w:rPr>
        <w:t xml:space="preserve"> </w:t>
      </w:r>
      <w:r w:rsidR="009B14E4" w:rsidRPr="005C607F">
        <w:rPr>
          <w:rFonts w:ascii="Calibri" w:hAnsi="Calibri" w:cs="Calibri"/>
        </w:rPr>
        <w:t>humans</w:t>
      </w:r>
      <w:r w:rsidR="00E10974">
        <w:rPr>
          <w:rFonts w:ascii="Calibri" w:hAnsi="Calibri" w:cs="Calibri"/>
        </w:rPr>
        <w:t xml:space="preserve"> (4).</w:t>
      </w:r>
    </w:p>
    <w:p w14:paraId="77A9F947" w14:textId="22945B87" w:rsidR="005F1F4E" w:rsidRPr="005C607F" w:rsidRDefault="005F1F4E" w:rsidP="00867264">
      <w:pPr>
        <w:spacing w:line="480" w:lineRule="auto"/>
        <w:jc w:val="both"/>
        <w:rPr>
          <w:rFonts w:ascii="Calibri" w:hAnsi="Calibri" w:cs="Calibri"/>
        </w:rPr>
      </w:pPr>
    </w:p>
    <w:p w14:paraId="716911C3" w14:textId="66C725E7" w:rsidR="00CB30EA" w:rsidRPr="005C607F" w:rsidRDefault="001972EB" w:rsidP="00867264">
      <w:pPr>
        <w:spacing w:line="480" w:lineRule="auto"/>
        <w:jc w:val="both"/>
        <w:rPr>
          <w:rFonts w:ascii="Calibri" w:hAnsi="Calibri" w:cs="Calibri"/>
        </w:rPr>
      </w:pPr>
      <w:r w:rsidRPr="005C607F">
        <w:rPr>
          <w:rFonts w:ascii="Calibri" w:hAnsi="Calibri" w:cs="Calibri"/>
        </w:rPr>
        <w:lastRenderedPageBreak/>
        <w:t xml:space="preserve">Interestingly, </w:t>
      </w:r>
      <w:r w:rsidR="004858D7">
        <w:rPr>
          <w:rFonts w:ascii="Calibri" w:hAnsi="Calibri" w:cs="Calibri"/>
        </w:rPr>
        <w:t>8</w:t>
      </w:r>
      <w:r w:rsidR="00FA5A62">
        <w:rPr>
          <w:rFonts w:ascii="Calibri" w:hAnsi="Calibri" w:cs="Calibri"/>
        </w:rPr>
        <w:t xml:space="preserve"> </w:t>
      </w:r>
      <w:r w:rsidR="004858D7" w:rsidRPr="005C607F">
        <w:rPr>
          <w:rFonts w:ascii="Calibri" w:hAnsi="Calibri" w:cs="Calibri"/>
        </w:rPr>
        <w:t xml:space="preserve"> </w:t>
      </w:r>
      <w:r w:rsidRPr="005C607F">
        <w:rPr>
          <w:rFonts w:ascii="Calibri" w:hAnsi="Calibri" w:cs="Calibri"/>
        </w:rPr>
        <w:t xml:space="preserve">dogs </w:t>
      </w:r>
      <w:r w:rsidR="00FA5A62">
        <w:rPr>
          <w:rFonts w:ascii="Calibri" w:hAnsi="Calibri" w:cs="Calibri"/>
        </w:rPr>
        <w:t xml:space="preserve">were </w:t>
      </w:r>
      <w:r w:rsidRPr="005C607F">
        <w:rPr>
          <w:rFonts w:ascii="Calibri" w:hAnsi="Calibri" w:cs="Calibri"/>
        </w:rPr>
        <w:t>presented with concurrent endocrinopathies</w:t>
      </w:r>
      <w:r w:rsidR="00D6729E">
        <w:rPr>
          <w:rFonts w:ascii="Calibri" w:hAnsi="Calibri" w:cs="Calibri"/>
        </w:rPr>
        <w:t>, with</w:t>
      </w:r>
      <w:r w:rsidR="004D7365" w:rsidRPr="005C607F">
        <w:rPr>
          <w:rFonts w:ascii="Calibri" w:hAnsi="Calibri" w:cs="Calibri"/>
        </w:rPr>
        <w:t xml:space="preserve"> </w:t>
      </w:r>
      <w:r w:rsidR="000F25CF">
        <w:rPr>
          <w:rFonts w:ascii="Calibri" w:hAnsi="Calibri" w:cs="Calibri"/>
        </w:rPr>
        <w:t xml:space="preserve">1 </w:t>
      </w:r>
      <w:r w:rsidR="002F2D04">
        <w:rPr>
          <w:rFonts w:ascii="Calibri" w:hAnsi="Calibri" w:cs="Calibri"/>
        </w:rPr>
        <w:t>surgically</w:t>
      </w:r>
      <w:r w:rsidR="000F25CF">
        <w:rPr>
          <w:rFonts w:ascii="Calibri" w:hAnsi="Calibri" w:cs="Calibri"/>
        </w:rPr>
        <w:t>-</w:t>
      </w:r>
      <w:r w:rsidR="002F2D04">
        <w:rPr>
          <w:rFonts w:ascii="Calibri" w:hAnsi="Calibri" w:cs="Calibri"/>
        </w:rPr>
        <w:t xml:space="preserve">treated </w:t>
      </w:r>
      <w:r w:rsidR="00DB4B4C">
        <w:rPr>
          <w:rFonts w:ascii="Calibri" w:hAnsi="Calibri" w:cs="Calibri"/>
        </w:rPr>
        <w:t>dog with</w:t>
      </w:r>
      <w:r w:rsidR="00035B8E" w:rsidRPr="005C607F">
        <w:rPr>
          <w:rFonts w:ascii="Calibri" w:hAnsi="Calibri" w:cs="Calibri"/>
        </w:rPr>
        <w:t xml:space="preserve"> primary hyperparathyroidism </w:t>
      </w:r>
      <w:r w:rsidR="00FE54E0" w:rsidRPr="005C607F">
        <w:rPr>
          <w:rFonts w:ascii="Calibri" w:hAnsi="Calibri" w:cs="Calibri"/>
        </w:rPr>
        <w:t>develop</w:t>
      </w:r>
      <w:r w:rsidR="00D6729E">
        <w:rPr>
          <w:rFonts w:ascii="Calibri" w:hAnsi="Calibri" w:cs="Calibri"/>
        </w:rPr>
        <w:t>ing</w:t>
      </w:r>
      <w:r w:rsidR="00E941E4" w:rsidRPr="005C607F">
        <w:rPr>
          <w:rFonts w:ascii="Calibri" w:hAnsi="Calibri" w:cs="Calibri"/>
        </w:rPr>
        <w:t xml:space="preserve"> </w:t>
      </w:r>
      <w:r w:rsidR="00B010F6">
        <w:rPr>
          <w:rFonts w:ascii="Calibri" w:hAnsi="Calibri" w:cs="Calibri"/>
        </w:rPr>
        <w:t>cholelith recurrence.</w:t>
      </w:r>
      <w:r w:rsidR="00CC57A0">
        <w:rPr>
          <w:rFonts w:ascii="Calibri" w:hAnsi="Calibri" w:cs="Calibri"/>
        </w:rPr>
        <w:t xml:space="preserve"> </w:t>
      </w:r>
      <w:r w:rsidR="001E4444">
        <w:rPr>
          <w:rFonts w:ascii="Calibri" w:hAnsi="Calibri" w:cs="Calibri"/>
        </w:rPr>
        <w:t>B</w:t>
      </w:r>
      <w:r w:rsidR="00125FFB">
        <w:rPr>
          <w:rFonts w:ascii="Calibri" w:hAnsi="Calibri" w:cs="Calibri"/>
        </w:rPr>
        <w:t>oth</w:t>
      </w:r>
      <w:r w:rsidR="00CC57A0">
        <w:rPr>
          <w:rFonts w:ascii="Calibri" w:hAnsi="Calibri" w:cs="Calibri"/>
        </w:rPr>
        <w:t xml:space="preserve"> </w:t>
      </w:r>
      <w:r w:rsidR="00125FFB">
        <w:rPr>
          <w:rFonts w:ascii="Calibri" w:hAnsi="Calibri" w:cs="Calibri"/>
        </w:rPr>
        <w:t>hyperparathyroid dogs</w:t>
      </w:r>
      <w:r w:rsidR="001E4444">
        <w:rPr>
          <w:rFonts w:ascii="Calibri" w:hAnsi="Calibri" w:cs="Calibri"/>
        </w:rPr>
        <w:t xml:space="preserve"> </w:t>
      </w:r>
      <w:r w:rsidR="002F022A">
        <w:rPr>
          <w:rFonts w:ascii="Calibri" w:hAnsi="Calibri" w:cs="Calibri"/>
        </w:rPr>
        <w:t xml:space="preserve">had </w:t>
      </w:r>
      <w:r w:rsidR="00125FFB">
        <w:rPr>
          <w:rFonts w:ascii="Calibri" w:hAnsi="Calibri" w:cs="Calibri"/>
        </w:rPr>
        <w:t xml:space="preserve">radiopaque choleliths, </w:t>
      </w:r>
      <w:r w:rsidR="000F25CF">
        <w:rPr>
          <w:rFonts w:ascii="Calibri" w:hAnsi="Calibri" w:cs="Calibri"/>
        </w:rPr>
        <w:t xml:space="preserve">and </w:t>
      </w:r>
      <w:r w:rsidR="001E4444">
        <w:rPr>
          <w:rFonts w:ascii="Calibri" w:hAnsi="Calibri" w:cs="Calibri"/>
        </w:rPr>
        <w:t xml:space="preserve">therefore </w:t>
      </w:r>
      <w:r w:rsidR="00125FFB">
        <w:rPr>
          <w:rFonts w:ascii="Calibri" w:hAnsi="Calibri" w:cs="Calibri"/>
        </w:rPr>
        <w:t>i</w:t>
      </w:r>
      <w:r w:rsidR="004D7365" w:rsidRPr="005C607F">
        <w:rPr>
          <w:rFonts w:ascii="Calibri" w:hAnsi="Calibri" w:cs="Calibri"/>
        </w:rPr>
        <w:t xml:space="preserve">t is reasonable to assume hypercalcemia </w:t>
      </w:r>
      <w:r w:rsidR="002A444C">
        <w:rPr>
          <w:rFonts w:ascii="Calibri" w:hAnsi="Calibri" w:cs="Calibri"/>
        </w:rPr>
        <w:t xml:space="preserve">could have </w:t>
      </w:r>
      <w:r w:rsidR="004D7365" w:rsidRPr="005C607F">
        <w:rPr>
          <w:rFonts w:ascii="Calibri" w:hAnsi="Calibri" w:cs="Calibri"/>
        </w:rPr>
        <w:t xml:space="preserve">contributed to </w:t>
      </w:r>
      <w:r w:rsidR="00BB01F8" w:rsidRPr="005C607F">
        <w:rPr>
          <w:rFonts w:ascii="Calibri" w:hAnsi="Calibri" w:cs="Calibri"/>
        </w:rPr>
        <w:t>development of c</w:t>
      </w:r>
      <w:r w:rsidR="004D7365" w:rsidRPr="005C607F">
        <w:rPr>
          <w:rFonts w:ascii="Calibri" w:hAnsi="Calibri" w:cs="Calibri"/>
        </w:rPr>
        <w:t>holelithiasis</w:t>
      </w:r>
      <w:r w:rsidR="002C318F">
        <w:rPr>
          <w:rFonts w:ascii="Calibri" w:hAnsi="Calibri" w:cs="Calibri"/>
        </w:rPr>
        <w:t xml:space="preserve"> in th</w:t>
      </w:r>
      <w:r w:rsidR="00125FFB">
        <w:rPr>
          <w:rFonts w:ascii="Calibri" w:hAnsi="Calibri" w:cs="Calibri"/>
        </w:rPr>
        <w:t>e</w:t>
      </w:r>
      <w:r w:rsidR="002C318F">
        <w:rPr>
          <w:rFonts w:ascii="Calibri" w:hAnsi="Calibri" w:cs="Calibri"/>
        </w:rPr>
        <w:t>s</w:t>
      </w:r>
      <w:r w:rsidR="00125FFB">
        <w:rPr>
          <w:rFonts w:ascii="Calibri" w:hAnsi="Calibri" w:cs="Calibri"/>
        </w:rPr>
        <w:t>e</w:t>
      </w:r>
      <w:r w:rsidR="002C318F">
        <w:rPr>
          <w:rFonts w:ascii="Calibri" w:hAnsi="Calibri" w:cs="Calibri"/>
        </w:rPr>
        <w:t xml:space="preserve"> </w:t>
      </w:r>
      <w:r w:rsidR="000F25CF">
        <w:rPr>
          <w:rFonts w:ascii="Calibri" w:hAnsi="Calibri" w:cs="Calibri"/>
        </w:rPr>
        <w:t>dogs</w:t>
      </w:r>
      <w:r w:rsidR="001E4444">
        <w:rPr>
          <w:rFonts w:ascii="Calibri" w:hAnsi="Calibri" w:cs="Calibri"/>
        </w:rPr>
        <w:t>. This</w:t>
      </w:r>
      <w:r w:rsidR="000F25CF">
        <w:rPr>
          <w:rFonts w:ascii="Calibri" w:hAnsi="Calibri" w:cs="Calibri"/>
        </w:rPr>
        <w:t xml:space="preserve"> conclusion</w:t>
      </w:r>
      <w:r w:rsidR="001E4444">
        <w:rPr>
          <w:rFonts w:ascii="Calibri" w:hAnsi="Calibri" w:cs="Calibri"/>
        </w:rPr>
        <w:t xml:space="preserve"> is supported by</w:t>
      </w:r>
      <w:r w:rsidR="004D7365" w:rsidRPr="005C607F">
        <w:rPr>
          <w:rFonts w:ascii="Calibri" w:hAnsi="Calibri" w:cs="Calibri"/>
        </w:rPr>
        <w:t xml:space="preserve"> </w:t>
      </w:r>
      <w:r w:rsidR="001E4444">
        <w:rPr>
          <w:rFonts w:ascii="Calibri" w:hAnsi="Calibri" w:cs="Calibri"/>
        </w:rPr>
        <w:t>the fact</w:t>
      </w:r>
      <w:r w:rsidR="00E928F6">
        <w:rPr>
          <w:rFonts w:ascii="Calibri" w:hAnsi="Calibri" w:cs="Calibri"/>
        </w:rPr>
        <w:t xml:space="preserve"> that</w:t>
      </w:r>
      <w:r w:rsidR="00A92972">
        <w:rPr>
          <w:rFonts w:ascii="Calibri" w:hAnsi="Calibri" w:cs="Calibri"/>
        </w:rPr>
        <w:t xml:space="preserve"> </w:t>
      </w:r>
      <w:r w:rsidR="005E2B4E">
        <w:rPr>
          <w:rFonts w:ascii="Calibri" w:hAnsi="Calibri" w:cs="Calibri"/>
        </w:rPr>
        <w:t>huma</w:t>
      </w:r>
      <w:r w:rsidR="00A1610D">
        <w:rPr>
          <w:rFonts w:ascii="Calibri" w:hAnsi="Calibri" w:cs="Calibri"/>
        </w:rPr>
        <w:t>n</w:t>
      </w:r>
      <w:r w:rsidR="00E941E4" w:rsidRPr="005C607F">
        <w:rPr>
          <w:rFonts w:ascii="Calibri" w:hAnsi="Calibri" w:cs="Calibri"/>
        </w:rPr>
        <w:t xml:space="preserve">s with cholelithiasis have </w:t>
      </w:r>
      <w:r w:rsidR="000F25CF">
        <w:rPr>
          <w:rFonts w:ascii="Calibri" w:hAnsi="Calibri" w:cs="Calibri"/>
        </w:rPr>
        <w:t xml:space="preserve">an </w:t>
      </w:r>
      <w:r w:rsidR="00E941E4" w:rsidRPr="005C607F">
        <w:rPr>
          <w:rFonts w:ascii="Calibri" w:hAnsi="Calibri" w:cs="Calibri"/>
        </w:rPr>
        <w:t>increased incidence of hypercalcemia</w:t>
      </w:r>
      <w:r w:rsidR="005E2B4E">
        <w:rPr>
          <w:rFonts w:ascii="Calibri" w:hAnsi="Calibri" w:cs="Calibri"/>
        </w:rPr>
        <w:t xml:space="preserve"> </w:t>
      </w:r>
      <w:r w:rsidR="001724B5" w:rsidRPr="005C607F">
        <w:rPr>
          <w:rFonts w:ascii="Calibri" w:hAnsi="Calibri" w:cs="Calibri"/>
        </w:rPr>
        <w:fldChar w:fldCharType="begin" w:fldLock="1"/>
      </w:r>
      <w:r w:rsidR="00E677A0">
        <w:rPr>
          <w:rFonts w:ascii="Calibri" w:hAnsi="Calibri" w:cs="Calibri"/>
        </w:rPr>
        <w:instrText>ADDIN CSL_CITATION {"citationItems":[{"id":"ITEM-1","itemData":{"DOI":"https://doi.org/10.1016/j.amjsurg.2019.10.010","ISSN":"0002-9610","abstract":"Background Porcelain gallbladder is characterized by calcification of the gallbladder wall, possibly associated chronic inflammation from cholelithiasis. It is unknown whether porcelain gallbladder is associated with higher rates of hypercalcemia and/or hyperparathyroidism compared to cholelithiasis without porcelain gallbladder. Methods We searched our patient database for patients with porcelain gallbladder on imaging and patients with cholelithiasis without porcelain gallbladder. We collected data on patient age, gender, calcium levels, parathyroid hormone (PTH) levels, and medications/comorbidities known to cause hypercalcemia. Results 1000 patients within our database had porcelain gallbladder on imaging. Of these, 661 (245 male) had at least one serum calcium value for analysis. These patients were matched by age and gender with 6610 patients with cholelithiasis who had at least one serum calcium value. Rates of recurrent/persistent hypercalcemia were higher among patients with porcelain gallbladder at 16.8% versus 11.1% (p &lt; 0.01). Rates of hyperparathyroidism were also higher among porcelain gallbladder patients at 12% versus 7.5% (p &lt; 0.01). Conclusion Patients with porcelain gallbladder show higher rates of hypercalcemia and hyperparathyroidism than patients with cholelithiasis alone.","author":[{"dropping-particle":"","family":"Berger","given":"Megan","non-dropping-particle":"","parse-names":false,"suffix":""},{"dropping-particle":"","family":"Dy","given":"Benzon","non-dropping-particle":"","parse-names":false,"suffix":""},{"dropping-particle":"","family":"McKenzie","given":"Travis","non-dropping-particle":"","parse-names":false,"suffix":""},{"dropping-particle":"","family":"Thompson","given":"Geoffrey","non-dropping-particle":"","parse-names":false,"suffix":""},{"dropping-particle":"","family":"Wermers","given":"Robert","non-dropping-particle":"","parse-names":false,"suffix":""},{"dropping-particle":"","family":"Lyden","given":"Melanie","non-dropping-particle":"","parse-names":false,"suffix":""}],"container-title":"The American Journal of Surgery","id":"ITEM-1","issue":"1","issued":{"date-parts":[["2020"]]},"page":"127-131","title":"Rates of hypercalcemia and hyperparathyroidism among patients with porcelain gallbladder","type":"article-journal","volume":"220"},"uris":["http://www.mendeley.com/documents/?uuid=d422955a-6538-408d-b823-0330f82c78d6"]}],"mendeley":{"formattedCitation":"(20)","plainTextFormattedCitation":"(20)","previouslyFormattedCitation":"(21)"},"properties":{"noteIndex":0},"schema":"https://github.com/citation-style-language/schema/raw/master/csl-citation.json"}</w:instrText>
      </w:r>
      <w:r w:rsidR="001724B5" w:rsidRPr="005C607F">
        <w:rPr>
          <w:rFonts w:ascii="Calibri" w:hAnsi="Calibri" w:cs="Calibri"/>
        </w:rPr>
        <w:fldChar w:fldCharType="separate"/>
      </w:r>
      <w:r w:rsidR="00E677A0" w:rsidRPr="00E677A0">
        <w:rPr>
          <w:rFonts w:ascii="Calibri" w:hAnsi="Calibri" w:cs="Calibri"/>
          <w:noProof/>
        </w:rPr>
        <w:t>(20)</w:t>
      </w:r>
      <w:r w:rsidR="001724B5" w:rsidRPr="005C607F">
        <w:rPr>
          <w:rFonts w:ascii="Calibri" w:hAnsi="Calibri" w:cs="Calibri"/>
        </w:rPr>
        <w:fldChar w:fldCharType="end"/>
      </w:r>
      <w:r w:rsidR="009763A8" w:rsidRPr="005C607F">
        <w:rPr>
          <w:rFonts w:ascii="Calibri" w:hAnsi="Calibri" w:cs="Calibri"/>
        </w:rPr>
        <w:t xml:space="preserve"> and previous reports </w:t>
      </w:r>
      <w:r w:rsidR="000F25CF">
        <w:rPr>
          <w:rFonts w:ascii="Calibri" w:hAnsi="Calibri" w:cs="Calibri"/>
        </w:rPr>
        <w:t xml:space="preserve">that </w:t>
      </w:r>
      <w:r w:rsidR="005E2B4E">
        <w:rPr>
          <w:rFonts w:ascii="Calibri" w:hAnsi="Calibri" w:cs="Calibri"/>
        </w:rPr>
        <w:t>analy</w:t>
      </w:r>
      <w:r w:rsidR="000F25CF">
        <w:rPr>
          <w:rFonts w:ascii="Calibri" w:hAnsi="Calibri" w:cs="Calibri"/>
        </w:rPr>
        <w:t>zed</w:t>
      </w:r>
      <w:r w:rsidR="00184537">
        <w:rPr>
          <w:rFonts w:ascii="Calibri" w:hAnsi="Calibri" w:cs="Calibri"/>
        </w:rPr>
        <w:t xml:space="preserve"> </w:t>
      </w:r>
      <w:r w:rsidR="00FE54E0" w:rsidRPr="005C607F">
        <w:rPr>
          <w:rFonts w:ascii="Calibri" w:hAnsi="Calibri" w:cs="Calibri"/>
        </w:rPr>
        <w:t>cholelith</w:t>
      </w:r>
      <w:r w:rsidR="009763A8" w:rsidRPr="005C607F">
        <w:rPr>
          <w:rFonts w:ascii="Calibri" w:hAnsi="Calibri" w:cs="Calibri"/>
        </w:rPr>
        <w:t xml:space="preserve"> </w:t>
      </w:r>
      <w:r w:rsidR="002F022A">
        <w:rPr>
          <w:rFonts w:ascii="Calibri" w:hAnsi="Calibri" w:cs="Calibri"/>
        </w:rPr>
        <w:t>composition</w:t>
      </w:r>
      <w:r w:rsidR="002F022A" w:rsidRPr="005C607F">
        <w:rPr>
          <w:rFonts w:ascii="Calibri" w:hAnsi="Calibri" w:cs="Calibri"/>
        </w:rPr>
        <w:t xml:space="preserve"> </w:t>
      </w:r>
      <w:r w:rsidR="000F25CF">
        <w:rPr>
          <w:rFonts w:ascii="Calibri" w:hAnsi="Calibri" w:cs="Calibri"/>
        </w:rPr>
        <w:t xml:space="preserve">in dogs </w:t>
      </w:r>
      <w:r w:rsidR="009763A8" w:rsidRPr="005C607F">
        <w:rPr>
          <w:rFonts w:ascii="Calibri" w:hAnsi="Calibri" w:cs="Calibri"/>
        </w:rPr>
        <w:t xml:space="preserve">found calcium to be a major component </w:t>
      </w:r>
      <w:r w:rsidR="0082189A" w:rsidRPr="005C607F">
        <w:rPr>
          <w:rFonts w:ascii="Calibri" w:hAnsi="Calibri" w:cs="Calibri"/>
        </w:rPr>
        <w:fldChar w:fldCharType="begin" w:fldLock="1"/>
      </w:r>
      <w:r w:rsidR="00E677A0">
        <w:rPr>
          <w:rFonts w:ascii="Calibri" w:hAnsi="Calibri" w:cs="Calibri"/>
        </w:rPr>
        <w:instrText>ADDIN CSL_CITATION {"citationItems":[{"id":"ITEM-1","itemData":{"ISSN":"0008-5286","abstract":"A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canadienne","id":"ITEM-1","issue":"9","issued":{"date-parts":[["2017","9"]]},"language":"eng","page":"971-973","publisher":"Canadian Veterinary Medical Association","title":"Intrahepatic cholelithiasis in dogs and cats: A case series","type":"article-journal","volume":"58"},"uris":["http://www.mendeley.com/documents/?uuid=752cbfbe-cc88-4e01-9294-a3295e386423"]},{"id":"ITEM-2","itemData":{"DOI":"10.1111/j.1748-5827.2010.01014.x","ISSN":"0022-4510","abstract":"Objective: To report clinical findings and outcome in dogs and cats undergoing choledochotomy or primary repair of extrahepatic biliary duct rupture. Methods: Retrospective study of dogs (n=7) and cats (n=2) that had choledochotomy or primary bile duct repair. Results: Extrahepatic biliary obstruction was confirmed at surgery in all cases. The underlying cause in four dogs and both cats was choledocholithiasis, two dogs had gall bladder mucocoeles with associated bile duct rupture, and one dog had inspissated bile obstructing the bile duct secondary to gall bladder carcinoid tumour. Three dogs and both cats had choledochotomies performed to relieve extrahepatic biliary obstruction, and four dogs with bile duct rupture underwent primary repair of the defect. One dog with a bile duct rupture was re-explored four days postoperatively and had suffered dehiscence of the repair; this rupture was re-repaired. All animals were discharged from the hospital, and did not have clinical recurrence of extrahepatic biliary obstruction. Clinical Significance: Choledochotomy and primary repair of extrahepatic biliary duct rupture were associated with low perioperative morbidity and no mortality in this small cohort of cases. These techniques are reasonable options either alone or in conjunction with other procedures when bile duct patency cannot be re-established by catheterisation or bile duct discontinuity exists.","author":[{"dropping-particle":"","family":"Baker","given":"S G","non-dropping-particle":"","parse-names":false,"suffix":""},{"dropping-particle":"","family":"Mayhew","given":"P D","non-dropping-particle":"","parse-names":false,"suffix":""},{"dropping-particle":"","family":"Mehler","given":"S J","non-dropping-particle":"","parse-names":false,"suffix":""}],"container-title":"Journal of Small Animal Practice","id":"ITEM-2","issue":"1","issued":{"date-parts":[["2011","1","1"]]},"note":"doi: 10.1111/j.1748-5827.2010.01014.x","page":"32-37","publisher":"John Wiley &amp; Sons, Ltd","title":"Choledochotomy and primary repair of extrahepatic biliary duct rupture in seven dogs and two cats","type":"article-journal","volume":"52"},"uris":["http://www.mendeley.com/documents/?uuid=fd5b8ead-5250-4324-ab4d-944d56c19bc2"]}],"mendeley":{"formattedCitation":"(2,21)","plainTextFormattedCitation":"(2,21)","previouslyFormattedCitation":"(2,22)"},"properties":{"noteIndex":0},"schema":"https://github.com/citation-style-language/schema/raw/master/csl-citation.json"}</w:instrText>
      </w:r>
      <w:r w:rsidR="0082189A" w:rsidRPr="005C607F">
        <w:rPr>
          <w:rFonts w:ascii="Calibri" w:hAnsi="Calibri" w:cs="Calibri"/>
        </w:rPr>
        <w:fldChar w:fldCharType="separate"/>
      </w:r>
      <w:r w:rsidR="00E677A0" w:rsidRPr="00E677A0">
        <w:rPr>
          <w:rFonts w:ascii="Calibri" w:hAnsi="Calibri" w:cs="Calibri"/>
          <w:noProof/>
        </w:rPr>
        <w:t>(2,21)</w:t>
      </w:r>
      <w:r w:rsidR="0082189A" w:rsidRPr="005C607F">
        <w:rPr>
          <w:rFonts w:ascii="Calibri" w:hAnsi="Calibri" w:cs="Calibri"/>
        </w:rPr>
        <w:fldChar w:fldCharType="end"/>
      </w:r>
      <w:r w:rsidR="004D7365" w:rsidRPr="005C607F">
        <w:rPr>
          <w:rFonts w:ascii="Calibri" w:hAnsi="Calibri" w:cs="Calibri"/>
        </w:rPr>
        <w:t xml:space="preserve">. </w:t>
      </w:r>
      <w:r w:rsidR="000F25CF">
        <w:rPr>
          <w:rFonts w:ascii="Calibri" w:hAnsi="Calibri" w:cs="Calibri"/>
        </w:rPr>
        <w:t>Although</w:t>
      </w:r>
      <w:r w:rsidR="000F25CF" w:rsidRPr="005C607F">
        <w:rPr>
          <w:rFonts w:ascii="Calibri" w:hAnsi="Calibri" w:cs="Calibri"/>
        </w:rPr>
        <w:t xml:space="preserve"> </w:t>
      </w:r>
      <w:r w:rsidR="00DA363E" w:rsidRPr="005C607F">
        <w:rPr>
          <w:rFonts w:ascii="Calibri" w:hAnsi="Calibri" w:cs="Calibri"/>
        </w:rPr>
        <w:t xml:space="preserve">debate </w:t>
      </w:r>
      <w:r w:rsidR="000F25CF">
        <w:rPr>
          <w:rFonts w:ascii="Calibri" w:hAnsi="Calibri" w:cs="Calibri"/>
        </w:rPr>
        <w:t xml:space="preserve">exists </w:t>
      </w:r>
      <w:r w:rsidR="00DA363E" w:rsidRPr="005C607F">
        <w:rPr>
          <w:rFonts w:ascii="Calibri" w:hAnsi="Calibri" w:cs="Calibri"/>
        </w:rPr>
        <w:t xml:space="preserve">as to whether an association between hyperparathyroidism and cholelithiasis </w:t>
      </w:r>
      <w:r w:rsidR="000F25CF">
        <w:rPr>
          <w:rFonts w:ascii="Calibri" w:hAnsi="Calibri" w:cs="Calibri"/>
        </w:rPr>
        <w:t>occurs</w:t>
      </w:r>
      <w:r w:rsidR="000F25CF" w:rsidRPr="005C607F">
        <w:rPr>
          <w:rFonts w:ascii="Calibri" w:hAnsi="Calibri" w:cs="Calibri"/>
        </w:rPr>
        <w:t xml:space="preserve"> </w:t>
      </w:r>
      <w:r w:rsidR="00DA363E" w:rsidRPr="005C607F">
        <w:rPr>
          <w:rFonts w:ascii="Calibri" w:hAnsi="Calibri" w:cs="Calibri"/>
        </w:rPr>
        <w:t>in huma</w:t>
      </w:r>
      <w:r w:rsidR="000F25CF">
        <w:rPr>
          <w:rFonts w:ascii="Calibri" w:hAnsi="Calibri" w:cs="Calibri"/>
        </w:rPr>
        <w:t>ns</w:t>
      </w:r>
      <w:r w:rsidR="00DA363E" w:rsidRPr="005C607F">
        <w:rPr>
          <w:rFonts w:ascii="Calibri" w:hAnsi="Calibri" w:cs="Calibri"/>
        </w:rPr>
        <w:t xml:space="preserve">, </w:t>
      </w:r>
      <w:r w:rsidR="000F25CF">
        <w:rPr>
          <w:rFonts w:ascii="Calibri" w:hAnsi="Calibri" w:cs="Calibri"/>
        </w:rPr>
        <w:t>3</w:t>
      </w:r>
      <w:r w:rsidR="000F25CF" w:rsidRPr="005C607F">
        <w:rPr>
          <w:rFonts w:ascii="Calibri" w:hAnsi="Calibri" w:cs="Calibri"/>
        </w:rPr>
        <w:t xml:space="preserve"> </w:t>
      </w:r>
      <w:r w:rsidR="00DA363E" w:rsidRPr="005C607F">
        <w:rPr>
          <w:rFonts w:ascii="Calibri" w:hAnsi="Calibri" w:cs="Calibri"/>
        </w:rPr>
        <w:t xml:space="preserve">studies have reported </w:t>
      </w:r>
      <w:r w:rsidR="000F25CF">
        <w:rPr>
          <w:rFonts w:ascii="Calibri" w:hAnsi="Calibri" w:cs="Calibri"/>
        </w:rPr>
        <w:t xml:space="preserve">an </w:t>
      </w:r>
      <w:r w:rsidR="00DA363E" w:rsidRPr="005C607F">
        <w:rPr>
          <w:rFonts w:ascii="Calibri" w:hAnsi="Calibri" w:cs="Calibri"/>
        </w:rPr>
        <w:t xml:space="preserve">increased incidence of hyperparathyroidism </w:t>
      </w:r>
      <w:r w:rsidR="001724B5" w:rsidRPr="005C607F">
        <w:rPr>
          <w:rFonts w:ascii="Calibri" w:hAnsi="Calibri" w:cs="Calibri"/>
        </w:rPr>
        <w:fldChar w:fldCharType="begin" w:fldLock="1"/>
      </w:r>
      <w:r w:rsidR="00E677A0">
        <w:rPr>
          <w:rFonts w:ascii="Calibri" w:hAnsi="Calibri" w:cs="Calibri"/>
        </w:rPr>
        <w:instrText>ADDIN CSL_CITATION {"citationItems":[{"id":"ITEM-1","itemData":{"DOI":"10.2169/internalmedicine.44.917","author":[{"dropping-particle":"","family":"Broulik","given":"Petr Don","non-dropping-particle":"","parse-names":false,"suffix":""},{"dropping-particle":"","family":"Haas","given":"Tomas","non-dropping-particle":"","parse-names":false,"suffix":""},{"dropping-particle":"","family":"Adámek","given":"Svaiopiak","non-dropping-particle":"","parse-names":false,"suffix":""}],"container-title":"Internal Medicine","id":"ITEM-1","issue":"9","issued":{"date-parts":[["2005"]]},"page":"917-921","title":"Analysis of 645 Patients with Primary Hyperparathyroidism with Special References to Cholelithiasis","type":"article-journal","volume":"44"},"uris":["http://www.mendeley.com/documents/?uuid=d8916426-5da4-4823-8197-d0402782a893"]},{"id":"ITEM-2","itemData":{"DOI":"10.1007/s12664-011-0101-0","ISSN":"0975-0711","author":[{"dropping-particle":"","family":"Bhadada","given":"Sanjay Kumar","non-dropping-particle":"","parse-names":false,"suffix":""},{"dropping-particle":"","family":"Bhansali","given":"Anil","non-dropping-particle":"","parse-names":false,"suffix":""},{"dropping-particle":"","family":"Shah","given":"Viral N","non-dropping-particle":"","parse-names":false,"suffix":""},{"dropping-particle":"","family":"Behera","given":"A","non-dropping-particle":"","parse-names":false,"suffix":""},{"dropping-particle":"","family":"Ravikiran","given":"M","non-dropping-particle":"","parse-names":false,"suffix":""},{"dropping-particle":"","family":"Santosh","given":"R","non-dropping-particle":"","parse-names":false,"suffix":""}],"container-title":"Indian  Journal of Gastroenterology","id":"ITEM-2","issue":"2","issued":{"date-parts":[["2011"]]},"page":"100-101","title":"High prevalence of cholelithiasis in primary hyperparathyroidism: a retrospective analysis of 120 cases","type":"article-journal","volume":"30"},"uris":["http://www.mendeley.com/documents/?uuid=402ceaf8-b805-471d-81d1-27edfc86e156"]},{"id":"ITEM-3","itemData":{"DOI":"https://doi.org/10.1016/j.amjsurg.2019.10.010","ISSN":"0002-9610","abstract":"Background Porcelain gallbladder is characterized by calcification of the gallbladder wall, possibly associated chronic inflammation from cholelithiasis. It is unknown whether porcelain gallbladder is associated with higher rates of hypercalcemia and/or hyperparathyroidism compared to cholelithiasis without porcelain gallbladder. Methods We searched our patient database for patients with porcelain gallbladder on imaging and patients with cholelithiasis without porcelain gallbladder. We collected data on patient age, gender, calcium levels, parathyroid hormone (PTH) levels, and medications/comorbidities known to cause hypercalcemia. Results 1000 patients within our database had porcelain gallbladder on imaging. Of these, 661 (245 male) had at least one serum calcium value for analysis. These patients were matched by age and gender with 6610 patients with cholelithiasis who had at least one serum calcium value. Rates of recurrent/persistent hypercalcemia were higher among patients with porcelain gallbladder at 16.8% versus 11.1% (p &lt; 0.01). Rates of hyperparathyroidism were also higher among porcelain gallbladder patients at 12% versus 7.5% (p &lt; 0.01). Conclusion Patients with porcelain gallbladder show higher rates of hypercalcemia and hyperparathyroidism than patients with cholelithiasis alone.","author":[{"dropping-particle":"","family":"Berger","given":"Megan","non-dropping-particle":"","parse-names":false,"suffix":""},{"dropping-particle":"","family":"Dy","given":"Benzon","non-dropping-particle":"","parse-names":false,"suffix":""},{"dropping-particle":"","family":"McKenzie","given":"Travis","non-dropping-particle":"","parse-names":false,"suffix":""},{"dropping-particle":"","family":"Thompson","given":"Geoffrey","non-dropping-particle":"","parse-names":false,"suffix":""},{"dropping-particle":"","family":"Wermers","given":"Robert","non-dropping-particle":"","parse-names":false,"suffix":""},{"dropping-particle":"","family":"Lyden","given":"Melanie","non-dropping-particle":"","parse-names":false,"suffix":""}],"container-title":"The American Journal of Surgery","id":"ITEM-3","issue":"1","issued":{"date-parts":[["2020"]]},"page":"127-131","title":"Rates of hypercalcemia and hyperparathyroidism among patients with porcelain gallbladder","type":"article-journal","volume":"220"},"uris":["http://www.mendeley.com/documents/?uuid=d422955a-6538-408d-b823-0330f82c78d6"]}],"mendeley":{"formattedCitation":"(20,22,23)","plainTextFormattedCitation":"(20,22,23)","previouslyFormattedCitation":"(21,23,24)"},"properties":{"noteIndex":0},"schema":"https://github.com/citation-style-language/schema/raw/master/csl-citation.json"}</w:instrText>
      </w:r>
      <w:r w:rsidR="001724B5" w:rsidRPr="005C607F">
        <w:rPr>
          <w:rFonts w:ascii="Calibri" w:hAnsi="Calibri" w:cs="Calibri"/>
        </w:rPr>
        <w:fldChar w:fldCharType="separate"/>
      </w:r>
      <w:r w:rsidR="00E677A0" w:rsidRPr="00E677A0">
        <w:rPr>
          <w:rFonts w:ascii="Calibri" w:hAnsi="Calibri" w:cs="Calibri"/>
          <w:noProof/>
        </w:rPr>
        <w:t>(20,22,23)</w:t>
      </w:r>
      <w:r w:rsidR="001724B5" w:rsidRPr="005C607F">
        <w:rPr>
          <w:rFonts w:ascii="Calibri" w:hAnsi="Calibri" w:cs="Calibri"/>
        </w:rPr>
        <w:fldChar w:fldCharType="end"/>
      </w:r>
      <w:r w:rsidR="00E941E4" w:rsidRPr="005C607F">
        <w:rPr>
          <w:rFonts w:ascii="Calibri" w:hAnsi="Calibri" w:cs="Calibri"/>
        </w:rPr>
        <w:t xml:space="preserve">, </w:t>
      </w:r>
      <w:r w:rsidR="000F25CF">
        <w:rPr>
          <w:rFonts w:ascii="Calibri" w:hAnsi="Calibri" w:cs="Calibri"/>
        </w:rPr>
        <w:t>but</w:t>
      </w:r>
      <w:r w:rsidR="000F25CF" w:rsidRPr="005C607F">
        <w:rPr>
          <w:rFonts w:ascii="Calibri" w:hAnsi="Calibri" w:cs="Calibri"/>
        </w:rPr>
        <w:t xml:space="preserve"> </w:t>
      </w:r>
      <w:r w:rsidR="002A444C">
        <w:rPr>
          <w:rFonts w:ascii="Calibri" w:hAnsi="Calibri" w:cs="Calibri"/>
        </w:rPr>
        <w:t>this relationship has not been investigated</w:t>
      </w:r>
      <w:r w:rsidR="00E941E4" w:rsidRPr="005C607F">
        <w:rPr>
          <w:rFonts w:ascii="Calibri" w:hAnsi="Calibri" w:cs="Calibri"/>
        </w:rPr>
        <w:t xml:space="preserve"> </w:t>
      </w:r>
      <w:r w:rsidR="00D872A9">
        <w:rPr>
          <w:rFonts w:ascii="Calibri" w:hAnsi="Calibri" w:cs="Calibri"/>
        </w:rPr>
        <w:t>in dogs</w:t>
      </w:r>
      <w:r w:rsidR="00E941E4" w:rsidRPr="005C607F">
        <w:rPr>
          <w:rFonts w:ascii="Calibri" w:hAnsi="Calibri" w:cs="Calibri"/>
        </w:rPr>
        <w:t>.</w:t>
      </w:r>
      <w:r w:rsidR="008C3382" w:rsidRPr="005C607F">
        <w:rPr>
          <w:rFonts w:ascii="Calibri" w:hAnsi="Calibri" w:cs="Calibri"/>
        </w:rPr>
        <w:t xml:space="preserve"> </w:t>
      </w:r>
      <w:r w:rsidR="00DB591E">
        <w:rPr>
          <w:rFonts w:ascii="Calibri" w:hAnsi="Calibri" w:cs="Calibri"/>
        </w:rPr>
        <w:t>H</w:t>
      </w:r>
      <w:r w:rsidR="00184537">
        <w:rPr>
          <w:rFonts w:ascii="Calibri" w:hAnsi="Calibri" w:cs="Calibri"/>
        </w:rPr>
        <w:t>ypercholesterolemia</w:t>
      </w:r>
      <w:r w:rsidRPr="005C607F">
        <w:rPr>
          <w:rFonts w:ascii="Calibri" w:hAnsi="Calibri" w:cs="Calibri"/>
        </w:rPr>
        <w:t xml:space="preserve"> associated with </w:t>
      </w:r>
      <w:r w:rsidR="007A5229">
        <w:rPr>
          <w:rFonts w:ascii="Calibri" w:hAnsi="Calibri" w:cs="Calibri"/>
        </w:rPr>
        <w:t>endocrin</w:t>
      </w:r>
      <w:r w:rsidR="00B52DF9">
        <w:rPr>
          <w:rFonts w:ascii="Calibri" w:hAnsi="Calibri" w:cs="Calibri"/>
        </w:rPr>
        <w:t>opathies</w:t>
      </w:r>
      <w:r w:rsidRPr="005C607F">
        <w:rPr>
          <w:rFonts w:ascii="Calibri" w:hAnsi="Calibri" w:cs="Calibri"/>
        </w:rPr>
        <w:t xml:space="preserve"> </w:t>
      </w:r>
      <w:r w:rsidR="00FF5043" w:rsidRPr="005C607F">
        <w:rPr>
          <w:rFonts w:ascii="Calibri" w:hAnsi="Calibri" w:cs="Calibri"/>
        </w:rPr>
        <w:t>such as hyperadrenocorticism</w:t>
      </w:r>
      <w:r w:rsidR="004F3243">
        <w:rPr>
          <w:rFonts w:ascii="Calibri" w:hAnsi="Calibri" w:cs="Calibri"/>
        </w:rPr>
        <w:t xml:space="preserve"> or </w:t>
      </w:r>
      <w:r w:rsidR="00FF5043" w:rsidRPr="005C607F">
        <w:rPr>
          <w:rFonts w:ascii="Calibri" w:hAnsi="Calibri" w:cs="Calibri"/>
        </w:rPr>
        <w:t xml:space="preserve">hypothyroidism </w:t>
      </w:r>
      <w:r w:rsidR="00377F3C" w:rsidRPr="005C607F">
        <w:rPr>
          <w:rFonts w:ascii="Calibri" w:hAnsi="Calibri" w:cs="Calibri"/>
        </w:rPr>
        <w:t xml:space="preserve">could </w:t>
      </w:r>
      <w:r w:rsidR="00FF5043" w:rsidRPr="005C607F">
        <w:rPr>
          <w:rFonts w:ascii="Calibri" w:hAnsi="Calibri" w:cs="Calibri"/>
        </w:rPr>
        <w:t xml:space="preserve">have </w:t>
      </w:r>
      <w:r w:rsidRPr="005C607F">
        <w:rPr>
          <w:rFonts w:ascii="Calibri" w:hAnsi="Calibri" w:cs="Calibri"/>
        </w:rPr>
        <w:t>predispose</w:t>
      </w:r>
      <w:r w:rsidR="00FF5043" w:rsidRPr="005C607F">
        <w:rPr>
          <w:rFonts w:ascii="Calibri" w:hAnsi="Calibri" w:cs="Calibri"/>
        </w:rPr>
        <w:t xml:space="preserve">d </w:t>
      </w:r>
      <w:r w:rsidRPr="005C607F">
        <w:rPr>
          <w:rFonts w:ascii="Calibri" w:hAnsi="Calibri" w:cs="Calibri"/>
        </w:rPr>
        <w:t xml:space="preserve">dogs </w:t>
      </w:r>
      <w:r w:rsidR="00FF5043" w:rsidRPr="005C607F">
        <w:rPr>
          <w:rFonts w:ascii="Calibri" w:hAnsi="Calibri" w:cs="Calibri"/>
        </w:rPr>
        <w:t xml:space="preserve">in our study </w:t>
      </w:r>
      <w:r w:rsidRPr="005C607F">
        <w:rPr>
          <w:rFonts w:ascii="Calibri" w:hAnsi="Calibri" w:cs="Calibri"/>
        </w:rPr>
        <w:t>to develop cholelithiasis</w:t>
      </w:r>
      <w:r w:rsidR="007A3F69">
        <w:rPr>
          <w:rFonts w:ascii="Calibri" w:hAnsi="Calibri" w:cs="Calibri"/>
        </w:rPr>
        <w:t xml:space="preserve">, </w:t>
      </w:r>
      <w:r w:rsidR="007A5229">
        <w:rPr>
          <w:rFonts w:ascii="Calibri" w:hAnsi="Calibri" w:cs="Calibri"/>
        </w:rPr>
        <w:t>given that</w:t>
      </w:r>
      <w:r w:rsidR="00FF5043" w:rsidRPr="005C607F">
        <w:rPr>
          <w:rFonts w:ascii="Calibri" w:hAnsi="Calibri" w:cs="Calibri"/>
        </w:rPr>
        <w:t xml:space="preserve"> </w:t>
      </w:r>
      <w:r w:rsidR="007A3F69">
        <w:rPr>
          <w:rFonts w:ascii="Calibri" w:hAnsi="Calibri" w:cs="Calibri"/>
        </w:rPr>
        <w:t>h</w:t>
      </w:r>
      <w:r w:rsidR="00B24AB2" w:rsidRPr="005C607F">
        <w:rPr>
          <w:rFonts w:ascii="Calibri" w:hAnsi="Calibri" w:cs="Calibri"/>
        </w:rPr>
        <w:t>yper</w:t>
      </w:r>
      <w:r w:rsidR="003D7BAE">
        <w:rPr>
          <w:rFonts w:ascii="Calibri" w:hAnsi="Calibri" w:cs="Calibri"/>
        </w:rPr>
        <w:t>lip</w:t>
      </w:r>
      <w:r w:rsidR="00B24AB2" w:rsidRPr="005C607F">
        <w:rPr>
          <w:rFonts w:ascii="Calibri" w:hAnsi="Calibri" w:cs="Calibri"/>
        </w:rPr>
        <w:t>idaemia</w:t>
      </w:r>
      <w:r w:rsidR="00D02214">
        <w:rPr>
          <w:rFonts w:ascii="Calibri" w:hAnsi="Calibri" w:cs="Calibri"/>
        </w:rPr>
        <w:t>, hypothyroidism and hyperadrenocorticism</w:t>
      </w:r>
      <w:r w:rsidR="00B24AB2" w:rsidRPr="005C607F">
        <w:rPr>
          <w:rFonts w:ascii="Calibri" w:hAnsi="Calibri" w:cs="Calibri"/>
        </w:rPr>
        <w:t xml:space="preserve"> have been </w:t>
      </w:r>
      <w:r w:rsidR="00710908">
        <w:rPr>
          <w:rFonts w:ascii="Calibri" w:hAnsi="Calibri" w:cs="Calibri"/>
        </w:rPr>
        <w:t>found in some studies</w:t>
      </w:r>
      <w:r w:rsidR="00710908" w:rsidRPr="005C607F">
        <w:rPr>
          <w:rFonts w:ascii="Calibri" w:hAnsi="Calibri" w:cs="Calibri"/>
        </w:rPr>
        <w:t xml:space="preserve"> </w:t>
      </w:r>
      <w:r w:rsidR="00B24AB2" w:rsidRPr="005C607F">
        <w:rPr>
          <w:rFonts w:ascii="Calibri" w:hAnsi="Calibri" w:cs="Calibri"/>
        </w:rPr>
        <w:t xml:space="preserve">to be associated with </w:t>
      </w:r>
      <w:r w:rsidR="00DB591E">
        <w:rPr>
          <w:rFonts w:ascii="Calibri" w:hAnsi="Calibri" w:cs="Calibri"/>
        </w:rPr>
        <w:t xml:space="preserve">the </w:t>
      </w:r>
      <w:r w:rsidR="0059250C" w:rsidRPr="005C607F">
        <w:rPr>
          <w:rFonts w:ascii="Calibri" w:hAnsi="Calibri" w:cs="Calibri"/>
        </w:rPr>
        <w:t xml:space="preserve">presence of </w:t>
      </w:r>
      <w:r w:rsidR="00B24AB2" w:rsidRPr="005C607F">
        <w:rPr>
          <w:rFonts w:ascii="Calibri" w:hAnsi="Calibri" w:cs="Calibri"/>
        </w:rPr>
        <w:t>gallbladder mucocele</w:t>
      </w:r>
      <w:r w:rsidR="0059250C" w:rsidRPr="005C607F">
        <w:rPr>
          <w:rFonts w:ascii="Calibri" w:hAnsi="Calibri" w:cs="Calibri"/>
        </w:rPr>
        <w:t>s</w:t>
      </w:r>
      <w:r w:rsidR="006C2112">
        <w:rPr>
          <w:rFonts w:ascii="Calibri" w:hAnsi="Calibri" w:cs="Calibri"/>
        </w:rPr>
        <w:t xml:space="preserve"> </w:t>
      </w:r>
      <w:r w:rsidR="00B24AB2" w:rsidRPr="005C607F">
        <w:rPr>
          <w:rFonts w:ascii="Calibri" w:hAnsi="Calibri" w:cs="Calibri"/>
        </w:rPr>
        <w:fldChar w:fldCharType="begin" w:fldLock="1"/>
      </w:r>
      <w:r w:rsidR="00E677A0">
        <w:rPr>
          <w:rFonts w:ascii="Calibri" w:hAnsi="Calibri" w:cs="Calibri"/>
        </w:rPr>
        <w:instrText>ADDIN CSL_CITATION {"citationItems":[{"id":"ITEM-1","itemData":{"DOI":"10.1016/j.tvjl.2013.10.019","author":[{"dropping-particle":"","family":"Kutsunai","given":"M","non-dropping-particle":"","parse-names":false,"suffix":""},{"dropping-particle":"","family":"Kanemoto","given":"H","non-dropping-particle":"","parse-names":false,"suffix":""},{"dropping-particle":"","family":"Fukushima","given":"K","non-dropping-particle":"","parse-names":false,"suffix":""},{"dropping-particle":"","family":"Fujino","given":"Y","non-dropping-particle":"","parse-names":false,"suffix":""},{"dropping-particle":"","family":"Ohno","given":"K","non-dropping-particle":"","parse-names":false,"suffix":""},{"dropping-particle":"","family":"Tsujimoto","given":"H","non-dropping-particle":"","parse-names":false,"suffix":""}],"container-title":"Veterinary Journal","id":"ITEM-1","issue":"1","issued":{"date-parts":[["2014"]]},"note":"Cited By :37\n\nExport Date: 1 December 2020","page":"76-79","title":"The association between gall bladder mucoceles and hyperlipidaemia in dogs: A retrospective case control study","type":"article-journal","volume":"199"},"uris":["http://www.mendeley.com/documents/?uuid=af58f084-388f-4c9f-b46d-24389e5ea61f"]},{"id":"ITEM-2","itemData":{"DOI":"https://doi.org/10.1111/j.1748-5827.2009.00811.x","ISSN":"0022-4510","abstract":"Objective: To investigate the relationship between endocrinopathies and diagnosis of gall bladder mucocele in dogs via a retrospective case-control study. Methods: Records of 78 dogs with a surgical or ultrasonographic diagnosis of gall bladder mucocele were examined for the presence or absence of hyperadrenocorticism, hypothyroidism and diabetes mellitus. Two age- and breed-matched controls for each gall bladder mucocele dog (156 total control dogs) were examined for the same concurrent diseases. A matched case-control analysis was performed using conditional logistic regression. Results: The odds of mucocele in dogs with hyperadrenocorticism were 29 times that of dogs without hyperadrenocorticism (P=0·001; 95 per cent CI 3·8, 219·9). No difference was found between dogs with and without diabetes mellitus. Although a significant association was found between gall bladder mucocele and hypothyroidism, potential observation bias was also identifi ed. Clinical Significance: Hyperadrenocorticoid dogs that were presented for acute illness with laboratory evidence of hepatobiliary disease should undergo evaluation for the presence of a biliary mucocele. Dogs diagnosed with a gall bladder mucocele should be screened for concurrent hyperadrenocorticism if clinical suspicion exists.","author":[{"dropping-particle":"","family":"Mesich","given":"M L L","non-dropping-particle":"","parse-names":false,"suffix":""},{"dropping-particle":"","family":"Mayhew","given":"P D","non-dropping-particle":"","parse-names":false,"suffix":""},{"dropping-particle":"","family":"Paek","given":"M","non-dropping-particle":"","parse-names":false,"suffix":""},{"dropping-particle":"","family":"Holt","given":"D E","non-dropping-particle":"","parse-names":false,"suffix":""},{"dropping-particle":"","family":"Brown","given":"D C","non-dropping-particle":"","parse-names":false,"suffix":""}],"container-title":"Journal of Small Animal Practice","id":"ITEM-2","issue":"12","issued":{"date-parts":[["2009","12","1"]]},"note":"https://doi.org/10.1111/j.1748-5827.2009.00811.x","page":"630-635","publisher":"John Wiley &amp; Sons, Ltd","title":"Gall bladder mucoceles and their association with endocrinopathies in dogs: a retrospective case-control study","type":"article-journal","volume":"50"},"uris":["http://www.mendeley.com/documents/?uuid=26f6daa8-529d-4336-a633-e974078baa7f"]}],"mendeley":{"formattedCitation":"(24,25)","plainTextFormattedCitation":"(24,25)","previouslyFormattedCitation":"(25,26)"},"properties":{"noteIndex":0},"schema":"https://github.com/citation-style-language/schema/raw/master/csl-citation.json"}</w:instrText>
      </w:r>
      <w:r w:rsidR="00B24AB2" w:rsidRPr="005C607F">
        <w:rPr>
          <w:rFonts w:ascii="Calibri" w:hAnsi="Calibri" w:cs="Calibri"/>
        </w:rPr>
        <w:fldChar w:fldCharType="separate"/>
      </w:r>
      <w:r w:rsidR="00E677A0" w:rsidRPr="00E677A0">
        <w:rPr>
          <w:rFonts w:ascii="Calibri" w:hAnsi="Calibri" w:cs="Calibri"/>
          <w:noProof/>
        </w:rPr>
        <w:t>(24,25)</w:t>
      </w:r>
      <w:r w:rsidR="00B24AB2" w:rsidRPr="005C607F">
        <w:rPr>
          <w:rFonts w:ascii="Calibri" w:hAnsi="Calibri" w:cs="Calibri"/>
        </w:rPr>
        <w:fldChar w:fldCharType="end"/>
      </w:r>
      <w:r w:rsidR="00680416" w:rsidRPr="005C607F">
        <w:rPr>
          <w:rFonts w:ascii="Calibri" w:hAnsi="Calibri" w:cs="Calibri"/>
        </w:rPr>
        <w:t>.</w:t>
      </w:r>
      <w:r w:rsidR="003002CA" w:rsidRPr="00BA27A3">
        <w:rPr>
          <w:rFonts w:ascii="Calibri" w:hAnsi="Calibri" w:cs="Calibri"/>
        </w:rPr>
        <w:t xml:space="preserve">  </w:t>
      </w:r>
      <w:r w:rsidR="00C73F3E" w:rsidRPr="005C607F">
        <w:rPr>
          <w:rFonts w:ascii="Calibri" w:hAnsi="Calibri" w:cs="Calibri"/>
        </w:rPr>
        <w:t>Given the well-known associations between endocrinopathies and gallbladder dysfunction</w:t>
      </w:r>
      <w:r w:rsidR="004F3243">
        <w:rPr>
          <w:rFonts w:ascii="Calibri" w:hAnsi="Calibri" w:cs="Calibri"/>
        </w:rPr>
        <w:t xml:space="preserve"> </w:t>
      </w:r>
      <w:r w:rsidR="004F3243">
        <w:rPr>
          <w:rFonts w:ascii="Calibri" w:hAnsi="Calibri" w:cs="Calibri"/>
        </w:rPr>
        <w:fldChar w:fldCharType="begin" w:fldLock="1"/>
      </w:r>
      <w:r w:rsidR="00E677A0">
        <w:rPr>
          <w:rFonts w:ascii="Calibri" w:hAnsi="Calibri" w:cs="Calibri"/>
        </w:rPr>
        <w:instrText>ADDIN CSL_CITATION {"citationItems":[{"id":"ITEM-1","itemData":{"DOI":"https://doi.org/10.1111/j.1748-5827.2009.00811.x","ISSN":"0022-4510","abstract":"Objective: To investigate the relationship between endocrinopathies and diagnosis of gall bladder mucocele in dogs via a retrospective case-control study. Methods: Records of 78 dogs with a surgical or ultrasonographic diagnosis of gall bladder mucocele were examined for the presence or absence of hyperadrenocorticism, hypothyroidism and diabetes mellitus. Two age- and breed-matched controls for each gall bladder mucocele dog (156 total control dogs) were examined for the same concurrent diseases. A matched case-control analysis was performed using conditional logistic regression. Results: The odds of mucocele in dogs with hyperadrenocorticism were 29 times that of dogs without hyperadrenocorticism (P=0·001; 95 per cent CI 3·8, 219·9). No difference was found between dogs with and without diabetes mellitus. Although a significant association was found between gall bladder mucocele and hypothyroidism, potential observation bias was also identifi ed. Clinical Significance: Hyperadrenocorticoid dogs that were presented for acute illness with laboratory evidence of hepatobiliary disease should undergo evaluation for the presence of a biliary mucocele. Dogs diagnosed with a gall bladder mucocele should be screened for concurrent hyperadrenocorticism if clinical suspicion exists.","author":[{"dropping-particle":"","family":"Mesich","given":"M L L","non-dropping-particle":"","parse-names":false,"suffix":""},{"dropping-particle":"","family":"Mayhew","given":"P D","non-dropping-particle":"","parse-names":false,"suffix":""},{"dropping-particle":"","family":"Paek","given":"M","non-dropping-particle":"","parse-names":false,"suffix":""},{"dropping-particle":"","family":"Holt","given":"D E","non-dropping-particle":"","parse-names":false,"suffix":""},{"dropping-particle":"","family":"Brown","given":"D C","non-dropping-particle":"","parse-names":false,"suffix":""}],"container-title":"Journal of Small Animal Practice","id":"ITEM-1","issue":"12","issued":{"date-parts":[["2009","12","1"]]},"note":"https://doi.org/10.1111/j.1748-5827.2009.00811.x","page":"630-635","publisher":"John Wiley &amp; Sons, Ltd","title":"Gall bladder mucoceles and their association with endocrinopathies in dogs: a retrospective case-control study","type":"article-journal","volume":"50"},"uris":["http://www.mendeley.com/documents/?uuid=26f6daa8-529d-4336-a633-e974078baa7f"]}],"mendeley":{"formattedCitation":"(25)","plainTextFormattedCitation":"(25)","previouslyFormattedCitation":"(26)"},"properties":{"noteIndex":0},"schema":"https://github.com/citation-style-language/schema/raw/master/csl-citation.json"}</w:instrText>
      </w:r>
      <w:r w:rsidR="004F3243">
        <w:rPr>
          <w:rFonts w:ascii="Calibri" w:hAnsi="Calibri" w:cs="Calibri"/>
        </w:rPr>
        <w:fldChar w:fldCharType="separate"/>
      </w:r>
      <w:r w:rsidR="00E677A0" w:rsidRPr="00E677A0">
        <w:rPr>
          <w:rFonts w:ascii="Calibri" w:hAnsi="Calibri" w:cs="Calibri"/>
          <w:noProof/>
        </w:rPr>
        <w:t>(25)</w:t>
      </w:r>
      <w:r w:rsidR="004F3243">
        <w:rPr>
          <w:rFonts w:ascii="Calibri" w:hAnsi="Calibri" w:cs="Calibri"/>
        </w:rPr>
        <w:fldChar w:fldCharType="end"/>
      </w:r>
      <w:r w:rsidR="00C73F3E" w:rsidRPr="005C607F">
        <w:rPr>
          <w:rFonts w:ascii="Calibri" w:hAnsi="Calibri" w:cs="Calibri"/>
        </w:rPr>
        <w:t xml:space="preserve">, </w:t>
      </w:r>
      <w:r w:rsidR="00DB591E">
        <w:rPr>
          <w:rFonts w:ascii="Calibri" w:hAnsi="Calibri" w:cs="Calibri"/>
        </w:rPr>
        <w:t>we</w:t>
      </w:r>
      <w:r w:rsidR="00FF5043" w:rsidRPr="005C607F">
        <w:rPr>
          <w:rFonts w:ascii="Calibri" w:hAnsi="Calibri" w:cs="Calibri"/>
        </w:rPr>
        <w:t xml:space="preserve"> recommend </w:t>
      </w:r>
      <w:r w:rsidR="00DB591E">
        <w:rPr>
          <w:rFonts w:ascii="Calibri" w:hAnsi="Calibri" w:cs="Calibri"/>
        </w:rPr>
        <w:t xml:space="preserve">that </w:t>
      </w:r>
      <w:r w:rsidR="00FF5043" w:rsidRPr="005C607F">
        <w:rPr>
          <w:rFonts w:ascii="Calibri" w:hAnsi="Calibri" w:cs="Calibri"/>
        </w:rPr>
        <w:t>f</w:t>
      </w:r>
      <w:r w:rsidRPr="005C607F">
        <w:rPr>
          <w:rFonts w:ascii="Calibri" w:hAnsi="Calibri" w:cs="Calibri"/>
        </w:rPr>
        <w:t xml:space="preserve">uture research be performed to investigate </w:t>
      </w:r>
      <w:r w:rsidR="00FF5043" w:rsidRPr="005C607F">
        <w:rPr>
          <w:rFonts w:ascii="Calibri" w:hAnsi="Calibri" w:cs="Calibri"/>
        </w:rPr>
        <w:t xml:space="preserve">incidence rates of cholelithiasis </w:t>
      </w:r>
      <w:r w:rsidR="00DB0491" w:rsidRPr="005C607F">
        <w:rPr>
          <w:rFonts w:ascii="Calibri" w:hAnsi="Calibri" w:cs="Calibri"/>
        </w:rPr>
        <w:t xml:space="preserve">in dogs </w:t>
      </w:r>
      <w:r w:rsidR="00FF5043" w:rsidRPr="005C607F">
        <w:rPr>
          <w:rFonts w:ascii="Calibri" w:hAnsi="Calibri" w:cs="Calibri"/>
        </w:rPr>
        <w:t xml:space="preserve">with concurrent metabolic </w:t>
      </w:r>
      <w:r w:rsidR="00E10974">
        <w:rPr>
          <w:rFonts w:ascii="Calibri" w:hAnsi="Calibri" w:cs="Calibri"/>
        </w:rPr>
        <w:t xml:space="preserve">and endocrine </w:t>
      </w:r>
      <w:r w:rsidR="00FF5043" w:rsidRPr="005C607F">
        <w:rPr>
          <w:rFonts w:ascii="Calibri" w:hAnsi="Calibri" w:cs="Calibri"/>
        </w:rPr>
        <w:t>disease</w:t>
      </w:r>
      <w:r w:rsidR="00E10974">
        <w:rPr>
          <w:rFonts w:ascii="Calibri" w:hAnsi="Calibri" w:cs="Calibri"/>
        </w:rPr>
        <w:t>s</w:t>
      </w:r>
      <w:r w:rsidRPr="005C607F">
        <w:rPr>
          <w:rFonts w:ascii="Calibri" w:hAnsi="Calibri" w:cs="Calibri"/>
        </w:rPr>
        <w:t xml:space="preserve">. </w:t>
      </w:r>
    </w:p>
    <w:p w14:paraId="1F27811B" w14:textId="42D0CC06" w:rsidR="008F7BE6" w:rsidRDefault="008F7BE6" w:rsidP="00867264">
      <w:pPr>
        <w:spacing w:line="480" w:lineRule="auto"/>
        <w:jc w:val="both"/>
        <w:rPr>
          <w:rFonts w:ascii="Calibri" w:hAnsi="Calibri" w:cs="Calibri"/>
        </w:rPr>
      </w:pPr>
    </w:p>
    <w:p w14:paraId="02711C8F" w14:textId="10F83A08" w:rsidR="00560E75" w:rsidRPr="005C607F" w:rsidRDefault="006E145E" w:rsidP="00867264">
      <w:pPr>
        <w:spacing w:line="480" w:lineRule="auto"/>
        <w:jc w:val="both"/>
        <w:rPr>
          <w:rFonts w:ascii="Calibri" w:hAnsi="Calibri" w:cs="Calibri"/>
        </w:rPr>
      </w:pPr>
      <w:r>
        <w:rPr>
          <w:rFonts w:ascii="Calibri" w:hAnsi="Calibri" w:cs="Calibri"/>
        </w:rPr>
        <w:t xml:space="preserve">A </w:t>
      </w:r>
      <w:r w:rsidR="00684525">
        <w:rPr>
          <w:rFonts w:ascii="Calibri" w:hAnsi="Calibri" w:cs="Calibri"/>
        </w:rPr>
        <w:t>novel</w:t>
      </w:r>
      <w:r w:rsidR="008A3134">
        <w:rPr>
          <w:rFonts w:ascii="Calibri" w:hAnsi="Calibri" w:cs="Calibri"/>
        </w:rPr>
        <w:t xml:space="preserve"> </w:t>
      </w:r>
      <w:r>
        <w:rPr>
          <w:rFonts w:ascii="Calibri" w:hAnsi="Calibri" w:cs="Calibri"/>
        </w:rPr>
        <w:t>finding of our study is that</w:t>
      </w:r>
      <w:r w:rsidR="006A2BA4" w:rsidRPr="005C607F">
        <w:rPr>
          <w:rFonts w:ascii="Calibri" w:hAnsi="Calibri" w:cs="Calibri"/>
        </w:rPr>
        <w:t xml:space="preserve"> </w:t>
      </w:r>
      <w:r>
        <w:rPr>
          <w:rFonts w:ascii="Calibri" w:hAnsi="Calibri" w:cs="Calibri"/>
        </w:rPr>
        <w:t xml:space="preserve">symptomatic </w:t>
      </w:r>
      <w:r w:rsidRPr="005C607F">
        <w:rPr>
          <w:rFonts w:ascii="Calibri" w:hAnsi="Calibri" w:cs="Calibri"/>
        </w:rPr>
        <w:t>dogs</w:t>
      </w:r>
      <w:r>
        <w:rPr>
          <w:rFonts w:ascii="Calibri" w:hAnsi="Calibri" w:cs="Calibri"/>
        </w:rPr>
        <w:t xml:space="preserve"> were</w:t>
      </w:r>
      <w:r w:rsidRPr="005C607F">
        <w:rPr>
          <w:rFonts w:ascii="Calibri" w:hAnsi="Calibri" w:cs="Calibri"/>
        </w:rPr>
        <w:t xml:space="preserve"> significantly younger than </w:t>
      </w:r>
      <w:r w:rsidR="00A43DFA">
        <w:rPr>
          <w:rFonts w:ascii="Calibri" w:hAnsi="Calibri" w:cs="Calibri"/>
        </w:rPr>
        <w:t xml:space="preserve">dogs in the </w:t>
      </w:r>
      <w:r w:rsidRPr="005C607F">
        <w:rPr>
          <w:rFonts w:ascii="Calibri" w:hAnsi="Calibri" w:cs="Calibri"/>
        </w:rPr>
        <w:t>incidenta</w:t>
      </w:r>
      <w:r>
        <w:rPr>
          <w:rFonts w:ascii="Calibri" w:hAnsi="Calibri" w:cs="Calibri"/>
        </w:rPr>
        <w:t>l</w:t>
      </w:r>
      <w:r w:rsidRPr="005C607F">
        <w:rPr>
          <w:rFonts w:ascii="Calibri" w:hAnsi="Calibri" w:cs="Calibri"/>
        </w:rPr>
        <w:t xml:space="preserve"> </w:t>
      </w:r>
      <w:r w:rsidR="00A43DFA">
        <w:rPr>
          <w:rFonts w:ascii="Calibri" w:hAnsi="Calibri" w:cs="Calibri"/>
        </w:rPr>
        <w:t>group</w:t>
      </w:r>
      <w:r>
        <w:rPr>
          <w:rFonts w:ascii="Calibri" w:hAnsi="Calibri" w:cs="Calibri"/>
        </w:rPr>
        <w:t xml:space="preserve">. </w:t>
      </w:r>
      <w:r w:rsidR="00AE5745">
        <w:rPr>
          <w:rFonts w:ascii="Calibri" w:hAnsi="Calibri" w:cs="Calibri"/>
        </w:rPr>
        <w:t>Similarly, i</w:t>
      </w:r>
      <w:r w:rsidR="00FE618A" w:rsidRPr="005C607F">
        <w:rPr>
          <w:rFonts w:ascii="Calibri" w:hAnsi="Calibri" w:cs="Calibri"/>
        </w:rPr>
        <w:t>n</w:t>
      </w:r>
      <w:r w:rsidR="00560E75" w:rsidRPr="005C607F">
        <w:rPr>
          <w:rFonts w:ascii="Calibri" w:hAnsi="Calibri" w:cs="Calibri"/>
        </w:rPr>
        <w:t xml:space="preserve"> the human</w:t>
      </w:r>
      <w:r w:rsidR="001B37B7">
        <w:rPr>
          <w:rFonts w:ascii="Calibri" w:hAnsi="Calibri" w:cs="Calibri"/>
        </w:rPr>
        <w:t xml:space="preserve"> medical</w:t>
      </w:r>
      <w:r w:rsidR="00560E75" w:rsidRPr="005C607F">
        <w:rPr>
          <w:rFonts w:ascii="Calibri" w:hAnsi="Calibri" w:cs="Calibri"/>
        </w:rPr>
        <w:t xml:space="preserve"> literatur</w:t>
      </w:r>
      <w:r w:rsidR="00FE618A" w:rsidRPr="005C607F">
        <w:rPr>
          <w:rFonts w:ascii="Calibri" w:hAnsi="Calibri" w:cs="Calibri"/>
        </w:rPr>
        <w:t>e</w:t>
      </w:r>
      <w:r w:rsidR="001B37B7">
        <w:rPr>
          <w:rFonts w:ascii="Calibri" w:hAnsi="Calibri" w:cs="Calibri"/>
        </w:rPr>
        <w:t>,</w:t>
      </w:r>
      <w:r w:rsidR="00FE618A" w:rsidRPr="005C607F">
        <w:rPr>
          <w:rFonts w:ascii="Calibri" w:hAnsi="Calibri" w:cs="Calibri"/>
        </w:rPr>
        <w:t xml:space="preserve"> </w:t>
      </w:r>
      <w:r w:rsidR="00AE5745">
        <w:rPr>
          <w:rFonts w:ascii="Calibri" w:hAnsi="Calibri" w:cs="Calibri"/>
        </w:rPr>
        <w:t xml:space="preserve">younger age is a </w:t>
      </w:r>
      <w:r w:rsidR="00560E75" w:rsidRPr="005C607F">
        <w:rPr>
          <w:rFonts w:ascii="Calibri" w:hAnsi="Calibri" w:cs="Calibri"/>
        </w:rPr>
        <w:t xml:space="preserve">factor associated with symptomatic cholelithiasis </w:t>
      </w:r>
      <w:r w:rsidR="003326F9" w:rsidRPr="005C607F">
        <w:rPr>
          <w:rFonts w:ascii="Calibri" w:hAnsi="Calibri" w:cs="Calibri"/>
        </w:rPr>
        <w:fldChar w:fldCharType="begin" w:fldLock="1"/>
      </w:r>
      <w:r w:rsidR="00E677A0">
        <w:rPr>
          <w:rFonts w:ascii="Calibri" w:hAnsi="Calibri" w:cs="Calibri"/>
        </w:rPr>
        <w:instrText>ADDIN CSL_CITATION {"citationItems":[{"id":"ITEM-1","itemData":{"DOI":"https://doi.org/10.1053/j.gastro.2015.09.002","ISSN":"0016-5085","abstract":"Background &amp; Aims No one knows exactly what proportion of gallstones cause clinical events among subjects unaware of their gallstone status. We investigated the long-term occurrence of clinical events of gallstones and associations between ultrasound observations and clinical events. Methods We analyzed data from 3 randomly selected groups in the general population of urban Copenhagen (age, 30–70 y) participating in an international study of cardiovascular risk factors (the Multinational mONItoring of trends and determinants in CArdiovascular disease study). In this study, participants (n = 6037) were examined from 1982 through 1994, and underwent abdominal ultrasound examinations to detect gallstones. Our study population comprised 664 subjects with gallstones; subjects were not informed of their gallstone status. Participants were followed up for clinical events through central registers until December 31, 2011. Independent variables included ultrasound characteristics, age, sex, comorbidity, and female-associated factors, which were analyzed using Cox regression. Results Study participants were followed up for a median of 17.4 years (range, 0.1–29.1 y); 99.7% of participants completed the study. A total of 19.6% participants developed events (8.0% complicated and 11.6% uncomplicated). Ten percent had awareness of their gallstones; awareness was associated with uncomplicated and complicated events. Stones larger than 10 mm were associated with all events (hazard ratio [HR], 2.31; 95% confidence interval [CI], 1.45–3.69), acute cholecystitis (HR, 9.49; 95% CI, 2.05–43.92), and uncomplicated events (HR, 2.55; 95% CI, 1.38−4.71), including cholecystectomy (HR, 2.69; 95% CI, 1.29–5.60). Multiple stones were associated with all events (HR, 1.68; 95% CI, 1.00–2.81), complicated events (HR, 2.52; 95% CI, 1.05−6.04), and common bile duct stones (HR, 11.83; 95% CI, 1.54−91). There was an association between gallstones more than 5 years old and acute cholecystitis. Female sex was associated with all and uncomplicated events. We found a negative association between participant age and all events, uncomplicated events, and acute cholecystitis. Comorbidities and female-associated factors (intake of birth control pills or estrogens and number of births) were not associated with events. Compared with men with a single stone of 10 mm or smaller (reference), women with multiple stones greater than 10 mm had the highest risk for events (HR, 11.05; 95% CI, 3.76–32.44; u…","author":[{"dropping-particle":"","family":"Shabanzadeh","given":"Daniel Mønsted","non-dropping-particle":"","parse-names":false,"suffix":""},{"dropping-particle":"","family":"Sørensen","given":"Lars Tue","non-dropping-particle":"","parse-names":false,"suffix":""},{"dropping-particle":"","family":"Jørgensen","given":"Torben","non-dropping-particle":"","parse-names":false,"suffix":""}],"container-title":"Gastroenterology","id":"ITEM-1","issue":"1","issued":{"date-parts":[["2016"]]},"page":"156-167.e1","title":"A Prediction Rule for Risk Stratification of Incidentally Discovered Gallstones: Results From a Large Cohort Study","type":"article-journal","volume":"150"},"uris":["http://www.mendeley.com/documents/?uuid=31af8aaa-d0e7-4876-a692-ce5e15257da7"]},{"id":"ITEM-2","itemData":{"DOI":"10.1097/00000658-198507000-00009","ISSN":"0003-4932","abstract":"The natural history of gallstone disease in 691 patients, followed for a mean +/- SD duration of 78 +/- 61.6 months (median 62.9 months), is presented. These patients are all subscribers of a large health maintenance organization and are believed to represent a cross-section of middle income Americans. Symptoms attributed to biliary tract disease were present in 556 (80.5%), and the other 135 (19.5%) patients were asymptomatic. In the symptomatic group, the mean +/- SD duration of observation was 82.9 +/- 63.2 months (median 68.5 months); 242 (44%) eventually underwent biliary tract operations most often because of persistent symptoms. Only 10% of asymptomatic patients followed for 58 +/- 50.2 months (median 46.3 months) developed symptoms of biliary calculi, and seven per cent required operations. There were 50 deaths in this series of 691 patients, 25 in the symptomatic group, and 25 in the asymptomatic. Only two of these deaths were biliary tract related, and both were in the symptomatic group. This study suggests that patients with silent stones do not need to be operated on prior to the development of symptoms. In addition, many patients with symptoms of biliary calculi can tolerate their symptoms for long periods of time and prefer this course of action to cholecystectomy.","author":[{"dropping-particle":"","family":"McSherry","given":"C K","non-dropping-particle":"","parse-names":false,"suffix":""},{"dropping-particle":"","family":"Ferstenberg","given":"H","non-dropping-particle":"","parse-names":false,"suffix":""},{"dropping-particle":"","family":"Calhoun","given":"W F","non-dropping-particle":"","parse-names":false,"suffix":""},{"dropping-particle":"","family":"Lahman","given":"E","non-dropping-particle":"","parse-names":false,"suffix":""},{"dropping-particle":"","family":"Virshup","given":"M","non-dropping-particle":"","parse-names":false,"suffix":""}],"container-title":"Annals of surgery","id":"ITEM-2","issue":"1","issued":{"date-parts":[["1985","7"]]},"language":"eng","page":"59-63","title":"The natural history of diagnosed gallstone disease in symptomatic and asymptomatic patients","type":"article-journal","volume":"202"},"uris":["http://www.mendeley.com/documents/?uuid=729fad5c-a352-442b-b5e9-126e3769fb82"]}],"mendeley":{"formattedCitation":"(16,17)","plainTextFormattedCitation":"(16,17)","previouslyFormattedCitation":"(17,18)"},"properties":{"noteIndex":0},"schema":"https://github.com/citation-style-language/schema/raw/master/csl-citation.json"}</w:instrText>
      </w:r>
      <w:r w:rsidR="003326F9" w:rsidRPr="005C607F">
        <w:rPr>
          <w:rFonts w:ascii="Calibri" w:hAnsi="Calibri" w:cs="Calibri"/>
        </w:rPr>
        <w:fldChar w:fldCharType="separate"/>
      </w:r>
      <w:r w:rsidR="00E677A0" w:rsidRPr="00E677A0">
        <w:rPr>
          <w:rFonts w:ascii="Calibri" w:hAnsi="Calibri" w:cs="Calibri"/>
          <w:noProof/>
        </w:rPr>
        <w:t>(16,17)</w:t>
      </w:r>
      <w:r w:rsidR="003326F9" w:rsidRPr="005C607F">
        <w:rPr>
          <w:rFonts w:ascii="Calibri" w:hAnsi="Calibri" w:cs="Calibri"/>
        </w:rPr>
        <w:fldChar w:fldCharType="end"/>
      </w:r>
      <w:r w:rsidR="00560E75" w:rsidRPr="005C607F">
        <w:rPr>
          <w:rFonts w:ascii="Calibri" w:hAnsi="Calibri" w:cs="Calibri"/>
        </w:rPr>
        <w:t xml:space="preserve">. </w:t>
      </w:r>
      <w:r w:rsidR="00F1312D">
        <w:rPr>
          <w:rFonts w:ascii="Calibri" w:hAnsi="Calibri" w:cs="Calibri"/>
        </w:rPr>
        <w:t>Age therefore should be considered when assessing dogs with cholelithiasis</w:t>
      </w:r>
      <w:r w:rsidR="00560E75" w:rsidRPr="005C607F">
        <w:rPr>
          <w:rFonts w:ascii="Calibri" w:hAnsi="Calibri" w:cs="Calibri"/>
        </w:rPr>
        <w:t xml:space="preserve"> </w:t>
      </w:r>
      <w:r w:rsidR="001B37B7">
        <w:rPr>
          <w:rFonts w:ascii="Calibri" w:hAnsi="Calibri" w:cs="Calibri"/>
        </w:rPr>
        <w:t xml:space="preserve">because </w:t>
      </w:r>
      <w:r w:rsidR="00F1312D">
        <w:rPr>
          <w:rFonts w:ascii="Calibri" w:hAnsi="Calibri" w:cs="Calibri"/>
        </w:rPr>
        <w:t>younger dogs</w:t>
      </w:r>
      <w:r w:rsidR="00FA5D2D">
        <w:rPr>
          <w:rFonts w:ascii="Calibri" w:hAnsi="Calibri" w:cs="Calibri"/>
        </w:rPr>
        <w:t xml:space="preserve"> in our study</w:t>
      </w:r>
      <w:r w:rsidR="00F1312D">
        <w:rPr>
          <w:rFonts w:ascii="Calibri" w:hAnsi="Calibri" w:cs="Calibri"/>
        </w:rPr>
        <w:t xml:space="preserve"> appear</w:t>
      </w:r>
      <w:r w:rsidR="002A444C">
        <w:rPr>
          <w:rFonts w:ascii="Calibri" w:hAnsi="Calibri" w:cs="Calibri"/>
        </w:rPr>
        <w:t>ed</w:t>
      </w:r>
      <w:r w:rsidR="00F1312D">
        <w:rPr>
          <w:rFonts w:ascii="Calibri" w:hAnsi="Calibri" w:cs="Calibri"/>
        </w:rPr>
        <w:t xml:space="preserve"> </w:t>
      </w:r>
      <w:r w:rsidR="00554C7B">
        <w:rPr>
          <w:rFonts w:ascii="Calibri" w:hAnsi="Calibri" w:cs="Calibri"/>
        </w:rPr>
        <w:t xml:space="preserve">more likely </w:t>
      </w:r>
      <w:r w:rsidR="00F1312D">
        <w:rPr>
          <w:rFonts w:ascii="Calibri" w:hAnsi="Calibri" w:cs="Calibri"/>
        </w:rPr>
        <w:t xml:space="preserve">to </w:t>
      </w:r>
      <w:r w:rsidR="00554C7B">
        <w:rPr>
          <w:rFonts w:ascii="Calibri" w:hAnsi="Calibri" w:cs="Calibri"/>
        </w:rPr>
        <w:t>have</w:t>
      </w:r>
      <w:r w:rsidR="00F1312D">
        <w:rPr>
          <w:rFonts w:ascii="Calibri" w:hAnsi="Calibri" w:cs="Calibri"/>
        </w:rPr>
        <w:t xml:space="preserve"> </w:t>
      </w:r>
      <w:r w:rsidR="007A5229">
        <w:rPr>
          <w:rFonts w:ascii="Calibri" w:hAnsi="Calibri" w:cs="Calibri"/>
        </w:rPr>
        <w:t>symptomatic</w:t>
      </w:r>
      <w:r w:rsidR="00F1312D">
        <w:rPr>
          <w:rFonts w:ascii="Calibri" w:hAnsi="Calibri" w:cs="Calibri"/>
        </w:rPr>
        <w:t xml:space="preserve"> cholelithiasis. </w:t>
      </w:r>
      <w:r w:rsidR="0098423F">
        <w:rPr>
          <w:rFonts w:ascii="Calibri" w:hAnsi="Calibri" w:cs="Calibri"/>
        </w:rPr>
        <w:t xml:space="preserve">Almost 50% </w:t>
      </w:r>
      <w:r w:rsidRPr="005C607F">
        <w:rPr>
          <w:rFonts w:ascii="Calibri" w:hAnsi="Calibri" w:cs="Calibri"/>
        </w:rPr>
        <w:t xml:space="preserve">of </w:t>
      </w:r>
      <w:r w:rsidR="0098423F">
        <w:rPr>
          <w:rFonts w:ascii="Calibri" w:hAnsi="Calibri" w:cs="Calibri"/>
        </w:rPr>
        <w:t>dog</w:t>
      </w:r>
      <w:r w:rsidRPr="005C607F">
        <w:rPr>
          <w:rFonts w:ascii="Calibri" w:hAnsi="Calibri" w:cs="Calibri"/>
        </w:rPr>
        <w:t xml:space="preserve">s </w:t>
      </w:r>
      <w:r>
        <w:rPr>
          <w:rFonts w:ascii="Calibri" w:hAnsi="Calibri" w:cs="Calibri"/>
        </w:rPr>
        <w:t xml:space="preserve">in our study </w:t>
      </w:r>
      <w:r w:rsidRPr="005C607F">
        <w:rPr>
          <w:rFonts w:ascii="Calibri" w:hAnsi="Calibri" w:cs="Calibri"/>
        </w:rPr>
        <w:t xml:space="preserve">were considered symptomatic, contrasting with previously published findings of just 13.1% </w:t>
      </w:r>
      <w:r w:rsidRPr="005C607F">
        <w:rPr>
          <w:rFonts w:ascii="Calibri" w:hAnsi="Calibri" w:cs="Calibri"/>
        </w:rPr>
        <w:fldChar w:fldCharType="begin" w:fldLock="1"/>
      </w:r>
      <w:r w:rsidRPr="005C607F">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mendeley":{"formattedCitation":"(1)","plainTextFormattedCitation":"(1)","previouslyFormattedCitation":"(1)"},"properties":{"noteIndex":0},"schema":"https://github.com/citation-style-language/schema/raw/master/csl-citation.json"}</w:instrText>
      </w:r>
      <w:r w:rsidRPr="005C607F">
        <w:rPr>
          <w:rFonts w:ascii="Calibri" w:hAnsi="Calibri" w:cs="Calibri"/>
        </w:rPr>
        <w:fldChar w:fldCharType="separate"/>
      </w:r>
      <w:r w:rsidRPr="005C607F">
        <w:rPr>
          <w:rFonts w:ascii="Calibri" w:hAnsi="Calibri" w:cs="Calibri"/>
          <w:noProof/>
        </w:rPr>
        <w:t>(1)</w:t>
      </w:r>
      <w:r w:rsidRPr="005C607F">
        <w:rPr>
          <w:rFonts w:ascii="Calibri" w:hAnsi="Calibri" w:cs="Calibri"/>
        </w:rPr>
        <w:fldChar w:fldCharType="end"/>
      </w:r>
      <w:r>
        <w:rPr>
          <w:rFonts w:ascii="Calibri" w:hAnsi="Calibri" w:cs="Calibri"/>
        </w:rPr>
        <w:t xml:space="preserve">. </w:t>
      </w:r>
      <w:r w:rsidRPr="005C607F">
        <w:rPr>
          <w:rFonts w:ascii="Calibri" w:hAnsi="Calibri" w:cs="Calibri"/>
        </w:rPr>
        <w:t xml:space="preserve">In </w:t>
      </w:r>
      <w:r w:rsidR="0098423F">
        <w:rPr>
          <w:rFonts w:ascii="Calibri" w:hAnsi="Calibri" w:cs="Calibri"/>
        </w:rPr>
        <w:t xml:space="preserve">the </w:t>
      </w:r>
      <w:r w:rsidRPr="005C607F">
        <w:rPr>
          <w:rFonts w:ascii="Calibri" w:hAnsi="Calibri" w:cs="Calibri"/>
        </w:rPr>
        <w:t xml:space="preserve">human and </w:t>
      </w:r>
      <w:r w:rsidR="00FC1014">
        <w:rPr>
          <w:rFonts w:ascii="Calibri" w:hAnsi="Calibri" w:cs="Calibri"/>
        </w:rPr>
        <w:t>veterinary medical</w:t>
      </w:r>
      <w:r w:rsidR="00FC1014" w:rsidRPr="005C607F">
        <w:rPr>
          <w:rFonts w:ascii="Calibri" w:hAnsi="Calibri" w:cs="Calibri"/>
        </w:rPr>
        <w:t xml:space="preserve"> </w:t>
      </w:r>
      <w:r w:rsidRPr="005C607F">
        <w:rPr>
          <w:rFonts w:ascii="Calibri" w:hAnsi="Calibri" w:cs="Calibri"/>
        </w:rPr>
        <w:t xml:space="preserve">literature, </w:t>
      </w:r>
      <w:r w:rsidR="004027EA">
        <w:rPr>
          <w:rFonts w:ascii="Calibri" w:hAnsi="Calibri" w:cs="Calibri"/>
        </w:rPr>
        <w:t xml:space="preserve">most cases </w:t>
      </w:r>
      <w:r w:rsidRPr="005C607F">
        <w:rPr>
          <w:rFonts w:ascii="Calibri" w:hAnsi="Calibri" w:cs="Calibri"/>
        </w:rPr>
        <w:t xml:space="preserve">of cholelithiasis </w:t>
      </w:r>
      <w:r w:rsidR="00465CF7">
        <w:rPr>
          <w:rFonts w:ascii="Calibri" w:hAnsi="Calibri" w:cs="Calibri"/>
        </w:rPr>
        <w:t>are</w:t>
      </w:r>
      <w:r w:rsidRPr="005C607F">
        <w:rPr>
          <w:rFonts w:ascii="Calibri" w:hAnsi="Calibri" w:cs="Calibri"/>
        </w:rPr>
        <w:t xml:space="preserve"> reported to be incidental </w:t>
      </w:r>
      <w:r w:rsidRPr="005C607F">
        <w:rPr>
          <w:rFonts w:ascii="Calibri" w:hAnsi="Calibri" w:cs="Calibri"/>
        </w:rPr>
        <w:lastRenderedPageBreak/>
        <w:fldChar w:fldCharType="begin" w:fldLock="1"/>
      </w:r>
      <w:r w:rsidR="00E677A0">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Outcome","type":"article-journal","volume":"56"},"uris":["http://www.mendeley.com/documents/?uuid=ff3a9338-b98b-4d01-965b-26009b9d5232"]},{"id":"ITEM-2","itemData":{"DOI":"10.1097/00000658-198507000-00009","ISSN":"0003-4932","abstract":"The natural history of gallstone disease in 691 patients, followed for a mean +/- SD duration of 78 +/- 61.6 months (median 62.9 months), is presented. These patients are all subscribers of a large health maintenance organization and are believed to represent a cross-section of middle income Americans. Symptoms attributed to biliary tract disease were present in 556 (80.5%), and the other 135 (19.5%) patients were asymptomatic. In the symptomatic group, the mean +/- SD duration of observation was 82.9 +/- 63.2 months (median 68.5 months); 242 (44%) eventually underwent biliary tract operations most often because of persistent symptoms. Only 10% of asymptomatic patients followed for 58 +/- 50.2 months (median 46.3 months) developed symptoms of biliary calculi, and seven per cent required operations. There were 50 deaths in this series of 691 patients, 25 in the symptomatic group, and 25 in the asymptomatic. Only two of these deaths were biliary tract related, and both were in the symptomatic group. This study suggests that patients with silent stones do not need to be operated on prior to the development of symptoms. In addition, many patients with symptoms of biliary calculi can tolerate their symptoms for long periods of time and prefer this course of action to cholecystectomy.","author":[{"dropping-particle":"","family":"McSherry","given":"C K","non-dropping-particle":"","parse-names":false,"suffix":""},{"dropping-particle":"","family":"Ferstenberg","given":"H","non-dropping-particle":"","parse-names":false,"suffix":""},{"dropping-particle":"","family":"Calhoun","given":"W F","non-dropping-particle":"","parse-names":false,"suffix":""},{"dropping-particle":"","family":"Lahman","given":"E","non-dropping-particle":"","parse-names":false,"suffix":""},{"dropping-particle":"","family":"Virshup","given":"M","non-dropping-particle":"","parse-names":false,"suffix":""}],"container-title":"Annals of surgery","id":"ITEM-2","issue":"1","issued":{"date-parts":[["1985","7"]]},"language":"eng","page":"59-63","title":"The natural history of diagnosed gallstone disease in symptomatic and asymptomatic patients","type":"article-journal","volume":"202"},"uris":["http://www.mendeley.com/documents/?uuid=729fad5c-a352-442b-b5e9-126e3769fb82"]},{"id":"ITEM-3","itemData":{"DOI":"10.12688/f1000research.15505.1","ISSN":"2046-1402","abstract":"The high prevalence of cholesterol gallstones, the availability of new information about pathogenesis, and the relevant health costs due to the management of cholelithiasis in both children and adults contribute to a growing interest in this disease. From an epidemiologic point of view, the risk of gallstones has been associated with higher risk of incident ischemic heart disease, total mortality, and disease-specific mortality (including cancer) independently from the presence of traditional risk factors such as body weight, lifestyle, diabetes, and dyslipidemia. This evidence points to the existence of complex pathogenic pathways linking the occurrence of gallstones to altered systemic homeostasis involving multiple organs and dynamics. In fact, the formation of gallstones is secondary to local factors strictly dependent on the gallbladder (that is, impaired smooth muscle function, wall inflammation, and intraluminal mucin accumulation) and bile (that is, supersaturation in cholesterol and precipitation of solid crystals) but also to \"extra-gallbladder\" features such as gene polymorphism, epigenetic factors, expression and activity of nuclear receptors, hormonal factors (in particular, insulin resistance), multi-level alterations in cholesterol metabolism, altered intestinal motility, and variations in gut microbiota. Of note, the majority of these factors are potentially manageable. Thus, cholelithiasis appears as the expression of systemic unbalances that, besides the classic therapeutic approaches to patients with clinical evidence of symptomatic disease or complications (surgery and, in a small subgroup of subjects, oral litholysis with bile acids), could be managed with tools oriented to primary prevention (changes in diet and lifestyle and pharmacologic prevention in subgroups at high risk), and there could be relevant implications in reducing both prevalence and health costs.","author":[{"dropping-particle":"","family":"Ciaula","given":"Agostino","non-dropping-particle":"Di","parse-names":false,"suffix":""},{"dropping-particle":"","family":"Portincasa","given":"Piero","non-dropping-particle":"","parse-names":false,"suffix":""}],"container-title":"F1000Research","id":"ITEM-3","issued":{"date-parts":[["2018","9","24"]]},"language":"eng","page":"F1000 Faculty Rev-1529","publisher":"F1000 Research Limited","title":"Recent advances in understanding and managing cholesterol gallstones","type":"article-journal","volume":"7"},"uris":["http://www.mendeley.com/documents/?uuid=e87cb6f7-4af1-4370-9b49-22c0e2e43e77"]},{"id":"ITEM-4","itemData":{"DOI":"https://doi.org/10.1053/j.gastro.2015.09.002","ISSN":"0016-5085","abstract":"Background &amp; Aims No one knows exactly what proportion of gallstones cause clinical events among subjects unaware of their gallstone status. We investigated the long-term occurrence of clinical events of gallstones and associations between ultrasound observations and clinical events. Methods We analyzed data from 3 randomly selected groups in the general population of urban Copenhagen (age, 30–70 y) participating in an international study of cardiovascular risk factors (the Multinational mONItoring of trends and determinants in CArdiovascular disease study). In this study, participants (n = 6037) were examined from 1982 through 1994, and underwent abdominal ultrasound examinations to detect gallstones. Our study population comprised 664 subjects with gallstones; subjects were not informed of their gallstone status. Participants were followed up for clinical events through central registers until December 31, 2011. Independent variables included ultrasound characteristics, age, sex, comorbidity, and female-associated factors, which were analyzed using Cox regression. Results Study participants were followed up for a median of 17.4 years (range, 0.1–29.1 y); 99.7% of participants completed the study. A total of 19.6% participants developed events (8.0% complicated and 11.6% uncomplicated). Ten percent had awareness of their gallstones; awareness was associated with uncomplicated and complicated events. Stones larger than 10 mm were associated with all events (hazard ratio [HR], 2.31; 95% confidence interval [CI], 1.45–3.69), acute cholecystitis (HR, 9.49; 95% CI, 2.05–43.92), and uncomplicated events (HR, 2.55; 95% CI, 1.38−4.71), including cholecystectomy (HR, 2.69; 95% CI, 1.29–5.60). Multiple stones were associated with all events (HR, 1.68; 95% CI, 1.00–2.81), complicated events (HR, 2.52; 95% CI, 1.05−6.04), and common bile duct stones (HR, 11.83; 95% CI, 1.54−91). There was an association between gallstones more than 5 years old and acute cholecystitis. Female sex was associated with all and uncomplicated events. We found a negative association between participant age and all events, uncomplicated events, and acute cholecystitis. Comorbidities and female-associated factors (intake of birth control pills or estrogens and number of births) were not associated with events. Compared with men with a single stone of 10 mm or smaller (reference), women with multiple stones greater than 10 mm had the highest risk for events (HR, 11.05; 95% CI, 3.76–32.44; u…","author":[{"dropping-particle":"","family":"Shabanzadeh","given":"Daniel Mønsted","non-dropping-particle":"","parse-names":false,"suffix":""},{"dropping-particle":"","family":"Sørensen","given":"Lars Tue","non-dropping-particle":"","parse-names":false,"suffix":""},{"dropping-particle":"","family":"Jørgensen","given":"Torben","non-dropping-particle":"","parse-names":false,"suffix":""}],"container-title":"Gastroenterology","id":"ITEM-4","issue":"1","issued":{"date-parts":[["2016"]]},"page":"156-167.e1","title":"A Prediction Rule for Risk Stratification of Incidentally Discovered Gallstones: Results From a Large Cohort Study","type":"article-journal","volume":"150"},"uris":["http://www.mendeley.com/documents/?uuid=31af8aaa-d0e7-4876-a692-ce5e15257da7"]},{"id":"ITEM-5","itemData":{"ISSN":"0008-5286","abstract":"A 10-year-old, neutered male, keeshond was presented for vomiting, lethargy, icterus, and anorexia. Obstructive cholelithiasis was diagnosed based on analysis of a serum biochemical profile, abdominal radiographs, and ultrasonography. Choleliths were removed from the gall bladder and common bile duct via a cholecystotomy.","author":[{"dropping-particle":"","family":"Ward","given":"Renata","non-dropping-particle":"","parse-names":false,"suffix":""}],"container-title":"The Canadian veterinary journal = La revue veterinaire canadienne","id":"ITEM-5","issue":"11","issued":{"date-parts":[["2006","11"]]},"language":"eng","page":"1119-1121","publisher":"Canadian Veterinary Medical Association","title":"Obstructive cholelithiasis and cholecystitis in a keeshond","type":"article-journal","volume":"47"},"uris":["http://www.mendeley.com/documents/?uuid=06b3d2f8-200d-466d-ba24-a168fa5eb871"]},{"id":"ITEM-6","itemData":{"ISSN":"0008-5286","abstract":"A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canadienne","id":"ITEM-6","issue":"9","issued":{"date-parts":[["2017","9"]]},"language":"eng","page":"971-973","publisher":"Canadian Veterinary Medical Association","title":"Intrahepatic cholelithiasis in dogs and cats: A case series","type":"article-journal","volume":"58"},"uris":["http://www.mendeley.com/documents/?uuid=752cbfbe-cc88-4e01-9294-a3295e386423"]}],"mendeley":{"formattedCitation":"(1,2,6,11,16,17)","plainTextFormattedCitation":"(1,2,6,11,16,17)","previouslyFormattedCitation":"(1,2,6,11,17,18)"},"properties":{"noteIndex":0},"schema":"https://github.com/citation-style-language/schema/raw/master/csl-citation.json"}</w:instrText>
      </w:r>
      <w:r w:rsidRPr="005C607F">
        <w:rPr>
          <w:rFonts w:ascii="Calibri" w:hAnsi="Calibri" w:cs="Calibri"/>
        </w:rPr>
        <w:fldChar w:fldCharType="separate"/>
      </w:r>
      <w:r w:rsidR="00E677A0" w:rsidRPr="00E677A0">
        <w:rPr>
          <w:rFonts w:ascii="Calibri" w:hAnsi="Calibri" w:cs="Calibri"/>
          <w:noProof/>
        </w:rPr>
        <w:t>(1,2,6,11,16,17)</w:t>
      </w:r>
      <w:r w:rsidRPr="005C607F">
        <w:rPr>
          <w:rFonts w:ascii="Calibri" w:hAnsi="Calibri" w:cs="Calibri"/>
        </w:rPr>
        <w:fldChar w:fldCharType="end"/>
      </w:r>
      <w:r w:rsidRPr="005C607F">
        <w:rPr>
          <w:rFonts w:ascii="Calibri" w:hAnsi="Calibri" w:cs="Calibri"/>
        </w:rPr>
        <w:t xml:space="preserve">, with clinical signs often seen with concurrent cholecystitis, </w:t>
      </w:r>
      <w:r w:rsidR="003A44A1">
        <w:rPr>
          <w:rFonts w:ascii="Calibri" w:hAnsi="Calibri" w:cs="Calibri"/>
        </w:rPr>
        <w:t>associated with</w:t>
      </w:r>
      <w:r w:rsidR="003A44A1" w:rsidRPr="005C607F">
        <w:rPr>
          <w:rFonts w:ascii="Calibri" w:hAnsi="Calibri" w:cs="Calibri"/>
        </w:rPr>
        <w:t xml:space="preserve"> </w:t>
      </w:r>
      <w:r w:rsidRPr="005C607F">
        <w:rPr>
          <w:rFonts w:ascii="Calibri" w:hAnsi="Calibri" w:cs="Calibri"/>
        </w:rPr>
        <w:t xml:space="preserve">biliary obstruction or gallbladder rupture </w:t>
      </w:r>
      <w:r w:rsidRPr="005C607F">
        <w:rPr>
          <w:rFonts w:ascii="Calibri" w:hAnsi="Calibri" w:cs="Calibri"/>
        </w:rPr>
        <w:fldChar w:fldCharType="begin" w:fldLock="1"/>
      </w:r>
      <w:r w:rsidR="00EF3BF5">
        <w:rPr>
          <w:rFonts w:ascii="Calibri" w:hAnsi="Calibri" w:cs="Calibri"/>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id":"ITEM-2","itemData":{"ISSN":"0003-1488","author":[{"dropping-particle":"","family":"Kirpensteijn","given":"J","non-dropping-particle":"","parse-names":false,"suffix":""},{"dropping-particle":"","family":"Fingland","given":"R B","non-dropping-particle":"","parse-names":false,"suffix":""},{"dropping-particle":"","family":"Ulrich","given":"T","non-dropping-particle":"","parse-names":false,"suffix":""},{"dropping-particle":"","family":"Sikkema","given":"D A","non-dropping-particle":"","parse-names":false,"suffix":""},{"dropping-particle":"","family":"Allen","given":"S W","non-dropping-particle":"","parse-names":false,"suffix":""}],"container-title":"Journal of the American Veterinary Medical Association","id":"ITEM-2","issue":"7","issued":{"date-parts":[["1993","4"]]},"page":"1137—1142","title":"Cholelithiasis in dogs: 29 cases (1980-1990)","type":"article-journal","volume":"202"},"uris":["http://www.mendeley.com/documents/?uuid=ea2fcfa7-1d2a-4b11-8772-90011ad056fc"]}],"mendeley":{"formattedCitation":"(3,5)","plainTextFormattedCitation":"(3,5)","previouslyFormattedCitation":"(3,5)"},"properties":{"noteIndex":0},"schema":"https://github.com/citation-style-language/schema/raw/master/csl-citation.json"}</w:instrText>
      </w:r>
      <w:r w:rsidRPr="005C607F">
        <w:rPr>
          <w:rFonts w:ascii="Calibri" w:hAnsi="Calibri" w:cs="Calibri"/>
        </w:rPr>
        <w:fldChar w:fldCharType="separate"/>
      </w:r>
      <w:r w:rsidR="004807C8" w:rsidRPr="004807C8">
        <w:rPr>
          <w:rFonts w:ascii="Calibri" w:hAnsi="Calibri" w:cs="Calibri"/>
          <w:noProof/>
        </w:rPr>
        <w:t>(3,5)</w:t>
      </w:r>
      <w:r w:rsidRPr="005C607F">
        <w:rPr>
          <w:rFonts w:ascii="Calibri" w:hAnsi="Calibri" w:cs="Calibri"/>
        </w:rPr>
        <w:fldChar w:fldCharType="end"/>
      </w:r>
      <w:r w:rsidRPr="005C607F">
        <w:rPr>
          <w:rFonts w:ascii="Calibri" w:hAnsi="Calibri" w:cs="Calibri"/>
        </w:rPr>
        <w:t xml:space="preserve">. The most frequently identified clinical signs in symptomatic dogs in our study </w:t>
      </w:r>
      <w:r w:rsidR="00062ACB">
        <w:rPr>
          <w:rFonts w:ascii="Calibri" w:hAnsi="Calibri" w:cs="Calibri"/>
        </w:rPr>
        <w:t>were</w:t>
      </w:r>
      <w:r w:rsidRPr="005C607F">
        <w:rPr>
          <w:rFonts w:ascii="Calibri" w:hAnsi="Calibri" w:cs="Calibri"/>
        </w:rPr>
        <w:t xml:space="preserve"> vomiting, </w:t>
      </w:r>
      <w:r w:rsidR="00457D79">
        <w:rPr>
          <w:rFonts w:ascii="Calibri" w:hAnsi="Calibri" w:cs="Calibri"/>
        </w:rPr>
        <w:t>decreased</w:t>
      </w:r>
      <w:r w:rsidR="00457D79" w:rsidRPr="005C607F">
        <w:rPr>
          <w:rFonts w:ascii="Calibri" w:hAnsi="Calibri" w:cs="Calibri"/>
        </w:rPr>
        <w:t xml:space="preserve"> </w:t>
      </w:r>
      <w:r w:rsidRPr="005C607F">
        <w:rPr>
          <w:rFonts w:ascii="Calibri" w:hAnsi="Calibri" w:cs="Calibri"/>
        </w:rPr>
        <w:t>appetite, lethargy, diarrhea, icterus and abdominal pain</w:t>
      </w:r>
      <w:r w:rsidR="00062ACB">
        <w:rPr>
          <w:rFonts w:ascii="Calibri" w:hAnsi="Calibri" w:cs="Calibri"/>
        </w:rPr>
        <w:t>, similar to</w:t>
      </w:r>
      <w:r w:rsidRPr="005C607F">
        <w:rPr>
          <w:rFonts w:ascii="Calibri" w:hAnsi="Calibri" w:cs="Calibri"/>
        </w:rPr>
        <w:t xml:space="preserve"> </w:t>
      </w:r>
      <w:r w:rsidR="00441050">
        <w:rPr>
          <w:rFonts w:ascii="Calibri" w:hAnsi="Calibri" w:cs="Calibri"/>
        </w:rPr>
        <w:t>previous</w:t>
      </w:r>
      <w:r w:rsidR="00441050" w:rsidRPr="005C607F">
        <w:rPr>
          <w:rFonts w:ascii="Calibri" w:hAnsi="Calibri" w:cs="Calibri"/>
        </w:rPr>
        <w:t xml:space="preserve"> </w:t>
      </w:r>
      <w:r w:rsidR="002F022A">
        <w:rPr>
          <w:rFonts w:ascii="Calibri" w:hAnsi="Calibri" w:cs="Calibri"/>
        </w:rPr>
        <w:t>reports</w:t>
      </w:r>
      <w:r w:rsidRPr="005C607F">
        <w:rPr>
          <w:rFonts w:ascii="Calibri" w:hAnsi="Calibri" w:cs="Calibri"/>
        </w:rPr>
        <w:t xml:space="preserve"> </w:t>
      </w:r>
      <w:r w:rsidRPr="005C607F">
        <w:rPr>
          <w:rFonts w:ascii="Calibri" w:hAnsi="Calibri" w:cs="Calibri"/>
        </w:rPr>
        <w:fldChar w:fldCharType="begin" w:fldLock="1"/>
      </w:r>
      <w:r w:rsidRPr="005C607F">
        <w:rPr>
          <w:rFonts w:ascii="Calibri" w:hAnsi="Calibri" w:cs="Calibri"/>
        </w:rPr>
        <w:instrText>ADDIN CSL_CITATION {"citationItems":[{"id":"ITEM-1","itemData":{"ISSN":"0008-5286","abstract":"A 10-year-old, neutered male, keeshond was presented for vomiting, lethargy, icterus, and anorexia. Obstructive cholelithiasis was diagnosed based on analysis of a serum biochemical profile, abdominal radiographs, and ultrasonography. Choleliths were removed from the gall bladder and common bile duct via a cholecystotomy.","author":[{"dropping-particle":"","family":"Ward","given":"Renata","non-dropping-particle":"","parse-names":false,"suffix":""}],"container-title":"The Canadian veterinary journal = La revue veterinaire canadienne","id":"ITEM-1","issue":"11","issued":{"date-parts":[["2006","11"]]},"language":"eng","page":"1119-1121","publisher":"Canadian Veterinary Medical Association","title":"Obstructive cholelithiasis and cholecystitis in a keeshond","type":"article-journal","volume":"47"},"uris":["http://www.mendeley.com/documents/?uuid=06b3d2f8-200d-466d-ba24-a168fa5eb871"]},{"id":"ITEM-2","itemData":{"DOI":"10.5326/JAAHA-MS-7000","ISSN":"0587-2871","abstract":"Canine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Association","id":"ITEM-2","issue":"3","issued":{"date-parts":[["2020","5","1"]]},"page":"152","title":"Cholelithiasis in the Dog: Prevalence, Clinical Presentation, and Outcome","type":"article-journal","volume":"56"},"uris":["http://www.mendeley.com/documents/?uuid=ff3a9338-b98b-4d01-965b-26009b9d5232"]}],"mendeley":{"formattedCitation":"(1,6)","plainTextFormattedCitation":"(1,6)","previouslyFormattedCitation":"(1,6)"},"properties":{"noteIndex":0},"schema":"https://github.com/citation-style-language/schema/raw/master/csl-citation.json"}</w:instrText>
      </w:r>
      <w:r w:rsidRPr="005C607F">
        <w:rPr>
          <w:rFonts w:ascii="Calibri" w:hAnsi="Calibri" w:cs="Calibri"/>
        </w:rPr>
        <w:fldChar w:fldCharType="separate"/>
      </w:r>
      <w:r w:rsidRPr="005C607F">
        <w:rPr>
          <w:rFonts w:ascii="Calibri" w:hAnsi="Calibri" w:cs="Calibri"/>
          <w:noProof/>
        </w:rPr>
        <w:t>(1,6)</w:t>
      </w:r>
      <w:r w:rsidRPr="005C607F">
        <w:rPr>
          <w:rFonts w:ascii="Calibri" w:hAnsi="Calibri" w:cs="Calibri"/>
        </w:rPr>
        <w:fldChar w:fldCharType="end"/>
      </w:r>
      <w:r w:rsidRPr="005C607F">
        <w:rPr>
          <w:rFonts w:ascii="Calibri" w:hAnsi="Calibri" w:cs="Calibri"/>
        </w:rPr>
        <w:t xml:space="preserve">. </w:t>
      </w:r>
    </w:p>
    <w:p w14:paraId="283805BB" w14:textId="0177AD67" w:rsidR="0078468F" w:rsidRPr="005C607F" w:rsidRDefault="0078468F" w:rsidP="00867264">
      <w:pPr>
        <w:spacing w:line="480" w:lineRule="auto"/>
        <w:jc w:val="both"/>
        <w:rPr>
          <w:rFonts w:ascii="Calibri" w:hAnsi="Calibri" w:cs="Calibri"/>
        </w:rPr>
      </w:pPr>
    </w:p>
    <w:p w14:paraId="4FCE11FC" w14:textId="7DA1DC35" w:rsidR="005F031E" w:rsidRDefault="00296CA5" w:rsidP="00867264">
      <w:pPr>
        <w:spacing w:line="480" w:lineRule="auto"/>
        <w:jc w:val="both"/>
        <w:rPr>
          <w:rFonts w:ascii="Calibri" w:hAnsi="Calibri" w:cs="Calibri"/>
        </w:rPr>
      </w:pPr>
      <w:r>
        <w:rPr>
          <w:rFonts w:ascii="Calibri" w:hAnsi="Calibri" w:cs="Calibri"/>
        </w:rPr>
        <w:t xml:space="preserve">Although symptomatic dogs </w:t>
      </w:r>
      <w:r w:rsidR="00EB1B8B">
        <w:rPr>
          <w:rFonts w:ascii="Calibri" w:hAnsi="Calibri" w:cs="Calibri"/>
        </w:rPr>
        <w:t xml:space="preserve">in our study </w:t>
      </w:r>
      <w:r>
        <w:rPr>
          <w:rFonts w:ascii="Calibri" w:hAnsi="Calibri" w:cs="Calibri"/>
        </w:rPr>
        <w:t xml:space="preserve">had higher </w:t>
      </w:r>
      <w:r w:rsidR="007D1376">
        <w:rPr>
          <w:rFonts w:ascii="Calibri" w:hAnsi="Calibri" w:cs="Calibri"/>
        </w:rPr>
        <w:t>alkaline phosphatase (</w:t>
      </w:r>
      <w:r>
        <w:rPr>
          <w:rFonts w:ascii="Calibri" w:hAnsi="Calibri" w:cs="Calibri"/>
        </w:rPr>
        <w:t>ALP</w:t>
      </w:r>
      <w:r w:rsidR="007D1376">
        <w:rPr>
          <w:rFonts w:ascii="Calibri" w:hAnsi="Calibri" w:cs="Calibri"/>
        </w:rPr>
        <w:t>)</w:t>
      </w:r>
      <w:r>
        <w:rPr>
          <w:rFonts w:ascii="Calibri" w:hAnsi="Calibri" w:cs="Calibri"/>
        </w:rPr>
        <w:t xml:space="preserve">, </w:t>
      </w:r>
      <w:r w:rsidR="007D1376">
        <w:rPr>
          <w:rFonts w:ascii="Calibri" w:hAnsi="Calibri" w:cs="Calibri"/>
        </w:rPr>
        <w:t>alanine aminotransferase (</w:t>
      </w:r>
      <w:r>
        <w:rPr>
          <w:rFonts w:ascii="Calibri" w:hAnsi="Calibri" w:cs="Calibri"/>
        </w:rPr>
        <w:t>ALT</w:t>
      </w:r>
      <w:r w:rsidR="007D1376">
        <w:rPr>
          <w:rFonts w:ascii="Calibri" w:hAnsi="Calibri" w:cs="Calibri"/>
        </w:rPr>
        <w:t>)</w:t>
      </w:r>
      <w:r>
        <w:rPr>
          <w:rFonts w:ascii="Calibri" w:hAnsi="Calibri" w:cs="Calibri"/>
        </w:rPr>
        <w:t xml:space="preserve"> and </w:t>
      </w:r>
      <w:r w:rsidR="007D1376">
        <w:rPr>
          <w:rFonts w:ascii="Calibri" w:hAnsi="Calibri" w:cs="Calibri"/>
        </w:rPr>
        <w:sym w:font="Symbol" w:char="F067"/>
      </w:r>
      <w:r w:rsidR="007D1376">
        <w:rPr>
          <w:rFonts w:ascii="Calibri" w:hAnsi="Calibri" w:cs="Calibri"/>
        </w:rPr>
        <w:t>-</w:t>
      </w:r>
      <w:r w:rsidR="007D1376" w:rsidRPr="005C607F">
        <w:rPr>
          <w:rFonts w:ascii="Calibri" w:hAnsi="Calibri" w:cs="Calibri"/>
        </w:rPr>
        <w:t>glutamyltransferase</w:t>
      </w:r>
      <w:r w:rsidR="007D1376">
        <w:rPr>
          <w:rFonts w:ascii="Calibri" w:hAnsi="Calibri" w:cs="Calibri"/>
        </w:rPr>
        <w:t xml:space="preserve"> </w:t>
      </w:r>
      <w:r w:rsidR="00D05552">
        <w:rPr>
          <w:rFonts w:ascii="Calibri" w:hAnsi="Calibri" w:cs="Calibri"/>
        </w:rPr>
        <w:t>(</w:t>
      </w:r>
      <w:r>
        <w:rPr>
          <w:rFonts w:ascii="Calibri" w:hAnsi="Calibri" w:cs="Calibri"/>
        </w:rPr>
        <w:t>GGT</w:t>
      </w:r>
      <w:r w:rsidR="00D05552">
        <w:rPr>
          <w:rFonts w:ascii="Calibri" w:hAnsi="Calibri" w:cs="Calibri"/>
        </w:rPr>
        <w:t>)</w:t>
      </w:r>
      <w:r>
        <w:rPr>
          <w:rFonts w:ascii="Calibri" w:hAnsi="Calibri" w:cs="Calibri"/>
        </w:rPr>
        <w:t xml:space="preserve"> </w:t>
      </w:r>
      <w:r w:rsidR="00FF1ED0">
        <w:rPr>
          <w:rFonts w:ascii="Calibri" w:hAnsi="Calibri" w:cs="Calibri"/>
        </w:rPr>
        <w:t xml:space="preserve">activites </w:t>
      </w:r>
      <w:r>
        <w:rPr>
          <w:rFonts w:ascii="Calibri" w:hAnsi="Calibri" w:cs="Calibri"/>
        </w:rPr>
        <w:t>than</w:t>
      </w:r>
      <w:r w:rsidR="00FF1ED0">
        <w:rPr>
          <w:rFonts w:ascii="Calibri" w:hAnsi="Calibri" w:cs="Calibri"/>
        </w:rPr>
        <w:t xml:space="preserve"> did</w:t>
      </w:r>
      <w:r>
        <w:rPr>
          <w:rFonts w:ascii="Calibri" w:hAnsi="Calibri" w:cs="Calibri"/>
        </w:rPr>
        <w:t xml:space="preserve"> incidental dogs, </w:t>
      </w:r>
      <w:r w:rsidR="00EB1B8B">
        <w:rPr>
          <w:rFonts w:ascii="Calibri" w:hAnsi="Calibri" w:cs="Calibri"/>
        </w:rPr>
        <w:t>we</w:t>
      </w:r>
      <w:r>
        <w:rPr>
          <w:rFonts w:ascii="Calibri" w:hAnsi="Calibri" w:cs="Calibri"/>
        </w:rPr>
        <w:t xml:space="preserve"> failed to detect significant differences in </w:t>
      </w:r>
      <w:r w:rsidR="00C43674" w:rsidRPr="005C607F">
        <w:rPr>
          <w:rFonts w:ascii="Calibri" w:hAnsi="Calibri" w:cs="Calibri"/>
        </w:rPr>
        <w:t xml:space="preserve">aspartate transaminase </w:t>
      </w:r>
      <w:r w:rsidR="00C43674">
        <w:rPr>
          <w:rFonts w:ascii="Calibri" w:hAnsi="Calibri" w:cs="Calibri"/>
        </w:rPr>
        <w:t>(</w:t>
      </w:r>
      <w:r w:rsidR="00EB1B8B">
        <w:rPr>
          <w:rFonts w:ascii="Calibri" w:hAnsi="Calibri" w:cs="Calibri"/>
        </w:rPr>
        <w:t>AST</w:t>
      </w:r>
      <w:r w:rsidR="0058401D">
        <w:rPr>
          <w:rFonts w:ascii="Calibri" w:hAnsi="Calibri" w:cs="Calibri"/>
        </w:rPr>
        <w:t>)</w:t>
      </w:r>
      <w:r w:rsidR="00C628BE">
        <w:rPr>
          <w:rFonts w:ascii="Calibri" w:hAnsi="Calibri" w:cs="Calibri"/>
        </w:rPr>
        <w:t xml:space="preserve"> activity</w:t>
      </w:r>
      <w:r w:rsidR="00EB1B8B">
        <w:rPr>
          <w:rFonts w:ascii="Calibri" w:hAnsi="Calibri" w:cs="Calibri"/>
        </w:rPr>
        <w:t>,</w:t>
      </w:r>
      <w:r w:rsidR="00C628BE">
        <w:rPr>
          <w:rFonts w:ascii="Calibri" w:hAnsi="Calibri" w:cs="Calibri"/>
        </w:rPr>
        <w:t xml:space="preserve"> or</w:t>
      </w:r>
      <w:r w:rsidR="00EB1B8B">
        <w:rPr>
          <w:rFonts w:ascii="Calibri" w:hAnsi="Calibri" w:cs="Calibri"/>
        </w:rPr>
        <w:t xml:space="preserve"> bilirubin or cholesterol</w:t>
      </w:r>
      <w:r w:rsidR="00C628BE">
        <w:rPr>
          <w:rFonts w:ascii="Calibri" w:hAnsi="Calibri" w:cs="Calibri"/>
        </w:rPr>
        <w:t xml:space="preserve"> concentrations</w:t>
      </w:r>
      <w:r w:rsidR="007650EF">
        <w:rPr>
          <w:rFonts w:ascii="Calibri" w:hAnsi="Calibri" w:cs="Calibri"/>
        </w:rPr>
        <w:t>.</w:t>
      </w:r>
      <w:r w:rsidR="00EB1B8B">
        <w:rPr>
          <w:rFonts w:ascii="Calibri" w:hAnsi="Calibri" w:cs="Calibri"/>
        </w:rPr>
        <w:t xml:space="preserve"> </w:t>
      </w:r>
      <w:r w:rsidR="007650EF">
        <w:rPr>
          <w:rFonts w:ascii="Calibri" w:hAnsi="Calibri" w:cs="Calibri"/>
        </w:rPr>
        <w:t>This</w:t>
      </w:r>
      <w:r w:rsidR="00EB1B8B">
        <w:rPr>
          <w:rFonts w:ascii="Calibri" w:hAnsi="Calibri" w:cs="Calibri"/>
        </w:rPr>
        <w:t xml:space="preserve"> </w:t>
      </w:r>
      <w:r w:rsidR="00F20F9A">
        <w:rPr>
          <w:rFonts w:ascii="Calibri" w:hAnsi="Calibri" w:cs="Calibri"/>
        </w:rPr>
        <w:t xml:space="preserve">observation </w:t>
      </w:r>
      <w:r w:rsidR="00EB1B8B">
        <w:rPr>
          <w:rFonts w:ascii="Calibri" w:hAnsi="Calibri" w:cs="Calibri"/>
        </w:rPr>
        <w:t>contrasts with the findings of a</w:t>
      </w:r>
      <w:r w:rsidR="00EB1B8B" w:rsidRPr="005C607F">
        <w:rPr>
          <w:rFonts w:ascii="Calibri" w:hAnsi="Calibri" w:cs="Calibri"/>
        </w:rPr>
        <w:t xml:space="preserve"> </w:t>
      </w:r>
      <w:r w:rsidR="006C35E1">
        <w:rPr>
          <w:rFonts w:ascii="Calibri" w:hAnsi="Calibri" w:cs="Calibri"/>
        </w:rPr>
        <w:t xml:space="preserve">previous </w:t>
      </w:r>
      <w:r w:rsidR="00EB1B8B" w:rsidRPr="005C607F">
        <w:rPr>
          <w:rFonts w:ascii="Calibri" w:hAnsi="Calibri" w:cs="Calibri"/>
        </w:rPr>
        <w:t xml:space="preserve">study </w:t>
      </w:r>
      <w:r w:rsidR="00EB1B8B" w:rsidRPr="005C607F">
        <w:rPr>
          <w:rFonts w:ascii="Calibri" w:hAnsi="Calibri" w:cs="Calibri"/>
        </w:rPr>
        <w:fldChar w:fldCharType="begin" w:fldLock="1"/>
      </w:r>
      <w:r w:rsidR="00EB1B8B" w:rsidRPr="005C607F">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mendeley":{"formattedCitation":"(1)","plainTextFormattedCitation":"(1)","previouslyFormattedCitation":"(1)"},"properties":{"noteIndex":0},"schema":"https://github.com/citation-style-language/schema/raw/master/csl-citation.json"}</w:instrText>
      </w:r>
      <w:r w:rsidR="00EB1B8B" w:rsidRPr="005C607F">
        <w:rPr>
          <w:rFonts w:ascii="Calibri" w:hAnsi="Calibri" w:cs="Calibri"/>
        </w:rPr>
        <w:fldChar w:fldCharType="separate"/>
      </w:r>
      <w:r w:rsidR="00EB1B8B" w:rsidRPr="005C607F">
        <w:rPr>
          <w:rFonts w:ascii="Calibri" w:hAnsi="Calibri" w:cs="Calibri"/>
          <w:noProof/>
        </w:rPr>
        <w:t>(1)</w:t>
      </w:r>
      <w:r w:rsidR="00EB1B8B" w:rsidRPr="005C607F">
        <w:rPr>
          <w:rFonts w:ascii="Calibri" w:hAnsi="Calibri" w:cs="Calibri"/>
        </w:rPr>
        <w:fldChar w:fldCharType="end"/>
      </w:r>
      <w:r w:rsidR="00EB1B8B">
        <w:rPr>
          <w:rFonts w:ascii="Calibri" w:hAnsi="Calibri" w:cs="Calibri"/>
        </w:rPr>
        <w:t xml:space="preserve"> </w:t>
      </w:r>
      <w:r w:rsidR="000A3894">
        <w:rPr>
          <w:rFonts w:ascii="Calibri" w:hAnsi="Calibri" w:cs="Calibri"/>
        </w:rPr>
        <w:t xml:space="preserve">that </w:t>
      </w:r>
      <w:r w:rsidR="007650EF">
        <w:rPr>
          <w:rFonts w:ascii="Calibri" w:hAnsi="Calibri" w:cs="Calibri"/>
        </w:rPr>
        <w:t>documented</w:t>
      </w:r>
      <w:r w:rsidR="00EB1B8B" w:rsidRPr="005C607F">
        <w:rPr>
          <w:rFonts w:ascii="Calibri" w:hAnsi="Calibri" w:cs="Calibri"/>
        </w:rPr>
        <w:t xml:space="preserve"> </w:t>
      </w:r>
      <w:r w:rsidR="007650EF">
        <w:rPr>
          <w:rFonts w:ascii="Calibri" w:hAnsi="Calibri" w:cs="Calibri"/>
        </w:rPr>
        <w:t xml:space="preserve">significant </w:t>
      </w:r>
      <w:r w:rsidR="000A3894">
        <w:rPr>
          <w:rFonts w:ascii="Calibri" w:hAnsi="Calibri" w:cs="Calibri"/>
        </w:rPr>
        <w:t xml:space="preserve">increases </w:t>
      </w:r>
      <w:r w:rsidR="007650EF">
        <w:rPr>
          <w:rFonts w:ascii="Calibri" w:hAnsi="Calibri" w:cs="Calibri"/>
        </w:rPr>
        <w:t xml:space="preserve">in </w:t>
      </w:r>
      <w:r w:rsidR="00EB1B8B" w:rsidRPr="005C607F">
        <w:rPr>
          <w:rFonts w:ascii="Calibri" w:hAnsi="Calibri" w:cs="Calibri"/>
        </w:rPr>
        <w:t>AST, ALT</w:t>
      </w:r>
      <w:r w:rsidR="000A3894">
        <w:rPr>
          <w:rFonts w:ascii="Calibri" w:hAnsi="Calibri" w:cs="Calibri"/>
        </w:rPr>
        <w:t>, and</w:t>
      </w:r>
      <w:r w:rsidR="00EB1B8B" w:rsidRPr="005C607F">
        <w:rPr>
          <w:rFonts w:ascii="Calibri" w:hAnsi="Calibri" w:cs="Calibri"/>
        </w:rPr>
        <w:t xml:space="preserve"> GGT</w:t>
      </w:r>
      <w:r w:rsidR="000A3894">
        <w:rPr>
          <w:rFonts w:ascii="Calibri" w:hAnsi="Calibri" w:cs="Calibri"/>
        </w:rPr>
        <w:t xml:space="preserve"> activity</w:t>
      </w:r>
      <w:r w:rsidR="00EB1B8B" w:rsidRPr="005C607F">
        <w:rPr>
          <w:rFonts w:ascii="Calibri" w:hAnsi="Calibri" w:cs="Calibri"/>
        </w:rPr>
        <w:t>,</w:t>
      </w:r>
      <w:r w:rsidR="000A3894">
        <w:rPr>
          <w:rFonts w:ascii="Calibri" w:hAnsi="Calibri" w:cs="Calibri"/>
        </w:rPr>
        <w:t xml:space="preserve"> and</w:t>
      </w:r>
      <w:r w:rsidR="00EB1B8B" w:rsidRPr="005C607F">
        <w:rPr>
          <w:rFonts w:ascii="Calibri" w:hAnsi="Calibri" w:cs="Calibri"/>
        </w:rPr>
        <w:t xml:space="preserve"> bilirubin and cholesterol </w:t>
      </w:r>
      <w:r w:rsidR="000A3894">
        <w:rPr>
          <w:rFonts w:ascii="Calibri" w:hAnsi="Calibri" w:cs="Calibri"/>
        </w:rPr>
        <w:t xml:space="preserve">concentrations </w:t>
      </w:r>
      <w:r w:rsidR="00EB1B8B" w:rsidRPr="005C607F">
        <w:rPr>
          <w:rFonts w:ascii="Calibri" w:hAnsi="Calibri" w:cs="Calibri"/>
        </w:rPr>
        <w:t xml:space="preserve">in symptomatic </w:t>
      </w:r>
      <w:r w:rsidR="007650EF">
        <w:rPr>
          <w:rFonts w:ascii="Calibri" w:hAnsi="Calibri" w:cs="Calibri"/>
        </w:rPr>
        <w:t>dogs</w:t>
      </w:r>
      <w:r w:rsidR="00EB1B8B">
        <w:rPr>
          <w:rFonts w:ascii="Calibri" w:hAnsi="Calibri" w:cs="Calibri"/>
        </w:rPr>
        <w:t>.</w:t>
      </w:r>
      <w:r w:rsidR="00D03EE4" w:rsidRPr="00D03EE4">
        <w:rPr>
          <w:rFonts w:ascii="Calibri" w:hAnsi="Calibri" w:cs="Calibri"/>
        </w:rPr>
        <w:t xml:space="preserve"> </w:t>
      </w:r>
      <w:r w:rsidR="009E2A3F">
        <w:rPr>
          <w:rFonts w:ascii="Calibri" w:hAnsi="Calibri" w:cs="Calibri"/>
        </w:rPr>
        <w:t>F</w:t>
      </w:r>
      <w:r w:rsidR="00D03EE4" w:rsidRPr="005C607F">
        <w:rPr>
          <w:rFonts w:ascii="Calibri" w:hAnsi="Calibri" w:cs="Calibri"/>
        </w:rPr>
        <w:t>ailure to detect significant differences in bilirubin</w:t>
      </w:r>
      <w:r w:rsidR="006E02A4">
        <w:rPr>
          <w:rFonts w:ascii="Calibri" w:hAnsi="Calibri" w:cs="Calibri"/>
        </w:rPr>
        <w:t xml:space="preserve"> and</w:t>
      </w:r>
      <w:r w:rsidR="00D03EE4" w:rsidRPr="005C607F">
        <w:rPr>
          <w:rFonts w:ascii="Calibri" w:hAnsi="Calibri" w:cs="Calibri"/>
        </w:rPr>
        <w:t xml:space="preserve"> cholesterol</w:t>
      </w:r>
      <w:r w:rsidR="006E02A4">
        <w:rPr>
          <w:rFonts w:ascii="Calibri" w:hAnsi="Calibri" w:cs="Calibri"/>
        </w:rPr>
        <w:t xml:space="preserve"> concentrations</w:t>
      </w:r>
      <w:r w:rsidR="00D03EE4" w:rsidRPr="005C607F">
        <w:rPr>
          <w:rFonts w:ascii="Calibri" w:hAnsi="Calibri" w:cs="Calibri"/>
        </w:rPr>
        <w:t xml:space="preserve"> and AST</w:t>
      </w:r>
      <w:r w:rsidR="006E02A4">
        <w:rPr>
          <w:rFonts w:ascii="Calibri" w:hAnsi="Calibri" w:cs="Calibri"/>
        </w:rPr>
        <w:t xml:space="preserve"> activity</w:t>
      </w:r>
      <w:r w:rsidR="00D03EE4" w:rsidRPr="005C607F">
        <w:rPr>
          <w:rFonts w:ascii="Calibri" w:hAnsi="Calibri" w:cs="Calibri"/>
        </w:rPr>
        <w:t xml:space="preserve"> </w:t>
      </w:r>
      <w:r w:rsidR="00D03EE4">
        <w:rPr>
          <w:rFonts w:ascii="Calibri" w:hAnsi="Calibri" w:cs="Calibri"/>
        </w:rPr>
        <w:t xml:space="preserve">in our study </w:t>
      </w:r>
      <w:r w:rsidR="00D03EE4" w:rsidRPr="005C607F">
        <w:rPr>
          <w:rFonts w:ascii="Calibri" w:hAnsi="Calibri" w:cs="Calibri"/>
        </w:rPr>
        <w:t xml:space="preserve">may have been </w:t>
      </w:r>
      <w:r w:rsidR="006E02A4">
        <w:rPr>
          <w:rFonts w:ascii="Calibri" w:hAnsi="Calibri" w:cs="Calibri"/>
        </w:rPr>
        <w:t>a consequence of the</w:t>
      </w:r>
      <w:r w:rsidR="002A444C">
        <w:rPr>
          <w:rFonts w:ascii="Calibri" w:hAnsi="Calibri" w:cs="Calibri"/>
        </w:rPr>
        <w:t xml:space="preserve"> </w:t>
      </w:r>
      <w:r w:rsidR="00D03EE4" w:rsidRPr="005C607F">
        <w:rPr>
          <w:rFonts w:ascii="Calibri" w:hAnsi="Calibri" w:cs="Calibri"/>
        </w:rPr>
        <w:t>small number</w:t>
      </w:r>
      <w:r w:rsidR="002A444C">
        <w:rPr>
          <w:rFonts w:ascii="Calibri" w:hAnsi="Calibri" w:cs="Calibri"/>
        </w:rPr>
        <w:t xml:space="preserve"> of dog</w:t>
      </w:r>
      <w:r w:rsidR="00D03EE4" w:rsidRPr="005C607F">
        <w:rPr>
          <w:rFonts w:ascii="Calibri" w:hAnsi="Calibri" w:cs="Calibri"/>
        </w:rPr>
        <w:t>s in the incidental group.</w:t>
      </w:r>
      <w:r w:rsidR="00D03EE4">
        <w:rPr>
          <w:rFonts w:ascii="Calibri" w:hAnsi="Calibri" w:cs="Calibri"/>
        </w:rPr>
        <w:t xml:space="preserve"> </w:t>
      </w:r>
      <w:r w:rsidR="006E02A4">
        <w:rPr>
          <w:rFonts w:ascii="Calibri" w:hAnsi="Calibri" w:cs="Calibri"/>
        </w:rPr>
        <w:t xml:space="preserve">Our </w:t>
      </w:r>
      <w:r w:rsidR="00D03EE4">
        <w:rPr>
          <w:rFonts w:ascii="Calibri" w:hAnsi="Calibri" w:cs="Calibri"/>
        </w:rPr>
        <w:t xml:space="preserve">findings and </w:t>
      </w:r>
      <w:r w:rsidR="006E02A4">
        <w:rPr>
          <w:rFonts w:ascii="Calibri" w:hAnsi="Calibri" w:cs="Calibri"/>
        </w:rPr>
        <w:t xml:space="preserve">those of </w:t>
      </w:r>
      <w:r w:rsidR="00D03EE4">
        <w:rPr>
          <w:rFonts w:ascii="Calibri" w:hAnsi="Calibri" w:cs="Calibri"/>
        </w:rPr>
        <w:t xml:space="preserve">the aforementioned study suggest </w:t>
      </w:r>
      <w:r w:rsidR="006E02A4">
        <w:rPr>
          <w:rFonts w:ascii="Calibri" w:hAnsi="Calibri" w:cs="Calibri"/>
        </w:rPr>
        <w:t>some</w:t>
      </w:r>
      <w:r w:rsidR="002C5A64">
        <w:rPr>
          <w:rFonts w:ascii="Calibri" w:hAnsi="Calibri" w:cs="Calibri"/>
        </w:rPr>
        <w:t xml:space="preserve"> </w:t>
      </w:r>
      <w:r w:rsidR="00D03EE4">
        <w:rPr>
          <w:rFonts w:ascii="Calibri" w:hAnsi="Calibri" w:cs="Calibri"/>
        </w:rPr>
        <w:t xml:space="preserve">correlation between biochemistry </w:t>
      </w:r>
      <w:r w:rsidR="00BF1ADC">
        <w:rPr>
          <w:rFonts w:ascii="Calibri" w:hAnsi="Calibri" w:cs="Calibri"/>
        </w:rPr>
        <w:t xml:space="preserve">abnormalities </w:t>
      </w:r>
      <w:r w:rsidR="00D03EE4">
        <w:rPr>
          <w:rFonts w:ascii="Calibri" w:hAnsi="Calibri" w:cs="Calibri"/>
        </w:rPr>
        <w:t>and the symptomatic status of patients with cholelithiasis</w:t>
      </w:r>
      <w:r w:rsidR="000C3D54">
        <w:rPr>
          <w:rFonts w:ascii="Calibri" w:hAnsi="Calibri" w:cs="Calibri"/>
        </w:rPr>
        <w:t xml:space="preserve">, </w:t>
      </w:r>
      <w:r w:rsidR="00BF1ADC">
        <w:rPr>
          <w:rFonts w:ascii="Calibri" w:hAnsi="Calibri" w:cs="Calibri"/>
        </w:rPr>
        <w:t xml:space="preserve">and </w:t>
      </w:r>
      <w:r w:rsidR="000C3D54">
        <w:rPr>
          <w:rFonts w:ascii="Calibri" w:hAnsi="Calibri" w:cs="Calibri"/>
        </w:rPr>
        <w:t xml:space="preserve">therefore dogs with cholelithiasis and associated biochemical </w:t>
      </w:r>
      <w:r w:rsidR="00BF1ADC">
        <w:rPr>
          <w:rFonts w:ascii="Calibri" w:hAnsi="Calibri" w:cs="Calibri"/>
        </w:rPr>
        <w:t xml:space="preserve">abnormalities </w:t>
      </w:r>
      <w:r w:rsidR="000C3D54">
        <w:rPr>
          <w:rFonts w:ascii="Calibri" w:hAnsi="Calibri" w:cs="Calibri"/>
        </w:rPr>
        <w:t xml:space="preserve">warrant careful </w:t>
      </w:r>
      <w:r w:rsidR="00BF1ADC">
        <w:rPr>
          <w:rFonts w:ascii="Calibri" w:hAnsi="Calibri" w:cs="Calibri"/>
        </w:rPr>
        <w:t>evaluation</w:t>
      </w:r>
      <w:r w:rsidR="000C3D54">
        <w:rPr>
          <w:rFonts w:ascii="Calibri" w:hAnsi="Calibri" w:cs="Calibri"/>
        </w:rPr>
        <w:t xml:space="preserve">. </w:t>
      </w:r>
      <w:r w:rsidR="005717E2">
        <w:rPr>
          <w:rFonts w:ascii="Calibri" w:hAnsi="Calibri" w:cs="Calibri"/>
        </w:rPr>
        <w:t>I</w:t>
      </w:r>
      <w:r w:rsidR="005A0367">
        <w:rPr>
          <w:rFonts w:ascii="Calibri" w:hAnsi="Calibri" w:cs="Calibri"/>
        </w:rPr>
        <w:t>t is</w:t>
      </w:r>
      <w:r w:rsidR="005717E2">
        <w:rPr>
          <w:rFonts w:ascii="Calibri" w:hAnsi="Calibri" w:cs="Calibri"/>
        </w:rPr>
        <w:t xml:space="preserve"> </w:t>
      </w:r>
      <w:r w:rsidR="005A0367">
        <w:rPr>
          <w:rFonts w:ascii="Calibri" w:hAnsi="Calibri" w:cs="Calibri"/>
        </w:rPr>
        <w:t xml:space="preserve">important </w:t>
      </w:r>
      <w:r w:rsidR="00BF1ADC">
        <w:rPr>
          <w:rFonts w:ascii="Calibri" w:hAnsi="Calibri" w:cs="Calibri"/>
        </w:rPr>
        <w:t xml:space="preserve">however </w:t>
      </w:r>
      <w:r w:rsidR="005A0367">
        <w:rPr>
          <w:rFonts w:ascii="Calibri" w:hAnsi="Calibri" w:cs="Calibri"/>
        </w:rPr>
        <w:t xml:space="preserve">to be </w:t>
      </w:r>
      <w:r w:rsidR="00BF1ADC">
        <w:rPr>
          <w:rFonts w:ascii="Calibri" w:hAnsi="Calibri" w:cs="Calibri"/>
        </w:rPr>
        <w:t xml:space="preserve">aware </w:t>
      </w:r>
      <w:r w:rsidR="005A0367">
        <w:rPr>
          <w:rFonts w:ascii="Calibri" w:hAnsi="Calibri" w:cs="Calibri"/>
        </w:rPr>
        <w:t>that</w:t>
      </w:r>
      <w:r w:rsidR="0045173C" w:rsidRPr="005C607F">
        <w:rPr>
          <w:rFonts w:ascii="Calibri" w:hAnsi="Calibri" w:cs="Calibri"/>
        </w:rPr>
        <w:t xml:space="preserve"> </w:t>
      </w:r>
      <w:r w:rsidR="00CB1388" w:rsidRPr="005C607F">
        <w:rPr>
          <w:rFonts w:ascii="Calibri" w:hAnsi="Calibri" w:cs="Calibri"/>
        </w:rPr>
        <w:t>non</w:t>
      </w:r>
      <w:r w:rsidR="0045173C" w:rsidRPr="005C607F">
        <w:rPr>
          <w:rFonts w:ascii="Calibri" w:hAnsi="Calibri" w:cs="Calibri"/>
        </w:rPr>
        <w:t xml:space="preserve">-specific blood biochemistry changes </w:t>
      </w:r>
      <w:r w:rsidR="0060032B" w:rsidRPr="005C607F">
        <w:rPr>
          <w:rFonts w:ascii="Calibri" w:hAnsi="Calibri" w:cs="Calibri"/>
        </w:rPr>
        <w:t xml:space="preserve">have been reported </w:t>
      </w:r>
      <w:r w:rsidR="0045173C" w:rsidRPr="005C607F">
        <w:rPr>
          <w:rFonts w:ascii="Calibri" w:hAnsi="Calibri" w:cs="Calibri"/>
        </w:rPr>
        <w:t>in dogs with ultrasonographic evidence of apparent biliary obstruction</w:t>
      </w:r>
      <w:r w:rsidR="00CB1388" w:rsidRPr="005C607F">
        <w:rPr>
          <w:rFonts w:ascii="Calibri" w:hAnsi="Calibri" w:cs="Calibri"/>
        </w:rPr>
        <w:t xml:space="preserve"> </w:t>
      </w:r>
      <w:r w:rsidR="00B93F1E" w:rsidRPr="005C607F">
        <w:rPr>
          <w:rFonts w:ascii="Calibri" w:hAnsi="Calibri" w:cs="Calibri"/>
        </w:rPr>
        <w:fldChar w:fldCharType="begin" w:fldLock="1"/>
      </w:r>
      <w:r w:rsidR="005A6E83">
        <w:rPr>
          <w:rFonts w:ascii="Calibri" w:hAnsi="Calibri" w:cs="Calibri"/>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mendeley":{"formattedCitation":"(5)","plainTextFormattedCitation":"(5)","previouslyFormattedCitation":"(5)"},"properties":{"noteIndex":0},"schema":"https://github.com/citation-style-language/schema/raw/master/csl-citation.json"}</w:instrText>
      </w:r>
      <w:r w:rsidR="00B93F1E" w:rsidRPr="005C607F">
        <w:rPr>
          <w:rFonts w:ascii="Calibri" w:hAnsi="Calibri" w:cs="Calibri"/>
        </w:rPr>
        <w:fldChar w:fldCharType="separate"/>
      </w:r>
      <w:r w:rsidR="00B64BFC" w:rsidRPr="005A6E83">
        <w:rPr>
          <w:rFonts w:ascii="Calibri" w:hAnsi="Calibri" w:cs="Calibri"/>
          <w:noProof/>
        </w:rPr>
        <w:t>(5)</w:t>
      </w:r>
      <w:r w:rsidR="00B93F1E" w:rsidRPr="005C607F">
        <w:rPr>
          <w:rFonts w:ascii="Calibri" w:hAnsi="Calibri" w:cs="Calibri"/>
        </w:rPr>
        <w:fldChar w:fldCharType="end"/>
      </w:r>
      <w:r w:rsidR="0045173C" w:rsidRPr="005C607F">
        <w:rPr>
          <w:rFonts w:ascii="Calibri" w:hAnsi="Calibri" w:cs="Calibri"/>
        </w:rPr>
        <w:t>.</w:t>
      </w:r>
      <w:r w:rsidR="005E6353">
        <w:rPr>
          <w:rFonts w:ascii="Calibri" w:hAnsi="Calibri" w:cs="Calibri"/>
        </w:rPr>
        <w:t xml:space="preserve"> </w:t>
      </w:r>
    </w:p>
    <w:p w14:paraId="33948D89" w14:textId="65068FBE" w:rsidR="00661F7E" w:rsidRPr="005C607F" w:rsidRDefault="00661F7E" w:rsidP="00867264">
      <w:pPr>
        <w:spacing w:line="480" w:lineRule="auto"/>
        <w:jc w:val="both"/>
        <w:rPr>
          <w:rFonts w:ascii="Calibri" w:hAnsi="Calibri" w:cs="Calibri"/>
        </w:rPr>
      </w:pPr>
    </w:p>
    <w:p w14:paraId="29B36D8E" w14:textId="0EE9E626" w:rsidR="00042A28" w:rsidRPr="005C607F" w:rsidRDefault="00DE5D07" w:rsidP="00867264">
      <w:pPr>
        <w:spacing w:line="480" w:lineRule="auto"/>
        <w:jc w:val="both"/>
        <w:rPr>
          <w:rFonts w:ascii="Calibri" w:hAnsi="Calibri" w:cs="Calibri"/>
        </w:rPr>
      </w:pPr>
      <w:r w:rsidRPr="005C607F">
        <w:rPr>
          <w:rFonts w:ascii="Calibri" w:hAnsi="Calibri" w:cs="Calibri"/>
        </w:rPr>
        <w:t xml:space="preserve">Choleliths were </w:t>
      </w:r>
      <w:r w:rsidR="00D70050" w:rsidRPr="005C607F">
        <w:rPr>
          <w:rFonts w:ascii="Calibri" w:hAnsi="Calibri" w:cs="Calibri"/>
        </w:rPr>
        <w:t>identified</w:t>
      </w:r>
      <w:r w:rsidRPr="005C607F">
        <w:rPr>
          <w:rFonts w:ascii="Calibri" w:hAnsi="Calibri" w:cs="Calibri"/>
        </w:rPr>
        <w:t xml:space="preserve"> within the gallbladder</w:t>
      </w:r>
      <w:r w:rsidR="00BF4FBE" w:rsidRPr="005C607F">
        <w:rPr>
          <w:rFonts w:ascii="Calibri" w:hAnsi="Calibri" w:cs="Calibri"/>
        </w:rPr>
        <w:t xml:space="preserve"> in </w:t>
      </w:r>
      <w:r w:rsidR="001010CA" w:rsidRPr="005C607F">
        <w:rPr>
          <w:rFonts w:ascii="Calibri" w:hAnsi="Calibri" w:cs="Calibri"/>
        </w:rPr>
        <w:t>92.1</w:t>
      </w:r>
      <w:r w:rsidR="00BF4FBE" w:rsidRPr="005C607F">
        <w:rPr>
          <w:rFonts w:ascii="Calibri" w:hAnsi="Calibri" w:cs="Calibri"/>
        </w:rPr>
        <w:t>% of cases</w:t>
      </w:r>
      <w:r w:rsidRPr="005C607F">
        <w:rPr>
          <w:rFonts w:ascii="Calibri" w:hAnsi="Calibri" w:cs="Calibri"/>
        </w:rPr>
        <w:t xml:space="preserve">, </w:t>
      </w:r>
      <w:r w:rsidR="00D70050" w:rsidRPr="005C607F">
        <w:rPr>
          <w:rFonts w:ascii="Calibri" w:hAnsi="Calibri" w:cs="Calibri"/>
        </w:rPr>
        <w:t>a proportion</w:t>
      </w:r>
      <w:r w:rsidRPr="005C607F">
        <w:rPr>
          <w:rFonts w:ascii="Calibri" w:hAnsi="Calibri" w:cs="Calibri"/>
        </w:rPr>
        <w:t xml:space="preserve"> similar to </w:t>
      </w:r>
      <w:r w:rsidR="002F022A">
        <w:rPr>
          <w:rFonts w:ascii="Calibri" w:hAnsi="Calibri" w:cs="Calibri"/>
        </w:rPr>
        <w:t xml:space="preserve">the </w:t>
      </w:r>
      <w:r w:rsidR="00BF4FBE" w:rsidRPr="005C607F">
        <w:rPr>
          <w:rFonts w:ascii="Calibri" w:hAnsi="Calibri" w:cs="Calibri"/>
        </w:rPr>
        <w:t>previously reported</w:t>
      </w:r>
      <w:r w:rsidR="00D70050" w:rsidRPr="005C607F">
        <w:rPr>
          <w:rFonts w:ascii="Calibri" w:hAnsi="Calibri" w:cs="Calibri"/>
        </w:rPr>
        <w:t xml:space="preserve"> 94%</w:t>
      </w:r>
      <w:r w:rsidR="00BF4FBE" w:rsidRPr="005C607F">
        <w:rPr>
          <w:rFonts w:ascii="Calibri" w:hAnsi="Calibri" w:cs="Calibri"/>
        </w:rPr>
        <w:t xml:space="preserve"> </w:t>
      </w:r>
      <w:r w:rsidR="00D56AD0" w:rsidRPr="005C607F">
        <w:rPr>
          <w:rFonts w:ascii="Calibri" w:hAnsi="Calibri" w:cs="Calibri"/>
        </w:rPr>
        <w:fldChar w:fldCharType="begin" w:fldLock="1"/>
      </w:r>
      <w:r w:rsidR="00444A57" w:rsidRPr="005C607F">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mendeley":{"formattedCitation":"(1)","plainTextFormattedCitation":"(1)","previouslyFormattedCitation":"(1)"},"properties":{"noteIndex":0},"schema":"https://github.com/citation-style-language/schema/raw/master/csl-citation.json"}</w:instrText>
      </w:r>
      <w:r w:rsidR="00D56AD0" w:rsidRPr="005C607F">
        <w:rPr>
          <w:rFonts w:ascii="Calibri" w:hAnsi="Calibri" w:cs="Calibri"/>
        </w:rPr>
        <w:fldChar w:fldCharType="separate"/>
      </w:r>
      <w:r w:rsidR="00B64BFC" w:rsidRPr="005C607F">
        <w:rPr>
          <w:rFonts w:ascii="Calibri" w:hAnsi="Calibri" w:cs="Calibri"/>
          <w:noProof/>
        </w:rPr>
        <w:t>(1)</w:t>
      </w:r>
      <w:r w:rsidR="00D56AD0" w:rsidRPr="005C607F">
        <w:rPr>
          <w:rFonts w:ascii="Calibri" w:hAnsi="Calibri" w:cs="Calibri"/>
        </w:rPr>
        <w:fldChar w:fldCharType="end"/>
      </w:r>
      <w:r w:rsidR="00D70050" w:rsidRPr="005C607F">
        <w:rPr>
          <w:rFonts w:ascii="Calibri" w:hAnsi="Calibri" w:cs="Calibri"/>
        </w:rPr>
        <w:t>.</w:t>
      </w:r>
      <w:r w:rsidR="00430196" w:rsidRPr="005C607F">
        <w:rPr>
          <w:rFonts w:ascii="Calibri" w:hAnsi="Calibri" w:cs="Calibri"/>
        </w:rPr>
        <w:t xml:space="preserve"> </w:t>
      </w:r>
      <w:r w:rsidR="00412309" w:rsidRPr="005C607F">
        <w:rPr>
          <w:rFonts w:ascii="Calibri" w:hAnsi="Calibri" w:cs="Calibri"/>
        </w:rPr>
        <w:t>Th</w:t>
      </w:r>
      <w:r w:rsidR="00E6720D" w:rsidRPr="005C607F">
        <w:rPr>
          <w:rFonts w:ascii="Calibri" w:hAnsi="Calibri" w:cs="Calibri"/>
        </w:rPr>
        <w:t>e important findings that 100% of the non-treatment group and 95% of the incidental group had cholecystolithiasis</w:t>
      </w:r>
      <w:r w:rsidR="00467D83">
        <w:rPr>
          <w:rFonts w:ascii="Calibri" w:hAnsi="Calibri" w:cs="Calibri"/>
        </w:rPr>
        <w:t xml:space="preserve"> alone</w:t>
      </w:r>
      <w:r w:rsidR="00E6720D" w:rsidRPr="005C607F">
        <w:rPr>
          <w:rFonts w:ascii="Calibri" w:hAnsi="Calibri" w:cs="Calibri"/>
        </w:rPr>
        <w:t xml:space="preserve"> </w:t>
      </w:r>
      <w:r w:rsidR="005C2EE8" w:rsidRPr="005C607F">
        <w:rPr>
          <w:rFonts w:ascii="Calibri" w:hAnsi="Calibri" w:cs="Calibri"/>
        </w:rPr>
        <w:t>could</w:t>
      </w:r>
      <w:r w:rsidR="00412309" w:rsidRPr="005C607F">
        <w:rPr>
          <w:rFonts w:ascii="Calibri" w:hAnsi="Calibri" w:cs="Calibri"/>
        </w:rPr>
        <w:t xml:space="preserve"> indicate that </w:t>
      </w:r>
      <w:r w:rsidR="00467D83">
        <w:rPr>
          <w:rFonts w:ascii="Calibri" w:hAnsi="Calibri" w:cs="Calibri"/>
        </w:rPr>
        <w:t xml:space="preserve">the </w:t>
      </w:r>
      <w:r w:rsidR="00412309" w:rsidRPr="005C607F">
        <w:rPr>
          <w:rFonts w:ascii="Calibri" w:hAnsi="Calibri" w:cs="Calibri"/>
        </w:rPr>
        <w:t>presence of</w:t>
      </w:r>
      <w:r w:rsidR="002A444C">
        <w:rPr>
          <w:rFonts w:ascii="Calibri" w:hAnsi="Calibri" w:cs="Calibri"/>
        </w:rPr>
        <w:t xml:space="preserve"> </w:t>
      </w:r>
      <w:r w:rsidR="00467D83">
        <w:rPr>
          <w:rFonts w:ascii="Calibri" w:hAnsi="Calibri" w:cs="Calibri"/>
        </w:rPr>
        <w:t>choleliths</w:t>
      </w:r>
      <w:r w:rsidR="00FB363F" w:rsidRPr="005C607F">
        <w:rPr>
          <w:rFonts w:ascii="Calibri" w:hAnsi="Calibri" w:cs="Calibri"/>
        </w:rPr>
        <w:t>, in the absence of gallbladder wall abnormalities and common bile duct dila</w:t>
      </w:r>
      <w:r w:rsidR="00467D83">
        <w:rPr>
          <w:rFonts w:ascii="Calibri" w:hAnsi="Calibri" w:cs="Calibri"/>
        </w:rPr>
        <w:t>ta</w:t>
      </w:r>
      <w:r w:rsidR="00FB363F" w:rsidRPr="005C607F">
        <w:rPr>
          <w:rFonts w:ascii="Calibri" w:hAnsi="Calibri" w:cs="Calibri"/>
        </w:rPr>
        <w:t>tion,</w:t>
      </w:r>
      <w:r w:rsidR="00412309" w:rsidRPr="005C607F">
        <w:rPr>
          <w:rFonts w:ascii="Calibri" w:hAnsi="Calibri" w:cs="Calibri"/>
        </w:rPr>
        <w:t xml:space="preserve"> may </w:t>
      </w:r>
      <w:r w:rsidR="00FA3EDF">
        <w:rPr>
          <w:rFonts w:ascii="Calibri" w:hAnsi="Calibri" w:cs="Calibri"/>
        </w:rPr>
        <w:t xml:space="preserve">not </w:t>
      </w:r>
      <w:r w:rsidR="00412309" w:rsidRPr="005C607F">
        <w:rPr>
          <w:rFonts w:ascii="Calibri" w:hAnsi="Calibri" w:cs="Calibri"/>
        </w:rPr>
        <w:t>be associated with</w:t>
      </w:r>
      <w:r w:rsidR="00883C11">
        <w:rPr>
          <w:rFonts w:ascii="Calibri" w:hAnsi="Calibri" w:cs="Calibri"/>
        </w:rPr>
        <w:t xml:space="preserve"> </w:t>
      </w:r>
      <w:r w:rsidR="00FA3EDF">
        <w:rPr>
          <w:rFonts w:ascii="Calibri" w:hAnsi="Calibri" w:cs="Calibri"/>
        </w:rPr>
        <w:t>clinical signs</w:t>
      </w:r>
      <w:r w:rsidR="00FB363F" w:rsidRPr="005C607F">
        <w:rPr>
          <w:rFonts w:ascii="Calibri" w:hAnsi="Calibri" w:cs="Calibri"/>
        </w:rPr>
        <w:t>.</w:t>
      </w:r>
      <w:r w:rsidR="00412309" w:rsidRPr="005C607F">
        <w:rPr>
          <w:rFonts w:ascii="Calibri" w:hAnsi="Calibri" w:cs="Calibri"/>
        </w:rPr>
        <w:t xml:space="preserve"> </w:t>
      </w:r>
      <w:r w:rsidR="00887A2F">
        <w:rPr>
          <w:rFonts w:ascii="Calibri" w:hAnsi="Calibri" w:cs="Calibri"/>
        </w:rPr>
        <w:t xml:space="preserve">However, </w:t>
      </w:r>
      <w:r w:rsidR="0071791D">
        <w:rPr>
          <w:rFonts w:ascii="Calibri" w:hAnsi="Calibri" w:cs="Calibri"/>
        </w:rPr>
        <w:t xml:space="preserve">1 </w:t>
      </w:r>
      <w:r w:rsidR="00E430D7">
        <w:rPr>
          <w:rFonts w:ascii="Calibri" w:hAnsi="Calibri" w:cs="Calibri"/>
        </w:rPr>
        <w:t xml:space="preserve">surgically </w:t>
      </w:r>
      <w:r w:rsidR="00887A2F">
        <w:rPr>
          <w:rFonts w:ascii="Calibri" w:hAnsi="Calibri" w:cs="Calibri"/>
        </w:rPr>
        <w:t xml:space="preserve">managed </w:t>
      </w:r>
      <w:r w:rsidR="00D04ED9">
        <w:rPr>
          <w:rFonts w:ascii="Calibri" w:hAnsi="Calibri" w:cs="Calibri"/>
        </w:rPr>
        <w:t xml:space="preserve">dog </w:t>
      </w:r>
      <w:r w:rsidR="00887A2F">
        <w:rPr>
          <w:rFonts w:ascii="Calibri" w:hAnsi="Calibri" w:cs="Calibri"/>
        </w:rPr>
        <w:t xml:space="preserve">with </w:t>
      </w:r>
      <w:r w:rsidR="00887A2F">
        <w:rPr>
          <w:rFonts w:ascii="Calibri" w:hAnsi="Calibri" w:cs="Calibri"/>
        </w:rPr>
        <w:lastRenderedPageBreak/>
        <w:t xml:space="preserve">cholecystolithiasis required surgical intervention </w:t>
      </w:r>
      <w:r w:rsidR="0071791D">
        <w:rPr>
          <w:rFonts w:ascii="Calibri" w:hAnsi="Calibri" w:cs="Calibri"/>
        </w:rPr>
        <w:t>because of</w:t>
      </w:r>
      <w:r w:rsidR="00887A2F">
        <w:rPr>
          <w:rFonts w:ascii="Calibri" w:hAnsi="Calibri" w:cs="Calibri"/>
        </w:rPr>
        <w:t xml:space="preserve"> gallbladder rupture. </w:t>
      </w:r>
      <w:r w:rsidR="00D70050" w:rsidRPr="005C607F">
        <w:rPr>
          <w:rFonts w:ascii="Calibri" w:hAnsi="Calibri" w:cs="Calibri"/>
        </w:rPr>
        <w:t xml:space="preserve">An interesting aspect of </w:t>
      </w:r>
      <w:r w:rsidR="00103150">
        <w:rPr>
          <w:rFonts w:ascii="Calibri" w:hAnsi="Calibri" w:cs="Calibri"/>
        </w:rPr>
        <w:t>our</w:t>
      </w:r>
      <w:r w:rsidR="00103150" w:rsidRPr="005C607F">
        <w:rPr>
          <w:rFonts w:ascii="Calibri" w:hAnsi="Calibri" w:cs="Calibri"/>
        </w:rPr>
        <w:t xml:space="preserve"> </w:t>
      </w:r>
      <w:r w:rsidR="00D70050" w:rsidRPr="005C607F">
        <w:rPr>
          <w:rFonts w:ascii="Calibri" w:hAnsi="Calibri" w:cs="Calibri"/>
        </w:rPr>
        <w:t xml:space="preserve">study </w:t>
      </w:r>
      <w:r w:rsidR="00B207CC" w:rsidRPr="005C607F">
        <w:rPr>
          <w:rFonts w:ascii="Calibri" w:hAnsi="Calibri" w:cs="Calibri"/>
        </w:rPr>
        <w:t>is that all dogs observed to</w:t>
      </w:r>
      <w:r w:rsidR="00D70050" w:rsidRPr="005C607F">
        <w:rPr>
          <w:rFonts w:ascii="Calibri" w:hAnsi="Calibri" w:cs="Calibri"/>
        </w:rPr>
        <w:t xml:space="preserve"> have </w:t>
      </w:r>
      <w:r w:rsidR="00B52DF9">
        <w:rPr>
          <w:rFonts w:ascii="Calibri" w:hAnsi="Calibri" w:cs="Calibri"/>
        </w:rPr>
        <w:t>choledocholiths</w:t>
      </w:r>
      <w:r w:rsidR="00D70050" w:rsidRPr="005C607F">
        <w:rPr>
          <w:rFonts w:ascii="Calibri" w:hAnsi="Calibri" w:cs="Calibri"/>
        </w:rPr>
        <w:t xml:space="preserve"> were </w:t>
      </w:r>
      <w:r w:rsidR="00B207CC" w:rsidRPr="005C607F">
        <w:rPr>
          <w:rFonts w:ascii="Calibri" w:hAnsi="Calibri" w:cs="Calibri"/>
        </w:rPr>
        <w:t>symptomatic</w:t>
      </w:r>
      <w:r w:rsidR="00D70050" w:rsidRPr="005C607F">
        <w:rPr>
          <w:rFonts w:ascii="Calibri" w:hAnsi="Calibri" w:cs="Calibri"/>
        </w:rPr>
        <w:t xml:space="preserve">. </w:t>
      </w:r>
      <w:r w:rsidR="00BE782B">
        <w:rPr>
          <w:rFonts w:ascii="Calibri" w:hAnsi="Calibri" w:cs="Calibri"/>
        </w:rPr>
        <w:t xml:space="preserve">This </w:t>
      </w:r>
      <w:r w:rsidR="00296726">
        <w:rPr>
          <w:rFonts w:ascii="Calibri" w:hAnsi="Calibri" w:cs="Calibri"/>
        </w:rPr>
        <w:t xml:space="preserve">finding </w:t>
      </w:r>
      <w:r w:rsidR="00BE782B">
        <w:rPr>
          <w:rFonts w:ascii="Calibri" w:hAnsi="Calibri" w:cs="Calibri"/>
        </w:rPr>
        <w:t xml:space="preserve">may be related </w:t>
      </w:r>
      <w:r w:rsidR="00763574">
        <w:rPr>
          <w:rFonts w:ascii="Calibri" w:hAnsi="Calibri" w:cs="Calibri"/>
        </w:rPr>
        <w:t xml:space="preserve">not only to bile duct obstruction but also </w:t>
      </w:r>
      <w:r w:rsidR="00BE782B">
        <w:rPr>
          <w:rFonts w:ascii="Calibri" w:hAnsi="Calibri" w:cs="Calibri"/>
        </w:rPr>
        <w:t>to the fact the common bile duct is well</w:t>
      </w:r>
      <w:r w:rsidR="00D00251">
        <w:rPr>
          <w:rFonts w:ascii="Calibri" w:hAnsi="Calibri" w:cs="Calibri"/>
        </w:rPr>
        <w:t>-</w:t>
      </w:r>
      <w:r w:rsidR="00BE782B">
        <w:rPr>
          <w:rFonts w:ascii="Calibri" w:hAnsi="Calibri" w:cs="Calibri"/>
        </w:rPr>
        <w:t>innervated</w:t>
      </w:r>
      <w:r w:rsidR="00D00251">
        <w:rPr>
          <w:rFonts w:ascii="Calibri" w:hAnsi="Calibri" w:cs="Calibri"/>
        </w:rPr>
        <w:t xml:space="preserve"> </w:t>
      </w:r>
      <w:r w:rsidR="006C2112">
        <w:rPr>
          <w:rFonts w:ascii="Calibri" w:hAnsi="Calibri" w:cs="Calibri"/>
        </w:rPr>
        <w:fldChar w:fldCharType="begin" w:fldLock="1"/>
      </w:r>
      <w:r w:rsidR="00E677A0">
        <w:rPr>
          <w:rFonts w:ascii="Calibri" w:hAnsi="Calibri" w:cs="Calibri"/>
        </w:rPr>
        <w:instrText>ADDIN CSL_CITATION {"citationItems":[{"id":"ITEM-1","itemData":{"DOI":"10.1111/j.1572-0241.1978.tb00942.x","ISSN":"15720241","abstract":"The in‐built intrinsic adrenergic and cholinergic nervous apparatus of the supraduodenal common bile duct of the cat and the dog was studied using modern selective specific neurohistochemical thechnies. A rich distribution of fluorescing varicose adrenergic axons and small nerve fascicles was observed within all layers of the duct. The cholinergic innervation was even more richly developed, including large nerve fascicles and nerve trunks as well as cholinergic nerve cells and small ganglia. The present observations corroborate the therory that the common bile duct actively participates. under dual neural control, in biliary dynamics and is not merely a passive conducting tube. Copyright © 1978, Wiley Blackwell. All rights reserved","author":[{"dropping-particle":"","family":"Kyösola","given":"Kimmo","non-dropping-particle":"","parse-names":false,"suffix":""}],"container-title":"The American Journal of Gastroenterology","id":"ITEM-1","issue":"2","issued":{"date-parts":[["1978"]]},"title":"Adrenergic and Cholinergic Innervation of the Supraduodenal Common Bile Duct","type":"article-journal","volume":"70"},"uris":["http://www.mendeley.com/documents/?uuid=4f11fa2a-4c7c-30fd-ac9d-584a3ec08044"]}],"mendeley":{"formattedCitation":"(26)","plainTextFormattedCitation":"(26)","previouslyFormattedCitation":"(27)"},"properties":{"noteIndex":0},"schema":"https://github.com/citation-style-language/schema/raw/master/csl-citation.json"}</w:instrText>
      </w:r>
      <w:r w:rsidR="006C2112">
        <w:rPr>
          <w:rFonts w:ascii="Calibri" w:hAnsi="Calibri" w:cs="Calibri"/>
        </w:rPr>
        <w:fldChar w:fldCharType="separate"/>
      </w:r>
      <w:r w:rsidR="00E677A0" w:rsidRPr="00E677A0">
        <w:rPr>
          <w:rFonts w:ascii="Calibri" w:hAnsi="Calibri" w:cs="Calibri"/>
          <w:noProof/>
        </w:rPr>
        <w:t>(26)</w:t>
      </w:r>
      <w:r w:rsidR="006C2112">
        <w:rPr>
          <w:rFonts w:ascii="Calibri" w:hAnsi="Calibri" w:cs="Calibri"/>
        </w:rPr>
        <w:fldChar w:fldCharType="end"/>
      </w:r>
      <w:r w:rsidR="006C2112">
        <w:rPr>
          <w:rFonts w:ascii="Calibri" w:hAnsi="Calibri" w:cs="Calibri"/>
        </w:rPr>
        <w:t xml:space="preserve"> </w:t>
      </w:r>
      <w:r w:rsidR="00BE782B">
        <w:rPr>
          <w:rFonts w:ascii="Calibri" w:hAnsi="Calibri" w:cs="Calibri"/>
        </w:rPr>
        <w:t xml:space="preserve">and </w:t>
      </w:r>
      <w:r w:rsidR="007A5229">
        <w:rPr>
          <w:rFonts w:ascii="Calibri" w:hAnsi="Calibri" w:cs="Calibri"/>
        </w:rPr>
        <w:t xml:space="preserve">obstruction </w:t>
      </w:r>
      <w:r w:rsidR="00387028">
        <w:rPr>
          <w:rFonts w:ascii="Calibri" w:hAnsi="Calibri" w:cs="Calibri"/>
        </w:rPr>
        <w:t xml:space="preserve">caused by </w:t>
      </w:r>
      <w:r w:rsidR="00BE782B">
        <w:rPr>
          <w:rFonts w:ascii="Calibri" w:hAnsi="Calibri" w:cs="Calibri"/>
        </w:rPr>
        <w:t xml:space="preserve">choledocholithiasis </w:t>
      </w:r>
      <w:r w:rsidR="007A5229">
        <w:rPr>
          <w:rFonts w:ascii="Calibri" w:hAnsi="Calibri" w:cs="Calibri"/>
        </w:rPr>
        <w:t xml:space="preserve">likely </w:t>
      </w:r>
      <w:r w:rsidR="00FE1A5C">
        <w:rPr>
          <w:rFonts w:ascii="Calibri" w:hAnsi="Calibri" w:cs="Calibri"/>
        </w:rPr>
        <w:t xml:space="preserve">is </w:t>
      </w:r>
      <w:r w:rsidR="007A5229">
        <w:rPr>
          <w:rFonts w:ascii="Calibri" w:hAnsi="Calibri" w:cs="Calibri"/>
        </w:rPr>
        <w:t>p</w:t>
      </w:r>
      <w:r w:rsidR="00BE782B">
        <w:rPr>
          <w:rFonts w:ascii="Calibri" w:hAnsi="Calibri" w:cs="Calibri"/>
        </w:rPr>
        <w:t>ain</w:t>
      </w:r>
      <w:r w:rsidR="009F12B1">
        <w:rPr>
          <w:rFonts w:ascii="Calibri" w:hAnsi="Calibri" w:cs="Calibri"/>
        </w:rPr>
        <w:t>ful</w:t>
      </w:r>
      <w:r w:rsidR="00BE782B">
        <w:rPr>
          <w:rFonts w:ascii="Calibri" w:hAnsi="Calibri" w:cs="Calibri"/>
        </w:rPr>
        <w:t xml:space="preserve">. </w:t>
      </w:r>
      <w:r w:rsidR="00DF6C29" w:rsidRPr="005C607F">
        <w:rPr>
          <w:rFonts w:ascii="Calibri" w:hAnsi="Calibri" w:cs="Calibri"/>
        </w:rPr>
        <w:t>This</w:t>
      </w:r>
      <w:r w:rsidR="00D62AF2">
        <w:rPr>
          <w:rFonts w:ascii="Calibri" w:hAnsi="Calibri" w:cs="Calibri"/>
        </w:rPr>
        <w:t xml:space="preserve"> consideration</w:t>
      </w:r>
      <w:r w:rsidR="00DF6C29" w:rsidRPr="005C607F">
        <w:rPr>
          <w:rFonts w:ascii="Calibri" w:hAnsi="Calibri" w:cs="Calibri"/>
        </w:rPr>
        <w:t xml:space="preserve"> combined with t</w:t>
      </w:r>
      <w:r w:rsidR="00010FF9" w:rsidRPr="005C607F">
        <w:rPr>
          <w:rFonts w:ascii="Calibri" w:hAnsi="Calibri" w:cs="Calibri"/>
        </w:rPr>
        <w:t>h</w:t>
      </w:r>
      <w:r w:rsidR="00C0088E" w:rsidRPr="005C607F">
        <w:rPr>
          <w:rFonts w:ascii="Calibri" w:hAnsi="Calibri" w:cs="Calibri"/>
        </w:rPr>
        <w:t>e</w:t>
      </w:r>
      <w:r w:rsidR="00010FF9" w:rsidRPr="005C607F">
        <w:rPr>
          <w:rFonts w:ascii="Calibri" w:hAnsi="Calibri" w:cs="Calibri"/>
        </w:rPr>
        <w:t xml:space="preserve"> important finding </w:t>
      </w:r>
      <w:r w:rsidR="00C0088E" w:rsidRPr="005C607F">
        <w:rPr>
          <w:rFonts w:ascii="Calibri" w:hAnsi="Calibri" w:cs="Calibri"/>
        </w:rPr>
        <w:t>that a high proportion of surgically</w:t>
      </w:r>
      <w:r w:rsidR="00D62AF2">
        <w:rPr>
          <w:rFonts w:ascii="Calibri" w:hAnsi="Calibri" w:cs="Calibri"/>
        </w:rPr>
        <w:t>-</w:t>
      </w:r>
      <w:r w:rsidR="00C0088E" w:rsidRPr="005C607F">
        <w:rPr>
          <w:rFonts w:ascii="Calibri" w:hAnsi="Calibri" w:cs="Calibri"/>
        </w:rPr>
        <w:t>treated dogs had choledocholith</w:t>
      </w:r>
      <w:r w:rsidR="00FA3E8F">
        <w:rPr>
          <w:rFonts w:ascii="Calibri" w:hAnsi="Calibri" w:cs="Calibri"/>
        </w:rPr>
        <w:t>ia</w:t>
      </w:r>
      <w:r w:rsidR="00C0088E" w:rsidRPr="005C607F">
        <w:rPr>
          <w:rFonts w:ascii="Calibri" w:hAnsi="Calibri" w:cs="Calibri"/>
        </w:rPr>
        <w:t>s</w:t>
      </w:r>
      <w:r w:rsidR="00FA3E8F">
        <w:rPr>
          <w:rFonts w:ascii="Calibri" w:hAnsi="Calibri" w:cs="Calibri"/>
        </w:rPr>
        <w:t>is</w:t>
      </w:r>
      <w:r w:rsidR="00EE1305">
        <w:rPr>
          <w:rFonts w:ascii="Calibri" w:hAnsi="Calibri" w:cs="Calibri"/>
        </w:rPr>
        <w:t>,</w:t>
      </w:r>
      <w:r w:rsidR="00C0088E" w:rsidRPr="005C607F">
        <w:rPr>
          <w:rFonts w:ascii="Calibri" w:hAnsi="Calibri" w:cs="Calibri"/>
        </w:rPr>
        <w:t xml:space="preserve"> </w:t>
      </w:r>
      <w:r w:rsidR="00EE1305">
        <w:rPr>
          <w:rFonts w:ascii="Calibri" w:hAnsi="Calibri" w:cs="Calibri"/>
        </w:rPr>
        <w:t>suggests</w:t>
      </w:r>
      <w:r w:rsidR="00EE1305" w:rsidRPr="005C607F">
        <w:rPr>
          <w:rFonts w:ascii="Calibri" w:hAnsi="Calibri" w:cs="Calibri"/>
        </w:rPr>
        <w:t xml:space="preserve"> </w:t>
      </w:r>
      <w:r w:rsidR="00010FF9" w:rsidRPr="005C607F">
        <w:rPr>
          <w:rFonts w:ascii="Calibri" w:hAnsi="Calibri" w:cs="Calibri"/>
        </w:rPr>
        <w:t>that</w:t>
      </w:r>
      <w:r w:rsidR="00C207A1" w:rsidRPr="005C607F">
        <w:rPr>
          <w:rFonts w:ascii="Calibri" w:hAnsi="Calibri" w:cs="Calibri"/>
        </w:rPr>
        <w:t xml:space="preserve"> cholelith</w:t>
      </w:r>
      <w:r w:rsidR="00010FF9" w:rsidRPr="005C607F">
        <w:rPr>
          <w:rFonts w:ascii="Calibri" w:hAnsi="Calibri" w:cs="Calibri"/>
        </w:rPr>
        <w:t xml:space="preserve"> location play</w:t>
      </w:r>
      <w:r w:rsidR="001D1940">
        <w:rPr>
          <w:rFonts w:ascii="Calibri" w:hAnsi="Calibri" w:cs="Calibri"/>
        </w:rPr>
        <w:t>s</w:t>
      </w:r>
      <w:r w:rsidR="00D64195">
        <w:rPr>
          <w:rFonts w:ascii="Calibri" w:hAnsi="Calibri" w:cs="Calibri"/>
        </w:rPr>
        <w:t xml:space="preserve"> </w:t>
      </w:r>
      <w:r w:rsidR="00010FF9" w:rsidRPr="005C607F">
        <w:rPr>
          <w:rFonts w:ascii="Calibri" w:hAnsi="Calibri" w:cs="Calibri"/>
        </w:rPr>
        <w:t>a</w:t>
      </w:r>
      <w:r w:rsidR="0026574D">
        <w:rPr>
          <w:rFonts w:ascii="Calibri" w:hAnsi="Calibri" w:cs="Calibri"/>
        </w:rPr>
        <w:t>n important</w:t>
      </w:r>
      <w:r w:rsidR="00010FF9" w:rsidRPr="005C607F">
        <w:rPr>
          <w:rFonts w:ascii="Calibri" w:hAnsi="Calibri" w:cs="Calibri"/>
        </w:rPr>
        <w:t xml:space="preserve"> role in determining treatment modality</w:t>
      </w:r>
      <w:r w:rsidR="00FA3E8F">
        <w:rPr>
          <w:rFonts w:ascii="Calibri" w:hAnsi="Calibri" w:cs="Calibri"/>
        </w:rPr>
        <w:t>.</w:t>
      </w:r>
      <w:r w:rsidR="00010FF9" w:rsidRPr="005C607F">
        <w:rPr>
          <w:rFonts w:ascii="Calibri" w:hAnsi="Calibri" w:cs="Calibri"/>
        </w:rPr>
        <w:t xml:space="preserve"> </w:t>
      </w:r>
      <w:r w:rsidR="00C207A1" w:rsidRPr="005C607F">
        <w:rPr>
          <w:rFonts w:ascii="Calibri" w:hAnsi="Calibri" w:cs="Calibri"/>
        </w:rPr>
        <w:t>The</w:t>
      </w:r>
      <w:r w:rsidR="004D1A17">
        <w:rPr>
          <w:rFonts w:ascii="Calibri" w:hAnsi="Calibri" w:cs="Calibri"/>
        </w:rPr>
        <w:t xml:space="preserve"> only</w:t>
      </w:r>
      <w:r w:rsidR="00C207A1" w:rsidRPr="005C607F">
        <w:rPr>
          <w:rFonts w:ascii="Calibri" w:hAnsi="Calibri" w:cs="Calibri"/>
        </w:rPr>
        <w:t xml:space="preserve"> </w:t>
      </w:r>
      <w:r w:rsidR="001258AD">
        <w:rPr>
          <w:rFonts w:ascii="Calibri" w:hAnsi="Calibri" w:cs="Calibri"/>
        </w:rPr>
        <w:t xml:space="preserve">dog </w:t>
      </w:r>
      <w:r w:rsidR="004D1A17">
        <w:rPr>
          <w:rFonts w:ascii="Calibri" w:hAnsi="Calibri" w:cs="Calibri"/>
        </w:rPr>
        <w:t>with choledocholithiasis</w:t>
      </w:r>
      <w:r w:rsidR="00C207A1" w:rsidRPr="005C607F">
        <w:rPr>
          <w:rFonts w:ascii="Calibri" w:hAnsi="Calibri" w:cs="Calibri"/>
        </w:rPr>
        <w:t xml:space="preserve"> </w:t>
      </w:r>
      <w:r w:rsidR="00813EB9">
        <w:rPr>
          <w:rFonts w:ascii="Calibri" w:hAnsi="Calibri" w:cs="Calibri"/>
        </w:rPr>
        <w:t>without</w:t>
      </w:r>
      <w:r w:rsidR="00C207A1" w:rsidRPr="005C607F">
        <w:rPr>
          <w:rFonts w:ascii="Calibri" w:hAnsi="Calibri" w:cs="Calibri"/>
        </w:rPr>
        <w:t xml:space="preserve"> surgical intervention </w:t>
      </w:r>
      <w:r w:rsidR="002E3564">
        <w:rPr>
          <w:rFonts w:ascii="Calibri" w:hAnsi="Calibri" w:cs="Calibri"/>
        </w:rPr>
        <w:t>had</w:t>
      </w:r>
      <w:r w:rsidR="00C207A1" w:rsidRPr="005C607F">
        <w:rPr>
          <w:rFonts w:ascii="Calibri" w:hAnsi="Calibri" w:cs="Calibri"/>
        </w:rPr>
        <w:t xml:space="preserve"> a single chole</w:t>
      </w:r>
      <w:r w:rsidR="004A19D6">
        <w:rPr>
          <w:rFonts w:ascii="Calibri" w:hAnsi="Calibri" w:cs="Calibri"/>
        </w:rPr>
        <w:t>docho</w:t>
      </w:r>
      <w:r w:rsidR="00C207A1" w:rsidRPr="005C607F">
        <w:rPr>
          <w:rFonts w:ascii="Calibri" w:hAnsi="Calibri" w:cs="Calibri"/>
        </w:rPr>
        <w:t xml:space="preserve">lith that was not causing complete </w:t>
      </w:r>
      <w:r w:rsidR="00D04ED9">
        <w:rPr>
          <w:rFonts w:ascii="Calibri" w:hAnsi="Calibri" w:cs="Calibri"/>
        </w:rPr>
        <w:t>EHBDO</w:t>
      </w:r>
      <w:r w:rsidR="00C207A1" w:rsidRPr="005C607F">
        <w:rPr>
          <w:rFonts w:ascii="Calibri" w:hAnsi="Calibri" w:cs="Calibri"/>
        </w:rPr>
        <w:t xml:space="preserve"> and had unremarkable serum biochemical changes other than mild hypercholesterolaemia</w:t>
      </w:r>
      <w:r w:rsidR="005479C1">
        <w:rPr>
          <w:rFonts w:ascii="Calibri" w:hAnsi="Calibri" w:cs="Calibri"/>
        </w:rPr>
        <w:t>.</w:t>
      </w:r>
      <w:r w:rsidR="00C207A1" w:rsidRPr="005C607F">
        <w:rPr>
          <w:rFonts w:ascii="Calibri" w:hAnsi="Calibri" w:cs="Calibri"/>
        </w:rPr>
        <w:t xml:space="preserve"> </w:t>
      </w:r>
      <w:r w:rsidR="005479C1">
        <w:rPr>
          <w:rFonts w:ascii="Calibri" w:hAnsi="Calibri" w:cs="Calibri"/>
        </w:rPr>
        <w:t>T</w:t>
      </w:r>
      <w:r w:rsidR="00C207A1" w:rsidRPr="005C607F">
        <w:rPr>
          <w:rFonts w:ascii="Calibri" w:hAnsi="Calibri" w:cs="Calibri"/>
        </w:rPr>
        <w:t>herefore</w:t>
      </w:r>
      <w:r w:rsidR="00290FFD">
        <w:rPr>
          <w:rFonts w:ascii="Calibri" w:hAnsi="Calibri" w:cs="Calibri"/>
        </w:rPr>
        <w:t>,</w:t>
      </w:r>
      <w:r w:rsidR="00C207A1" w:rsidRPr="005C607F">
        <w:rPr>
          <w:rFonts w:ascii="Calibri" w:hAnsi="Calibri" w:cs="Calibri"/>
        </w:rPr>
        <w:t xml:space="preserve"> </w:t>
      </w:r>
      <w:r w:rsidR="006D19F0" w:rsidRPr="005C607F">
        <w:rPr>
          <w:rFonts w:ascii="Calibri" w:hAnsi="Calibri" w:cs="Calibri"/>
        </w:rPr>
        <w:t>medical management</w:t>
      </w:r>
      <w:r w:rsidR="00C207A1" w:rsidRPr="005C607F">
        <w:rPr>
          <w:rFonts w:ascii="Calibri" w:hAnsi="Calibri" w:cs="Calibri"/>
        </w:rPr>
        <w:t xml:space="preserve"> was deemed a reasonable option</w:t>
      </w:r>
      <w:r w:rsidR="00887A2F">
        <w:rPr>
          <w:rFonts w:ascii="Calibri" w:hAnsi="Calibri" w:cs="Calibri"/>
        </w:rPr>
        <w:t>, and was successful in this case</w:t>
      </w:r>
      <w:r w:rsidR="00632FFB">
        <w:rPr>
          <w:rFonts w:ascii="Calibri" w:hAnsi="Calibri" w:cs="Calibri"/>
        </w:rPr>
        <w:t xml:space="preserve"> </w:t>
      </w:r>
      <w:r w:rsidR="00632FFB">
        <w:rPr>
          <w:rFonts w:ascii="Calibri" w:hAnsi="Calibri" w:cs="Calibri"/>
        </w:rPr>
        <w:fldChar w:fldCharType="begin" w:fldLock="1"/>
      </w:r>
      <w:r w:rsidR="004F3243">
        <w:rPr>
          <w:rFonts w:ascii="Calibri" w:hAnsi="Calibri" w:cs="Calibri"/>
        </w:rPr>
        <w:instrText>ADDIN CSL_CITATION {"citationItems":[{"id":"ITEM-1","itemData":{"DOI":"10.1136/vetreccr-2020-001206","abstract":"A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Reports","id":"ITEM-1","issue":"3","issued":{"date-parts":[["2020","9","1"]]},"page":"e001206","title":"Dissolution of cholelithiasis in a Cavalier King Charles Spaniel receiving conservative management with ursodeoxycholic acid","type":"article-journal","volume":"8"},"uris":["http://www.mendeley.com/documents/?uuid=f8418430-3666-4855-8a6c-26f07935f03d"]}],"mendeley":{"formattedCitation":"(5)","plainTextFormattedCitation":"(5)","previouslyFormattedCitation":"(5)"},"properties":{"noteIndex":0},"schema":"https://github.com/citation-style-language/schema/raw/master/csl-citation.json"}</w:instrText>
      </w:r>
      <w:r w:rsidR="00632FFB">
        <w:rPr>
          <w:rFonts w:ascii="Calibri" w:hAnsi="Calibri" w:cs="Calibri"/>
        </w:rPr>
        <w:fldChar w:fldCharType="separate"/>
      </w:r>
      <w:r w:rsidR="00632FFB" w:rsidRPr="00632FFB">
        <w:rPr>
          <w:rFonts w:ascii="Calibri" w:hAnsi="Calibri" w:cs="Calibri"/>
          <w:noProof/>
        </w:rPr>
        <w:t>(5)</w:t>
      </w:r>
      <w:r w:rsidR="00632FFB">
        <w:rPr>
          <w:rFonts w:ascii="Calibri" w:hAnsi="Calibri" w:cs="Calibri"/>
        </w:rPr>
        <w:fldChar w:fldCharType="end"/>
      </w:r>
      <w:r w:rsidR="00C207A1" w:rsidRPr="005C607F">
        <w:rPr>
          <w:rFonts w:ascii="Calibri" w:hAnsi="Calibri" w:cs="Calibri"/>
        </w:rPr>
        <w:t xml:space="preserve">. </w:t>
      </w:r>
      <w:r w:rsidR="0006172A">
        <w:rPr>
          <w:rFonts w:ascii="Calibri" w:hAnsi="Calibri" w:cs="Calibri"/>
        </w:rPr>
        <w:t xml:space="preserve">Further research is required to </w:t>
      </w:r>
      <w:r w:rsidR="00290FFD">
        <w:rPr>
          <w:rFonts w:ascii="Calibri" w:hAnsi="Calibri" w:cs="Calibri"/>
        </w:rPr>
        <w:t>determine</w:t>
      </w:r>
      <w:r w:rsidR="0006172A">
        <w:rPr>
          <w:rFonts w:ascii="Calibri" w:hAnsi="Calibri" w:cs="Calibri"/>
        </w:rPr>
        <w:t xml:space="preserve"> wh</w:t>
      </w:r>
      <w:r w:rsidR="00917D6C">
        <w:rPr>
          <w:rFonts w:ascii="Calibri" w:hAnsi="Calibri" w:cs="Calibri"/>
        </w:rPr>
        <w:t xml:space="preserve">ich factors </w:t>
      </w:r>
      <w:r w:rsidR="004730CB">
        <w:rPr>
          <w:rFonts w:ascii="Calibri" w:hAnsi="Calibri" w:cs="Calibri"/>
        </w:rPr>
        <w:t xml:space="preserve">should </w:t>
      </w:r>
      <w:r w:rsidR="009769FF">
        <w:rPr>
          <w:rFonts w:ascii="Calibri" w:hAnsi="Calibri" w:cs="Calibri"/>
        </w:rPr>
        <w:t>in</w:t>
      </w:r>
      <w:r w:rsidR="00F94C45">
        <w:rPr>
          <w:rFonts w:ascii="Calibri" w:hAnsi="Calibri" w:cs="Calibri"/>
        </w:rPr>
        <w:t>fluence</w:t>
      </w:r>
      <w:r w:rsidR="009C665F">
        <w:rPr>
          <w:rFonts w:ascii="Calibri" w:hAnsi="Calibri" w:cs="Calibri"/>
        </w:rPr>
        <w:t xml:space="preserve"> the decision to intervene</w:t>
      </w:r>
      <w:r w:rsidR="0006172A">
        <w:rPr>
          <w:rFonts w:ascii="Calibri" w:hAnsi="Calibri" w:cs="Calibri"/>
        </w:rPr>
        <w:t xml:space="preserve"> </w:t>
      </w:r>
      <w:r w:rsidR="009C665F">
        <w:rPr>
          <w:rFonts w:ascii="Calibri" w:hAnsi="Calibri" w:cs="Calibri"/>
        </w:rPr>
        <w:t xml:space="preserve">with </w:t>
      </w:r>
      <w:r w:rsidR="0006172A">
        <w:rPr>
          <w:rFonts w:ascii="Calibri" w:hAnsi="Calibri" w:cs="Calibri"/>
        </w:rPr>
        <w:t>surgical versus</w:t>
      </w:r>
      <w:r w:rsidR="009C665F">
        <w:rPr>
          <w:rFonts w:ascii="Calibri" w:hAnsi="Calibri" w:cs="Calibri"/>
        </w:rPr>
        <w:t xml:space="preserve"> </w:t>
      </w:r>
      <w:r w:rsidR="0006172A">
        <w:rPr>
          <w:rFonts w:ascii="Calibri" w:hAnsi="Calibri" w:cs="Calibri"/>
        </w:rPr>
        <w:t>medical management</w:t>
      </w:r>
      <w:r w:rsidR="009C665F">
        <w:rPr>
          <w:rFonts w:ascii="Calibri" w:hAnsi="Calibri" w:cs="Calibri"/>
        </w:rPr>
        <w:t>.</w:t>
      </w:r>
      <w:r w:rsidR="0006172A">
        <w:rPr>
          <w:rFonts w:ascii="Calibri" w:hAnsi="Calibri" w:cs="Calibri"/>
        </w:rPr>
        <w:t xml:space="preserve"> </w:t>
      </w:r>
    </w:p>
    <w:p w14:paraId="46C572D6" w14:textId="1FD344BA" w:rsidR="00661F7E" w:rsidRPr="005C607F" w:rsidRDefault="00661F7E" w:rsidP="00867264">
      <w:pPr>
        <w:spacing w:line="480" w:lineRule="auto"/>
        <w:jc w:val="both"/>
        <w:rPr>
          <w:rFonts w:ascii="Calibri" w:hAnsi="Calibri" w:cs="Calibri"/>
        </w:rPr>
      </w:pPr>
    </w:p>
    <w:p w14:paraId="61866C6A" w14:textId="43236FCE" w:rsidR="00636246" w:rsidRPr="005C607F" w:rsidRDefault="00116E2B" w:rsidP="00867264">
      <w:pPr>
        <w:spacing w:line="480" w:lineRule="auto"/>
        <w:jc w:val="both"/>
        <w:rPr>
          <w:rFonts w:ascii="Calibri" w:hAnsi="Calibri" w:cs="Calibri"/>
        </w:rPr>
      </w:pPr>
      <w:r>
        <w:rPr>
          <w:rFonts w:ascii="Calibri" w:hAnsi="Calibri" w:cs="Calibri"/>
        </w:rPr>
        <w:t>All s</w:t>
      </w:r>
      <w:r w:rsidR="005E6353">
        <w:rPr>
          <w:rFonts w:ascii="Calibri" w:hAnsi="Calibri" w:cs="Calibri"/>
        </w:rPr>
        <w:t>urgically</w:t>
      </w:r>
      <w:r w:rsidR="007F231F">
        <w:rPr>
          <w:rFonts w:ascii="Calibri" w:hAnsi="Calibri" w:cs="Calibri"/>
        </w:rPr>
        <w:t>-</w:t>
      </w:r>
      <w:r w:rsidR="005E6353">
        <w:rPr>
          <w:rFonts w:ascii="Calibri" w:hAnsi="Calibri" w:cs="Calibri"/>
        </w:rPr>
        <w:t>managed dogs were symptomatic for cholelithiasis and a large proportion were documented</w:t>
      </w:r>
      <w:r w:rsidR="00851895" w:rsidRPr="00851895">
        <w:rPr>
          <w:rFonts w:ascii="Calibri" w:hAnsi="Calibri" w:cs="Calibri"/>
        </w:rPr>
        <w:t xml:space="preserve"> </w:t>
      </w:r>
      <w:r w:rsidR="00851895">
        <w:rPr>
          <w:rFonts w:ascii="Calibri" w:hAnsi="Calibri" w:cs="Calibri"/>
        </w:rPr>
        <w:t xml:space="preserve">to </w:t>
      </w:r>
      <w:r w:rsidR="005E6353">
        <w:rPr>
          <w:rFonts w:ascii="Calibri" w:hAnsi="Calibri" w:cs="Calibri"/>
        </w:rPr>
        <w:t xml:space="preserve">have choledocholiths. </w:t>
      </w:r>
      <w:r w:rsidR="008B2926">
        <w:rPr>
          <w:rFonts w:ascii="Calibri" w:hAnsi="Calibri" w:cs="Calibri"/>
        </w:rPr>
        <w:t xml:space="preserve">The median </w:t>
      </w:r>
      <w:r w:rsidR="007F231F">
        <w:rPr>
          <w:rFonts w:ascii="Calibri" w:hAnsi="Calibri" w:cs="Calibri"/>
        </w:rPr>
        <w:t xml:space="preserve">results </w:t>
      </w:r>
      <w:r w:rsidR="008B2926">
        <w:rPr>
          <w:rFonts w:ascii="Calibri" w:hAnsi="Calibri" w:cs="Calibri"/>
        </w:rPr>
        <w:t>of ALP, GGT, ALT</w:t>
      </w:r>
      <w:r w:rsidR="003C1E90">
        <w:rPr>
          <w:rFonts w:ascii="Calibri" w:hAnsi="Calibri" w:cs="Calibri"/>
        </w:rPr>
        <w:t xml:space="preserve"> and</w:t>
      </w:r>
      <w:r w:rsidR="008B2926">
        <w:rPr>
          <w:rFonts w:ascii="Calibri" w:hAnsi="Calibri" w:cs="Calibri"/>
        </w:rPr>
        <w:t xml:space="preserve"> AST</w:t>
      </w:r>
      <w:r w:rsidR="003C1E90">
        <w:rPr>
          <w:rFonts w:ascii="Calibri" w:hAnsi="Calibri" w:cs="Calibri"/>
        </w:rPr>
        <w:t xml:space="preserve"> activities</w:t>
      </w:r>
      <w:r w:rsidR="008B2926">
        <w:rPr>
          <w:rFonts w:ascii="Calibri" w:hAnsi="Calibri" w:cs="Calibri"/>
        </w:rPr>
        <w:t xml:space="preserve"> and bilirubin</w:t>
      </w:r>
      <w:r w:rsidR="003C1E90">
        <w:rPr>
          <w:rFonts w:ascii="Calibri" w:hAnsi="Calibri" w:cs="Calibri"/>
        </w:rPr>
        <w:t xml:space="preserve"> concentration</w:t>
      </w:r>
      <w:r w:rsidR="008B2926">
        <w:rPr>
          <w:rFonts w:ascii="Calibri" w:hAnsi="Calibri" w:cs="Calibri"/>
        </w:rPr>
        <w:t xml:space="preserve"> in this cohort were markedly </w:t>
      </w:r>
      <w:r w:rsidR="00180160">
        <w:rPr>
          <w:rFonts w:ascii="Calibri" w:hAnsi="Calibri" w:cs="Calibri"/>
        </w:rPr>
        <w:t xml:space="preserve">increased </w:t>
      </w:r>
      <w:r w:rsidR="008B2926">
        <w:rPr>
          <w:rFonts w:ascii="Calibri" w:hAnsi="Calibri" w:cs="Calibri"/>
        </w:rPr>
        <w:t xml:space="preserve">above reference intervals, which offers insight into historical </w:t>
      </w:r>
      <w:r w:rsidR="002A444C">
        <w:rPr>
          <w:rFonts w:ascii="Calibri" w:hAnsi="Calibri" w:cs="Calibri"/>
        </w:rPr>
        <w:t xml:space="preserve">treatment </w:t>
      </w:r>
      <w:r w:rsidR="008B2926">
        <w:rPr>
          <w:rFonts w:ascii="Calibri" w:hAnsi="Calibri" w:cs="Calibri"/>
        </w:rPr>
        <w:t>decision-making and suggest</w:t>
      </w:r>
      <w:r w:rsidR="0017376C">
        <w:rPr>
          <w:rFonts w:ascii="Calibri" w:hAnsi="Calibri" w:cs="Calibri"/>
        </w:rPr>
        <w:t>s that</w:t>
      </w:r>
      <w:r w:rsidR="008B2926">
        <w:rPr>
          <w:rFonts w:ascii="Calibri" w:hAnsi="Calibri" w:cs="Calibri"/>
        </w:rPr>
        <w:t xml:space="preserve"> biochemi</w:t>
      </w:r>
      <w:r w:rsidR="0017376C">
        <w:rPr>
          <w:rFonts w:ascii="Calibri" w:hAnsi="Calibri" w:cs="Calibri"/>
        </w:rPr>
        <w:t>stry</w:t>
      </w:r>
      <w:r w:rsidR="00D54E98">
        <w:rPr>
          <w:rFonts w:ascii="Calibri" w:hAnsi="Calibri" w:cs="Calibri"/>
        </w:rPr>
        <w:t xml:space="preserve"> results may have</w:t>
      </w:r>
      <w:r w:rsidR="008B2926">
        <w:rPr>
          <w:rFonts w:ascii="Calibri" w:hAnsi="Calibri" w:cs="Calibri"/>
        </w:rPr>
        <w:t xml:space="preserve"> influenced treatment choice in this cohort. However, </w:t>
      </w:r>
      <w:r w:rsidR="005E35AD">
        <w:rPr>
          <w:rFonts w:ascii="Calibri" w:hAnsi="Calibri" w:cs="Calibri"/>
        </w:rPr>
        <w:t>because of</w:t>
      </w:r>
      <w:r w:rsidR="008B2926">
        <w:rPr>
          <w:rFonts w:ascii="Calibri" w:hAnsi="Calibri" w:cs="Calibri"/>
        </w:rPr>
        <w:t xml:space="preserve"> the retrospective nature of </w:t>
      </w:r>
      <w:r w:rsidR="005E35AD">
        <w:rPr>
          <w:rFonts w:ascii="Calibri" w:hAnsi="Calibri" w:cs="Calibri"/>
        </w:rPr>
        <w:t xml:space="preserve">our </w:t>
      </w:r>
      <w:r w:rsidR="008B2926">
        <w:rPr>
          <w:rFonts w:ascii="Calibri" w:hAnsi="Calibri" w:cs="Calibri"/>
        </w:rPr>
        <w:t xml:space="preserve">study and lack of </w:t>
      </w:r>
      <w:r w:rsidR="005223F7">
        <w:rPr>
          <w:rFonts w:ascii="Calibri" w:hAnsi="Calibri" w:cs="Calibri"/>
        </w:rPr>
        <w:t xml:space="preserve">statistical comparison with </w:t>
      </w:r>
      <w:r w:rsidR="008B2926">
        <w:rPr>
          <w:rFonts w:ascii="Calibri" w:hAnsi="Calibri" w:cs="Calibri"/>
        </w:rPr>
        <w:t xml:space="preserve">a control group </w:t>
      </w:r>
      <w:r w:rsidR="00C23F9C">
        <w:rPr>
          <w:rFonts w:ascii="Calibri" w:hAnsi="Calibri" w:cs="Calibri"/>
        </w:rPr>
        <w:t xml:space="preserve">we can </w:t>
      </w:r>
      <w:r w:rsidR="002A444C">
        <w:rPr>
          <w:rFonts w:ascii="Calibri" w:hAnsi="Calibri" w:cs="Calibri"/>
        </w:rPr>
        <w:t>only speculate</w:t>
      </w:r>
      <w:r w:rsidR="008B2926">
        <w:rPr>
          <w:rFonts w:ascii="Calibri" w:hAnsi="Calibri" w:cs="Calibri"/>
        </w:rPr>
        <w:t xml:space="preserve">. </w:t>
      </w:r>
      <w:r w:rsidR="00DE0536">
        <w:rPr>
          <w:rFonts w:ascii="Calibri" w:hAnsi="Calibri" w:cs="Calibri"/>
        </w:rPr>
        <w:t xml:space="preserve">Despite </w:t>
      </w:r>
      <w:r w:rsidR="006F35C0">
        <w:rPr>
          <w:rFonts w:ascii="Calibri" w:hAnsi="Calibri" w:cs="Calibri"/>
        </w:rPr>
        <w:t>the risk of post-operative morbidity and mortality</w:t>
      </w:r>
      <w:r w:rsidR="00842E14">
        <w:rPr>
          <w:rFonts w:ascii="Calibri" w:hAnsi="Calibri" w:cs="Calibri"/>
        </w:rPr>
        <w:t>,</w:t>
      </w:r>
      <w:r w:rsidR="00DE0536">
        <w:rPr>
          <w:rFonts w:ascii="Calibri" w:hAnsi="Calibri" w:cs="Calibri"/>
        </w:rPr>
        <w:t xml:space="preserve"> long-term prognosis appeared to be favorable</w:t>
      </w:r>
      <w:r w:rsidR="00AE2D32">
        <w:rPr>
          <w:rFonts w:ascii="Calibri" w:hAnsi="Calibri" w:cs="Calibri"/>
        </w:rPr>
        <w:t xml:space="preserve"> in surgically</w:t>
      </w:r>
      <w:r w:rsidR="00B762B7">
        <w:rPr>
          <w:rFonts w:ascii="Calibri" w:hAnsi="Calibri" w:cs="Calibri"/>
        </w:rPr>
        <w:t>-</w:t>
      </w:r>
      <w:r w:rsidR="00AE2D32">
        <w:rPr>
          <w:rFonts w:ascii="Calibri" w:hAnsi="Calibri" w:cs="Calibri"/>
        </w:rPr>
        <w:t>treated dogs</w:t>
      </w:r>
      <w:r w:rsidR="004C1118">
        <w:rPr>
          <w:rFonts w:ascii="Calibri" w:hAnsi="Calibri" w:cs="Calibri"/>
        </w:rPr>
        <w:t>,</w:t>
      </w:r>
      <w:r w:rsidR="005E6353">
        <w:rPr>
          <w:rFonts w:ascii="Calibri" w:hAnsi="Calibri" w:cs="Calibri"/>
        </w:rPr>
        <w:t xml:space="preserve"> with complete resolution of cholelithiasis in </w:t>
      </w:r>
      <w:r w:rsidR="00096AD8">
        <w:rPr>
          <w:rFonts w:ascii="Calibri" w:hAnsi="Calibri" w:cs="Calibri"/>
        </w:rPr>
        <w:t xml:space="preserve">5 </w:t>
      </w:r>
      <w:r w:rsidR="005E6353">
        <w:rPr>
          <w:rFonts w:ascii="Calibri" w:hAnsi="Calibri" w:cs="Calibri"/>
        </w:rPr>
        <w:t xml:space="preserve">of </w:t>
      </w:r>
      <w:r w:rsidR="00096AD8">
        <w:rPr>
          <w:rFonts w:ascii="Calibri" w:hAnsi="Calibri" w:cs="Calibri"/>
        </w:rPr>
        <w:t xml:space="preserve">7 </w:t>
      </w:r>
      <w:r w:rsidR="00DA006D">
        <w:rPr>
          <w:rFonts w:ascii="Calibri" w:hAnsi="Calibri" w:cs="Calibri"/>
        </w:rPr>
        <w:t xml:space="preserve">dogs </w:t>
      </w:r>
      <w:r w:rsidR="005E6353">
        <w:rPr>
          <w:rFonts w:ascii="Calibri" w:hAnsi="Calibri" w:cs="Calibri"/>
        </w:rPr>
        <w:t>with follow-up AUS</w:t>
      </w:r>
      <w:r w:rsidR="00FD20AE">
        <w:rPr>
          <w:rFonts w:ascii="Calibri" w:hAnsi="Calibri" w:cs="Calibri"/>
        </w:rPr>
        <w:t>.</w:t>
      </w:r>
      <w:r w:rsidR="00BE6A48">
        <w:rPr>
          <w:rFonts w:ascii="Calibri" w:hAnsi="Calibri" w:cs="Calibri"/>
        </w:rPr>
        <w:t xml:space="preserve"> </w:t>
      </w:r>
      <w:r w:rsidR="000079A1">
        <w:rPr>
          <w:rFonts w:ascii="Calibri" w:hAnsi="Calibri" w:cs="Calibri"/>
        </w:rPr>
        <w:t>Both</w:t>
      </w:r>
      <w:r w:rsidR="00BE6A48">
        <w:rPr>
          <w:rFonts w:ascii="Calibri" w:hAnsi="Calibri" w:cs="Calibri"/>
        </w:rPr>
        <w:t xml:space="preserve"> cases without complete resolution of cholelithiasis</w:t>
      </w:r>
      <w:r w:rsidR="00566A28">
        <w:rPr>
          <w:rFonts w:ascii="Calibri" w:hAnsi="Calibri" w:cs="Calibri"/>
        </w:rPr>
        <w:t xml:space="preserve"> on AUS</w:t>
      </w:r>
      <w:r w:rsidR="00BE6A48">
        <w:rPr>
          <w:rFonts w:ascii="Calibri" w:hAnsi="Calibri" w:cs="Calibri"/>
        </w:rPr>
        <w:t xml:space="preserve"> remained asymptomatic post-operatively</w:t>
      </w:r>
      <w:r w:rsidR="00DE0536">
        <w:rPr>
          <w:rFonts w:ascii="Calibri" w:hAnsi="Calibri" w:cs="Calibri"/>
        </w:rPr>
        <w:t xml:space="preserve"> </w:t>
      </w:r>
      <w:r w:rsidR="00BE6A48">
        <w:rPr>
          <w:rFonts w:ascii="Calibri" w:hAnsi="Calibri" w:cs="Calibri"/>
        </w:rPr>
        <w:t xml:space="preserve">and died of causes unrelated to cholelithiasis. </w:t>
      </w:r>
      <w:r w:rsidR="00DA006D">
        <w:rPr>
          <w:rFonts w:ascii="Calibri" w:hAnsi="Calibri" w:cs="Calibri"/>
        </w:rPr>
        <w:t xml:space="preserve">Although </w:t>
      </w:r>
      <w:r w:rsidR="00D62B47">
        <w:rPr>
          <w:rFonts w:ascii="Calibri" w:hAnsi="Calibri" w:cs="Calibri"/>
        </w:rPr>
        <w:t xml:space="preserve">previously published data </w:t>
      </w:r>
      <w:r w:rsidR="00270785">
        <w:rPr>
          <w:rFonts w:ascii="Calibri" w:hAnsi="Calibri" w:cs="Calibri"/>
        </w:rPr>
        <w:t>sugges</w:t>
      </w:r>
      <w:r w:rsidR="009318FE">
        <w:rPr>
          <w:rFonts w:ascii="Calibri" w:hAnsi="Calibri" w:cs="Calibri"/>
        </w:rPr>
        <w:t>t</w:t>
      </w:r>
      <w:r w:rsidR="005B63E1">
        <w:rPr>
          <w:rFonts w:ascii="Calibri" w:hAnsi="Calibri" w:cs="Calibri"/>
        </w:rPr>
        <w:t>s</w:t>
      </w:r>
      <w:r w:rsidR="00842E14">
        <w:rPr>
          <w:rFonts w:ascii="Calibri" w:hAnsi="Calibri" w:cs="Calibri"/>
        </w:rPr>
        <w:t xml:space="preserve"> </w:t>
      </w:r>
      <w:r w:rsidR="00DA006D">
        <w:rPr>
          <w:rFonts w:ascii="Calibri" w:hAnsi="Calibri" w:cs="Calibri"/>
        </w:rPr>
        <w:t xml:space="preserve">that </w:t>
      </w:r>
      <w:r w:rsidR="00842E14">
        <w:rPr>
          <w:rFonts w:ascii="Calibri" w:hAnsi="Calibri" w:cs="Calibri"/>
        </w:rPr>
        <w:t xml:space="preserve">dogs undergoing </w:t>
      </w:r>
      <w:r w:rsidR="00842E14">
        <w:rPr>
          <w:rFonts w:ascii="Calibri" w:hAnsi="Calibri" w:cs="Calibri"/>
        </w:rPr>
        <w:lastRenderedPageBreak/>
        <w:t>cholecystectomy ha</w:t>
      </w:r>
      <w:r w:rsidR="005A50EE">
        <w:rPr>
          <w:rFonts w:ascii="Calibri" w:hAnsi="Calibri" w:cs="Calibri"/>
        </w:rPr>
        <w:t>ve</w:t>
      </w:r>
      <w:r w:rsidR="00842E14">
        <w:rPr>
          <w:rFonts w:ascii="Calibri" w:hAnsi="Calibri" w:cs="Calibri"/>
        </w:rPr>
        <w:t xml:space="preserve"> better outcomes than</w:t>
      </w:r>
      <w:r w:rsidR="00D62B47">
        <w:rPr>
          <w:rFonts w:ascii="Calibri" w:hAnsi="Calibri" w:cs="Calibri"/>
        </w:rPr>
        <w:t xml:space="preserve"> medically</w:t>
      </w:r>
      <w:r w:rsidR="00181659">
        <w:rPr>
          <w:rFonts w:ascii="Calibri" w:hAnsi="Calibri" w:cs="Calibri"/>
        </w:rPr>
        <w:t>-</w:t>
      </w:r>
      <w:r w:rsidR="00D62B47">
        <w:rPr>
          <w:rFonts w:ascii="Calibri" w:hAnsi="Calibri" w:cs="Calibri"/>
        </w:rPr>
        <w:t xml:space="preserve">treated dogs </w:t>
      </w:r>
      <w:r w:rsidR="00D62B47">
        <w:rPr>
          <w:rFonts w:ascii="Calibri" w:hAnsi="Calibri" w:cs="Calibri"/>
        </w:rPr>
        <w:fldChar w:fldCharType="begin" w:fldLock="1"/>
      </w:r>
      <w:r w:rsidR="00291CF6">
        <w:rPr>
          <w:rFonts w:ascii="Calibri" w:hAnsi="Calibri" w:cs="Calibri"/>
        </w:rPr>
        <w:instrText>ADDIN CSL_CITATION {"citationItems":[{"id":"ITEM-1","itemData":{"ISSN":"0003-1488","author":[{"dropping-particle":"","family":"Kirpensteijn","given":"J","non-dropping-particle":"","parse-names":false,"suffix":""},{"dropping-particle":"","family":"Fingland","given":"R B","non-dropping-particle":"","parse-names":false,"suffix":""},{"dropping-particle":"","family":"Ulrich","given":"T","non-dropping-particle":"","parse-names":false,"suffix":""},{"dropping-particle":"","family":"Sikkema","given":"D A","non-dropping-particle":"","parse-names":false,"suffix":""},{"dropping-particle":"","family":"Allen","given":"S W","non-dropping-particle":"","parse-names":false,"suffix":""}],"container-title":"Journal of the American Veterinary Medical Association","id":"ITEM-1","issue":"7","issued":{"date-parts":[["1993","4"]]},"page":"1137—1142","title":"Cholelithiasis in dogs: 29 cases (1980-1990)","type":"article-journal","volume":"202"},"uris":["http://www.mendeley.com/documents/?uuid=ea2fcfa7-1d2a-4b11-8772-90011ad056fc"]}],"mendeley":{"formattedCitation":"(3)","plainTextFormattedCitation":"(3)","previouslyFormattedCitation":"(3)"},"properties":{"noteIndex":0},"schema":"https://github.com/citation-style-language/schema/raw/master/csl-citation.json"}</w:instrText>
      </w:r>
      <w:r w:rsidR="00D62B47">
        <w:rPr>
          <w:rFonts w:ascii="Calibri" w:hAnsi="Calibri" w:cs="Calibri"/>
        </w:rPr>
        <w:fldChar w:fldCharType="separate"/>
      </w:r>
      <w:r w:rsidR="00D62B47" w:rsidRPr="00D62B47">
        <w:rPr>
          <w:rFonts w:ascii="Calibri" w:hAnsi="Calibri" w:cs="Calibri"/>
          <w:noProof/>
        </w:rPr>
        <w:t>(3)</w:t>
      </w:r>
      <w:r w:rsidR="00D62B47">
        <w:rPr>
          <w:rFonts w:ascii="Calibri" w:hAnsi="Calibri" w:cs="Calibri"/>
        </w:rPr>
        <w:fldChar w:fldCharType="end"/>
      </w:r>
      <w:r w:rsidR="00D62B47">
        <w:rPr>
          <w:rFonts w:ascii="Calibri" w:hAnsi="Calibri" w:cs="Calibri"/>
        </w:rPr>
        <w:t xml:space="preserve">, </w:t>
      </w:r>
      <w:r w:rsidR="000C3B43">
        <w:rPr>
          <w:rFonts w:ascii="Calibri" w:hAnsi="Calibri" w:cs="Calibri"/>
        </w:rPr>
        <w:t xml:space="preserve">further research is required to establish conclusive evidence of </w:t>
      </w:r>
      <w:r w:rsidR="009F7DED">
        <w:rPr>
          <w:rFonts w:ascii="Calibri" w:hAnsi="Calibri" w:cs="Calibri"/>
        </w:rPr>
        <w:t>superiority</w:t>
      </w:r>
      <w:r w:rsidR="009318FE">
        <w:rPr>
          <w:rFonts w:ascii="Calibri" w:hAnsi="Calibri" w:cs="Calibri"/>
        </w:rPr>
        <w:t>.</w:t>
      </w:r>
      <w:r w:rsidR="00270785">
        <w:rPr>
          <w:rFonts w:ascii="Calibri" w:hAnsi="Calibri" w:cs="Calibri"/>
        </w:rPr>
        <w:t xml:space="preserve"> </w:t>
      </w:r>
    </w:p>
    <w:p w14:paraId="27A6C17D" w14:textId="77777777" w:rsidR="00E120D7" w:rsidRPr="005C607F" w:rsidRDefault="00E120D7" w:rsidP="00867264">
      <w:pPr>
        <w:spacing w:line="480" w:lineRule="auto"/>
        <w:jc w:val="both"/>
        <w:rPr>
          <w:rFonts w:ascii="Calibri" w:hAnsi="Calibri" w:cs="Calibri"/>
        </w:rPr>
      </w:pPr>
    </w:p>
    <w:p w14:paraId="72BC0598" w14:textId="7E9E7958" w:rsidR="00EF27ED" w:rsidRDefault="0062652E" w:rsidP="00867264">
      <w:pPr>
        <w:spacing w:line="480" w:lineRule="auto"/>
        <w:jc w:val="both"/>
        <w:rPr>
          <w:rFonts w:ascii="Calibri" w:hAnsi="Calibri" w:cs="Calibri"/>
        </w:rPr>
      </w:pPr>
      <w:r>
        <w:rPr>
          <w:rFonts w:ascii="Calibri" w:hAnsi="Calibri" w:cs="Calibri"/>
        </w:rPr>
        <w:t>Four medically</w:t>
      </w:r>
      <w:r w:rsidR="00026118">
        <w:rPr>
          <w:rFonts w:ascii="Calibri" w:hAnsi="Calibri" w:cs="Calibri"/>
        </w:rPr>
        <w:t>-</w:t>
      </w:r>
      <w:r>
        <w:rPr>
          <w:rFonts w:ascii="Calibri" w:hAnsi="Calibri" w:cs="Calibri"/>
        </w:rPr>
        <w:t>treated dogs in our study had resolution of cholelithiasis at follow-up AUS</w:t>
      </w:r>
      <w:r w:rsidR="00CA5D88">
        <w:rPr>
          <w:rFonts w:ascii="Calibri" w:hAnsi="Calibri" w:cs="Calibri"/>
        </w:rPr>
        <w:t>,</w:t>
      </w:r>
      <w:r>
        <w:rPr>
          <w:rFonts w:ascii="Calibri" w:hAnsi="Calibri" w:cs="Calibri"/>
        </w:rPr>
        <w:t xml:space="preserve"> and a single dog had a decrease in cholelith number. This finding </w:t>
      </w:r>
      <w:r w:rsidR="00832113">
        <w:rPr>
          <w:rFonts w:ascii="Calibri" w:hAnsi="Calibri" w:cs="Calibri"/>
        </w:rPr>
        <w:t>has not been reported in</w:t>
      </w:r>
      <w:r>
        <w:rPr>
          <w:rFonts w:ascii="Calibri" w:hAnsi="Calibri" w:cs="Calibri"/>
        </w:rPr>
        <w:t xml:space="preserve"> </w:t>
      </w:r>
      <w:r w:rsidR="00F94C45">
        <w:rPr>
          <w:rFonts w:ascii="Calibri" w:hAnsi="Calibri" w:cs="Calibri"/>
        </w:rPr>
        <w:t>the</w:t>
      </w:r>
      <w:r>
        <w:rPr>
          <w:rFonts w:ascii="Calibri" w:hAnsi="Calibri" w:cs="Calibri"/>
        </w:rPr>
        <w:t xml:space="preserve"> literature</w:t>
      </w:r>
      <w:r w:rsidR="00D67C4A">
        <w:rPr>
          <w:rFonts w:ascii="Calibri" w:hAnsi="Calibri" w:cs="Calibri"/>
        </w:rPr>
        <w:t xml:space="preserve"> describing use of UDCA in </w:t>
      </w:r>
      <w:r w:rsidR="00782CAA">
        <w:rPr>
          <w:rFonts w:ascii="Calibri" w:hAnsi="Calibri" w:cs="Calibri"/>
        </w:rPr>
        <w:t xml:space="preserve">dogs with </w:t>
      </w:r>
      <w:r w:rsidR="00D67C4A">
        <w:rPr>
          <w:rFonts w:ascii="Calibri" w:hAnsi="Calibri" w:cs="Calibri"/>
        </w:rPr>
        <w:t>cholelithiasis</w:t>
      </w:r>
      <w:r w:rsidR="00156A8F">
        <w:rPr>
          <w:rFonts w:ascii="Calibri" w:hAnsi="Calibri" w:cs="Calibri"/>
        </w:rPr>
        <w:t xml:space="preserve"> </w:t>
      </w:r>
      <w:r w:rsidR="00156A8F">
        <w:rPr>
          <w:rFonts w:ascii="Calibri" w:hAnsi="Calibri" w:cs="Calibri"/>
        </w:rPr>
        <w:fldChar w:fldCharType="begin" w:fldLock="1"/>
      </w:r>
      <w:r w:rsidR="00337266">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Outcome","type":"article-journal","volume":"56"},"uris":["http://www.mendeley.com/documents/?uuid=ff3a9338-b98b-4d01-965b-26009b9d5232"]},{"id":"ITEM-2","itemData":{"ISSN":"0008-5286","abstract":"A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canadienne","id":"ITEM-2","issue":"9","issued":{"date-parts":[["2017","9"]]},"language":"eng","page":"971-973","publisher":"Canadian Veterinary Medical Association","title":"Intrahepatic cholelithiasis in dogs and cats: A case series","type":"article-journal","volume":"58"},"uris":["http://www.mendeley.com/documents/?uuid=752cbfbe-cc88-4e01-9294-a3295e386423"]},{"id":"ITEM-3","itemData":{"ISSN":"0003-1488","author":[{"dropping-particle":"","family":"Kirpensteijn","given":"J","non-dropping-particle":"","parse-names":false,"suffix":""},{"dropping-particle":"","family":"Fingland","given":"R B","non-dropping-particle":"","parse-names":false,"suffix":""},{"dropping-particle":"","family":"Ulrich","given":"T","non-dropping-particle":"","parse-names":false,"suffix":""},{"dropping-particle":"","family":"Sikkema","given":"D A","non-dropping-particle":"","parse-names":false,"suffix":""},{"dropping-particle":"","family":"Allen","given":"S W","non-dropping-particle":"","parse-names":false,"suffix":""}],"container-title":"Journal of the American Veterinary Medical Association","id":"ITEM-3","issue":"7","issued":{"date-parts":[["1993","4"]]},"page":"1137—1142","title":"Cholelithiasis in dogs: 29 cases (1980-1990)","type":"article-journal","volume":"202"},"uris":["http://www.mendeley.com/documents/?uuid=ea2fcfa7-1d2a-4b11-8772-90011ad056fc"]}],"mendeley":{"formattedCitation":"(1–3)","plainTextFormattedCitation":"(1–3)","previouslyFormattedCitation":"(1–3)"},"properties":{"noteIndex":0},"schema":"https://github.com/citation-style-language/schema/raw/master/csl-citation.json"}</w:instrText>
      </w:r>
      <w:r w:rsidR="00156A8F">
        <w:rPr>
          <w:rFonts w:ascii="Calibri" w:hAnsi="Calibri" w:cs="Calibri"/>
        </w:rPr>
        <w:fldChar w:fldCharType="separate"/>
      </w:r>
      <w:r w:rsidR="00A12AD4" w:rsidRPr="00A12AD4">
        <w:rPr>
          <w:rFonts w:ascii="Calibri" w:hAnsi="Calibri" w:cs="Calibri"/>
          <w:noProof/>
        </w:rPr>
        <w:t>(1–3)</w:t>
      </w:r>
      <w:r w:rsidR="00156A8F">
        <w:rPr>
          <w:rFonts w:ascii="Calibri" w:hAnsi="Calibri" w:cs="Calibri"/>
        </w:rPr>
        <w:fldChar w:fldCharType="end"/>
      </w:r>
      <w:r w:rsidR="00832113">
        <w:rPr>
          <w:rFonts w:ascii="Calibri" w:hAnsi="Calibri" w:cs="Calibri"/>
        </w:rPr>
        <w:t>,</w:t>
      </w:r>
      <w:r w:rsidR="00D67C4A">
        <w:rPr>
          <w:rFonts w:ascii="Calibri" w:hAnsi="Calibri" w:cs="Calibri"/>
        </w:rPr>
        <w:t xml:space="preserve"> other than </w:t>
      </w:r>
      <w:r w:rsidR="00434946">
        <w:rPr>
          <w:rFonts w:ascii="Calibri" w:hAnsi="Calibri" w:cs="Calibri"/>
        </w:rPr>
        <w:t>the</w:t>
      </w:r>
      <w:r w:rsidR="00C20035">
        <w:rPr>
          <w:rFonts w:ascii="Calibri" w:hAnsi="Calibri" w:cs="Calibri"/>
        </w:rPr>
        <w:t xml:space="preserve"> single</w:t>
      </w:r>
      <w:r w:rsidR="00D67C4A">
        <w:rPr>
          <w:rFonts w:ascii="Calibri" w:hAnsi="Calibri" w:cs="Calibri"/>
        </w:rPr>
        <w:t xml:space="preserve"> case</w:t>
      </w:r>
      <w:r w:rsidR="00C20035">
        <w:rPr>
          <w:rFonts w:ascii="Calibri" w:hAnsi="Calibri" w:cs="Calibri"/>
        </w:rPr>
        <w:t xml:space="preserve"> </w:t>
      </w:r>
      <w:r w:rsidR="00D67C4A">
        <w:rPr>
          <w:rFonts w:ascii="Calibri" w:hAnsi="Calibri" w:cs="Calibri"/>
        </w:rPr>
        <w:t xml:space="preserve">included in </w:t>
      </w:r>
      <w:r w:rsidR="00434946">
        <w:rPr>
          <w:rFonts w:ascii="Calibri" w:hAnsi="Calibri" w:cs="Calibri"/>
        </w:rPr>
        <w:t xml:space="preserve">a previous </w:t>
      </w:r>
      <w:r w:rsidR="00D67C4A">
        <w:rPr>
          <w:rFonts w:ascii="Calibri" w:hAnsi="Calibri" w:cs="Calibri"/>
        </w:rPr>
        <w:t>study</w:t>
      </w:r>
      <w:r w:rsidR="00F94C45">
        <w:rPr>
          <w:rFonts w:ascii="Calibri" w:hAnsi="Calibri" w:cs="Calibri"/>
        </w:rPr>
        <w:t xml:space="preserve"> (5)</w:t>
      </w:r>
      <w:r w:rsidR="003B29DF">
        <w:rPr>
          <w:rFonts w:ascii="Calibri" w:hAnsi="Calibri" w:cs="Calibri"/>
        </w:rPr>
        <w:t xml:space="preserve">. </w:t>
      </w:r>
      <w:r w:rsidR="0061042A" w:rsidRPr="0061042A">
        <w:rPr>
          <w:rFonts w:ascii="Calibri" w:hAnsi="Calibri" w:cs="Calibri"/>
        </w:rPr>
        <w:t xml:space="preserve"> </w:t>
      </w:r>
      <w:r w:rsidR="0061042A">
        <w:rPr>
          <w:rFonts w:ascii="Calibri" w:hAnsi="Calibri" w:cs="Calibri"/>
        </w:rPr>
        <w:t>Interestingly</w:t>
      </w:r>
      <w:r w:rsidR="00081F65">
        <w:rPr>
          <w:rFonts w:ascii="Calibri" w:hAnsi="Calibri" w:cs="Calibri"/>
        </w:rPr>
        <w:t>,</w:t>
      </w:r>
      <w:r w:rsidR="0061042A">
        <w:rPr>
          <w:rFonts w:ascii="Calibri" w:hAnsi="Calibri" w:cs="Calibri"/>
        </w:rPr>
        <w:t xml:space="preserve"> </w:t>
      </w:r>
      <w:r w:rsidR="00081F65">
        <w:rPr>
          <w:rFonts w:ascii="Calibri" w:hAnsi="Calibri" w:cs="Calibri"/>
        </w:rPr>
        <w:t>2</w:t>
      </w:r>
      <w:r w:rsidR="0061042A">
        <w:rPr>
          <w:rFonts w:ascii="Calibri" w:hAnsi="Calibri" w:cs="Calibri"/>
        </w:rPr>
        <w:t xml:space="preserve"> dogs with complete resolution had radiolucent choleliths</w:t>
      </w:r>
      <w:r w:rsidR="00F0173C">
        <w:rPr>
          <w:rFonts w:ascii="Calibri" w:hAnsi="Calibri" w:cs="Calibri"/>
        </w:rPr>
        <w:t>,</w:t>
      </w:r>
      <w:r w:rsidR="0061042A">
        <w:rPr>
          <w:rFonts w:ascii="Calibri" w:hAnsi="Calibri" w:cs="Calibri"/>
        </w:rPr>
        <w:t xml:space="preserve"> indicating calcium was not a major component of these choleliths</w:t>
      </w:r>
      <w:r w:rsidR="00FD1E2D">
        <w:rPr>
          <w:rFonts w:ascii="Calibri" w:hAnsi="Calibri" w:cs="Calibri"/>
        </w:rPr>
        <w:t>,</w:t>
      </w:r>
      <w:r w:rsidR="008F078F">
        <w:rPr>
          <w:rFonts w:ascii="Calibri" w:hAnsi="Calibri" w:cs="Calibri"/>
        </w:rPr>
        <w:t xml:space="preserve"> </w:t>
      </w:r>
      <w:r w:rsidR="00F0173C">
        <w:rPr>
          <w:rFonts w:ascii="Calibri" w:hAnsi="Calibri" w:cs="Calibri"/>
        </w:rPr>
        <w:t xml:space="preserve">but </w:t>
      </w:r>
      <w:r w:rsidR="0061042A">
        <w:rPr>
          <w:rFonts w:ascii="Calibri" w:hAnsi="Calibri" w:cs="Calibri"/>
        </w:rPr>
        <w:t>no cases had composition analysis performed</w:t>
      </w:r>
      <w:r w:rsidR="00200CC8">
        <w:rPr>
          <w:rFonts w:ascii="Calibri" w:hAnsi="Calibri" w:cs="Calibri"/>
        </w:rPr>
        <w:t>,</w:t>
      </w:r>
      <w:r w:rsidR="0061042A">
        <w:rPr>
          <w:rFonts w:ascii="Calibri" w:hAnsi="Calibri" w:cs="Calibri"/>
        </w:rPr>
        <w:t xml:space="preserve"> representing a limitation of </w:t>
      </w:r>
      <w:r w:rsidR="00940C9C">
        <w:rPr>
          <w:rFonts w:ascii="Calibri" w:hAnsi="Calibri" w:cs="Calibri"/>
        </w:rPr>
        <w:t>our study</w:t>
      </w:r>
      <w:r w:rsidR="0061042A">
        <w:rPr>
          <w:rFonts w:ascii="Calibri" w:hAnsi="Calibri" w:cs="Calibri"/>
        </w:rPr>
        <w:t xml:space="preserve">. </w:t>
      </w:r>
      <w:r w:rsidR="00E120D7" w:rsidRPr="005C607F">
        <w:rPr>
          <w:rFonts w:ascii="Calibri" w:hAnsi="Calibri" w:cs="Calibri"/>
        </w:rPr>
        <w:t>In human medicine</w:t>
      </w:r>
      <w:r w:rsidR="00F94C45">
        <w:rPr>
          <w:rFonts w:ascii="Calibri" w:hAnsi="Calibri" w:cs="Calibri"/>
        </w:rPr>
        <w:t>,</w:t>
      </w:r>
      <w:r w:rsidR="00E120D7" w:rsidRPr="005C607F">
        <w:rPr>
          <w:rFonts w:ascii="Calibri" w:hAnsi="Calibri" w:cs="Calibri"/>
        </w:rPr>
        <w:t xml:space="preserve"> clear guidelines and inclusion criteria exist to </w:t>
      </w:r>
      <w:r w:rsidR="00ED0A18">
        <w:rPr>
          <w:rFonts w:ascii="Calibri" w:hAnsi="Calibri" w:cs="Calibri"/>
        </w:rPr>
        <w:t>determine which</w:t>
      </w:r>
      <w:r w:rsidR="00E120D7" w:rsidRPr="005C607F">
        <w:rPr>
          <w:rFonts w:ascii="Calibri" w:hAnsi="Calibri" w:cs="Calibri"/>
        </w:rPr>
        <w:t xml:space="preserve"> patients </w:t>
      </w:r>
      <w:r w:rsidR="00061C87">
        <w:rPr>
          <w:rFonts w:ascii="Calibri" w:hAnsi="Calibri" w:cs="Calibri"/>
        </w:rPr>
        <w:t xml:space="preserve">with cholelithiasis </w:t>
      </w:r>
      <w:r w:rsidR="00ED0A18">
        <w:rPr>
          <w:rFonts w:ascii="Calibri" w:hAnsi="Calibri" w:cs="Calibri"/>
        </w:rPr>
        <w:t xml:space="preserve">are </w:t>
      </w:r>
      <w:r w:rsidR="00E120D7" w:rsidRPr="005C607F">
        <w:rPr>
          <w:rFonts w:ascii="Calibri" w:hAnsi="Calibri" w:cs="Calibri"/>
        </w:rPr>
        <w:t xml:space="preserve">likely to benefit from </w:t>
      </w:r>
      <w:r w:rsidR="00C83EA1">
        <w:rPr>
          <w:rFonts w:ascii="Calibri" w:hAnsi="Calibri" w:cs="Calibri"/>
        </w:rPr>
        <w:t xml:space="preserve">treatment using </w:t>
      </w:r>
      <w:r w:rsidR="00E120D7" w:rsidRPr="005C607F">
        <w:rPr>
          <w:rFonts w:ascii="Calibri" w:hAnsi="Calibri" w:cs="Calibri"/>
        </w:rPr>
        <w:t>UDCA, with success rates varying from 60-90%</w:t>
      </w:r>
      <w:r w:rsidR="00FE7B28">
        <w:rPr>
          <w:rFonts w:ascii="Calibri" w:hAnsi="Calibri" w:cs="Calibri"/>
        </w:rPr>
        <w:t xml:space="preserve"> </w:t>
      </w:r>
      <w:r w:rsidR="00FE7B28">
        <w:rPr>
          <w:rFonts w:ascii="Calibri" w:hAnsi="Calibri" w:cs="Calibri"/>
        </w:rPr>
        <w:fldChar w:fldCharType="begin" w:fldLock="1"/>
      </w:r>
      <w:r w:rsidR="00E677A0">
        <w:rPr>
          <w:rFonts w:ascii="Calibri" w:hAnsi="Calibri" w:cs="Calibri"/>
        </w:rPr>
        <w:instrText>ADDIN CSL_CITATION {"citationItems":[{"id":"ITEM-1","itemData":{"ISSN":"1426-9686","author":[{"dropping-particle":"","family":"Stawarski","given":"Andrzej","non-dropping-particle":"","parse-names":false,"suffix":""},{"dropping-particle":"","family":"Iwańczak","given":"Barbara","non-dropping-particle":"","parse-names":false,"suffix":""},{"dropping-particle":"","family":"Iwańczak","given":"Franciszek","non-dropping-particle":"","parse-names":false,"suffix":""}],"container-title":"Polski merkuriusz lekarski : organ Polskiego Towarzystwa Lekarskiego","id":"ITEM-1","issue":"116","issued":{"date-parts":[["2006","2"]]},"page":"199—202","title":"[Predisposing factors and results of pharmalogical treatment using ursodeoxycholic acid of gallbladder stones in children]","type":"article-journal","volume":"20"},"uris":["http://www.mendeley.com/documents/?uuid=8544af95-b723-442b-94f9-7851310f5785"]}],"mendeley":{"formattedCitation":"(27)","plainTextFormattedCitation":"(27)","previouslyFormattedCitation":"(28)"},"properties":{"noteIndex":0},"schema":"https://github.com/citation-style-language/schema/raw/master/csl-citation.json"}</w:instrText>
      </w:r>
      <w:r w:rsidR="00FE7B28">
        <w:rPr>
          <w:rFonts w:ascii="Calibri" w:hAnsi="Calibri" w:cs="Calibri"/>
        </w:rPr>
        <w:fldChar w:fldCharType="separate"/>
      </w:r>
      <w:r w:rsidR="00E677A0" w:rsidRPr="00E677A0">
        <w:rPr>
          <w:rFonts w:ascii="Calibri" w:hAnsi="Calibri" w:cs="Calibri"/>
          <w:noProof/>
        </w:rPr>
        <w:t>(27)</w:t>
      </w:r>
      <w:r w:rsidR="00FE7B28">
        <w:rPr>
          <w:rFonts w:ascii="Calibri" w:hAnsi="Calibri" w:cs="Calibri"/>
        </w:rPr>
        <w:fldChar w:fldCharType="end"/>
      </w:r>
      <w:r w:rsidR="00E120D7" w:rsidRPr="005C607F">
        <w:rPr>
          <w:rFonts w:ascii="Calibri" w:hAnsi="Calibri" w:cs="Calibri"/>
        </w:rPr>
        <w:t xml:space="preserve">. However, no guidelines exist in veterinary medicine, and despite widespread use of UDCA in veterinary medicine for the treatment of </w:t>
      </w:r>
      <w:r w:rsidR="00E120D7">
        <w:rPr>
          <w:rFonts w:ascii="Calibri" w:hAnsi="Calibri" w:cs="Calibri"/>
        </w:rPr>
        <w:t>hepatobiliary disease</w:t>
      </w:r>
      <w:r w:rsidR="00E120D7" w:rsidRPr="005C607F">
        <w:rPr>
          <w:rFonts w:ascii="Calibri" w:hAnsi="Calibri" w:cs="Calibri"/>
        </w:rPr>
        <w:t xml:space="preserve"> </w:t>
      </w:r>
      <w:r w:rsidR="00E120D7" w:rsidRPr="005C607F">
        <w:rPr>
          <w:rFonts w:ascii="Calibri" w:hAnsi="Calibri" w:cs="Calibri"/>
        </w:rPr>
        <w:fldChar w:fldCharType="begin" w:fldLock="1"/>
      </w:r>
      <w:r w:rsidR="00E677A0">
        <w:rPr>
          <w:rFonts w:ascii="Calibri" w:hAnsi="Calibri" w:cs="Calibri"/>
        </w:rPr>
        <w:instrText>ADDIN CSL_CITATION {"citationItems":[{"id":"ITEM-1","itemData":{"DOI":"10.1136/inpract.31.3.130","abstract":"THE treatment of canine liver disease involves a combination of drug therapy and dietary support. This article, the first of two discussing the management of liver disease in dogs, describes the indications and actions of some of the commonly used drugs and dietary treatments for the condition. An article in the next issue of In Practice will consider how to manage the clinical signs of hepatic disorders and outline the clinical approach to some specific liver diseases in dogs.","author":[{"dropping-particle":"","family":"Bexfield","given":"Nick","non-dropping-particle":"","parse-names":false,"suffix":""},{"dropping-particle":"","family":"Watson","given":"Penny","non-dropping-particle":"","parse-names":false,"suffix":""}],"container-title":"In Practice","id":"ITEM-1","issue":"3","issued":{"date-parts":[["2009","3","1"]]},"page":"130 LP  - 135","title":"Treatment of canine liver disease","type":"article-journal","volume":"31"},"uris":["http://www.mendeley.com/documents/?uuid=c3d68c94-1a91-4dc6-9ad2-2336a8492acd"]},{"id":"ITEM-2","itemData":{"DOI":"https://doi.org/10.1016/j.tvjl.2012.06.020","ISSN":"1090-0233","abstract":"A retrospective study was performed to evaluate the effect of treatment with prednisolone or ursodeoxycholic acid (UDCA) on the survival times of 26 cats with lymphocytic cholangitis, and to determine prognostic factors. Most affected cats were males (76.9%, P=0.006) and a breed predisposition for the Norwegian Forest Cat was demonstrated (P=0.021). Clinical signs included weight loss, icterus, anorexia, vomiting, and listlessness. Blood analyses revealed elevated hepatic enzymes, bile acids and hypergammaglobulinaemia. Breed, sex, and therapeutic regimen were significantly associated with survival times. Prednisolone treatment resulted in a statistically longer survival time compared to UDCA.","author":[{"dropping-particle":"","family":"Otte","given":"C M A","non-dropping-particle":"","parse-names":false,"suffix":""},{"dropping-particle":"","family":"Penning","given":"L C","non-dropping-particle":"","parse-names":false,"suffix":""},{"dropping-particle":"","family":"Rothuizen","given":"J","non-dropping-particle":"","parse-names":false,"suffix":""},{"dropping-particle":"","family":"Favier","given":"R P","non-dropping-particle":"","parse-names":false,"suffix":""}],"container-title":"The Veterinary Journal","id":"ITEM-2","issue":"2","issued":{"date-parts":[["2013"]]},"page":"205-209","title":"Retrospective comparison of prednisolone and ursodeoxycholic acid for the treatment of feline lymphocytic cholangitis","type":"article-journal","volume":"195"},"uris":["http://www.mendeley.com/documents/?uuid=c034afef-a08f-4d9b-a2a3-57c55792fd73"]}],"mendeley":{"formattedCitation":"(28,29)","plainTextFormattedCitation":"(28,29)","previouslyFormattedCitation":"(29,30)"},"properties":{"noteIndex":0},"schema":"https://github.com/citation-style-language/schema/raw/master/csl-citation.json"}</w:instrText>
      </w:r>
      <w:r w:rsidR="00E120D7" w:rsidRPr="005C607F">
        <w:rPr>
          <w:rFonts w:ascii="Calibri" w:hAnsi="Calibri" w:cs="Calibri"/>
        </w:rPr>
        <w:fldChar w:fldCharType="separate"/>
      </w:r>
      <w:r w:rsidR="00E677A0" w:rsidRPr="00E677A0">
        <w:rPr>
          <w:rFonts w:ascii="Calibri" w:hAnsi="Calibri" w:cs="Calibri"/>
          <w:noProof/>
        </w:rPr>
        <w:t>(28,29)</w:t>
      </w:r>
      <w:r w:rsidR="00E120D7" w:rsidRPr="005C607F">
        <w:rPr>
          <w:rFonts w:ascii="Calibri" w:hAnsi="Calibri" w:cs="Calibri"/>
        </w:rPr>
        <w:fldChar w:fldCharType="end"/>
      </w:r>
      <w:r w:rsidR="00E120D7" w:rsidRPr="005C607F">
        <w:rPr>
          <w:rFonts w:ascii="Calibri" w:hAnsi="Calibri" w:cs="Calibri"/>
        </w:rPr>
        <w:t xml:space="preserve">, only </w:t>
      </w:r>
      <w:r w:rsidR="00240CE6">
        <w:rPr>
          <w:rFonts w:ascii="Calibri" w:hAnsi="Calibri" w:cs="Calibri"/>
        </w:rPr>
        <w:t>2</w:t>
      </w:r>
      <w:r w:rsidR="00240CE6" w:rsidRPr="005C607F">
        <w:rPr>
          <w:rFonts w:ascii="Calibri" w:hAnsi="Calibri" w:cs="Calibri"/>
        </w:rPr>
        <w:t xml:space="preserve"> </w:t>
      </w:r>
      <w:r w:rsidR="00E120D7" w:rsidRPr="005C607F">
        <w:rPr>
          <w:rFonts w:ascii="Calibri" w:hAnsi="Calibri" w:cs="Calibri"/>
        </w:rPr>
        <w:t xml:space="preserve">case reports documenting its efficacy exist </w:t>
      </w:r>
      <w:r w:rsidR="00E120D7" w:rsidRPr="005C607F">
        <w:rPr>
          <w:rFonts w:ascii="Calibri" w:hAnsi="Calibri" w:cs="Calibri"/>
        </w:rPr>
        <w:fldChar w:fldCharType="begin" w:fldLock="1"/>
      </w:r>
      <w:r w:rsidR="00E120D7">
        <w:rPr>
          <w:rFonts w:ascii="Calibri" w:hAnsi="Calibri" w:cs="Calibri"/>
        </w:rPr>
        <w:instrText>ADDIN CSL_CITATION {"citationItems":[{"id":"ITEM-1","itemData":{"DOI":"10.1111/j.1939-1676.1997.tb00090.x","ISSN":"0891-6640","abstract":"A dog with severe cholestasis secondary to chronic hepatitis was treated with ursodeoxycholic acid (UDCA1 PO. After 2 weeks of daily treatment, the dog was more active and had an improved appetite. Monthly serum biochemical determinations and analysis of individual bile acid profiles documented improvement in hepatobiliary tests and a marked reduction in the concentrations of potentially hepatotoxic endogenous bile acids. These effects were maintained for approximately 6 months- The findings in this dog are similar to those reported for human patients treated with UDCA and provide preliminary evidence in support of its continued evaluation in the treatment of cholestatic liver disease in the dog.","author":[{"dropping-particle":"","family":"Meyer","given":"Denny J","non-dropping-particle":"","parse-names":false,"suffix":""},{"dropping-particle":"","family":"Thompson","given":"Morrow B","non-dropping-particle":"","parse-names":false,"suffix":""},{"dropping-particle":"","family":"Senior","given":"David F","non-dropping-particle":"","parse-names":false,"suffix":""}],"container-title":"Journal of Veterinary Internal Medicine","id":"ITEM-1","issue":"3","issued":{"date-parts":[["1997","5","1"]]},"note":"doi: 10.1111/j.1939-1676.1997.tb00090.x","page":"195-197","publisher":"John Wiley &amp; Sons, Ltd","title":"Use of Ursodeoxycholic Acids in a Dog With Chronic Hepatitis: Effects on Serum Hepatic Tests and Endogenous Bile Acid Composition","type":"article-journal","volume":"11"},"uris":["http://www.mendeley.com/documents/?uuid=ad42bfc6-ebce-446b-a1e5-d05423ec5987"]},{"id":"ITEM-2","itemData":{"DOI":"10.1136/vetreccr-2020-001206","abstract":"A six-year-old female neutered Cavalier King Charles Spaniel presented with recurrent diarrhoea, intermittent vomiting and anorexia. She was diagnosed with partially obstructive cholelithiasis with concurrent suspected chronic pancreatitis based on abdominal ultrasonography and blood biochemistry. The dog responded to conservative management with ursodeoxycholic acid (UDCA), paracetamol and a low-fat diet with resolution of clinical signs attributable to obstructive cholelithiasis and near-complete dissolution of the cholelith at follow-up eight months after presentation. In human medicine, UDCA has been reported to be effective in cholelith dissolution, prevention of cholelith formation and resolution of clinical signs due to cholelithiasis but the non-surgical literature in veterinary medicine is limited. To the authors’ knowledge, this is the first reported case of dissolution of a cholelith in a dog receiving conservative management.","author":[{"dropping-particle":"","family":"Allan","given":"Frederik","non-dropping-particle":"","parse-names":false,"suffix":""},{"dropping-particle":"","family":"McCallum","given":"Katie Elizabeth","non-dropping-particle":"","parse-names":false,"suffix":""},{"dropping-particle":"","family":"Genain","given":"Marie-Aude","non-dropping-particle":"","parse-names":false,"suffix":""},{"dropping-particle":"","family":"Harris","given":"Benjamin John","non-dropping-particle":"","parse-names":false,"suffix":""},{"dropping-particle":"","family":"Watson","given":"Penny J","non-dropping-particle":"","parse-names":false,"suffix":""}],"container-title":"Veterinary Record Case Reports","id":"ITEM-2","issue":"3","issued":{"date-parts":[["2020","9","1"]]},"page":"e001206","title":"Dissolution of cholelithiasis in a Cavalier King Charles Spaniel receiving conservative management with ursodeoxycholic acid","type":"article-journal","volume":"8"},"uris":["http://www.mendeley.com/documents/?uuid=f8418430-3666-4855-8a6c-26f07935f03d"]}],"mendeley":{"formattedCitation":"(5,7)","plainTextFormattedCitation":"(5,7)","previouslyFormattedCitation":"(5,7)"},"properties":{"noteIndex":0},"schema":"https://github.com/citation-style-language/schema/raw/master/csl-citation.json"}</w:instrText>
      </w:r>
      <w:r w:rsidR="00E120D7" w:rsidRPr="005C607F">
        <w:rPr>
          <w:rFonts w:ascii="Calibri" w:hAnsi="Calibri" w:cs="Calibri"/>
        </w:rPr>
        <w:fldChar w:fldCharType="separate"/>
      </w:r>
      <w:r w:rsidR="00E120D7" w:rsidRPr="00545A60">
        <w:rPr>
          <w:rFonts w:ascii="Calibri" w:hAnsi="Calibri" w:cs="Calibri"/>
          <w:noProof/>
        </w:rPr>
        <w:t>(5,7)</w:t>
      </w:r>
      <w:r w:rsidR="00E120D7" w:rsidRPr="005C607F">
        <w:rPr>
          <w:rFonts w:ascii="Calibri" w:hAnsi="Calibri" w:cs="Calibri"/>
        </w:rPr>
        <w:fldChar w:fldCharType="end"/>
      </w:r>
      <w:r w:rsidR="00E120D7" w:rsidRPr="005C607F">
        <w:rPr>
          <w:rFonts w:ascii="Calibri" w:hAnsi="Calibri" w:cs="Calibri"/>
        </w:rPr>
        <w:t>.</w:t>
      </w:r>
      <w:r w:rsidR="0098394F">
        <w:rPr>
          <w:rFonts w:ascii="Calibri" w:hAnsi="Calibri" w:cs="Calibri"/>
        </w:rPr>
        <w:t xml:space="preserve"> </w:t>
      </w:r>
      <w:r w:rsidR="00240CE6">
        <w:rPr>
          <w:rFonts w:ascii="Calibri" w:hAnsi="Calibri" w:cs="Calibri"/>
        </w:rPr>
        <w:t>Ursodeoxycholic acid</w:t>
      </w:r>
      <w:r w:rsidR="00DA1FC3">
        <w:rPr>
          <w:rFonts w:ascii="Calibri" w:hAnsi="Calibri" w:cs="Calibri"/>
        </w:rPr>
        <w:t xml:space="preserve"> is a potent cholerectic </w:t>
      </w:r>
      <w:r w:rsidR="00DA1FC3">
        <w:rPr>
          <w:rFonts w:ascii="Calibri" w:hAnsi="Calibri" w:cs="Calibri"/>
        </w:rPr>
        <w:fldChar w:fldCharType="begin" w:fldLock="1"/>
      </w:r>
      <w:r w:rsidR="000B0E63">
        <w:rPr>
          <w:rFonts w:ascii="Calibri" w:hAnsi="Calibri" w:cs="Calibri"/>
        </w:rPr>
        <w:instrText>ADDIN CSL_CITATION {"citationItems":[{"id":"ITEM-1","itemData":{"DOI":"10.1254/jjp.28.383","author":[{"dropping-particle":"","family":"Yanaura","given":"Saizo","non-dropping-particle":"","parse-names":false,"suffix":""},{"dropping-particle":"","family":"Ishikawa","given":"Shigeru","non-dropping-particle":"","parse-names":false,"suffix":""}],"container-title":"The Japanese Journal of Pharmacology","id":"ITEM-1","issue":"3","issued":{"date-parts":[["1978"]]},"page":"383-389","title":"Cholerectic properties of ursodeoxycholic acid and chenodeoxycholic acid in dogs","type":"article-journal","volume":"28"},"uris":["http://www.mendeley.com/documents/?uuid=d203b2e4-56ea-4425-9640-ea34503cc186"]}],"mendeley":{"formattedCitation":"(9)","plainTextFormattedCitation":"(9)","previouslyFormattedCitation":"(9)"},"properties":{"noteIndex":0},"schema":"https://github.com/citation-style-language/schema/raw/master/csl-citation.json"}</w:instrText>
      </w:r>
      <w:r w:rsidR="00DA1FC3">
        <w:rPr>
          <w:rFonts w:ascii="Calibri" w:hAnsi="Calibri" w:cs="Calibri"/>
        </w:rPr>
        <w:fldChar w:fldCharType="separate"/>
      </w:r>
      <w:r w:rsidR="00DA1FC3" w:rsidRPr="00337266">
        <w:rPr>
          <w:rFonts w:ascii="Calibri" w:hAnsi="Calibri" w:cs="Calibri"/>
          <w:noProof/>
        </w:rPr>
        <w:t>(9)</w:t>
      </w:r>
      <w:r w:rsidR="00DA1FC3">
        <w:rPr>
          <w:rFonts w:ascii="Calibri" w:hAnsi="Calibri" w:cs="Calibri"/>
        </w:rPr>
        <w:fldChar w:fldCharType="end"/>
      </w:r>
      <w:r w:rsidR="007F4DE2">
        <w:rPr>
          <w:rFonts w:ascii="Calibri" w:hAnsi="Calibri" w:cs="Calibri"/>
        </w:rPr>
        <w:t>,</w:t>
      </w:r>
      <w:r w:rsidR="00DA1FC3">
        <w:rPr>
          <w:rFonts w:ascii="Calibri" w:hAnsi="Calibri" w:cs="Calibri"/>
        </w:rPr>
        <w:t xml:space="preserve"> and resolution of cholelithiasis could be accounted for by passing of choleliths </w:t>
      </w:r>
      <w:r w:rsidR="006D27D7">
        <w:rPr>
          <w:rFonts w:ascii="Calibri" w:hAnsi="Calibri" w:cs="Calibri"/>
        </w:rPr>
        <w:t>because of</w:t>
      </w:r>
      <w:r w:rsidR="00DA1FC3">
        <w:rPr>
          <w:rFonts w:ascii="Calibri" w:hAnsi="Calibri" w:cs="Calibri"/>
        </w:rPr>
        <w:t xml:space="preserve"> the cholerectic action of UDCA rather than </w:t>
      </w:r>
      <w:r w:rsidR="0001367E">
        <w:rPr>
          <w:rFonts w:ascii="Calibri" w:hAnsi="Calibri" w:cs="Calibri"/>
        </w:rPr>
        <w:t>litholysis</w:t>
      </w:r>
      <w:r w:rsidR="00DA1FC3">
        <w:rPr>
          <w:rFonts w:ascii="Calibri" w:hAnsi="Calibri" w:cs="Calibri"/>
        </w:rPr>
        <w:t xml:space="preserve">. </w:t>
      </w:r>
      <w:r w:rsidR="00DA1FC3" w:rsidRPr="005C607F">
        <w:rPr>
          <w:rFonts w:ascii="Calibri" w:hAnsi="Calibri" w:cs="Calibri"/>
        </w:rPr>
        <w:t>It</w:t>
      </w:r>
      <w:r w:rsidR="00DA1FC3">
        <w:rPr>
          <w:rFonts w:ascii="Calibri" w:hAnsi="Calibri" w:cs="Calibri"/>
        </w:rPr>
        <w:t xml:space="preserve"> also</w:t>
      </w:r>
      <w:r w:rsidR="00DA1FC3" w:rsidRPr="005C607F">
        <w:rPr>
          <w:rFonts w:ascii="Calibri" w:hAnsi="Calibri" w:cs="Calibri"/>
        </w:rPr>
        <w:t xml:space="preserve"> cannot be discounted that when decrease</w:t>
      </w:r>
      <w:r w:rsidR="00E60CAF">
        <w:rPr>
          <w:rFonts w:ascii="Calibri" w:hAnsi="Calibri" w:cs="Calibri"/>
        </w:rPr>
        <w:t>s</w:t>
      </w:r>
      <w:r w:rsidR="00DA1FC3" w:rsidRPr="005C607F">
        <w:rPr>
          <w:rFonts w:ascii="Calibri" w:hAnsi="Calibri" w:cs="Calibri"/>
        </w:rPr>
        <w:t xml:space="preserve"> in </w:t>
      </w:r>
      <w:r w:rsidR="00DA1FC3">
        <w:rPr>
          <w:rFonts w:ascii="Calibri" w:hAnsi="Calibri" w:cs="Calibri"/>
        </w:rPr>
        <w:t xml:space="preserve">cholelith </w:t>
      </w:r>
      <w:r w:rsidR="00DA1FC3" w:rsidRPr="005C607F">
        <w:rPr>
          <w:rFonts w:ascii="Calibri" w:hAnsi="Calibri" w:cs="Calibri"/>
        </w:rPr>
        <w:t>size or number w</w:t>
      </w:r>
      <w:r w:rsidR="00C20A67">
        <w:rPr>
          <w:rFonts w:ascii="Calibri" w:hAnsi="Calibri" w:cs="Calibri"/>
        </w:rPr>
        <w:t>ere</w:t>
      </w:r>
      <w:r w:rsidR="00DA1FC3" w:rsidRPr="005C607F">
        <w:rPr>
          <w:rFonts w:ascii="Calibri" w:hAnsi="Calibri" w:cs="Calibri"/>
        </w:rPr>
        <w:t xml:space="preserve"> seen, </w:t>
      </w:r>
      <w:r w:rsidR="00C20A67">
        <w:rPr>
          <w:rFonts w:ascii="Calibri" w:hAnsi="Calibri" w:cs="Calibri"/>
        </w:rPr>
        <w:t>smaller</w:t>
      </w:r>
      <w:r w:rsidR="00DA1FC3" w:rsidRPr="005C607F">
        <w:rPr>
          <w:rFonts w:ascii="Calibri" w:hAnsi="Calibri" w:cs="Calibri"/>
        </w:rPr>
        <w:t xml:space="preserve"> cholelith</w:t>
      </w:r>
      <w:r w:rsidR="00C20A67">
        <w:rPr>
          <w:rFonts w:ascii="Calibri" w:hAnsi="Calibri" w:cs="Calibri"/>
        </w:rPr>
        <w:t>s could have</w:t>
      </w:r>
      <w:r w:rsidR="00DA1FC3" w:rsidRPr="005C607F">
        <w:rPr>
          <w:rFonts w:ascii="Calibri" w:hAnsi="Calibri" w:cs="Calibri"/>
        </w:rPr>
        <w:t xml:space="preserve"> passed</w:t>
      </w:r>
      <w:r w:rsidR="00C20A67">
        <w:rPr>
          <w:rFonts w:ascii="Calibri" w:hAnsi="Calibri" w:cs="Calibri"/>
        </w:rPr>
        <w:t>,</w:t>
      </w:r>
      <w:r w:rsidR="00DA1FC3" w:rsidRPr="005C607F">
        <w:rPr>
          <w:rFonts w:ascii="Calibri" w:hAnsi="Calibri" w:cs="Calibri"/>
        </w:rPr>
        <w:t xml:space="preserve"> and new, smaller choleliths subsequently</w:t>
      </w:r>
      <w:r w:rsidR="00C20A67">
        <w:rPr>
          <w:rFonts w:ascii="Calibri" w:hAnsi="Calibri" w:cs="Calibri"/>
        </w:rPr>
        <w:t xml:space="preserve"> could have</w:t>
      </w:r>
      <w:r w:rsidR="00DA1FC3" w:rsidRPr="005C607F">
        <w:rPr>
          <w:rFonts w:ascii="Calibri" w:hAnsi="Calibri" w:cs="Calibri"/>
        </w:rPr>
        <w:t xml:space="preserve"> formed and </w:t>
      </w:r>
      <w:r w:rsidR="00A214C7">
        <w:rPr>
          <w:rFonts w:ascii="Calibri" w:hAnsi="Calibri" w:cs="Calibri"/>
        </w:rPr>
        <w:t>be</w:t>
      </w:r>
      <w:r w:rsidR="00A214C7" w:rsidRPr="005C607F">
        <w:rPr>
          <w:rFonts w:ascii="Calibri" w:hAnsi="Calibri" w:cs="Calibri"/>
        </w:rPr>
        <w:t xml:space="preserve"> </w:t>
      </w:r>
      <w:r w:rsidR="00DA1FC3" w:rsidRPr="005C607F">
        <w:rPr>
          <w:rFonts w:ascii="Calibri" w:hAnsi="Calibri" w:cs="Calibri"/>
        </w:rPr>
        <w:t xml:space="preserve">misinterpreted as a </w:t>
      </w:r>
      <w:r w:rsidR="00A214C7">
        <w:rPr>
          <w:rFonts w:ascii="Calibri" w:hAnsi="Calibri" w:cs="Calibri"/>
        </w:rPr>
        <w:t>decrease</w:t>
      </w:r>
      <w:r w:rsidR="00A214C7" w:rsidRPr="005C607F">
        <w:rPr>
          <w:rFonts w:ascii="Calibri" w:hAnsi="Calibri" w:cs="Calibri"/>
        </w:rPr>
        <w:t xml:space="preserve"> </w:t>
      </w:r>
      <w:r w:rsidR="00DA1FC3" w:rsidRPr="005C607F">
        <w:rPr>
          <w:rFonts w:ascii="Calibri" w:hAnsi="Calibri" w:cs="Calibri"/>
        </w:rPr>
        <w:t>in size or partial dissolution of the previous cholelith.</w:t>
      </w:r>
      <w:r w:rsidR="009B10BB">
        <w:rPr>
          <w:rFonts w:ascii="Calibri" w:hAnsi="Calibri" w:cs="Calibri"/>
        </w:rPr>
        <w:t xml:space="preserve"> Despite this, </w:t>
      </w:r>
      <w:r w:rsidR="009D7DD1">
        <w:rPr>
          <w:rFonts w:ascii="Calibri" w:hAnsi="Calibri" w:cs="Calibri"/>
        </w:rPr>
        <w:t xml:space="preserve">our </w:t>
      </w:r>
      <w:r w:rsidR="009B10BB">
        <w:rPr>
          <w:rFonts w:ascii="Calibri" w:hAnsi="Calibri" w:cs="Calibri"/>
        </w:rPr>
        <w:t xml:space="preserve">findings suggest UDCA can be </w:t>
      </w:r>
      <w:r w:rsidR="0073566B">
        <w:rPr>
          <w:rFonts w:ascii="Calibri" w:hAnsi="Calibri" w:cs="Calibri"/>
        </w:rPr>
        <w:t xml:space="preserve">safely </w:t>
      </w:r>
      <w:r w:rsidR="009B10BB">
        <w:rPr>
          <w:rFonts w:ascii="Calibri" w:hAnsi="Calibri" w:cs="Calibri"/>
        </w:rPr>
        <w:t>used in the medical management of some dogs</w:t>
      </w:r>
      <w:r w:rsidR="00924A7A">
        <w:rPr>
          <w:rFonts w:ascii="Calibri" w:hAnsi="Calibri" w:cs="Calibri"/>
        </w:rPr>
        <w:t>, which</w:t>
      </w:r>
      <w:r w:rsidR="009B10BB">
        <w:rPr>
          <w:rFonts w:ascii="Calibri" w:hAnsi="Calibri" w:cs="Calibri"/>
        </w:rPr>
        <w:t xml:space="preserve"> should inform future prospective studies investigating </w:t>
      </w:r>
      <w:r w:rsidR="00924A7A">
        <w:rPr>
          <w:rFonts w:ascii="Calibri" w:hAnsi="Calibri" w:cs="Calibri"/>
        </w:rPr>
        <w:t xml:space="preserve">the </w:t>
      </w:r>
      <w:r w:rsidR="009B10BB">
        <w:rPr>
          <w:rFonts w:ascii="Calibri" w:hAnsi="Calibri" w:cs="Calibri"/>
        </w:rPr>
        <w:t>use of UDCA for management of cholelithiasis</w:t>
      </w:r>
      <w:r w:rsidR="00D62606">
        <w:rPr>
          <w:rFonts w:ascii="Calibri" w:hAnsi="Calibri" w:cs="Calibri"/>
        </w:rPr>
        <w:t xml:space="preserve"> in dogs</w:t>
      </w:r>
      <w:r w:rsidR="009B10BB">
        <w:rPr>
          <w:rFonts w:ascii="Calibri" w:hAnsi="Calibri" w:cs="Calibri"/>
        </w:rPr>
        <w:t xml:space="preserve">. </w:t>
      </w:r>
    </w:p>
    <w:p w14:paraId="3F385287" w14:textId="77777777" w:rsidR="00EF27ED" w:rsidRDefault="00EF27ED" w:rsidP="00867264">
      <w:pPr>
        <w:spacing w:line="480" w:lineRule="auto"/>
        <w:jc w:val="both"/>
        <w:rPr>
          <w:rFonts w:ascii="Calibri" w:hAnsi="Calibri" w:cs="Calibri"/>
        </w:rPr>
      </w:pPr>
    </w:p>
    <w:p w14:paraId="76995807" w14:textId="7685F321" w:rsidR="00CF1214" w:rsidRPr="005C607F" w:rsidRDefault="006A1078" w:rsidP="00867264">
      <w:pPr>
        <w:spacing w:line="480" w:lineRule="auto"/>
        <w:jc w:val="both"/>
        <w:rPr>
          <w:rFonts w:ascii="Calibri" w:hAnsi="Calibri" w:cs="Calibri"/>
        </w:rPr>
      </w:pPr>
      <w:r>
        <w:rPr>
          <w:rFonts w:ascii="Calibri" w:hAnsi="Calibri" w:cs="Calibri"/>
        </w:rPr>
        <w:t>Medical management</w:t>
      </w:r>
      <w:r w:rsidR="00445678">
        <w:rPr>
          <w:rFonts w:ascii="Calibri" w:hAnsi="Calibri" w:cs="Calibri"/>
        </w:rPr>
        <w:t xml:space="preserve"> was not effective in all cases</w:t>
      </w:r>
      <w:r w:rsidR="005E6353">
        <w:rPr>
          <w:rFonts w:ascii="Calibri" w:hAnsi="Calibri" w:cs="Calibri"/>
        </w:rPr>
        <w:t xml:space="preserve">. </w:t>
      </w:r>
      <w:r w:rsidR="00964451">
        <w:rPr>
          <w:rFonts w:ascii="Calibri" w:hAnsi="Calibri" w:cs="Calibri"/>
        </w:rPr>
        <w:t>In</w:t>
      </w:r>
      <w:r w:rsidR="00636246" w:rsidRPr="005C607F">
        <w:rPr>
          <w:rFonts w:ascii="Calibri" w:hAnsi="Calibri" w:cs="Calibri"/>
        </w:rPr>
        <w:t xml:space="preserve"> </w:t>
      </w:r>
      <w:r w:rsidR="00F422E2">
        <w:rPr>
          <w:rFonts w:ascii="Calibri" w:hAnsi="Calibri" w:cs="Calibri"/>
        </w:rPr>
        <w:t>3</w:t>
      </w:r>
      <w:r w:rsidR="00F422E2" w:rsidRPr="005C607F">
        <w:rPr>
          <w:rFonts w:ascii="Calibri" w:hAnsi="Calibri" w:cs="Calibri"/>
        </w:rPr>
        <w:t xml:space="preserve"> </w:t>
      </w:r>
      <w:r w:rsidR="00636246" w:rsidRPr="005C607F">
        <w:rPr>
          <w:rFonts w:ascii="Calibri" w:hAnsi="Calibri" w:cs="Calibri"/>
        </w:rPr>
        <w:t>dogs</w:t>
      </w:r>
      <w:r w:rsidR="00F422E2">
        <w:rPr>
          <w:rFonts w:ascii="Calibri" w:hAnsi="Calibri" w:cs="Calibri"/>
        </w:rPr>
        <w:t>,</w:t>
      </w:r>
      <w:r w:rsidR="00636246" w:rsidRPr="005C607F">
        <w:rPr>
          <w:rFonts w:ascii="Calibri" w:hAnsi="Calibri" w:cs="Calibri"/>
        </w:rPr>
        <w:t xml:space="preserve"> cholelithiasis did not </w:t>
      </w:r>
      <w:r w:rsidR="00E24827" w:rsidRPr="005C607F">
        <w:rPr>
          <w:rFonts w:ascii="Calibri" w:hAnsi="Calibri" w:cs="Calibri"/>
        </w:rPr>
        <w:t>resolve</w:t>
      </w:r>
      <w:r w:rsidR="00E842E8" w:rsidRPr="005C607F">
        <w:rPr>
          <w:rFonts w:ascii="Calibri" w:hAnsi="Calibri" w:cs="Calibri"/>
        </w:rPr>
        <w:t xml:space="preserve">, </w:t>
      </w:r>
      <w:r w:rsidR="00641185">
        <w:rPr>
          <w:rFonts w:ascii="Calibri" w:hAnsi="Calibri" w:cs="Calibri"/>
        </w:rPr>
        <w:t>al</w:t>
      </w:r>
      <w:r w:rsidR="00E842E8" w:rsidRPr="005C607F">
        <w:rPr>
          <w:rFonts w:ascii="Calibri" w:hAnsi="Calibri" w:cs="Calibri"/>
        </w:rPr>
        <w:t xml:space="preserve">though </w:t>
      </w:r>
      <w:r w:rsidR="00F422E2">
        <w:rPr>
          <w:rFonts w:ascii="Calibri" w:hAnsi="Calibri" w:cs="Calibri"/>
        </w:rPr>
        <w:t>2</w:t>
      </w:r>
      <w:r w:rsidR="00F422E2" w:rsidRPr="005C607F">
        <w:rPr>
          <w:rFonts w:ascii="Calibri" w:hAnsi="Calibri" w:cs="Calibri"/>
        </w:rPr>
        <w:t xml:space="preserve"> </w:t>
      </w:r>
      <w:r w:rsidR="00E842E8" w:rsidRPr="005C607F">
        <w:rPr>
          <w:rFonts w:ascii="Calibri" w:hAnsi="Calibri" w:cs="Calibri"/>
        </w:rPr>
        <w:t>had an improvement in clinical signs and the third was euthani</w:t>
      </w:r>
      <w:r w:rsidR="002E7B89">
        <w:rPr>
          <w:rFonts w:ascii="Calibri" w:hAnsi="Calibri" w:cs="Calibri"/>
        </w:rPr>
        <w:t>z</w:t>
      </w:r>
      <w:r w:rsidR="00E842E8" w:rsidRPr="005C607F">
        <w:rPr>
          <w:rFonts w:ascii="Calibri" w:hAnsi="Calibri" w:cs="Calibri"/>
        </w:rPr>
        <w:t xml:space="preserve">ed </w:t>
      </w:r>
      <w:r w:rsidR="00AA2A74">
        <w:rPr>
          <w:rFonts w:ascii="Calibri" w:hAnsi="Calibri" w:cs="Calibri"/>
        </w:rPr>
        <w:t>because of</w:t>
      </w:r>
      <w:r w:rsidR="00E842E8" w:rsidRPr="005C607F">
        <w:rPr>
          <w:rFonts w:ascii="Calibri" w:hAnsi="Calibri" w:cs="Calibri"/>
        </w:rPr>
        <w:t xml:space="preserve"> </w:t>
      </w:r>
      <w:r w:rsidR="00F60F6D">
        <w:rPr>
          <w:rFonts w:ascii="Calibri" w:hAnsi="Calibri" w:cs="Calibri"/>
        </w:rPr>
        <w:lastRenderedPageBreak/>
        <w:t>development of</w:t>
      </w:r>
      <w:r w:rsidR="00E842E8" w:rsidRPr="005C607F">
        <w:rPr>
          <w:rFonts w:ascii="Calibri" w:hAnsi="Calibri" w:cs="Calibri"/>
        </w:rPr>
        <w:t xml:space="preserve"> suspected histiocytic sarcoma 56 days after detection of cholelithiasis</w:t>
      </w:r>
      <w:r w:rsidR="00636246" w:rsidRPr="005C607F">
        <w:rPr>
          <w:rFonts w:ascii="Calibri" w:hAnsi="Calibri" w:cs="Calibri"/>
        </w:rPr>
        <w:t xml:space="preserve">. </w:t>
      </w:r>
      <w:r w:rsidR="00976E71">
        <w:rPr>
          <w:rFonts w:ascii="Calibri" w:hAnsi="Calibri" w:cs="Calibri"/>
        </w:rPr>
        <w:t>Two surgically</w:t>
      </w:r>
      <w:r w:rsidR="00C634A0">
        <w:rPr>
          <w:rFonts w:ascii="Calibri" w:hAnsi="Calibri" w:cs="Calibri"/>
        </w:rPr>
        <w:t>-</w:t>
      </w:r>
      <w:r w:rsidR="00976E71">
        <w:rPr>
          <w:rFonts w:ascii="Calibri" w:hAnsi="Calibri" w:cs="Calibri"/>
        </w:rPr>
        <w:t xml:space="preserve">managed </w:t>
      </w:r>
      <w:r w:rsidR="00C634A0">
        <w:rPr>
          <w:rFonts w:ascii="Calibri" w:hAnsi="Calibri" w:cs="Calibri"/>
        </w:rPr>
        <w:t>dog</w:t>
      </w:r>
      <w:r w:rsidR="00C22B15">
        <w:rPr>
          <w:rFonts w:ascii="Calibri" w:hAnsi="Calibri" w:cs="Calibri"/>
        </w:rPr>
        <w:t>s</w:t>
      </w:r>
      <w:r w:rsidR="00976E71">
        <w:rPr>
          <w:rFonts w:ascii="Calibri" w:hAnsi="Calibri" w:cs="Calibri"/>
        </w:rPr>
        <w:t xml:space="preserve"> were treated with UDCA for 43 days and 72 days </w:t>
      </w:r>
      <w:r w:rsidR="00C634A0">
        <w:rPr>
          <w:rFonts w:ascii="Calibri" w:hAnsi="Calibri" w:cs="Calibri"/>
        </w:rPr>
        <w:t>before</w:t>
      </w:r>
      <w:r w:rsidR="00976E71">
        <w:rPr>
          <w:rFonts w:ascii="Calibri" w:hAnsi="Calibri" w:cs="Calibri"/>
        </w:rPr>
        <w:t xml:space="preserve"> surgery </w:t>
      </w:r>
      <w:r w:rsidR="00C634A0">
        <w:rPr>
          <w:rFonts w:ascii="Calibri" w:hAnsi="Calibri" w:cs="Calibri"/>
        </w:rPr>
        <w:t xml:space="preserve">and </w:t>
      </w:r>
      <w:r w:rsidR="00B541C0">
        <w:rPr>
          <w:rFonts w:ascii="Calibri" w:hAnsi="Calibri" w:cs="Calibri"/>
        </w:rPr>
        <w:t>before developing</w:t>
      </w:r>
      <w:r w:rsidR="00976E71">
        <w:rPr>
          <w:rFonts w:ascii="Calibri" w:hAnsi="Calibri" w:cs="Calibri"/>
        </w:rPr>
        <w:t xml:space="preserve"> gallbladder rupture and EHBDO</w:t>
      </w:r>
      <w:r w:rsidR="00F81156">
        <w:rPr>
          <w:rFonts w:ascii="Calibri" w:hAnsi="Calibri" w:cs="Calibri"/>
        </w:rPr>
        <w:t>,</w:t>
      </w:r>
      <w:r w:rsidR="00976E71">
        <w:rPr>
          <w:rFonts w:ascii="Calibri" w:hAnsi="Calibri" w:cs="Calibri"/>
        </w:rPr>
        <w:t xml:space="preserve"> respectively, </w:t>
      </w:r>
      <w:r w:rsidR="001D4942">
        <w:rPr>
          <w:rFonts w:ascii="Calibri" w:hAnsi="Calibri" w:cs="Calibri"/>
        </w:rPr>
        <w:t xml:space="preserve">highlighting </w:t>
      </w:r>
      <w:r w:rsidR="00636246" w:rsidRPr="005C607F">
        <w:rPr>
          <w:rFonts w:ascii="Calibri" w:hAnsi="Calibri" w:cs="Calibri"/>
        </w:rPr>
        <w:t>the importance of careful case selection and vigilant monitorin</w:t>
      </w:r>
      <w:r w:rsidR="00F81156">
        <w:rPr>
          <w:rFonts w:ascii="Calibri" w:hAnsi="Calibri" w:cs="Calibri"/>
        </w:rPr>
        <w:t>g</w:t>
      </w:r>
      <w:r w:rsidR="00C22B15">
        <w:rPr>
          <w:rFonts w:ascii="Calibri" w:hAnsi="Calibri" w:cs="Calibri"/>
        </w:rPr>
        <w:t xml:space="preserve">. </w:t>
      </w:r>
      <w:r w:rsidR="002330EC">
        <w:rPr>
          <w:rFonts w:ascii="Calibri" w:hAnsi="Calibri" w:cs="Calibri"/>
        </w:rPr>
        <w:t>Because of</w:t>
      </w:r>
      <w:r w:rsidR="00461FAA">
        <w:rPr>
          <w:rFonts w:ascii="Calibri" w:hAnsi="Calibri" w:cs="Calibri"/>
        </w:rPr>
        <w:t xml:space="preserve"> </w:t>
      </w:r>
      <w:r w:rsidR="005D553E">
        <w:rPr>
          <w:rFonts w:ascii="Calibri" w:hAnsi="Calibri" w:cs="Calibri"/>
        </w:rPr>
        <w:t xml:space="preserve">the retrospective nature of </w:t>
      </w:r>
      <w:r w:rsidR="00FC3205">
        <w:rPr>
          <w:rFonts w:ascii="Calibri" w:hAnsi="Calibri" w:cs="Calibri"/>
        </w:rPr>
        <w:t xml:space="preserve">our </w:t>
      </w:r>
      <w:r w:rsidR="005D553E">
        <w:rPr>
          <w:rFonts w:ascii="Calibri" w:hAnsi="Calibri" w:cs="Calibri"/>
        </w:rPr>
        <w:t>study</w:t>
      </w:r>
      <w:r w:rsidR="00461FAA">
        <w:rPr>
          <w:rFonts w:ascii="Calibri" w:hAnsi="Calibri" w:cs="Calibri"/>
        </w:rPr>
        <w:t xml:space="preserve">, it is not possible to predict which cases will </w:t>
      </w:r>
      <w:r w:rsidR="00CE501F">
        <w:rPr>
          <w:rFonts w:ascii="Calibri" w:hAnsi="Calibri" w:cs="Calibri"/>
        </w:rPr>
        <w:t>respond to medical management</w:t>
      </w:r>
      <w:r w:rsidR="004469C8">
        <w:rPr>
          <w:rFonts w:ascii="Calibri" w:hAnsi="Calibri" w:cs="Calibri"/>
        </w:rPr>
        <w:t>,</w:t>
      </w:r>
      <w:r w:rsidR="00CE501F">
        <w:rPr>
          <w:rFonts w:ascii="Calibri" w:hAnsi="Calibri" w:cs="Calibri"/>
        </w:rPr>
        <w:t xml:space="preserve"> </w:t>
      </w:r>
      <w:r w:rsidR="00461FAA">
        <w:rPr>
          <w:rFonts w:ascii="Calibri" w:hAnsi="Calibri" w:cs="Calibri"/>
        </w:rPr>
        <w:t xml:space="preserve">and future research should focus on identifying factors </w:t>
      </w:r>
      <w:r w:rsidR="002F022A">
        <w:rPr>
          <w:rFonts w:ascii="Calibri" w:hAnsi="Calibri" w:cs="Calibri"/>
        </w:rPr>
        <w:t xml:space="preserve">influencing </w:t>
      </w:r>
      <w:r w:rsidR="00461FAA">
        <w:rPr>
          <w:rFonts w:ascii="Calibri" w:hAnsi="Calibri" w:cs="Calibri"/>
        </w:rPr>
        <w:t xml:space="preserve">this outcome. </w:t>
      </w:r>
    </w:p>
    <w:p w14:paraId="46A7291A" w14:textId="77777777" w:rsidR="004F501C" w:rsidRPr="005C607F" w:rsidRDefault="004F501C" w:rsidP="00867264">
      <w:pPr>
        <w:spacing w:line="480" w:lineRule="auto"/>
        <w:jc w:val="both"/>
        <w:rPr>
          <w:rFonts w:ascii="Calibri" w:hAnsi="Calibri" w:cs="Calibri"/>
        </w:rPr>
      </w:pPr>
    </w:p>
    <w:p w14:paraId="6ECD4F10" w14:textId="4901E0DA" w:rsidR="008D2661" w:rsidRPr="005C607F" w:rsidRDefault="00E76121" w:rsidP="00867264">
      <w:pPr>
        <w:spacing w:line="480" w:lineRule="auto"/>
        <w:jc w:val="both"/>
        <w:rPr>
          <w:rFonts w:ascii="Calibri" w:hAnsi="Calibri" w:cs="Calibri"/>
        </w:rPr>
      </w:pPr>
      <w:r w:rsidRPr="005C607F">
        <w:rPr>
          <w:rFonts w:ascii="Calibri" w:hAnsi="Calibri" w:cs="Calibri"/>
        </w:rPr>
        <w:t>Dogs in the no</w:t>
      </w:r>
      <w:r w:rsidR="00731FB8" w:rsidRPr="005C607F">
        <w:rPr>
          <w:rFonts w:ascii="Calibri" w:hAnsi="Calibri" w:cs="Calibri"/>
        </w:rPr>
        <w:t>n-treatment</w:t>
      </w:r>
      <w:r w:rsidRPr="005C607F">
        <w:rPr>
          <w:rFonts w:ascii="Calibri" w:hAnsi="Calibri" w:cs="Calibri"/>
        </w:rPr>
        <w:t xml:space="preserve"> group </w:t>
      </w:r>
      <w:r w:rsidR="004B1A70" w:rsidRPr="005C607F">
        <w:rPr>
          <w:rFonts w:ascii="Calibri" w:hAnsi="Calibri" w:cs="Calibri"/>
        </w:rPr>
        <w:t xml:space="preserve">all </w:t>
      </w:r>
      <w:r w:rsidRPr="005C607F">
        <w:rPr>
          <w:rFonts w:ascii="Calibri" w:hAnsi="Calibri" w:cs="Calibri"/>
        </w:rPr>
        <w:t xml:space="preserve">had choleliths </w:t>
      </w:r>
      <w:r w:rsidR="00BB7721" w:rsidRPr="005C607F">
        <w:rPr>
          <w:rFonts w:ascii="Calibri" w:hAnsi="Calibri" w:cs="Calibri"/>
        </w:rPr>
        <w:t xml:space="preserve">solely </w:t>
      </w:r>
      <w:r w:rsidRPr="005C607F">
        <w:rPr>
          <w:rFonts w:ascii="Calibri" w:hAnsi="Calibri" w:cs="Calibri"/>
        </w:rPr>
        <w:t>within the gallbladder, were</w:t>
      </w:r>
      <w:r w:rsidR="00731FB8" w:rsidRPr="005C607F">
        <w:rPr>
          <w:rFonts w:ascii="Calibri" w:hAnsi="Calibri" w:cs="Calibri"/>
        </w:rPr>
        <w:t xml:space="preserve"> asymptomatic</w:t>
      </w:r>
      <w:r w:rsidRPr="005C607F">
        <w:rPr>
          <w:rFonts w:ascii="Calibri" w:hAnsi="Calibri" w:cs="Calibri"/>
        </w:rPr>
        <w:t xml:space="preserve"> and </w:t>
      </w:r>
      <w:r w:rsidR="0027554F">
        <w:rPr>
          <w:rFonts w:ascii="Calibri" w:hAnsi="Calibri" w:cs="Calibri"/>
        </w:rPr>
        <w:t>had lower</w:t>
      </w:r>
      <w:r w:rsidR="00731FB8" w:rsidRPr="005C607F">
        <w:rPr>
          <w:rFonts w:ascii="Calibri" w:hAnsi="Calibri" w:cs="Calibri"/>
        </w:rPr>
        <w:t xml:space="preserve"> </w:t>
      </w:r>
      <w:r w:rsidR="003E4323">
        <w:rPr>
          <w:rFonts w:ascii="Calibri" w:hAnsi="Calibri" w:cs="Calibri"/>
        </w:rPr>
        <w:t xml:space="preserve">median </w:t>
      </w:r>
      <w:r w:rsidR="00731FB8" w:rsidRPr="005C607F">
        <w:rPr>
          <w:rFonts w:ascii="Calibri" w:hAnsi="Calibri" w:cs="Calibri"/>
        </w:rPr>
        <w:t xml:space="preserve">hepatobiliary </w:t>
      </w:r>
      <w:r w:rsidR="000C02A6">
        <w:rPr>
          <w:rFonts w:ascii="Calibri" w:hAnsi="Calibri" w:cs="Calibri"/>
        </w:rPr>
        <w:t>laboratory test results</w:t>
      </w:r>
      <w:r w:rsidR="000C02A6" w:rsidRPr="005C607F">
        <w:rPr>
          <w:rFonts w:ascii="Calibri" w:hAnsi="Calibri" w:cs="Calibri"/>
        </w:rPr>
        <w:t xml:space="preserve"> </w:t>
      </w:r>
      <w:r w:rsidR="003E4323">
        <w:rPr>
          <w:rFonts w:ascii="Calibri" w:hAnsi="Calibri" w:cs="Calibri"/>
        </w:rPr>
        <w:t>at presentation</w:t>
      </w:r>
      <w:r w:rsidR="0027554F">
        <w:rPr>
          <w:rFonts w:ascii="Calibri" w:hAnsi="Calibri" w:cs="Calibri"/>
        </w:rPr>
        <w:t xml:space="preserve"> than </w:t>
      </w:r>
      <w:r w:rsidR="000C02A6">
        <w:rPr>
          <w:rFonts w:ascii="Calibri" w:hAnsi="Calibri" w:cs="Calibri"/>
        </w:rPr>
        <w:t xml:space="preserve">did </w:t>
      </w:r>
      <w:r w:rsidR="0027554F">
        <w:rPr>
          <w:rFonts w:ascii="Calibri" w:hAnsi="Calibri" w:cs="Calibri"/>
        </w:rPr>
        <w:t>both other treatment groups</w:t>
      </w:r>
      <w:r w:rsidRPr="005C607F">
        <w:rPr>
          <w:rFonts w:ascii="Calibri" w:hAnsi="Calibri" w:cs="Calibri"/>
        </w:rPr>
        <w:t xml:space="preserve">. </w:t>
      </w:r>
      <w:r w:rsidR="00731FB8" w:rsidRPr="005C607F">
        <w:rPr>
          <w:rFonts w:ascii="Calibri" w:hAnsi="Calibri" w:cs="Calibri"/>
        </w:rPr>
        <w:t>N</w:t>
      </w:r>
      <w:r w:rsidR="004F501C" w:rsidRPr="005C607F">
        <w:rPr>
          <w:rFonts w:ascii="Calibri" w:hAnsi="Calibri" w:cs="Calibri"/>
        </w:rPr>
        <w:t>one of the dogs progressed to require</w:t>
      </w:r>
      <w:r w:rsidR="00763574">
        <w:rPr>
          <w:rFonts w:ascii="Calibri" w:hAnsi="Calibri" w:cs="Calibri"/>
        </w:rPr>
        <w:t xml:space="preserve"> </w:t>
      </w:r>
      <w:r w:rsidR="004F501C" w:rsidRPr="005C607F">
        <w:rPr>
          <w:rFonts w:ascii="Calibri" w:hAnsi="Calibri" w:cs="Calibri"/>
        </w:rPr>
        <w:t xml:space="preserve">surgical or medical intervention </w:t>
      </w:r>
      <w:r w:rsidR="00A450B5">
        <w:rPr>
          <w:rFonts w:ascii="Calibri" w:hAnsi="Calibri" w:cs="Calibri"/>
        </w:rPr>
        <w:t>or</w:t>
      </w:r>
      <w:r w:rsidR="004F501C" w:rsidRPr="005C607F">
        <w:rPr>
          <w:rFonts w:ascii="Calibri" w:hAnsi="Calibri" w:cs="Calibri"/>
        </w:rPr>
        <w:t xml:space="preserve"> were reported to have died of causes attributable to cholelithiasis. The </w:t>
      </w:r>
      <w:r w:rsidR="005E6353">
        <w:rPr>
          <w:rFonts w:ascii="Calibri" w:hAnsi="Calibri" w:cs="Calibri"/>
        </w:rPr>
        <w:t xml:space="preserve">favorable </w:t>
      </w:r>
      <w:r w:rsidR="004F501C" w:rsidRPr="005C607F">
        <w:rPr>
          <w:rFonts w:ascii="Calibri" w:hAnsi="Calibri" w:cs="Calibri"/>
        </w:rPr>
        <w:t>survival</w:t>
      </w:r>
      <w:r w:rsidR="005E6353">
        <w:rPr>
          <w:rFonts w:ascii="Calibri" w:hAnsi="Calibri" w:cs="Calibri"/>
        </w:rPr>
        <w:t xml:space="preserve"> time</w:t>
      </w:r>
      <w:r w:rsidR="004F501C" w:rsidRPr="005C607F">
        <w:rPr>
          <w:rFonts w:ascii="Calibri" w:hAnsi="Calibri" w:cs="Calibri"/>
        </w:rPr>
        <w:t xml:space="preserve"> </w:t>
      </w:r>
      <w:r w:rsidR="005E6353">
        <w:rPr>
          <w:rFonts w:ascii="Calibri" w:hAnsi="Calibri" w:cs="Calibri"/>
        </w:rPr>
        <w:t>of the</w:t>
      </w:r>
      <w:r w:rsidR="004F501C" w:rsidRPr="005C607F">
        <w:rPr>
          <w:rFonts w:ascii="Calibri" w:hAnsi="Calibri" w:cs="Calibri"/>
        </w:rPr>
        <w:t xml:space="preserve"> </w:t>
      </w:r>
      <w:r w:rsidR="00964451">
        <w:rPr>
          <w:rFonts w:ascii="Calibri" w:hAnsi="Calibri" w:cs="Calibri"/>
        </w:rPr>
        <w:t>non-treatment</w:t>
      </w:r>
      <w:r w:rsidR="005E6353">
        <w:rPr>
          <w:rFonts w:ascii="Calibri" w:hAnsi="Calibri" w:cs="Calibri"/>
        </w:rPr>
        <w:t xml:space="preserve"> </w:t>
      </w:r>
      <w:r w:rsidR="004F501C" w:rsidRPr="005C607F">
        <w:rPr>
          <w:rFonts w:ascii="Calibri" w:hAnsi="Calibri" w:cs="Calibri"/>
        </w:rPr>
        <w:t xml:space="preserve">group indicates that the decision </w:t>
      </w:r>
      <w:r w:rsidR="00964451">
        <w:rPr>
          <w:rFonts w:ascii="Calibri" w:hAnsi="Calibri" w:cs="Calibri"/>
        </w:rPr>
        <w:t xml:space="preserve">not to treat </w:t>
      </w:r>
      <w:r w:rsidR="004F501C" w:rsidRPr="005C607F">
        <w:rPr>
          <w:rFonts w:ascii="Calibri" w:hAnsi="Calibri" w:cs="Calibri"/>
        </w:rPr>
        <w:t>cholelithiasis was not detriment</w:t>
      </w:r>
      <w:r w:rsidR="00F135A9">
        <w:rPr>
          <w:rFonts w:ascii="Calibri" w:hAnsi="Calibri" w:cs="Calibri"/>
        </w:rPr>
        <w:t>al</w:t>
      </w:r>
      <w:r w:rsidR="004F501C" w:rsidRPr="005C607F">
        <w:rPr>
          <w:rFonts w:ascii="Calibri" w:hAnsi="Calibri" w:cs="Calibri"/>
        </w:rPr>
        <w:t xml:space="preserve">. </w:t>
      </w:r>
      <w:r w:rsidR="004B1A70" w:rsidRPr="005C607F">
        <w:rPr>
          <w:rFonts w:ascii="Calibri" w:hAnsi="Calibri" w:cs="Calibri"/>
        </w:rPr>
        <w:t xml:space="preserve">It </w:t>
      </w:r>
      <w:r w:rsidR="00C609FF" w:rsidRPr="005C607F">
        <w:rPr>
          <w:rFonts w:ascii="Calibri" w:hAnsi="Calibri" w:cs="Calibri"/>
        </w:rPr>
        <w:t>is</w:t>
      </w:r>
      <w:r w:rsidR="007830C0">
        <w:rPr>
          <w:rFonts w:ascii="Calibri" w:hAnsi="Calibri" w:cs="Calibri"/>
        </w:rPr>
        <w:t xml:space="preserve"> </w:t>
      </w:r>
      <w:r w:rsidR="00C609FF" w:rsidRPr="005C607F">
        <w:rPr>
          <w:rFonts w:ascii="Calibri" w:hAnsi="Calibri" w:cs="Calibri"/>
        </w:rPr>
        <w:t>reasonable to conclude</w:t>
      </w:r>
      <w:r w:rsidR="004B1A70" w:rsidRPr="005C607F">
        <w:rPr>
          <w:rFonts w:ascii="Calibri" w:hAnsi="Calibri" w:cs="Calibri"/>
        </w:rPr>
        <w:t xml:space="preserve"> from t</w:t>
      </w:r>
      <w:r w:rsidR="00B2629A" w:rsidRPr="005C607F">
        <w:rPr>
          <w:rFonts w:ascii="Calibri" w:hAnsi="Calibri" w:cs="Calibri"/>
        </w:rPr>
        <w:t>he findings</w:t>
      </w:r>
      <w:r w:rsidR="004B1A70" w:rsidRPr="005C607F">
        <w:rPr>
          <w:rFonts w:ascii="Calibri" w:hAnsi="Calibri" w:cs="Calibri"/>
        </w:rPr>
        <w:t xml:space="preserve"> of our study and previous studies </w:t>
      </w:r>
      <w:r w:rsidR="00772FF2" w:rsidRPr="005C607F">
        <w:rPr>
          <w:rFonts w:ascii="Calibri" w:hAnsi="Calibri" w:cs="Calibri"/>
        </w:rPr>
        <w:fldChar w:fldCharType="begin" w:fldLock="1"/>
      </w:r>
      <w:r w:rsidR="00444A57" w:rsidRPr="005C607F">
        <w:rPr>
          <w:rFonts w:ascii="Calibri" w:hAnsi="Calibri" w:cs="Calibri"/>
        </w:rPr>
        <w:instrText>ADDIN CSL_CITATION {"citationItems":[{"id":"ITEM-1","itemData":{"ISSN":"0008-5286","abstract":"A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canadienne","id":"ITEM-1","issue":"9","issued":{"date-parts":[["2017","9"]]},"language":"eng","page":"971-973","publisher":"Canadian Veterinary Medical Association","title":"Intrahepatic cholelithiasis in dogs and cats: A case series","type":"article-journal","volume":"58"},"uris":["http://www.mendeley.com/documents/?uuid=752cbfbe-cc88-4e01-9294-a3295e386423"]},{"id":"ITEM-2","itemData":{"DOI":"10.5326/JAAHA-MS-7000","ISSN":"0587-2871","abstract":"Canine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Association","id":"ITEM-2","issue":"3","issued":{"date-parts":[["2020","5","1"]]},"page":"152","title":"Cholelithiasis in the Dog: Prevalence, Clinical Presentation, and Outcome","type":"article-journal","volume":"56"},"uris":["http://www.mendeley.com/documents/?uuid=ff3a9338-b98b-4d01-965b-26009b9d5232"]}],"mendeley":{"formattedCitation":"(1,2)","plainTextFormattedCitation":"(1,2)","previouslyFormattedCitation":"(1,2)"},"properties":{"noteIndex":0},"schema":"https://github.com/citation-style-language/schema/raw/master/csl-citation.json"}</w:instrText>
      </w:r>
      <w:r w:rsidR="00772FF2" w:rsidRPr="005C607F">
        <w:rPr>
          <w:rFonts w:ascii="Calibri" w:hAnsi="Calibri" w:cs="Calibri"/>
        </w:rPr>
        <w:fldChar w:fldCharType="separate"/>
      </w:r>
      <w:r w:rsidR="00B64BFC" w:rsidRPr="005C607F">
        <w:rPr>
          <w:rFonts w:ascii="Calibri" w:hAnsi="Calibri" w:cs="Calibri"/>
          <w:noProof/>
        </w:rPr>
        <w:t>(1,2)</w:t>
      </w:r>
      <w:r w:rsidR="00772FF2" w:rsidRPr="005C607F">
        <w:rPr>
          <w:rFonts w:ascii="Calibri" w:hAnsi="Calibri" w:cs="Calibri"/>
        </w:rPr>
        <w:fldChar w:fldCharType="end"/>
      </w:r>
      <w:r w:rsidR="00B2629A" w:rsidRPr="005C607F">
        <w:rPr>
          <w:rFonts w:ascii="Calibri" w:hAnsi="Calibri" w:cs="Calibri"/>
        </w:rPr>
        <w:t xml:space="preserve"> that dogs with choleliths in the gallbladder only, without clinical signs attributable to cholelithiasis (or clinical signs attributable to another disease process), with </w:t>
      </w:r>
      <w:r w:rsidR="00573B35">
        <w:rPr>
          <w:rFonts w:ascii="Calibri" w:hAnsi="Calibri" w:cs="Calibri"/>
        </w:rPr>
        <w:t>relatively normal serum</w:t>
      </w:r>
      <w:r w:rsidR="00B2629A" w:rsidRPr="005C607F">
        <w:rPr>
          <w:rFonts w:ascii="Calibri" w:hAnsi="Calibri" w:cs="Calibri"/>
        </w:rPr>
        <w:t xml:space="preserve"> biochemical </w:t>
      </w:r>
      <w:r w:rsidR="00573B35">
        <w:rPr>
          <w:rFonts w:ascii="Calibri" w:hAnsi="Calibri" w:cs="Calibri"/>
        </w:rPr>
        <w:t>findings</w:t>
      </w:r>
      <w:r w:rsidR="00573B35" w:rsidRPr="005C607F">
        <w:rPr>
          <w:rFonts w:ascii="Calibri" w:hAnsi="Calibri" w:cs="Calibri"/>
        </w:rPr>
        <w:t xml:space="preserve"> </w:t>
      </w:r>
      <w:r w:rsidR="00B2629A" w:rsidRPr="005C607F">
        <w:rPr>
          <w:rFonts w:ascii="Calibri" w:hAnsi="Calibri" w:cs="Calibri"/>
        </w:rPr>
        <w:t xml:space="preserve">and without ultrasonographic evidence of changes to the gallbladder wall, cystic duct or common bile duct </w:t>
      </w:r>
      <w:r w:rsidR="004B1A70" w:rsidRPr="005C607F">
        <w:rPr>
          <w:rFonts w:ascii="Calibri" w:hAnsi="Calibri" w:cs="Calibri"/>
        </w:rPr>
        <w:t xml:space="preserve">are unlikely to </w:t>
      </w:r>
      <w:r w:rsidR="006D5EDA" w:rsidRPr="005C607F">
        <w:rPr>
          <w:rFonts w:ascii="Calibri" w:hAnsi="Calibri" w:cs="Calibri"/>
        </w:rPr>
        <w:t>progress to</w:t>
      </w:r>
      <w:r w:rsidR="004B1A70" w:rsidRPr="005C607F">
        <w:rPr>
          <w:rFonts w:ascii="Calibri" w:hAnsi="Calibri" w:cs="Calibri"/>
        </w:rPr>
        <w:t xml:space="preserve"> require intervention</w:t>
      </w:r>
      <w:r w:rsidR="00EE5E1C">
        <w:rPr>
          <w:rFonts w:ascii="Calibri" w:hAnsi="Calibri" w:cs="Calibri"/>
        </w:rPr>
        <w:t>,</w:t>
      </w:r>
      <w:r w:rsidR="007830C0">
        <w:rPr>
          <w:rFonts w:ascii="Calibri" w:hAnsi="Calibri" w:cs="Calibri"/>
        </w:rPr>
        <w:t xml:space="preserve"> </w:t>
      </w:r>
      <w:r w:rsidR="00887A2F">
        <w:rPr>
          <w:rFonts w:ascii="Calibri" w:hAnsi="Calibri" w:cs="Calibri"/>
        </w:rPr>
        <w:t>given that</w:t>
      </w:r>
      <w:r w:rsidR="007830C0">
        <w:rPr>
          <w:rFonts w:ascii="Calibri" w:hAnsi="Calibri" w:cs="Calibri"/>
        </w:rPr>
        <w:t xml:space="preserve"> </w:t>
      </w:r>
      <w:r w:rsidR="00887A2F">
        <w:rPr>
          <w:rFonts w:ascii="Calibri" w:hAnsi="Calibri" w:cs="Calibri"/>
        </w:rPr>
        <w:t xml:space="preserve">untreated </w:t>
      </w:r>
      <w:r w:rsidR="007830C0">
        <w:rPr>
          <w:rFonts w:ascii="Calibri" w:hAnsi="Calibri" w:cs="Calibri"/>
        </w:rPr>
        <w:t>cases were followed for a median of 399.5 days (</w:t>
      </w:r>
      <w:r w:rsidR="009A192E">
        <w:rPr>
          <w:rFonts w:ascii="Calibri" w:hAnsi="Calibri" w:cs="Calibri"/>
        </w:rPr>
        <w:t xml:space="preserve">range, </w:t>
      </w:r>
      <w:r w:rsidR="007830C0">
        <w:rPr>
          <w:rFonts w:ascii="Calibri" w:hAnsi="Calibri" w:cs="Calibri"/>
        </w:rPr>
        <w:t>3-2191</w:t>
      </w:r>
      <w:r w:rsidR="009A192E">
        <w:rPr>
          <w:rFonts w:ascii="Calibri" w:hAnsi="Calibri" w:cs="Calibri"/>
        </w:rPr>
        <w:t xml:space="preserve"> days</w:t>
      </w:r>
      <w:r w:rsidR="007830C0">
        <w:rPr>
          <w:rFonts w:ascii="Calibri" w:hAnsi="Calibri" w:cs="Calibri"/>
        </w:rPr>
        <w:t>) without requiring intervention</w:t>
      </w:r>
      <w:r w:rsidR="004B1A70" w:rsidRPr="005C607F">
        <w:rPr>
          <w:rFonts w:ascii="Calibri" w:hAnsi="Calibri" w:cs="Calibri"/>
        </w:rPr>
        <w:t xml:space="preserve">. </w:t>
      </w:r>
      <w:r w:rsidR="004A654C">
        <w:rPr>
          <w:rFonts w:ascii="Calibri" w:hAnsi="Calibri" w:cs="Calibri"/>
        </w:rPr>
        <w:t>A</w:t>
      </w:r>
      <w:r w:rsidR="005D553E">
        <w:rPr>
          <w:rFonts w:ascii="Calibri" w:hAnsi="Calibri" w:cs="Calibri"/>
        </w:rPr>
        <w:t xml:space="preserve"> proportion</w:t>
      </w:r>
      <w:r w:rsidR="004B1A70" w:rsidRPr="005C607F">
        <w:rPr>
          <w:rFonts w:ascii="Calibri" w:hAnsi="Calibri" w:cs="Calibri"/>
        </w:rPr>
        <w:t xml:space="preserve"> </w:t>
      </w:r>
      <w:r w:rsidR="001C4D7E">
        <w:rPr>
          <w:rFonts w:ascii="Calibri" w:hAnsi="Calibri" w:cs="Calibri"/>
        </w:rPr>
        <w:t xml:space="preserve">(3%) </w:t>
      </w:r>
      <w:r w:rsidR="004B1A70" w:rsidRPr="005C607F">
        <w:rPr>
          <w:rFonts w:ascii="Calibri" w:hAnsi="Calibri" w:cs="Calibri"/>
        </w:rPr>
        <w:t xml:space="preserve">of asymptomatic dogs </w:t>
      </w:r>
      <w:r w:rsidR="00AD276A">
        <w:rPr>
          <w:rFonts w:ascii="Calibri" w:hAnsi="Calibri" w:cs="Calibri"/>
        </w:rPr>
        <w:t xml:space="preserve">however </w:t>
      </w:r>
      <w:r w:rsidR="004B1A70" w:rsidRPr="005C607F">
        <w:rPr>
          <w:rFonts w:ascii="Calibri" w:hAnsi="Calibri" w:cs="Calibri"/>
        </w:rPr>
        <w:t>may go on</w:t>
      </w:r>
      <w:r w:rsidR="00AB6634">
        <w:rPr>
          <w:rFonts w:ascii="Calibri" w:hAnsi="Calibri" w:cs="Calibri"/>
        </w:rPr>
        <w:t xml:space="preserve"> </w:t>
      </w:r>
      <w:r w:rsidR="004B1A70" w:rsidRPr="005C607F">
        <w:rPr>
          <w:rFonts w:ascii="Calibri" w:hAnsi="Calibri" w:cs="Calibri"/>
        </w:rPr>
        <w:t>to become symptomatic</w:t>
      </w:r>
      <w:r w:rsidR="002F2610" w:rsidRPr="005C607F">
        <w:rPr>
          <w:rFonts w:ascii="Calibri" w:hAnsi="Calibri" w:cs="Calibri"/>
        </w:rPr>
        <w:t xml:space="preserve"> when untreated</w:t>
      </w:r>
      <w:r w:rsidR="00964451">
        <w:rPr>
          <w:rFonts w:ascii="Calibri" w:hAnsi="Calibri" w:cs="Calibri"/>
        </w:rPr>
        <w:t xml:space="preserve"> </w:t>
      </w:r>
      <w:r w:rsidR="007A6805">
        <w:rPr>
          <w:rFonts w:ascii="Calibri" w:hAnsi="Calibri" w:cs="Calibri"/>
        </w:rPr>
        <w:fldChar w:fldCharType="begin" w:fldLock="1"/>
      </w:r>
      <w:r w:rsidR="003505D0">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mendeley":{"formattedCitation":"(1)","plainTextFormattedCitation":"(1)","previouslyFormattedCitation":"(1)"},"properties":{"noteIndex":0},"schema":"https://github.com/citation-style-language/schema/raw/master/csl-citation.json"}</w:instrText>
      </w:r>
      <w:r w:rsidR="007A6805">
        <w:rPr>
          <w:rFonts w:ascii="Calibri" w:hAnsi="Calibri" w:cs="Calibri"/>
        </w:rPr>
        <w:fldChar w:fldCharType="separate"/>
      </w:r>
      <w:r w:rsidR="001C4D7E" w:rsidRPr="001C4D7E">
        <w:rPr>
          <w:rFonts w:ascii="Calibri" w:hAnsi="Calibri" w:cs="Calibri"/>
          <w:noProof/>
        </w:rPr>
        <w:t>(1)</w:t>
      </w:r>
      <w:r w:rsidR="007A6805">
        <w:rPr>
          <w:rFonts w:ascii="Calibri" w:hAnsi="Calibri" w:cs="Calibri"/>
        </w:rPr>
        <w:fldChar w:fldCharType="end"/>
      </w:r>
      <w:r w:rsidR="004B1A70" w:rsidRPr="005C607F">
        <w:rPr>
          <w:rFonts w:ascii="Calibri" w:hAnsi="Calibri" w:cs="Calibri"/>
        </w:rPr>
        <w:t>,</w:t>
      </w:r>
      <w:r w:rsidR="002F2610" w:rsidRPr="005C607F">
        <w:rPr>
          <w:rFonts w:ascii="Calibri" w:hAnsi="Calibri" w:cs="Calibri"/>
        </w:rPr>
        <w:t xml:space="preserve"> and cholelithiasis always </w:t>
      </w:r>
      <w:r w:rsidR="00332A5B">
        <w:rPr>
          <w:rFonts w:ascii="Calibri" w:hAnsi="Calibri" w:cs="Calibri"/>
        </w:rPr>
        <w:t>carries</w:t>
      </w:r>
      <w:r w:rsidR="002F2610" w:rsidRPr="005C607F">
        <w:rPr>
          <w:rFonts w:ascii="Calibri" w:hAnsi="Calibri" w:cs="Calibri"/>
        </w:rPr>
        <w:t xml:space="preserve"> </w:t>
      </w:r>
      <w:r w:rsidR="00FB0C79" w:rsidRPr="005C607F">
        <w:rPr>
          <w:rFonts w:ascii="Calibri" w:hAnsi="Calibri" w:cs="Calibri"/>
        </w:rPr>
        <w:t>a</w:t>
      </w:r>
      <w:r w:rsidR="002F2610" w:rsidRPr="005C607F">
        <w:rPr>
          <w:rFonts w:ascii="Calibri" w:hAnsi="Calibri" w:cs="Calibri"/>
        </w:rPr>
        <w:t xml:space="preserve"> </w:t>
      </w:r>
      <w:r w:rsidR="004B1A70" w:rsidRPr="005C607F">
        <w:rPr>
          <w:rFonts w:ascii="Calibri" w:hAnsi="Calibri" w:cs="Calibri"/>
        </w:rPr>
        <w:t xml:space="preserve">risk </w:t>
      </w:r>
      <w:r w:rsidR="002F2610" w:rsidRPr="005C607F">
        <w:rPr>
          <w:rFonts w:ascii="Calibri" w:hAnsi="Calibri" w:cs="Calibri"/>
        </w:rPr>
        <w:t>of</w:t>
      </w:r>
      <w:r w:rsidR="004B1A70" w:rsidRPr="005C607F">
        <w:rPr>
          <w:rFonts w:ascii="Calibri" w:hAnsi="Calibri" w:cs="Calibri"/>
        </w:rPr>
        <w:t xml:space="preserve"> progress</w:t>
      </w:r>
      <w:r w:rsidR="002F2610" w:rsidRPr="005C607F">
        <w:rPr>
          <w:rFonts w:ascii="Calibri" w:hAnsi="Calibri" w:cs="Calibri"/>
        </w:rPr>
        <w:t>ion</w:t>
      </w:r>
      <w:r w:rsidR="004B1A70" w:rsidRPr="005C607F">
        <w:rPr>
          <w:rFonts w:ascii="Calibri" w:hAnsi="Calibri" w:cs="Calibri"/>
        </w:rPr>
        <w:t xml:space="preserve"> from clinically silent to clinically relevant. Given the paucity of literature in veterinary medicine, it is impossible to </w:t>
      </w:r>
      <w:r w:rsidR="00794627" w:rsidRPr="005C607F">
        <w:rPr>
          <w:rFonts w:ascii="Calibri" w:hAnsi="Calibri" w:cs="Calibri"/>
        </w:rPr>
        <w:t xml:space="preserve">accurately </w:t>
      </w:r>
      <w:r w:rsidR="004B1A70" w:rsidRPr="005C607F">
        <w:rPr>
          <w:rFonts w:ascii="Calibri" w:hAnsi="Calibri" w:cs="Calibri"/>
        </w:rPr>
        <w:t>predict which</w:t>
      </w:r>
      <w:r w:rsidR="00964451">
        <w:rPr>
          <w:rFonts w:ascii="Calibri" w:hAnsi="Calibri" w:cs="Calibri"/>
        </w:rPr>
        <w:t>, if any,</w:t>
      </w:r>
      <w:r w:rsidR="004B1A70" w:rsidRPr="005C607F">
        <w:rPr>
          <w:rFonts w:ascii="Calibri" w:hAnsi="Calibri" w:cs="Calibri"/>
        </w:rPr>
        <w:t xml:space="preserve"> of these patients eventually </w:t>
      </w:r>
      <w:r w:rsidR="00182B11">
        <w:rPr>
          <w:rFonts w:ascii="Calibri" w:hAnsi="Calibri" w:cs="Calibri"/>
        </w:rPr>
        <w:t xml:space="preserve">will become symptomatic or </w:t>
      </w:r>
      <w:r w:rsidR="004B1A70" w:rsidRPr="005C607F">
        <w:rPr>
          <w:rFonts w:ascii="Calibri" w:hAnsi="Calibri" w:cs="Calibri"/>
        </w:rPr>
        <w:t>require treatment</w:t>
      </w:r>
      <w:r w:rsidR="001E573C">
        <w:rPr>
          <w:rFonts w:ascii="Calibri" w:hAnsi="Calibri" w:cs="Calibri"/>
        </w:rPr>
        <w:t>,</w:t>
      </w:r>
      <w:r w:rsidR="004B1A70" w:rsidRPr="005C607F">
        <w:rPr>
          <w:rFonts w:ascii="Calibri" w:hAnsi="Calibri" w:cs="Calibri"/>
        </w:rPr>
        <w:t xml:space="preserve"> </w:t>
      </w:r>
      <w:r w:rsidR="004B1A70" w:rsidRPr="005C607F">
        <w:rPr>
          <w:rFonts w:ascii="Calibri" w:hAnsi="Calibri" w:cs="Calibri"/>
        </w:rPr>
        <w:lastRenderedPageBreak/>
        <w:t>and further research should</w:t>
      </w:r>
      <w:r w:rsidR="005A6260" w:rsidRPr="005C607F">
        <w:rPr>
          <w:rFonts w:ascii="Calibri" w:hAnsi="Calibri" w:cs="Calibri"/>
        </w:rPr>
        <w:t xml:space="preserve"> be performed to</w:t>
      </w:r>
      <w:r w:rsidR="004B1A70" w:rsidRPr="005C607F">
        <w:rPr>
          <w:rFonts w:ascii="Calibri" w:hAnsi="Calibri" w:cs="Calibri"/>
        </w:rPr>
        <w:t xml:space="preserve"> identify patient factors that increase </w:t>
      </w:r>
      <w:r w:rsidR="001E573C">
        <w:rPr>
          <w:rFonts w:ascii="Calibri" w:hAnsi="Calibri" w:cs="Calibri"/>
        </w:rPr>
        <w:t xml:space="preserve">the </w:t>
      </w:r>
      <w:r w:rsidR="004B1A70" w:rsidRPr="005C607F">
        <w:rPr>
          <w:rFonts w:ascii="Calibri" w:hAnsi="Calibri" w:cs="Calibri"/>
        </w:rPr>
        <w:t>risk of clinical events</w:t>
      </w:r>
      <w:r w:rsidR="00AC6C37" w:rsidRPr="005C607F">
        <w:rPr>
          <w:rFonts w:ascii="Calibri" w:hAnsi="Calibri" w:cs="Calibri"/>
        </w:rPr>
        <w:t xml:space="preserve">. </w:t>
      </w:r>
    </w:p>
    <w:p w14:paraId="7B411301" w14:textId="3F2F4EF1" w:rsidR="00661F7E" w:rsidRPr="005C607F" w:rsidRDefault="00661F7E" w:rsidP="00867264">
      <w:pPr>
        <w:spacing w:line="480" w:lineRule="auto"/>
        <w:jc w:val="both"/>
        <w:rPr>
          <w:rFonts w:ascii="Calibri" w:hAnsi="Calibri" w:cs="Calibri"/>
        </w:rPr>
      </w:pPr>
    </w:p>
    <w:p w14:paraId="0E1C5DAB" w14:textId="0461D1DE" w:rsidR="00303E3C" w:rsidRPr="005C607F" w:rsidRDefault="00CB28FF" w:rsidP="00867264">
      <w:pPr>
        <w:spacing w:line="480" w:lineRule="auto"/>
        <w:jc w:val="both"/>
        <w:rPr>
          <w:rFonts w:ascii="Calibri" w:hAnsi="Calibri" w:cs="Calibri"/>
        </w:rPr>
      </w:pPr>
      <w:r>
        <w:rPr>
          <w:rFonts w:ascii="Calibri" w:hAnsi="Calibri" w:cs="Calibri"/>
        </w:rPr>
        <w:t>Our</w:t>
      </w:r>
      <w:r w:rsidRPr="005C607F">
        <w:rPr>
          <w:rFonts w:ascii="Calibri" w:hAnsi="Calibri" w:cs="Calibri"/>
        </w:rPr>
        <w:t xml:space="preserve"> </w:t>
      </w:r>
      <w:r w:rsidR="00303E3C" w:rsidRPr="005C607F">
        <w:rPr>
          <w:rFonts w:ascii="Calibri" w:hAnsi="Calibri" w:cs="Calibri"/>
        </w:rPr>
        <w:t xml:space="preserve">study </w:t>
      </w:r>
      <w:r>
        <w:rPr>
          <w:rFonts w:ascii="Calibri" w:hAnsi="Calibri" w:cs="Calibri"/>
        </w:rPr>
        <w:t>had some</w:t>
      </w:r>
      <w:r w:rsidR="00303E3C" w:rsidRPr="005C607F">
        <w:rPr>
          <w:rFonts w:ascii="Calibri" w:hAnsi="Calibri" w:cs="Calibri"/>
        </w:rPr>
        <w:t xml:space="preserve"> limitations. Firstly, </w:t>
      </w:r>
      <w:r w:rsidR="005B21D7">
        <w:rPr>
          <w:rFonts w:ascii="Calibri" w:hAnsi="Calibri" w:cs="Calibri"/>
        </w:rPr>
        <w:t>its</w:t>
      </w:r>
      <w:r w:rsidR="005B21D7" w:rsidRPr="005C607F">
        <w:rPr>
          <w:rFonts w:ascii="Calibri" w:hAnsi="Calibri" w:cs="Calibri"/>
        </w:rPr>
        <w:t xml:space="preserve"> </w:t>
      </w:r>
      <w:r w:rsidR="00303E3C" w:rsidRPr="005C607F">
        <w:rPr>
          <w:rFonts w:ascii="Calibri" w:hAnsi="Calibri" w:cs="Calibri"/>
        </w:rPr>
        <w:t>retrospective nature meant that</w:t>
      </w:r>
      <w:r w:rsidR="005B21D7">
        <w:rPr>
          <w:rFonts w:ascii="Calibri" w:hAnsi="Calibri" w:cs="Calibri"/>
        </w:rPr>
        <w:t xml:space="preserve"> only</w:t>
      </w:r>
      <w:r w:rsidR="00303E3C" w:rsidRPr="005C607F">
        <w:rPr>
          <w:rFonts w:ascii="Calibri" w:hAnsi="Calibri" w:cs="Calibri"/>
        </w:rPr>
        <w:t xml:space="preserve"> incomplete data was </w:t>
      </w:r>
      <w:r w:rsidR="005B21D7">
        <w:rPr>
          <w:rFonts w:ascii="Calibri" w:hAnsi="Calibri" w:cs="Calibri"/>
        </w:rPr>
        <w:t>available</w:t>
      </w:r>
      <w:r w:rsidR="005B21D7" w:rsidRPr="005C607F">
        <w:rPr>
          <w:rFonts w:ascii="Calibri" w:hAnsi="Calibri" w:cs="Calibri"/>
        </w:rPr>
        <w:t xml:space="preserve"> </w:t>
      </w:r>
      <w:r w:rsidR="00303E3C" w:rsidRPr="005C607F">
        <w:rPr>
          <w:rFonts w:ascii="Calibri" w:hAnsi="Calibri" w:cs="Calibri"/>
        </w:rPr>
        <w:t>in some cases</w:t>
      </w:r>
      <w:r w:rsidR="001B4C20">
        <w:rPr>
          <w:rFonts w:ascii="Calibri" w:hAnsi="Calibri" w:cs="Calibri"/>
        </w:rPr>
        <w:t>, with</w:t>
      </w:r>
      <w:r w:rsidR="00303E3C" w:rsidRPr="005C607F">
        <w:rPr>
          <w:rFonts w:ascii="Calibri" w:hAnsi="Calibri" w:cs="Calibri"/>
        </w:rPr>
        <w:t xml:space="preserve"> variations in clinical </w:t>
      </w:r>
      <w:r w:rsidR="005B21D7">
        <w:rPr>
          <w:rFonts w:ascii="Calibri" w:hAnsi="Calibri" w:cs="Calibri"/>
        </w:rPr>
        <w:t>evaluation</w:t>
      </w:r>
      <w:r w:rsidR="00AC368C">
        <w:rPr>
          <w:rFonts w:ascii="Calibri" w:hAnsi="Calibri" w:cs="Calibri"/>
        </w:rPr>
        <w:t>,</w:t>
      </w:r>
      <w:r w:rsidR="00303E3C" w:rsidRPr="005C607F">
        <w:rPr>
          <w:rFonts w:ascii="Calibri" w:hAnsi="Calibri" w:cs="Calibri"/>
        </w:rPr>
        <w:t xml:space="preserve"> </w:t>
      </w:r>
      <w:r w:rsidR="00404255">
        <w:rPr>
          <w:rFonts w:ascii="Calibri" w:hAnsi="Calibri" w:cs="Calibri"/>
        </w:rPr>
        <w:t xml:space="preserve">case </w:t>
      </w:r>
      <w:r w:rsidR="00303E3C" w:rsidRPr="005C607F">
        <w:rPr>
          <w:rFonts w:ascii="Calibri" w:hAnsi="Calibri" w:cs="Calibri"/>
        </w:rPr>
        <w:t>management</w:t>
      </w:r>
      <w:r w:rsidR="00964451">
        <w:rPr>
          <w:rFonts w:ascii="Calibri" w:hAnsi="Calibri" w:cs="Calibri"/>
        </w:rPr>
        <w:t xml:space="preserve"> and timing of follow</w:t>
      </w:r>
      <w:r w:rsidR="00BE7610">
        <w:rPr>
          <w:rFonts w:ascii="Calibri" w:hAnsi="Calibri" w:cs="Calibri"/>
        </w:rPr>
        <w:t>-</w:t>
      </w:r>
      <w:r w:rsidR="00964451">
        <w:rPr>
          <w:rFonts w:ascii="Calibri" w:hAnsi="Calibri" w:cs="Calibri"/>
        </w:rPr>
        <w:t>up</w:t>
      </w:r>
      <w:r w:rsidR="001B4C20">
        <w:rPr>
          <w:rFonts w:ascii="Calibri" w:hAnsi="Calibri" w:cs="Calibri"/>
        </w:rPr>
        <w:t>.</w:t>
      </w:r>
      <w:r w:rsidR="00303E3C" w:rsidRPr="005C607F">
        <w:rPr>
          <w:rFonts w:ascii="Calibri" w:hAnsi="Calibri" w:cs="Calibri"/>
        </w:rPr>
        <w:t xml:space="preserve"> Patients in the medically</w:t>
      </w:r>
      <w:r w:rsidR="00BF4D87">
        <w:rPr>
          <w:rFonts w:ascii="Calibri" w:hAnsi="Calibri" w:cs="Calibri"/>
        </w:rPr>
        <w:t>-</w:t>
      </w:r>
      <w:r w:rsidR="00303E3C" w:rsidRPr="005C607F">
        <w:rPr>
          <w:rFonts w:ascii="Calibri" w:hAnsi="Calibri" w:cs="Calibri"/>
        </w:rPr>
        <w:t>treated group did not have consistent treatment plans, with variations in daily dose, dosing regime</w:t>
      </w:r>
      <w:r w:rsidR="00ED2BCE">
        <w:rPr>
          <w:rFonts w:ascii="Calibri" w:hAnsi="Calibri" w:cs="Calibri"/>
        </w:rPr>
        <w:t>n</w:t>
      </w:r>
      <w:r w:rsidR="00303E3C" w:rsidRPr="005C607F">
        <w:rPr>
          <w:rFonts w:ascii="Calibri" w:hAnsi="Calibri" w:cs="Calibri"/>
        </w:rPr>
        <w:t xml:space="preserve"> and</w:t>
      </w:r>
      <w:r w:rsidR="008C3257">
        <w:rPr>
          <w:rFonts w:ascii="Calibri" w:hAnsi="Calibri" w:cs="Calibri"/>
        </w:rPr>
        <w:t xml:space="preserve"> </w:t>
      </w:r>
      <w:r w:rsidR="00303E3C" w:rsidRPr="005C607F">
        <w:rPr>
          <w:rFonts w:ascii="Calibri" w:hAnsi="Calibri" w:cs="Calibri"/>
        </w:rPr>
        <w:t>duration of</w:t>
      </w:r>
      <w:r w:rsidR="00ED2BCE">
        <w:rPr>
          <w:rFonts w:ascii="Calibri" w:hAnsi="Calibri" w:cs="Calibri"/>
        </w:rPr>
        <w:t xml:space="preserve"> treatment with</w:t>
      </w:r>
      <w:r w:rsidR="00303E3C" w:rsidRPr="005C607F">
        <w:rPr>
          <w:rFonts w:ascii="Calibri" w:hAnsi="Calibri" w:cs="Calibri"/>
        </w:rPr>
        <w:t xml:space="preserve"> UDCA</w:t>
      </w:r>
      <w:r w:rsidR="00856627">
        <w:rPr>
          <w:rFonts w:ascii="Calibri" w:hAnsi="Calibri" w:cs="Calibri"/>
        </w:rPr>
        <w:t>,</w:t>
      </w:r>
      <w:r w:rsidR="00964451">
        <w:rPr>
          <w:rFonts w:ascii="Calibri" w:hAnsi="Calibri" w:cs="Calibri"/>
        </w:rPr>
        <w:t xml:space="preserve"> a</w:t>
      </w:r>
      <w:r w:rsidR="00856627">
        <w:rPr>
          <w:rFonts w:ascii="Calibri" w:hAnsi="Calibri" w:cs="Calibri"/>
        </w:rPr>
        <w:t>long</w:t>
      </w:r>
      <w:r w:rsidR="00ED2BCE">
        <w:rPr>
          <w:rFonts w:ascii="Calibri" w:hAnsi="Calibri" w:cs="Calibri"/>
        </w:rPr>
        <w:t xml:space="preserve"> with</w:t>
      </w:r>
      <w:r w:rsidR="00964451">
        <w:rPr>
          <w:rFonts w:ascii="Calibri" w:hAnsi="Calibri" w:cs="Calibri"/>
        </w:rPr>
        <w:t xml:space="preserve"> a variety of additional drugs and concurrent diseases</w:t>
      </w:r>
      <w:r w:rsidR="00303E3C" w:rsidRPr="005C607F">
        <w:rPr>
          <w:rFonts w:ascii="Calibri" w:hAnsi="Calibri" w:cs="Calibri"/>
        </w:rPr>
        <w:t xml:space="preserve">. It </w:t>
      </w:r>
      <w:r w:rsidR="005137D9">
        <w:rPr>
          <w:rFonts w:ascii="Calibri" w:hAnsi="Calibri" w:cs="Calibri"/>
        </w:rPr>
        <w:t>is</w:t>
      </w:r>
      <w:r w:rsidR="00303E3C" w:rsidRPr="005C607F">
        <w:rPr>
          <w:rFonts w:ascii="Calibri" w:hAnsi="Calibri" w:cs="Calibri"/>
        </w:rPr>
        <w:t xml:space="preserve"> possible that dose, frequency</w:t>
      </w:r>
      <w:r w:rsidR="00B60C73">
        <w:rPr>
          <w:rFonts w:ascii="Calibri" w:hAnsi="Calibri" w:cs="Calibri"/>
        </w:rPr>
        <w:t>,</w:t>
      </w:r>
      <w:r w:rsidR="00303E3C" w:rsidRPr="005C607F">
        <w:rPr>
          <w:rFonts w:ascii="Calibri" w:hAnsi="Calibri" w:cs="Calibri"/>
        </w:rPr>
        <w:t xml:space="preserve"> or duration of administration of UDCA </w:t>
      </w:r>
      <w:r w:rsidR="009943F3">
        <w:rPr>
          <w:rFonts w:ascii="Calibri" w:hAnsi="Calibri" w:cs="Calibri"/>
        </w:rPr>
        <w:t xml:space="preserve">could </w:t>
      </w:r>
      <w:r w:rsidR="00303E3C" w:rsidRPr="005C607F">
        <w:rPr>
          <w:rFonts w:ascii="Calibri" w:hAnsi="Calibri" w:cs="Calibri"/>
        </w:rPr>
        <w:t>affect cholelith progression</w:t>
      </w:r>
      <w:r w:rsidR="00A6613F">
        <w:rPr>
          <w:rFonts w:ascii="Calibri" w:hAnsi="Calibri" w:cs="Calibri"/>
        </w:rPr>
        <w:t>,</w:t>
      </w:r>
      <w:r w:rsidR="00303E3C" w:rsidRPr="005C607F">
        <w:rPr>
          <w:rFonts w:ascii="Calibri" w:hAnsi="Calibri" w:cs="Calibri"/>
        </w:rPr>
        <w:t xml:space="preserve"> and future prospective studies should aim to </w:t>
      </w:r>
      <w:r w:rsidR="00A6613F">
        <w:rPr>
          <w:rFonts w:ascii="Calibri" w:hAnsi="Calibri" w:cs="Calibri"/>
        </w:rPr>
        <w:t>determine if</w:t>
      </w:r>
      <w:r w:rsidR="00A6613F" w:rsidRPr="005C607F">
        <w:rPr>
          <w:rFonts w:ascii="Calibri" w:hAnsi="Calibri" w:cs="Calibri"/>
        </w:rPr>
        <w:t xml:space="preserve"> </w:t>
      </w:r>
      <w:r w:rsidR="00303E3C" w:rsidRPr="005C607F">
        <w:rPr>
          <w:rFonts w:ascii="Calibri" w:hAnsi="Calibri" w:cs="Calibri"/>
        </w:rPr>
        <w:t xml:space="preserve">protocols differ in efficacy. </w:t>
      </w:r>
      <w:r w:rsidR="002548B4">
        <w:rPr>
          <w:rFonts w:ascii="Calibri" w:hAnsi="Calibri" w:cs="Calibri"/>
        </w:rPr>
        <w:t>The lack of a</w:t>
      </w:r>
      <w:r w:rsidR="00856627">
        <w:rPr>
          <w:rFonts w:ascii="Calibri" w:hAnsi="Calibri" w:cs="Calibri"/>
        </w:rPr>
        <w:t xml:space="preserve"> control group </w:t>
      </w:r>
      <w:r w:rsidR="00E93078">
        <w:rPr>
          <w:rFonts w:ascii="Calibri" w:hAnsi="Calibri" w:cs="Calibri"/>
        </w:rPr>
        <w:t xml:space="preserve">with which </w:t>
      </w:r>
      <w:r w:rsidR="00856627">
        <w:rPr>
          <w:rFonts w:ascii="Calibri" w:hAnsi="Calibri" w:cs="Calibri"/>
        </w:rPr>
        <w:t>to compare progression of cholelithiasis represents another limitation</w:t>
      </w:r>
      <w:r w:rsidR="002548B4">
        <w:rPr>
          <w:rFonts w:ascii="Calibri" w:hAnsi="Calibri" w:cs="Calibri"/>
        </w:rPr>
        <w:t xml:space="preserve">, </w:t>
      </w:r>
      <w:r w:rsidR="00E93078">
        <w:rPr>
          <w:rFonts w:ascii="Calibri" w:hAnsi="Calibri" w:cs="Calibri"/>
        </w:rPr>
        <w:t xml:space="preserve">and </w:t>
      </w:r>
      <w:r w:rsidR="002548B4">
        <w:rPr>
          <w:rFonts w:ascii="Calibri" w:hAnsi="Calibri" w:cs="Calibri"/>
        </w:rPr>
        <w:t xml:space="preserve">it cannot be proven that UDCA </w:t>
      </w:r>
      <w:r w:rsidR="009F6B96">
        <w:rPr>
          <w:rFonts w:ascii="Calibri" w:hAnsi="Calibri" w:cs="Calibri"/>
        </w:rPr>
        <w:t>affected</w:t>
      </w:r>
      <w:r w:rsidR="002548B4">
        <w:rPr>
          <w:rFonts w:ascii="Calibri" w:hAnsi="Calibri" w:cs="Calibri"/>
        </w:rPr>
        <w:t xml:space="preserve"> progression of cholelithiasis</w:t>
      </w:r>
      <w:r w:rsidR="008968BC">
        <w:rPr>
          <w:rFonts w:ascii="Calibri" w:hAnsi="Calibri" w:cs="Calibri"/>
        </w:rPr>
        <w:t xml:space="preserve"> or whether this </w:t>
      </w:r>
      <w:r w:rsidR="002F2C87">
        <w:rPr>
          <w:rFonts w:ascii="Calibri" w:hAnsi="Calibri" w:cs="Calibri"/>
        </w:rPr>
        <w:t xml:space="preserve">finding </w:t>
      </w:r>
      <w:r w:rsidR="008968BC">
        <w:rPr>
          <w:rFonts w:ascii="Calibri" w:hAnsi="Calibri" w:cs="Calibri"/>
        </w:rPr>
        <w:t>is a result of a type II error</w:t>
      </w:r>
      <w:r w:rsidR="002548B4">
        <w:rPr>
          <w:rFonts w:ascii="Calibri" w:hAnsi="Calibri" w:cs="Calibri"/>
        </w:rPr>
        <w:t xml:space="preserve">. </w:t>
      </w:r>
      <w:r w:rsidR="002A444C">
        <w:rPr>
          <w:rFonts w:ascii="Calibri" w:hAnsi="Calibri" w:cs="Calibri"/>
        </w:rPr>
        <w:t>Nevertheless</w:t>
      </w:r>
      <w:r w:rsidR="002548B4">
        <w:rPr>
          <w:rFonts w:ascii="Calibri" w:hAnsi="Calibri" w:cs="Calibri"/>
        </w:rPr>
        <w:t xml:space="preserve">, </w:t>
      </w:r>
      <w:r w:rsidR="00BA046A">
        <w:rPr>
          <w:rFonts w:ascii="Calibri" w:hAnsi="Calibri" w:cs="Calibri"/>
        </w:rPr>
        <w:t xml:space="preserve">our </w:t>
      </w:r>
      <w:r w:rsidR="002548B4">
        <w:rPr>
          <w:rFonts w:ascii="Calibri" w:hAnsi="Calibri" w:cs="Calibri"/>
        </w:rPr>
        <w:t xml:space="preserve">study has shown UDCA can be safely used in the treatment of </w:t>
      </w:r>
      <w:r w:rsidR="00F2044D">
        <w:rPr>
          <w:rFonts w:ascii="Calibri" w:hAnsi="Calibri" w:cs="Calibri"/>
        </w:rPr>
        <w:t xml:space="preserve">dogs with </w:t>
      </w:r>
      <w:r w:rsidR="002548B4">
        <w:rPr>
          <w:rFonts w:ascii="Calibri" w:hAnsi="Calibri" w:cs="Calibri"/>
        </w:rPr>
        <w:t>cholelithiasis</w:t>
      </w:r>
      <w:r w:rsidR="006471A0">
        <w:rPr>
          <w:rFonts w:ascii="Calibri" w:hAnsi="Calibri" w:cs="Calibri"/>
        </w:rPr>
        <w:t>. F</w:t>
      </w:r>
      <w:r w:rsidR="005D553E">
        <w:rPr>
          <w:rFonts w:ascii="Calibri" w:hAnsi="Calibri" w:cs="Calibri"/>
        </w:rPr>
        <w:t xml:space="preserve">uture research </w:t>
      </w:r>
      <w:r w:rsidR="00F2044D">
        <w:rPr>
          <w:rFonts w:ascii="Calibri" w:hAnsi="Calibri" w:cs="Calibri"/>
        </w:rPr>
        <w:t>sh</w:t>
      </w:r>
      <w:r w:rsidR="005D553E">
        <w:rPr>
          <w:rFonts w:ascii="Calibri" w:hAnsi="Calibri" w:cs="Calibri"/>
        </w:rPr>
        <w:t xml:space="preserve">ould include a randomized placebo-controlled prospective study to assess </w:t>
      </w:r>
      <w:r w:rsidR="00B10B30">
        <w:rPr>
          <w:rFonts w:ascii="Calibri" w:hAnsi="Calibri" w:cs="Calibri"/>
        </w:rPr>
        <w:t xml:space="preserve">the </w:t>
      </w:r>
      <w:r w:rsidR="005D553E">
        <w:rPr>
          <w:rFonts w:ascii="Calibri" w:hAnsi="Calibri" w:cs="Calibri"/>
        </w:rPr>
        <w:t>efficacy of UDCA in chole</w:t>
      </w:r>
      <w:r w:rsidR="009C665F">
        <w:rPr>
          <w:rFonts w:ascii="Calibri" w:hAnsi="Calibri" w:cs="Calibri"/>
        </w:rPr>
        <w:t>li</w:t>
      </w:r>
      <w:r w:rsidR="005D553E">
        <w:rPr>
          <w:rFonts w:ascii="Calibri" w:hAnsi="Calibri" w:cs="Calibri"/>
        </w:rPr>
        <w:t xml:space="preserve">thiasis patients. </w:t>
      </w:r>
      <w:r w:rsidR="00303E3C" w:rsidRPr="005C607F">
        <w:rPr>
          <w:rFonts w:ascii="Calibri" w:hAnsi="Calibri" w:cs="Calibri"/>
        </w:rPr>
        <w:t xml:space="preserve"> </w:t>
      </w:r>
      <w:r w:rsidR="00EC7CEE">
        <w:rPr>
          <w:rFonts w:ascii="Calibri" w:hAnsi="Calibri" w:cs="Calibri"/>
        </w:rPr>
        <w:t>Another limitation is that information regarding liver and gallbladder histopathology, bile cytology and culture was not available</w:t>
      </w:r>
      <w:r w:rsidR="00401E66">
        <w:rPr>
          <w:rFonts w:ascii="Calibri" w:hAnsi="Calibri" w:cs="Calibri"/>
        </w:rPr>
        <w:t xml:space="preserve"> </w:t>
      </w:r>
      <w:r w:rsidR="001B6E6D">
        <w:rPr>
          <w:rFonts w:ascii="Calibri" w:hAnsi="Calibri" w:cs="Calibri"/>
        </w:rPr>
        <w:t>for all</w:t>
      </w:r>
      <w:r w:rsidR="00401E66">
        <w:rPr>
          <w:rFonts w:ascii="Calibri" w:hAnsi="Calibri" w:cs="Calibri"/>
        </w:rPr>
        <w:t xml:space="preserve"> cases </w:t>
      </w:r>
      <w:r w:rsidR="00AB399E">
        <w:rPr>
          <w:rFonts w:ascii="Calibri" w:hAnsi="Calibri" w:cs="Calibri"/>
        </w:rPr>
        <w:t>because of</w:t>
      </w:r>
      <w:r w:rsidR="00EC7CEE">
        <w:rPr>
          <w:rFonts w:ascii="Calibri" w:hAnsi="Calibri" w:cs="Calibri"/>
        </w:rPr>
        <w:t xml:space="preserve"> the retrospective nature of th</w:t>
      </w:r>
      <w:r w:rsidR="001B7E9B">
        <w:rPr>
          <w:rFonts w:ascii="Calibri" w:hAnsi="Calibri" w:cs="Calibri"/>
        </w:rPr>
        <w:t>e</w:t>
      </w:r>
      <w:r w:rsidR="00EC7CEE">
        <w:rPr>
          <w:rFonts w:ascii="Calibri" w:hAnsi="Calibri" w:cs="Calibri"/>
        </w:rPr>
        <w:t xml:space="preserve"> study. The possibility that underlying liver or gallbladder pathology may have </w:t>
      </w:r>
      <w:r w:rsidR="005641CA">
        <w:rPr>
          <w:rFonts w:ascii="Calibri" w:hAnsi="Calibri" w:cs="Calibri"/>
        </w:rPr>
        <w:t>contributed</w:t>
      </w:r>
      <w:r w:rsidR="00EC7CEE">
        <w:rPr>
          <w:rFonts w:ascii="Calibri" w:hAnsi="Calibri" w:cs="Calibri"/>
        </w:rPr>
        <w:t xml:space="preserve"> to development of cholelithiasis and outcome in these cases </w:t>
      </w:r>
      <w:r w:rsidR="00B468EE">
        <w:rPr>
          <w:rFonts w:ascii="Calibri" w:hAnsi="Calibri" w:cs="Calibri"/>
        </w:rPr>
        <w:t>exists</w:t>
      </w:r>
      <w:r w:rsidR="00EC7CEE">
        <w:rPr>
          <w:rFonts w:ascii="Calibri" w:hAnsi="Calibri" w:cs="Calibri"/>
        </w:rPr>
        <w:t xml:space="preserve">, with histopathological evidence of </w:t>
      </w:r>
      <w:r w:rsidR="002D39CE">
        <w:rPr>
          <w:rFonts w:ascii="Calibri" w:hAnsi="Calibri" w:cs="Calibri"/>
        </w:rPr>
        <w:t xml:space="preserve">concurrent </w:t>
      </w:r>
      <w:r w:rsidR="00EC7CEE">
        <w:rPr>
          <w:rFonts w:ascii="Calibri" w:hAnsi="Calibri" w:cs="Calibri"/>
        </w:rPr>
        <w:t>cholangi</w:t>
      </w:r>
      <w:r w:rsidR="00401E66">
        <w:rPr>
          <w:rFonts w:ascii="Calibri" w:hAnsi="Calibri" w:cs="Calibri"/>
        </w:rPr>
        <w:t>ohepati</w:t>
      </w:r>
      <w:r w:rsidR="00EC7CEE">
        <w:rPr>
          <w:rFonts w:ascii="Calibri" w:hAnsi="Calibri" w:cs="Calibri"/>
        </w:rPr>
        <w:t>tis</w:t>
      </w:r>
      <w:r w:rsidR="00401E66">
        <w:rPr>
          <w:rFonts w:ascii="Calibri" w:hAnsi="Calibri" w:cs="Calibri"/>
        </w:rPr>
        <w:t xml:space="preserve"> and cholecystitis</w:t>
      </w:r>
      <w:r w:rsidR="00EC7CEE">
        <w:rPr>
          <w:rFonts w:ascii="Calibri" w:hAnsi="Calibri" w:cs="Calibri"/>
        </w:rPr>
        <w:t xml:space="preserve"> </w:t>
      </w:r>
      <w:r w:rsidR="002D39CE">
        <w:rPr>
          <w:rFonts w:ascii="Calibri" w:hAnsi="Calibri" w:cs="Calibri"/>
        </w:rPr>
        <w:t xml:space="preserve">reported in cats and dogs with </w:t>
      </w:r>
      <w:r w:rsidR="00EC7CEE">
        <w:rPr>
          <w:rFonts w:ascii="Calibri" w:hAnsi="Calibri" w:cs="Calibri"/>
        </w:rPr>
        <w:t xml:space="preserve">cholelithiasis </w:t>
      </w:r>
      <w:r w:rsidR="00EC7CEE">
        <w:rPr>
          <w:rFonts w:ascii="Calibri" w:hAnsi="Calibri" w:cs="Calibri"/>
        </w:rPr>
        <w:fldChar w:fldCharType="begin" w:fldLock="1"/>
      </w:r>
      <w:r w:rsidR="00E677A0">
        <w:rPr>
          <w:rFonts w:ascii="Calibri" w:hAnsi="Calibri" w:cs="Calibri"/>
        </w:rPr>
        <w:instrText>ADDIN CSL_CITATION {"citationItems":[{"id":"ITEM-1","itemData":{"DOI":"10.5326/0380290","ISSN":"0587-2871","abstract":"Nine cats that had surgical treatment for obstructive cholelithiasis were reviewed to evaluate clinical signs, diagnostic test results, and outcome after surgery. Common clinical signs included progressive vomiting (9/9), dehydration (9/9), anorexia (6/9), icterus (5/9), and lethargy (4/9). Five cats had a cholecystectomy performed, one cat had a cholecystotomy, and three cats had a biliary diversion procedure. Four of the cats that had a cholecystectomy had no recurrence of vomiting or anorexia. The majority of cats (7/9) had multiple choleliths, which were radiopaque and most commonly composed of calcium carbonate. Seven cats were diagnosed with cholangiohepatitis, and four of these cats did not need long-term medical therapy. Most cats (7/9) survived long term postsurgery (mean, 21 months; median, 24 months) without additional medical therapy, while the two cats with concurrent hepatic lipidosis died. Cholecystectomy appeared to have low morbidity with good clinical success.","author":[{"dropping-particle":"","family":"Eich","given":"Christopher S","non-dropping-particle":"","parse-names":false,"suffix":""},{"dropping-particle":"","family":"Ludwig","given":"Lori L","non-dropping-particle":"","parse-names":false,"suffix":""}],"container-title":"Journal of the American Animal Hospital Association","id":"ITEM-1","issue":"3","issued":{"date-parts":[["2002","5","1"]]},"page":"290-296","title":"The Surgical Treatment of Cholelithiasis in Cats: A Study of Nine Cases","type":"article-journal","volume":"38"},"uris":["http://www.mendeley.com/documents/?uuid=ebb981f5-c386-4618-9bbe-a74e320752c6"]},{"id":"ITEM-2","itemData":{"ISSN":"0008-5286","abstract":"A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canadienne","id":"ITEM-2","issue":"9","issued":{"date-parts":[["2017","9"]]},"language":"eng","page":"971-973","publisher":"Canadian Veterinary Medical Association","title":"Intrahepatic cholelithiasis in dogs and cats: A case series","type":"article-journal","volume":"58"},"uris":["http://www.mendeley.com/documents/?uuid=752cbfbe-cc88-4e01-9294-a3295e386423"]},{"id":"ITEM-3","itemData":{"DOI":"10.5326/JAAHA-MS-7000","ISSN":"0587-2871","abstract":"Canine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Association","id":"ITEM-3","issue":"3","issued":{"date-parts":[["2020","5","1"]]},"page":"152","title":"Cholelithiasis in the Dog: Prevalence, Clinical Presentation, and Outcome","type":"article-journal","volume":"56"},"uris":["http://www.mendeley.com/documents/?uuid=ff3a9338-b98b-4d01-965b-26009b9d5232"]}],"mendeley":{"formattedCitation":"(1,2,30)","plainTextFormattedCitation":"(1,2,30)","previouslyFormattedCitation":"(1,2,31)"},"properties":{"noteIndex":0},"schema":"https://github.com/citation-style-language/schema/raw/master/csl-citation.json"}</w:instrText>
      </w:r>
      <w:r w:rsidR="00EC7CEE">
        <w:rPr>
          <w:rFonts w:ascii="Calibri" w:hAnsi="Calibri" w:cs="Calibri"/>
        </w:rPr>
        <w:fldChar w:fldCharType="separate"/>
      </w:r>
      <w:r w:rsidR="00E677A0" w:rsidRPr="00E677A0">
        <w:rPr>
          <w:rFonts w:ascii="Calibri" w:hAnsi="Calibri" w:cs="Calibri"/>
          <w:noProof/>
        </w:rPr>
        <w:t>(1,2,30)</w:t>
      </w:r>
      <w:r w:rsidR="00EC7CEE">
        <w:rPr>
          <w:rFonts w:ascii="Calibri" w:hAnsi="Calibri" w:cs="Calibri"/>
        </w:rPr>
        <w:fldChar w:fldCharType="end"/>
      </w:r>
      <w:r w:rsidR="00E12474">
        <w:rPr>
          <w:rFonts w:ascii="Calibri" w:hAnsi="Calibri" w:cs="Calibri"/>
        </w:rPr>
        <w:t xml:space="preserve"> </w:t>
      </w:r>
      <w:r w:rsidR="0007324E">
        <w:rPr>
          <w:rFonts w:ascii="Calibri" w:hAnsi="Calibri" w:cs="Calibri"/>
        </w:rPr>
        <w:t>and</w:t>
      </w:r>
      <w:r w:rsidR="00BD6BDA">
        <w:rPr>
          <w:rFonts w:ascii="Calibri" w:hAnsi="Calibri" w:cs="Calibri"/>
        </w:rPr>
        <w:t xml:space="preserve"> </w:t>
      </w:r>
      <w:r w:rsidR="00B468EE">
        <w:rPr>
          <w:rFonts w:ascii="Calibri" w:hAnsi="Calibri" w:cs="Calibri"/>
        </w:rPr>
        <w:t xml:space="preserve">with </w:t>
      </w:r>
      <w:r w:rsidR="00592156">
        <w:rPr>
          <w:rFonts w:ascii="Calibri" w:hAnsi="Calibri" w:cs="Calibri"/>
        </w:rPr>
        <w:t>chronic cholecystitis</w:t>
      </w:r>
      <w:r w:rsidR="00E12474">
        <w:rPr>
          <w:rFonts w:ascii="Calibri" w:hAnsi="Calibri" w:cs="Calibri"/>
        </w:rPr>
        <w:t xml:space="preserve"> </w:t>
      </w:r>
      <w:r w:rsidR="00B468EE">
        <w:rPr>
          <w:rFonts w:ascii="Calibri" w:hAnsi="Calibri" w:cs="Calibri"/>
        </w:rPr>
        <w:t xml:space="preserve">identified </w:t>
      </w:r>
      <w:r w:rsidR="00E12474">
        <w:rPr>
          <w:rFonts w:ascii="Calibri" w:hAnsi="Calibri" w:cs="Calibri"/>
        </w:rPr>
        <w:t xml:space="preserve">in the majority of dogs </w:t>
      </w:r>
      <w:r w:rsidR="00C117A0">
        <w:rPr>
          <w:rFonts w:ascii="Calibri" w:hAnsi="Calibri" w:cs="Calibri"/>
        </w:rPr>
        <w:t>for</w:t>
      </w:r>
      <w:r w:rsidR="0051596B">
        <w:rPr>
          <w:rFonts w:ascii="Calibri" w:hAnsi="Calibri" w:cs="Calibri"/>
        </w:rPr>
        <w:t xml:space="preserve"> which</w:t>
      </w:r>
      <w:r w:rsidR="00E12474">
        <w:rPr>
          <w:rFonts w:ascii="Calibri" w:hAnsi="Calibri" w:cs="Calibri"/>
        </w:rPr>
        <w:t xml:space="preserve"> histopathology </w:t>
      </w:r>
      <w:r w:rsidR="00C117A0">
        <w:rPr>
          <w:rFonts w:ascii="Calibri" w:hAnsi="Calibri" w:cs="Calibri"/>
        </w:rPr>
        <w:t>results were available</w:t>
      </w:r>
      <w:r w:rsidR="0051596B">
        <w:rPr>
          <w:rFonts w:ascii="Calibri" w:hAnsi="Calibri" w:cs="Calibri"/>
        </w:rPr>
        <w:t xml:space="preserve"> </w:t>
      </w:r>
      <w:r w:rsidR="00E12474">
        <w:rPr>
          <w:rFonts w:ascii="Calibri" w:hAnsi="Calibri" w:cs="Calibri"/>
        </w:rPr>
        <w:t xml:space="preserve">in </w:t>
      </w:r>
      <w:r w:rsidR="00B468EE">
        <w:rPr>
          <w:rFonts w:ascii="Calibri" w:hAnsi="Calibri" w:cs="Calibri"/>
        </w:rPr>
        <w:t>our</w:t>
      </w:r>
      <w:r w:rsidR="00E12474">
        <w:rPr>
          <w:rFonts w:ascii="Calibri" w:hAnsi="Calibri" w:cs="Calibri"/>
        </w:rPr>
        <w:t xml:space="preserve"> study</w:t>
      </w:r>
      <w:r w:rsidR="00EC7CEE">
        <w:rPr>
          <w:rFonts w:ascii="Calibri" w:hAnsi="Calibri" w:cs="Calibri"/>
        </w:rPr>
        <w:t xml:space="preserve">. </w:t>
      </w:r>
      <w:r w:rsidR="00904A3A">
        <w:rPr>
          <w:rFonts w:ascii="Calibri" w:hAnsi="Calibri" w:cs="Calibri"/>
        </w:rPr>
        <w:t>Diet is a</w:t>
      </w:r>
      <w:r w:rsidR="00303E3C" w:rsidRPr="005C607F">
        <w:rPr>
          <w:rFonts w:ascii="Calibri" w:hAnsi="Calibri" w:cs="Calibri"/>
        </w:rPr>
        <w:t xml:space="preserve"> factor that </w:t>
      </w:r>
      <w:r w:rsidR="00E9699B">
        <w:rPr>
          <w:rFonts w:ascii="Calibri" w:hAnsi="Calibri" w:cs="Calibri"/>
        </w:rPr>
        <w:t xml:space="preserve">may </w:t>
      </w:r>
      <w:r w:rsidR="00A36834">
        <w:rPr>
          <w:rFonts w:ascii="Calibri" w:hAnsi="Calibri" w:cs="Calibri"/>
        </w:rPr>
        <w:t>influence</w:t>
      </w:r>
      <w:r w:rsidR="00303E3C" w:rsidRPr="005C607F">
        <w:rPr>
          <w:rFonts w:ascii="Calibri" w:hAnsi="Calibri" w:cs="Calibri"/>
        </w:rPr>
        <w:t xml:space="preserve"> progression of cholelithiasis </w:t>
      </w:r>
      <w:r w:rsidR="00904A3A">
        <w:rPr>
          <w:rFonts w:ascii="Calibri" w:hAnsi="Calibri" w:cs="Calibri"/>
        </w:rPr>
        <w:t>and</w:t>
      </w:r>
      <w:r w:rsidR="00904A3A" w:rsidRPr="005C607F">
        <w:rPr>
          <w:rFonts w:ascii="Calibri" w:hAnsi="Calibri" w:cs="Calibri"/>
        </w:rPr>
        <w:t xml:space="preserve"> </w:t>
      </w:r>
      <w:r w:rsidR="00303E3C" w:rsidRPr="005C607F">
        <w:rPr>
          <w:rFonts w:ascii="Calibri" w:hAnsi="Calibri" w:cs="Calibri"/>
        </w:rPr>
        <w:t xml:space="preserve">was not investigated in </w:t>
      </w:r>
      <w:r w:rsidR="0081224D">
        <w:rPr>
          <w:rFonts w:ascii="Calibri" w:hAnsi="Calibri" w:cs="Calibri"/>
        </w:rPr>
        <w:t>our</w:t>
      </w:r>
      <w:r w:rsidR="0081224D" w:rsidRPr="005C607F">
        <w:rPr>
          <w:rFonts w:ascii="Calibri" w:hAnsi="Calibri" w:cs="Calibri"/>
        </w:rPr>
        <w:t xml:space="preserve"> </w:t>
      </w:r>
      <w:r w:rsidR="00303E3C" w:rsidRPr="005C607F">
        <w:rPr>
          <w:rFonts w:ascii="Calibri" w:hAnsi="Calibri" w:cs="Calibri"/>
        </w:rPr>
        <w:t xml:space="preserve">study. </w:t>
      </w:r>
      <w:r w:rsidR="00B14608">
        <w:rPr>
          <w:rFonts w:ascii="Calibri" w:hAnsi="Calibri" w:cs="Calibri"/>
        </w:rPr>
        <w:t xml:space="preserve">Information regarding diet type, </w:t>
      </w:r>
      <w:r w:rsidR="003B746A">
        <w:rPr>
          <w:rFonts w:ascii="Calibri" w:hAnsi="Calibri" w:cs="Calibri"/>
        </w:rPr>
        <w:t xml:space="preserve">caloric </w:t>
      </w:r>
      <w:r w:rsidR="00B14608">
        <w:rPr>
          <w:rFonts w:ascii="Calibri" w:hAnsi="Calibri" w:cs="Calibri"/>
        </w:rPr>
        <w:t>intake</w:t>
      </w:r>
      <w:r w:rsidR="00D81E3C">
        <w:rPr>
          <w:rFonts w:ascii="Calibri" w:hAnsi="Calibri" w:cs="Calibri"/>
        </w:rPr>
        <w:t>,</w:t>
      </w:r>
      <w:r w:rsidR="00B14608">
        <w:rPr>
          <w:rFonts w:ascii="Calibri" w:hAnsi="Calibri" w:cs="Calibri"/>
        </w:rPr>
        <w:t xml:space="preserve"> feeding patterns</w:t>
      </w:r>
      <w:r w:rsidR="00D81E3C">
        <w:rPr>
          <w:rFonts w:ascii="Calibri" w:hAnsi="Calibri" w:cs="Calibri"/>
        </w:rPr>
        <w:t xml:space="preserve"> and habits</w:t>
      </w:r>
      <w:r w:rsidR="00B14608">
        <w:rPr>
          <w:rFonts w:ascii="Calibri" w:hAnsi="Calibri" w:cs="Calibri"/>
        </w:rPr>
        <w:t xml:space="preserve"> w</w:t>
      </w:r>
      <w:r w:rsidR="00DD79FF">
        <w:rPr>
          <w:rFonts w:ascii="Calibri" w:hAnsi="Calibri" w:cs="Calibri"/>
        </w:rPr>
        <w:t>as</w:t>
      </w:r>
      <w:r w:rsidR="00B14608">
        <w:rPr>
          <w:rFonts w:ascii="Calibri" w:hAnsi="Calibri" w:cs="Calibri"/>
        </w:rPr>
        <w:t xml:space="preserve"> not available </w:t>
      </w:r>
      <w:r w:rsidR="00B14608">
        <w:rPr>
          <w:rFonts w:ascii="Calibri" w:hAnsi="Calibri" w:cs="Calibri"/>
        </w:rPr>
        <w:lastRenderedPageBreak/>
        <w:t xml:space="preserve">in </w:t>
      </w:r>
      <w:r w:rsidR="001A55F0">
        <w:rPr>
          <w:rFonts w:ascii="Calibri" w:hAnsi="Calibri" w:cs="Calibri"/>
        </w:rPr>
        <w:t>sufficient</w:t>
      </w:r>
      <w:r w:rsidR="00B14608">
        <w:rPr>
          <w:rFonts w:ascii="Calibri" w:hAnsi="Calibri" w:cs="Calibri"/>
        </w:rPr>
        <w:t xml:space="preserve"> detail </w:t>
      </w:r>
      <w:r w:rsidR="00DD79FF">
        <w:rPr>
          <w:rFonts w:ascii="Calibri" w:hAnsi="Calibri" w:cs="Calibri"/>
        </w:rPr>
        <w:t>because of</w:t>
      </w:r>
      <w:r w:rsidR="00B14608">
        <w:rPr>
          <w:rFonts w:ascii="Calibri" w:hAnsi="Calibri" w:cs="Calibri"/>
        </w:rPr>
        <w:t xml:space="preserve"> the retrospective nature of </w:t>
      </w:r>
      <w:r w:rsidR="005661BF">
        <w:rPr>
          <w:rFonts w:ascii="Calibri" w:hAnsi="Calibri" w:cs="Calibri"/>
        </w:rPr>
        <w:t xml:space="preserve">our </w:t>
      </w:r>
      <w:r w:rsidR="00B14608">
        <w:rPr>
          <w:rFonts w:ascii="Calibri" w:hAnsi="Calibri" w:cs="Calibri"/>
        </w:rPr>
        <w:t xml:space="preserve">study. </w:t>
      </w:r>
      <w:r w:rsidR="00303E3C" w:rsidRPr="005C607F">
        <w:rPr>
          <w:rFonts w:ascii="Calibri" w:hAnsi="Calibri" w:cs="Calibri"/>
        </w:rPr>
        <w:t xml:space="preserve">In human medicine, diet is an important factor in the management of cholelithiasis </w:t>
      </w:r>
      <w:r w:rsidR="00303E3C" w:rsidRPr="005C607F">
        <w:rPr>
          <w:rFonts w:ascii="Calibri" w:hAnsi="Calibri" w:cs="Calibri"/>
        </w:rPr>
        <w:fldChar w:fldCharType="begin" w:fldLock="1"/>
      </w:r>
      <w:r w:rsidR="00156950">
        <w:rPr>
          <w:rFonts w:ascii="Calibri" w:hAnsi="Calibri" w:cs="Calibri"/>
        </w:rPr>
        <w:instrText>ADDIN CSL_CITATION {"citationItems":[{"id":"ITEM-1","itemData":{"DOI":"10.4254/wjh.v4.i2.18","ISSN":"1948-5182","abstract":"Gallstone disease (GD) is a chronic recurrent hepatobiliary disease, the basis for which is the impaired metabolism of cholesterol, bilirubin and bile acids, which is characterized by the formation of gallstones in the hepatic bile duct, common bile duct, or gallbladder. GD is one of the most prevalent gastrointestinal diseases with a substantial burden to health care systems. GD can result in serious outcomes, such as acute gallstone pancreatitis and gallbladder cancer. The epidemiology, pathogenesis and treatment of GD are discussed in this review. The prevalence of GD varies widely by region. The prevalence of gallstone disease has increased in recent years. This is connected with a change in lifestyle: reduction of motor activity, reduction of the physical load and changes to diets. One of the important benefits of early screening for gallstone disease is that ultrasonography can detect asymptomatic cases, which results in early treatment and the prevention of serious outcomes. The pathogenesis of GD is suggested to be multifactorial and probably develops from complex interactions between many genetic and environmental factors. It suggests that corticosteroids and oral contraceptives, which contain hormones related to steroid hormones, may be regarded as a model system of cholelithiasis development in man. The achievement in the study of the physiology of bile formation and the pathogenesis of GD has allowed expanding indications for therapeutic treatment of GD.","author":[{"dropping-particle":"","family":"Reshetnyak","given":"Vasiliy Ivanovich","non-dropping-particle":"","parse-names":false,"suffix":""}],"container-title":"World journal of hepatology","id":"ITEM-1","issue":"2","issued":{"date-parts":[["2012","2","27"]]},"language":"eng","page":"18-34","publisher":"Baishideng Publishing Group Co., Limited","title":"Concept of the pathogenesis and treatment of cholelithiasis","type":"article-journal","volume":"4"},"uris":["http://www.mendeley.com/documents/?uuid=6c1c9924-fdf8-4e0a-9f81-76d4b36f14f9"]}],"mendeley":{"formattedCitation":"(10)","plainTextFormattedCitation":"(10)","previouslyFormattedCitation":"(10)"},"properties":{"noteIndex":0},"schema":"https://github.com/citation-style-language/schema/raw/master/csl-citation.json"}</w:instrText>
      </w:r>
      <w:r w:rsidR="00303E3C" w:rsidRPr="005C607F">
        <w:rPr>
          <w:rFonts w:ascii="Calibri" w:hAnsi="Calibri" w:cs="Calibri"/>
        </w:rPr>
        <w:fldChar w:fldCharType="separate"/>
      </w:r>
      <w:r w:rsidR="00156950" w:rsidRPr="00156950">
        <w:rPr>
          <w:rFonts w:ascii="Calibri" w:hAnsi="Calibri" w:cs="Calibri"/>
          <w:noProof/>
        </w:rPr>
        <w:t>(10)</w:t>
      </w:r>
      <w:r w:rsidR="00303E3C" w:rsidRPr="005C607F">
        <w:rPr>
          <w:rFonts w:ascii="Calibri" w:hAnsi="Calibri" w:cs="Calibri"/>
        </w:rPr>
        <w:fldChar w:fldCharType="end"/>
      </w:r>
      <w:r w:rsidR="00303E3C" w:rsidRPr="005C607F">
        <w:rPr>
          <w:rFonts w:ascii="Calibri" w:hAnsi="Calibri" w:cs="Calibri"/>
        </w:rPr>
        <w:t xml:space="preserve">, with low-cholesterol diets </w:t>
      </w:r>
      <w:r w:rsidR="00E9699B">
        <w:rPr>
          <w:rFonts w:ascii="Calibri" w:hAnsi="Calibri" w:cs="Calibri"/>
        </w:rPr>
        <w:t xml:space="preserve">often </w:t>
      </w:r>
      <w:r w:rsidR="00303E3C" w:rsidRPr="005C607F">
        <w:rPr>
          <w:rFonts w:ascii="Calibri" w:hAnsi="Calibri" w:cs="Calibri"/>
        </w:rPr>
        <w:t xml:space="preserve">recommended. </w:t>
      </w:r>
      <w:r w:rsidR="007A5FD0">
        <w:rPr>
          <w:rFonts w:ascii="Calibri" w:hAnsi="Calibri" w:cs="Calibri"/>
        </w:rPr>
        <w:t>Diet</w:t>
      </w:r>
      <w:r w:rsidR="00303E3C" w:rsidRPr="005C607F">
        <w:rPr>
          <w:rFonts w:ascii="Calibri" w:hAnsi="Calibri" w:cs="Calibri"/>
        </w:rPr>
        <w:t xml:space="preserve"> may have played a role in </w:t>
      </w:r>
      <w:r w:rsidR="00D6216F">
        <w:rPr>
          <w:rFonts w:ascii="Calibri" w:hAnsi="Calibri" w:cs="Calibri"/>
        </w:rPr>
        <w:t xml:space="preserve">the </w:t>
      </w:r>
      <w:r w:rsidR="00303E3C" w:rsidRPr="005C607F">
        <w:rPr>
          <w:rFonts w:ascii="Calibri" w:hAnsi="Calibri" w:cs="Calibri"/>
        </w:rPr>
        <w:t>development of cholelithiasis in some</w:t>
      </w:r>
      <w:r w:rsidR="006674AF">
        <w:rPr>
          <w:rFonts w:ascii="Calibri" w:hAnsi="Calibri" w:cs="Calibri"/>
        </w:rPr>
        <w:t xml:space="preserve"> of our</w:t>
      </w:r>
      <w:r w:rsidR="00303E3C" w:rsidRPr="005C607F">
        <w:rPr>
          <w:rFonts w:ascii="Calibri" w:hAnsi="Calibri" w:cs="Calibri"/>
        </w:rPr>
        <w:t xml:space="preserve"> patients</w:t>
      </w:r>
      <w:r w:rsidR="006618B7">
        <w:rPr>
          <w:rFonts w:ascii="Calibri" w:hAnsi="Calibri" w:cs="Calibri"/>
        </w:rPr>
        <w:t>,</w:t>
      </w:r>
      <w:r w:rsidR="00303E3C" w:rsidRPr="005C607F">
        <w:rPr>
          <w:rFonts w:ascii="Calibri" w:hAnsi="Calibri" w:cs="Calibri"/>
        </w:rPr>
        <w:t xml:space="preserve"> and a change in diet could have contributed to improvement of cholelithiasis, </w:t>
      </w:r>
      <w:r w:rsidR="00BC6EF6">
        <w:rPr>
          <w:rFonts w:ascii="Calibri" w:hAnsi="Calibri" w:cs="Calibri"/>
        </w:rPr>
        <w:t>but</w:t>
      </w:r>
      <w:r w:rsidR="00BC6EF6" w:rsidRPr="005C607F">
        <w:rPr>
          <w:rFonts w:ascii="Calibri" w:hAnsi="Calibri" w:cs="Calibri"/>
        </w:rPr>
        <w:t xml:space="preserve"> </w:t>
      </w:r>
      <w:r w:rsidR="00303E3C" w:rsidRPr="005C607F">
        <w:rPr>
          <w:rFonts w:ascii="Calibri" w:hAnsi="Calibri" w:cs="Calibri"/>
        </w:rPr>
        <w:t xml:space="preserve">this remains unknown. </w:t>
      </w:r>
      <w:r w:rsidR="0095212C">
        <w:rPr>
          <w:rFonts w:ascii="Calibri" w:hAnsi="Calibri" w:cs="Calibri"/>
        </w:rPr>
        <w:t>Also</w:t>
      </w:r>
      <w:r w:rsidR="001A1D8B" w:rsidRPr="005C607F">
        <w:rPr>
          <w:rFonts w:ascii="Calibri" w:hAnsi="Calibri" w:cs="Calibri"/>
        </w:rPr>
        <w:t xml:space="preserve">, </w:t>
      </w:r>
      <w:r w:rsidR="0095212C">
        <w:rPr>
          <w:rFonts w:ascii="Calibri" w:hAnsi="Calibri" w:cs="Calibri"/>
        </w:rPr>
        <w:t>cholelith</w:t>
      </w:r>
      <w:r w:rsidR="0095212C" w:rsidRPr="005C607F">
        <w:rPr>
          <w:rFonts w:ascii="Calibri" w:hAnsi="Calibri" w:cs="Calibri"/>
        </w:rPr>
        <w:t xml:space="preserve"> </w:t>
      </w:r>
      <w:r w:rsidR="001A1D8B" w:rsidRPr="005C607F">
        <w:rPr>
          <w:rFonts w:ascii="Calibri" w:hAnsi="Calibri" w:cs="Calibri"/>
        </w:rPr>
        <w:t>size was not routinely recorded in our study</w:t>
      </w:r>
      <w:r w:rsidR="0095212C">
        <w:rPr>
          <w:rFonts w:ascii="Calibri" w:hAnsi="Calibri" w:cs="Calibri"/>
        </w:rPr>
        <w:t>,</w:t>
      </w:r>
      <w:r w:rsidR="001A1D8B" w:rsidRPr="005C607F">
        <w:rPr>
          <w:rFonts w:ascii="Calibri" w:hAnsi="Calibri" w:cs="Calibri"/>
        </w:rPr>
        <w:t xml:space="preserve"> and therefore analysis of </w:t>
      </w:r>
      <w:r w:rsidR="0095212C">
        <w:rPr>
          <w:rFonts w:ascii="Calibri" w:hAnsi="Calibri" w:cs="Calibri"/>
        </w:rPr>
        <w:t>cholelith</w:t>
      </w:r>
      <w:r w:rsidR="0095212C" w:rsidRPr="005C607F">
        <w:rPr>
          <w:rFonts w:ascii="Calibri" w:hAnsi="Calibri" w:cs="Calibri"/>
        </w:rPr>
        <w:t xml:space="preserve"> </w:t>
      </w:r>
      <w:r w:rsidR="001A1D8B" w:rsidRPr="005C607F">
        <w:rPr>
          <w:rFonts w:ascii="Calibri" w:hAnsi="Calibri" w:cs="Calibri"/>
        </w:rPr>
        <w:t xml:space="preserve">size in relation to clinical presentation, treatment modality and outcome could not be performed. </w:t>
      </w:r>
      <w:r w:rsidR="00746DED">
        <w:rPr>
          <w:rFonts w:ascii="Calibri" w:hAnsi="Calibri" w:cs="Calibri"/>
        </w:rPr>
        <w:t>Cholelith s</w:t>
      </w:r>
      <w:r w:rsidR="001A1D8B" w:rsidRPr="005C607F">
        <w:rPr>
          <w:rFonts w:ascii="Calibri" w:hAnsi="Calibri" w:cs="Calibri"/>
        </w:rPr>
        <w:t xml:space="preserve">ize may be important given that in human medicine the presence of </w:t>
      </w:r>
      <w:r w:rsidR="0004269F">
        <w:rPr>
          <w:rFonts w:ascii="Calibri" w:hAnsi="Calibri" w:cs="Calibri"/>
        </w:rPr>
        <w:t>choleliths</w:t>
      </w:r>
      <w:r w:rsidR="0004269F" w:rsidRPr="005C607F">
        <w:rPr>
          <w:rFonts w:ascii="Calibri" w:hAnsi="Calibri" w:cs="Calibri"/>
        </w:rPr>
        <w:t xml:space="preserve"> </w:t>
      </w:r>
      <w:r w:rsidR="001A1D8B" w:rsidRPr="005C607F">
        <w:rPr>
          <w:rFonts w:ascii="Calibri" w:hAnsi="Calibri" w:cs="Calibri"/>
        </w:rPr>
        <w:t>&gt;10</w:t>
      </w:r>
      <w:r w:rsidR="0004269F">
        <w:rPr>
          <w:rFonts w:ascii="Calibri" w:hAnsi="Calibri" w:cs="Calibri"/>
        </w:rPr>
        <w:t xml:space="preserve"> </w:t>
      </w:r>
      <w:r w:rsidR="001A1D8B" w:rsidRPr="005C607F">
        <w:rPr>
          <w:rFonts w:ascii="Calibri" w:hAnsi="Calibri" w:cs="Calibri"/>
        </w:rPr>
        <w:t xml:space="preserve">mm </w:t>
      </w:r>
      <w:r w:rsidR="00D46A6C">
        <w:rPr>
          <w:rFonts w:ascii="Calibri" w:hAnsi="Calibri" w:cs="Calibri"/>
        </w:rPr>
        <w:t>is</w:t>
      </w:r>
      <w:r w:rsidR="001A1D8B" w:rsidRPr="005C607F">
        <w:rPr>
          <w:rFonts w:ascii="Calibri" w:hAnsi="Calibri" w:cs="Calibri"/>
        </w:rPr>
        <w:t xml:space="preserve"> associated with a higher risk of clinical events </w:t>
      </w:r>
      <w:r w:rsidR="001A1D8B" w:rsidRPr="005C607F">
        <w:rPr>
          <w:rFonts w:ascii="Calibri" w:hAnsi="Calibri" w:cs="Calibri"/>
        </w:rPr>
        <w:fldChar w:fldCharType="begin" w:fldLock="1"/>
      </w:r>
      <w:r w:rsidR="00E677A0">
        <w:rPr>
          <w:rFonts w:ascii="Calibri" w:hAnsi="Calibri" w:cs="Calibri"/>
        </w:rPr>
        <w:instrText>ADDIN CSL_CITATION {"citationItems":[{"id":"ITEM-1","itemData":{"DOI":"https://doi.org/10.1053/j.gastro.2015.09.002","ISSN":"0016-5085","abstract":"Background &amp; Aims No one knows exactly what proportion of gallstones cause clinical events among subjects unaware of their gallstone status. We investigated the long-term occurrence of clinical events of gallstones and associations between ultrasound observations and clinical events. Methods We analyzed data from 3 randomly selected groups in the general population of urban Copenhagen (age, 30–70 y) participating in an international study of cardiovascular risk factors (the Multinational mONItoring of trends and determinants in CArdiovascular disease study). In this study, participants (n = 6037) were examined from 1982 through 1994, and underwent abdominal ultrasound examinations to detect gallstones. Our study population comprised 664 subjects with gallstones; subjects were not informed of their gallstone status. Participants were followed up for clinical events through central registers until December 31, 2011. Independent variables included ultrasound characteristics, age, sex, comorbidity, and female-associated factors, which were analyzed using Cox regression. Results Study participants were followed up for a median of 17.4 years (range, 0.1–29.1 y); 99.7% of participants completed the study. A total of 19.6% participants developed events (8.0% complicated and 11.6% uncomplicated). Ten percent had awareness of their gallstones; awareness was associated with uncomplicated and complicated events. Stones larger than 10 mm were associated with all events (hazard ratio [HR], 2.31; 95% confidence interval [CI], 1.45–3.69), acute cholecystitis (HR, 9.49; 95% CI, 2.05–43.92), and uncomplicated events (HR, 2.55; 95% CI, 1.38−4.71), including cholecystectomy (HR, 2.69; 95% CI, 1.29–5.60). Multiple stones were associated with all events (HR, 1.68; 95% CI, 1.00–2.81), complicated events (HR, 2.52; 95% CI, 1.05−6.04), and common bile duct stones (HR, 11.83; 95% CI, 1.54−91). There was an association between gallstones more than 5 years old and acute cholecystitis. Female sex was associated with all and uncomplicated events. We found a negative association between participant age and all events, uncomplicated events, and acute cholecystitis. Comorbidities and female-associated factors (intake of birth control pills or estrogens and number of births) were not associated with events. Compared with men with a single stone of 10 mm or smaller (reference), women with multiple stones greater than 10 mm had the highest risk for events (HR, 11.05; 95% CI, 3.76–32.44; u…","author":[{"dropping-particle":"","family":"Shabanzadeh","given":"Daniel Mønsted","non-dropping-particle":"","parse-names":false,"suffix":""},{"dropping-particle":"","family":"Sørensen","given":"Lars Tue","non-dropping-particle":"","parse-names":false,"suffix":""},{"dropping-particle":"","family":"Jørgensen","given":"Torben","non-dropping-particle":"","parse-names":false,"suffix":""}],"container-title":"Gastroenterology","id":"ITEM-1","issue":"1","issued":{"date-parts":[["2016"]]},"page":"156-167.e1","title":"A Prediction Rule for Risk Stratification of Incidentally Discovered Gallstones: Results From a Large Cohort Study","type":"article-journal","volume":"150"},"uris":["http://www.mendeley.com/documents/?uuid=31af8aaa-d0e7-4876-a692-ce5e15257da7"]}],"mendeley":{"formattedCitation":"(17)","plainTextFormattedCitation":"(17)","previouslyFormattedCitation":"(18)"},"properties":{"noteIndex":0},"schema":"https://github.com/citation-style-language/schema/raw/master/csl-citation.json"}</w:instrText>
      </w:r>
      <w:r w:rsidR="001A1D8B" w:rsidRPr="005C607F">
        <w:rPr>
          <w:rFonts w:ascii="Calibri" w:hAnsi="Calibri" w:cs="Calibri"/>
        </w:rPr>
        <w:fldChar w:fldCharType="separate"/>
      </w:r>
      <w:r w:rsidR="00E677A0" w:rsidRPr="00E677A0">
        <w:rPr>
          <w:rFonts w:ascii="Calibri" w:hAnsi="Calibri" w:cs="Calibri"/>
          <w:noProof/>
        </w:rPr>
        <w:t>(17)</w:t>
      </w:r>
      <w:r w:rsidR="001A1D8B" w:rsidRPr="005C607F">
        <w:rPr>
          <w:rFonts w:ascii="Calibri" w:hAnsi="Calibri" w:cs="Calibri"/>
        </w:rPr>
        <w:fldChar w:fldCharType="end"/>
      </w:r>
      <w:r w:rsidR="001A1D8B" w:rsidRPr="005C607F">
        <w:rPr>
          <w:rFonts w:ascii="Calibri" w:hAnsi="Calibri" w:cs="Calibri"/>
        </w:rPr>
        <w:t xml:space="preserve"> and </w:t>
      </w:r>
      <w:r w:rsidR="0004269F">
        <w:rPr>
          <w:rFonts w:ascii="Calibri" w:hAnsi="Calibri" w:cs="Calibri"/>
        </w:rPr>
        <w:t>choleliths</w:t>
      </w:r>
      <w:r w:rsidR="0004269F" w:rsidRPr="005C607F">
        <w:rPr>
          <w:rFonts w:ascii="Calibri" w:hAnsi="Calibri" w:cs="Calibri"/>
        </w:rPr>
        <w:t xml:space="preserve"> </w:t>
      </w:r>
      <w:r w:rsidR="001A1D8B" w:rsidRPr="005C607F">
        <w:rPr>
          <w:rFonts w:ascii="Calibri" w:hAnsi="Calibri" w:cs="Calibri"/>
        </w:rPr>
        <w:t>&lt;5</w:t>
      </w:r>
      <w:r w:rsidR="0004269F">
        <w:rPr>
          <w:rFonts w:ascii="Calibri" w:hAnsi="Calibri" w:cs="Calibri"/>
        </w:rPr>
        <w:t xml:space="preserve"> </w:t>
      </w:r>
      <w:r w:rsidR="001A1D8B" w:rsidRPr="005C607F">
        <w:rPr>
          <w:rFonts w:ascii="Calibri" w:hAnsi="Calibri" w:cs="Calibri"/>
        </w:rPr>
        <w:t xml:space="preserve">mm respond most effectively to UDCA </w:t>
      </w:r>
      <w:r w:rsidR="001A1D8B" w:rsidRPr="005C607F">
        <w:rPr>
          <w:rFonts w:ascii="Calibri" w:hAnsi="Calibri" w:cs="Calibri"/>
        </w:rPr>
        <w:fldChar w:fldCharType="begin" w:fldLock="1"/>
      </w:r>
      <w:r w:rsidR="00E677A0">
        <w:rPr>
          <w:rFonts w:ascii="Calibri" w:hAnsi="Calibri" w:cs="Calibri"/>
        </w:rPr>
        <w:instrText>ADDIN CSL_CITATION {"citationItems":[{"id":"ITEM-1","itemData":{"DOI":"10.4254/wjh.v4.i2.18","ISSN":"1948-5182","abstract":"Gallstone disease (GD) is a chronic recurrent hepatobiliary disease, the basis for which is the impaired metabolism of cholesterol, bilirubin and bile acids, which is characterized by the formation of gallstones in the hepatic bile duct, common bile duct, or gallbladder. GD is one of the most prevalent gastrointestinal diseases with a substantial burden to health care systems. GD can result in serious outcomes, such as acute gallstone pancreatitis and gallbladder cancer. The epidemiology, pathogenesis and treatment of GD are discussed in this review. The prevalence of GD varies widely by region. The prevalence of gallstone disease has increased in recent years. This is connected with a change in lifestyle: reduction of motor activity, reduction of the physical load and changes to diets. One of the important benefits of early screening for gallstone disease is that ultrasonography can detect asymptomatic cases, which results in early treatment and the prevention of serious outcomes. The pathogenesis of GD is suggested to be multifactorial and probably develops from complex interactions between many genetic and environmental factors. It suggests that corticosteroids and oral contraceptives, which contain hormones related to steroid hormones, may be regarded as a model system of cholelithiasis development in man. The achievement in the study of the physiology of bile formation and the pathogenesis of GD has allowed expanding indications for therapeutic treatment of GD.","author":[{"dropping-particle":"","family":"Reshetnyak","given":"Vasiliy Ivanovich","non-dropping-particle":"","parse-names":false,"suffix":""}],"container-title":"World journal of hepatology","id":"ITEM-1","issue":"2","issued":{"date-parts":[["2012","2","27"]]},"language":"eng","page":"18-34","publisher":"Baishideng Publishing Group Co., Limited","title":"Concept of the pathogenesis and treatment of cholelithiasis","type":"article-journal","volume":"4"},"uris":["http://www.mendeley.com/documents/?uuid=6c1c9924-fdf8-4e0a-9f81-76d4b36f14f9"]},{"id":"ITEM-2","itemData":{"DOI":"10.12688/f1000research.15505.1","ISSN":"2046-1402","abstract":"The high prevalence of cholesterol gallstones, the availability of new information about pathogenesis, and the relevant health costs due to the management of cholelithiasis in both children and adults contribute to a growing interest in this disease. From an epidemiologic point of view, the risk of gallstones has been associated with higher risk of incident ischemic heart disease, total mortality, and disease-specific mortality (including cancer) independently from the presence of traditional risk factors such as body weight, lifestyle, diabetes, and dyslipidemia. This evidence points to the existence of complex pathogenic pathways linking the occurrence of gallstones to altered systemic homeostasis involving multiple organs and dynamics. In fact, the formation of gallstones is secondary to local factors strictly dependent on the gallbladder (that is, impaired smooth muscle function, wall inflammation, and intraluminal mucin accumulation) and bile (that is, supersaturation in cholesterol and precipitation of solid crystals) but also to \"extra-gallbladder\" features such as gene polymorphism, epigenetic factors, expression and activity of nuclear receptors, hormonal factors (in particular, insulin resistance), multi-level alterations in cholesterol metabolism, altered intestinal motility, and variations in gut microbiota. Of note, the majority of these factors are potentially manageable. Thus, cholelithiasis appears as the expression of systemic unbalances that, besides the classic therapeutic approaches to patients with clinical evidence of symptomatic disease or complications (surgery and, in a small subgroup of subjects, oral litholysis with bile acids), could be managed with tools oriented to primary prevention (changes in diet and lifestyle and pharmacologic prevention in subgroups at high risk), and there could be relevant implications in reducing both prevalence and health costs.","author":[{"dropping-particle":"","family":"Ciaula","given":"Agostino","non-dropping-particle":"Di","parse-names":false,"suffix":""},{"dropping-particle":"","family":"Portincasa","given":"Piero","non-dropping-particle":"","parse-names":false,"suffix":""}],"container-title":"F1000Research","id":"ITEM-2","issued":{"date-parts":[["2018","9","24"]]},"language":"eng","page":"F1000 Faculty Rev-1529","publisher":"F1000 Research Limited","title":"Recent advances in understanding and managing cholesterol gallstones","type":"article-journal","volume":"7"},"uris":["http://www.mendeley.com/documents/?uuid=e87cb6f7-4af1-4370-9b49-22c0e2e43e77"]},{"id":"ITEM-3","itemData":{"ISSN":"1426-9686","author":[{"dropping-particle":"","family":"Stawarski","given":"Andrzej","non-dropping-particle":"","parse-names":false,"suffix":""},{"dropping-particle":"","family":"Iwańczak","given":"Barbara","non-dropping-particle":"","parse-names":false,"suffix":""},{"dropping-particle":"","family":"Iwańczak","given":"Franciszek","non-dropping-particle":"","parse-names":false,"suffix":""}],"container-title":"Polski merkuriusz lekarski : organ Polskiego Towarzystwa Lekarskiego","id":"ITEM-3","issue":"116","issued":{"date-parts":[["2006","2"]]},"page":"199—202","title":"[Predisposing factors and results of pharmalogical treatment using ursodeoxycholic acid of gallbladder stones in children]","type":"article-journal","volume":"20"},"uris":["http://www.mendeley.com/documents/?uuid=8544af95-b723-442b-94f9-7851310f5785"]}],"mendeley":{"formattedCitation":"(10,11,27)","plainTextFormattedCitation":"(10,11,27)","previouslyFormattedCitation":"(10,11,28)"},"properties":{"noteIndex":0},"schema":"https://github.com/citation-style-language/schema/raw/master/csl-citation.json"}</w:instrText>
      </w:r>
      <w:r w:rsidR="001A1D8B" w:rsidRPr="005C607F">
        <w:rPr>
          <w:rFonts w:ascii="Calibri" w:hAnsi="Calibri" w:cs="Calibri"/>
        </w:rPr>
        <w:fldChar w:fldCharType="separate"/>
      </w:r>
      <w:r w:rsidR="00E677A0" w:rsidRPr="00E677A0">
        <w:rPr>
          <w:rFonts w:ascii="Calibri" w:hAnsi="Calibri" w:cs="Calibri"/>
          <w:noProof/>
        </w:rPr>
        <w:t>(10,11,27)</w:t>
      </w:r>
      <w:r w:rsidR="001A1D8B" w:rsidRPr="005C607F">
        <w:rPr>
          <w:rFonts w:ascii="Calibri" w:hAnsi="Calibri" w:cs="Calibri"/>
        </w:rPr>
        <w:fldChar w:fldCharType="end"/>
      </w:r>
      <w:r w:rsidR="001A1D8B" w:rsidRPr="005C607F">
        <w:rPr>
          <w:rFonts w:ascii="Calibri" w:hAnsi="Calibri" w:cs="Calibri"/>
        </w:rPr>
        <w:t xml:space="preserve">. </w:t>
      </w:r>
    </w:p>
    <w:p w14:paraId="63E29FFB" w14:textId="130C2BC1" w:rsidR="003250A3" w:rsidRDefault="00303E3C" w:rsidP="00867264">
      <w:pPr>
        <w:spacing w:line="480" w:lineRule="auto"/>
        <w:jc w:val="both"/>
        <w:rPr>
          <w:rFonts w:ascii="Calibri" w:hAnsi="Calibri" w:cs="Calibri"/>
        </w:rPr>
      </w:pPr>
      <w:r w:rsidRPr="005C607F">
        <w:rPr>
          <w:rFonts w:ascii="Calibri" w:hAnsi="Calibri" w:cs="Calibri"/>
        </w:rPr>
        <w:t xml:space="preserve">A further limitation of </w:t>
      </w:r>
      <w:r w:rsidR="00860E66">
        <w:rPr>
          <w:rFonts w:ascii="Calibri" w:hAnsi="Calibri" w:cs="Calibri"/>
        </w:rPr>
        <w:t>our</w:t>
      </w:r>
      <w:r w:rsidR="00860E66" w:rsidRPr="005C607F">
        <w:rPr>
          <w:rFonts w:ascii="Calibri" w:hAnsi="Calibri" w:cs="Calibri"/>
        </w:rPr>
        <w:t xml:space="preserve"> </w:t>
      </w:r>
      <w:r w:rsidRPr="005C607F">
        <w:rPr>
          <w:rFonts w:ascii="Calibri" w:hAnsi="Calibri" w:cs="Calibri"/>
        </w:rPr>
        <w:t xml:space="preserve">study and of previous studies investigating medical management of cholelithiasis is that composition </w:t>
      </w:r>
      <w:r w:rsidR="00A56E31">
        <w:rPr>
          <w:rFonts w:ascii="Calibri" w:hAnsi="Calibri" w:cs="Calibri"/>
        </w:rPr>
        <w:t>analysis is rarely performed</w:t>
      </w:r>
      <w:r w:rsidRPr="005C607F">
        <w:rPr>
          <w:rFonts w:ascii="Calibri" w:hAnsi="Calibri" w:cs="Calibri"/>
        </w:rPr>
        <w:t xml:space="preserve">, with </w:t>
      </w:r>
      <w:r w:rsidR="00133D38">
        <w:rPr>
          <w:rFonts w:ascii="Calibri" w:hAnsi="Calibri" w:cs="Calibri"/>
        </w:rPr>
        <w:t>cholelith</w:t>
      </w:r>
      <w:r w:rsidR="00133D38" w:rsidRPr="005C607F">
        <w:rPr>
          <w:rFonts w:ascii="Calibri" w:hAnsi="Calibri" w:cs="Calibri"/>
        </w:rPr>
        <w:t xml:space="preserve"> </w:t>
      </w:r>
      <w:r w:rsidRPr="005C607F">
        <w:rPr>
          <w:rFonts w:ascii="Calibri" w:hAnsi="Calibri" w:cs="Calibri"/>
        </w:rPr>
        <w:t xml:space="preserve">composition </w:t>
      </w:r>
      <w:r w:rsidR="00133D38">
        <w:rPr>
          <w:rFonts w:ascii="Calibri" w:hAnsi="Calibri" w:cs="Calibri"/>
        </w:rPr>
        <w:t xml:space="preserve">being </w:t>
      </w:r>
      <w:r w:rsidRPr="005C607F">
        <w:rPr>
          <w:rFonts w:ascii="Calibri" w:hAnsi="Calibri" w:cs="Calibri"/>
        </w:rPr>
        <w:t xml:space="preserve">a major factor </w:t>
      </w:r>
      <w:r w:rsidR="00E62056">
        <w:rPr>
          <w:rFonts w:ascii="Calibri" w:hAnsi="Calibri" w:cs="Calibri"/>
        </w:rPr>
        <w:t>affecting</w:t>
      </w:r>
      <w:r w:rsidRPr="005C607F">
        <w:rPr>
          <w:rFonts w:ascii="Calibri" w:hAnsi="Calibri" w:cs="Calibri"/>
        </w:rPr>
        <w:t xml:space="preserve"> efficacy of UDCA in management of cholelithiasis</w:t>
      </w:r>
      <w:r w:rsidR="00207B03">
        <w:rPr>
          <w:rFonts w:ascii="Calibri" w:hAnsi="Calibri" w:cs="Calibri"/>
        </w:rPr>
        <w:t xml:space="preserve"> in humans</w:t>
      </w:r>
      <w:r w:rsidRPr="005C607F">
        <w:rPr>
          <w:rFonts w:ascii="Calibri" w:hAnsi="Calibri" w:cs="Calibri"/>
        </w:rPr>
        <w:t xml:space="preserve">. </w:t>
      </w:r>
      <w:r w:rsidR="003250A3">
        <w:rPr>
          <w:rFonts w:ascii="Calibri" w:hAnsi="Calibri" w:cs="Calibri"/>
        </w:rPr>
        <w:t>Despite the lack of composition analysis</w:t>
      </w:r>
      <w:r w:rsidR="00861620">
        <w:rPr>
          <w:rFonts w:ascii="Calibri" w:hAnsi="Calibri" w:cs="Calibri"/>
        </w:rPr>
        <w:t xml:space="preserve"> in </w:t>
      </w:r>
      <w:r w:rsidR="00E107C2">
        <w:rPr>
          <w:rFonts w:ascii="Calibri" w:hAnsi="Calibri" w:cs="Calibri"/>
        </w:rPr>
        <w:t xml:space="preserve">our </w:t>
      </w:r>
      <w:r w:rsidR="00861620">
        <w:rPr>
          <w:rFonts w:ascii="Calibri" w:hAnsi="Calibri" w:cs="Calibri"/>
        </w:rPr>
        <w:t>study</w:t>
      </w:r>
      <w:r w:rsidR="002A0F16">
        <w:rPr>
          <w:rFonts w:ascii="Calibri" w:hAnsi="Calibri" w:cs="Calibri"/>
        </w:rPr>
        <w:t>,</w:t>
      </w:r>
      <w:r w:rsidR="003250A3">
        <w:rPr>
          <w:rFonts w:ascii="Calibri" w:hAnsi="Calibri" w:cs="Calibri"/>
        </w:rPr>
        <w:t xml:space="preserve"> 77% of dogs in which abdominal radiograp</w:t>
      </w:r>
      <w:r w:rsidR="006C7E92">
        <w:rPr>
          <w:rFonts w:ascii="Calibri" w:hAnsi="Calibri" w:cs="Calibri"/>
        </w:rPr>
        <w:t>hy</w:t>
      </w:r>
      <w:r w:rsidR="0093341E">
        <w:rPr>
          <w:rFonts w:ascii="Calibri" w:hAnsi="Calibri" w:cs="Calibri"/>
        </w:rPr>
        <w:t xml:space="preserve"> w</w:t>
      </w:r>
      <w:r w:rsidR="006C7E92">
        <w:rPr>
          <w:rFonts w:ascii="Calibri" w:hAnsi="Calibri" w:cs="Calibri"/>
        </w:rPr>
        <w:t>as</w:t>
      </w:r>
      <w:r w:rsidR="003250A3">
        <w:rPr>
          <w:rFonts w:ascii="Calibri" w:hAnsi="Calibri" w:cs="Calibri"/>
        </w:rPr>
        <w:t xml:space="preserve"> performed had radiolucent choleliths</w:t>
      </w:r>
      <w:r w:rsidR="009B45AD">
        <w:rPr>
          <w:rFonts w:ascii="Calibri" w:hAnsi="Calibri" w:cs="Calibri"/>
        </w:rPr>
        <w:t>.</w:t>
      </w:r>
      <w:r w:rsidR="003250A3">
        <w:rPr>
          <w:rFonts w:ascii="Calibri" w:hAnsi="Calibri" w:cs="Calibri"/>
        </w:rPr>
        <w:t xml:space="preserve"> </w:t>
      </w:r>
      <w:r w:rsidR="009B45AD">
        <w:rPr>
          <w:rFonts w:ascii="Calibri" w:hAnsi="Calibri" w:cs="Calibri"/>
        </w:rPr>
        <w:t>This</w:t>
      </w:r>
      <w:r w:rsidR="00AC568E">
        <w:rPr>
          <w:rFonts w:ascii="Calibri" w:hAnsi="Calibri" w:cs="Calibri"/>
        </w:rPr>
        <w:t xml:space="preserve"> </w:t>
      </w:r>
      <w:r w:rsidR="00C929E5">
        <w:rPr>
          <w:rFonts w:ascii="Calibri" w:hAnsi="Calibri" w:cs="Calibri"/>
        </w:rPr>
        <w:t xml:space="preserve">finding </w:t>
      </w:r>
      <w:r w:rsidR="003250A3">
        <w:rPr>
          <w:rFonts w:ascii="Calibri" w:hAnsi="Calibri" w:cs="Calibri"/>
        </w:rPr>
        <w:t>indicate</w:t>
      </w:r>
      <w:r w:rsidR="00AC568E">
        <w:rPr>
          <w:rFonts w:ascii="Calibri" w:hAnsi="Calibri" w:cs="Calibri"/>
        </w:rPr>
        <w:t>s</w:t>
      </w:r>
      <w:r w:rsidR="00C929E5">
        <w:rPr>
          <w:rFonts w:ascii="Calibri" w:hAnsi="Calibri" w:cs="Calibri"/>
        </w:rPr>
        <w:t xml:space="preserve"> that</w:t>
      </w:r>
      <w:r w:rsidR="003250A3">
        <w:rPr>
          <w:rFonts w:ascii="Calibri" w:hAnsi="Calibri" w:cs="Calibri"/>
        </w:rPr>
        <w:t xml:space="preserve"> cholelit</w:t>
      </w:r>
      <w:r w:rsidR="005A17FD">
        <w:rPr>
          <w:rFonts w:ascii="Calibri" w:hAnsi="Calibri" w:cs="Calibri"/>
        </w:rPr>
        <w:t>h composition</w:t>
      </w:r>
      <w:r w:rsidR="003250A3">
        <w:rPr>
          <w:rFonts w:ascii="Calibri" w:hAnsi="Calibri" w:cs="Calibri"/>
        </w:rPr>
        <w:t xml:space="preserve"> </w:t>
      </w:r>
      <w:r w:rsidR="005A17FD">
        <w:rPr>
          <w:rFonts w:ascii="Calibri" w:hAnsi="Calibri" w:cs="Calibri"/>
        </w:rPr>
        <w:t>was not purely calcium-based</w:t>
      </w:r>
      <w:r w:rsidR="00E05A88">
        <w:rPr>
          <w:rFonts w:ascii="Calibri" w:hAnsi="Calibri" w:cs="Calibri"/>
        </w:rPr>
        <w:t xml:space="preserve"> </w:t>
      </w:r>
      <w:r w:rsidR="00E05A88">
        <w:rPr>
          <w:rFonts w:ascii="Calibri" w:hAnsi="Calibri" w:cs="Calibri"/>
        </w:rPr>
        <w:fldChar w:fldCharType="begin" w:fldLock="1"/>
      </w:r>
      <w:r w:rsidR="00E677A0">
        <w:rPr>
          <w:rFonts w:ascii="Calibri" w:hAnsi="Calibri" w:cs="Calibri"/>
        </w:rPr>
        <w:instrText>ADDIN CSL_CITATION {"citationItems":[{"id":"ITEM-1","itemData":{"DOI":"https://doi.org/10.1016/S0016-5085(75)80145-4","ISSN":"0016-5085","abstract":"A major criterion for the selection of patients with gallstones for treatment with chenodeoxycholic acid is the radiographic demonstration of lucent gallstones. In this study, we sought to evaluate the degree of selectivity of that criterion for distinguishing patients with cholesterol stones from those with pigment stones and to define the determinants of stone lucency or opaqueness. Of 92 lucent stones, 14% were pigment stones; and of 18 of opaque stones, 33% were cholesterol. Thus, the criterion of stone lucency allows inclusion of a significant number of subjects (14%) with lucent pigment stones, which may account for about one-half of the reported 33% incidence of treatment failures with chenodeoxycholic acid. Conversely, of patients with opaque stones, the one-third with cholesterol stones would be excluded from chenodeoxycholic acid treatment. Calcium is the major metal of both types of stones. However, opaque stones contain 6 times more calcium than lucent stones, which accounts for the difference in radiographic appearance.","author":[{"dropping-particle":"","family":"Trotman","given":"Bruce W","non-dropping-particle":"","parse-names":false,"suffix":""},{"dropping-particle":"","family":"Petrella","given":"Edward J","non-dropping-particle":"","parse-names":false,"suffix":""},{"dropping-particle":"","family":"Soloway","given":"Roger D","non-dropping-particle":"","parse-names":false,"suffix":""},{"dropping-particle":"","family":"Sanchez","given":"Harry M","non-dropping-particle":"","parse-names":false,"suffix":""},{"dropping-particle":"","family":"Morris","given":"Thomas A","non-dropping-particle":"","parse-names":false,"suffix":""},{"dropping-particle":"","family":"Miller","given":"Wallace T","non-dropping-particle":"","parse-names":false,"suffix":""}],"container-title":"Gastroenterology","id":"ITEM-1","issue":"6","issued":{"date-parts":[["1975"]]},"page":"1563-1566","title":"Evaluation of Radiographic Lucency or Opaqueness of Gallstones as a Means of Identifying Cholesterol or Pigment Stones: Correlation of lucency or opaqueness with calcium and mineral","type":"article-journal","volume":"68"},"uris":["http://www.mendeley.com/documents/?uuid=434ec79a-019d-4d27-b82a-9037df4e4cca"]},{"id":"ITEM-2","itemData":{"DOI":"https://doi.org/10.1016/j.asjsur.2012.06.001","ISSN":"1015-9584","abstract":"Summary Background/Objectives Our aim was to investigate the calcium content of different gallstone compositions and the pathogenic mechanisms of calcium carbonate gallstones. Methods Between August 2001 and July 2007, gallstones from 481 patients, including 68 calcium carbonate gallstones, were analyzed for total calcium content. Gallbladder bile samples from 33 cases and six controls were analyzed for pH, carbonate anion level, free-ionized calcium concentration and saturation index for calcium carbonate. Results Total calcium content averaged 75.6 %, 11.8 %, and 4.2 % for calcium carbonate, calcium bilirubinate and cholesterol gallstones. In 29.4 % of patients, chronic and/or intermittent cystic duct obstructions were caused by polypoid lesions in the neck region and 70.6 % were caused by stones. A total of 82 % of patients had chronic low-grade inflammation of the gallbladder wall and 18.0 % had acute inflammatory exacerbations. In the bile, we found the mean pH, mean carbonate anion, free-ionized calcium concentrations, and mean saturation index for calcium carbonate to be elevated in comparison to controls. Conclusion From our study, we found chronic and/or intermittent cystic duct obstructions and low-grade GB wall inflammation lead to GB epithelium hydrogen secretion dysfunction. Increased calcium ion efflux into the GB lumen combined with increased carbonate anion presence increases SI_CaCO3 from 1 to 22.4. Thus, in an alkaline milieu with pH 7.8, calcium carbonate begins to aggregate and precipitate.","author":[{"dropping-particle":"","family":"Yu","given":"Ji-Kuen","non-dropping-particle":"","parse-names":false,"suffix":""},{"dropping-particle":"","family":"Pan","given":"Huichin","non-dropping-particle":"","parse-names":false,"suffix":""},{"dropping-particle":"","family":"Huang","given":"Shing-Moo","non-dropping-particle":"","parse-names":false,"suffix":""},{"dropping-particle":"","family":"Huang","given":"Nan-Lan","non-dropping-particle":"","parse-names":false,"suffix":""},{"dropping-particle":"","family":"Yao","given":"Chung-Chin","non-dropping-particle":"","parse-names":false,"suffix":""},{"dropping-particle":"","family":"Hsiao","given":"Kuang-Ming","non-dropping-particle":"","parse-names":false,"suffix":""},{"dropping-particle":"","family":"Wu","given":"Chew-Wun","non-dropping-particle":"","parse-names":false,"suffix":""}],"container-title":"Asian Journal of Surgery","id":"ITEM-2","issue":"1","issued":{"date-parts":[["2013"]]},"page":"26-35","title":"Calcium content of different compositions of gallstones and pathogenesis of calcium carbonate gallstones","type":"article-journal","volume":"36"},"uris":["http://www.mendeley.com/documents/?uuid=4b5b5812-f824-448c-8773-bf97a7281d71"]}],"mendeley":{"formattedCitation":"(31,32)","plainTextFormattedCitation":"(31,32)","previouslyFormattedCitation":"(32,33)"},"properties":{"noteIndex":0},"schema":"https://github.com/citation-style-language/schema/raw/master/csl-citation.json"}</w:instrText>
      </w:r>
      <w:r w:rsidR="00E05A88">
        <w:rPr>
          <w:rFonts w:ascii="Calibri" w:hAnsi="Calibri" w:cs="Calibri"/>
        </w:rPr>
        <w:fldChar w:fldCharType="separate"/>
      </w:r>
      <w:r w:rsidR="00E677A0" w:rsidRPr="00E677A0">
        <w:rPr>
          <w:rFonts w:ascii="Calibri" w:hAnsi="Calibri" w:cs="Calibri"/>
          <w:noProof/>
        </w:rPr>
        <w:t>(31,32)</w:t>
      </w:r>
      <w:r w:rsidR="00E05A88">
        <w:rPr>
          <w:rFonts w:ascii="Calibri" w:hAnsi="Calibri" w:cs="Calibri"/>
        </w:rPr>
        <w:fldChar w:fldCharType="end"/>
      </w:r>
      <w:r w:rsidR="005A17FD">
        <w:rPr>
          <w:rFonts w:ascii="Calibri" w:hAnsi="Calibri" w:cs="Calibri"/>
        </w:rPr>
        <w:t xml:space="preserve"> </w:t>
      </w:r>
      <w:r w:rsidR="003250A3">
        <w:rPr>
          <w:rFonts w:ascii="Calibri" w:hAnsi="Calibri" w:cs="Calibri"/>
        </w:rPr>
        <w:t>in th</w:t>
      </w:r>
      <w:r w:rsidR="008209C7">
        <w:rPr>
          <w:rFonts w:ascii="Calibri" w:hAnsi="Calibri" w:cs="Calibri"/>
        </w:rPr>
        <w:t xml:space="preserve">e majority of </w:t>
      </w:r>
      <w:r w:rsidR="00D05467">
        <w:rPr>
          <w:rFonts w:ascii="Calibri" w:hAnsi="Calibri" w:cs="Calibri"/>
        </w:rPr>
        <w:t>these dogs,</w:t>
      </w:r>
      <w:r w:rsidR="003250A3">
        <w:rPr>
          <w:rFonts w:ascii="Calibri" w:hAnsi="Calibri" w:cs="Calibri"/>
        </w:rPr>
        <w:t xml:space="preserve"> and </w:t>
      </w:r>
      <w:r w:rsidR="00EE261C">
        <w:rPr>
          <w:rFonts w:ascii="Calibri" w:hAnsi="Calibri" w:cs="Calibri"/>
        </w:rPr>
        <w:t xml:space="preserve">instead </w:t>
      </w:r>
      <w:r w:rsidR="003D2996">
        <w:rPr>
          <w:rFonts w:ascii="Calibri" w:hAnsi="Calibri" w:cs="Calibri"/>
        </w:rPr>
        <w:t>it is possible</w:t>
      </w:r>
      <w:r w:rsidR="003250A3">
        <w:rPr>
          <w:rFonts w:ascii="Calibri" w:hAnsi="Calibri" w:cs="Calibri"/>
        </w:rPr>
        <w:t xml:space="preserve"> </w:t>
      </w:r>
      <w:r w:rsidR="004F3243">
        <w:rPr>
          <w:rFonts w:ascii="Calibri" w:hAnsi="Calibri" w:cs="Calibri"/>
        </w:rPr>
        <w:t xml:space="preserve">that </w:t>
      </w:r>
      <w:r w:rsidR="003250A3">
        <w:rPr>
          <w:rFonts w:ascii="Calibri" w:hAnsi="Calibri" w:cs="Calibri"/>
        </w:rPr>
        <w:t>cholesterol-based choleliths</w:t>
      </w:r>
      <w:r w:rsidR="005744F4">
        <w:rPr>
          <w:rFonts w:ascii="Calibri" w:hAnsi="Calibri" w:cs="Calibri"/>
        </w:rPr>
        <w:t xml:space="preserve"> </w:t>
      </w:r>
      <w:r w:rsidR="003D2996">
        <w:rPr>
          <w:rFonts w:ascii="Calibri" w:hAnsi="Calibri" w:cs="Calibri"/>
        </w:rPr>
        <w:t>w</w:t>
      </w:r>
      <w:r w:rsidR="002A444C">
        <w:rPr>
          <w:rFonts w:ascii="Calibri" w:hAnsi="Calibri" w:cs="Calibri"/>
        </w:rPr>
        <w:t>ere</w:t>
      </w:r>
      <w:r w:rsidR="003250A3">
        <w:rPr>
          <w:rFonts w:ascii="Calibri" w:hAnsi="Calibri" w:cs="Calibri"/>
        </w:rPr>
        <w:t xml:space="preserve"> </w:t>
      </w:r>
      <w:r w:rsidR="00AF2DD8">
        <w:rPr>
          <w:rFonts w:ascii="Calibri" w:hAnsi="Calibri" w:cs="Calibri"/>
        </w:rPr>
        <w:t xml:space="preserve">more </w:t>
      </w:r>
      <w:r w:rsidR="003250A3">
        <w:rPr>
          <w:rFonts w:ascii="Calibri" w:hAnsi="Calibri" w:cs="Calibri"/>
        </w:rPr>
        <w:t xml:space="preserve">prevalent. </w:t>
      </w:r>
    </w:p>
    <w:p w14:paraId="1FD89993" w14:textId="16D4115B" w:rsidR="00303E3C" w:rsidRPr="005C607F" w:rsidRDefault="0033756E" w:rsidP="00867264">
      <w:pPr>
        <w:spacing w:line="480" w:lineRule="auto"/>
        <w:jc w:val="both"/>
        <w:rPr>
          <w:rFonts w:ascii="Calibri" w:hAnsi="Calibri" w:cs="Calibri"/>
        </w:rPr>
      </w:pPr>
      <w:r>
        <w:rPr>
          <w:rFonts w:ascii="Calibri" w:hAnsi="Calibri" w:cs="Calibri"/>
        </w:rPr>
        <w:t>It is also possible</w:t>
      </w:r>
      <w:r w:rsidR="00DD1FB3">
        <w:rPr>
          <w:rFonts w:ascii="Calibri" w:hAnsi="Calibri" w:cs="Calibri"/>
        </w:rPr>
        <w:t xml:space="preserve"> that</w:t>
      </w:r>
      <w:r w:rsidR="00E62056">
        <w:rPr>
          <w:rFonts w:ascii="Calibri" w:hAnsi="Calibri" w:cs="Calibri"/>
        </w:rPr>
        <w:t xml:space="preserve"> the cholerectic action of UDCA aid</w:t>
      </w:r>
      <w:r w:rsidR="00DD1FB3">
        <w:rPr>
          <w:rFonts w:ascii="Calibri" w:hAnsi="Calibri" w:cs="Calibri"/>
        </w:rPr>
        <w:t>s</w:t>
      </w:r>
      <w:r w:rsidR="00E62056">
        <w:rPr>
          <w:rFonts w:ascii="Calibri" w:hAnsi="Calibri" w:cs="Calibri"/>
        </w:rPr>
        <w:t xml:space="preserve"> passing of choleliths, </w:t>
      </w:r>
      <w:r w:rsidR="005A24A0">
        <w:rPr>
          <w:rFonts w:ascii="Calibri" w:hAnsi="Calibri" w:cs="Calibri"/>
        </w:rPr>
        <w:t>in which case</w:t>
      </w:r>
      <w:r w:rsidR="00E62056">
        <w:rPr>
          <w:rFonts w:ascii="Calibri" w:hAnsi="Calibri" w:cs="Calibri"/>
        </w:rPr>
        <w:t xml:space="preserve"> composition </w:t>
      </w:r>
      <w:r w:rsidR="008F2605">
        <w:rPr>
          <w:rFonts w:ascii="Calibri" w:hAnsi="Calibri" w:cs="Calibri"/>
        </w:rPr>
        <w:t>would</w:t>
      </w:r>
      <w:r w:rsidR="00E62056">
        <w:rPr>
          <w:rFonts w:ascii="Calibri" w:hAnsi="Calibri" w:cs="Calibri"/>
        </w:rPr>
        <w:t xml:space="preserve"> be less important. </w:t>
      </w:r>
      <w:r w:rsidR="00303E3C" w:rsidRPr="005C607F">
        <w:rPr>
          <w:rFonts w:ascii="Calibri" w:hAnsi="Calibri" w:cs="Calibri"/>
        </w:rPr>
        <w:t>This</w:t>
      </w:r>
      <w:r w:rsidR="00DD1FB3">
        <w:rPr>
          <w:rFonts w:ascii="Calibri" w:hAnsi="Calibri" w:cs="Calibri"/>
        </w:rPr>
        <w:t xml:space="preserve"> possibility</w:t>
      </w:r>
      <w:r w:rsidR="00303E3C" w:rsidRPr="005C607F">
        <w:rPr>
          <w:rFonts w:ascii="Calibri" w:hAnsi="Calibri" w:cs="Calibri"/>
        </w:rPr>
        <w:t xml:space="preserve"> may contribute to the variation in results between </w:t>
      </w:r>
      <w:r w:rsidR="00FA5EB7">
        <w:rPr>
          <w:rFonts w:ascii="Calibri" w:hAnsi="Calibri" w:cs="Calibri"/>
        </w:rPr>
        <w:t>our</w:t>
      </w:r>
      <w:r w:rsidR="00FA5EB7" w:rsidRPr="005C607F">
        <w:rPr>
          <w:rFonts w:ascii="Calibri" w:hAnsi="Calibri" w:cs="Calibri"/>
        </w:rPr>
        <w:t xml:space="preserve"> </w:t>
      </w:r>
      <w:r w:rsidR="00303E3C" w:rsidRPr="005C607F">
        <w:rPr>
          <w:rFonts w:ascii="Calibri" w:hAnsi="Calibri" w:cs="Calibri"/>
        </w:rPr>
        <w:t xml:space="preserve">study in which apparent dissolution of choleliths was observed and in previous studies where cholelithiasis was </w:t>
      </w:r>
      <w:r w:rsidR="00E00CE8">
        <w:rPr>
          <w:rFonts w:ascii="Calibri" w:hAnsi="Calibri" w:cs="Calibri"/>
        </w:rPr>
        <w:t>persistent</w:t>
      </w:r>
      <w:r w:rsidR="00303E3C" w:rsidRPr="005C607F">
        <w:rPr>
          <w:rFonts w:ascii="Calibri" w:hAnsi="Calibri" w:cs="Calibri"/>
        </w:rPr>
        <w:t xml:space="preserve"> </w:t>
      </w:r>
      <w:r w:rsidR="00303E3C" w:rsidRPr="005C607F">
        <w:rPr>
          <w:rFonts w:ascii="Calibri" w:hAnsi="Calibri" w:cs="Calibri"/>
        </w:rPr>
        <w:fldChar w:fldCharType="begin" w:fldLock="1"/>
      </w:r>
      <w:r w:rsidR="00303E3C" w:rsidRPr="005C607F">
        <w:rPr>
          <w:rFonts w:ascii="Calibri" w:hAnsi="Calibri" w:cs="Calibri"/>
        </w:rPr>
        <w:instrText>ADDIN CSL_CITATION {"citationItems":[{"id":"ITEM-1","itemData":{"DOI":"10.5326/JAAHA-MS-7000","ISSN":"0587-2871","abstract":"Canine cholelithiasis is considered to be an uncommon condition and is frequently cited as being an incidental finding. However, there is a paucity of contemporary literature to support these assertions. The aim of this retrospective cross-sectional study was to report the prevalence, clinical presentation, and long-term follow-up of cholelithiasis in dogs. The electronic database at the Small Animal Hospital, University of Glasgow was searched to identify dogs that were diagnosed with cholelithiasis on ultrasound between 2010 and 2018. Sixty-eight dogs were identified, giving an overall prevalence of cholelithiasis in our hospital of 0.97% (confidence interval 0.76–1.22%). Medical records of 61 dogs were available for review. Cholelithiasis was classified as an incidental finding in 53 (86.9%) dogs, with 8 (13.1%) dogs being classified as symptomatic, having complications of cholelithiasis that included biliary duct obstruction, biliary peritonitis, emphysematous cholecystitis, and acute cholecystitis. Follow-up was available for 39 dogs, with only 3 dogs (7.7%) developing complications attributed to cholelithiasis, including biliary duct obstruction and acute cholecystitis, within the subsequent 2 yr. Cholelithiasis is an uncommon but frequently incidental finding in dogs. Within the follow-up period, few of the dogs with incidental cholelithiasis went on to be become symptomatic.","author":[{"dropping-particle":"","family":"Ward","given":"Patricia M","non-dropping-particle":"","parse-names":false,"suffix":""},{"dropping-particle":"","family":"Brown","given":"Kieran","non-dropping-particle":"","parse-names":false,"suffix":""},{"dropping-particle":"","family":"Hammond","given":"Gawain","non-dropping-particle":"","parse-names":false,"suffix":""},{"dropping-particle":"","family":"Parkin","given":"Tim","non-dropping-particle":"","parse-names":false,"suffix":""},{"dropping-particle":"","family":"Bouyssou","given":"Sarah","non-dropping-particle":"","parse-names":false,"suffix":""},{"dropping-particle":"","family":"Coia","given":"Mark","non-dropping-particle":"","parse-names":false,"suffix":""},{"dropping-particle":"","family":"Nurra","given":"Genziana","non-dropping-particle":"","parse-names":false,"suffix":""},{"dropping-particle":"","family":"Ridyard","given":"Alison E","non-dropping-particle":"","parse-names":false,"suffix":""}],"container-title":"Journal of the American Animal Hospital Association","id":"ITEM-1","issue":"3","issued":{"date-parts":[["2020","5","1"]]},"page":"152","title":"Cholelithiasis in the Dog: Prevalence, Clinical Presentation, and Outcome","type":"article-journal","volume":"56"},"uris":["http://www.mendeley.com/documents/?uuid=ff3a9338-b98b-4d01-965b-26009b9d5232"]},{"id":"ITEM-2","itemData":{"ISSN":"0008-5286","abstract":"A retrospective study of intrahepatic cholelithiasis (IC) in 9 dogs and 2 cats was conducted. Only 1 dog showed clinical signs related to hepatobiliary disease before referral and during the follow-up period. Intrahepatic cholelithiasis might be a subclinical finding in both dogs and cats.","author":[{"dropping-particle":"","family":"Kanemoto","given":"Hideyuki","non-dropping-particle":"","parse-names":false,"suffix":""},{"dropping-particle":"","family":"Fukushima","given":"Kenjiro","non-dropping-particle":"","parse-names":false,"suffix":""},{"dropping-particle":"","family":"Tsujimoto","given":"Hajime","non-dropping-particle":"","parse-names":false,"suffix":""},{"dropping-particle":"","family":"Ohno","given":"Koichi","non-dropping-particle":"","parse-names":false,"suffix":""}],"container-title":"The Canadian veterinary journal = La revue veterinaire canadienne","id":"ITEM-2","issue":"9","issued":{"date-parts":[["2017","9"]]},"language":"eng","page":"971-973","publisher":"Canadian Veterinary Medical Association","title":"Intrahepatic cholelithiasis in dogs and cats: A case series","type":"article-journal","volume":"58"},"uris":["http://www.mendeley.com/documents/?uuid=752cbfbe-cc88-4e01-9294-a3295e386423"]}],"mendeley":{"formattedCitation":"(1,2)","plainTextFormattedCitation":"(1,2)","previouslyFormattedCitation":"(1,2)"},"properties":{"noteIndex":0},"schema":"https://github.com/citation-style-language/schema/raw/master/csl-citation.json"}</w:instrText>
      </w:r>
      <w:r w:rsidR="00303E3C" w:rsidRPr="005C607F">
        <w:rPr>
          <w:rFonts w:ascii="Calibri" w:hAnsi="Calibri" w:cs="Calibri"/>
        </w:rPr>
        <w:fldChar w:fldCharType="separate"/>
      </w:r>
      <w:r w:rsidR="00303E3C" w:rsidRPr="005C607F">
        <w:rPr>
          <w:rFonts w:ascii="Calibri" w:hAnsi="Calibri" w:cs="Calibri"/>
          <w:noProof/>
        </w:rPr>
        <w:t>(1,2)</w:t>
      </w:r>
      <w:r w:rsidR="00303E3C" w:rsidRPr="005C607F">
        <w:rPr>
          <w:rFonts w:ascii="Calibri" w:hAnsi="Calibri" w:cs="Calibri"/>
        </w:rPr>
        <w:fldChar w:fldCharType="end"/>
      </w:r>
      <w:r w:rsidR="00303E3C" w:rsidRPr="005C607F">
        <w:rPr>
          <w:rFonts w:ascii="Calibri" w:hAnsi="Calibri" w:cs="Calibri"/>
        </w:rPr>
        <w:t xml:space="preserve">. A final limitation of </w:t>
      </w:r>
      <w:r w:rsidR="00004546">
        <w:rPr>
          <w:rFonts w:ascii="Calibri" w:hAnsi="Calibri" w:cs="Calibri"/>
        </w:rPr>
        <w:t>our</w:t>
      </w:r>
      <w:r w:rsidR="00004546" w:rsidRPr="005C607F">
        <w:rPr>
          <w:rFonts w:ascii="Calibri" w:hAnsi="Calibri" w:cs="Calibri"/>
        </w:rPr>
        <w:t xml:space="preserve"> </w:t>
      </w:r>
      <w:r w:rsidR="00303E3C" w:rsidRPr="005C607F">
        <w:rPr>
          <w:rFonts w:ascii="Calibri" w:hAnsi="Calibri" w:cs="Calibri"/>
        </w:rPr>
        <w:t xml:space="preserve">study is that complete follow-up was not available for every case, with </w:t>
      </w:r>
      <w:r w:rsidR="003710D7">
        <w:rPr>
          <w:rFonts w:ascii="Calibri" w:hAnsi="Calibri" w:cs="Calibri"/>
        </w:rPr>
        <w:t>3</w:t>
      </w:r>
      <w:r w:rsidR="003710D7" w:rsidRPr="005C607F">
        <w:rPr>
          <w:rFonts w:ascii="Calibri" w:hAnsi="Calibri" w:cs="Calibri"/>
        </w:rPr>
        <w:t xml:space="preserve"> </w:t>
      </w:r>
      <w:r w:rsidR="00303E3C" w:rsidRPr="005C607F">
        <w:rPr>
          <w:rFonts w:ascii="Calibri" w:hAnsi="Calibri" w:cs="Calibri"/>
        </w:rPr>
        <w:t xml:space="preserve">cases lost to follow-up and only </w:t>
      </w:r>
      <w:r w:rsidR="003710D7">
        <w:rPr>
          <w:rFonts w:ascii="Calibri" w:hAnsi="Calibri" w:cs="Calibri"/>
        </w:rPr>
        <w:t>2</w:t>
      </w:r>
      <w:r w:rsidR="003710D7" w:rsidRPr="005C607F">
        <w:rPr>
          <w:rFonts w:ascii="Calibri" w:hAnsi="Calibri" w:cs="Calibri"/>
        </w:rPr>
        <w:t xml:space="preserve"> </w:t>
      </w:r>
      <w:r w:rsidR="00303E3C" w:rsidRPr="005C607F">
        <w:rPr>
          <w:rFonts w:ascii="Calibri" w:hAnsi="Calibri" w:cs="Calibri"/>
        </w:rPr>
        <w:t>no</w:t>
      </w:r>
      <w:r w:rsidR="0011753C">
        <w:rPr>
          <w:rFonts w:ascii="Calibri" w:hAnsi="Calibri" w:cs="Calibri"/>
        </w:rPr>
        <w:t>n</w:t>
      </w:r>
      <w:r w:rsidR="00303E3C" w:rsidRPr="005C607F">
        <w:rPr>
          <w:rFonts w:ascii="Calibri" w:hAnsi="Calibri" w:cs="Calibri"/>
        </w:rPr>
        <w:t xml:space="preserve">-treated cases undergoing repeat </w:t>
      </w:r>
      <w:r w:rsidR="000D5528">
        <w:rPr>
          <w:rFonts w:ascii="Calibri" w:hAnsi="Calibri" w:cs="Calibri"/>
        </w:rPr>
        <w:t>AUS</w:t>
      </w:r>
      <w:r w:rsidR="00667AC9">
        <w:rPr>
          <w:rFonts w:ascii="Calibri" w:hAnsi="Calibri" w:cs="Calibri"/>
        </w:rPr>
        <w:t>.</w:t>
      </w:r>
      <w:r w:rsidR="00303E3C" w:rsidRPr="005C607F">
        <w:rPr>
          <w:rFonts w:ascii="Calibri" w:hAnsi="Calibri" w:cs="Calibri"/>
        </w:rPr>
        <w:t xml:space="preserve"> </w:t>
      </w:r>
      <w:r w:rsidR="00667AC9">
        <w:rPr>
          <w:rFonts w:ascii="Calibri" w:hAnsi="Calibri" w:cs="Calibri"/>
        </w:rPr>
        <w:t>T</w:t>
      </w:r>
      <w:r w:rsidR="00303E3C" w:rsidRPr="005C607F">
        <w:rPr>
          <w:rFonts w:ascii="Calibri" w:hAnsi="Calibri" w:cs="Calibri"/>
        </w:rPr>
        <w:t>herefore</w:t>
      </w:r>
      <w:r w:rsidR="002C1BBA">
        <w:rPr>
          <w:rFonts w:ascii="Calibri" w:hAnsi="Calibri" w:cs="Calibri"/>
        </w:rPr>
        <w:t>,</w:t>
      </w:r>
      <w:r w:rsidR="00303E3C" w:rsidRPr="005C607F">
        <w:rPr>
          <w:rFonts w:ascii="Calibri" w:hAnsi="Calibri" w:cs="Calibri"/>
        </w:rPr>
        <w:t xml:space="preserve"> it is possible </w:t>
      </w:r>
      <w:r w:rsidR="002C1BBA">
        <w:rPr>
          <w:rFonts w:ascii="Calibri" w:hAnsi="Calibri" w:cs="Calibri"/>
        </w:rPr>
        <w:t>that important</w:t>
      </w:r>
      <w:r w:rsidR="002C1BBA" w:rsidRPr="005C607F">
        <w:rPr>
          <w:rFonts w:ascii="Calibri" w:hAnsi="Calibri" w:cs="Calibri"/>
        </w:rPr>
        <w:t xml:space="preserve"> </w:t>
      </w:r>
      <w:r w:rsidR="00303E3C" w:rsidRPr="005C607F">
        <w:rPr>
          <w:rFonts w:ascii="Calibri" w:hAnsi="Calibri" w:cs="Calibri"/>
        </w:rPr>
        <w:t xml:space="preserve">data was not acquired that may have influenced </w:t>
      </w:r>
      <w:r w:rsidR="009E26EB">
        <w:rPr>
          <w:rFonts w:ascii="Calibri" w:hAnsi="Calibri" w:cs="Calibri"/>
        </w:rPr>
        <w:t>our</w:t>
      </w:r>
      <w:r w:rsidR="009E26EB" w:rsidRPr="005C607F">
        <w:rPr>
          <w:rFonts w:ascii="Calibri" w:hAnsi="Calibri" w:cs="Calibri"/>
        </w:rPr>
        <w:t xml:space="preserve"> </w:t>
      </w:r>
      <w:r w:rsidR="00303E3C" w:rsidRPr="005C607F">
        <w:rPr>
          <w:rFonts w:ascii="Calibri" w:hAnsi="Calibri" w:cs="Calibri"/>
        </w:rPr>
        <w:t xml:space="preserve">findings. </w:t>
      </w:r>
    </w:p>
    <w:p w14:paraId="3A32FA35" w14:textId="77777777" w:rsidR="00303E3C" w:rsidRPr="005C607F" w:rsidRDefault="00303E3C" w:rsidP="00867264">
      <w:pPr>
        <w:spacing w:line="480" w:lineRule="auto"/>
        <w:jc w:val="both"/>
        <w:rPr>
          <w:rFonts w:ascii="Calibri" w:hAnsi="Calibri" w:cs="Calibri"/>
        </w:rPr>
      </w:pPr>
    </w:p>
    <w:p w14:paraId="745056F6" w14:textId="1A3E87E7" w:rsidR="009F1934" w:rsidRDefault="00E450FD" w:rsidP="009F1934">
      <w:pPr>
        <w:spacing w:line="480" w:lineRule="auto"/>
        <w:rPr>
          <w:rFonts w:ascii="Calibri" w:hAnsi="Calibri" w:cs="Calibri"/>
        </w:rPr>
      </w:pPr>
      <w:r>
        <w:rPr>
          <w:rFonts w:ascii="Calibri" w:hAnsi="Calibri" w:cs="Calibri"/>
        </w:rPr>
        <w:lastRenderedPageBreak/>
        <w:t xml:space="preserve">In conclusion, </w:t>
      </w:r>
      <w:r w:rsidR="00F258D8">
        <w:rPr>
          <w:rFonts w:ascii="Calibri" w:hAnsi="Calibri" w:cs="Calibri"/>
        </w:rPr>
        <w:t>we</w:t>
      </w:r>
      <w:r w:rsidR="00303E3C" w:rsidRPr="005C607F">
        <w:rPr>
          <w:rFonts w:ascii="Calibri" w:hAnsi="Calibri" w:cs="Calibri"/>
        </w:rPr>
        <w:t xml:space="preserve"> document</w:t>
      </w:r>
      <w:r w:rsidR="00F258D8">
        <w:rPr>
          <w:rFonts w:ascii="Calibri" w:hAnsi="Calibri" w:cs="Calibri"/>
        </w:rPr>
        <w:t>ed</w:t>
      </w:r>
      <w:r w:rsidR="00303E3C" w:rsidRPr="005C607F">
        <w:rPr>
          <w:rFonts w:ascii="Calibri" w:hAnsi="Calibri" w:cs="Calibri"/>
        </w:rPr>
        <w:t xml:space="preserve"> resolution or improvement of cholelithiasis in </w:t>
      </w:r>
      <w:r w:rsidR="00F258D8">
        <w:rPr>
          <w:rFonts w:ascii="Calibri" w:hAnsi="Calibri" w:cs="Calibri"/>
        </w:rPr>
        <w:t>several</w:t>
      </w:r>
      <w:r w:rsidR="00F258D8" w:rsidRPr="005C607F">
        <w:rPr>
          <w:rFonts w:ascii="Calibri" w:hAnsi="Calibri" w:cs="Calibri"/>
        </w:rPr>
        <w:t xml:space="preserve"> </w:t>
      </w:r>
      <w:r w:rsidR="00303E3C" w:rsidRPr="005C607F">
        <w:rPr>
          <w:rFonts w:ascii="Calibri" w:hAnsi="Calibri" w:cs="Calibri"/>
        </w:rPr>
        <w:t xml:space="preserve">dogs treated with UDCA. </w:t>
      </w:r>
      <w:r w:rsidR="00B823A8">
        <w:rPr>
          <w:rFonts w:ascii="Calibri" w:hAnsi="Calibri" w:cs="Calibri"/>
        </w:rPr>
        <w:t xml:space="preserve">This finding suggests </w:t>
      </w:r>
      <w:r w:rsidR="00BF0D87">
        <w:rPr>
          <w:rFonts w:ascii="Calibri" w:hAnsi="Calibri" w:cs="Calibri"/>
        </w:rPr>
        <w:t>that</w:t>
      </w:r>
      <w:r w:rsidR="00293F6C">
        <w:rPr>
          <w:rFonts w:ascii="Calibri" w:hAnsi="Calibri" w:cs="Calibri"/>
        </w:rPr>
        <w:t>,</w:t>
      </w:r>
      <w:r w:rsidR="00BF0D87">
        <w:rPr>
          <w:rFonts w:ascii="Calibri" w:hAnsi="Calibri" w:cs="Calibri"/>
        </w:rPr>
        <w:t xml:space="preserve"> with careful case selection, </w:t>
      </w:r>
      <w:r w:rsidR="00B823A8">
        <w:rPr>
          <w:rFonts w:ascii="Calibri" w:hAnsi="Calibri" w:cs="Calibri"/>
        </w:rPr>
        <w:t xml:space="preserve">UDCA may be </w:t>
      </w:r>
      <w:r w:rsidR="00BF0D87">
        <w:rPr>
          <w:rFonts w:ascii="Calibri" w:hAnsi="Calibri" w:cs="Calibri"/>
        </w:rPr>
        <w:t xml:space="preserve">a </w:t>
      </w:r>
      <w:r w:rsidR="00B823A8">
        <w:rPr>
          <w:rFonts w:ascii="Calibri" w:hAnsi="Calibri" w:cs="Calibri"/>
        </w:rPr>
        <w:t xml:space="preserve">safe and effective </w:t>
      </w:r>
      <w:r w:rsidR="00BF0D87">
        <w:rPr>
          <w:rFonts w:ascii="Calibri" w:hAnsi="Calibri" w:cs="Calibri"/>
        </w:rPr>
        <w:t xml:space="preserve">tool </w:t>
      </w:r>
      <w:r w:rsidR="00B823A8">
        <w:rPr>
          <w:rFonts w:ascii="Calibri" w:hAnsi="Calibri" w:cs="Calibri"/>
        </w:rPr>
        <w:t>for management of cholelithiasis</w:t>
      </w:r>
      <w:r w:rsidR="00293F6C">
        <w:rPr>
          <w:rFonts w:ascii="Calibri" w:hAnsi="Calibri" w:cs="Calibri"/>
        </w:rPr>
        <w:t xml:space="preserve"> in dogs</w:t>
      </w:r>
      <w:r w:rsidR="00B823A8">
        <w:rPr>
          <w:rFonts w:ascii="Calibri" w:hAnsi="Calibri" w:cs="Calibri"/>
        </w:rPr>
        <w:t xml:space="preserve">. </w:t>
      </w:r>
      <w:r w:rsidR="00C159FB">
        <w:rPr>
          <w:rFonts w:ascii="Calibri" w:hAnsi="Calibri" w:cs="Calibri"/>
        </w:rPr>
        <w:t>Our</w:t>
      </w:r>
      <w:r w:rsidR="00C159FB" w:rsidRPr="005C607F">
        <w:rPr>
          <w:rFonts w:ascii="Calibri" w:hAnsi="Calibri" w:cs="Calibri"/>
        </w:rPr>
        <w:t xml:space="preserve"> </w:t>
      </w:r>
      <w:r w:rsidR="0056760E" w:rsidRPr="005C607F">
        <w:rPr>
          <w:rFonts w:ascii="Calibri" w:hAnsi="Calibri" w:cs="Calibri"/>
        </w:rPr>
        <w:t>study</w:t>
      </w:r>
      <w:r>
        <w:rPr>
          <w:rFonts w:ascii="Calibri" w:hAnsi="Calibri" w:cs="Calibri"/>
        </w:rPr>
        <w:t xml:space="preserve"> suggests</w:t>
      </w:r>
      <w:r w:rsidR="00103FC6" w:rsidRPr="005C607F">
        <w:rPr>
          <w:rFonts w:ascii="Calibri" w:hAnsi="Calibri" w:cs="Calibri"/>
        </w:rPr>
        <w:t xml:space="preserve"> that patients presenting with marked </w:t>
      </w:r>
      <w:r w:rsidR="006C6CAC">
        <w:rPr>
          <w:rFonts w:ascii="Calibri" w:hAnsi="Calibri" w:cs="Calibri"/>
        </w:rPr>
        <w:t>increases</w:t>
      </w:r>
      <w:r w:rsidR="006C6CAC" w:rsidRPr="005C607F">
        <w:rPr>
          <w:rFonts w:ascii="Calibri" w:hAnsi="Calibri" w:cs="Calibri"/>
        </w:rPr>
        <w:t xml:space="preserve"> </w:t>
      </w:r>
      <w:r w:rsidR="00103FC6" w:rsidRPr="005C607F">
        <w:rPr>
          <w:rFonts w:ascii="Calibri" w:hAnsi="Calibri" w:cs="Calibri"/>
        </w:rPr>
        <w:t>in ALP, ALT</w:t>
      </w:r>
      <w:r w:rsidR="00080D96" w:rsidRPr="005C607F">
        <w:rPr>
          <w:rFonts w:ascii="Calibri" w:hAnsi="Calibri" w:cs="Calibri"/>
        </w:rPr>
        <w:t xml:space="preserve"> and</w:t>
      </w:r>
      <w:r w:rsidR="00103FC6" w:rsidRPr="005C607F">
        <w:rPr>
          <w:rFonts w:ascii="Calibri" w:hAnsi="Calibri" w:cs="Calibri"/>
        </w:rPr>
        <w:t xml:space="preserve"> GGT </w:t>
      </w:r>
      <w:r w:rsidR="006C6CAC">
        <w:rPr>
          <w:rFonts w:ascii="Calibri" w:hAnsi="Calibri" w:cs="Calibri"/>
        </w:rPr>
        <w:t>activity</w:t>
      </w:r>
      <w:r w:rsidR="00103FC6" w:rsidRPr="005C607F">
        <w:rPr>
          <w:rFonts w:ascii="Calibri" w:hAnsi="Calibri" w:cs="Calibri"/>
        </w:rPr>
        <w:t xml:space="preserve"> with</w:t>
      </w:r>
      <w:r w:rsidR="006C6CAC">
        <w:rPr>
          <w:rFonts w:ascii="Calibri" w:hAnsi="Calibri" w:cs="Calibri"/>
        </w:rPr>
        <w:t xml:space="preserve"> or without</w:t>
      </w:r>
      <w:r w:rsidR="00103FC6" w:rsidRPr="005C607F">
        <w:rPr>
          <w:rFonts w:ascii="Calibri" w:hAnsi="Calibri" w:cs="Calibri"/>
        </w:rPr>
        <w:t xml:space="preserve"> ultrasonographic evidence of choledocholiths </w:t>
      </w:r>
      <w:r w:rsidR="00E96AC0">
        <w:rPr>
          <w:rFonts w:ascii="Calibri" w:hAnsi="Calibri" w:cs="Calibri"/>
        </w:rPr>
        <w:t>and</w:t>
      </w:r>
      <w:r w:rsidR="006C6CAC">
        <w:rPr>
          <w:rFonts w:ascii="Calibri" w:hAnsi="Calibri" w:cs="Calibri"/>
        </w:rPr>
        <w:t xml:space="preserve"> with or without</w:t>
      </w:r>
      <w:r w:rsidR="00E96AC0">
        <w:rPr>
          <w:rFonts w:ascii="Calibri" w:hAnsi="Calibri" w:cs="Calibri"/>
        </w:rPr>
        <w:t xml:space="preserve"> </w:t>
      </w:r>
      <w:r w:rsidR="004D118B">
        <w:rPr>
          <w:rFonts w:ascii="Calibri" w:hAnsi="Calibri" w:cs="Calibri"/>
        </w:rPr>
        <w:t xml:space="preserve">symptomatic cholelithiasis </w:t>
      </w:r>
      <w:r w:rsidR="00E807EE">
        <w:rPr>
          <w:rFonts w:ascii="Calibri" w:hAnsi="Calibri" w:cs="Calibri"/>
        </w:rPr>
        <w:t xml:space="preserve">can be </w:t>
      </w:r>
      <w:r>
        <w:rPr>
          <w:rFonts w:ascii="Calibri" w:hAnsi="Calibri" w:cs="Calibri"/>
        </w:rPr>
        <w:t xml:space="preserve">considered for </w:t>
      </w:r>
      <w:r w:rsidR="00103FC6" w:rsidRPr="005C607F">
        <w:rPr>
          <w:rFonts w:ascii="Calibri" w:hAnsi="Calibri" w:cs="Calibri"/>
        </w:rPr>
        <w:t xml:space="preserve">surgical intervention, whereas medical management </w:t>
      </w:r>
      <w:r w:rsidR="00F85936">
        <w:rPr>
          <w:rFonts w:ascii="Calibri" w:hAnsi="Calibri" w:cs="Calibri"/>
        </w:rPr>
        <w:t>should be</w:t>
      </w:r>
      <w:r w:rsidR="00F85936" w:rsidRPr="005C607F">
        <w:rPr>
          <w:rFonts w:ascii="Calibri" w:hAnsi="Calibri" w:cs="Calibri"/>
        </w:rPr>
        <w:t xml:space="preserve"> </w:t>
      </w:r>
      <w:r w:rsidR="00103FC6" w:rsidRPr="005C607F">
        <w:rPr>
          <w:rFonts w:ascii="Calibri" w:hAnsi="Calibri" w:cs="Calibri"/>
        </w:rPr>
        <w:t xml:space="preserve">considered in patients </w:t>
      </w:r>
      <w:r w:rsidR="00AB11CF">
        <w:rPr>
          <w:rFonts w:ascii="Calibri" w:hAnsi="Calibri" w:cs="Calibri"/>
        </w:rPr>
        <w:t xml:space="preserve">without </w:t>
      </w:r>
      <w:r w:rsidR="00103FC6" w:rsidRPr="005C607F">
        <w:rPr>
          <w:rFonts w:ascii="Calibri" w:hAnsi="Calibri" w:cs="Calibri"/>
        </w:rPr>
        <w:t>choledocholith</w:t>
      </w:r>
      <w:r w:rsidR="00785F18">
        <w:rPr>
          <w:rFonts w:ascii="Calibri" w:hAnsi="Calibri" w:cs="Calibri"/>
        </w:rPr>
        <w:t>iasi</w:t>
      </w:r>
      <w:r w:rsidR="00103FC6" w:rsidRPr="005C607F">
        <w:rPr>
          <w:rFonts w:ascii="Calibri" w:hAnsi="Calibri" w:cs="Calibri"/>
        </w:rPr>
        <w:t>s</w:t>
      </w:r>
      <w:r w:rsidR="00785F18">
        <w:rPr>
          <w:rFonts w:ascii="Calibri" w:hAnsi="Calibri" w:cs="Calibri"/>
        </w:rPr>
        <w:t>.</w:t>
      </w:r>
      <w:r>
        <w:rPr>
          <w:rFonts w:ascii="Calibri" w:hAnsi="Calibri" w:cs="Calibri"/>
        </w:rPr>
        <w:t xml:space="preserve"> </w:t>
      </w:r>
      <w:r w:rsidR="00792ABD">
        <w:rPr>
          <w:rFonts w:ascii="Calibri" w:hAnsi="Calibri" w:cs="Calibri"/>
        </w:rPr>
        <w:t>Fu</w:t>
      </w:r>
      <w:r w:rsidR="00D33085">
        <w:rPr>
          <w:rFonts w:ascii="Calibri" w:hAnsi="Calibri" w:cs="Calibri"/>
        </w:rPr>
        <w:t>ture</w:t>
      </w:r>
      <w:r>
        <w:rPr>
          <w:rFonts w:ascii="Calibri" w:hAnsi="Calibri" w:cs="Calibri"/>
        </w:rPr>
        <w:t xml:space="preserve"> prospective studies are required to develop management guidelines </w:t>
      </w:r>
      <w:r w:rsidR="00D51EB4">
        <w:rPr>
          <w:rFonts w:ascii="Calibri" w:hAnsi="Calibri" w:cs="Calibri"/>
        </w:rPr>
        <w:t xml:space="preserve">similar </w:t>
      </w:r>
      <w:r>
        <w:rPr>
          <w:rFonts w:ascii="Calibri" w:hAnsi="Calibri" w:cs="Calibri"/>
        </w:rPr>
        <w:t>to those</w:t>
      </w:r>
      <w:r w:rsidR="00D51EB4">
        <w:rPr>
          <w:rFonts w:ascii="Calibri" w:hAnsi="Calibri" w:cs="Calibri"/>
        </w:rPr>
        <w:t xml:space="preserve"> used</w:t>
      </w:r>
      <w:r>
        <w:rPr>
          <w:rFonts w:ascii="Calibri" w:hAnsi="Calibri" w:cs="Calibri"/>
        </w:rPr>
        <w:t xml:space="preserve"> in human medicine. </w:t>
      </w:r>
      <w:r w:rsidR="00080D96" w:rsidRPr="005C607F">
        <w:rPr>
          <w:rFonts w:ascii="Calibri" w:hAnsi="Calibri" w:cs="Calibri"/>
        </w:rPr>
        <w:t xml:space="preserve"> </w:t>
      </w:r>
      <w:r w:rsidR="00932C55" w:rsidRPr="005C607F">
        <w:rPr>
          <w:rFonts w:ascii="Calibri" w:hAnsi="Calibri" w:cs="Calibri"/>
        </w:rPr>
        <w:t>Development of evidence-based guidelines for management of cholelithiasis</w:t>
      </w:r>
      <w:r w:rsidR="00D51EB4">
        <w:rPr>
          <w:rFonts w:ascii="Calibri" w:hAnsi="Calibri" w:cs="Calibri"/>
        </w:rPr>
        <w:t xml:space="preserve"> in dogs</w:t>
      </w:r>
      <w:r w:rsidR="00932C55" w:rsidRPr="005C607F">
        <w:rPr>
          <w:rFonts w:ascii="Calibri" w:hAnsi="Calibri" w:cs="Calibri"/>
        </w:rPr>
        <w:t xml:space="preserve"> would enable improved outcomes for patients and offer more reliable prognoses for clinicians, especially given </w:t>
      </w:r>
      <w:r w:rsidR="00474059">
        <w:rPr>
          <w:rFonts w:ascii="Calibri" w:hAnsi="Calibri" w:cs="Calibri"/>
        </w:rPr>
        <w:t>the lack of</w:t>
      </w:r>
      <w:r w:rsidR="00474059" w:rsidRPr="005C607F">
        <w:rPr>
          <w:rFonts w:ascii="Calibri" w:hAnsi="Calibri" w:cs="Calibri"/>
        </w:rPr>
        <w:t xml:space="preserve"> </w:t>
      </w:r>
      <w:r w:rsidR="00932C55" w:rsidRPr="005C607F">
        <w:rPr>
          <w:rFonts w:ascii="Calibri" w:hAnsi="Calibri" w:cs="Calibri"/>
        </w:rPr>
        <w:t xml:space="preserve">consensus </w:t>
      </w:r>
      <w:r w:rsidR="00474059">
        <w:rPr>
          <w:rFonts w:ascii="Calibri" w:hAnsi="Calibri" w:cs="Calibri"/>
        </w:rPr>
        <w:t>regarding</w:t>
      </w:r>
      <w:r w:rsidR="00474059" w:rsidRPr="005C607F">
        <w:rPr>
          <w:rFonts w:ascii="Calibri" w:hAnsi="Calibri" w:cs="Calibri"/>
        </w:rPr>
        <w:t xml:space="preserve"> </w:t>
      </w:r>
      <w:r w:rsidR="00932C55" w:rsidRPr="005C607F">
        <w:rPr>
          <w:rFonts w:ascii="Calibri" w:hAnsi="Calibri" w:cs="Calibri"/>
        </w:rPr>
        <w:t xml:space="preserve">medical management of cholelithiasis </w:t>
      </w:r>
      <w:r w:rsidR="00474059">
        <w:rPr>
          <w:rFonts w:ascii="Calibri" w:hAnsi="Calibri" w:cs="Calibri"/>
        </w:rPr>
        <w:t xml:space="preserve">in dogs </w:t>
      </w:r>
      <w:r w:rsidR="00932C55" w:rsidRPr="005C607F">
        <w:rPr>
          <w:rFonts w:ascii="Calibri" w:hAnsi="Calibri" w:cs="Calibri"/>
        </w:rPr>
        <w:t>exists.</w:t>
      </w:r>
    </w:p>
    <w:p w14:paraId="60BC69DE" w14:textId="5977B2D6" w:rsidR="006B12F5" w:rsidRDefault="006B12F5" w:rsidP="009F1934">
      <w:pPr>
        <w:spacing w:line="480" w:lineRule="auto"/>
        <w:rPr>
          <w:rFonts w:ascii="Calibri" w:hAnsi="Calibri" w:cs="Calibri"/>
        </w:rPr>
      </w:pPr>
    </w:p>
    <w:p w14:paraId="6014B2E0" w14:textId="54B3F909" w:rsidR="006B12F5" w:rsidRDefault="006B12F5" w:rsidP="009F1934">
      <w:pPr>
        <w:spacing w:line="480" w:lineRule="auto"/>
        <w:rPr>
          <w:rFonts w:ascii="Calibri" w:hAnsi="Calibri" w:cs="Calibri"/>
        </w:rPr>
      </w:pPr>
    </w:p>
    <w:p w14:paraId="2C6BD64A" w14:textId="3F3F23E1" w:rsidR="003F48EA" w:rsidRPr="009F1934" w:rsidRDefault="008B3AC0" w:rsidP="009F1934">
      <w:pPr>
        <w:spacing w:line="480" w:lineRule="auto"/>
        <w:rPr>
          <w:rFonts w:ascii="Verdana" w:hAnsi="Verdana"/>
        </w:rPr>
      </w:pPr>
      <w:r w:rsidRPr="002B3036">
        <w:rPr>
          <w:rFonts w:ascii="Calibri" w:hAnsi="Calibri"/>
          <w:b/>
          <w:bCs/>
        </w:rPr>
        <w:t>References</w:t>
      </w:r>
    </w:p>
    <w:p w14:paraId="208935F6" w14:textId="68FB5F85" w:rsidR="00E677A0" w:rsidRPr="00E677A0" w:rsidRDefault="008B3AC0" w:rsidP="00E677A0">
      <w:pPr>
        <w:widowControl w:val="0"/>
        <w:autoSpaceDE w:val="0"/>
        <w:autoSpaceDN w:val="0"/>
        <w:adjustRightInd w:val="0"/>
        <w:ind w:left="640" w:hanging="640"/>
        <w:rPr>
          <w:rFonts w:ascii="Calibri" w:hAnsi="Calibri"/>
          <w:noProof/>
        </w:rPr>
      </w:pPr>
      <w:r w:rsidRPr="002B3036">
        <w:rPr>
          <w:rFonts w:asciiTheme="minorHAnsi" w:hAnsiTheme="minorHAnsi"/>
        </w:rPr>
        <w:fldChar w:fldCharType="begin" w:fldLock="1"/>
      </w:r>
      <w:r w:rsidRPr="002B3036">
        <w:rPr>
          <w:rFonts w:asciiTheme="minorHAnsi" w:hAnsiTheme="minorHAnsi"/>
        </w:rPr>
        <w:instrText xml:space="preserve">ADDIN Mendeley Bibliography CSL_BIBLIOGRAPHY </w:instrText>
      </w:r>
      <w:r w:rsidRPr="002B3036">
        <w:rPr>
          <w:rFonts w:asciiTheme="minorHAnsi" w:hAnsiTheme="minorHAnsi"/>
        </w:rPr>
        <w:fldChar w:fldCharType="separate"/>
      </w:r>
      <w:r w:rsidR="00E677A0" w:rsidRPr="00E677A0">
        <w:rPr>
          <w:rFonts w:ascii="Calibri" w:hAnsi="Calibri"/>
          <w:noProof/>
        </w:rPr>
        <w:t xml:space="preserve">1. </w:t>
      </w:r>
      <w:r w:rsidR="00E677A0" w:rsidRPr="00E677A0">
        <w:rPr>
          <w:rFonts w:ascii="Calibri" w:hAnsi="Calibri"/>
          <w:noProof/>
        </w:rPr>
        <w:tab/>
        <w:t>Ward PM, Brown K, Hammond G, et al. Cholelithiasis in the Dog: Prevalence, Clinical Presentation, and Outcome. J Am Anim Hosp Assoc [Internet]. 2020 May 1;56(3):152. Available from: https://doi.org/10.5326/JAAHA-MS-7000</w:t>
      </w:r>
    </w:p>
    <w:p w14:paraId="4AE7F0B7"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 </w:t>
      </w:r>
      <w:r w:rsidRPr="00E677A0">
        <w:rPr>
          <w:rFonts w:ascii="Calibri" w:hAnsi="Calibri"/>
          <w:noProof/>
        </w:rPr>
        <w:tab/>
        <w:t>Kanemoto H, Fukushima K, Tsujimoto H, et al. Intrahepatic cholelithiasis in dogs and cats: A case series. Can Vet J = La Rev Vet Can [Internet]. 2017 Sep;58(9):971–3. Available from: https://www.ncbi.nlm.nih.gov/pubmed/28878422</w:t>
      </w:r>
    </w:p>
    <w:p w14:paraId="3F0A67DC"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3. </w:t>
      </w:r>
      <w:r w:rsidRPr="00E677A0">
        <w:rPr>
          <w:rFonts w:ascii="Calibri" w:hAnsi="Calibri"/>
          <w:noProof/>
        </w:rPr>
        <w:tab/>
        <w:t>Kirpensteijn J, Fingland RB, Ulrich T, et al. Cholelithiasis in dogs: 29 cases (1980-1990). J Am Vet Med Assoc [Internet]. 1993 Apr;202(7):1137—1142. Available from: http://europepmc.org/abstract/MED/8473231</w:t>
      </w:r>
    </w:p>
    <w:p w14:paraId="0D3F326D"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4. </w:t>
      </w:r>
      <w:r w:rsidRPr="00E677A0">
        <w:rPr>
          <w:rFonts w:ascii="Calibri" w:hAnsi="Calibri"/>
          <w:noProof/>
        </w:rPr>
        <w:tab/>
        <w:t>Lee S, Kweon O-K, Kim WH. Associations between serum leptin levels, hyperlipidemia, and cholelithiasis in dogs. PLoS One [Internet]. 2017 Oct 31;12(10):e0187315–e0187315. Available from: https://www.ncbi.nlm.nih.gov/pubmed/29088261</w:t>
      </w:r>
    </w:p>
    <w:p w14:paraId="4C7E285C"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5. </w:t>
      </w:r>
      <w:r w:rsidRPr="00E677A0">
        <w:rPr>
          <w:rFonts w:ascii="Calibri" w:hAnsi="Calibri"/>
          <w:noProof/>
        </w:rPr>
        <w:tab/>
        <w:t>Allan F, McCallum KE, Genain M-A, et al. Dissolution of cholelithiasis in a Cavalier King Charles Spaniel receiving conservative management with ursodeoxycholic acid. Vet Rec Case Reports [Internet]. 2020 Sep 1;8(3):e001206. Available from: http://vetrecordcasereports.bmj.com/content/8/3/e001206.abstract</w:t>
      </w:r>
    </w:p>
    <w:p w14:paraId="1EDF2412"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6. </w:t>
      </w:r>
      <w:r w:rsidRPr="00E677A0">
        <w:rPr>
          <w:rFonts w:ascii="Calibri" w:hAnsi="Calibri"/>
          <w:noProof/>
        </w:rPr>
        <w:tab/>
        <w:t xml:space="preserve">Ward R. Obstructive cholelithiasis and cholecystitis in a keeshond. Can Vet J = La Rev </w:t>
      </w:r>
      <w:r w:rsidRPr="00E677A0">
        <w:rPr>
          <w:rFonts w:ascii="Calibri" w:hAnsi="Calibri"/>
          <w:noProof/>
        </w:rPr>
        <w:lastRenderedPageBreak/>
        <w:t>Vet Can [Internet]. 2006 Nov;47(11):1119–21. Available from: https://www.ncbi.nlm.nih.gov/pubmed/17147145</w:t>
      </w:r>
    </w:p>
    <w:p w14:paraId="7177876D"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7. </w:t>
      </w:r>
      <w:r w:rsidRPr="00E677A0">
        <w:rPr>
          <w:rFonts w:ascii="Calibri" w:hAnsi="Calibri"/>
          <w:noProof/>
        </w:rPr>
        <w:tab/>
        <w:t>Meyer DJ, Thompson MB, Senior DF. Use of Ursodeoxycholic Acids in a Dog With Chronic Hepatitis: Effects on Serum Hepatic Tests and Endogenous Bile Acid Composition. J Vet Intern Med [Internet]. 1997 May 1;11(3):195–7. Available from: https://doi.org/10.1111/j.1939-1676.1997.tb00090.x</w:t>
      </w:r>
    </w:p>
    <w:p w14:paraId="119345FB"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8. </w:t>
      </w:r>
      <w:r w:rsidRPr="00E677A0">
        <w:rPr>
          <w:rFonts w:ascii="Calibri" w:hAnsi="Calibri"/>
          <w:noProof/>
        </w:rPr>
        <w:tab/>
        <w:t>Guarino MP, Carotti S, Sarzano M, et al. Short-term ursodeoxycholic acid treatment improves gallbladder bile turnover in gallstone patients: a randomized trial. Neurogastroenterol Motil [Internet]. 2005 Oct 1;17(5):680–6. Available from: https://doi.org/10.1111/j.1365-2982.2005.00683.x</w:t>
      </w:r>
    </w:p>
    <w:p w14:paraId="59F05884"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9. </w:t>
      </w:r>
      <w:r w:rsidRPr="00E677A0">
        <w:rPr>
          <w:rFonts w:ascii="Calibri" w:hAnsi="Calibri"/>
          <w:noProof/>
        </w:rPr>
        <w:tab/>
        <w:t xml:space="preserve">Yanaura S, Ishikawa S. Cholerectic properties of ursodeoxycholic acid and chenodeoxycholic acid in dogs. Jpn J Pharmacol. 1978;28(3):383–9. </w:t>
      </w:r>
    </w:p>
    <w:p w14:paraId="7480B1D7"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10. </w:t>
      </w:r>
      <w:r w:rsidRPr="00E677A0">
        <w:rPr>
          <w:rFonts w:ascii="Calibri" w:hAnsi="Calibri"/>
          <w:noProof/>
        </w:rPr>
        <w:tab/>
        <w:t>Reshetnyak VI. Concept of the pathogenesis and treatment of cholelithiasis. World J Hepatol [Internet]. 2012 Feb 27;4(2):18–34. Available from: https://www.ncbi.nlm.nih.gov/pubmed/22400083</w:t>
      </w:r>
    </w:p>
    <w:p w14:paraId="083388E8"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11. </w:t>
      </w:r>
      <w:r w:rsidRPr="00E677A0">
        <w:rPr>
          <w:rFonts w:ascii="Calibri" w:hAnsi="Calibri"/>
          <w:noProof/>
        </w:rPr>
        <w:tab/>
        <w:t>Di Ciaula A, Portincasa P. Recent advances in understanding and managing cholesterol gallstones. F1000Research [Internet]. 2018 Sep 24;7:F1000 Faculty Rev-1529. Available from: https://www.ncbi.nlm.nih.gov/pubmed/30345010</w:t>
      </w:r>
    </w:p>
    <w:p w14:paraId="3C17F33D"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12. </w:t>
      </w:r>
      <w:r w:rsidRPr="00E677A0">
        <w:rPr>
          <w:rFonts w:ascii="Calibri" w:hAnsi="Calibri"/>
          <w:noProof/>
        </w:rPr>
        <w:tab/>
        <w:t xml:space="preserve">Thrall DE. Textbook of Veterinary Diagnostic Radiology. In: Larson MM, editor. Textbook of Veterinary Diagnostic Radiology. Sixth Edit. Elsevier; 2013. p. 692. </w:t>
      </w:r>
    </w:p>
    <w:p w14:paraId="7DDB4585"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13. </w:t>
      </w:r>
      <w:r w:rsidRPr="00E677A0">
        <w:rPr>
          <w:rFonts w:ascii="Calibri" w:hAnsi="Calibri"/>
          <w:noProof/>
        </w:rPr>
        <w:tab/>
        <w:t>Tazuma S, Unno M, Igarashi Y, et al. Evidence-based clinical practice guidelines for cholelithiasis 2016. J Gastroenterol [Internet]. 2017;52(3):276–300. Available from: http://europepmc.org/abstract/MED/27942871</w:t>
      </w:r>
    </w:p>
    <w:p w14:paraId="600701C4"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14. </w:t>
      </w:r>
      <w:r w:rsidRPr="00E677A0">
        <w:rPr>
          <w:rFonts w:ascii="Calibri" w:hAnsi="Calibri"/>
          <w:noProof/>
        </w:rPr>
        <w:tab/>
        <w:t>Lee S, Lee A, Kweon O, et al. Changes in pre- and postoperative serum leptin concentrations in dogs with gallbladder mucocele and cholelithiasis. BMC Vet Res [Internet]. 2019;15(1):215. Available from: https://doi.org/10.1186/s12917-019-1964-z</w:t>
      </w:r>
    </w:p>
    <w:p w14:paraId="07DB9F30"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15. </w:t>
      </w:r>
      <w:r w:rsidRPr="00E677A0">
        <w:rPr>
          <w:rFonts w:ascii="Calibri" w:hAnsi="Calibri"/>
          <w:noProof/>
        </w:rPr>
        <w:tab/>
        <w:t>Lavoie J-M. Dynamics of hepatic and intestinal cholesterol and bile acid pathways: The impact of the animal model of estrogen deficiency and exercise training. World J Hepatol [Internet]. 2016 Aug 18;8(23):961–75. Available from: https://pubmed.ncbi.nlm.nih.gov/27621762</w:t>
      </w:r>
    </w:p>
    <w:p w14:paraId="0F76A5E5"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16. </w:t>
      </w:r>
      <w:r w:rsidRPr="00E677A0">
        <w:rPr>
          <w:rFonts w:ascii="Calibri" w:hAnsi="Calibri"/>
          <w:noProof/>
        </w:rPr>
        <w:tab/>
        <w:t>McSherry CK, Ferstenberg H, Calhoun WF, et al. The natural history of diagnosed gallstone disease in symptomatic and asymptomatic patients. Ann Surg [Internet]. 1985 Jul;202(1):59–63. Available from: https://pubmed.ncbi.nlm.nih.gov/4015212</w:t>
      </w:r>
    </w:p>
    <w:p w14:paraId="55C6F12C"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17. </w:t>
      </w:r>
      <w:r w:rsidRPr="00E677A0">
        <w:rPr>
          <w:rFonts w:ascii="Calibri" w:hAnsi="Calibri"/>
          <w:noProof/>
        </w:rPr>
        <w:tab/>
        <w:t>Shabanzadeh DM, Sørensen LT, Jørgensen T. A Prediction Rule for Risk Stratification of Incidentally Discovered Gallstones: Results From a Large Cohort Study. Gastroenterology [Internet]. 2016;150(1):156-167.e1. Available from: http://www.sciencedirect.com/science/article/pii/S0016508515013086</w:t>
      </w:r>
    </w:p>
    <w:p w14:paraId="4C1EFA8D"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18. </w:t>
      </w:r>
      <w:r w:rsidRPr="00E677A0">
        <w:rPr>
          <w:rFonts w:ascii="Calibri" w:hAnsi="Calibri"/>
          <w:noProof/>
        </w:rPr>
        <w:tab/>
        <w:t>Di Ciaula A, Wang DQ-H, Portincasa P. An update on the pathogenesis of cholesterol gallstone disease. Curr Opin Gastroenterol [Internet]. 2018;34(2). Available from: https://journals.lww.com/co-gastroenterology/Fulltext/2018/03000/An_update_on_the_pathogenesis_of_cholesterol.4.aspx</w:t>
      </w:r>
    </w:p>
    <w:p w14:paraId="5B7EDDB2"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19. </w:t>
      </w:r>
      <w:r w:rsidRPr="00E677A0">
        <w:rPr>
          <w:rFonts w:ascii="Calibri" w:hAnsi="Calibri"/>
          <w:noProof/>
        </w:rPr>
        <w:tab/>
        <w:t>Pak M, Lindseth G. Risk Factors for Cholelithiasis. Gastroenterol Nurs [Internet]. 2016;39(4). Available from: https://journals.lww.com/gastroenterologynursing/Fulltext/2016/07000/Risk_Factors_for_Cholelithiasis.6.aspx</w:t>
      </w:r>
    </w:p>
    <w:p w14:paraId="2D0BD3C7"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lastRenderedPageBreak/>
        <w:t xml:space="preserve">20. </w:t>
      </w:r>
      <w:r w:rsidRPr="00E677A0">
        <w:rPr>
          <w:rFonts w:ascii="Calibri" w:hAnsi="Calibri"/>
          <w:noProof/>
        </w:rPr>
        <w:tab/>
        <w:t>Berger M, Dy B, McKenzie T, et al. Rates of hypercalcemia and hyperparathyroidism among patients with porcelain gallbladder. Am J Surg [Internet]. 2020;220(1):127–31. Available from: http://www.sciencedirect.com/science/article/pii/S0002961019310785</w:t>
      </w:r>
    </w:p>
    <w:p w14:paraId="39C8322A"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21. </w:t>
      </w:r>
      <w:r w:rsidRPr="00E677A0">
        <w:rPr>
          <w:rFonts w:ascii="Calibri" w:hAnsi="Calibri"/>
          <w:noProof/>
        </w:rPr>
        <w:tab/>
        <w:t>Baker SG, Mayhew PD, Mehler SJ. Choledochotomy and primary repair of extrahepatic biliary duct rupture in seven dogs and two cats. J Small Anim Pract [Internet]. 2011 Jan 1;52(1):32–7. Available from: https://doi.org/10.1111/j.1748-5827.2010.01014.x</w:t>
      </w:r>
    </w:p>
    <w:p w14:paraId="503949ED"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22. </w:t>
      </w:r>
      <w:r w:rsidRPr="00E677A0">
        <w:rPr>
          <w:rFonts w:ascii="Calibri" w:hAnsi="Calibri"/>
          <w:noProof/>
        </w:rPr>
        <w:tab/>
        <w:t xml:space="preserve">Broulik PD, Haas T, Adámek S. Analysis of 645 Patients with Primary Hyperparathyroidism with Special References to Cholelithiasis. Intern Med. 2005;44(9):917–21. </w:t>
      </w:r>
    </w:p>
    <w:p w14:paraId="40D5ECAD"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23. </w:t>
      </w:r>
      <w:r w:rsidRPr="00E677A0">
        <w:rPr>
          <w:rFonts w:ascii="Calibri" w:hAnsi="Calibri"/>
          <w:noProof/>
        </w:rPr>
        <w:tab/>
        <w:t>Bhadada SK, Bhansali A, Shah VN, et al. High prevalence of cholelithiasis in primary hyperparathyroidism: a retrospective analysis of 120 cases. Indian  J Gastroenterol [Internet]. 2011;30(2):100–1. Available from: https://doi.org/10.1007/s12664-011-0101-0</w:t>
      </w:r>
    </w:p>
    <w:p w14:paraId="69E5920B"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24. </w:t>
      </w:r>
      <w:r w:rsidRPr="00E677A0">
        <w:rPr>
          <w:rFonts w:ascii="Calibri" w:hAnsi="Calibri"/>
          <w:noProof/>
        </w:rPr>
        <w:tab/>
        <w:t>Kutsunai M, Kanemoto H, Fukushima K, et al. The association between gall bladder mucoceles and hyperlipidaemia in dogs: A retrospective case control study. Vet J [Internet]. 2014;199(1):76–9. Available from: https://www.scopus.com/inward/record.uri?eid=2-s2.0-84892975823&amp;doi=10.1016%2Fj.tvjl.2013.10.019&amp;partnerID=40&amp;md5=6c6938ec83eb22b2e7614323edc32b53</w:t>
      </w:r>
    </w:p>
    <w:p w14:paraId="2720B119"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25. </w:t>
      </w:r>
      <w:r w:rsidRPr="00E677A0">
        <w:rPr>
          <w:rFonts w:ascii="Calibri" w:hAnsi="Calibri"/>
          <w:noProof/>
        </w:rPr>
        <w:tab/>
        <w:t>Mesich MLL, Mayhew PD, Paek M, et al. Gall bladder mucoceles and their association with endocrinopathies in dogs: a retrospective case-control study. J Small Anim Pract [Internet]. 2009 Dec 1;50(12):630–5. Available from: https://doi.org/10.1111/j.1748-5827.2009.00811.x</w:t>
      </w:r>
    </w:p>
    <w:p w14:paraId="2C36E4A6"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26. </w:t>
      </w:r>
      <w:r w:rsidRPr="00E677A0">
        <w:rPr>
          <w:rFonts w:ascii="Calibri" w:hAnsi="Calibri"/>
          <w:noProof/>
        </w:rPr>
        <w:tab/>
        <w:t xml:space="preserve">Kyösola K. Adrenergic and Cholinergic Innervation of the Supraduodenal Common Bile Duct. Am J Gastroenterol. 1978;70(2). </w:t>
      </w:r>
    </w:p>
    <w:p w14:paraId="50EE829B"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27. </w:t>
      </w:r>
      <w:r w:rsidRPr="00E677A0">
        <w:rPr>
          <w:rFonts w:ascii="Calibri" w:hAnsi="Calibri"/>
          <w:noProof/>
        </w:rPr>
        <w:tab/>
        <w:t>Stawarski A, Iwańczak B, Iwańczak F. [Predisposing factors and results of pharmalogical treatment using ursodeoxycholic acid of gallbladder stones in children]. Pol Merkur Lekarski [Internet]. 2006 Feb;20(116):199—202. Available from: http://europepmc.org/abstract/MED/16708640</w:t>
      </w:r>
    </w:p>
    <w:p w14:paraId="69154707"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28. </w:t>
      </w:r>
      <w:r w:rsidRPr="00E677A0">
        <w:rPr>
          <w:rFonts w:ascii="Calibri" w:hAnsi="Calibri"/>
          <w:noProof/>
        </w:rPr>
        <w:tab/>
        <w:t>Bexfield N, Watson P. Treatment of canine liver disease. In Pract [Internet]. 2009 Mar 1;31(3):130 LP – 135. Available from: http://inpractice.bmj.com/content/31/3/130.abstract</w:t>
      </w:r>
    </w:p>
    <w:p w14:paraId="7052C5C3"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29. </w:t>
      </w:r>
      <w:r w:rsidRPr="00E677A0">
        <w:rPr>
          <w:rFonts w:ascii="Calibri" w:hAnsi="Calibri"/>
          <w:noProof/>
        </w:rPr>
        <w:tab/>
        <w:t>Otte CMA, Penning LC, Rothuizen J, et al. Retrospective comparison of prednisolone and ursodeoxycholic acid for the treatment of feline lymphocytic cholangitis. Vet J [Internet]. 2013;195(2):205–9. Available from: http://www.sciencedirect.com/science/article/pii/S1090023312002523</w:t>
      </w:r>
    </w:p>
    <w:p w14:paraId="3279AB19"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30. </w:t>
      </w:r>
      <w:r w:rsidRPr="00E677A0">
        <w:rPr>
          <w:rFonts w:ascii="Calibri" w:hAnsi="Calibri"/>
          <w:noProof/>
        </w:rPr>
        <w:tab/>
        <w:t>Eich CS, Ludwig LL. The Surgical Treatment of Cholelithiasis in Cats: A Study of Nine Cases. J Am Anim Hosp Assoc [Internet]. 2002 May 1;38(3):290–6. Available from: https://doi.org/10.5326/0380290</w:t>
      </w:r>
    </w:p>
    <w:p w14:paraId="00A5AF3C"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31. </w:t>
      </w:r>
      <w:r w:rsidRPr="00E677A0">
        <w:rPr>
          <w:rFonts w:ascii="Calibri" w:hAnsi="Calibri"/>
          <w:noProof/>
        </w:rPr>
        <w:tab/>
        <w:t>Trotman BW, Petrella EJ, Soloway RD, et al. Evaluation of Radiographic Lucency or Opaqueness of Gallstones as a Means of Identifying Cholesterol or Pigment Stones: Correlation of lucency or opaqueness with calcium and mineral. Gastroenterology [Internet]. 1975;68(6):1563–6. Available from: https://www.sciencedirect.com/science/article/pii/S0016508575801454</w:t>
      </w:r>
    </w:p>
    <w:p w14:paraId="6F403968" w14:textId="77777777" w:rsidR="00E677A0" w:rsidRPr="00E677A0" w:rsidRDefault="00E677A0" w:rsidP="00E677A0">
      <w:pPr>
        <w:widowControl w:val="0"/>
        <w:autoSpaceDE w:val="0"/>
        <w:autoSpaceDN w:val="0"/>
        <w:adjustRightInd w:val="0"/>
        <w:ind w:left="640" w:hanging="640"/>
        <w:rPr>
          <w:rFonts w:ascii="Calibri" w:hAnsi="Calibri"/>
          <w:noProof/>
        </w:rPr>
      </w:pPr>
      <w:r w:rsidRPr="00E677A0">
        <w:rPr>
          <w:rFonts w:ascii="Calibri" w:hAnsi="Calibri"/>
          <w:noProof/>
        </w:rPr>
        <w:t xml:space="preserve">32. </w:t>
      </w:r>
      <w:r w:rsidRPr="00E677A0">
        <w:rPr>
          <w:rFonts w:ascii="Calibri" w:hAnsi="Calibri"/>
          <w:noProof/>
        </w:rPr>
        <w:tab/>
        <w:t xml:space="preserve">Yu J-K, Pan H, Huang S-M, et al. Calcium content of different compositions of </w:t>
      </w:r>
      <w:r w:rsidRPr="00E677A0">
        <w:rPr>
          <w:rFonts w:ascii="Calibri" w:hAnsi="Calibri"/>
          <w:noProof/>
        </w:rPr>
        <w:lastRenderedPageBreak/>
        <w:t>gallstones and pathogenesis of calcium carbonate gallstones. Asian J Surg [Internet]. 2013;36(1):26–35. Available from: https://www.sciencedirect.com/science/article/pii/S1015958412000528</w:t>
      </w:r>
    </w:p>
    <w:p w14:paraId="631FA520" w14:textId="0DE735DC" w:rsidR="008B3AC0" w:rsidRDefault="008B3AC0" w:rsidP="00E677A0">
      <w:pPr>
        <w:widowControl w:val="0"/>
        <w:autoSpaceDE w:val="0"/>
        <w:autoSpaceDN w:val="0"/>
        <w:adjustRightInd w:val="0"/>
        <w:ind w:left="640" w:hanging="640"/>
        <w:rPr>
          <w:rFonts w:ascii="Verdana" w:hAnsi="Verdana"/>
        </w:rPr>
      </w:pPr>
      <w:r w:rsidRPr="002B3036">
        <w:rPr>
          <w:rFonts w:asciiTheme="minorHAnsi" w:hAnsiTheme="minorHAnsi"/>
        </w:rPr>
        <w:fldChar w:fldCharType="end"/>
      </w:r>
    </w:p>
    <w:p w14:paraId="23E251E5" w14:textId="77777777" w:rsidR="003F48EA" w:rsidRDefault="003F48EA" w:rsidP="003F48EA">
      <w:pPr>
        <w:rPr>
          <w:rFonts w:ascii="Verdana" w:hAnsi="Verdana"/>
        </w:rPr>
      </w:pPr>
    </w:p>
    <w:p w14:paraId="79F23A18" w14:textId="3D8CF82F" w:rsidR="00A737FB" w:rsidRPr="00A737FB" w:rsidRDefault="00A737FB" w:rsidP="00A737FB">
      <w:pPr>
        <w:rPr>
          <w:rFonts w:asciiTheme="minorHAnsi" w:hAnsiTheme="minorHAnsi"/>
          <w:b/>
          <w:bCs/>
          <w:sz w:val="20"/>
          <w:szCs w:val="20"/>
        </w:rPr>
      </w:pPr>
    </w:p>
    <w:sectPr w:rsidR="00A737FB" w:rsidRPr="00A737FB" w:rsidSect="00460AEA">
      <w:endnotePr>
        <w:numFmt w:val="lowerLetter"/>
      </w:endnotePr>
      <w:type w:val="continuous"/>
      <w:pgSz w:w="11900" w:h="16840"/>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8F7AB0" w14:textId="77777777" w:rsidR="000D4E6C" w:rsidRDefault="000D4E6C" w:rsidP="006B40C8">
      <w:r>
        <w:separator/>
      </w:r>
    </w:p>
  </w:endnote>
  <w:endnote w:type="continuationSeparator" w:id="0">
    <w:p w14:paraId="7E994E79" w14:textId="77777777" w:rsidR="000D4E6C" w:rsidRDefault="000D4E6C" w:rsidP="006B40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617A6" w14:textId="77777777" w:rsidR="000D4E6C" w:rsidRDefault="000D4E6C" w:rsidP="006B40C8">
      <w:r>
        <w:separator/>
      </w:r>
    </w:p>
  </w:footnote>
  <w:footnote w:type="continuationSeparator" w:id="0">
    <w:p w14:paraId="27609FCC" w14:textId="77777777" w:rsidR="000D4E6C" w:rsidRDefault="000D4E6C" w:rsidP="006B40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17197825"/>
      <w:docPartObj>
        <w:docPartGallery w:val="Page Numbers (Top of Page)"/>
        <w:docPartUnique/>
      </w:docPartObj>
    </w:sdtPr>
    <w:sdtEndPr>
      <w:rPr>
        <w:rStyle w:val="PageNumber"/>
      </w:rPr>
    </w:sdtEndPr>
    <w:sdtContent>
      <w:p w14:paraId="602AE76F" w14:textId="5E9C0EB6" w:rsidR="00F21505" w:rsidRDefault="00F21505" w:rsidP="00794AA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3E55642" w14:textId="77777777" w:rsidR="00F21505" w:rsidRDefault="00F21505" w:rsidP="006B40C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63464589"/>
      <w:docPartObj>
        <w:docPartGallery w:val="Page Numbers (Top of Page)"/>
        <w:docPartUnique/>
      </w:docPartObj>
    </w:sdtPr>
    <w:sdtEndPr>
      <w:rPr>
        <w:rStyle w:val="PageNumber"/>
      </w:rPr>
    </w:sdtEndPr>
    <w:sdtContent>
      <w:p w14:paraId="33C00C1B" w14:textId="3919A731" w:rsidR="00F21505" w:rsidRDefault="00F21505" w:rsidP="00794AA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25</w:t>
        </w:r>
        <w:r>
          <w:rPr>
            <w:rStyle w:val="PageNumber"/>
          </w:rPr>
          <w:fldChar w:fldCharType="end"/>
        </w:r>
      </w:p>
    </w:sdtContent>
  </w:sdt>
  <w:p w14:paraId="7658479B" w14:textId="77777777" w:rsidR="00F21505" w:rsidRDefault="00F21505" w:rsidP="006B40C8">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46735"/>
    <w:multiLevelType w:val="multilevel"/>
    <w:tmpl w:val="77B60C94"/>
    <w:lvl w:ilvl="0">
      <w:start w:val="6"/>
      <w:numFmt w:val="decimal"/>
      <w:lvlText w:val="%1"/>
      <w:lvlJc w:val="left"/>
      <w:pPr>
        <w:ind w:left="440" w:hanging="440"/>
      </w:pPr>
      <w:rPr>
        <w:rFonts w:hint="default"/>
      </w:rPr>
    </w:lvl>
    <w:lvl w:ilvl="1">
      <w:start w:val="12"/>
      <w:numFmt w:val="decimal"/>
      <w:lvlText w:val="%1-%2"/>
      <w:lvlJc w:val="left"/>
      <w:pPr>
        <w:ind w:left="440" w:hanging="4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3C20CF2"/>
    <w:multiLevelType w:val="hybridMultilevel"/>
    <w:tmpl w:val="0B1CB6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2D0974"/>
    <w:multiLevelType w:val="hybridMultilevel"/>
    <w:tmpl w:val="DA3A68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36B351B"/>
    <w:multiLevelType w:val="multilevel"/>
    <w:tmpl w:val="26584E12"/>
    <w:lvl w:ilvl="0">
      <w:start w:val="12"/>
      <w:numFmt w:val="decimal"/>
      <w:lvlText w:val="%1"/>
      <w:lvlJc w:val="left"/>
      <w:pPr>
        <w:ind w:left="560" w:hanging="560"/>
      </w:pPr>
      <w:rPr>
        <w:rFonts w:hint="default"/>
      </w:rPr>
    </w:lvl>
    <w:lvl w:ilvl="1">
      <w:start w:val="24"/>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76FB5357"/>
    <w:multiLevelType w:val="hybridMultilevel"/>
    <w:tmpl w:val="77D6B2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1A5A"/>
    <w:rsid w:val="00000964"/>
    <w:rsid w:val="00001E80"/>
    <w:rsid w:val="00002569"/>
    <w:rsid w:val="00002B6B"/>
    <w:rsid w:val="00003F37"/>
    <w:rsid w:val="0000435C"/>
    <w:rsid w:val="00004546"/>
    <w:rsid w:val="00004AC0"/>
    <w:rsid w:val="0000522C"/>
    <w:rsid w:val="000052A8"/>
    <w:rsid w:val="0000599A"/>
    <w:rsid w:val="00005E23"/>
    <w:rsid w:val="0000684E"/>
    <w:rsid w:val="000068CB"/>
    <w:rsid w:val="00006DFB"/>
    <w:rsid w:val="000078E7"/>
    <w:rsid w:val="000079A1"/>
    <w:rsid w:val="0001038F"/>
    <w:rsid w:val="00010ED4"/>
    <w:rsid w:val="00010FF9"/>
    <w:rsid w:val="0001142B"/>
    <w:rsid w:val="0001219A"/>
    <w:rsid w:val="00013506"/>
    <w:rsid w:val="000135FC"/>
    <w:rsid w:val="0001367E"/>
    <w:rsid w:val="000149E6"/>
    <w:rsid w:val="00014CD9"/>
    <w:rsid w:val="0001551E"/>
    <w:rsid w:val="00015EFD"/>
    <w:rsid w:val="00016E04"/>
    <w:rsid w:val="000173B6"/>
    <w:rsid w:val="00017959"/>
    <w:rsid w:val="00020585"/>
    <w:rsid w:val="00021B2B"/>
    <w:rsid w:val="00021B2E"/>
    <w:rsid w:val="00022818"/>
    <w:rsid w:val="000232D1"/>
    <w:rsid w:val="00023842"/>
    <w:rsid w:val="00023FF4"/>
    <w:rsid w:val="0002494F"/>
    <w:rsid w:val="00024C2C"/>
    <w:rsid w:val="00024C89"/>
    <w:rsid w:val="00024D5E"/>
    <w:rsid w:val="00025364"/>
    <w:rsid w:val="000253C7"/>
    <w:rsid w:val="00025FB1"/>
    <w:rsid w:val="00026118"/>
    <w:rsid w:val="000267F2"/>
    <w:rsid w:val="00027285"/>
    <w:rsid w:val="00027512"/>
    <w:rsid w:val="000278B2"/>
    <w:rsid w:val="00027C1A"/>
    <w:rsid w:val="000301F8"/>
    <w:rsid w:val="00030854"/>
    <w:rsid w:val="00030938"/>
    <w:rsid w:val="00030CC7"/>
    <w:rsid w:val="00030E5F"/>
    <w:rsid w:val="00032146"/>
    <w:rsid w:val="00032D9B"/>
    <w:rsid w:val="000335C9"/>
    <w:rsid w:val="0003442A"/>
    <w:rsid w:val="00034726"/>
    <w:rsid w:val="00035307"/>
    <w:rsid w:val="00035538"/>
    <w:rsid w:val="000359DD"/>
    <w:rsid w:val="00035B8E"/>
    <w:rsid w:val="00035F69"/>
    <w:rsid w:val="000366F5"/>
    <w:rsid w:val="00036AE4"/>
    <w:rsid w:val="00036EE3"/>
    <w:rsid w:val="00037467"/>
    <w:rsid w:val="00040162"/>
    <w:rsid w:val="000407AA"/>
    <w:rsid w:val="0004269F"/>
    <w:rsid w:val="00042A28"/>
    <w:rsid w:val="00042B47"/>
    <w:rsid w:val="000432E1"/>
    <w:rsid w:val="000442C4"/>
    <w:rsid w:val="0004478D"/>
    <w:rsid w:val="00044A1C"/>
    <w:rsid w:val="0004580B"/>
    <w:rsid w:val="00050C1C"/>
    <w:rsid w:val="00050F91"/>
    <w:rsid w:val="00052679"/>
    <w:rsid w:val="00055031"/>
    <w:rsid w:val="00055535"/>
    <w:rsid w:val="00056BFE"/>
    <w:rsid w:val="000573DA"/>
    <w:rsid w:val="00060D56"/>
    <w:rsid w:val="0006172A"/>
    <w:rsid w:val="000618C4"/>
    <w:rsid w:val="00061C87"/>
    <w:rsid w:val="00062368"/>
    <w:rsid w:val="00062720"/>
    <w:rsid w:val="00062ACB"/>
    <w:rsid w:val="0006377A"/>
    <w:rsid w:val="00063AEE"/>
    <w:rsid w:val="00064529"/>
    <w:rsid w:val="000645F4"/>
    <w:rsid w:val="00064D4D"/>
    <w:rsid w:val="00065828"/>
    <w:rsid w:val="00065D4A"/>
    <w:rsid w:val="00065E25"/>
    <w:rsid w:val="000660DB"/>
    <w:rsid w:val="00066193"/>
    <w:rsid w:val="00066939"/>
    <w:rsid w:val="00066F2B"/>
    <w:rsid w:val="0006729A"/>
    <w:rsid w:val="000677C0"/>
    <w:rsid w:val="00067923"/>
    <w:rsid w:val="00070ABC"/>
    <w:rsid w:val="000719DF"/>
    <w:rsid w:val="0007240C"/>
    <w:rsid w:val="00073191"/>
    <w:rsid w:val="000731BB"/>
    <w:rsid w:val="0007324E"/>
    <w:rsid w:val="0007362E"/>
    <w:rsid w:val="0007384E"/>
    <w:rsid w:val="00073AF1"/>
    <w:rsid w:val="00075D5A"/>
    <w:rsid w:val="00076552"/>
    <w:rsid w:val="000806D3"/>
    <w:rsid w:val="000807DE"/>
    <w:rsid w:val="00080D96"/>
    <w:rsid w:val="00081272"/>
    <w:rsid w:val="00081F65"/>
    <w:rsid w:val="00082E29"/>
    <w:rsid w:val="00083AA9"/>
    <w:rsid w:val="000840FE"/>
    <w:rsid w:val="00084456"/>
    <w:rsid w:val="00084D3F"/>
    <w:rsid w:val="000857B5"/>
    <w:rsid w:val="0008594E"/>
    <w:rsid w:val="00086B67"/>
    <w:rsid w:val="00087C72"/>
    <w:rsid w:val="000909C4"/>
    <w:rsid w:val="00090BB9"/>
    <w:rsid w:val="00090EFB"/>
    <w:rsid w:val="00090F83"/>
    <w:rsid w:val="00091A8E"/>
    <w:rsid w:val="00091BD2"/>
    <w:rsid w:val="00092394"/>
    <w:rsid w:val="000926AF"/>
    <w:rsid w:val="000930A6"/>
    <w:rsid w:val="0009458E"/>
    <w:rsid w:val="00095242"/>
    <w:rsid w:val="0009612D"/>
    <w:rsid w:val="00096998"/>
    <w:rsid w:val="00096A00"/>
    <w:rsid w:val="00096AD8"/>
    <w:rsid w:val="00097507"/>
    <w:rsid w:val="0009751F"/>
    <w:rsid w:val="000A0608"/>
    <w:rsid w:val="000A1070"/>
    <w:rsid w:val="000A2D5C"/>
    <w:rsid w:val="000A2F6C"/>
    <w:rsid w:val="000A344E"/>
    <w:rsid w:val="000A3894"/>
    <w:rsid w:val="000A53A1"/>
    <w:rsid w:val="000A64FE"/>
    <w:rsid w:val="000A7375"/>
    <w:rsid w:val="000A7D18"/>
    <w:rsid w:val="000B0E44"/>
    <w:rsid w:val="000B0E63"/>
    <w:rsid w:val="000B10AE"/>
    <w:rsid w:val="000B1427"/>
    <w:rsid w:val="000B192F"/>
    <w:rsid w:val="000B1CB8"/>
    <w:rsid w:val="000B1CD6"/>
    <w:rsid w:val="000B2105"/>
    <w:rsid w:val="000B2C13"/>
    <w:rsid w:val="000B3018"/>
    <w:rsid w:val="000B3023"/>
    <w:rsid w:val="000B3522"/>
    <w:rsid w:val="000B3876"/>
    <w:rsid w:val="000B3D49"/>
    <w:rsid w:val="000B570A"/>
    <w:rsid w:val="000B61B3"/>
    <w:rsid w:val="000B675C"/>
    <w:rsid w:val="000B7031"/>
    <w:rsid w:val="000B7439"/>
    <w:rsid w:val="000C02A6"/>
    <w:rsid w:val="000C0DD2"/>
    <w:rsid w:val="000C1488"/>
    <w:rsid w:val="000C1B5C"/>
    <w:rsid w:val="000C1CA4"/>
    <w:rsid w:val="000C255A"/>
    <w:rsid w:val="000C2650"/>
    <w:rsid w:val="000C2F1F"/>
    <w:rsid w:val="000C3B43"/>
    <w:rsid w:val="000C3D54"/>
    <w:rsid w:val="000C7022"/>
    <w:rsid w:val="000C7FF9"/>
    <w:rsid w:val="000D1055"/>
    <w:rsid w:val="000D10A5"/>
    <w:rsid w:val="000D15CE"/>
    <w:rsid w:val="000D1954"/>
    <w:rsid w:val="000D1C55"/>
    <w:rsid w:val="000D1D31"/>
    <w:rsid w:val="000D2709"/>
    <w:rsid w:val="000D296F"/>
    <w:rsid w:val="000D3468"/>
    <w:rsid w:val="000D35E5"/>
    <w:rsid w:val="000D3C1A"/>
    <w:rsid w:val="000D4E6C"/>
    <w:rsid w:val="000D5528"/>
    <w:rsid w:val="000E0101"/>
    <w:rsid w:val="000E07B1"/>
    <w:rsid w:val="000E1B37"/>
    <w:rsid w:val="000E1E76"/>
    <w:rsid w:val="000E469D"/>
    <w:rsid w:val="000E471F"/>
    <w:rsid w:val="000E47F9"/>
    <w:rsid w:val="000E50C9"/>
    <w:rsid w:val="000E524A"/>
    <w:rsid w:val="000E57F2"/>
    <w:rsid w:val="000E5A4E"/>
    <w:rsid w:val="000E66B1"/>
    <w:rsid w:val="000F033C"/>
    <w:rsid w:val="000F093B"/>
    <w:rsid w:val="000F0B6D"/>
    <w:rsid w:val="000F0D2A"/>
    <w:rsid w:val="000F0E43"/>
    <w:rsid w:val="000F12F1"/>
    <w:rsid w:val="000F218F"/>
    <w:rsid w:val="000F25CF"/>
    <w:rsid w:val="000F26BB"/>
    <w:rsid w:val="000F31C8"/>
    <w:rsid w:val="000F3425"/>
    <w:rsid w:val="000F3AA5"/>
    <w:rsid w:val="000F4174"/>
    <w:rsid w:val="000F4D9A"/>
    <w:rsid w:val="000F548A"/>
    <w:rsid w:val="000F5A55"/>
    <w:rsid w:val="000F5D82"/>
    <w:rsid w:val="000F61F3"/>
    <w:rsid w:val="000F6296"/>
    <w:rsid w:val="000F63F5"/>
    <w:rsid w:val="000F747B"/>
    <w:rsid w:val="000F7702"/>
    <w:rsid w:val="001007F6"/>
    <w:rsid w:val="00100D6B"/>
    <w:rsid w:val="00100D72"/>
    <w:rsid w:val="001010CA"/>
    <w:rsid w:val="00101A25"/>
    <w:rsid w:val="001025CD"/>
    <w:rsid w:val="0010296D"/>
    <w:rsid w:val="00103150"/>
    <w:rsid w:val="001033BF"/>
    <w:rsid w:val="001036E2"/>
    <w:rsid w:val="00103FC6"/>
    <w:rsid w:val="0010624A"/>
    <w:rsid w:val="00106D28"/>
    <w:rsid w:val="001074EE"/>
    <w:rsid w:val="0010773C"/>
    <w:rsid w:val="0010787B"/>
    <w:rsid w:val="001079EE"/>
    <w:rsid w:val="00107E40"/>
    <w:rsid w:val="00110BC4"/>
    <w:rsid w:val="00111852"/>
    <w:rsid w:val="00112136"/>
    <w:rsid w:val="001139F2"/>
    <w:rsid w:val="00114165"/>
    <w:rsid w:val="00114F0B"/>
    <w:rsid w:val="001167B1"/>
    <w:rsid w:val="00116877"/>
    <w:rsid w:val="00116E2B"/>
    <w:rsid w:val="0011728F"/>
    <w:rsid w:val="0011753C"/>
    <w:rsid w:val="00117DA3"/>
    <w:rsid w:val="0012013F"/>
    <w:rsid w:val="00120451"/>
    <w:rsid w:val="00120FB0"/>
    <w:rsid w:val="00121FBC"/>
    <w:rsid w:val="0012200A"/>
    <w:rsid w:val="001227C6"/>
    <w:rsid w:val="00122BBE"/>
    <w:rsid w:val="00123986"/>
    <w:rsid w:val="0012398A"/>
    <w:rsid w:val="001254A6"/>
    <w:rsid w:val="001258AD"/>
    <w:rsid w:val="00125FFB"/>
    <w:rsid w:val="0012671C"/>
    <w:rsid w:val="00126C1D"/>
    <w:rsid w:val="00126D47"/>
    <w:rsid w:val="001272A0"/>
    <w:rsid w:val="001276B3"/>
    <w:rsid w:val="00130BC0"/>
    <w:rsid w:val="0013112B"/>
    <w:rsid w:val="00131A5B"/>
    <w:rsid w:val="0013374E"/>
    <w:rsid w:val="00133D38"/>
    <w:rsid w:val="00134098"/>
    <w:rsid w:val="00134544"/>
    <w:rsid w:val="0013514A"/>
    <w:rsid w:val="00135A9E"/>
    <w:rsid w:val="00136AA2"/>
    <w:rsid w:val="00137354"/>
    <w:rsid w:val="00140AAA"/>
    <w:rsid w:val="001411D3"/>
    <w:rsid w:val="00143CA8"/>
    <w:rsid w:val="00144C11"/>
    <w:rsid w:val="00145086"/>
    <w:rsid w:val="0014525D"/>
    <w:rsid w:val="0014610B"/>
    <w:rsid w:val="00146116"/>
    <w:rsid w:val="001463E3"/>
    <w:rsid w:val="001465DE"/>
    <w:rsid w:val="001500D8"/>
    <w:rsid w:val="00150CE7"/>
    <w:rsid w:val="00151B6A"/>
    <w:rsid w:val="001537F0"/>
    <w:rsid w:val="00154854"/>
    <w:rsid w:val="00155451"/>
    <w:rsid w:val="001555C8"/>
    <w:rsid w:val="00155A56"/>
    <w:rsid w:val="00156950"/>
    <w:rsid w:val="00156A8F"/>
    <w:rsid w:val="001575E2"/>
    <w:rsid w:val="00157776"/>
    <w:rsid w:val="00157D8E"/>
    <w:rsid w:val="001603C0"/>
    <w:rsid w:val="00160947"/>
    <w:rsid w:val="00160A2C"/>
    <w:rsid w:val="00160F2C"/>
    <w:rsid w:val="00161640"/>
    <w:rsid w:val="00162A4B"/>
    <w:rsid w:val="0016311F"/>
    <w:rsid w:val="0016334B"/>
    <w:rsid w:val="00163827"/>
    <w:rsid w:val="001639F1"/>
    <w:rsid w:val="001644D8"/>
    <w:rsid w:val="00164777"/>
    <w:rsid w:val="00164C14"/>
    <w:rsid w:val="00165BF5"/>
    <w:rsid w:val="0016695E"/>
    <w:rsid w:val="00166DE8"/>
    <w:rsid w:val="00167144"/>
    <w:rsid w:val="00167505"/>
    <w:rsid w:val="00171BC8"/>
    <w:rsid w:val="001724B5"/>
    <w:rsid w:val="0017258C"/>
    <w:rsid w:val="00172B60"/>
    <w:rsid w:val="0017376C"/>
    <w:rsid w:val="00174845"/>
    <w:rsid w:val="00174C76"/>
    <w:rsid w:val="00175AF4"/>
    <w:rsid w:val="001761C8"/>
    <w:rsid w:val="0017750A"/>
    <w:rsid w:val="00177FAB"/>
    <w:rsid w:val="00180160"/>
    <w:rsid w:val="00180620"/>
    <w:rsid w:val="00180B81"/>
    <w:rsid w:val="00180C45"/>
    <w:rsid w:val="00180E15"/>
    <w:rsid w:val="001814BF"/>
    <w:rsid w:val="00181659"/>
    <w:rsid w:val="001819BF"/>
    <w:rsid w:val="001823F7"/>
    <w:rsid w:val="00182B11"/>
    <w:rsid w:val="00184537"/>
    <w:rsid w:val="00184CA1"/>
    <w:rsid w:val="00184ECF"/>
    <w:rsid w:val="00185EEA"/>
    <w:rsid w:val="00186878"/>
    <w:rsid w:val="00186F93"/>
    <w:rsid w:val="00187151"/>
    <w:rsid w:val="00187348"/>
    <w:rsid w:val="001873A1"/>
    <w:rsid w:val="001911B0"/>
    <w:rsid w:val="00191CEE"/>
    <w:rsid w:val="00191F07"/>
    <w:rsid w:val="001921CE"/>
    <w:rsid w:val="00192468"/>
    <w:rsid w:val="0019376A"/>
    <w:rsid w:val="00193C6C"/>
    <w:rsid w:val="001958F5"/>
    <w:rsid w:val="001967F6"/>
    <w:rsid w:val="00196D8B"/>
    <w:rsid w:val="001972EB"/>
    <w:rsid w:val="00197558"/>
    <w:rsid w:val="001A0117"/>
    <w:rsid w:val="001A16F2"/>
    <w:rsid w:val="001A1D8B"/>
    <w:rsid w:val="001A29DB"/>
    <w:rsid w:val="001A2AA5"/>
    <w:rsid w:val="001A4B9C"/>
    <w:rsid w:val="001A4E96"/>
    <w:rsid w:val="001A55F0"/>
    <w:rsid w:val="001A5DCA"/>
    <w:rsid w:val="001A651D"/>
    <w:rsid w:val="001A6576"/>
    <w:rsid w:val="001A6D91"/>
    <w:rsid w:val="001A6F43"/>
    <w:rsid w:val="001B2392"/>
    <w:rsid w:val="001B3020"/>
    <w:rsid w:val="001B3617"/>
    <w:rsid w:val="001B3692"/>
    <w:rsid w:val="001B37B7"/>
    <w:rsid w:val="001B3AD5"/>
    <w:rsid w:val="001B4043"/>
    <w:rsid w:val="001B4A17"/>
    <w:rsid w:val="001B4C20"/>
    <w:rsid w:val="001B5112"/>
    <w:rsid w:val="001B5BE9"/>
    <w:rsid w:val="001B645D"/>
    <w:rsid w:val="001B6CFD"/>
    <w:rsid w:val="001B6E6D"/>
    <w:rsid w:val="001B6FDE"/>
    <w:rsid w:val="001B7889"/>
    <w:rsid w:val="001B7A42"/>
    <w:rsid w:val="001B7BF2"/>
    <w:rsid w:val="001B7E9B"/>
    <w:rsid w:val="001C0123"/>
    <w:rsid w:val="001C02E0"/>
    <w:rsid w:val="001C0583"/>
    <w:rsid w:val="001C0AD9"/>
    <w:rsid w:val="001C0CCA"/>
    <w:rsid w:val="001C1996"/>
    <w:rsid w:val="001C1BEC"/>
    <w:rsid w:val="001C1BF6"/>
    <w:rsid w:val="001C48BE"/>
    <w:rsid w:val="001C49E8"/>
    <w:rsid w:val="001C4D7E"/>
    <w:rsid w:val="001C699F"/>
    <w:rsid w:val="001C7112"/>
    <w:rsid w:val="001D0BC8"/>
    <w:rsid w:val="001D1695"/>
    <w:rsid w:val="001D1908"/>
    <w:rsid w:val="001D1940"/>
    <w:rsid w:val="001D1B66"/>
    <w:rsid w:val="001D1E88"/>
    <w:rsid w:val="001D3998"/>
    <w:rsid w:val="001D4942"/>
    <w:rsid w:val="001D51C0"/>
    <w:rsid w:val="001D57E8"/>
    <w:rsid w:val="001D5C42"/>
    <w:rsid w:val="001D6501"/>
    <w:rsid w:val="001D6523"/>
    <w:rsid w:val="001D6B5A"/>
    <w:rsid w:val="001D7A9A"/>
    <w:rsid w:val="001D7AA5"/>
    <w:rsid w:val="001E05C9"/>
    <w:rsid w:val="001E0A2A"/>
    <w:rsid w:val="001E200D"/>
    <w:rsid w:val="001E2AA2"/>
    <w:rsid w:val="001E2DDB"/>
    <w:rsid w:val="001E315E"/>
    <w:rsid w:val="001E4444"/>
    <w:rsid w:val="001E47B1"/>
    <w:rsid w:val="001E573C"/>
    <w:rsid w:val="001E639B"/>
    <w:rsid w:val="001E6E3C"/>
    <w:rsid w:val="001E7AAD"/>
    <w:rsid w:val="001F051A"/>
    <w:rsid w:val="001F09FE"/>
    <w:rsid w:val="001F25D8"/>
    <w:rsid w:val="001F29BE"/>
    <w:rsid w:val="001F40EE"/>
    <w:rsid w:val="001F4112"/>
    <w:rsid w:val="001F4201"/>
    <w:rsid w:val="001F4F97"/>
    <w:rsid w:val="001F5533"/>
    <w:rsid w:val="001F5997"/>
    <w:rsid w:val="001F68CB"/>
    <w:rsid w:val="001F734D"/>
    <w:rsid w:val="001F7482"/>
    <w:rsid w:val="002006BD"/>
    <w:rsid w:val="00200CC8"/>
    <w:rsid w:val="002012F3"/>
    <w:rsid w:val="00201EA0"/>
    <w:rsid w:val="00203304"/>
    <w:rsid w:val="00203BD6"/>
    <w:rsid w:val="002046C2"/>
    <w:rsid w:val="00205F30"/>
    <w:rsid w:val="00206D89"/>
    <w:rsid w:val="00207B03"/>
    <w:rsid w:val="0021049B"/>
    <w:rsid w:val="002106D9"/>
    <w:rsid w:val="00210E55"/>
    <w:rsid w:val="002113C2"/>
    <w:rsid w:val="00211902"/>
    <w:rsid w:val="0021262F"/>
    <w:rsid w:val="002136F8"/>
    <w:rsid w:val="00213A69"/>
    <w:rsid w:val="00213F6B"/>
    <w:rsid w:val="00215F32"/>
    <w:rsid w:val="0021778B"/>
    <w:rsid w:val="00217E66"/>
    <w:rsid w:val="002203E6"/>
    <w:rsid w:val="002210D4"/>
    <w:rsid w:val="00221FE3"/>
    <w:rsid w:val="0022215E"/>
    <w:rsid w:val="002225D8"/>
    <w:rsid w:val="00224A14"/>
    <w:rsid w:val="00224F64"/>
    <w:rsid w:val="00225A51"/>
    <w:rsid w:val="00226C51"/>
    <w:rsid w:val="002273E9"/>
    <w:rsid w:val="00232A4C"/>
    <w:rsid w:val="002330EC"/>
    <w:rsid w:val="0023406B"/>
    <w:rsid w:val="00234A08"/>
    <w:rsid w:val="00235C3B"/>
    <w:rsid w:val="0023618B"/>
    <w:rsid w:val="00240CE6"/>
    <w:rsid w:val="00241713"/>
    <w:rsid w:val="0024289C"/>
    <w:rsid w:val="00243301"/>
    <w:rsid w:val="002439E6"/>
    <w:rsid w:val="0024421E"/>
    <w:rsid w:val="002457FE"/>
    <w:rsid w:val="00246C9A"/>
    <w:rsid w:val="00247170"/>
    <w:rsid w:val="00247258"/>
    <w:rsid w:val="00247BC5"/>
    <w:rsid w:val="00250CA1"/>
    <w:rsid w:val="002515F9"/>
    <w:rsid w:val="002516A4"/>
    <w:rsid w:val="00252E79"/>
    <w:rsid w:val="00252FCE"/>
    <w:rsid w:val="0025425B"/>
    <w:rsid w:val="002548B4"/>
    <w:rsid w:val="00255900"/>
    <w:rsid w:val="00256050"/>
    <w:rsid w:val="002562F8"/>
    <w:rsid w:val="00257377"/>
    <w:rsid w:val="00257533"/>
    <w:rsid w:val="002578C6"/>
    <w:rsid w:val="00257F8E"/>
    <w:rsid w:val="0026065A"/>
    <w:rsid w:val="00261156"/>
    <w:rsid w:val="00262493"/>
    <w:rsid w:val="00262DF4"/>
    <w:rsid w:val="0026543C"/>
    <w:rsid w:val="0026574D"/>
    <w:rsid w:val="00265F17"/>
    <w:rsid w:val="002663D7"/>
    <w:rsid w:val="0027049F"/>
    <w:rsid w:val="00270785"/>
    <w:rsid w:val="00271BA7"/>
    <w:rsid w:val="002721D6"/>
    <w:rsid w:val="00272C25"/>
    <w:rsid w:val="002732FC"/>
    <w:rsid w:val="00274D32"/>
    <w:rsid w:val="0027554F"/>
    <w:rsid w:val="00280668"/>
    <w:rsid w:val="00280886"/>
    <w:rsid w:val="00280AEB"/>
    <w:rsid w:val="0028167E"/>
    <w:rsid w:val="00283037"/>
    <w:rsid w:val="002830AE"/>
    <w:rsid w:val="00283669"/>
    <w:rsid w:val="00283766"/>
    <w:rsid w:val="002845A6"/>
    <w:rsid w:val="00284658"/>
    <w:rsid w:val="002851AC"/>
    <w:rsid w:val="00290151"/>
    <w:rsid w:val="00290F31"/>
    <w:rsid w:val="00290FFD"/>
    <w:rsid w:val="00291C34"/>
    <w:rsid w:val="00291CF6"/>
    <w:rsid w:val="002929C4"/>
    <w:rsid w:val="00292E59"/>
    <w:rsid w:val="00293EB0"/>
    <w:rsid w:val="00293F50"/>
    <w:rsid w:val="00293F6C"/>
    <w:rsid w:val="0029468C"/>
    <w:rsid w:val="0029497E"/>
    <w:rsid w:val="00294AB9"/>
    <w:rsid w:val="00296615"/>
    <w:rsid w:val="00296726"/>
    <w:rsid w:val="002967E2"/>
    <w:rsid w:val="00296CA5"/>
    <w:rsid w:val="00297524"/>
    <w:rsid w:val="002976F3"/>
    <w:rsid w:val="002A0F16"/>
    <w:rsid w:val="002A1292"/>
    <w:rsid w:val="002A1B8F"/>
    <w:rsid w:val="002A1E5E"/>
    <w:rsid w:val="002A1F17"/>
    <w:rsid w:val="002A35D7"/>
    <w:rsid w:val="002A3A88"/>
    <w:rsid w:val="002A4263"/>
    <w:rsid w:val="002A444C"/>
    <w:rsid w:val="002A46E3"/>
    <w:rsid w:val="002A6023"/>
    <w:rsid w:val="002A6D99"/>
    <w:rsid w:val="002B0F1F"/>
    <w:rsid w:val="002B3036"/>
    <w:rsid w:val="002B32CC"/>
    <w:rsid w:val="002B49BB"/>
    <w:rsid w:val="002B4FDD"/>
    <w:rsid w:val="002B59CB"/>
    <w:rsid w:val="002B5D86"/>
    <w:rsid w:val="002B6E45"/>
    <w:rsid w:val="002B7600"/>
    <w:rsid w:val="002C038A"/>
    <w:rsid w:val="002C07CF"/>
    <w:rsid w:val="002C11FC"/>
    <w:rsid w:val="002C1781"/>
    <w:rsid w:val="002C1BBA"/>
    <w:rsid w:val="002C318F"/>
    <w:rsid w:val="002C3ECF"/>
    <w:rsid w:val="002C3FB5"/>
    <w:rsid w:val="002C46E6"/>
    <w:rsid w:val="002C57D9"/>
    <w:rsid w:val="002C5A64"/>
    <w:rsid w:val="002C7436"/>
    <w:rsid w:val="002C787F"/>
    <w:rsid w:val="002D19C3"/>
    <w:rsid w:val="002D27AF"/>
    <w:rsid w:val="002D288E"/>
    <w:rsid w:val="002D39CE"/>
    <w:rsid w:val="002D3AFF"/>
    <w:rsid w:val="002D435A"/>
    <w:rsid w:val="002D5302"/>
    <w:rsid w:val="002D5B7A"/>
    <w:rsid w:val="002D6035"/>
    <w:rsid w:val="002D662C"/>
    <w:rsid w:val="002D6A6B"/>
    <w:rsid w:val="002D722A"/>
    <w:rsid w:val="002E00BE"/>
    <w:rsid w:val="002E0540"/>
    <w:rsid w:val="002E076B"/>
    <w:rsid w:val="002E260F"/>
    <w:rsid w:val="002E2CE4"/>
    <w:rsid w:val="002E2EA5"/>
    <w:rsid w:val="002E3564"/>
    <w:rsid w:val="002E4110"/>
    <w:rsid w:val="002E462B"/>
    <w:rsid w:val="002E4AD9"/>
    <w:rsid w:val="002E550A"/>
    <w:rsid w:val="002E5ED5"/>
    <w:rsid w:val="002E7473"/>
    <w:rsid w:val="002E74B8"/>
    <w:rsid w:val="002E7B37"/>
    <w:rsid w:val="002E7B89"/>
    <w:rsid w:val="002E7CBD"/>
    <w:rsid w:val="002F022A"/>
    <w:rsid w:val="002F0C76"/>
    <w:rsid w:val="002F1F2A"/>
    <w:rsid w:val="002F2610"/>
    <w:rsid w:val="002F2C87"/>
    <w:rsid w:val="002F2D04"/>
    <w:rsid w:val="002F325C"/>
    <w:rsid w:val="002F352D"/>
    <w:rsid w:val="002F4E41"/>
    <w:rsid w:val="002F5553"/>
    <w:rsid w:val="002F5883"/>
    <w:rsid w:val="002F5BE7"/>
    <w:rsid w:val="002F5CB3"/>
    <w:rsid w:val="002F5DBA"/>
    <w:rsid w:val="002F6118"/>
    <w:rsid w:val="002F67A2"/>
    <w:rsid w:val="002F72C8"/>
    <w:rsid w:val="002F75C0"/>
    <w:rsid w:val="002F7619"/>
    <w:rsid w:val="002F7881"/>
    <w:rsid w:val="002F7E17"/>
    <w:rsid w:val="003002CA"/>
    <w:rsid w:val="00301F10"/>
    <w:rsid w:val="00302BEB"/>
    <w:rsid w:val="0030364B"/>
    <w:rsid w:val="003039AA"/>
    <w:rsid w:val="00303E3C"/>
    <w:rsid w:val="0030467A"/>
    <w:rsid w:val="00305F6F"/>
    <w:rsid w:val="0030605F"/>
    <w:rsid w:val="003064FF"/>
    <w:rsid w:val="00306580"/>
    <w:rsid w:val="003066A2"/>
    <w:rsid w:val="00306A38"/>
    <w:rsid w:val="00306BAD"/>
    <w:rsid w:val="00306E26"/>
    <w:rsid w:val="0031085D"/>
    <w:rsid w:val="00310DDB"/>
    <w:rsid w:val="0031185E"/>
    <w:rsid w:val="003125D5"/>
    <w:rsid w:val="00313D5B"/>
    <w:rsid w:val="0031453E"/>
    <w:rsid w:val="00314B72"/>
    <w:rsid w:val="00315288"/>
    <w:rsid w:val="00315EBD"/>
    <w:rsid w:val="0031669B"/>
    <w:rsid w:val="00316FF8"/>
    <w:rsid w:val="00317649"/>
    <w:rsid w:val="00317942"/>
    <w:rsid w:val="003200ED"/>
    <w:rsid w:val="0032050D"/>
    <w:rsid w:val="00320F4E"/>
    <w:rsid w:val="00320F6C"/>
    <w:rsid w:val="00321213"/>
    <w:rsid w:val="00322374"/>
    <w:rsid w:val="003229BC"/>
    <w:rsid w:val="00322C8E"/>
    <w:rsid w:val="003250A3"/>
    <w:rsid w:val="0032664F"/>
    <w:rsid w:val="00326AC9"/>
    <w:rsid w:val="00326BC8"/>
    <w:rsid w:val="00326D31"/>
    <w:rsid w:val="00326EF8"/>
    <w:rsid w:val="00330860"/>
    <w:rsid w:val="00331249"/>
    <w:rsid w:val="003323AA"/>
    <w:rsid w:val="00332429"/>
    <w:rsid w:val="003326F9"/>
    <w:rsid w:val="00332A5B"/>
    <w:rsid w:val="00333578"/>
    <w:rsid w:val="0033388D"/>
    <w:rsid w:val="00334891"/>
    <w:rsid w:val="00334991"/>
    <w:rsid w:val="00334C4B"/>
    <w:rsid w:val="003356DE"/>
    <w:rsid w:val="003361A1"/>
    <w:rsid w:val="0033675A"/>
    <w:rsid w:val="00336B9D"/>
    <w:rsid w:val="00337266"/>
    <w:rsid w:val="0033756E"/>
    <w:rsid w:val="00340202"/>
    <w:rsid w:val="00341092"/>
    <w:rsid w:val="00341FAE"/>
    <w:rsid w:val="0034325E"/>
    <w:rsid w:val="00343355"/>
    <w:rsid w:val="00343D0F"/>
    <w:rsid w:val="00343E17"/>
    <w:rsid w:val="00344A22"/>
    <w:rsid w:val="003451B4"/>
    <w:rsid w:val="0034578E"/>
    <w:rsid w:val="00345FA6"/>
    <w:rsid w:val="0034692A"/>
    <w:rsid w:val="00347801"/>
    <w:rsid w:val="00347AAA"/>
    <w:rsid w:val="0035056A"/>
    <w:rsid w:val="003505D0"/>
    <w:rsid w:val="003505F7"/>
    <w:rsid w:val="00350691"/>
    <w:rsid w:val="003508DF"/>
    <w:rsid w:val="00351223"/>
    <w:rsid w:val="0035203B"/>
    <w:rsid w:val="00353777"/>
    <w:rsid w:val="003537B2"/>
    <w:rsid w:val="00353868"/>
    <w:rsid w:val="00354D75"/>
    <w:rsid w:val="003553A7"/>
    <w:rsid w:val="003570E2"/>
    <w:rsid w:val="00361175"/>
    <w:rsid w:val="0036183F"/>
    <w:rsid w:val="00361981"/>
    <w:rsid w:val="00361EEF"/>
    <w:rsid w:val="0036303E"/>
    <w:rsid w:val="00363BA4"/>
    <w:rsid w:val="003645C2"/>
    <w:rsid w:val="00364DC8"/>
    <w:rsid w:val="00365934"/>
    <w:rsid w:val="003710D7"/>
    <w:rsid w:val="00371F30"/>
    <w:rsid w:val="00372156"/>
    <w:rsid w:val="00372E7A"/>
    <w:rsid w:val="0037411B"/>
    <w:rsid w:val="0037425D"/>
    <w:rsid w:val="00374CBF"/>
    <w:rsid w:val="0037538D"/>
    <w:rsid w:val="0037557C"/>
    <w:rsid w:val="00376559"/>
    <w:rsid w:val="00376876"/>
    <w:rsid w:val="00376D84"/>
    <w:rsid w:val="003772C5"/>
    <w:rsid w:val="00377F3C"/>
    <w:rsid w:val="00380507"/>
    <w:rsid w:val="00380AFE"/>
    <w:rsid w:val="00380F11"/>
    <w:rsid w:val="0038199E"/>
    <w:rsid w:val="00381A33"/>
    <w:rsid w:val="00381A6E"/>
    <w:rsid w:val="00381B45"/>
    <w:rsid w:val="00382A82"/>
    <w:rsid w:val="00383992"/>
    <w:rsid w:val="0038505A"/>
    <w:rsid w:val="00385AD5"/>
    <w:rsid w:val="00385F44"/>
    <w:rsid w:val="00385FC3"/>
    <w:rsid w:val="00387028"/>
    <w:rsid w:val="003906A2"/>
    <w:rsid w:val="00390A04"/>
    <w:rsid w:val="00390E3B"/>
    <w:rsid w:val="00391255"/>
    <w:rsid w:val="00391A66"/>
    <w:rsid w:val="00392EC0"/>
    <w:rsid w:val="00393073"/>
    <w:rsid w:val="00393585"/>
    <w:rsid w:val="00394336"/>
    <w:rsid w:val="003943A8"/>
    <w:rsid w:val="00395304"/>
    <w:rsid w:val="00396B0B"/>
    <w:rsid w:val="00396B8D"/>
    <w:rsid w:val="00397879"/>
    <w:rsid w:val="00397B50"/>
    <w:rsid w:val="003A225E"/>
    <w:rsid w:val="003A2F98"/>
    <w:rsid w:val="003A35E4"/>
    <w:rsid w:val="003A44A1"/>
    <w:rsid w:val="003A4574"/>
    <w:rsid w:val="003A4665"/>
    <w:rsid w:val="003A4F59"/>
    <w:rsid w:val="003A5964"/>
    <w:rsid w:val="003A5A12"/>
    <w:rsid w:val="003A726F"/>
    <w:rsid w:val="003A732C"/>
    <w:rsid w:val="003B00BA"/>
    <w:rsid w:val="003B0E2B"/>
    <w:rsid w:val="003B0EF7"/>
    <w:rsid w:val="003B105A"/>
    <w:rsid w:val="003B2795"/>
    <w:rsid w:val="003B29DF"/>
    <w:rsid w:val="003B2F33"/>
    <w:rsid w:val="003B3199"/>
    <w:rsid w:val="003B37C5"/>
    <w:rsid w:val="003B47CA"/>
    <w:rsid w:val="003B4ED3"/>
    <w:rsid w:val="003B51F5"/>
    <w:rsid w:val="003B6F7F"/>
    <w:rsid w:val="003B746A"/>
    <w:rsid w:val="003B7A7C"/>
    <w:rsid w:val="003C0888"/>
    <w:rsid w:val="003C13B1"/>
    <w:rsid w:val="003C1ABE"/>
    <w:rsid w:val="003C1E00"/>
    <w:rsid w:val="003C1E90"/>
    <w:rsid w:val="003C29F2"/>
    <w:rsid w:val="003C2B1A"/>
    <w:rsid w:val="003C3AF3"/>
    <w:rsid w:val="003C481C"/>
    <w:rsid w:val="003C4E65"/>
    <w:rsid w:val="003C54B3"/>
    <w:rsid w:val="003C6507"/>
    <w:rsid w:val="003C7B5B"/>
    <w:rsid w:val="003D0178"/>
    <w:rsid w:val="003D0192"/>
    <w:rsid w:val="003D0B50"/>
    <w:rsid w:val="003D140C"/>
    <w:rsid w:val="003D1CF8"/>
    <w:rsid w:val="003D2664"/>
    <w:rsid w:val="003D296B"/>
    <w:rsid w:val="003D2996"/>
    <w:rsid w:val="003D2F23"/>
    <w:rsid w:val="003D34D5"/>
    <w:rsid w:val="003D3521"/>
    <w:rsid w:val="003D39EF"/>
    <w:rsid w:val="003D4CC6"/>
    <w:rsid w:val="003D64C9"/>
    <w:rsid w:val="003D7409"/>
    <w:rsid w:val="003D7960"/>
    <w:rsid w:val="003D7BAE"/>
    <w:rsid w:val="003D7ECF"/>
    <w:rsid w:val="003D7F10"/>
    <w:rsid w:val="003E0202"/>
    <w:rsid w:val="003E04C6"/>
    <w:rsid w:val="003E0AEA"/>
    <w:rsid w:val="003E36A4"/>
    <w:rsid w:val="003E3EE5"/>
    <w:rsid w:val="003E403E"/>
    <w:rsid w:val="003E4323"/>
    <w:rsid w:val="003E4DF1"/>
    <w:rsid w:val="003E4FD8"/>
    <w:rsid w:val="003E53FD"/>
    <w:rsid w:val="003E541B"/>
    <w:rsid w:val="003E5C62"/>
    <w:rsid w:val="003E62A5"/>
    <w:rsid w:val="003E6798"/>
    <w:rsid w:val="003E67E8"/>
    <w:rsid w:val="003E6AD4"/>
    <w:rsid w:val="003F1843"/>
    <w:rsid w:val="003F1BBF"/>
    <w:rsid w:val="003F270F"/>
    <w:rsid w:val="003F2C5C"/>
    <w:rsid w:val="003F3A53"/>
    <w:rsid w:val="003F48EA"/>
    <w:rsid w:val="003F61E8"/>
    <w:rsid w:val="003F648E"/>
    <w:rsid w:val="003F696D"/>
    <w:rsid w:val="003F6C8E"/>
    <w:rsid w:val="003F6FD4"/>
    <w:rsid w:val="003F71BB"/>
    <w:rsid w:val="00401B1C"/>
    <w:rsid w:val="00401E66"/>
    <w:rsid w:val="004027EA"/>
    <w:rsid w:val="00404255"/>
    <w:rsid w:val="00404D7D"/>
    <w:rsid w:val="004054EA"/>
    <w:rsid w:val="00406CF8"/>
    <w:rsid w:val="00407BD8"/>
    <w:rsid w:val="00411921"/>
    <w:rsid w:val="00412309"/>
    <w:rsid w:val="004134BD"/>
    <w:rsid w:val="00413C1A"/>
    <w:rsid w:val="00414BF0"/>
    <w:rsid w:val="00416BA1"/>
    <w:rsid w:val="00420B4B"/>
    <w:rsid w:val="0042137F"/>
    <w:rsid w:val="004214E3"/>
    <w:rsid w:val="00421564"/>
    <w:rsid w:val="00422A00"/>
    <w:rsid w:val="00422DAC"/>
    <w:rsid w:val="0042476D"/>
    <w:rsid w:val="00425441"/>
    <w:rsid w:val="004254CE"/>
    <w:rsid w:val="004277F0"/>
    <w:rsid w:val="004278D1"/>
    <w:rsid w:val="00430196"/>
    <w:rsid w:val="0043070F"/>
    <w:rsid w:val="0043089D"/>
    <w:rsid w:val="00431229"/>
    <w:rsid w:val="004329CC"/>
    <w:rsid w:val="00432AB1"/>
    <w:rsid w:val="00433C8D"/>
    <w:rsid w:val="00434453"/>
    <w:rsid w:val="00434946"/>
    <w:rsid w:val="004349EA"/>
    <w:rsid w:val="00434C95"/>
    <w:rsid w:val="00435E4A"/>
    <w:rsid w:val="00435EA5"/>
    <w:rsid w:val="004365ED"/>
    <w:rsid w:val="004369A8"/>
    <w:rsid w:val="004375E7"/>
    <w:rsid w:val="00437E0A"/>
    <w:rsid w:val="0044068F"/>
    <w:rsid w:val="00441050"/>
    <w:rsid w:val="00443032"/>
    <w:rsid w:val="00444436"/>
    <w:rsid w:val="00444A57"/>
    <w:rsid w:val="004450A4"/>
    <w:rsid w:val="0044525D"/>
    <w:rsid w:val="00445678"/>
    <w:rsid w:val="00445E9F"/>
    <w:rsid w:val="00445EA9"/>
    <w:rsid w:val="004469C8"/>
    <w:rsid w:val="00446D1E"/>
    <w:rsid w:val="00447037"/>
    <w:rsid w:val="00447115"/>
    <w:rsid w:val="0044714C"/>
    <w:rsid w:val="004474D2"/>
    <w:rsid w:val="004507FF"/>
    <w:rsid w:val="00451720"/>
    <w:rsid w:val="0045173C"/>
    <w:rsid w:val="0045191F"/>
    <w:rsid w:val="0045201B"/>
    <w:rsid w:val="00453299"/>
    <w:rsid w:val="00455825"/>
    <w:rsid w:val="00456B29"/>
    <w:rsid w:val="00457069"/>
    <w:rsid w:val="004578C1"/>
    <w:rsid w:val="00457D79"/>
    <w:rsid w:val="00457ED8"/>
    <w:rsid w:val="00457F0A"/>
    <w:rsid w:val="00460AEA"/>
    <w:rsid w:val="00460E22"/>
    <w:rsid w:val="00460E25"/>
    <w:rsid w:val="00461FAA"/>
    <w:rsid w:val="0046235B"/>
    <w:rsid w:val="00464287"/>
    <w:rsid w:val="0046463C"/>
    <w:rsid w:val="004647BE"/>
    <w:rsid w:val="00464809"/>
    <w:rsid w:val="00464861"/>
    <w:rsid w:val="00465CF7"/>
    <w:rsid w:val="00465FF4"/>
    <w:rsid w:val="00466086"/>
    <w:rsid w:val="00466637"/>
    <w:rsid w:val="0046670F"/>
    <w:rsid w:val="00467192"/>
    <w:rsid w:val="004672BE"/>
    <w:rsid w:val="004675FF"/>
    <w:rsid w:val="00467D83"/>
    <w:rsid w:val="00470650"/>
    <w:rsid w:val="00470DDC"/>
    <w:rsid w:val="0047110D"/>
    <w:rsid w:val="00471442"/>
    <w:rsid w:val="00472AB3"/>
    <w:rsid w:val="0047309C"/>
    <w:rsid w:val="004730CB"/>
    <w:rsid w:val="00474059"/>
    <w:rsid w:val="00474F9C"/>
    <w:rsid w:val="00475981"/>
    <w:rsid w:val="004761A8"/>
    <w:rsid w:val="00476715"/>
    <w:rsid w:val="00476F37"/>
    <w:rsid w:val="00477AC3"/>
    <w:rsid w:val="00480475"/>
    <w:rsid w:val="004804C3"/>
    <w:rsid w:val="00480626"/>
    <w:rsid w:val="004807C8"/>
    <w:rsid w:val="00480A63"/>
    <w:rsid w:val="00482F89"/>
    <w:rsid w:val="00483381"/>
    <w:rsid w:val="00483978"/>
    <w:rsid w:val="004850F3"/>
    <w:rsid w:val="004858D7"/>
    <w:rsid w:val="00486078"/>
    <w:rsid w:val="00491430"/>
    <w:rsid w:val="00491528"/>
    <w:rsid w:val="0049187E"/>
    <w:rsid w:val="0049196B"/>
    <w:rsid w:val="00491E9D"/>
    <w:rsid w:val="004928A8"/>
    <w:rsid w:val="00492E1C"/>
    <w:rsid w:val="0049308F"/>
    <w:rsid w:val="00493432"/>
    <w:rsid w:val="004943B4"/>
    <w:rsid w:val="004947C8"/>
    <w:rsid w:val="0049606E"/>
    <w:rsid w:val="004965FB"/>
    <w:rsid w:val="00497F4A"/>
    <w:rsid w:val="004A0516"/>
    <w:rsid w:val="004A054F"/>
    <w:rsid w:val="004A07BE"/>
    <w:rsid w:val="004A19D6"/>
    <w:rsid w:val="004A2488"/>
    <w:rsid w:val="004A2EDC"/>
    <w:rsid w:val="004A433F"/>
    <w:rsid w:val="004A4D86"/>
    <w:rsid w:val="004A6425"/>
    <w:rsid w:val="004A654C"/>
    <w:rsid w:val="004A65C6"/>
    <w:rsid w:val="004A717B"/>
    <w:rsid w:val="004A7786"/>
    <w:rsid w:val="004A77F1"/>
    <w:rsid w:val="004A7AF5"/>
    <w:rsid w:val="004A7B17"/>
    <w:rsid w:val="004A7E01"/>
    <w:rsid w:val="004B0077"/>
    <w:rsid w:val="004B02A1"/>
    <w:rsid w:val="004B0963"/>
    <w:rsid w:val="004B0A9B"/>
    <w:rsid w:val="004B1A70"/>
    <w:rsid w:val="004B1D5A"/>
    <w:rsid w:val="004B262A"/>
    <w:rsid w:val="004B27B3"/>
    <w:rsid w:val="004B36F1"/>
    <w:rsid w:val="004B4216"/>
    <w:rsid w:val="004B46E2"/>
    <w:rsid w:val="004B4FA4"/>
    <w:rsid w:val="004B5207"/>
    <w:rsid w:val="004B59B3"/>
    <w:rsid w:val="004B6A51"/>
    <w:rsid w:val="004B6F46"/>
    <w:rsid w:val="004B75FA"/>
    <w:rsid w:val="004C0013"/>
    <w:rsid w:val="004C04E3"/>
    <w:rsid w:val="004C0860"/>
    <w:rsid w:val="004C0E9E"/>
    <w:rsid w:val="004C1118"/>
    <w:rsid w:val="004C2EDA"/>
    <w:rsid w:val="004C424C"/>
    <w:rsid w:val="004C46E7"/>
    <w:rsid w:val="004C5D10"/>
    <w:rsid w:val="004C5E58"/>
    <w:rsid w:val="004C65B9"/>
    <w:rsid w:val="004C686F"/>
    <w:rsid w:val="004C73D6"/>
    <w:rsid w:val="004C7B5F"/>
    <w:rsid w:val="004D0763"/>
    <w:rsid w:val="004D118B"/>
    <w:rsid w:val="004D1A17"/>
    <w:rsid w:val="004D1D7C"/>
    <w:rsid w:val="004D2890"/>
    <w:rsid w:val="004D2B10"/>
    <w:rsid w:val="004D35B1"/>
    <w:rsid w:val="004D4740"/>
    <w:rsid w:val="004D4765"/>
    <w:rsid w:val="004D4C84"/>
    <w:rsid w:val="004D7365"/>
    <w:rsid w:val="004D7FE9"/>
    <w:rsid w:val="004E0819"/>
    <w:rsid w:val="004E0A12"/>
    <w:rsid w:val="004E0FA3"/>
    <w:rsid w:val="004E2152"/>
    <w:rsid w:val="004E266F"/>
    <w:rsid w:val="004E29AB"/>
    <w:rsid w:val="004E2C33"/>
    <w:rsid w:val="004E3FB6"/>
    <w:rsid w:val="004E43D0"/>
    <w:rsid w:val="004E4926"/>
    <w:rsid w:val="004E49CC"/>
    <w:rsid w:val="004E4C16"/>
    <w:rsid w:val="004E5F1C"/>
    <w:rsid w:val="004E60D4"/>
    <w:rsid w:val="004E65C1"/>
    <w:rsid w:val="004E71FB"/>
    <w:rsid w:val="004E752B"/>
    <w:rsid w:val="004F0424"/>
    <w:rsid w:val="004F0713"/>
    <w:rsid w:val="004F14BC"/>
    <w:rsid w:val="004F174F"/>
    <w:rsid w:val="004F1771"/>
    <w:rsid w:val="004F2910"/>
    <w:rsid w:val="004F3243"/>
    <w:rsid w:val="004F43CA"/>
    <w:rsid w:val="004F4A90"/>
    <w:rsid w:val="004F501C"/>
    <w:rsid w:val="004F5052"/>
    <w:rsid w:val="004F5D8E"/>
    <w:rsid w:val="004F5E1D"/>
    <w:rsid w:val="004F6220"/>
    <w:rsid w:val="004F746D"/>
    <w:rsid w:val="004F7B53"/>
    <w:rsid w:val="0050060C"/>
    <w:rsid w:val="0050072C"/>
    <w:rsid w:val="00500944"/>
    <w:rsid w:val="00501440"/>
    <w:rsid w:val="00502030"/>
    <w:rsid w:val="0050231D"/>
    <w:rsid w:val="00502D60"/>
    <w:rsid w:val="0050320F"/>
    <w:rsid w:val="005034B5"/>
    <w:rsid w:val="0050422A"/>
    <w:rsid w:val="005042BE"/>
    <w:rsid w:val="00504B29"/>
    <w:rsid w:val="0050553A"/>
    <w:rsid w:val="00507153"/>
    <w:rsid w:val="00507A60"/>
    <w:rsid w:val="00510749"/>
    <w:rsid w:val="00510D8A"/>
    <w:rsid w:val="005128F8"/>
    <w:rsid w:val="0051329F"/>
    <w:rsid w:val="005137D9"/>
    <w:rsid w:val="0051596B"/>
    <w:rsid w:val="00516887"/>
    <w:rsid w:val="00516A5B"/>
    <w:rsid w:val="005170C5"/>
    <w:rsid w:val="00517BD5"/>
    <w:rsid w:val="00521D84"/>
    <w:rsid w:val="005221A2"/>
    <w:rsid w:val="005223F7"/>
    <w:rsid w:val="00523D86"/>
    <w:rsid w:val="005251B5"/>
    <w:rsid w:val="005316D1"/>
    <w:rsid w:val="005326B7"/>
    <w:rsid w:val="00532E4E"/>
    <w:rsid w:val="00533785"/>
    <w:rsid w:val="00533CD2"/>
    <w:rsid w:val="005342C1"/>
    <w:rsid w:val="005349B4"/>
    <w:rsid w:val="00535D8D"/>
    <w:rsid w:val="005367DD"/>
    <w:rsid w:val="0054044D"/>
    <w:rsid w:val="00542011"/>
    <w:rsid w:val="005420B3"/>
    <w:rsid w:val="00542178"/>
    <w:rsid w:val="0054307C"/>
    <w:rsid w:val="005438FC"/>
    <w:rsid w:val="005458B4"/>
    <w:rsid w:val="00545A60"/>
    <w:rsid w:val="00546E06"/>
    <w:rsid w:val="005474C2"/>
    <w:rsid w:val="005479C1"/>
    <w:rsid w:val="005525B7"/>
    <w:rsid w:val="00552743"/>
    <w:rsid w:val="00552B0B"/>
    <w:rsid w:val="00552CD3"/>
    <w:rsid w:val="005534AE"/>
    <w:rsid w:val="00554332"/>
    <w:rsid w:val="00554408"/>
    <w:rsid w:val="00554C7B"/>
    <w:rsid w:val="00555744"/>
    <w:rsid w:val="00555B83"/>
    <w:rsid w:val="005566DA"/>
    <w:rsid w:val="00557065"/>
    <w:rsid w:val="00557A05"/>
    <w:rsid w:val="0056095F"/>
    <w:rsid w:val="00560E75"/>
    <w:rsid w:val="00561798"/>
    <w:rsid w:val="0056264D"/>
    <w:rsid w:val="00562713"/>
    <w:rsid w:val="00562C7A"/>
    <w:rsid w:val="00563329"/>
    <w:rsid w:val="00563629"/>
    <w:rsid w:val="00563C5D"/>
    <w:rsid w:val="00563DCF"/>
    <w:rsid w:val="005641CA"/>
    <w:rsid w:val="005654FD"/>
    <w:rsid w:val="00565770"/>
    <w:rsid w:val="00565A0C"/>
    <w:rsid w:val="00565CE8"/>
    <w:rsid w:val="005661BF"/>
    <w:rsid w:val="00566A28"/>
    <w:rsid w:val="00566FF1"/>
    <w:rsid w:val="0056760E"/>
    <w:rsid w:val="00567822"/>
    <w:rsid w:val="00567D3B"/>
    <w:rsid w:val="00570527"/>
    <w:rsid w:val="005717E2"/>
    <w:rsid w:val="00571EDF"/>
    <w:rsid w:val="00573B35"/>
    <w:rsid w:val="00573BAF"/>
    <w:rsid w:val="005744F4"/>
    <w:rsid w:val="0057494C"/>
    <w:rsid w:val="005759CC"/>
    <w:rsid w:val="0058401D"/>
    <w:rsid w:val="005870ED"/>
    <w:rsid w:val="0058725D"/>
    <w:rsid w:val="005872D2"/>
    <w:rsid w:val="00587D3C"/>
    <w:rsid w:val="0059087F"/>
    <w:rsid w:val="00590A6A"/>
    <w:rsid w:val="00590AB9"/>
    <w:rsid w:val="00591932"/>
    <w:rsid w:val="00592156"/>
    <w:rsid w:val="0059250C"/>
    <w:rsid w:val="0059275C"/>
    <w:rsid w:val="00592C9F"/>
    <w:rsid w:val="005937DF"/>
    <w:rsid w:val="00594B37"/>
    <w:rsid w:val="00595057"/>
    <w:rsid w:val="00596B61"/>
    <w:rsid w:val="00596CBE"/>
    <w:rsid w:val="0059738F"/>
    <w:rsid w:val="00597D51"/>
    <w:rsid w:val="005A0367"/>
    <w:rsid w:val="005A17FD"/>
    <w:rsid w:val="005A1CBA"/>
    <w:rsid w:val="005A23CF"/>
    <w:rsid w:val="005A24A0"/>
    <w:rsid w:val="005A4333"/>
    <w:rsid w:val="005A4B43"/>
    <w:rsid w:val="005A50EE"/>
    <w:rsid w:val="005A5466"/>
    <w:rsid w:val="005A6260"/>
    <w:rsid w:val="005A6BA9"/>
    <w:rsid w:val="005A6E83"/>
    <w:rsid w:val="005A7053"/>
    <w:rsid w:val="005B08B4"/>
    <w:rsid w:val="005B0DC0"/>
    <w:rsid w:val="005B10DD"/>
    <w:rsid w:val="005B1332"/>
    <w:rsid w:val="005B133B"/>
    <w:rsid w:val="005B18D0"/>
    <w:rsid w:val="005B1CAE"/>
    <w:rsid w:val="005B21D7"/>
    <w:rsid w:val="005B234A"/>
    <w:rsid w:val="005B378E"/>
    <w:rsid w:val="005B3BCC"/>
    <w:rsid w:val="005B4099"/>
    <w:rsid w:val="005B4BA9"/>
    <w:rsid w:val="005B50CE"/>
    <w:rsid w:val="005B63E1"/>
    <w:rsid w:val="005B6A05"/>
    <w:rsid w:val="005B72B4"/>
    <w:rsid w:val="005B7CEA"/>
    <w:rsid w:val="005B7F39"/>
    <w:rsid w:val="005C08B4"/>
    <w:rsid w:val="005C0C42"/>
    <w:rsid w:val="005C2DB1"/>
    <w:rsid w:val="005C2EE8"/>
    <w:rsid w:val="005C3C14"/>
    <w:rsid w:val="005C4F4E"/>
    <w:rsid w:val="005C550D"/>
    <w:rsid w:val="005C5D71"/>
    <w:rsid w:val="005C607F"/>
    <w:rsid w:val="005C6536"/>
    <w:rsid w:val="005D00BC"/>
    <w:rsid w:val="005D00F2"/>
    <w:rsid w:val="005D050D"/>
    <w:rsid w:val="005D26E5"/>
    <w:rsid w:val="005D54CB"/>
    <w:rsid w:val="005D553E"/>
    <w:rsid w:val="005D6257"/>
    <w:rsid w:val="005D6471"/>
    <w:rsid w:val="005D6D7E"/>
    <w:rsid w:val="005D7107"/>
    <w:rsid w:val="005E0020"/>
    <w:rsid w:val="005E0E4A"/>
    <w:rsid w:val="005E2B4E"/>
    <w:rsid w:val="005E35AD"/>
    <w:rsid w:val="005E35D3"/>
    <w:rsid w:val="005E38BB"/>
    <w:rsid w:val="005E39D2"/>
    <w:rsid w:val="005E54AD"/>
    <w:rsid w:val="005E5D64"/>
    <w:rsid w:val="005E6353"/>
    <w:rsid w:val="005E6428"/>
    <w:rsid w:val="005F031E"/>
    <w:rsid w:val="005F1F4E"/>
    <w:rsid w:val="005F285C"/>
    <w:rsid w:val="005F2909"/>
    <w:rsid w:val="005F3280"/>
    <w:rsid w:val="005F3A30"/>
    <w:rsid w:val="005F46FA"/>
    <w:rsid w:val="005F4A6B"/>
    <w:rsid w:val="005F4B6C"/>
    <w:rsid w:val="005F4CD3"/>
    <w:rsid w:val="005F6C84"/>
    <w:rsid w:val="005F7CFC"/>
    <w:rsid w:val="0060032B"/>
    <w:rsid w:val="006003D4"/>
    <w:rsid w:val="00601599"/>
    <w:rsid w:val="006017A1"/>
    <w:rsid w:val="0060377C"/>
    <w:rsid w:val="00604661"/>
    <w:rsid w:val="00604BB8"/>
    <w:rsid w:val="006058CB"/>
    <w:rsid w:val="00605EE9"/>
    <w:rsid w:val="00606A9C"/>
    <w:rsid w:val="0061042A"/>
    <w:rsid w:val="006113E9"/>
    <w:rsid w:val="00611762"/>
    <w:rsid w:val="00612C3A"/>
    <w:rsid w:val="00613837"/>
    <w:rsid w:val="00614064"/>
    <w:rsid w:val="006146FF"/>
    <w:rsid w:val="00614996"/>
    <w:rsid w:val="00615B07"/>
    <w:rsid w:val="00615C7A"/>
    <w:rsid w:val="00616602"/>
    <w:rsid w:val="00616A55"/>
    <w:rsid w:val="0062010E"/>
    <w:rsid w:val="00621658"/>
    <w:rsid w:val="006223E7"/>
    <w:rsid w:val="00623DA4"/>
    <w:rsid w:val="006241AA"/>
    <w:rsid w:val="00624D90"/>
    <w:rsid w:val="00624FB5"/>
    <w:rsid w:val="0062652E"/>
    <w:rsid w:val="00626D9C"/>
    <w:rsid w:val="006304CD"/>
    <w:rsid w:val="00631E38"/>
    <w:rsid w:val="00632793"/>
    <w:rsid w:val="0063294A"/>
    <w:rsid w:val="00632ACD"/>
    <w:rsid w:val="00632DBD"/>
    <w:rsid w:val="00632FA6"/>
    <w:rsid w:val="00632FFB"/>
    <w:rsid w:val="0063309E"/>
    <w:rsid w:val="00634651"/>
    <w:rsid w:val="00634AF2"/>
    <w:rsid w:val="00634C68"/>
    <w:rsid w:val="00635D1F"/>
    <w:rsid w:val="00636246"/>
    <w:rsid w:val="00641185"/>
    <w:rsid w:val="006421A0"/>
    <w:rsid w:val="00642CF5"/>
    <w:rsid w:val="006447A9"/>
    <w:rsid w:val="006466F1"/>
    <w:rsid w:val="00646ABD"/>
    <w:rsid w:val="006471A0"/>
    <w:rsid w:val="00651BBB"/>
    <w:rsid w:val="006520D2"/>
    <w:rsid w:val="00653675"/>
    <w:rsid w:val="00653FCB"/>
    <w:rsid w:val="00655A11"/>
    <w:rsid w:val="006563D2"/>
    <w:rsid w:val="006564D5"/>
    <w:rsid w:val="00657D7C"/>
    <w:rsid w:val="00660553"/>
    <w:rsid w:val="00660993"/>
    <w:rsid w:val="00661405"/>
    <w:rsid w:val="006618B7"/>
    <w:rsid w:val="00661F7E"/>
    <w:rsid w:val="00663183"/>
    <w:rsid w:val="00663321"/>
    <w:rsid w:val="006633FA"/>
    <w:rsid w:val="00663A3E"/>
    <w:rsid w:val="006674AF"/>
    <w:rsid w:val="006678FC"/>
    <w:rsid w:val="0066797E"/>
    <w:rsid w:val="00667AC9"/>
    <w:rsid w:val="00670767"/>
    <w:rsid w:val="0067077F"/>
    <w:rsid w:val="006708DB"/>
    <w:rsid w:val="00670D7E"/>
    <w:rsid w:val="00671908"/>
    <w:rsid w:val="006731C7"/>
    <w:rsid w:val="00674C00"/>
    <w:rsid w:val="0067510E"/>
    <w:rsid w:val="006753DC"/>
    <w:rsid w:val="00675969"/>
    <w:rsid w:val="00676109"/>
    <w:rsid w:val="0067652A"/>
    <w:rsid w:val="00680003"/>
    <w:rsid w:val="00680416"/>
    <w:rsid w:val="0068051B"/>
    <w:rsid w:val="00680AA8"/>
    <w:rsid w:val="00681EDD"/>
    <w:rsid w:val="00682B04"/>
    <w:rsid w:val="006839D9"/>
    <w:rsid w:val="00684525"/>
    <w:rsid w:val="00685BDD"/>
    <w:rsid w:val="006869CE"/>
    <w:rsid w:val="00686DA5"/>
    <w:rsid w:val="00686E25"/>
    <w:rsid w:val="006876AB"/>
    <w:rsid w:val="00690A46"/>
    <w:rsid w:val="00691D7D"/>
    <w:rsid w:val="00691E1A"/>
    <w:rsid w:val="00691E63"/>
    <w:rsid w:val="0069212A"/>
    <w:rsid w:val="00692CD8"/>
    <w:rsid w:val="00692DDE"/>
    <w:rsid w:val="00693333"/>
    <w:rsid w:val="0069334B"/>
    <w:rsid w:val="00694059"/>
    <w:rsid w:val="00695975"/>
    <w:rsid w:val="006967AE"/>
    <w:rsid w:val="00696F22"/>
    <w:rsid w:val="00697206"/>
    <w:rsid w:val="006A004E"/>
    <w:rsid w:val="006A1078"/>
    <w:rsid w:val="006A2AF6"/>
    <w:rsid w:val="006A2BA4"/>
    <w:rsid w:val="006A2C25"/>
    <w:rsid w:val="006A32EF"/>
    <w:rsid w:val="006A3D59"/>
    <w:rsid w:val="006A401D"/>
    <w:rsid w:val="006A56BD"/>
    <w:rsid w:val="006A5B50"/>
    <w:rsid w:val="006B05DF"/>
    <w:rsid w:val="006B0E34"/>
    <w:rsid w:val="006B12F5"/>
    <w:rsid w:val="006B23ED"/>
    <w:rsid w:val="006B3E51"/>
    <w:rsid w:val="006B40C8"/>
    <w:rsid w:val="006B43F3"/>
    <w:rsid w:val="006B73B1"/>
    <w:rsid w:val="006C0231"/>
    <w:rsid w:val="006C2112"/>
    <w:rsid w:val="006C2955"/>
    <w:rsid w:val="006C2A1A"/>
    <w:rsid w:val="006C35E1"/>
    <w:rsid w:val="006C38B9"/>
    <w:rsid w:val="006C4044"/>
    <w:rsid w:val="006C52FE"/>
    <w:rsid w:val="006C53A2"/>
    <w:rsid w:val="006C57FB"/>
    <w:rsid w:val="006C6CAC"/>
    <w:rsid w:val="006C7E92"/>
    <w:rsid w:val="006D0898"/>
    <w:rsid w:val="006D19F0"/>
    <w:rsid w:val="006D1B8F"/>
    <w:rsid w:val="006D1FAC"/>
    <w:rsid w:val="006D2535"/>
    <w:rsid w:val="006D27D7"/>
    <w:rsid w:val="006D30AD"/>
    <w:rsid w:val="006D354B"/>
    <w:rsid w:val="006D4FEF"/>
    <w:rsid w:val="006D5EDA"/>
    <w:rsid w:val="006D60EF"/>
    <w:rsid w:val="006D7C6F"/>
    <w:rsid w:val="006E02A4"/>
    <w:rsid w:val="006E145E"/>
    <w:rsid w:val="006E203A"/>
    <w:rsid w:val="006E2188"/>
    <w:rsid w:val="006E255E"/>
    <w:rsid w:val="006E2F57"/>
    <w:rsid w:val="006E4BC1"/>
    <w:rsid w:val="006E5045"/>
    <w:rsid w:val="006E5A6E"/>
    <w:rsid w:val="006E6203"/>
    <w:rsid w:val="006E645C"/>
    <w:rsid w:val="006F15E8"/>
    <w:rsid w:val="006F21DD"/>
    <w:rsid w:val="006F242E"/>
    <w:rsid w:val="006F25FC"/>
    <w:rsid w:val="006F35C0"/>
    <w:rsid w:val="006F4834"/>
    <w:rsid w:val="006F524F"/>
    <w:rsid w:val="006F5FD6"/>
    <w:rsid w:val="006F6546"/>
    <w:rsid w:val="006F77E8"/>
    <w:rsid w:val="006F7887"/>
    <w:rsid w:val="006F7B86"/>
    <w:rsid w:val="006F7F08"/>
    <w:rsid w:val="007005C9"/>
    <w:rsid w:val="00700B83"/>
    <w:rsid w:val="007015CE"/>
    <w:rsid w:val="00702CF5"/>
    <w:rsid w:val="0070425F"/>
    <w:rsid w:val="00704AE7"/>
    <w:rsid w:val="00705E83"/>
    <w:rsid w:val="007062AC"/>
    <w:rsid w:val="00706510"/>
    <w:rsid w:val="00706A82"/>
    <w:rsid w:val="00706F14"/>
    <w:rsid w:val="007074A7"/>
    <w:rsid w:val="007074B9"/>
    <w:rsid w:val="00710908"/>
    <w:rsid w:val="0071359E"/>
    <w:rsid w:val="00713E46"/>
    <w:rsid w:val="00714CA9"/>
    <w:rsid w:val="00714DF5"/>
    <w:rsid w:val="00715A3A"/>
    <w:rsid w:val="0071635B"/>
    <w:rsid w:val="00716F01"/>
    <w:rsid w:val="0071700F"/>
    <w:rsid w:val="0071791D"/>
    <w:rsid w:val="00721B96"/>
    <w:rsid w:val="0072311D"/>
    <w:rsid w:val="007233B5"/>
    <w:rsid w:val="00724266"/>
    <w:rsid w:val="00724F0C"/>
    <w:rsid w:val="00726E8D"/>
    <w:rsid w:val="0072795A"/>
    <w:rsid w:val="00727A40"/>
    <w:rsid w:val="00727C06"/>
    <w:rsid w:val="0073016E"/>
    <w:rsid w:val="00730881"/>
    <w:rsid w:val="007310D0"/>
    <w:rsid w:val="00731E2D"/>
    <w:rsid w:val="00731FB8"/>
    <w:rsid w:val="007322D9"/>
    <w:rsid w:val="00732997"/>
    <w:rsid w:val="00732A13"/>
    <w:rsid w:val="00732F5E"/>
    <w:rsid w:val="0073458C"/>
    <w:rsid w:val="00734905"/>
    <w:rsid w:val="007350DE"/>
    <w:rsid w:val="0073566B"/>
    <w:rsid w:val="00735748"/>
    <w:rsid w:val="00735B7A"/>
    <w:rsid w:val="00735E75"/>
    <w:rsid w:val="00736344"/>
    <w:rsid w:val="00736797"/>
    <w:rsid w:val="007369A8"/>
    <w:rsid w:val="00737C7E"/>
    <w:rsid w:val="00737D2B"/>
    <w:rsid w:val="0074056F"/>
    <w:rsid w:val="00740739"/>
    <w:rsid w:val="00740CC6"/>
    <w:rsid w:val="007454B3"/>
    <w:rsid w:val="00746DED"/>
    <w:rsid w:val="007473E9"/>
    <w:rsid w:val="0074745E"/>
    <w:rsid w:val="00747D4F"/>
    <w:rsid w:val="00747F1D"/>
    <w:rsid w:val="007504D3"/>
    <w:rsid w:val="0075056E"/>
    <w:rsid w:val="007510A7"/>
    <w:rsid w:val="00751466"/>
    <w:rsid w:val="00751D9D"/>
    <w:rsid w:val="007520DC"/>
    <w:rsid w:val="007529CF"/>
    <w:rsid w:val="00752F7F"/>
    <w:rsid w:val="0075312F"/>
    <w:rsid w:val="00753ACD"/>
    <w:rsid w:val="007540B8"/>
    <w:rsid w:val="0075434F"/>
    <w:rsid w:val="007545B8"/>
    <w:rsid w:val="007550E0"/>
    <w:rsid w:val="007553D9"/>
    <w:rsid w:val="0075589F"/>
    <w:rsid w:val="00755C8B"/>
    <w:rsid w:val="00757CF6"/>
    <w:rsid w:val="00760138"/>
    <w:rsid w:val="00760881"/>
    <w:rsid w:val="0076093A"/>
    <w:rsid w:val="00762481"/>
    <w:rsid w:val="00763574"/>
    <w:rsid w:val="007647D8"/>
    <w:rsid w:val="00764DCC"/>
    <w:rsid w:val="007650EF"/>
    <w:rsid w:val="0076583F"/>
    <w:rsid w:val="00766397"/>
    <w:rsid w:val="007670E8"/>
    <w:rsid w:val="00767B0B"/>
    <w:rsid w:val="00767D39"/>
    <w:rsid w:val="00772074"/>
    <w:rsid w:val="0077238E"/>
    <w:rsid w:val="0077285A"/>
    <w:rsid w:val="00772FF2"/>
    <w:rsid w:val="007733DB"/>
    <w:rsid w:val="00774717"/>
    <w:rsid w:val="00774ED1"/>
    <w:rsid w:val="007758BE"/>
    <w:rsid w:val="007762E2"/>
    <w:rsid w:val="0077708F"/>
    <w:rsid w:val="00777158"/>
    <w:rsid w:val="00777518"/>
    <w:rsid w:val="00780517"/>
    <w:rsid w:val="00780562"/>
    <w:rsid w:val="007814F5"/>
    <w:rsid w:val="007817A6"/>
    <w:rsid w:val="0078267E"/>
    <w:rsid w:val="00782CAA"/>
    <w:rsid w:val="007830C0"/>
    <w:rsid w:val="00783717"/>
    <w:rsid w:val="00783860"/>
    <w:rsid w:val="0078468F"/>
    <w:rsid w:val="007846A2"/>
    <w:rsid w:val="00785015"/>
    <w:rsid w:val="007858FA"/>
    <w:rsid w:val="00785F18"/>
    <w:rsid w:val="007860DE"/>
    <w:rsid w:val="00787D92"/>
    <w:rsid w:val="00790142"/>
    <w:rsid w:val="0079090D"/>
    <w:rsid w:val="00790978"/>
    <w:rsid w:val="00791650"/>
    <w:rsid w:val="007920DA"/>
    <w:rsid w:val="00792ABD"/>
    <w:rsid w:val="007931B2"/>
    <w:rsid w:val="00793528"/>
    <w:rsid w:val="00794627"/>
    <w:rsid w:val="00794AA4"/>
    <w:rsid w:val="0079531A"/>
    <w:rsid w:val="00795797"/>
    <w:rsid w:val="00795E42"/>
    <w:rsid w:val="007962BC"/>
    <w:rsid w:val="00796804"/>
    <w:rsid w:val="00797A60"/>
    <w:rsid w:val="007A0196"/>
    <w:rsid w:val="007A0616"/>
    <w:rsid w:val="007A1796"/>
    <w:rsid w:val="007A1C8B"/>
    <w:rsid w:val="007A21E3"/>
    <w:rsid w:val="007A307E"/>
    <w:rsid w:val="007A3113"/>
    <w:rsid w:val="007A3F69"/>
    <w:rsid w:val="007A4654"/>
    <w:rsid w:val="007A4C97"/>
    <w:rsid w:val="007A5229"/>
    <w:rsid w:val="007A5FD0"/>
    <w:rsid w:val="007A6805"/>
    <w:rsid w:val="007A70AF"/>
    <w:rsid w:val="007A7377"/>
    <w:rsid w:val="007A74C6"/>
    <w:rsid w:val="007A7D0D"/>
    <w:rsid w:val="007A7D4D"/>
    <w:rsid w:val="007B0769"/>
    <w:rsid w:val="007B0A4A"/>
    <w:rsid w:val="007B1944"/>
    <w:rsid w:val="007B1BC3"/>
    <w:rsid w:val="007B353D"/>
    <w:rsid w:val="007B48EF"/>
    <w:rsid w:val="007B6B0F"/>
    <w:rsid w:val="007C0244"/>
    <w:rsid w:val="007C06DB"/>
    <w:rsid w:val="007C105E"/>
    <w:rsid w:val="007C2493"/>
    <w:rsid w:val="007C2A56"/>
    <w:rsid w:val="007C3458"/>
    <w:rsid w:val="007C3D29"/>
    <w:rsid w:val="007C4500"/>
    <w:rsid w:val="007C46CE"/>
    <w:rsid w:val="007C50BE"/>
    <w:rsid w:val="007C5577"/>
    <w:rsid w:val="007C589A"/>
    <w:rsid w:val="007C6444"/>
    <w:rsid w:val="007C7154"/>
    <w:rsid w:val="007C7BE4"/>
    <w:rsid w:val="007D00E5"/>
    <w:rsid w:val="007D041A"/>
    <w:rsid w:val="007D08EE"/>
    <w:rsid w:val="007D10B2"/>
    <w:rsid w:val="007D1376"/>
    <w:rsid w:val="007D1B98"/>
    <w:rsid w:val="007D2E57"/>
    <w:rsid w:val="007D3543"/>
    <w:rsid w:val="007D4386"/>
    <w:rsid w:val="007D467F"/>
    <w:rsid w:val="007D476A"/>
    <w:rsid w:val="007D4DB0"/>
    <w:rsid w:val="007D4EFA"/>
    <w:rsid w:val="007D5301"/>
    <w:rsid w:val="007D548E"/>
    <w:rsid w:val="007D5931"/>
    <w:rsid w:val="007D698C"/>
    <w:rsid w:val="007E2014"/>
    <w:rsid w:val="007E45D4"/>
    <w:rsid w:val="007E5095"/>
    <w:rsid w:val="007E6C9A"/>
    <w:rsid w:val="007F04D0"/>
    <w:rsid w:val="007F0FCE"/>
    <w:rsid w:val="007F10A5"/>
    <w:rsid w:val="007F1C4D"/>
    <w:rsid w:val="007F22D3"/>
    <w:rsid w:val="007F231F"/>
    <w:rsid w:val="007F24B5"/>
    <w:rsid w:val="007F34A3"/>
    <w:rsid w:val="007F4B1A"/>
    <w:rsid w:val="007F4CAE"/>
    <w:rsid w:val="007F4DE2"/>
    <w:rsid w:val="007F4F1D"/>
    <w:rsid w:val="007F641B"/>
    <w:rsid w:val="008002E1"/>
    <w:rsid w:val="008007BC"/>
    <w:rsid w:val="00800C7F"/>
    <w:rsid w:val="0080165C"/>
    <w:rsid w:val="00802749"/>
    <w:rsid w:val="0080364A"/>
    <w:rsid w:val="00803A5C"/>
    <w:rsid w:val="0080423B"/>
    <w:rsid w:val="00804390"/>
    <w:rsid w:val="00806350"/>
    <w:rsid w:val="0081153E"/>
    <w:rsid w:val="0081224D"/>
    <w:rsid w:val="00813EB9"/>
    <w:rsid w:val="00813ED6"/>
    <w:rsid w:val="00814EA1"/>
    <w:rsid w:val="00814EF3"/>
    <w:rsid w:val="008159AD"/>
    <w:rsid w:val="00816D9E"/>
    <w:rsid w:val="0082006B"/>
    <w:rsid w:val="00820186"/>
    <w:rsid w:val="008209C7"/>
    <w:rsid w:val="008209D6"/>
    <w:rsid w:val="00821041"/>
    <w:rsid w:val="0082189A"/>
    <w:rsid w:val="00821DE5"/>
    <w:rsid w:val="00822433"/>
    <w:rsid w:val="008227C7"/>
    <w:rsid w:val="00823250"/>
    <w:rsid w:val="00825B85"/>
    <w:rsid w:val="00825DF9"/>
    <w:rsid w:val="00826847"/>
    <w:rsid w:val="00826883"/>
    <w:rsid w:val="00826A6D"/>
    <w:rsid w:val="0082789A"/>
    <w:rsid w:val="00827D97"/>
    <w:rsid w:val="008302D6"/>
    <w:rsid w:val="008303C6"/>
    <w:rsid w:val="008313B0"/>
    <w:rsid w:val="00831522"/>
    <w:rsid w:val="00831A23"/>
    <w:rsid w:val="00831C51"/>
    <w:rsid w:val="00832113"/>
    <w:rsid w:val="00832147"/>
    <w:rsid w:val="0083372B"/>
    <w:rsid w:val="00836DF3"/>
    <w:rsid w:val="0083744B"/>
    <w:rsid w:val="00837B69"/>
    <w:rsid w:val="008405E6"/>
    <w:rsid w:val="008409E5"/>
    <w:rsid w:val="0084167B"/>
    <w:rsid w:val="00841EBA"/>
    <w:rsid w:val="0084244D"/>
    <w:rsid w:val="0084250E"/>
    <w:rsid w:val="00842BE7"/>
    <w:rsid w:val="00842E14"/>
    <w:rsid w:val="0084352D"/>
    <w:rsid w:val="0084364B"/>
    <w:rsid w:val="0084375D"/>
    <w:rsid w:val="00844502"/>
    <w:rsid w:val="0084496D"/>
    <w:rsid w:val="00844FD4"/>
    <w:rsid w:val="0084549B"/>
    <w:rsid w:val="0084615D"/>
    <w:rsid w:val="00846433"/>
    <w:rsid w:val="008466ED"/>
    <w:rsid w:val="008468DE"/>
    <w:rsid w:val="00846ADB"/>
    <w:rsid w:val="00847433"/>
    <w:rsid w:val="00847A2E"/>
    <w:rsid w:val="00850339"/>
    <w:rsid w:val="008505F9"/>
    <w:rsid w:val="00850691"/>
    <w:rsid w:val="00851895"/>
    <w:rsid w:val="0085209D"/>
    <w:rsid w:val="00852717"/>
    <w:rsid w:val="008532C0"/>
    <w:rsid w:val="00854443"/>
    <w:rsid w:val="008549F9"/>
    <w:rsid w:val="00854A79"/>
    <w:rsid w:val="00854E25"/>
    <w:rsid w:val="008559AA"/>
    <w:rsid w:val="00856627"/>
    <w:rsid w:val="00856EAF"/>
    <w:rsid w:val="00856EBB"/>
    <w:rsid w:val="00856EF9"/>
    <w:rsid w:val="008575EC"/>
    <w:rsid w:val="00857AB0"/>
    <w:rsid w:val="008606AC"/>
    <w:rsid w:val="00860E66"/>
    <w:rsid w:val="0086134F"/>
    <w:rsid w:val="00861620"/>
    <w:rsid w:val="008627DC"/>
    <w:rsid w:val="0086418F"/>
    <w:rsid w:val="00865F5A"/>
    <w:rsid w:val="00867264"/>
    <w:rsid w:val="008678A7"/>
    <w:rsid w:val="00867A85"/>
    <w:rsid w:val="00871C63"/>
    <w:rsid w:val="008738E8"/>
    <w:rsid w:val="00875989"/>
    <w:rsid w:val="008759DA"/>
    <w:rsid w:val="00876D52"/>
    <w:rsid w:val="00877BEA"/>
    <w:rsid w:val="008811B3"/>
    <w:rsid w:val="00881782"/>
    <w:rsid w:val="00881A18"/>
    <w:rsid w:val="00882908"/>
    <w:rsid w:val="00882AD7"/>
    <w:rsid w:val="0088379A"/>
    <w:rsid w:val="00883C11"/>
    <w:rsid w:val="0088423A"/>
    <w:rsid w:val="00884735"/>
    <w:rsid w:val="0088582A"/>
    <w:rsid w:val="0088614D"/>
    <w:rsid w:val="00887375"/>
    <w:rsid w:val="00887A2F"/>
    <w:rsid w:val="00891B08"/>
    <w:rsid w:val="0089287F"/>
    <w:rsid w:val="00893397"/>
    <w:rsid w:val="00895550"/>
    <w:rsid w:val="008968BC"/>
    <w:rsid w:val="00897298"/>
    <w:rsid w:val="008A0DCD"/>
    <w:rsid w:val="008A12E4"/>
    <w:rsid w:val="008A1864"/>
    <w:rsid w:val="008A2211"/>
    <w:rsid w:val="008A2B97"/>
    <w:rsid w:val="008A2E62"/>
    <w:rsid w:val="008A2E66"/>
    <w:rsid w:val="008A3134"/>
    <w:rsid w:val="008A4607"/>
    <w:rsid w:val="008A4784"/>
    <w:rsid w:val="008A5044"/>
    <w:rsid w:val="008A52A3"/>
    <w:rsid w:val="008A645C"/>
    <w:rsid w:val="008A6E91"/>
    <w:rsid w:val="008A6E92"/>
    <w:rsid w:val="008A7955"/>
    <w:rsid w:val="008B000C"/>
    <w:rsid w:val="008B126C"/>
    <w:rsid w:val="008B1897"/>
    <w:rsid w:val="008B2926"/>
    <w:rsid w:val="008B2F22"/>
    <w:rsid w:val="008B3AC0"/>
    <w:rsid w:val="008B3B1B"/>
    <w:rsid w:val="008B3B30"/>
    <w:rsid w:val="008B4848"/>
    <w:rsid w:val="008B518C"/>
    <w:rsid w:val="008B5E6D"/>
    <w:rsid w:val="008B6306"/>
    <w:rsid w:val="008B69BB"/>
    <w:rsid w:val="008B6B04"/>
    <w:rsid w:val="008B7B29"/>
    <w:rsid w:val="008C0A34"/>
    <w:rsid w:val="008C0DF4"/>
    <w:rsid w:val="008C1087"/>
    <w:rsid w:val="008C14A9"/>
    <w:rsid w:val="008C20CE"/>
    <w:rsid w:val="008C22BC"/>
    <w:rsid w:val="008C3257"/>
    <w:rsid w:val="008C3382"/>
    <w:rsid w:val="008C3E68"/>
    <w:rsid w:val="008C4A11"/>
    <w:rsid w:val="008C6135"/>
    <w:rsid w:val="008C6BE0"/>
    <w:rsid w:val="008C7012"/>
    <w:rsid w:val="008C74A0"/>
    <w:rsid w:val="008D21DA"/>
    <w:rsid w:val="008D2661"/>
    <w:rsid w:val="008D42D2"/>
    <w:rsid w:val="008D4F8C"/>
    <w:rsid w:val="008D51E7"/>
    <w:rsid w:val="008D55A0"/>
    <w:rsid w:val="008D58C1"/>
    <w:rsid w:val="008D7433"/>
    <w:rsid w:val="008E12E1"/>
    <w:rsid w:val="008E19C4"/>
    <w:rsid w:val="008E2057"/>
    <w:rsid w:val="008E2079"/>
    <w:rsid w:val="008E597F"/>
    <w:rsid w:val="008F078F"/>
    <w:rsid w:val="008F0975"/>
    <w:rsid w:val="008F1805"/>
    <w:rsid w:val="008F253D"/>
    <w:rsid w:val="008F2605"/>
    <w:rsid w:val="008F3C08"/>
    <w:rsid w:val="008F5971"/>
    <w:rsid w:val="008F6AEA"/>
    <w:rsid w:val="008F71F2"/>
    <w:rsid w:val="008F7BE6"/>
    <w:rsid w:val="00900DA5"/>
    <w:rsid w:val="009011CC"/>
    <w:rsid w:val="00902847"/>
    <w:rsid w:val="00904611"/>
    <w:rsid w:val="00904A3A"/>
    <w:rsid w:val="00904A63"/>
    <w:rsid w:val="00905FF7"/>
    <w:rsid w:val="00906166"/>
    <w:rsid w:val="00906410"/>
    <w:rsid w:val="00907E07"/>
    <w:rsid w:val="00910D57"/>
    <w:rsid w:val="0091111A"/>
    <w:rsid w:val="009127F5"/>
    <w:rsid w:val="00913951"/>
    <w:rsid w:val="00913D32"/>
    <w:rsid w:val="009145DD"/>
    <w:rsid w:val="0091487C"/>
    <w:rsid w:val="00915083"/>
    <w:rsid w:val="00917096"/>
    <w:rsid w:val="00917D6C"/>
    <w:rsid w:val="009206F2"/>
    <w:rsid w:val="0092090F"/>
    <w:rsid w:val="00920C5B"/>
    <w:rsid w:val="00921451"/>
    <w:rsid w:val="00921AF9"/>
    <w:rsid w:val="00921BFE"/>
    <w:rsid w:val="00921E92"/>
    <w:rsid w:val="009224CD"/>
    <w:rsid w:val="009226AA"/>
    <w:rsid w:val="00923CE8"/>
    <w:rsid w:val="00924518"/>
    <w:rsid w:val="00924A7A"/>
    <w:rsid w:val="00925168"/>
    <w:rsid w:val="0092614E"/>
    <w:rsid w:val="00926276"/>
    <w:rsid w:val="00926508"/>
    <w:rsid w:val="0093047C"/>
    <w:rsid w:val="009308D3"/>
    <w:rsid w:val="009318FE"/>
    <w:rsid w:val="0093268F"/>
    <w:rsid w:val="00932C55"/>
    <w:rsid w:val="0093341E"/>
    <w:rsid w:val="00934221"/>
    <w:rsid w:val="0093434B"/>
    <w:rsid w:val="00934648"/>
    <w:rsid w:val="00934A91"/>
    <w:rsid w:val="00940A95"/>
    <w:rsid w:val="00940C9C"/>
    <w:rsid w:val="00941239"/>
    <w:rsid w:val="0094159C"/>
    <w:rsid w:val="009418BE"/>
    <w:rsid w:val="00942F23"/>
    <w:rsid w:val="009430B2"/>
    <w:rsid w:val="00944FAE"/>
    <w:rsid w:val="00945937"/>
    <w:rsid w:val="00945BC8"/>
    <w:rsid w:val="009471BA"/>
    <w:rsid w:val="00947F8D"/>
    <w:rsid w:val="00950C9E"/>
    <w:rsid w:val="00951C93"/>
    <w:rsid w:val="0095212C"/>
    <w:rsid w:val="00952FDC"/>
    <w:rsid w:val="0095357F"/>
    <w:rsid w:val="009535CE"/>
    <w:rsid w:val="00953E98"/>
    <w:rsid w:val="00954BCC"/>
    <w:rsid w:val="009551F4"/>
    <w:rsid w:val="00955A9E"/>
    <w:rsid w:val="00956325"/>
    <w:rsid w:val="009565C0"/>
    <w:rsid w:val="00956961"/>
    <w:rsid w:val="00956C25"/>
    <w:rsid w:val="00956F5A"/>
    <w:rsid w:val="0096005C"/>
    <w:rsid w:val="009615B4"/>
    <w:rsid w:val="009639E9"/>
    <w:rsid w:val="00963DA5"/>
    <w:rsid w:val="00964451"/>
    <w:rsid w:val="00965A87"/>
    <w:rsid w:val="00967CBB"/>
    <w:rsid w:val="009717F5"/>
    <w:rsid w:val="0097251A"/>
    <w:rsid w:val="009739BF"/>
    <w:rsid w:val="009740B9"/>
    <w:rsid w:val="0097447C"/>
    <w:rsid w:val="00974F3D"/>
    <w:rsid w:val="00975632"/>
    <w:rsid w:val="00975751"/>
    <w:rsid w:val="00975F66"/>
    <w:rsid w:val="009763A8"/>
    <w:rsid w:val="009769FF"/>
    <w:rsid w:val="00976E71"/>
    <w:rsid w:val="00977F1E"/>
    <w:rsid w:val="00980530"/>
    <w:rsid w:val="00980896"/>
    <w:rsid w:val="00980CDD"/>
    <w:rsid w:val="009810B7"/>
    <w:rsid w:val="00981405"/>
    <w:rsid w:val="00981646"/>
    <w:rsid w:val="0098190C"/>
    <w:rsid w:val="00981BAA"/>
    <w:rsid w:val="009823C0"/>
    <w:rsid w:val="00982BA0"/>
    <w:rsid w:val="0098394F"/>
    <w:rsid w:val="00983DA5"/>
    <w:rsid w:val="00984156"/>
    <w:rsid w:val="0098423F"/>
    <w:rsid w:val="00984AAC"/>
    <w:rsid w:val="00984ABB"/>
    <w:rsid w:val="00986BE7"/>
    <w:rsid w:val="00987184"/>
    <w:rsid w:val="00987B01"/>
    <w:rsid w:val="00990162"/>
    <w:rsid w:val="009933FD"/>
    <w:rsid w:val="009943C6"/>
    <w:rsid w:val="009943F3"/>
    <w:rsid w:val="00994C3C"/>
    <w:rsid w:val="00995BAC"/>
    <w:rsid w:val="00996314"/>
    <w:rsid w:val="00996BD4"/>
    <w:rsid w:val="009A0AC4"/>
    <w:rsid w:val="009A192E"/>
    <w:rsid w:val="009A24E6"/>
    <w:rsid w:val="009A259B"/>
    <w:rsid w:val="009A3735"/>
    <w:rsid w:val="009A3A0A"/>
    <w:rsid w:val="009A3B9A"/>
    <w:rsid w:val="009A3D0B"/>
    <w:rsid w:val="009A7736"/>
    <w:rsid w:val="009B0928"/>
    <w:rsid w:val="009B0FA2"/>
    <w:rsid w:val="009B10BB"/>
    <w:rsid w:val="009B14E4"/>
    <w:rsid w:val="009B1607"/>
    <w:rsid w:val="009B1C9F"/>
    <w:rsid w:val="009B3521"/>
    <w:rsid w:val="009B45AD"/>
    <w:rsid w:val="009B6512"/>
    <w:rsid w:val="009B70EC"/>
    <w:rsid w:val="009B73F6"/>
    <w:rsid w:val="009B7893"/>
    <w:rsid w:val="009C0346"/>
    <w:rsid w:val="009C5664"/>
    <w:rsid w:val="009C665F"/>
    <w:rsid w:val="009C6816"/>
    <w:rsid w:val="009D120E"/>
    <w:rsid w:val="009D2B32"/>
    <w:rsid w:val="009D31B2"/>
    <w:rsid w:val="009D3975"/>
    <w:rsid w:val="009D5234"/>
    <w:rsid w:val="009D61BE"/>
    <w:rsid w:val="009D6A44"/>
    <w:rsid w:val="009D6B67"/>
    <w:rsid w:val="009D7DD1"/>
    <w:rsid w:val="009E00A0"/>
    <w:rsid w:val="009E0513"/>
    <w:rsid w:val="009E0FFF"/>
    <w:rsid w:val="009E26EB"/>
    <w:rsid w:val="009E2A3F"/>
    <w:rsid w:val="009E333B"/>
    <w:rsid w:val="009E421C"/>
    <w:rsid w:val="009E4D07"/>
    <w:rsid w:val="009E4FB2"/>
    <w:rsid w:val="009E51D4"/>
    <w:rsid w:val="009E6CAE"/>
    <w:rsid w:val="009E7968"/>
    <w:rsid w:val="009E7B4B"/>
    <w:rsid w:val="009F11F2"/>
    <w:rsid w:val="009F12B1"/>
    <w:rsid w:val="009F12E2"/>
    <w:rsid w:val="009F1418"/>
    <w:rsid w:val="009F1934"/>
    <w:rsid w:val="009F3747"/>
    <w:rsid w:val="009F4043"/>
    <w:rsid w:val="009F511B"/>
    <w:rsid w:val="009F53C2"/>
    <w:rsid w:val="009F5FC5"/>
    <w:rsid w:val="009F6B96"/>
    <w:rsid w:val="009F72D1"/>
    <w:rsid w:val="009F7398"/>
    <w:rsid w:val="009F7639"/>
    <w:rsid w:val="009F7715"/>
    <w:rsid w:val="009F7DED"/>
    <w:rsid w:val="00A0045C"/>
    <w:rsid w:val="00A01042"/>
    <w:rsid w:val="00A01290"/>
    <w:rsid w:val="00A03BC4"/>
    <w:rsid w:val="00A03C43"/>
    <w:rsid w:val="00A04F3A"/>
    <w:rsid w:val="00A0599B"/>
    <w:rsid w:val="00A063BF"/>
    <w:rsid w:val="00A06480"/>
    <w:rsid w:val="00A06705"/>
    <w:rsid w:val="00A1149C"/>
    <w:rsid w:val="00A11898"/>
    <w:rsid w:val="00A121F2"/>
    <w:rsid w:val="00A122B0"/>
    <w:rsid w:val="00A123D2"/>
    <w:rsid w:val="00A12AD4"/>
    <w:rsid w:val="00A12B6B"/>
    <w:rsid w:val="00A1342D"/>
    <w:rsid w:val="00A13C04"/>
    <w:rsid w:val="00A13FAE"/>
    <w:rsid w:val="00A14B9D"/>
    <w:rsid w:val="00A14D72"/>
    <w:rsid w:val="00A14F63"/>
    <w:rsid w:val="00A15B49"/>
    <w:rsid w:val="00A15F6B"/>
    <w:rsid w:val="00A1610D"/>
    <w:rsid w:val="00A169DA"/>
    <w:rsid w:val="00A16EEB"/>
    <w:rsid w:val="00A170F0"/>
    <w:rsid w:val="00A17257"/>
    <w:rsid w:val="00A17604"/>
    <w:rsid w:val="00A214C7"/>
    <w:rsid w:val="00A22281"/>
    <w:rsid w:val="00A229FB"/>
    <w:rsid w:val="00A23096"/>
    <w:rsid w:val="00A23410"/>
    <w:rsid w:val="00A239B2"/>
    <w:rsid w:val="00A25E0A"/>
    <w:rsid w:val="00A261B8"/>
    <w:rsid w:val="00A26638"/>
    <w:rsid w:val="00A275EA"/>
    <w:rsid w:val="00A27933"/>
    <w:rsid w:val="00A27977"/>
    <w:rsid w:val="00A31229"/>
    <w:rsid w:val="00A31669"/>
    <w:rsid w:val="00A31C0A"/>
    <w:rsid w:val="00A31EAC"/>
    <w:rsid w:val="00A326B3"/>
    <w:rsid w:val="00A32F68"/>
    <w:rsid w:val="00A334E3"/>
    <w:rsid w:val="00A33B3C"/>
    <w:rsid w:val="00A340FD"/>
    <w:rsid w:val="00A35634"/>
    <w:rsid w:val="00A36514"/>
    <w:rsid w:val="00A36834"/>
    <w:rsid w:val="00A4174B"/>
    <w:rsid w:val="00A43253"/>
    <w:rsid w:val="00A43303"/>
    <w:rsid w:val="00A43DFA"/>
    <w:rsid w:val="00A450B5"/>
    <w:rsid w:val="00A45B1E"/>
    <w:rsid w:val="00A46080"/>
    <w:rsid w:val="00A46292"/>
    <w:rsid w:val="00A477F3"/>
    <w:rsid w:val="00A50145"/>
    <w:rsid w:val="00A50449"/>
    <w:rsid w:val="00A51376"/>
    <w:rsid w:val="00A52F7D"/>
    <w:rsid w:val="00A5310C"/>
    <w:rsid w:val="00A53AAE"/>
    <w:rsid w:val="00A541EC"/>
    <w:rsid w:val="00A54DFF"/>
    <w:rsid w:val="00A55822"/>
    <w:rsid w:val="00A56E31"/>
    <w:rsid w:val="00A57B86"/>
    <w:rsid w:val="00A60728"/>
    <w:rsid w:val="00A61D62"/>
    <w:rsid w:val="00A639D7"/>
    <w:rsid w:val="00A63D30"/>
    <w:rsid w:val="00A645BA"/>
    <w:rsid w:val="00A647BD"/>
    <w:rsid w:val="00A6613F"/>
    <w:rsid w:val="00A67533"/>
    <w:rsid w:val="00A70040"/>
    <w:rsid w:val="00A7027C"/>
    <w:rsid w:val="00A71608"/>
    <w:rsid w:val="00A71A9B"/>
    <w:rsid w:val="00A726E8"/>
    <w:rsid w:val="00A737FB"/>
    <w:rsid w:val="00A74ECC"/>
    <w:rsid w:val="00A75A0B"/>
    <w:rsid w:val="00A75C66"/>
    <w:rsid w:val="00A7697E"/>
    <w:rsid w:val="00A76F85"/>
    <w:rsid w:val="00A770EC"/>
    <w:rsid w:val="00A774E8"/>
    <w:rsid w:val="00A77F0C"/>
    <w:rsid w:val="00A8010A"/>
    <w:rsid w:val="00A8301B"/>
    <w:rsid w:val="00A83D87"/>
    <w:rsid w:val="00A841C0"/>
    <w:rsid w:val="00A848BB"/>
    <w:rsid w:val="00A84D0B"/>
    <w:rsid w:val="00A85461"/>
    <w:rsid w:val="00A855EB"/>
    <w:rsid w:val="00A86DDD"/>
    <w:rsid w:val="00A8706D"/>
    <w:rsid w:val="00A92972"/>
    <w:rsid w:val="00A93660"/>
    <w:rsid w:val="00A938D2"/>
    <w:rsid w:val="00A948C2"/>
    <w:rsid w:val="00A94F2B"/>
    <w:rsid w:val="00A95929"/>
    <w:rsid w:val="00A95D9F"/>
    <w:rsid w:val="00A95FDF"/>
    <w:rsid w:val="00A96243"/>
    <w:rsid w:val="00A965B8"/>
    <w:rsid w:val="00A971AD"/>
    <w:rsid w:val="00AA01D6"/>
    <w:rsid w:val="00AA2202"/>
    <w:rsid w:val="00AA2A74"/>
    <w:rsid w:val="00AA3332"/>
    <w:rsid w:val="00AA3DF7"/>
    <w:rsid w:val="00AA4C7C"/>
    <w:rsid w:val="00AA5222"/>
    <w:rsid w:val="00AA5CE7"/>
    <w:rsid w:val="00AA614F"/>
    <w:rsid w:val="00AA69A4"/>
    <w:rsid w:val="00AA6AC4"/>
    <w:rsid w:val="00AA77E8"/>
    <w:rsid w:val="00AB0007"/>
    <w:rsid w:val="00AB00A0"/>
    <w:rsid w:val="00AB061B"/>
    <w:rsid w:val="00AB09DE"/>
    <w:rsid w:val="00AB11CF"/>
    <w:rsid w:val="00AB14B7"/>
    <w:rsid w:val="00AB399E"/>
    <w:rsid w:val="00AB3CCA"/>
    <w:rsid w:val="00AB4C66"/>
    <w:rsid w:val="00AB624C"/>
    <w:rsid w:val="00AB6634"/>
    <w:rsid w:val="00AB6DB8"/>
    <w:rsid w:val="00AB6F9F"/>
    <w:rsid w:val="00AB7165"/>
    <w:rsid w:val="00AB7432"/>
    <w:rsid w:val="00AC0BC9"/>
    <w:rsid w:val="00AC14BB"/>
    <w:rsid w:val="00AC1676"/>
    <w:rsid w:val="00AC171B"/>
    <w:rsid w:val="00AC17C1"/>
    <w:rsid w:val="00AC1965"/>
    <w:rsid w:val="00AC1A55"/>
    <w:rsid w:val="00AC3088"/>
    <w:rsid w:val="00AC368C"/>
    <w:rsid w:val="00AC3883"/>
    <w:rsid w:val="00AC568E"/>
    <w:rsid w:val="00AC5CB1"/>
    <w:rsid w:val="00AC6A39"/>
    <w:rsid w:val="00AC6C37"/>
    <w:rsid w:val="00AC7961"/>
    <w:rsid w:val="00AC7BC6"/>
    <w:rsid w:val="00AC7E20"/>
    <w:rsid w:val="00AD038E"/>
    <w:rsid w:val="00AD0815"/>
    <w:rsid w:val="00AD0CDE"/>
    <w:rsid w:val="00AD1A4E"/>
    <w:rsid w:val="00AD276A"/>
    <w:rsid w:val="00AD2801"/>
    <w:rsid w:val="00AD3A98"/>
    <w:rsid w:val="00AD3BA7"/>
    <w:rsid w:val="00AD3E6D"/>
    <w:rsid w:val="00AD51AD"/>
    <w:rsid w:val="00AD5F11"/>
    <w:rsid w:val="00AD7988"/>
    <w:rsid w:val="00AE02B9"/>
    <w:rsid w:val="00AE08BE"/>
    <w:rsid w:val="00AE0ECB"/>
    <w:rsid w:val="00AE2D32"/>
    <w:rsid w:val="00AE31EE"/>
    <w:rsid w:val="00AE346E"/>
    <w:rsid w:val="00AE3D45"/>
    <w:rsid w:val="00AE4D80"/>
    <w:rsid w:val="00AE5745"/>
    <w:rsid w:val="00AE593A"/>
    <w:rsid w:val="00AE6941"/>
    <w:rsid w:val="00AE78C2"/>
    <w:rsid w:val="00AF12EC"/>
    <w:rsid w:val="00AF221F"/>
    <w:rsid w:val="00AF23E3"/>
    <w:rsid w:val="00AF2CFE"/>
    <w:rsid w:val="00AF2D04"/>
    <w:rsid w:val="00AF2DD8"/>
    <w:rsid w:val="00AF35C8"/>
    <w:rsid w:val="00AF383F"/>
    <w:rsid w:val="00AF55D2"/>
    <w:rsid w:val="00AF5609"/>
    <w:rsid w:val="00AF5C38"/>
    <w:rsid w:val="00AF7F81"/>
    <w:rsid w:val="00B010F6"/>
    <w:rsid w:val="00B011A3"/>
    <w:rsid w:val="00B016BA"/>
    <w:rsid w:val="00B03925"/>
    <w:rsid w:val="00B03D8E"/>
    <w:rsid w:val="00B04C9C"/>
    <w:rsid w:val="00B04CB1"/>
    <w:rsid w:val="00B053FD"/>
    <w:rsid w:val="00B06EB3"/>
    <w:rsid w:val="00B10031"/>
    <w:rsid w:val="00B10B30"/>
    <w:rsid w:val="00B11512"/>
    <w:rsid w:val="00B14608"/>
    <w:rsid w:val="00B15D2C"/>
    <w:rsid w:val="00B15F9D"/>
    <w:rsid w:val="00B17062"/>
    <w:rsid w:val="00B1740D"/>
    <w:rsid w:val="00B17470"/>
    <w:rsid w:val="00B17CB5"/>
    <w:rsid w:val="00B207CC"/>
    <w:rsid w:val="00B21A71"/>
    <w:rsid w:val="00B22C00"/>
    <w:rsid w:val="00B24AB2"/>
    <w:rsid w:val="00B24EBF"/>
    <w:rsid w:val="00B2629A"/>
    <w:rsid w:val="00B2745D"/>
    <w:rsid w:val="00B30392"/>
    <w:rsid w:val="00B307D9"/>
    <w:rsid w:val="00B31448"/>
    <w:rsid w:val="00B318D2"/>
    <w:rsid w:val="00B31CF4"/>
    <w:rsid w:val="00B31E18"/>
    <w:rsid w:val="00B32536"/>
    <w:rsid w:val="00B3269F"/>
    <w:rsid w:val="00B3301C"/>
    <w:rsid w:val="00B3325D"/>
    <w:rsid w:val="00B33464"/>
    <w:rsid w:val="00B33AB8"/>
    <w:rsid w:val="00B34275"/>
    <w:rsid w:val="00B34BEC"/>
    <w:rsid w:val="00B3636A"/>
    <w:rsid w:val="00B374D6"/>
    <w:rsid w:val="00B403BE"/>
    <w:rsid w:val="00B4101A"/>
    <w:rsid w:val="00B419BB"/>
    <w:rsid w:val="00B43010"/>
    <w:rsid w:val="00B434EE"/>
    <w:rsid w:val="00B43848"/>
    <w:rsid w:val="00B43CC9"/>
    <w:rsid w:val="00B440FF"/>
    <w:rsid w:val="00B4495F"/>
    <w:rsid w:val="00B468EE"/>
    <w:rsid w:val="00B46FF2"/>
    <w:rsid w:val="00B47029"/>
    <w:rsid w:val="00B5006C"/>
    <w:rsid w:val="00B507D0"/>
    <w:rsid w:val="00B52DF9"/>
    <w:rsid w:val="00B5342D"/>
    <w:rsid w:val="00B53E66"/>
    <w:rsid w:val="00B541C0"/>
    <w:rsid w:val="00B54FF1"/>
    <w:rsid w:val="00B5567E"/>
    <w:rsid w:val="00B55C36"/>
    <w:rsid w:val="00B56E7B"/>
    <w:rsid w:val="00B604DE"/>
    <w:rsid w:val="00B60926"/>
    <w:rsid w:val="00B60C73"/>
    <w:rsid w:val="00B6179C"/>
    <w:rsid w:val="00B620D6"/>
    <w:rsid w:val="00B625EE"/>
    <w:rsid w:val="00B6296D"/>
    <w:rsid w:val="00B63F13"/>
    <w:rsid w:val="00B64BFC"/>
    <w:rsid w:val="00B65AE1"/>
    <w:rsid w:val="00B65B36"/>
    <w:rsid w:val="00B66256"/>
    <w:rsid w:val="00B67ADA"/>
    <w:rsid w:val="00B67C76"/>
    <w:rsid w:val="00B71551"/>
    <w:rsid w:val="00B7259E"/>
    <w:rsid w:val="00B72F4C"/>
    <w:rsid w:val="00B740C4"/>
    <w:rsid w:val="00B7619D"/>
    <w:rsid w:val="00B762B7"/>
    <w:rsid w:val="00B76D53"/>
    <w:rsid w:val="00B80946"/>
    <w:rsid w:val="00B823A8"/>
    <w:rsid w:val="00B8301D"/>
    <w:rsid w:val="00B839C3"/>
    <w:rsid w:val="00B83C0B"/>
    <w:rsid w:val="00B84194"/>
    <w:rsid w:val="00B84448"/>
    <w:rsid w:val="00B84991"/>
    <w:rsid w:val="00B85B04"/>
    <w:rsid w:val="00B863FD"/>
    <w:rsid w:val="00B86F50"/>
    <w:rsid w:val="00B909D0"/>
    <w:rsid w:val="00B90C9E"/>
    <w:rsid w:val="00B90EE9"/>
    <w:rsid w:val="00B91407"/>
    <w:rsid w:val="00B915B3"/>
    <w:rsid w:val="00B92D72"/>
    <w:rsid w:val="00B92D7D"/>
    <w:rsid w:val="00B92FD4"/>
    <w:rsid w:val="00B93B6E"/>
    <w:rsid w:val="00B93F1E"/>
    <w:rsid w:val="00B94FAD"/>
    <w:rsid w:val="00B96F7C"/>
    <w:rsid w:val="00B97A82"/>
    <w:rsid w:val="00BA0174"/>
    <w:rsid w:val="00BA046A"/>
    <w:rsid w:val="00BA096A"/>
    <w:rsid w:val="00BA16DC"/>
    <w:rsid w:val="00BA18B0"/>
    <w:rsid w:val="00BA27A3"/>
    <w:rsid w:val="00BA2BFA"/>
    <w:rsid w:val="00BA4014"/>
    <w:rsid w:val="00BA425B"/>
    <w:rsid w:val="00BA4308"/>
    <w:rsid w:val="00BA649B"/>
    <w:rsid w:val="00BA7332"/>
    <w:rsid w:val="00BA7AE2"/>
    <w:rsid w:val="00BB0148"/>
    <w:rsid w:val="00BB01F8"/>
    <w:rsid w:val="00BB06AB"/>
    <w:rsid w:val="00BB06C8"/>
    <w:rsid w:val="00BB071A"/>
    <w:rsid w:val="00BB0B3B"/>
    <w:rsid w:val="00BB3DE1"/>
    <w:rsid w:val="00BB4190"/>
    <w:rsid w:val="00BB4A87"/>
    <w:rsid w:val="00BB5817"/>
    <w:rsid w:val="00BB5BF7"/>
    <w:rsid w:val="00BB6773"/>
    <w:rsid w:val="00BB687C"/>
    <w:rsid w:val="00BB6F69"/>
    <w:rsid w:val="00BB708C"/>
    <w:rsid w:val="00BB7721"/>
    <w:rsid w:val="00BB7BBF"/>
    <w:rsid w:val="00BC00A2"/>
    <w:rsid w:val="00BC1491"/>
    <w:rsid w:val="00BC162B"/>
    <w:rsid w:val="00BC1873"/>
    <w:rsid w:val="00BC26F5"/>
    <w:rsid w:val="00BC3D1B"/>
    <w:rsid w:val="00BC400A"/>
    <w:rsid w:val="00BC5FE7"/>
    <w:rsid w:val="00BC63DE"/>
    <w:rsid w:val="00BC6EF6"/>
    <w:rsid w:val="00BC6FAB"/>
    <w:rsid w:val="00BD1373"/>
    <w:rsid w:val="00BD153F"/>
    <w:rsid w:val="00BD23D6"/>
    <w:rsid w:val="00BD37CD"/>
    <w:rsid w:val="00BD4B05"/>
    <w:rsid w:val="00BD658B"/>
    <w:rsid w:val="00BD6927"/>
    <w:rsid w:val="00BD6BDA"/>
    <w:rsid w:val="00BD72D8"/>
    <w:rsid w:val="00BD79BF"/>
    <w:rsid w:val="00BD7A20"/>
    <w:rsid w:val="00BD7C16"/>
    <w:rsid w:val="00BE049F"/>
    <w:rsid w:val="00BE1291"/>
    <w:rsid w:val="00BE1915"/>
    <w:rsid w:val="00BE244C"/>
    <w:rsid w:val="00BE2699"/>
    <w:rsid w:val="00BE4FC1"/>
    <w:rsid w:val="00BE5123"/>
    <w:rsid w:val="00BE5519"/>
    <w:rsid w:val="00BE5707"/>
    <w:rsid w:val="00BE57C8"/>
    <w:rsid w:val="00BE6A48"/>
    <w:rsid w:val="00BE715D"/>
    <w:rsid w:val="00BE7610"/>
    <w:rsid w:val="00BE782B"/>
    <w:rsid w:val="00BE7AAF"/>
    <w:rsid w:val="00BE7B34"/>
    <w:rsid w:val="00BE7F1B"/>
    <w:rsid w:val="00BF0D87"/>
    <w:rsid w:val="00BF1409"/>
    <w:rsid w:val="00BF1ADC"/>
    <w:rsid w:val="00BF1BA0"/>
    <w:rsid w:val="00BF1BBB"/>
    <w:rsid w:val="00BF20AF"/>
    <w:rsid w:val="00BF2224"/>
    <w:rsid w:val="00BF25A4"/>
    <w:rsid w:val="00BF45D8"/>
    <w:rsid w:val="00BF4D87"/>
    <w:rsid w:val="00BF4FBE"/>
    <w:rsid w:val="00BF5379"/>
    <w:rsid w:val="00BF5713"/>
    <w:rsid w:val="00BF62E4"/>
    <w:rsid w:val="00BF74AF"/>
    <w:rsid w:val="00BF7B2C"/>
    <w:rsid w:val="00C00099"/>
    <w:rsid w:val="00C0088E"/>
    <w:rsid w:val="00C014C0"/>
    <w:rsid w:val="00C01D4D"/>
    <w:rsid w:val="00C01F46"/>
    <w:rsid w:val="00C032B7"/>
    <w:rsid w:val="00C036EB"/>
    <w:rsid w:val="00C04058"/>
    <w:rsid w:val="00C055D8"/>
    <w:rsid w:val="00C0592E"/>
    <w:rsid w:val="00C05E64"/>
    <w:rsid w:val="00C06115"/>
    <w:rsid w:val="00C06730"/>
    <w:rsid w:val="00C07874"/>
    <w:rsid w:val="00C07929"/>
    <w:rsid w:val="00C11352"/>
    <w:rsid w:val="00C11450"/>
    <w:rsid w:val="00C117A0"/>
    <w:rsid w:val="00C11897"/>
    <w:rsid w:val="00C122B3"/>
    <w:rsid w:val="00C1245D"/>
    <w:rsid w:val="00C136B8"/>
    <w:rsid w:val="00C141FF"/>
    <w:rsid w:val="00C159FB"/>
    <w:rsid w:val="00C15E51"/>
    <w:rsid w:val="00C16978"/>
    <w:rsid w:val="00C1722C"/>
    <w:rsid w:val="00C20035"/>
    <w:rsid w:val="00C20114"/>
    <w:rsid w:val="00C207A1"/>
    <w:rsid w:val="00C20924"/>
    <w:rsid w:val="00C20A67"/>
    <w:rsid w:val="00C20CA0"/>
    <w:rsid w:val="00C20DC5"/>
    <w:rsid w:val="00C2101B"/>
    <w:rsid w:val="00C220CA"/>
    <w:rsid w:val="00C2240E"/>
    <w:rsid w:val="00C22B15"/>
    <w:rsid w:val="00C23155"/>
    <w:rsid w:val="00C23157"/>
    <w:rsid w:val="00C23F9C"/>
    <w:rsid w:val="00C247CC"/>
    <w:rsid w:val="00C24E7C"/>
    <w:rsid w:val="00C2541C"/>
    <w:rsid w:val="00C257E9"/>
    <w:rsid w:val="00C2795A"/>
    <w:rsid w:val="00C27C1E"/>
    <w:rsid w:val="00C3111E"/>
    <w:rsid w:val="00C336A6"/>
    <w:rsid w:val="00C3449C"/>
    <w:rsid w:val="00C34865"/>
    <w:rsid w:val="00C35619"/>
    <w:rsid w:val="00C36745"/>
    <w:rsid w:val="00C36C61"/>
    <w:rsid w:val="00C36F0E"/>
    <w:rsid w:val="00C376DF"/>
    <w:rsid w:val="00C40D51"/>
    <w:rsid w:val="00C428EC"/>
    <w:rsid w:val="00C42D04"/>
    <w:rsid w:val="00C42DB5"/>
    <w:rsid w:val="00C43674"/>
    <w:rsid w:val="00C43E76"/>
    <w:rsid w:val="00C44F26"/>
    <w:rsid w:val="00C45097"/>
    <w:rsid w:val="00C45337"/>
    <w:rsid w:val="00C464C8"/>
    <w:rsid w:val="00C4741F"/>
    <w:rsid w:val="00C517D4"/>
    <w:rsid w:val="00C538E5"/>
    <w:rsid w:val="00C53F9F"/>
    <w:rsid w:val="00C545D7"/>
    <w:rsid w:val="00C554F4"/>
    <w:rsid w:val="00C5576E"/>
    <w:rsid w:val="00C559C0"/>
    <w:rsid w:val="00C55D7C"/>
    <w:rsid w:val="00C55DE4"/>
    <w:rsid w:val="00C56D8B"/>
    <w:rsid w:val="00C56D97"/>
    <w:rsid w:val="00C5748E"/>
    <w:rsid w:val="00C578D1"/>
    <w:rsid w:val="00C609FF"/>
    <w:rsid w:val="00C6111F"/>
    <w:rsid w:val="00C62516"/>
    <w:rsid w:val="00C628BE"/>
    <w:rsid w:val="00C62E7D"/>
    <w:rsid w:val="00C634A0"/>
    <w:rsid w:val="00C636D2"/>
    <w:rsid w:val="00C6406E"/>
    <w:rsid w:val="00C64627"/>
    <w:rsid w:val="00C649C3"/>
    <w:rsid w:val="00C650CA"/>
    <w:rsid w:val="00C650DD"/>
    <w:rsid w:val="00C65F42"/>
    <w:rsid w:val="00C66125"/>
    <w:rsid w:val="00C67532"/>
    <w:rsid w:val="00C67EDC"/>
    <w:rsid w:val="00C7032B"/>
    <w:rsid w:val="00C711B6"/>
    <w:rsid w:val="00C71A5A"/>
    <w:rsid w:val="00C71B24"/>
    <w:rsid w:val="00C72003"/>
    <w:rsid w:val="00C722D0"/>
    <w:rsid w:val="00C7231F"/>
    <w:rsid w:val="00C72CA1"/>
    <w:rsid w:val="00C7310F"/>
    <w:rsid w:val="00C73485"/>
    <w:rsid w:val="00C73F3E"/>
    <w:rsid w:val="00C75271"/>
    <w:rsid w:val="00C7560A"/>
    <w:rsid w:val="00C76BE6"/>
    <w:rsid w:val="00C76E7C"/>
    <w:rsid w:val="00C770CE"/>
    <w:rsid w:val="00C7753B"/>
    <w:rsid w:val="00C778FF"/>
    <w:rsid w:val="00C80072"/>
    <w:rsid w:val="00C801CC"/>
    <w:rsid w:val="00C80285"/>
    <w:rsid w:val="00C8067A"/>
    <w:rsid w:val="00C80D52"/>
    <w:rsid w:val="00C81828"/>
    <w:rsid w:val="00C8341C"/>
    <w:rsid w:val="00C8350F"/>
    <w:rsid w:val="00C83EA1"/>
    <w:rsid w:val="00C8434E"/>
    <w:rsid w:val="00C8447C"/>
    <w:rsid w:val="00C85D92"/>
    <w:rsid w:val="00C862B4"/>
    <w:rsid w:val="00C86B1A"/>
    <w:rsid w:val="00C86BD4"/>
    <w:rsid w:val="00C871AC"/>
    <w:rsid w:val="00C87B42"/>
    <w:rsid w:val="00C87BBD"/>
    <w:rsid w:val="00C900DD"/>
    <w:rsid w:val="00C903A9"/>
    <w:rsid w:val="00C90527"/>
    <w:rsid w:val="00C906D7"/>
    <w:rsid w:val="00C924A0"/>
    <w:rsid w:val="00C929E5"/>
    <w:rsid w:val="00C934B7"/>
    <w:rsid w:val="00C93CBD"/>
    <w:rsid w:val="00C962D3"/>
    <w:rsid w:val="00C96BA1"/>
    <w:rsid w:val="00C97285"/>
    <w:rsid w:val="00C97B1B"/>
    <w:rsid w:val="00C97ECB"/>
    <w:rsid w:val="00CA355C"/>
    <w:rsid w:val="00CA366B"/>
    <w:rsid w:val="00CA42AF"/>
    <w:rsid w:val="00CA540C"/>
    <w:rsid w:val="00CA5D88"/>
    <w:rsid w:val="00CA6663"/>
    <w:rsid w:val="00CB0CCB"/>
    <w:rsid w:val="00CB1388"/>
    <w:rsid w:val="00CB165B"/>
    <w:rsid w:val="00CB1D43"/>
    <w:rsid w:val="00CB28FF"/>
    <w:rsid w:val="00CB30EA"/>
    <w:rsid w:val="00CC1EA4"/>
    <w:rsid w:val="00CC21FB"/>
    <w:rsid w:val="00CC3308"/>
    <w:rsid w:val="00CC3A51"/>
    <w:rsid w:val="00CC3AA5"/>
    <w:rsid w:val="00CC51C9"/>
    <w:rsid w:val="00CC57A0"/>
    <w:rsid w:val="00CC5A21"/>
    <w:rsid w:val="00CC6014"/>
    <w:rsid w:val="00CC62CC"/>
    <w:rsid w:val="00CC68F0"/>
    <w:rsid w:val="00CD1345"/>
    <w:rsid w:val="00CD15E2"/>
    <w:rsid w:val="00CD1D4C"/>
    <w:rsid w:val="00CD2FC6"/>
    <w:rsid w:val="00CD6709"/>
    <w:rsid w:val="00CE03EE"/>
    <w:rsid w:val="00CE19DF"/>
    <w:rsid w:val="00CE2BBD"/>
    <w:rsid w:val="00CE3023"/>
    <w:rsid w:val="00CE435C"/>
    <w:rsid w:val="00CE501F"/>
    <w:rsid w:val="00CE5669"/>
    <w:rsid w:val="00CE6B5C"/>
    <w:rsid w:val="00CE6C04"/>
    <w:rsid w:val="00CE6E5E"/>
    <w:rsid w:val="00CF1214"/>
    <w:rsid w:val="00CF1A63"/>
    <w:rsid w:val="00CF2787"/>
    <w:rsid w:val="00CF6135"/>
    <w:rsid w:val="00CF78BE"/>
    <w:rsid w:val="00CF7E5C"/>
    <w:rsid w:val="00D00251"/>
    <w:rsid w:val="00D00550"/>
    <w:rsid w:val="00D00E71"/>
    <w:rsid w:val="00D010FA"/>
    <w:rsid w:val="00D018F0"/>
    <w:rsid w:val="00D01A67"/>
    <w:rsid w:val="00D01F2D"/>
    <w:rsid w:val="00D02214"/>
    <w:rsid w:val="00D02E7E"/>
    <w:rsid w:val="00D02F64"/>
    <w:rsid w:val="00D03045"/>
    <w:rsid w:val="00D03EE4"/>
    <w:rsid w:val="00D04ED9"/>
    <w:rsid w:val="00D05467"/>
    <w:rsid w:val="00D05552"/>
    <w:rsid w:val="00D0711E"/>
    <w:rsid w:val="00D10622"/>
    <w:rsid w:val="00D10918"/>
    <w:rsid w:val="00D12D39"/>
    <w:rsid w:val="00D130AF"/>
    <w:rsid w:val="00D13515"/>
    <w:rsid w:val="00D1389C"/>
    <w:rsid w:val="00D13C6E"/>
    <w:rsid w:val="00D143F5"/>
    <w:rsid w:val="00D14E45"/>
    <w:rsid w:val="00D1517F"/>
    <w:rsid w:val="00D15505"/>
    <w:rsid w:val="00D167B4"/>
    <w:rsid w:val="00D217C0"/>
    <w:rsid w:val="00D225EF"/>
    <w:rsid w:val="00D24049"/>
    <w:rsid w:val="00D24065"/>
    <w:rsid w:val="00D244D7"/>
    <w:rsid w:val="00D24F1D"/>
    <w:rsid w:val="00D25EC7"/>
    <w:rsid w:val="00D26B70"/>
    <w:rsid w:val="00D26F10"/>
    <w:rsid w:val="00D3105B"/>
    <w:rsid w:val="00D317CC"/>
    <w:rsid w:val="00D31F72"/>
    <w:rsid w:val="00D32858"/>
    <w:rsid w:val="00D32BA7"/>
    <w:rsid w:val="00D33085"/>
    <w:rsid w:val="00D33708"/>
    <w:rsid w:val="00D33E5A"/>
    <w:rsid w:val="00D3487D"/>
    <w:rsid w:val="00D35178"/>
    <w:rsid w:val="00D35197"/>
    <w:rsid w:val="00D354D6"/>
    <w:rsid w:val="00D35FAA"/>
    <w:rsid w:val="00D3674B"/>
    <w:rsid w:val="00D369A6"/>
    <w:rsid w:val="00D37104"/>
    <w:rsid w:val="00D37C92"/>
    <w:rsid w:val="00D433C2"/>
    <w:rsid w:val="00D43BF5"/>
    <w:rsid w:val="00D44CCD"/>
    <w:rsid w:val="00D467A1"/>
    <w:rsid w:val="00D46A6C"/>
    <w:rsid w:val="00D47EA6"/>
    <w:rsid w:val="00D514DC"/>
    <w:rsid w:val="00D5175E"/>
    <w:rsid w:val="00D51EB4"/>
    <w:rsid w:val="00D53120"/>
    <w:rsid w:val="00D539BB"/>
    <w:rsid w:val="00D54086"/>
    <w:rsid w:val="00D54245"/>
    <w:rsid w:val="00D54E98"/>
    <w:rsid w:val="00D55F49"/>
    <w:rsid w:val="00D564D1"/>
    <w:rsid w:val="00D56AD0"/>
    <w:rsid w:val="00D57548"/>
    <w:rsid w:val="00D57623"/>
    <w:rsid w:val="00D57C83"/>
    <w:rsid w:val="00D60574"/>
    <w:rsid w:val="00D60FE5"/>
    <w:rsid w:val="00D6216F"/>
    <w:rsid w:val="00D62606"/>
    <w:rsid w:val="00D629A3"/>
    <w:rsid w:val="00D62AF2"/>
    <w:rsid w:val="00D62B47"/>
    <w:rsid w:val="00D62F17"/>
    <w:rsid w:val="00D63456"/>
    <w:rsid w:val="00D63873"/>
    <w:rsid w:val="00D64195"/>
    <w:rsid w:val="00D65033"/>
    <w:rsid w:val="00D658D1"/>
    <w:rsid w:val="00D65D93"/>
    <w:rsid w:val="00D6729E"/>
    <w:rsid w:val="00D67425"/>
    <w:rsid w:val="00D674DE"/>
    <w:rsid w:val="00D67A37"/>
    <w:rsid w:val="00D67C4A"/>
    <w:rsid w:val="00D70050"/>
    <w:rsid w:val="00D7143F"/>
    <w:rsid w:val="00D721C1"/>
    <w:rsid w:val="00D738A1"/>
    <w:rsid w:val="00D73965"/>
    <w:rsid w:val="00D74256"/>
    <w:rsid w:val="00D74527"/>
    <w:rsid w:val="00D779E6"/>
    <w:rsid w:val="00D77EA1"/>
    <w:rsid w:val="00D80AFD"/>
    <w:rsid w:val="00D80B33"/>
    <w:rsid w:val="00D80FD0"/>
    <w:rsid w:val="00D818D4"/>
    <w:rsid w:val="00D81E3C"/>
    <w:rsid w:val="00D82EF2"/>
    <w:rsid w:val="00D831CD"/>
    <w:rsid w:val="00D83AB6"/>
    <w:rsid w:val="00D84A3F"/>
    <w:rsid w:val="00D85159"/>
    <w:rsid w:val="00D8654C"/>
    <w:rsid w:val="00D872A9"/>
    <w:rsid w:val="00D87E63"/>
    <w:rsid w:val="00D90428"/>
    <w:rsid w:val="00D90A87"/>
    <w:rsid w:val="00D915CE"/>
    <w:rsid w:val="00D9311D"/>
    <w:rsid w:val="00D9319D"/>
    <w:rsid w:val="00D9395D"/>
    <w:rsid w:val="00D940A6"/>
    <w:rsid w:val="00D94541"/>
    <w:rsid w:val="00D956C8"/>
    <w:rsid w:val="00D958F1"/>
    <w:rsid w:val="00D96C73"/>
    <w:rsid w:val="00D96E28"/>
    <w:rsid w:val="00D9720E"/>
    <w:rsid w:val="00D9767F"/>
    <w:rsid w:val="00D97BD9"/>
    <w:rsid w:val="00DA006D"/>
    <w:rsid w:val="00DA1EDF"/>
    <w:rsid w:val="00DA1FC3"/>
    <w:rsid w:val="00DA20A3"/>
    <w:rsid w:val="00DA2E61"/>
    <w:rsid w:val="00DA2EFF"/>
    <w:rsid w:val="00DA31C5"/>
    <w:rsid w:val="00DA363E"/>
    <w:rsid w:val="00DA3BF1"/>
    <w:rsid w:val="00DA6553"/>
    <w:rsid w:val="00DA69D5"/>
    <w:rsid w:val="00DA797C"/>
    <w:rsid w:val="00DA7CAC"/>
    <w:rsid w:val="00DB0491"/>
    <w:rsid w:val="00DB0683"/>
    <w:rsid w:val="00DB1BB0"/>
    <w:rsid w:val="00DB35D4"/>
    <w:rsid w:val="00DB3699"/>
    <w:rsid w:val="00DB4582"/>
    <w:rsid w:val="00DB4784"/>
    <w:rsid w:val="00DB4B4C"/>
    <w:rsid w:val="00DB591E"/>
    <w:rsid w:val="00DB5AC0"/>
    <w:rsid w:val="00DB6E46"/>
    <w:rsid w:val="00DB6F42"/>
    <w:rsid w:val="00DB7443"/>
    <w:rsid w:val="00DB74CF"/>
    <w:rsid w:val="00DB779A"/>
    <w:rsid w:val="00DC0228"/>
    <w:rsid w:val="00DC073E"/>
    <w:rsid w:val="00DC107E"/>
    <w:rsid w:val="00DC1F4D"/>
    <w:rsid w:val="00DC22C4"/>
    <w:rsid w:val="00DC2863"/>
    <w:rsid w:val="00DC28DC"/>
    <w:rsid w:val="00DC3FD0"/>
    <w:rsid w:val="00DC43A3"/>
    <w:rsid w:val="00DC4A03"/>
    <w:rsid w:val="00DC4DF4"/>
    <w:rsid w:val="00DC504D"/>
    <w:rsid w:val="00DC6316"/>
    <w:rsid w:val="00DC7442"/>
    <w:rsid w:val="00DD09AF"/>
    <w:rsid w:val="00DD0ED4"/>
    <w:rsid w:val="00DD1B62"/>
    <w:rsid w:val="00DD1FB3"/>
    <w:rsid w:val="00DD22DD"/>
    <w:rsid w:val="00DD24C2"/>
    <w:rsid w:val="00DD299D"/>
    <w:rsid w:val="00DD2C4E"/>
    <w:rsid w:val="00DD34E0"/>
    <w:rsid w:val="00DD3D18"/>
    <w:rsid w:val="00DD4440"/>
    <w:rsid w:val="00DD5B60"/>
    <w:rsid w:val="00DD5EA3"/>
    <w:rsid w:val="00DD75BD"/>
    <w:rsid w:val="00DD79FF"/>
    <w:rsid w:val="00DE00D5"/>
    <w:rsid w:val="00DE0536"/>
    <w:rsid w:val="00DE068A"/>
    <w:rsid w:val="00DE0E02"/>
    <w:rsid w:val="00DE1A9D"/>
    <w:rsid w:val="00DE2883"/>
    <w:rsid w:val="00DE3425"/>
    <w:rsid w:val="00DE35D4"/>
    <w:rsid w:val="00DE3613"/>
    <w:rsid w:val="00DE57A4"/>
    <w:rsid w:val="00DE5D07"/>
    <w:rsid w:val="00DF0054"/>
    <w:rsid w:val="00DF0E9A"/>
    <w:rsid w:val="00DF1967"/>
    <w:rsid w:val="00DF1CFB"/>
    <w:rsid w:val="00DF2314"/>
    <w:rsid w:val="00DF25E0"/>
    <w:rsid w:val="00DF297B"/>
    <w:rsid w:val="00DF320F"/>
    <w:rsid w:val="00DF3612"/>
    <w:rsid w:val="00DF3DE9"/>
    <w:rsid w:val="00DF4A76"/>
    <w:rsid w:val="00DF5352"/>
    <w:rsid w:val="00DF6C29"/>
    <w:rsid w:val="00DF7445"/>
    <w:rsid w:val="00E0000C"/>
    <w:rsid w:val="00E00C49"/>
    <w:rsid w:val="00E00CE8"/>
    <w:rsid w:val="00E034C4"/>
    <w:rsid w:val="00E0574F"/>
    <w:rsid w:val="00E05A88"/>
    <w:rsid w:val="00E06BFB"/>
    <w:rsid w:val="00E0723E"/>
    <w:rsid w:val="00E07B1A"/>
    <w:rsid w:val="00E107C2"/>
    <w:rsid w:val="00E10974"/>
    <w:rsid w:val="00E120D7"/>
    <w:rsid w:val="00E12474"/>
    <w:rsid w:val="00E134E7"/>
    <w:rsid w:val="00E139F9"/>
    <w:rsid w:val="00E1409E"/>
    <w:rsid w:val="00E1580F"/>
    <w:rsid w:val="00E16054"/>
    <w:rsid w:val="00E164EC"/>
    <w:rsid w:val="00E2092A"/>
    <w:rsid w:val="00E20DCF"/>
    <w:rsid w:val="00E211BA"/>
    <w:rsid w:val="00E217AA"/>
    <w:rsid w:val="00E2248D"/>
    <w:rsid w:val="00E2266E"/>
    <w:rsid w:val="00E2425E"/>
    <w:rsid w:val="00E24827"/>
    <w:rsid w:val="00E251CD"/>
    <w:rsid w:val="00E26123"/>
    <w:rsid w:val="00E262F8"/>
    <w:rsid w:val="00E2650A"/>
    <w:rsid w:val="00E2793F"/>
    <w:rsid w:val="00E30382"/>
    <w:rsid w:val="00E31109"/>
    <w:rsid w:val="00E318F9"/>
    <w:rsid w:val="00E32371"/>
    <w:rsid w:val="00E3250E"/>
    <w:rsid w:val="00E32AD7"/>
    <w:rsid w:val="00E332B6"/>
    <w:rsid w:val="00E3355B"/>
    <w:rsid w:val="00E337BC"/>
    <w:rsid w:val="00E3650E"/>
    <w:rsid w:val="00E36C1C"/>
    <w:rsid w:val="00E37298"/>
    <w:rsid w:val="00E37863"/>
    <w:rsid w:val="00E417FA"/>
    <w:rsid w:val="00E41998"/>
    <w:rsid w:val="00E42251"/>
    <w:rsid w:val="00E430D7"/>
    <w:rsid w:val="00E436D2"/>
    <w:rsid w:val="00E438BD"/>
    <w:rsid w:val="00E43BC7"/>
    <w:rsid w:val="00E44A20"/>
    <w:rsid w:val="00E44BA5"/>
    <w:rsid w:val="00E450FD"/>
    <w:rsid w:val="00E45618"/>
    <w:rsid w:val="00E478D6"/>
    <w:rsid w:val="00E5050A"/>
    <w:rsid w:val="00E50894"/>
    <w:rsid w:val="00E51346"/>
    <w:rsid w:val="00E513C4"/>
    <w:rsid w:val="00E513CB"/>
    <w:rsid w:val="00E51DF2"/>
    <w:rsid w:val="00E522C3"/>
    <w:rsid w:val="00E525D7"/>
    <w:rsid w:val="00E53423"/>
    <w:rsid w:val="00E536EE"/>
    <w:rsid w:val="00E54873"/>
    <w:rsid w:val="00E54B7C"/>
    <w:rsid w:val="00E56360"/>
    <w:rsid w:val="00E60203"/>
    <w:rsid w:val="00E608F3"/>
    <w:rsid w:val="00E60C6A"/>
    <w:rsid w:val="00E60CAF"/>
    <w:rsid w:val="00E60FEF"/>
    <w:rsid w:val="00E61CFE"/>
    <w:rsid w:val="00E62056"/>
    <w:rsid w:val="00E62DA8"/>
    <w:rsid w:val="00E6512B"/>
    <w:rsid w:val="00E656C4"/>
    <w:rsid w:val="00E6572A"/>
    <w:rsid w:val="00E67142"/>
    <w:rsid w:val="00E6720D"/>
    <w:rsid w:val="00E677A0"/>
    <w:rsid w:val="00E70AB1"/>
    <w:rsid w:val="00E70E24"/>
    <w:rsid w:val="00E71E92"/>
    <w:rsid w:val="00E726B9"/>
    <w:rsid w:val="00E72CD2"/>
    <w:rsid w:val="00E73F9D"/>
    <w:rsid w:val="00E74994"/>
    <w:rsid w:val="00E7506C"/>
    <w:rsid w:val="00E756E2"/>
    <w:rsid w:val="00E76121"/>
    <w:rsid w:val="00E76835"/>
    <w:rsid w:val="00E77926"/>
    <w:rsid w:val="00E800B1"/>
    <w:rsid w:val="00E807EE"/>
    <w:rsid w:val="00E81AC0"/>
    <w:rsid w:val="00E81AFC"/>
    <w:rsid w:val="00E82697"/>
    <w:rsid w:val="00E83216"/>
    <w:rsid w:val="00E83381"/>
    <w:rsid w:val="00E842E8"/>
    <w:rsid w:val="00E85083"/>
    <w:rsid w:val="00E85A46"/>
    <w:rsid w:val="00E86729"/>
    <w:rsid w:val="00E91E1B"/>
    <w:rsid w:val="00E923A1"/>
    <w:rsid w:val="00E928F6"/>
    <w:rsid w:val="00E93078"/>
    <w:rsid w:val="00E933E6"/>
    <w:rsid w:val="00E941E4"/>
    <w:rsid w:val="00E94A41"/>
    <w:rsid w:val="00E94DDD"/>
    <w:rsid w:val="00E95EFA"/>
    <w:rsid w:val="00E960F7"/>
    <w:rsid w:val="00E9699B"/>
    <w:rsid w:val="00E96AC0"/>
    <w:rsid w:val="00EA0014"/>
    <w:rsid w:val="00EA0BB9"/>
    <w:rsid w:val="00EA12D0"/>
    <w:rsid w:val="00EA1A66"/>
    <w:rsid w:val="00EA2A21"/>
    <w:rsid w:val="00EA2FAC"/>
    <w:rsid w:val="00EA43A2"/>
    <w:rsid w:val="00EA6156"/>
    <w:rsid w:val="00EA6533"/>
    <w:rsid w:val="00EA6F1D"/>
    <w:rsid w:val="00EA7576"/>
    <w:rsid w:val="00EA76C3"/>
    <w:rsid w:val="00EB17A4"/>
    <w:rsid w:val="00EB19BF"/>
    <w:rsid w:val="00EB1B8B"/>
    <w:rsid w:val="00EB2E37"/>
    <w:rsid w:val="00EB3007"/>
    <w:rsid w:val="00EB361F"/>
    <w:rsid w:val="00EB3917"/>
    <w:rsid w:val="00EB4057"/>
    <w:rsid w:val="00EB547D"/>
    <w:rsid w:val="00EB6368"/>
    <w:rsid w:val="00EB6A11"/>
    <w:rsid w:val="00EB7D23"/>
    <w:rsid w:val="00EC0187"/>
    <w:rsid w:val="00EC13F6"/>
    <w:rsid w:val="00EC2102"/>
    <w:rsid w:val="00EC22C4"/>
    <w:rsid w:val="00EC259F"/>
    <w:rsid w:val="00EC447D"/>
    <w:rsid w:val="00EC53E9"/>
    <w:rsid w:val="00EC632C"/>
    <w:rsid w:val="00EC650A"/>
    <w:rsid w:val="00EC6AC8"/>
    <w:rsid w:val="00EC6BDC"/>
    <w:rsid w:val="00EC7CEE"/>
    <w:rsid w:val="00EC7DD7"/>
    <w:rsid w:val="00ED0A18"/>
    <w:rsid w:val="00ED1626"/>
    <w:rsid w:val="00ED2BCE"/>
    <w:rsid w:val="00ED2E18"/>
    <w:rsid w:val="00ED51EB"/>
    <w:rsid w:val="00ED6ED6"/>
    <w:rsid w:val="00ED79AB"/>
    <w:rsid w:val="00ED7DB5"/>
    <w:rsid w:val="00ED7ECB"/>
    <w:rsid w:val="00ED7FEE"/>
    <w:rsid w:val="00EE00CA"/>
    <w:rsid w:val="00EE120B"/>
    <w:rsid w:val="00EE1305"/>
    <w:rsid w:val="00EE261C"/>
    <w:rsid w:val="00EE29B8"/>
    <w:rsid w:val="00EE347C"/>
    <w:rsid w:val="00EE4BF2"/>
    <w:rsid w:val="00EE534C"/>
    <w:rsid w:val="00EE5E1C"/>
    <w:rsid w:val="00EE7107"/>
    <w:rsid w:val="00EE713D"/>
    <w:rsid w:val="00EE733C"/>
    <w:rsid w:val="00EF0114"/>
    <w:rsid w:val="00EF0932"/>
    <w:rsid w:val="00EF0E4B"/>
    <w:rsid w:val="00EF24CA"/>
    <w:rsid w:val="00EF27ED"/>
    <w:rsid w:val="00EF2FC7"/>
    <w:rsid w:val="00EF305B"/>
    <w:rsid w:val="00EF3BF5"/>
    <w:rsid w:val="00EF5573"/>
    <w:rsid w:val="00EF65AA"/>
    <w:rsid w:val="00F00504"/>
    <w:rsid w:val="00F00807"/>
    <w:rsid w:val="00F0173C"/>
    <w:rsid w:val="00F01A89"/>
    <w:rsid w:val="00F023C5"/>
    <w:rsid w:val="00F029D3"/>
    <w:rsid w:val="00F02D9D"/>
    <w:rsid w:val="00F04510"/>
    <w:rsid w:val="00F04C7F"/>
    <w:rsid w:val="00F05881"/>
    <w:rsid w:val="00F060BE"/>
    <w:rsid w:val="00F0623D"/>
    <w:rsid w:val="00F07443"/>
    <w:rsid w:val="00F07566"/>
    <w:rsid w:val="00F10AFA"/>
    <w:rsid w:val="00F119F3"/>
    <w:rsid w:val="00F121EB"/>
    <w:rsid w:val="00F1240B"/>
    <w:rsid w:val="00F125A3"/>
    <w:rsid w:val="00F12DC2"/>
    <w:rsid w:val="00F1312D"/>
    <w:rsid w:val="00F135A9"/>
    <w:rsid w:val="00F1479C"/>
    <w:rsid w:val="00F15C1C"/>
    <w:rsid w:val="00F1621E"/>
    <w:rsid w:val="00F16345"/>
    <w:rsid w:val="00F164CF"/>
    <w:rsid w:val="00F200D1"/>
    <w:rsid w:val="00F2044D"/>
    <w:rsid w:val="00F20F5C"/>
    <w:rsid w:val="00F20F9A"/>
    <w:rsid w:val="00F21505"/>
    <w:rsid w:val="00F220C7"/>
    <w:rsid w:val="00F228F1"/>
    <w:rsid w:val="00F23C5A"/>
    <w:rsid w:val="00F23FB9"/>
    <w:rsid w:val="00F258D8"/>
    <w:rsid w:val="00F259F9"/>
    <w:rsid w:val="00F25B8D"/>
    <w:rsid w:val="00F261AC"/>
    <w:rsid w:val="00F2677C"/>
    <w:rsid w:val="00F27908"/>
    <w:rsid w:val="00F27E62"/>
    <w:rsid w:val="00F27EA0"/>
    <w:rsid w:val="00F309BD"/>
    <w:rsid w:val="00F32CDB"/>
    <w:rsid w:val="00F3350E"/>
    <w:rsid w:val="00F34ED7"/>
    <w:rsid w:val="00F414B4"/>
    <w:rsid w:val="00F422E2"/>
    <w:rsid w:val="00F429E9"/>
    <w:rsid w:val="00F42B8D"/>
    <w:rsid w:val="00F439FB"/>
    <w:rsid w:val="00F44896"/>
    <w:rsid w:val="00F448B3"/>
    <w:rsid w:val="00F47EDD"/>
    <w:rsid w:val="00F47F7E"/>
    <w:rsid w:val="00F51FD2"/>
    <w:rsid w:val="00F52599"/>
    <w:rsid w:val="00F526FD"/>
    <w:rsid w:val="00F5319E"/>
    <w:rsid w:val="00F53971"/>
    <w:rsid w:val="00F547DC"/>
    <w:rsid w:val="00F54FE4"/>
    <w:rsid w:val="00F56583"/>
    <w:rsid w:val="00F56AA2"/>
    <w:rsid w:val="00F56EE9"/>
    <w:rsid w:val="00F57F7E"/>
    <w:rsid w:val="00F60150"/>
    <w:rsid w:val="00F60228"/>
    <w:rsid w:val="00F605FC"/>
    <w:rsid w:val="00F60F6D"/>
    <w:rsid w:val="00F6108A"/>
    <w:rsid w:val="00F629A8"/>
    <w:rsid w:val="00F631B5"/>
    <w:rsid w:val="00F6330A"/>
    <w:rsid w:val="00F63332"/>
    <w:rsid w:val="00F6362F"/>
    <w:rsid w:val="00F6392E"/>
    <w:rsid w:val="00F64E6E"/>
    <w:rsid w:val="00F64FB1"/>
    <w:rsid w:val="00F65539"/>
    <w:rsid w:val="00F6556B"/>
    <w:rsid w:val="00F66572"/>
    <w:rsid w:val="00F66F8D"/>
    <w:rsid w:val="00F670C5"/>
    <w:rsid w:val="00F67550"/>
    <w:rsid w:val="00F679BD"/>
    <w:rsid w:val="00F70358"/>
    <w:rsid w:val="00F717F0"/>
    <w:rsid w:val="00F72BB3"/>
    <w:rsid w:val="00F75CF4"/>
    <w:rsid w:val="00F75F80"/>
    <w:rsid w:val="00F76C6F"/>
    <w:rsid w:val="00F77B63"/>
    <w:rsid w:val="00F81156"/>
    <w:rsid w:val="00F816BB"/>
    <w:rsid w:val="00F81AD0"/>
    <w:rsid w:val="00F81D9D"/>
    <w:rsid w:val="00F82200"/>
    <w:rsid w:val="00F827BD"/>
    <w:rsid w:val="00F82B49"/>
    <w:rsid w:val="00F8348F"/>
    <w:rsid w:val="00F83E4D"/>
    <w:rsid w:val="00F858F5"/>
    <w:rsid w:val="00F85936"/>
    <w:rsid w:val="00F860AB"/>
    <w:rsid w:val="00F861FD"/>
    <w:rsid w:val="00F86BAC"/>
    <w:rsid w:val="00F9033C"/>
    <w:rsid w:val="00F9179E"/>
    <w:rsid w:val="00F922EC"/>
    <w:rsid w:val="00F92B11"/>
    <w:rsid w:val="00F94C45"/>
    <w:rsid w:val="00F95169"/>
    <w:rsid w:val="00F959D6"/>
    <w:rsid w:val="00F962D5"/>
    <w:rsid w:val="00F96C1C"/>
    <w:rsid w:val="00F96D29"/>
    <w:rsid w:val="00F96F18"/>
    <w:rsid w:val="00F96F5D"/>
    <w:rsid w:val="00F97655"/>
    <w:rsid w:val="00FA0234"/>
    <w:rsid w:val="00FA0CCD"/>
    <w:rsid w:val="00FA0E71"/>
    <w:rsid w:val="00FA1437"/>
    <w:rsid w:val="00FA16A6"/>
    <w:rsid w:val="00FA172E"/>
    <w:rsid w:val="00FA1AEB"/>
    <w:rsid w:val="00FA1DC0"/>
    <w:rsid w:val="00FA273A"/>
    <w:rsid w:val="00FA2973"/>
    <w:rsid w:val="00FA3E8F"/>
    <w:rsid w:val="00FA3EDF"/>
    <w:rsid w:val="00FA45E1"/>
    <w:rsid w:val="00FA46A9"/>
    <w:rsid w:val="00FA5A62"/>
    <w:rsid w:val="00FA5A96"/>
    <w:rsid w:val="00FA5C87"/>
    <w:rsid w:val="00FA5D2D"/>
    <w:rsid w:val="00FA5EB7"/>
    <w:rsid w:val="00FA6687"/>
    <w:rsid w:val="00FA6AC0"/>
    <w:rsid w:val="00FA6DF2"/>
    <w:rsid w:val="00FA78C5"/>
    <w:rsid w:val="00FB0C79"/>
    <w:rsid w:val="00FB106E"/>
    <w:rsid w:val="00FB163F"/>
    <w:rsid w:val="00FB2C5C"/>
    <w:rsid w:val="00FB2D8F"/>
    <w:rsid w:val="00FB363F"/>
    <w:rsid w:val="00FB57EE"/>
    <w:rsid w:val="00FB5D9E"/>
    <w:rsid w:val="00FB5F80"/>
    <w:rsid w:val="00FB79B4"/>
    <w:rsid w:val="00FB7BF0"/>
    <w:rsid w:val="00FC1014"/>
    <w:rsid w:val="00FC16B0"/>
    <w:rsid w:val="00FC245E"/>
    <w:rsid w:val="00FC287A"/>
    <w:rsid w:val="00FC2DCE"/>
    <w:rsid w:val="00FC308C"/>
    <w:rsid w:val="00FC3205"/>
    <w:rsid w:val="00FC3293"/>
    <w:rsid w:val="00FC4124"/>
    <w:rsid w:val="00FC495B"/>
    <w:rsid w:val="00FC4CEC"/>
    <w:rsid w:val="00FC511A"/>
    <w:rsid w:val="00FC603A"/>
    <w:rsid w:val="00FC6E2B"/>
    <w:rsid w:val="00FC7510"/>
    <w:rsid w:val="00FC7709"/>
    <w:rsid w:val="00FC7B5D"/>
    <w:rsid w:val="00FD08E9"/>
    <w:rsid w:val="00FD0EE5"/>
    <w:rsid w:val="00FD1D67"/>
    <w:rsid w:val="00FD1E2D"/>
    <w:rsid w:val="00FD20AE"/>
    <w:rsid w:val="00FD2200"/>
    <w:rsid w:val="00FD254A"/>
    <w:rsid w:val="00FD3E22"/>
    <w:rsid w:val="00FD588C"/>
    <w:rsid w:val="00FD66A7"/>
    <w:rsid w:val="00FD6AAD"/>
    <w:rsid w:val="00FD7265"/>
    <w:rsid w:val="00FE1A5C"/>
    <w:rsid w:val="00FE2182"/>
    <w:rsid w:val="00FE2687"/>
    <w:rsid w:val="00FE26E6"/>
    <w:rsid w:val="00FE4536"/>
    <w:rsid w:val="00FE4E1C"/>
    <w:rsid w:val="00FE4E9C"/>
    <w:rsid w:val="00FE54E0"/>
    <w:rsid w:val="00FE618A"/>
    <w:rsid w:val="00FE6641"/>
    <w:rsid w:val="00FE6DE2"/>
    <w:rsid w:val="00FE7B28"/>
    <w:rsid w:val="00FE7C65"/>
    <w:rsid w:val="00FF0141"/>
    <w:rsid w:val="00FF1ED0"/>
    <w:rsid w:val="00FF1FD7"/>
    <w:rsid w:val="00FF2A3A"/>
    <w:rsid w:val="00FF2DF6"/>
    <w:rsid w:val="00FF3CE9"/>
    <w:rsid w:val="00FF406B"/>
    <w:rsid w:val="00FF441E"/>
    <w:rsid w:val="00FF5043"/>
    <w:rsid w:val="00FF6DA6"/>
    <w:rsid w:val="00FF702C"/>
    <w:rsid w:val="00FF73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DA03C5"/>
  <w15:chartTrackingRefBased/>
  <w15:docId w15:val="{9AC208F6-D08E-BB4C-9F8E-50AA11525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7096"/>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1C34"/>
    <w:rPr>
      <w:color w:val="0000FF"/>
      <w:u w:val="single"/>
    </w:rPr>
  </w:style>
  <w:style w:type="paragraph" w:styleId="ListParagraph">
    <w:name w:val="List Paragraph"/>
    <w:basedOn w:val="Normal"/>
    <w:uiPriority w:val="34"/>
    <w:qFormat/>
    <w:rsid w:val="00C67532"/>
    <w:pPr>
      <w:ind w:left="720"/>
      <w:contextualSpacing/>
    </w:pPr>
    <w:rPr>
      <w:rFonts w:asciiTheme="minorHAnsi" w:eastAsiaTheme="minorHAnsi" w:hAnsiTheme="minorHAnsi" w:cstheme="minorBidi"/>
      <w:lang w:eastAsia="en-US"/>
    </w:rPr>
  </w:style>
  <w:style w:type="table" w:styleId="TableGrid">
    <w:name w:val="Table Grid"/>
    <w:basedOn w:val="TableNormal"/>
    <w:uiPriority w:val="39"/>
    <w:rsid w:val="007F1C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7F1C4D"/>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CommentReference">
    <w:name w:val="annotation reference"/>
    <w:basedOn w:val="DefaultParagraphFont"/>
    <w:uiPriority w:val="99"/>
    <w:semiHidden/>
    <w:unhideWhenUsed/>
    <w:rsid w:val="00887375"/>
    <w:rPr>
      <w:sz w:val="16"/>
      <w:szCs w:val="16"/>
    </w:rPr>
  </w:style>
  <w:style w:type="paragraph" w:styleId="CommentText">
    <w:name w:val="annotation text"/>
    <w:basedOn w:val="Normal"/>
    <w:link w:val="CommentTextChar"/>
    <w:uiPriority w:val="99"/>
    <w:unhideWhenUsed/>
    <w:rsid w:val="00887375"/>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887375"/>
    <w:rPr>
      <w:sz w:val="20"/>
      <w:szCs w:val="20"/>
    </w:rPr>
  </w:style>
  <w:style w:type="paragraph" w:styleId="CommentSubject">
    <w:name w:val="annotation subject"/>
    <w:basedOn w:val="CommentText"/>
    <w:next w:val="CommentText"/>
    <w:link w:val="CommentSubjectChar"/>
    <w:uiPriority w:val="99"/>
    <w:semiHidden/>
    <w:unhideWhenUsed/>
    <w:rsid w:val="00887375"/>
    <w:rPr>
      <w:b/>
      <w:bCs/>
    </w:rPr>
  </w:style>
  <w:style w:type="character" w:customStyle="1" w:styleId="CommentSubjectChar">
    <w:name w:val="Comment Subject Char"/>
    <w:basedOn w:val="CommentTextChar"/>
    <w:link w:val="CommentSubject"/>
    <w:uiPriority w:val="99"/>
    <w:semiHidden/>
    <w:rsid w:val="00887375"/>
    <w:rPr>
      <w:b/>
      <w:bCs/>
      <w:sz w:val="20"/>
      <w:szCs w:val="20"/>
    </w:rPr>
  </w:style>
  <w:style w:type="paragraph" w:styleId="BalloonText">
    <w:name w:val="Balloon Text"/>
    <w:basedOn w:val="Normal"/>
    <w:link w:val="BalloonTextChar"/>
    <w:uiPriority w:val="99"/>
    <w:semiHidden/>
    <w:unhideWhenUsed/>
    <w:rsid w:val="00887375"/>
    <w:rPr>
      <w:rFonts w:eastAsiaTheme="minorHAnsi"/>
      <w:sz w:val="18"/>
      <w:szCs w:val="18"/>
      <w:lang w:eastAsia="en-US"/>
    </w:rPr>
  </w:style>
  <w:style w:type="character" w:customStyle="1" w:styleId="BalloonTextChar">
    <w:name w:val="Balloon Text Char"/>
    <w:basedOn w:val="DefaultParagraphFont"/>
    <w:link w:val="BalloonText"/>
    <w:uiPriority w:val="99"/>
    <w:semiHidden/>
    <w:rsid w:val="00887375"/>
    <w:rPr>
      <w:rFonts w:ascii="Times New Roman" w:hAnsi="Times New Roman" w:cs="Times New Roman"/>
      <w:sz w:val="18"/>
      <w:szCs w:val="18"/>
    </w:rPr>
  </w:style>
  <w:style w:type="character" w:styleId="Emphasis">
    <w:name w:val="Emphasis"/>
    <w:basedOn w:val="DefaultParagraphFont"/>
    <w:uiPriority w:val="20"/>
    <w:qFormat/>
    <w:rsid w:val="00917096"/>
    <w:rPr>
      <w:i/>
      <w:iCs/>
    </w:rPr>
  </w:style>
  <w:style w:type="paragraph" w:styleId="Revision">
    <w:name w:val="Revision"/>
    <w:hidden/>
    <w:uiPriority w:val="99"/>
    <w:semiHidden/>
    <w:rsid w:val="000F5A55"/>
    <w:rPr>
      <w:rFonts w:ascii="Times New Roman" w:eastAsia="Times New Roman" w:hAnsi="Times New Roman" w:cs="Times New Roman"/>
      <w:lang w:eastAsia="en-GB"/>
    </w:rPr>
  </w:style>
  <w:style w:type="table" w:styleId="PlainTable3">
    <w:name w:val="Plain Table 3"/>
    <w:basedOn w:val="TableNormal"/>
    <w:uiPriority w:val="43"/>
    <w:rsid w:val="0063465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5Dark-Accent1">
    <w:name w:val="Grid Table 5 Dark Accent 1"/>
    <w:basedOn w:val="TableNormal"/>
    <w:uiPriority w:val="50"/>
    <w:rsid w:val="00634651"/>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6ColourfulAccent5">
    <w:name w:val="Grid Table 6 Colorful Accent 5"/>
    <w:basedOn w:val="TableNormal"/>
    <w:uiPriority w:val="51"/>
    <w:rsid w:val="00634651"/>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UnresolvedMention1">
    <w:name w:val="Unresolved Mention1"/>
    <w:basedOn w:val="DefaultParagraphFont"/>
    <w:uiPriority w:val="99"/>
    <w:semiHidden/>
    <w:unhideWhenUsed/>
    <w:rsid w:val="00A275EA"/>
    <w:rPr>
      <w:color w:val="605E5C"/>
      <w:shd w:val="clear" w:color="auto" w:fill="E1DFDD"/>
    </w:rPr>
  </w:style>
  <w:style w:type="character" w:styleId="FollowedHyperlink">
    <w:name w:val="FollowedHyperlink"/>
    <w:basedOn w:val="DefaultParagraphFont"/>
    <w:uiPriority w:val="99"/>
    <w:semiHidden/>
    <w:unhideWhenUsed/>
    <w:rsid w:val="00A275EA"/>
    <w:rPr>
      <w:color w:val="954F72" w:themeColor="followedHyperlink"/>
      <w:u w:val="single"/>
    </w:rPr>
  </w:style>
  <w:style w:type="paragraph" w:styleId="NormalWeb">
    <w:name w:val="Normal (Web)"/>
    <w:basedOn w:val="Normal"/>
    <w:uiPriority w:val="99"/>
    <w:semiHidden/>
    <w:unhideWhenUsed/>
    <w:rsid w:val="00D9720E"/>
    <w:pPr>
      <w:spacing w:before="100" w:beforeAutospacing="1" w:after="100" w:afterAutospacing="1"/>
    </w:pPr>
  </w:style>
  <w:style w:type="paragraph" w:styleId="Header">
    <w:name w:val="header"/>
    <w:basedOn w:val="Normal"/>
    <w:link w:val="HeaderChar"/>
    <w:uiPriority w:val="99"/>
    <w:unhideWhenUsed/>
    <w:rsid w:val="006B40C8"/>
    <w:pPr>
      <w:tabs>
        <w:tab w:val="center" w:pos="4680"/>
        <w:tab w:val="right" w:pos="9360"/>
      </w:tabs>
    </w:pPr>
  </w:style>
  <w:style w:type="character" w:customStyle="1" w:styleId="HeaderChar">
    <w:name w:val="Header Char"/>
    <w:basedOn w:val="DefaultParagraphFont"/>
    <w:link w:val="Header"/>
    <w:uiPriority w:val="99"/>
    <w:rsid w:val="006B40C8"/>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6B40C8"/>
  </w:style>
  <w:style w:type="paragraph" w:styleId="Footer">
    <w:name w:val="footer"/>
    <w:basedOn w:val="Normal"/>
    <w:link w:val="FooterChar"/>
    <w:uiPriority w:val="99"/>
    <w:unhideWhenUsed/>
    <w:rsid w:val="00FA6687"/>
    <w:pPr>
      <w:tabs>
        <w:tab w:val="center" w:pos="4680"/>
        <w:tab w:val="right" w:pos="9360"/>
      </w:tabs>
    </w:pPr>
  </w:style>
  <w:style w:type="character" w:customStyle="1" w:styleId="FooterChar">
    <w:name w:val="Footer Char"/>
    <w:basedOn w:val="DefaultParagraphFont"/>
    <w:link w:val="Footer"/>
    <w:uiPriority w:val="99"/>
    <w:rsid w:val="00FA6687"/>
    <w:rPr>
      <w:rFonts w:ascii="Times New Roman" w:eastAsia="Times New Roman" w:hAnsi="Times New Roman" w:cs="Times New Roman"/>
      <w:lang w:eastAsia="en-GB"/>
    </w:rPr>
  </w:style>
  <w:style w:type="paragraph" w:styleId="FootnoteText">
    <w:name w:val="footnote text"/>
    <w:basedOn w:val="Normal"/>
    <w:link w:val="FootnoteTextChar"/>
    <w:uiPriority w:val="99"/>
    <w:unhideWhenUsed/>
    <w:rsid w:val="009418BE"/>
    <w:rPr>
      <w:sz w:val="20"/>
      <w:szCs w:val="20"/>
    </w:rPr>
  </w:style>
  <w:style w:type="character" w:customStyle="1" w:styleId="FootnoteTextChar">
    <w:name w:val="Footnote Text Char"/>
    <w:basedOn w:val="DefaultParagraphFont"/>
    <w:link w:val="FootnoteText"/>
    <w:uiPriority w:val="99"/>
    <w:rsid w:val="009418BE"/>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9418BE"/>
    <w:rPr>
      <w:vertAlign w:val="superscript"/>
    </w:rPr>
  </w:style>
  <w:style w:type="character" w:styleId="LineNumber">
    <w:name w:val="line number"/>
    <w:basedOn w:val="DefaultParagraphFont"/>
    <w:uiPriority w:val="99"/>
    <w:semiHidden/>
    <w:unhideWhenUsed/>
    <w:rsid w:val="00867264"/>
  </w:style>
  <w:style w:type="character" w:styleId="EndnoteReference">
    <w:name w:val="endnote reference"/>
    <w:basedOn w:val="DefaultParagraphFont"/>
    <w:uiPriority w:val="99"/>
    <w:semiHidden/>
    <w:unhideWhenUsed/>
    <w:rsid w:val="003D2F23"/>
    <w:rPr>
      <w:vertAlign w:val="superscript"/>
    </w:rPr>
  </w:style>
  <w:style w:type="paragraph" w:styleId="EndnoteText">
    <w:name w:val="endnote text"/>
    <w:basedOn w:val="Normal"/>
    <w:link w:val="EndnoteTextChar"/>
    <w:uiPriority w:val="99"/>
    <w:semiHidden/>
    <w:unhideWhenUsed/>
    <w:rsid w:val="00160A2C"/>
    <w:rPr>
      <w:sz w:val="20"/>
      <w:szCs w:val="20"/>
    </w:rPr>
  </w:style>
  <w:style w:type="character" w:customStyle="1" w:styleId="EndnoteTextChar">
    <w:name w:val="Endnote Text Char"/>
    <w:basedOn w:val="DefaultParagraphFont"/>
    <w:link w:val="EndnoteText"/>
    <w:uiPriority w:val="99"/>
    <w:semiHidden/>
    <w:rsid w:val="00160A2C"/>
    <w:rPr>
      <w:rFonts w:ascii="Times New Roman" w:eastAsia="Times New Roman" w:hAnsi="Times New Roman" w:cs="Times New Roman"/>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095284">
      <w:bodyDiv w:val="1"/>
      <w:marLeft w:val="0"/>
      <w:marRight w:val="0"/>
      <w:marTop w:val="0"/>
      <w:marBottom w:val="0"/>
      <w:divBdr>
        <w:top w:val="none" w:sz="0" w:space="0" w:color="auto"/>
        <w:left w:val="none" w:sz="0" w:space="0" w:color="auto"/>
        <w:bottom w:val="none" w:sz="0" w:space="0" w:color="auto"/>
        <w:right w:val="none" w:sz="0" w:space="0" w:color="auto"/>
      </w:divBdr>
    </w:div>
    <w:div w:id="234167151">
      <w:bodyDiv w:val="1"/>
      <w:marLeft w:val="0"/>
      <w:marRight w:val="0"/>
      <w:marTop w:val="0"/>
      <w:marBottom w:val="0"/>
      <w:divBdr>
        <w:top w:val="none" w:sz="0" w:space="0" w:color="auto"/>
        <w:left w:val="none" w:sz="0" w:space="0" w:color="auto"/>
        <w:bottom w:val="none" w:sz="0" w:space="0" w:color="auto"/>
        <w:right w:val="none" w:sz="0" w:space="0" w:color="auto"/>
      </w:divBdr>
    </w:div>
    <w:div w:id="269241013">
      <w:bodyDiv w:val="1"/>
      <w:marLeft w:val="0"/>
      <w:marRight w:val="0"/>
      <w:marTop w:val="0"/>
      <w:marBottom w:val="0"/>
      <w:divBdr>
        <w:top w:val="none" w:sz="0" w:space="0" w:color="auto"/>
        <w:left w:val="none" w:sz="0" w:space="0" w:color="auto"/>
        <w:bottom w:val="none" w:sz="0" w:space="0" w:color="auto"/>
        <w:right w:val="none" w:sz="0" w:space="0" w:color="auto"/>
      </w:divBdr>
    </w:div>
    <w:div w:id="398404774">
      <w:bodyDiv w:val="1"/>
      <w:marLeft w:val="0"/>
      <w:marRight w:val="0"/>
      <w:marTop w:val="0"/>
      <w:marBottom w:val="0"/>
      <w:divBdr>
        <w:top w:val="none" w:sz="0" w:space="0" w:color="auto"/>
        <w:left w:val="none" w:sz="0" w:space="0" w:color="auto"/>
        <w:bottom w:val="none" w:sz="0" w:space="0" w:color="auto"/>
        <w:right w:val="none" w:sz="0" w:space="0" w:color="auto"/>
      </w:divBdr>
    </w:div>
    <w:div w:id="402683668">
      <w:bodyDiv w:val="1"/>
      <w:marLeft w:val="0"/>
      <w:marRight w:val="0"/>
      <w:marTop w:val="0"/>
      <w:marBottom w:val="0"/>
      <w:divBdr>
        <w:top w:val="none" w:sz="0" w:space="0" w:color="auto"/>
        <w:left w:val="none" w:sz="0" w:space="0" w:color="auto"/>
        <w:bottom w:val="none" w:sz="0" w:space="0" w:color="auto"/>
        <w:right w:val="none" w:sz="0" w:space="0" w:color="auto"/>
      </w:divBdr>
    </w:div>
    <w:div w:id="642933264">
      <w:bodyDiv w:val="1"/>
      <w:marLeft w:val="0"/>
      <w:marRight w:val="0"/>
      <w:marTop w:val="0"/>
      <w:marBottom w:val="0"/>
      <w:divBdr>
        <w:top w:val="none" w:sz="0" w:space="0" w:color="auto"/>
        <w:left w:val="none" w:sz="0" w:space="0" w:color="auto"/>
        <w:bottom w:val="none" w:sz="0" w:space="0" w:color="auto"/>
        <w:right w:val="none" w:sz="0" w:space="0" w:color="auto"/>
      </w:divBdr>
    </w:div>
    <w:div w:id="765033192">
      <w:bodyDiv w:val="1"/>
      <w:marLeft w:val="0"/>
      <w:marRight w:val="0"/>
      <w:marTop w:val="0"/>
      <w:marBottom w:val="0"/>
      <w:divBdr>
        <w:top w:val="none" w:sz="0" w:space="0" w:color="auto"/>
        <w:left w:val="none" w:sz="0" w:space="0" w:color="auto"/>
        <w:bottom w:val="none" w:sz="0" w:space="0" w:color="auto"/>
        <w:right w:val="none" w:sz="0" w:space="0" w:color="auto"/>
      </w:divBdr>
    </w:div>
    <w:div w:id="870994125">
      <w:bodyDiv w:val="1"/>
      <w:marLeft w:val="0"/>
      <w:marRight w:val="0"/>
      <w:marTop w:val="0"/>
      <w:marBottom w:val="0"/>
      <w:divBdr>
        <w:top w:val="none" w:sz="0" w:space="0" w:color="auto"/>
        <w:left w:val="none" w:sz="0" w:space="0" w:color="auto"/>
        <w:bottom w:val="none" w:sz="0" w:space="0" w:color="auto"/>
        <w:right w:val="none" w:sz="0" w:space="0" w:color="auto"/>
      </w:divBdr>
    </w:div>
    <w:div w:id="876509278">
      <w:bodyDiv w:val="1"/>
      <w:marLeft w:val="0"/>
      <w:marRight w:val="0"/>
      <w:marTop w:val="0"/>
      <w:marBottom w:val="0"/>
      <w:divBdr>
        <w:top w:val="none" w:sz="0" w:space="0" w:color="auto"/>
        <w:left w:val="none" w:sz="0" w:space="0" w:color="auto"/>
        <w:bottom w:val="none" w:sz="0" w:space="0" w:color="auto"/>
        <w:right w:val="none" w:sz="0" w:space="0" w:color="auto"/>
      </w:divBdr>
    </w:div>
    <w:div w:id="911113417">
      <w:bodyDiv w:val="1"/>
      <w:marLeft w:val="0"/>
      <w:marRight w:val="0"/>
      <w:marTop w:val="0"/>
      <w:marBottom w:val="0"/>
      <w:divBdr>
        <w:top w:val="none" w:sz="0" w:space="0" w:color="auto"/>
        <w:left w:val="none" w:sz="0" w:space="0" w:color="auto"/>
        <w:bottom w:val="none" w:sz="0" w:space="0" w:color="auto"/>
        <w:right w:val="none" w:sz="0" w:space="0" w:color="auto"/>
      </w:divBdr>
      <w:divsChild>
        <w:div w:id="2040625502">
          <w:marLeft w:val="0"/>
          <w:marRight w:val="0"/>
          <w:marTop w:val="0"/>
          <w:marBottom w:val="0"/>
          <w:divBdr>
            <w:top w:val="none" w:sz="0" w:space="0" w:color="auto"/>
            <w:left w:val="none" w:sz="0" w:space="0" w:color="auto"/>
            <w:bottom w:val="none" w:sz="0" w:space="0" w:color="auto"/>
            <w:right w:val="none" w:sz="0" w:space="0" w:color="auto"/>
          </w:divBdr>
          <w:divsChild>
            <w:div w:id="1861816785">
              <w:marLeft w:val="0"/>
              <w:marRight w:val="0"/>
              <w:marTop w:val="0"/>
              <w:marBottom w:val="0"/>
              <w:divBdr>
                <w:top w:val="none" w:sz="0" w:space="0" w:color="auto"/>
                <w:left w:val="none" w:sz="0" w:space="0" w:color="auto"/>
                <w:bottom w:val="none" w:sz="0" w:space="0" w:color="auto"/>
                <w:right w:val="none" w:sz="0" w:space="0" w:color="auto"/>
              </w:divBdr>
              <w:divsChild>
                <w:div w:id="98841956">
                  <w:marLeft w:val="0"/>
                  <w:marRight w:val="0"/>
                  <w:marTop w:val="0"/>
                  <w:marBottom w:val="0"/>
                  <w:divBdr>
                    <w:top w:val="none" w:sz="0" w:space="0" w:color="auto"/>
                    <w:left w:val="none" w:sz="0" w:space="0" w:color="auto"/>
                    <w:bottom w:val="none" w:sz="0" w:space="0" w:color="auto"/>
                    <w:right w:val="none" w:sz="0" w:space="0" w:color="auto"/>
                  </w:divBdr>
                  <w:divsChild>
                    <w:div w:id="799416466">
                      <w:marLeft w:val="0"/>
                      <w:marRight w:val="0"/>
                      <w:marTop w:val="0"/>
                      <w:marBottom w:val="0"/>
                      <w:divBdr>
                        <w:top w:val="none" w:sz="0" w:space="0" w:color="auto"/>
                        <w:left w:val="none" w:sz="0" w:space="0" w:color="auto"/>
                        <w:bottom w:val="none" w:sz="0" w:space="0" w:color="auto"/>
                        <w:right w:val="none" w:sz="0" w:space="0" w:color="auto"/>
                      </w:divBdr>
                    </w:div>
                  </w:divsChild>
                </w:div>
                <w:div w:id="184371828">
                  <w:marLeft w:val="0"/>
                  <w:marRight w:val="0"/>
                  <w:marTop w:val="0"/>
                  <w:marBottom w:val="0"/>
                  <w:divBdr>
                    <w:top w:val="none" w:sz="0" w:space="0" w:color="auto"/>
                    <w:left w:val="none" w:sz="0" w:space="0" w:color="auto"/>
                    <w:bottom w:val="none" w:sz="0" w:space="0" w:color="auto"/>
                    <w:right w:val="none" w:sz="0" w:space="0" w:color="auto"/>
                  </w:divBdr>
                  <w:divsChild>
                    <w:div w:id="160919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726346">
              <w:marLeft w:val="0"/>
              <w:marRight w:val="0"/>
              <w:marTop w:val="0"/>
              <w:marBottom w:val="0"/>
              <w:divBdr>
                <w:top w:val="none" w:sz="0" w:space="0" w:color="auto"/>
                <w:left w:val="none" w:sz="0" w:space="0" w:color="auto"/>
                <w:bottom w:val="none" w:sz="0" w:space="0" w:color="auto"/>
                <w:right w:val="none" w:sz="0" w:space="0" w:color="auto"/>
              </w:divBdr>
              <w:divsChild>
                <w:div w:id="1024133274">
                  <w:marLeft w:val="0"/>
                  <w:marRight w:val="0"/>
                  <w:marTop w:val="0"/>
                  <w:marBottom w:val="0"/>
                  <w:divBdr>
                    <w:top w:val="none" w:sz="0" w:space="0" w:color="auto"/>
                    <w:left w:val="none" w:sz="0" w:space="0" w:color="auto"/>
                    <w:bottom w:val="none" w:sz="0" w:space="0" w:color="auto"/>
                    <w:right w:val="none" w:sz="0" w:space="0" w:color="auto"/>
                  </w:divBdr>
                  <w:divsChild>
                    <w:div w:id="302783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178188">
          <w:marLeft w:val="0"/>
          <w:marRight w:val="0"/>
          <w:marTop w:val="0"/>
          <w:marBottom w:val="0"/>
          <w:divBdr>
            <w:top w:val="none" w:sz="0" w:space="0" w:color="auto"/>
            <w:left w:val="none" w:sz="0" w:space="0" w:color="auto"/>
            <w:bottom w:val="none" w:sz="0" w:space="0" w:color="auto"/>
            <w:right w:val="none" w:sz="0" w:space="0" w:color="auto"/>
          </w:divBdr>
          <w:divsChild>
            <w:div w:id="1351371295">
              <w:marLeft w:val="0"/>
              <w:marRight w:val="0"/>
              <w:marTop w:val="0"/>
              <w:marBottom w:val="0"/>
              <w:divBdr>
                <w:top w:val="none" w:sz="0" w:space="0" w:color="auto"/>
                <w:left w:val="none" w:sz="0" w:space="0" w:color="auto"/>
                <w:bottom w:val="none" w:sz="0" w:space="0" w:color="auto"/>
                <w:right w:val="none" w:sz="0" w:space="0" w:color="auto"/>
              </w:divBdr>
              <w:divsChild>
                <w:div w:id="515970082">
                  <w:marLeft w:val="0"/>
                  <w:marRight w:val="0"/>
                  <w:marTop w:val="0"/>
                  <w:marBottom w:val="0"/>
                  <w:divBdr>
                    <w:top w:val="none" w:sz="0" w:space="0" w:color="auto"/>
                    <w:left w:val="none" w:sz="0" w:space="0" w:color="auto"/>
                    <w:bottom w:val="none" w:sz="0" w:space="0" w:color="auto"/>
                    <w:right w:val="none" w:sz="0" w:space="0" w:color="auto"/>
                  </w:divBdr>
                  <w:divsChild>
                    <w:div w:id="793595871">
                      <w:marLeft w:val="0"/>
                      <w:marRight w:val="0"/>
                      <w:marTop w:val="0"/>
                      <w:marBottom w:val="0"/>
                      <w:divBdr>
                        <w:top w:val="none" w:sz="0" w:space="0" w:color="auto"/>
                        <w:left w:val="none" w:sz="0" w:space="0" w:color="auto"/>
                        <w:bottom w:val="none" w:sz="0" w:space="0" w:color="auto"/>
                        <w:right w:val="none" w:sz="0" w:space="0" w:color="auto"/>
                      </w:divBdr>
                    </w:div>
                    <w:div w:id="938757009">
                      <w:marLeft w:val="0"/>
                      <w:marRight w:val="0"/>
                      <w:marTop w:val="0"/>
                      <w:marBottom w:val="0"/>
                      <w:divBdr>
                        <w:top w:val="none" w:sz="0" w:space="0" w:color="auto"/>
                        <w:left w:val="none" w:sz="0" w:space="0" w:color="auto"/>
                        <w:bottom w:val="none" w:sz="0" w:space="0" w:color="auto"/>
                        <w:right w:val="none" w:sz="0" w:space="0" w:color="auto"/>
                      </w:divBdr>
                    </w:div>
                  </w:divsChild>
                </w:div>
                <w:div w:id="2135782626">
                  <w:marLeft w:val="0"/>
                  <w:marRight w:val="0"/>
                  <w:marTop w:val="0"/>
                  <w:marBottom w:val="0"/>
                  <w:divBdr>
                    <w:top w:val="none" w:sz="0" w:space="0" w:color="auto"/>
                    <w:left w:val="none" w:sz="0" w:space="0" w:color="auto"/>
                    <w:bottom w:val="none" w:sz="0" w:space="0" w:color="auto"/>
                    <w:right w:val="none" w:sz="0" w:space="0" w:color="auto"/>
                  </w:divBdr>
                  <w:divsChild>
                    <w:div w:id="2070499123">
                      <w:marLeft w:val="0"/>
                      <w:marRight w:val="0"/>
                      <w:marTop w:val="0"/>
                      <w:marBottom w:val="0"/>
                      <w:divBdr>
                        <w:top w:val="none" w:sz="0" w:space="0" w:color="auto"/>
                        <w:left w:val="none" w:sz="0" w:space="0" w:color="auto"/>
                        <w:bottom w:val="none" w:sz="0" w:space="0" w:color="auto"/>
                        <w:right w:val="none" w:sz="0" w:space="0" w:color="auto"/>
                      </w:divBdr>
                    </w:div>
                    <w:div w:id="1975133600">
                      <w:marLeft w:val="0"/>
                      <w:marRight w:val="0"/>
                      <w:marTop w:val="0"/>
                      <w:marBottom w:val="0"/>
                      <w:divBdr>
                        <w:top w:val="none" w:sz="0" w:space="0" w:color="auto"/>
                        <w:left w:val="none" w:sz="0" w:space="0" w:color="auto"/>
                        <w:bottom w:val="none" w:sz="0" w:space="0" w:color="auto"/>
                        <w:right w:val="none" w:sz="0" w:space="0" w:color="auto"/>
                      </w:divBdr>
                    </w:div>
                  </w:divsChild>
                </w:div>
                <w:div w:id="1745032507">
                  <w:marLeft w:val="0"/>
                  <w:marRight w:val="0"/>
                  <w:marTop w:val="0"/>
                  <w:marBottom w:val="0"/>
                  <w:divBdr>
                    <w:top w:val="none" w:sz="0" w:space="0" w:color="auto"/>
                    <w:left w:val="none" w:sz="0" w:space="0" w:color="auto"/>
                    <w:bottom w:val="none" w:sz="0" w:space="0" w:color="auto"/>
                    <w:right w:val="none" w:sz="0" w:space="0" w:color="auto"/>
                  </w:divBdr>
                  <w:divsChild>
                    <w:div w:id="711930279">
                      <w:marLeft w:val="0"/>
                      <w:marRight w:val="0"/>
                      <w:marTop w:val="0"/>
                      <w:marBottom w:val="0"/>
                      <w:divBdr>
                        <w:top w:val="none" w:sz="0" w:space="0" w:color="auto"/>
                        <w:left w:val="none" w:sz="0" w:space="0" w:color="auto"/>
                        <w:bottom w:val="none" w:sz="0" w:space="0" w:color="auto"/>
                        <w:right w:val="none" w:sz="0" w:space="0" w:color="auto"/>
                      </w:divBdr>
                    </w:div>
                    <w:div w:id="1514568271">
                      <w:marLeft w:val="0"/>
                      <w:marRight w:val="0"/>
                      <w:marTop w:val="0"/>
                      <w:marBottom w:val="0"/>
                      <w:divBdr>
                        <w:top w:val="none" w:sz="0" w:space="0" w:color="auto"/>
                        <w:left w:val="none" w:sz="0" w:space="0" w:color="auto"/>
                        <w:bottom w:val="none" w:sz="0" w:space="0" w:color="auto"/>
                        <w:right w:val="none" w:sz="0" w:space="0" w:color="auto"/>
                      </w:divBdr>
                    </w:div>
                  </w:divsChild>
                </w:div>
                <w:div w:id="949321010">
                  <w:marLeft w:val="0"/>
                  <w:marRight w:val="0"/>
                  <w:marTop w:val="0"/>
                  <w:marBottom w:val="0"/>
                  <w:divBdr>
                    <w:top w:val="none" w:sz="0" w:space="0" w:color="auto"/>
                    <w:left w:val="none" w:sz="0" w:space="0" w:color="auto"/>
                    <w:bottom w:val="none" w:sz="0" w:space="0" w:color="auto"/>
                    <w:right w:val="none" w:sz="0" w:space="0" w:color="auto"/>
                  </w:divBdr>
                  <w:divsChild>
                    <w:div w:id="156238911">
                      <w:marLeft w:val="0"/>
                      <w:marRight w:val="0"/>
                      <w:marTop w:val="0"/>
                      <w:marBottom w:val="0"/>
                      <w:divBdr>
                        <w:top w:val="none" w:sz="0" w:space="0" w:color="auto"/>
                        <w:left w:val="none" w:sz="0" w:space="0" w:color="auto"/>
                        <w:bottom w:val="none" w:sz="0" w:space="0" w:color="auto"/>
                        <w:right w:val="none" w:sz="0" w:space="0" w:color="auto"/>
                      </w:divBdr>
                    </w:div>
                    <w:div w:id="1804695595">
                      <w:marLeft w:val="0"/>
                      <w:marRight w:val="0"/>
                      <w:marTop w:val="0"/>
                      <w:marBottom w:val="0"/>
                      <w:divBdr>
                        <w:top w:val="none" w:sz="0" w:space="0" w:color="auto"/>
                        <w:left w:val="none" w:sz="0" w:space="0" w:color="auto"/>
                        <w:bottom w:val="none" w:sz="0" w:space="0" w:color="auto"/>
                        <w:right w:val="none" w:sz="0" w:space="0" w:color="auto"/>
                      </w:divBdr>
                    </w:div>
                  </w:divsChild>
                </w:div>
                <w:div w:id="1097410871">
                  <w:marLeft w:val="0"/>
                  <w:marRight w:val="0"/>
                  <w:marTop w:val="0"/>
                  <w:marBottom w:val="0"/>
                  <w:divBdr>
                    <w:top w:val="none" w:sz="0" w:space="0" w:color="auto"/>
                    <w:left w:val="none" w:sz="0" w:space="0" w:color="auto"/>
                    <w:bottom w:val="none" w:sz="0" w:space="0" w:color="auto"/>
                    <w:right w:val="none" w:sz="0" w:space="0" w:color="auto"/>
                  </w:divBdr>
                  <w:divsChild>
                    <w:div w:id="220412764">
                      <w:marLeft w:val="0"/>
                      <w:marRight w:val="0"/>
                      <w:marTop w:val="0"/>
                      <w:marBottom w:val="0"/>
                      <w:divBdr>
                        <w:top w:val="none" w:sz="0" w:space="0" w:color="auto"/>
                        <w:left w:val="none" w:sz="0" w:space="0" w:color="auto"/>
                        <w:bottom w:val="none" w:sz="0" w:space="0" w:color="auto"/>
                        <w:right w:val="none" w:sz="0" w:space="0" w:color="auto"/>
                      </w:divBdr>
                    </w:div>
                  </w:divsChild>
                </w:div>
                <w:div w:id="266742050">
                  <w:marLeft w:val="0"/>
                  <w:marRight w:val="0"/>
                  <w:marTop w:val="0"/>
                  <w:marBottom w:val="0"/>
                  <w:divBdr>
                    <w:top w:val="none" w:sz="0" w:space="0" w:color="auto"/>
                    <w:left w:val="none" w:sz="0" w:space="0" w:color="auto"/>
                    <w:bottom w:val="none" w:sz="0" w:space="0" w:color="auto"/>
                    <w:right w:val="none" w:sz="0" w:space="0" w:color="auto"/>
                  </w:divBdr>
                  <w:divsChild>
                    <w:div w:id="625507884">
                      <w:marLeft w:val="0"/>
                      <w:marRight w:val="0"/>
                      <w:marTop w:val="0"/>
                      <w:marBottom w:val="0"/>
                      <w:divBdr>
                        <w:top w:val="none" w:sz="0" w:space="0" w:color="auto"/>
                        <w:left w:val="none" w:sz="0" w:space="0" w:color="auto"/>
                        <w:bottom w:val="none" w:sz="0" w:space="0" w:color="auto"/>
                        <w:right w:val="none" w:sz="0" w:space="0" w:color="auto"/>
                      </w:divBdr>
                    </w:div>
                  </w:divsChild>
                </w:div>
                <w:div w:id="1940749043">
                  <w:marLeft w:val="0"/>
                  <w:marRight w:val="0"/>
                  <w:marTop w:val="0"/>
                  <w:marBottom w:val="0"/>
                  <w:divBdr>
                    <w:top w:val="none" w:sz="0" w:space="0" w:color="auto"/>
                    <w:left w:val="none" w:sz="0" w:space="0" w:color="auto"/>
                    <w:bottom w:val="none" w:sz="0" w:space="0" w:color="auto"/>
                    <w:right w:val="none" w:sz="0" w:space="0" w:color="auto"/>
                  </w:divBdr>
                  <w:divsChild>
                    <w:div w:id="16541636">
                      <w:marLeft w:val="0"/>
                      <w:marRight w:val="0"/>
                      <w:marTop w:val="0"/>
                      <w:marBottom w:val="0"/>
                      <w:divBdr>
                        <w:top w:val="none" w:sz="0" w:space="0" w:color="auto"/>
                        <w:left w:val="none" w:sz="0" w:space="0" w:color="auto"/>
                        <w:bottom w:val="none" w:sz="0" w:space="0" w:color="auto"/>
                        <w:right w:val="none" w:sz="0" w:space="0" w:color="auto"/>
                      </w:divBdr>
                    </w:div>
                    <w:div w:id="2128086166">
                      <w:marLeft w:val="0"/>
                      <w:marRight w:val="0"/>
                      <w:marTop w:val="0"/>
                      <w:marBottom w:val="0"/>
                      <w:divBdr>
                        <w:top w:val="none" w:sz="0" w:space="0" w:color="auto"/>
                        <w:left w:val="none" w:sz="0" w:space="0" w:color="auto"/>
                        <w:bottom w:val="none" w:sz="0" w:space="0" w:color="auto"/>
                        <w:right w:val="none" w:sz="0" w:space="0" w:color="auto"/>
                      </w:divBdr>
                    </w:div>
                  </w:divsChild>
                </w:div>
                <w:div w:id="1748309144">
                  <w:marLeft w:val="0"/>
                  <w:marRight w:val="0"/>
                  <w:marTop w:val="0"/>
                  <w:marBottom w:val="0"/>
                  <w:divBdr>
                    <w:top w:val="none" w:sz="0" w:space="0" w:color="auto"/>
                    <w:left w:val="none" w:sz="0" w:space="0" w:color="auto"/>
                    <w:bottom w:val="none" w:sz="0" w:space="0" w:color="auto"/>
                    <w:right w:val="none" w:sz="0" w:space="0" w:color="auto"/>
                  </w:divBdr>
                  <w:divsChild>
                    <w:div w:id="1949435323">
                      <w:marLeft w:val="0"/>
                      <w:marRight w:val="0"/>
                      <w:marTop w:val="0"/>
                      <w:marBottom w:val="0"/>
                      <w:divBdr>
                        <w:top w:val="none" w:sz="0" w:space="0" w:color="auto"/>
                        <w:left w:val="none" w:sz="0" w:space="0" w:color="auto"/>
                        <w:bottom w:val="none" w:sz="0" w:space="0" w:color="auto"/>
                        <w:right w:val="none" w:sz="0" w:space="0" w:color="auto"/>
                      </w:divBdr>
                    </w:div>
                  </w:divsChild>
                </w:div>
                <w:div w:id="1222059090">
                  <w:marLeft w:val="0"/>
                  <w:marRight w:val="0"/>
                  <w:marTop w:val="0"/>
                  <w:marBottom w:val="0"/>
                  <w:divBdr>
                    <w:top w:val="none" w:sz="0" w:space="0" w:color="auto"/>
                    <w:left w:val="none" w:sz="0" w:space="0" w:color="auto"/>
                    <w:bottom w:val="none" w:sz="0" w:space="0" w:color="auto"/>
                    <w:right w:val="none" w:sz="0" w:space="0" w:color="auto"/>
                  </w:divBdr>
                  <w:divsChild>
                    <w:div w:id="247422579">
                      <w:marLeft w:val="0"/>
                      <w:marRight w:val="0"/>
                      <w:marTop w:val="0"/>
                      <w:marBottom w:val="0"/>
                      <w:divBdr>
                        <w:top w:val="none" w:sz="0" w:space="0" w:color="auto"/>
                        <w:left w:val="none" w:sz="0" w:space="0" w:color="auto"/>
                        <w:bottom w:val="none" w:sz="0" w:space="0" w:color="auto"/>
                        <w:right w:val="none" w:sz="0" w:space="0" w:color="auto"/>
                      </w:divBdr>
                    </w:div>
                    <w:div w:id="60249186">
                      <w:marLeft w:val="0"/>
                      <w:marRight w:val="0"/>
                      <w:marTop w:val="0"/>
                      <w:marBottom w:val="0"/>
                      <w:divBdr>
                        <w:top w:val="none" w:sz="0" w:space="0" w:color="auto"/>
                        <w:left w:val="none" w:sz="0" w:space="0" w:color="auto"/>
                        <w:bottom w:val="none" w:sz="0" w:space="0" w:color="auto"/>
                        <w:right w:val="none" w:sz="0" w:space="0" w:color="auto"/>
                      </w:divBdr>
                    </w:div>
                  </w:divsChild>
                </w:div>
                <w:div w:id="1254633062">
                  <w:marLeft w:val="0"/>
                  <w:marRight w:val="0"/>
                  <w:marTop w:val="0"/>
                  <w:marBottom w:val="0"/>
                  <w:divBdr>
                    <w:top w:val="none" w:sz="0" w:space="0" w:color="auto"/>
                    <w:left w:val="none" w:sz="0" w:space="0" w:color="auto"/>
                    <w:bottom w:val="none" w:sz="0" w:space="0" w:color="auto"/>
                    <w:right w:val="none" w:sz="0" w:space="0" w:color="auto"/>
                  </w:divBdr>
                  <w:divsChild>
                    <w:div w:id="1893350303">
                      <w:marLeft w:val="0"/>
                      <w:marRight w:val="0"/>
                      <w:marTop w:val="0"/>
                      <w:marBottom w:val="0"/>
                      <w:divBdr>
                        <w:top w:val="none" w:sz="0" w:space="0" w:color="auto"/>
                        <w:left w:val="none" w:sz="0" w:space="0" w:color="auto"/>
                        <w:bottom w:val="none" w:sz="0" w:space="0" w:color="auto"/>
                        <w:right w:val="none" w:sz="0" w:space="0" w:color="auto"/>
                      </w:divBdr>
                    </w:div>
                    <w:div w:id="1349982638">
                      <w:marLeft w:val="0"/>
                      <w:marRight w:val="0"/>
                      <w:marTop w:val="0"/>
                      <w:marBottom w:val="0"/>
                      <w:divBdr>
                        <w:top w:val="none" w:sz="0" w:space="0" w:color="auto"/>
                        <w:left w:val="none" w:sz="0" w:space="0" w:color="auto"/>
                        <w:bottom w:val="none" w:sz="0" w:space="0" w:color="auto"/>
                        <w:right w:val="none" w:sz="0" w:space="0" w:color="auto"/>
                      </w:divBdr>
                    </w:div>
                  </w:divsChild>
                </w:div>
                <w:div w:id="18362865">
                  <w:marLeft w:val="0"/>
                  <w:marRight w:val="0"/>
                  <w:marTop w:val="0"/>
                  <w:marBottom w:val="0"/>
                  <w:divBdr>
                    <w:top w:val="none" w:sz="0" w:space="0" w:color="auto"/>
                    <w:left w:val="none" w:sz="0" w:space="0" w:color="auto"/>
                    <w:bottom w:val="none" w:sz="0" w:space="0" w:color="auto"/>
                    <w:right w:val="none" w:sz="0" w:space="0" w:color="auto"/>
                  </w:divBdr>
                  <w:divsChild>
                    <w:div w:id="612521570">
                      <w:marLeft w:val="0"/>
                      <w:marRight w:val="0"/>
                      <w:marTop w:val="0"/>
                      <w:marBottom w:val="0"/>
                      <w:divBdr>
                        <w:top w:val="none" w:sz="0" w:space="0" w:color="auto"/>
                        <w:left w:val="none" w:sz="0" w:space="0" w:color="auto"/>
                        <w:bottom w:val="none" w:sz="0" w:space="0" w:color="auto"/>
                        <w:right w:val="none" w:sz="0" w:space="0" w:color="auto"/>
                      </w:divBdr>
                    </w:div>
                  </w:divsChild>
                </w:div>
                <w:div w:id="1501389207">
                  <w:marLeft w:val="0"/>
                  <w:marRight w:val="0"/>
                  <w:marTop w:val="0"/>
                  <w:marBottom w:val="0"/>
                  <w:divBdr>
                    <w:top w:val="none" w:sz="0" w:space="0" w:color="auto"/>
                    <w:left w:val="none" w:sz="0" w:space="0" w:color="auto"/>
                    <w:bottom w:val="none" w:sz="0" w:space="0" w:color="auto"/>
                    <w:right w:val="none" w:sz="0" w:space="0" w:color="auto"/>
                  </w:divBdr>
                  <w:divsChild>
                    <w:div w:id="204224238">
                      <w:marLeft w:val="0"/>
                      <w:marRight w:val="0"/>
                      <w:marTop w:val="0"/>
                      <w:marBottom w:val="0"/>
                      <w:divBdr>
                        <w:top w:val="none" w:sz="0" w:space="0" w:color="auto"/>
                        <w:left w:val="none" w:sz="0" w:space="0" w:color="auto"/>
                        <w:bottom w:val="none" w:sz="0" w:space="0" w:color="auto"/>
                        <w:right w:val="none" w:sz="0" w:space="0" w:color="auto"/>
                      </w:divBdr>
                    </w:div>
                  </w:divsChild>
                </w:div>
                <w:div w:id="1108310666">
                  <w:marLeft w:val="0"/>
                  <w:marRight w:val="0"/>
                  <w:marTop w:val="0"/>
                  <w:marBottom w:val="0"/>
                  <w:divBdr>
                    <w:top w:val="none" w:sz="0" w:space="0" w:color="auto"/>
                    <w:left w:val="none" w:sz="0" w:space="0" w:color="auto"/>
                    <w:bottom w:val="none" w:sz="0" w:space="0" w:color="auto"/>
                    <w:right w:val="none" w:sz="0" w:space="0" w:color="auto"/>
                  </w:divBdr>
                  <w:divsChild>
                    <w:div w:id="1960333189">
                      <w:marLeft w:val="0"/>
                      <w:marRight w:val="0"/>
                      <w:marTop w:val="0"/>
                      <w:marBottom w:val="0"/>
                      <w:divBdr>
                        <w:top w:val="none" w:sz="0" w:space="0" w:color="auto"/>
                        <w:left w:val="none" w:sz="0" w:space="0" w:color="auto"/>
                        <w:bottom w:val="none" w:sz="0" w:space="0" w:color="auto"/>
                        <w:right w:val="none" w:sz="0" w:space="0" w:color="auto"/>
                      </w:divBdr>
                    </w:div>
                  </w:divsChild>
                </w:div>
                <w:div w:id="1388647793">
                  <w:marLeft w:val="0"/>
                  <w:marRight w:val="0"/>
                  <w:marTop w:val="0"/>
                  <w:marBottom w:val="0"/>
                  <w:divBdr>
                    <w:top w:val="none" w:sz="0" w:space="0" w:color="auto"/>
                    <w:left w:val="none" w:sz="0" w:space="0" w:color="auto"/>
                    <w:bottom w:val="none" w:sz="0" w:space="0" w:color="auto"/>
                    <w:right w:val="none" w:sz="0" w:space="0" w:color="auto"/>
                  </w:divBdr>
                  <w:divsChild>
                    <w:div w:id="859049993">
                      <w:marLeft w:val="0"/>
                      <w:marRight w:val="0"/>
                      <w:marTop w:val="0"/>
                      <w:marBottom w:val="0"/>
                      <w:divBdr>
                        <w:top w:val="none" w:sz="0" w:space="0" w:color="auto"/>
                        <w:left w:val="none" w:sz="0" w:space="0" w:color="auto"/>
                        <w:bottom w:val="none" w:sz="0" w:space="0" w:color="auto"/>
                        <w:right w:val="none" w:sz="0" w:space="0" w:color="auto"/>
                      </w:divBdr>
                    </w:div>
                    <w:div w:id="592202009">
                      <w:marLeft w:val="0"/>
                      <w:marRight w:val="0"/>
                      <w:marTop w:val="0"/>
                      <w:marBottom w:val="0"/>
                      <w:divBdr>
                        <w:top w:val="none" w:sz="0" w:space="0" w:color="auto"/>
                        <w:left w:val="none" w:sz="0" w:space="0" w:color="auto"/>
                        <w:bottom w:val="none" w:sz="0" w:space="0" w:color="auto"/>
                        <w:right w:val="none" w:sz="0" w:space="0" w:color="auto"/>
                      </w:divBdr>
                    </w:div>
                  </w:divsChild>
                </w:div>
                <w:div w:id="1699160352">
                  <w:marLeft w:val="0"/>
                  <w:marRight w:val="0"/>
                  <w:marTop w:val="0"/>
                  <w:marBottom w:val="0"/>
                  <w:divBdr>
                    <w:top w:val="none" w:sz="0" w:space="0" w:color="auto"/>
                    <w:left w:val="none" w:sz="0" w:space="0" w:color="auto"/>
                    <w:bottom w:val="none" w:sz="0" w:space="0" w:color="auto"/>
                    <w:right w:val="none" w:sz="0" w:space="0" w:color="auto"/>
                  </w:divBdr>
                  <w:divsChild>
                    <w:div w:id="456948389">
                      <w:marLeft w:val="0"/>
                      <w:marRight w:val="0"/>
                      <w:marTop w:val="0"/>
                      <w:marBottom w:val="0"/>
                      <w:divBdr>
                        <w:top w:val="none" w:sz="0" w:space="0" w:color="auto"/>
                        <w:left w:val="none" w:sz="0" w:space="0" w:color="auto"/>
                        <w:bottom w:val="none" w:sz="0" w:space="0" w:color="auto"/>
                        <w:right w:val="none" w:sz="0" w:space="0" w:color="auto"/>
                      </w:divBdr>
                    </w:div>
                    <w:div w:id="1062871592">
                      <w:marLeft w:val="0"/>
                      <w:marRight w:val="0"/>
                      <w:marTop w:val="0"/>
                      <w:marBottom w:val="0"/>
                      <w:divBdr>
                        <w:top w:val="none" w:sz="0" w:space="0" w:color="auto"/>
                        <w:left w:val="none" w:sz="0" w:space="0" w:color="auto"/>
                        <w:bottom w:val="none" w:sz="0" w:space="0" w:color="auto"/>
                        <w:right w:val="none" w:sz="0" w:space="0" w:color="auto"/>
                      </w:divBdr>
                    </w:div>
                    <w:div w:id="2041123907">
                      <w:marLeft w:val="0"/>
                      <w:marRight w:val="0"/>
                      <w:marTop w:val="0"/>
                      <w:marBottom w:val="0"/>
                      <w:divBdr>
                        <w:top w:val="none" w:sz="0" w:space="0" w:color="auto"/>
                        <w:left w:val="none" w:sz="0" w:space="0" w:color="auto"/>
                        <w:bottom w:val="none" w:sz="0" w:space="0" w:color="auto"/>
                        <w:right w:val="none" w:sz="0" w:space="0" w:color="auto"/>
                      </w:divBdr>
                    </w:div>
                  </w:divsChild>
                </w:div>
                <w:div w:id="103773638">
                  <w:marLeft w:val="0"/>
                  <w:marRight w:val="0"/>
                  <w:marTop w:val="0"/>
                  <w:marBottom w:val="0"/>
                  <w:divBdr>
                    <w:top w:val="none" w:sz="0" w:space="0" w:color="auto"/>
                    <w:left w:val="none" w:sz="0" w:space="0" w:color="auto"/>
                    <w:bottom w:val="none" w:sz="0" w:space="0" w:color="auto"/>
                    <w:right w:val="none" w:sz="0" w:space="0" w:color="auto"/>
                  </w:divBdr>
                  <w:divsChild>
                    <w:div w:id="1426850184">
                      <w:marLeft w:val="0"/>
                      <w:marRight w:val="0"/>
                      <w:marTop w:val="0"/>
                      <w:marBottom w:val="0"/>
                      <w:divBdr>
                        <w:top w:val="none" w:sz="0" w:space="0" w:color="auto"/>
                        <w:left w:val="none" w:sz="0" w:space="0" w:color="auto"/>
                        <w:bottom w:val="none" w:sz="0" w:space="0" w:color="auto"/>
                        <w:right w:val="none" w:sz="0" w:space="0" w:color="auto"/>
                      </w:divBdr>
                    </w:div>
                    <w:div w:id="1111775979">
                      <w:marLeft w:val="0"/>
                      <w:marRight w:val="0"/>
                      <w:marTop w:val="0"/>
                      <w:marBottom w:val="0"/>
                      <w:divBdr>
                        <w:top w:val="none" w:sz="0" w:space="0" w:color="auto"/>
                        <w:left w:val="none" w:sz="0" w:space="0" w:color="auto"/>
                        <w:bottom w:val="none" w:sz="0" w:space="0" w:color="auto"/>
                        <w:right w:val="none" w:sz="0" w:space="0" w:color="auto"/>
                      </w:divBdr>
                    </w:div>
                    <w:div w:id="167409432">
                      <w:marLeft w:val="0"/>
                      <w:marRight w:val="0"/>
                      <w:marTop w:val="0"/>
                      <w:marBottom w:val="0"/>
                      <w:divBdr>
                        <w:top w:val="none" w:sz="0" w:space="0" w:color="auto"/>
                        <w:left w:val="none" w:sz="0" w:space="0" w:color="auto"/>
                        <w:bottom w:val="none" w:sz="0" w:space="0" w:color="auto"/>
                        <w:right w:val="none" w:sz="0" w:space="0" w:color="auto"/>
                      </w:divBdr>
                    </w:div>
                    <w:div w:id="143861232">
                      <w:marLeft w:val="0"/>
                      <w:marRight w:val="0"/>
                      <w:marTop w:val="0"/>
                      <w:marBottom w:val="0"/>
                      <w:divBdr>
                        <w:top w:val="none" w:sz="0" w:space="0" w:color="auto"/>
                        <w:left w:val="none" w:sz="0" w:space="0" w:color="auto"/>
                        <w:bottom w:val="none" w:sz="0" w:space="0" w:color="auto"/>
                        <w:right w:val="none" w:sz="0" w:space="0" w:color="auto"/>
                      </w:divBdr>
                    </w:div>
                  </w:divsChild>
                </w:div>
                <w:div w:id="1947349257">
                  <w:marLeft w:val="0"/>
                  <w:marRight w:val="0"/>
                  <w:marTop w:val="0"/>
                  <w:marBottom w:val="0"/>
                  <w:divBdr>
                    <w:top w:val="none" w:sz="0" w:space="0" w:color="auto"/>
                    <w:left w:val="none" w:sz="0" w:space="0" w:color="auto"/>
                    <w:bottom w:val="none" w:sz="0" w:space="0" w:color="auto"/>
                    <w:right w:val="none" w:sz="0" w:space="0" w:color="auto"/>
                  </w:divBdr>
                  <w:divsChild>
                    <w:div w:id="1737514054">
                      <w:marLeft w:val="0"/>
                      <w:marRight w:val="0"/>
                      <w:marTop w:val="0"/>
                      <w:marBottom w:val="0"/>
                      <w:divBdr>
                        <w:top w:val="none" w:sz="0" w:space="0" w:color="auto"/>
                        <w:left w:val="none" w:sz="0" w:space="0" w:color="auto"/>
                        <w:bottom w:val="none" w:sz="0" w:space="0" w:color="auto"/>
                        <w:right w:val="none" w:sz="0" w:space="0" w:color="auto"/>
                      </w:divBdr>
                    </w:div>
                    <w:div w:id="2126340072">
                      <w:marLeft w:val="0"/>
                      <w:marRight w:val="0"/>
                      <w:marTop w:val="0"/>
                      <w:marBottom w:val="0"/>
                      <w:divBdr>
                        <w:top w:val="none" w:sz="0" w:space="0" w:color="auto"/>
                        <w:left w:val="none" w:sz="0" w:space="0" w:color="auto"/>
                        <w:bottom w:val="none" w:sz="0" w:space="0" w:color="auto"/>
                        <w:right w:val="none" w:sz="0" w:space="0" w:color="auto"/>
                      </w:divBdr>
                    </w:div>
                  </w:divsChild>
                </w:div>
                <w:div w:id="409038810">
                  <w:marLeft w:val="0"/>
                  <w:marRight w:val="0"/>
                  <w:marTop w:val="0"/>
                  <w:marBottom w:val="0"/>
                  <w:divBdr>
                    <w:top w:val="none" w:sz="0" w:space="0" w:color="auto"/>
                    <w:left w:val="none" w:sz="0" w:space="0" w:color="auto"/>
                    <w:bottom w:val="none" w:sz="0" w:space="0" w:color="auto"/>
                    <w:right w:val="none" w:sz="0" w:space="0" w:color="auto"/>
                  </w:divBdr>
                  <w:divsChild>
                    <w:div w:id="1265503327">
                      <w:marLeft w:val="0"/>
                      <w:marRight w:val="0"/>
                      <w:marTop w:val="0"/>
                      <w:marBottom w:val="0"/>
                      <w:divBdr>
                        <w:top w:val="none" w:sz="0" w:space="0" w:color="auto"/>
                        <w:left w:val="none" w:sz="0" w:space="0" w:color="auto"/>
                        <w:bottom w:val="none" w:sz="0" w:space="0" w:color="auto"/>
                        <w:right w:val="none" w:sz="0" w:space="0" w:color="auto"/>
                      </w:divBdr>
                    </w:div>
                  </w:divsChild>
                </w:div>
                <w:div w:id="2008089236">
                  <w:marLeft w:val="0"/>
                  <w:marRight w:val="0"/>
                  <w:marTop w:val="0"/>
                  <w:marBottom w:val="0"/>
                  <w:divBdr>
                    <w:top w:val="none" w:sz="0" w:space="0" w:color="auto"/>
                    <w:left w:val="none" w:sz="0" w:space="0" w:color="auto"/>
                    <w:bottom w:val="none" w:sz="0" w:space="0" w:color="auto"/>
                    <w:right w:val="none" w:sz="0" w:space="0" w:color="auto"/>
                  </w:divBdr>
                  <w:divsChild>
                    <w:div w:id="863788629">
                      <w:marLeft w:val="0"/>
                      <w:marRight w:val="0"/>
                      <w:marTop w:val="0"/>
                      <w:marBottom w:val="0"/>
                      <w:divBdr>
                        <w:top w:val="none" w:sz="0" w:space="0" w:color="auto"/>
                        <w:left w:val="none" w:sz="0" w:space="0" w:color="auto"/>
                        <w:bottom w:val="none" w:sz="0" w:space="0" w:color="auto"/>
                        <w:right w:val="none" w:sz="0" w:space="0" w:color="auto"/>
                      </w:divBdr>
                    </w:div>
                  </w:divsChild>
                </w:div>
                <w:div w:id="1319194257">
                  <w:marLeft w:val="0"/>
                  <w:marRight w:val="0"/>
                  <w:marTop w:val="0"/>
                  <w:marBottom w:val="0"/>
                  <w:divBdr>
                    <w:top w:val="none" w:sz="0" w:space="0" w:color="auto"/>
                    <w:left w:val="none" w:sz="0" w:space="0" w:color="auto"/>
                    <w:bottom w:val="none" w:sz="0" w:space="0" w:color="auto"/>
                    <w:right w:val="none" w:sz="0" w:space="0" w:color="auto"/>
                  </w:divBdr>
                  <w:divsChild>
                    <w:div w:id="3829309">
                      <w:marLeft w:val="0"/>
                      <w:marRight w:val="0"/>
                      <w:marTop w:val="0"/>
                      <w:marBottom w:val="0"/>
                      <w:divBdr>
                        <w:top w:val="none" w:sz="0" w:space="0" w:color="auto"/>
                        <w:left w:val="none" w:sz="0" w:space="0" w:color="auto"/>
                        <w:bottom w:val="none" w:sz="0" w:space="0" w:color="auto"/>
                        <w:right w:val="none" w:sz="0" w:space="0" w:color="auto"/>
                      </w:divBdr>
                    </w:div>
                  </w:divsChild>
                </w:div>
                <w:div w:id="223686923">
                  <w:marLeft w:val="0"/>
                  <w:marRight w:val="0"/>
                  <w:marTop w:val="0"/>
                  <w:marBottom w:val="0"/>
                  <w:divBdr>
                    <w:top w:val="none" w:sz="0" w:space="0" w:color="auto"/>
                    <w:left w:val="none" w:sz="0" w:space="0" w:color="auto"/>
                    <w:bottom w:val="none" w:sz="0" w:space="0" w:color="auto"/>
                    <w:right w:val="none" w:sz="0" w:space="0" w:color="auto"/>
                  </w:divBdr>
                  <w:divsChild>
                    <w:div w:id="880049608">
                      <w:marLeft w:val="0"/>
                      <w:marRight w:val="0"/>
                      <w:marTop w:val="0"/>
                      <w:marBottom w:val="0"/>
                      <w:divBdr>
                        <w:top w:val="none" w:sz="0" w:space="0" w:color="auto"/>
                        <w:left w:val="none" w:sz="0" w:space="0" w:color="auto"/>
                        <w:bottom w:val="none" w:sz="0" w:space="0" w:color="auto"/>
                        <w:right w:val="none" w:sz="0" w:space="0" w:color="auto"/>
                      </w:divBdr>
                    </w:div>
                    <w:div w:id="477579112">
                      <w:marLeft w:val="0"/>
                      <w:marRight w:val="0"/>
                      <w:marTop w:val="0"/>
                      <w:marBottom w:val="0"/>
                      <w:divBdr>
                        <w:top w:val="none" w:sz="0" w:space="0" w:color="auto"/>
                        <w:left w:val="none" w:sz="0" w:space="0" w:color="auto"/>
                        <w:bottom w:val="none" w:sz="0" w:space="0" w:color="auto"/>
                        <w:right w:val="none" w:sz="0" w:space="0" w:color="auto"/>
                      </w:divBdr>
                    </w:div>
                  </w:divsChild>
                </w:div>
                <w:div w:id="2146313354">
                  <w:marLeft w:val="0"/>
                  <w:marRight w:val="0"/>
                  <w:marTop w:val="0"/>
                  <w:marBottom w:val="0"/>
                  <w:divBdr>
                    <w:top w:val="none" w:sz="0" w:space="0" w:color="auto"/>
                    <w:left w:val="none" w:sz="0" w:space="0" w:color="auto"/>
                    <w:bottom w:val="none" w:sz="0" w:space="0" w:color="auto"/>
                    <w:right w:val="none" w:sz="0" w:space="0" w:color="auto"/>
                  </w:divBdr>
                  <w:divsChild>
                    <w:div w:id="450630530">
                      <w:marLeft w:val="0"/>
                      <w:marRight w:val="0"/>
                      <w:marTop w:val="0"/>
                      <w:marBottom w:val="0"/>
                      <w:divBdr>
                        <w:top w:val="none" w:sz="0" w:space="0" w:color="auto"/>
                        <w:left w:val="none" w:sz="0" w:space="0" w:color="auto"/>
                        <w:bottom w:val="none" w:sz="0" w:space="0" w:color="auto"/>
                        <w:right w:val="none" w:sz="0" w:space="0" w:color="auto"/>
                      </w:divBdr>
                    </w:div>
                  </w:divsChild>
                </w:div>
                <w:div w:id="1171212690">
                  <w:marLeft w:val="0"/>
                  <w:marRight w:val="0"/>
                  <w:marTop w:val="0"/>
                  <w:marBottom w:val="0"/>
                  <w:divBdr>
                    <w:top w:val="none" w:sz="0" w:space="0" w:color="auto"/>
                    <w:left w:val="none" w:sz="0" w:space="0" w:color="auto"/>
                    <w:bottom w:val="none" w:sz="0" w:space="0" w:color="auto"/>
                    <w:right w:val="none" w:sz="0" w:space="0" w:color="auto"/>
                  </w:divBdr>
                  <w:divsChild>
                    <w:div w:id="1618874467">
                      <w:marLeft w:val="0"/>
                      <w:marRight w:val="0"/>
                      <w:marTop w:val="0"/>
                      <w:marBottom w:val="0"/>
                      <w:divBdr>
                        <w:top w:val="none" w:sz="0" w:space="0" w:color="auto"/>
                        <w:left w:val="none" w:sz="0" w:space="0" w:color="auto"/>
                        <w:bottom w:val="none" w:sz="0" w:space="0" w:color="auto"/>
                        <w:right w:val="none" w:sz="0" w:space="0" w:color="auto"/>
                      </w:divBdr>
                    </w:div>
                  </w:divsChild>
                </w:div>
                <w:div w:id="1650555584">
                  <w:marLeft w:val="0"/>
                  <w:marRight w:val="0"/>
                  <w:marTop w:val="0"/>
                  <w:marBottom w:val="0"/>
                  <w:divBdr>
                    <w:top w:val="none" w:sz="0" w:space="0" w:color="auto"/>
                    <w:left w:val="none" w:sz="0" w:space="0" w:color="auto"/>
                    <w:bottom w:val="none" w:sz="0" w:space="0" w:color="auto"/>
                    <w:right w:val="none" w:sz="0" w:space="0" w:color="auto"/>
                  </w:divBdr>
                  <w:divsChild>
                    <w:div w:id="1614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768151">
              <w:marLeft w:val="0"/>
              <w:marRight w:val="0"/>
              <w:marTop w:val="0"/>
              <w:marBottom w:val="0"/>
              <w:divBdr>
                <w:top w:val="none" w:sz="0" w:space="0" w:color="auto"/>
                <w:left w:val="none" w:sz="0" w:space="0" w:color="auto"/>
                <w:bottom w:val="none" w:sz="0" w:space="0" w:color="auto"/>
                <w:right w:val="none" w:sz="0" w:space="0" w:color="auto"/>
              </w:divBdr>
              <w:divsChild>
                <w:div w:id="732385378">
                  <w:marLeft w:val="0"/>
                  <w:marRight w:val="0"/>
                  <w:marTop w:val="0"/>
                  <w:marBottom w:val="0"/>
                  <w:divBdr>
                    <w:top w:val="none" w:sz="0" w:space="0" w:color="auto"/>
                    <w:left w:val="none" w:sz="0" w:space="0" w:color="auto"/>
                    <w:bottom w:val="none" w:sz="0" w:space="0" w:color="auto"/>
                    <w:right w:val="none" w:sz="0" w:space="0" w:color="auto"/>
                  </w:divBdr>
                  <w:divsChild>
                    <w:div w:id="75563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786284">
          <w:marLeft w:val="0"/>
          <w:marRight w:val="0"/>
          <w:marTop w:val="0"/>
          <w:marBottom w:val="0"/>
          <w:divBdr>
            <w:top w:val="none" w:sz="0" w:space="0" w:color="auto"/>
            <w:left w:val="none" w:sz="0" w:space="0" w:color="auto"/>
            <w:bottom w:val="none" w:sz="0" w:space="0" w:color="auto"/>
            <w:right w:val="none" w:sz="0" w:space="0" w:color="auto"/>
          </w:divBdr>
          <w:divsChild>
            <w:div w:id="1115951291">
              <w:marLeft w:val="0"/>
              <w:marRight w:val="0"/>
              <w:marTop w:val="0"/>
              <w:marBottom w:val="0"/>
              <w:divBdr>
                <w:top w:val="none" w:sz="0" w:space="0" w:color="auto"/>
                <w:left w:val="none" w:sz="0" w:space="0" w:color="auto"/>
                <w:bottom w:val="none" w:sz="0" w:space="0" w:color="auto"/>
                <w:right w:val="none" w:sz="0" w:space="0" w:color="auto"/>
              </w:divBdr>
              <w:divsChild>
                <w:div w:id="279144180">
                  <w:marLeft w:val="0"/>
                  <w:marRight w:val="0"/>
                  <w:marTop w:val="0"/>
                  <w:marBottom w:val="0"/>
                  <w:divBdr>
                    <w:top w:val="none" w:sz="0" w:space="0" w:color="auto"/>
                    <w:left w:val="none" w:sz="0" w:space="0" w:color="auto"/>
                    <w:bottom w:val="none" w:sz="0" w:space="0" w:color="auto"/>
                    <w:right w:val="none" w:sz="0" w:space="0" w:color="auto"/>
                  </w:divBdr>
                  <w:divsChild>
                    <w:div w:id="166103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795944">
      <w:bodyDiv w:val="1"/>
      <w:marLeft w:val="0"/>
      <w:marRight w:val="0"/>
      <w:marTop w:val="0"/>
      <w:marBottom w:val="0"/>
      <w:divBdr>
        <w:top w:val="none" w:sz="0" w:space="0" w:color="auto"/>
        <w:left w:val="none" w:sz="0" w:space="0" w:color="auto"/>
        <w:bottom w:val="none" w:sz="0" w:space="0" w:color="auto"/>
        <w:right w:val="none" w:sz="0" w:space="0" w:color="auto"/>
      </w:divBdr>
    </w:div>
    <w:div w:id="986251484">
      <w:bodyDiv w:val="1"/>
      <w:marLeft w:val="0"/>
      <w:marRight w:val="0"/>
      <w:marTop w:val="0"/>
      <w:marBottom w:val="0"/>
      <w:divBdr>
        <w:top w:val="none" w:sz="0" w:space="0" w:color="auto"/>
        <w:left w:val="none" w:sz="0" w:space="0" w:color="auto"/>
        <w:bottom w:val="none" w:sz="0" w:space="0" w:color="auto"/>
        <w:right w:val="none" w:sz="0" w:space="0" w:color="auto"/>
      </w:divBdr>
    </w:div>
    <w:div w:id="1028264171">
      <w:bodyDiv w:val="1"/>
      <w:marLeft w:val="0"/>
      <w:marRight w:val="0"/>
      <w:marTop w:val="0"/>
      <w:marBottom w:val="0"/>
      <w:divBdr>
        <w:top w:val="none" w:sz="0" w:space="0" w:color="auto"/>
        <w:left w:val="none" w:sz="0" w:space="0" w:color="auto"/>
        <w:bottom w:val="none" w:sz="0" w:space="0" w:color="auto"/>
        <w:right w:val="none" w:sz="0" w:space="0" w:color="auto"/>
      </w:divBdr>
    </w:div>
    <w:div w:id="1304042189">
      <w:bodyDiv w:val="1"/>
      <w:marLeft w:val="0"/>
      <w:marRight w:val="0"/>
      <w:marTop w:val="0"/>
      <w:marBottom w:val="0"/>
      <w:divBdr>
        <w:top w:val="none" w:sz="0" w:space="0" w:color="auto"/>
        <w:left w:val="none" w:sz="0" w:space="0" w:color="auto"/>
        <w:bottom w:val="none" w:sz="0" w:space="0" w:color="auto"/>
        <w:right w:val="none" w:sz="0" w:space="0" w:color="auto"/>
      </w:divBdr>
    </w:div>
    <w:div w:id="1404597811">
      <w:bodyDiv w:val="1"/>
      <w:marLeft w:val="0"/>
      <w:marRight w:val="0"/>
      <w:marTop w:val="0"/>
      <w:marBottom w:val="0"/>
      <w:divBdr>
        <w:top w:val="none" w:sz="0" w:space="0" w:color="auto"/>
        <w:left w:val="none" w:sz="0" w:space="0" w:color="auto"/>
        <w:bottom w:val="none" w:sz="0" w:space="0" w:color="auto"/>
        <w:right w:val="none" w:sz="0" w:space="0" w:color="auto"/>
      </w:divBdr>
    </w:div>
    <w:div w:id="1631352805">
      <w:bodyDiv w:val="1"/>
      <w:marLeft w:val="0"/>
      <w:marRight w:val="0"/>
      <w:marTop w:val="0"/>
      <w:marBottom w:val="0"/>
      <w:divBdr>
        <w:top w:val="none" w:sz="0" w:space="0" w:color="auto"/>
        <w:left w:val="none" w:sz="0" w:space="0" w:color="auto"/>
        <w:bottom w:val="none" w:sz="0" w:space="0" w:color="auto"/>
        <w:right w:val="none" w:sz="0" w:space="0" w:color="auto"/>
      </w:divBdr>
    </w:div>
    <w:div w:id="1674986426">
      <w:bodyDiv w:val="1"/>
      <w:marLeft w:val="0"/>
      <w:marRight w:val="0"/>
      <w:marTop w:val="0"/>
      <w:marBottom w:val="0"/>
      <w:divBdr>
        <w:top w:val="none" w:sz="0" w:space="0" w:color="auto"/>
        <w:left w:val="none" w:sz="0" w:space="0" w:color="auto"/>
        <w:bottom w:val="none" w:sz="0" w:space="0" w:color="auto"/>
        <w:right w:val="none" w:sz="0" w:space="0" w:color="auto"/>
      </w:divBdr>
    </w:div>
    <w:div w:id="1775829316">
      <w:bodyDiv w:val="1"/>
      <w:marLeft w:val="0"/>
      <w:marRight w:val="0"/>
      <w:marTop w:val="0"/>
      <w:marBottom w:val="0"/>
      <w:divBdr>
        <w:top w:val="none" w:sz="0" w:space="0" w:color="auto"/>
        <w:left w:val="none" w:sz="0" w:space="0" w:color="auto"/>
        <w:bottom w:val="none" w:sz="0" w:space="0" w:color="auto"/>
        <w:right w:val="none" w:sz="0" w:space="0" w:color="auto"/>
      </w:divBdr>
    </w:div>
    <w:div w:id="1784381296">
      <w:bodyDiv w:val="1"/>
      <w:marLeft w:val="0"/>
      <w:marRight w:val="0"/>
      <w:marTop w:val="0"/>
      <w:marBottom w:val="0"/>
      <w:divBdr>
        <w:top w:val="none" w:sz="0" w:space="0" w:color="auto"/>
        <w:left w:val="none" w:sz="0" w:space="0" w:color="auto"/>
        <w:bottom w:val="none" w:sz="0" w:space="0" w:color="auto"/>
        <w:right w:val="none" w:sz="0" w:space="0" w:color="auto"/>
      </w:divBdr>
    </w:div>
    <w:div w:id="1830294465">
      <w:bodyDiv w:val="1"/>
      <w:marLeft w:val="0"/>
      <w:marRight w:val="0"/>
      <w:marTop w:val="0"/>
      <w:marBottom w:val="0"/>
      <w:divBdr>
        <w:top w:val="none" w:sz="0" w:space="0" w:color="auto"/>
        <w:left w:val="none" w:sz="0" w:space="0" w:color="auto"/>
        <w:bottom w:val="none" w:sz="0" w:space="0" w:color="auto"/>
        <w:right w:val="none" w:sz="0" w:space="0" w:color="auto"/>
      </w:divBdr>
    </w:div>
    <w:div w:id="1917863362">
      <w:bodyDiv w:val="1"/>
      <w:marLeft w:val="0"/>
      <w:marRight w:val="0"/>
      <w:marTop w:val="0"/>
      <w:marBottom w:val="0"/>
      <w:divBdr>
        <w:top w:val="none" w:sz="0" w:space="0" w:color="auto"/>
        <w:left w:val="none" w:sz="0" w:space="0" w:color="auto"/>
        <w:bottom w:val="none" w:sz="0" w:space="0" w:color="auto"/>
        <w:right w:val="none" w:sz="0" w:space="0" w:color="auto"/>
      </w:divBdr>
    </w:div>
    <w:div w:id="2000764985">
      <w:bodyDiv w:val="1"/>
      <w:marLeft w:val="0"/>
      <w:marRight w:val="0"/>
      <w:marTop w:val="0"/>
      <w:marBottom w:val="0"/>
      <w:divBdr>
        <w:top w:val="none" w:sz="0" w:space="0" w:color="auto"/>
        <w:left w:val="none" w:sz="0" w:space="0" w:color="auto"/>
        <w:bottom w:val="none" w:sz="0" w:space="0" w:color="auto"/>
        <w:right w:val="none" w:sz="0" w:space="0" w:color="auto"/>
      </w:divBdr>
    </w:div>
    <w:div w:id="2007198170">
      <w:bodyDiv w:val="1"/>
      <w:marLeft w:val="0"/>
      <w:marRight w:val="0"/>
      <w:marTop w:val="0"/>
      <w:marBottom w:val="0"/>
      <w:divBdr>
        <w:top w:val="none" w:sz="0" w:space="0" w:color="auto"/>
        <w:left w:val="none" w:sz="0" w:space="0" w:color="auto"/>
        <w:bottom w:val="none" w:sz="0" w:space="0" w:color="auto"/>
        <w:right w:val="none" w:sz="0" w:space="0" w:color="auto"/>
      </w:divBdr>
      <w:divsChild>
        <w:div w:id="1518810586">
          <w:marLeft w:val="0"/>
          <w:marRight w:val="0"/>
          <w:marTop w:val="0"/>
          <w:marBottom w:val="0"/>
          <w:divBdr>
            <w:top w:val="none" w:sz="0" w:space="0" w:color="auto"/>
            <w:left w:val="none" w:sz="0" w:space="0" w:color="auto"/>
            <w:bottom w:val="none" w:sz="0" w:space="0" w:color="auto"/>
            <w:right w:val="none" w:sz="0" w:space="0" w:color="auto"/>
          </w:divBdr>
          <w:divsChild>
            <w:div w:id="1978755849">
              <w:marLeft w:val="0"/>
              <w:marRight w:val="0"/>
              <w:marTop w:val="0"/>
              <w:marBottom w:val="0"/>
              <w:divBdr>
                <w:top w:val="none" w:sz="0" w:space="0" w:color="auto"/>
                <w:left w:val="none" w:sz="0" w:space="0" w:color="auto"/>
                <w:bottom w:val="none" w:sz="0" w:space="0" w:color="auto"/>
                <w:right w:val="none" w:sz="0" w:space="0" w:color="auto"/>
              </w:divBdr>
              <w:divsChild>
                <w:div w:id="1380324817">
                  <w:marLeft w:val="0"/>
                  <w:marRight w:val="0"/>
                  <w:marTop w:val="0"/>
                  <w:marBottom w:val="0"/>
                  <w:divBdr>
                    <w:top w:val="none" w:sz="0" w:space="0" w:color="auto"/>
                    <w:left w:val="none" w:sz="0" w:space="0" w:color="auto"/>
                    <w:bottom w:val="none" w:sz="0" w:space="0" w:color="auto"/>
                    <w:right w:val="none" w:sz="0" w:space="0" w:color="auto"/>
                  </w:divBdr>
                  <w:divsChild>
                    <w:div w:id="186713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152368">
      <w:bodyDiv w:val="1"/>
      <w:marLeft w:val="0"/>
      <w:marRight w:val="0"/>
      <w:marTop w:val="0"/>
      <w:marBottom w:val="0"/>
      <w:divBdr>
        <w:top w:val="none" w:sz="0" w:space="0" w:color="auto"/>
        <w:left w:val="none" w:sz="0" w:space="0" w:color="auto"/>
        <w:bottom w:val="none" w:sz="0" w:space="0" w:color="auto"/>
        <w:right w:val="none" w:sz="0" w:space="0" w:color="auto"/>
      </w:divBdr>
    </w:div>
    <w:div w:id="2028755125">
      <w:bodyDiv w:val="1"/>
      <w:marLeft w:val="0"/>
      <w:marRight w:val="0"/>
      <w:marTop w:val="0"/>
      <w:marBottom w:val="0"/>
      <w:divBdr>
        <w:top w:val="none" w:sz="0" w:space="0" w:color="auto"/>
        <w:left w:val="none" w:sz="0" w:space="0" w:color="auto"/>
        <w:bottom w:val="none" w:sz="0" w:space="0" w:color="auto"/>
        <w:right w:val="none" w:sz="0" w:space="0" w:color="auto"/>
      </w:divBdr>
    </w:div>
    <w:div w:id="2090954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CFF20-EF10-4914-AA98-134FBCD91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38207</Words>
  <Characters>217781</Characters>
  <Application>Microsoft Office Word</Application>
  <DocSecurity>0</DocSecurity>
  <Lines>1814</Lines>
  <Paragraphs>510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Frederik Allan</dc:creator>
  <cp:keywords/>
  <dc:description/>
  <cp:lastModifiedBy>Penny Watson</cp:lastModifiedBy>
  <cp:revision>2</cp:revision>
  <dcterms:created xsi:type="dcterms:W3CDTF">2021-09-13T16:39:00Z</dcterms:created>
  <dcterms:modified xsi:type="dcterms:W3CDTF">2021-09-13T16:39:00Z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579baf0c-7db2-3fce-ab63-a34e344f93e1</vt:lpwstr>
  </property>
  <property fmtid="{D5CDD505-2E9C-101B-9397-08002B2CF9AE}" pid="4" name="Mendeley Citation Style_1">
    <vt:lpwstr>http://csl.mendeley.com/styles/536701601/vancouver-2</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http://www.zotero.org/styles/chicago-author-date</vt:lpwstr>
  </property>
  <property fmtid="{D5CDD505-2E9C-101B-9397-08002B2CF9AE}" pid="8" name="Mendeley Recent Style Name 1_1">
    <vt:lpwstr>Chicago Manual of Style 17th edition (author-date)</vt:lpwstr>
  </property>
  <property fmtid="{D5CDD505-2E9C-101B-9397-08002B2CF9AE}" pid="9" name="Mendeley Recent Style Id 2_1">
    <vt:lpwstr>http://www.zotero.org/styles/harvard-cite-them-right</vt:lpwstr>
  </property>
  <property fmtid="{D5CDD505-2E9C-101B-9397-08002B2CF9AE}" pid="10" name="Mendeley Recent Style Name 2_1">
    <vt:lpwstr>Cite Them Right 10th edition - Harvard</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(deprecated)</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8th edition</vt:lpwstr>
  </property>
  <property fmtid="{D5CDD505-2E9C-101B-9397-08002B2CF9AE}" pid="19" name="Mendeley Recent Style Id 7_1">
    <vt:lpwstr>http://www.zotero.org/styles/vancouver</vt:lpwstr>
  </property>
  <property fmtid="{D5CDD505-2E9C-101B-9397-08002B2CF9AE}" pid="20" name="Mendeley Recent Style Name 7_1">
    <vt:lpwstr>Vancouver</vt:lpwstr>
  </property>
  <property fmtid="{D5CDD505-2E9C-101B-9397-08002B2CF9AE}" pid="21" name="Mendeley Recent Style Id 8_1">
    <vt:lpwstr>https://csl.mendeley.com/styles/536701601/vancouver-2</vt:lpwstr>
  </property>
  <property fmtid="{D5CDD505-2E9C-101B-9397-08002B2CF9AE}" pid="22" name="Mendeley Recent Style Name 8_1">
    <vt:lpwstr>Vancouver - Freddie Allan</vt:lpwstr>
  </property>
  <property fmtid="{D5CDD505-2E9C-101B-9397-08002B2CF9AE}" pid="23" name="Mendeley Recent Style Id 9_1">
    <vt:lpwstr>http://csl.mendeley.com/styles/536701601/vancouver-2</vt:lpwstr>
  </property>
  <property fmtid="{D5CDD505-2E9C-101B-9397-08002B2CF9AE}" pid="24" name="Mendeley Recent Style Name 9_1">
    <vt:lpwstr>Vancouver - Freddie Allan</vt:lpwstr>
  </property>
</Properties>
</file>