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EB26142" w14:textId="3F0EA241" w:rsidR="009D37AD" w:rsidRDefault="009D37AD" w:rsidP="00675D01">
      <w:pPr>
        <w:spacing w:line="360" w:lineRule="auto"/>
        <w:ind w:firstLine="720"/>
        <w:jc w:val="center"/>
        <w:outlineLvl w:val="0"/>
        <w:rPr>
          <w:b/>
          <w:sz w:val="32"/>
          <w:szCs w:val="32"/>
        </w:rPr>
      </w:pPr>
      <w:r>
        <w:rPr>
          <w:b/>
          <w:bCs/>
          <w:kern w:val="36"/>
          <w:sz w:val="32"/>
          <w:szCs w:val="32"/>
        </w:rPr>
        <w:t>The role of</w:t>
      </w:r>
      <w:r w:rsidR="00FF6FE7" w:rsidRPr="00661AE1">
        <w:rPr>
          <w:b/>
          <w:bCs/>
          <w:kern w:val="36"/>
          <w:sz w:val="32"/>
          <w:szCs w:val="32"/>
        </w:rPr>
        <w:t xml:space="preserve"> </w:t>
      </w:r>
      <w:r w:rsidR="00AD101C" w:rsidRPr="00661AE1">
        <w:rPr>
          <w:b/>
          <w:bCs/>
          <w:kern w:val="36"/>
          <w:sz w:val="32"/>
          <w:szCs w:val="32"/>
        </w:rPr>
        <w:t>sub-</w:t>
      </w:r>
      <w:r w:rsidR="00FF6FE7" w:rsidRPr="00661AE1">
        <w:rPr>
          <w:b/>
          <w:bCs/>
          <w:kern w:val="36"/>
          <w:sz w:val="32"/>
          <w:szCs w:val="32"/>
        </w:rPr>
        <w:t xml:space="preserve">continental </w:t>
      </w:r>
      <w:r w:rsidR="002C1079" w:rsidRPr="00661AE1">
        <w:rPr>
          <w:b/>
          <w:bCs/>
          <w:kern w:val="36"/>
          <w:sz w:val="32"/>
          <w:szCs w:val="32"/>
        </w:rPr>
        <w:t>mantle</w:t>
      </w:r>
      <w:r>
        <w:rPr>
          <w:b/>
          <w:bCs/>
          <w:kern w:val="36"/>
          <w:sz w:val="32"/>
          <w:szCs w:val="32"/>
        </w:rPr>
        <w:t xml:space="preserve"> </w:t>
      </w:r>
      <w:r w:rsidR="007C2C4D">
        <w:rPr>
          <w:b/>
          <w:bCs/>
          <w:kern w:val="36"/>
          <w:sz w:val="32"/>
          <w:szCs w:val="32"/>
        </w:rPr>
        <w:t xml:space="preserve">as both “sink” and “source” </w:t>
      </w:r>
      <w:r>
        <w:rPr>
          <w:b/>
          <w:bCs/>
          <w:kern w:val="36"/>
          <w:sz w:val="32"/>
          <w:szCs w:val="32"/>
        </w:rPr>
        <w:t>in deep Earth volatile cycles</w:t>
      </w:r>
    </w:p>
    <w:p w14:paraId="19081301" w14:textId="77777777" w:rsidR="009D37AD" w:rsidRDefault="009D37AD" w:rsidP="00675D01">
      <w:pPr>
        <w:spacing w:line="360" w:lineRule="auto"/>
        <w:ind w:firstLine="720"/>
        <w:jc w:val="center"/>
        <w:outlineLvl w:val="0"/>
        <w:rPr>
          <w:b/>
          <w:sz w:val="32"/>
          <w:szCs w:val="32"/>
        </w:rPr>
      </w:pPr>
    </w:p>
    <w:p w14:paraId="2508ACB0" w14:textId="77777777" w:rsidR="009D37AD" w:rsidRDefault="009D37AD" w:rsidP="00675D01">
      <w:pPr>
        <w:spacing w:line="360" w:lineRule="auto"/>
        <w:ind w:firstLine="720"/>
        <w:jc w:val="center"/>
        <w:outlineLvl w:val="0"/>
        <w:rPr>
          <w:b/>
          <w:sz w:val="32"/>
          <w:szCs w:val="32"/>
        </w:rPr>
      </w:pPr>
    </w:p>
    <w:p w14:paraId="7519F218" w14:textId="5EA9C931" w:rsidR="00391BD0" w:rsidRPr="009D37AD" w:rsidRDefault="00391BD0" w:rsidP="00675D01">
      <w:pPr>
        <w:spacing w:line="360" w:lineRule="auto"/>
        <w:ind w:firstLine="720"/>
        <w:jc w:val="center"/>
        <w:outlineLvl w:val="0"/>
        <w:rPr>
          <w:b/>
          <w:bCs/>
          <w:kern w:val="36"/>
          <w:sz w:val="32"/>
          <w:szCs w:val="32"/>
        </w:rPr>
      </w:pPr>
    </w:p>
    <w:p w14:paraId="7F69817E" w14:textId="77777777" w:rsidR="001A45B4" w:rsidRPr="00661AE1" w:rsidRDefault="001A45B4" w:rsidP="00675D01">
      <w:pPr>
        <w:spacing w:before="100" w:beforeAutospacing="1" w:after="100" w:afterAutospacing="1" w:line="360" w:lineRule="auto"/>
        <w:contextualSpacing/>
        <w:jc w:val="both"/>
        <w:outlineLvl w:val="0"/>
        <w:rPr>
          <w:bCs/>
          <w:kern w:val="36"/>
        </w:rPr>
      </w:pPr>
    </w:p>
    <w:p w14:paraId="0D99CBDE" w14:textId="2C6848B9" w:rsidR="008F3434" w:rsidRPr="00661AE1" w:rsidRDefault="008F3434" w:rsidP="00675D01">
      <w:pPr>
        <w:spacing w:before="100" w:beforeAutospacing="1" w:after="100" w:afterAutospacing="1" w:line="360" w:lineRule="auto"/>
        <w:contextualSpacing/>
        <w:jc w:val="both"/>
        <w:outlineLvl w:val="0"/>
        <w:rPr>
          <w:bCs/>
          <w:kern w:val="36"/>
          <w:vertAlign w:val="superscript"/>
        </w:rPr>
      </w:pPr>
      <w:r w:rsidRPr="00661AE1">
        <w:rPr>
          <w:bCs/>
          <w:kern w:val="36"/>
        </w:rPr>
        <w:t>Sally A. Gibson</w:t>
      </w:r>
      <w:r w:rsidR="007B2796" w:rsidRPr="00661AE1">
        <w:rPr>
          <w:b/>
          <w:bCs/>
          <w:kern w:val="36"/>
        </w:rPr>
        <w:t>*</w:t>
      </w:r>
      <w:r w:rsidR="001A45B4" w:rsidRPr="00661AE1">
        <w:rPr>
          <w:bCs/>
          <w:kern w:val="36"/>
          <w:vertAlign w:val="superscript"/>
        </w:rPr>
        <w:t>a</w:t>
      </w:r>
      <w:r w:rsidRPr="00661AE1">
        <w:rPr>
          <w:bCs/>
          <w:kern w:val="36"/>
        </w:rPr>
        <w:t xml:space="preserve">, </w:t>
      </w:r>
      <w:r w:rsidR="002C4D78" w:rsidRPr="009B315C">
        <w:rPr>
          <w:bCs/>
          <w:kern w:val="36"/>
        </w:rPr>
        <w:t>Eve E. Rooks</w:t>
      </w:r>
      <w:r w:rsidR="002C4D78" w:rsidRPr="009B315C">
        <w:rPr>
          <w:bCs/>
          <w:kern w:val="36"/>
          <w:vertAlign w:val="superscript"/>
        </w:rPr>
        <w:t>a</w:t>
      </w:r>
      <w:r w:rsidR="002C4D78" w:rsidRPr="00661AE1">
        <w:rPr>
          <w:bCs/>
          <w:kern w:val="36"/>
        </w:rPr>
        <w:t>,</w:t>
      </w:r>
      <w:r w:rsidR="004A1CEC" w:rsidRPr="00661AE1">
        <w:rPr>
          <w:bCs/>
          <w:kern w:val="36"/>
        </w:rPr>
        <w:t xml:space="preserve"> </w:t>
      </w:r>
      <w:r w:rsidR="00EF6E6F" w:rsidRPr="00661AE1">
        <w:rPr>
          <w:bCs/>
          <w:kern w:val="36"/>
        </w:rPr>
        <w:t>Jason A Day</w:t>
      </w:r>
      <w:r w:rsidR="00EF6E6F" w:rsidRPr="00661AE1">
        <w:rPr>
          <w:bCs/>
          <w:kern w:val="36"/>
          <w:vertAlign w:val="superscript"/>
        </w:rPr>
        <w:t>a</w:t>
      </w:r>
      <w:r w:rsidR="00EF6E6F" w:rsidRPr="00661AE1">
        <w:rPr>
          <w:bCs/>
          <w:kern w:val="36"/>
        </w:rPr>
        <w:t xml:space="preserve">, </w:t>
      </w:r>
      <w:r w:rsidRPr="00661AE1">
        <w:rPr>
          <w:bCs/>
          <w:kern w:val="36"/>
        </w:rPr>
        <w:t>Chiara M. Petrone</w:t>
      </w:r>
      <w:r w:rsidR="001A45B4" w:rsidRPr="00661AE1">
        <w:rPr>
          <w:bCs/>
          <w:kern w:val="36"/>
          <w:vertAlign w:val="superscript"/>
        </w:rPr>
        <w:t>b</w:t>
      </w:r>
      <w:r w:rsidR="003045CE" w:rsidRPr="00661AE1">
        <w:rPr>
          <w:bCs/>
          <w:kern w:val="36"/>
        </w:rPr>
        <w:t xml:space="preserve">, Phillip </w:t>
      </w:r>
      <w:r w:rsidR="00DF4A75">
        <w:rPr>
          <w:bCs/>
          <w:kern w:val="36"/>
        </w:rPr>
        <w:t xml:space="preserve">T. </w:t>
      </w:r>
      <w:r w:rsidR="003045CE" w:rsidRPr="00661AE1">
        <w:rPr>
          <w:bCs/>
          <w:kern w:val="36"/>
        </w:rPr>
        <w:t>Leat</w:t>
      </w:r>
      <w:r w:rsidR="003045CE" w:rsidRPr="00661AE1">
        <w:rPr>
          <w:bCs/>
          <w:kern w:val="36"/>
          <w:vertAlign w:val="superscript"/>
        </w:rPr>
        <w:t>c</w:t>
      </w:r>
    </w:p>
    <w:p w14:paraId="602EB852" w14:textId="782C310E" w:rsidR="008F3434" w:rsidRPr="00661AE1" w:rsidRDefault="001A45B4" w:rsidP="00675D01">
      <w:pPr>
        <w:spacing w:before="100" w:beforeAutospacing="1" w:after="100" w:afterAutospacing="1" w:line="360" w:lineRule="auto"/>
        <w:contextualSpacing/>
        <w:jc w:val="both"/>
        <w:outlineLvl w:val="0"/>
        <w:rPr>
          <w:bCs/>
          <w:kern w:val="36"/>
        </w:rPr>
      </w:pPr>
      <w:r w:rsidRPr="00661AE1">
        <w:rPr>
          <w:bCs/>
          <w:kern w:val="36"/>
          <w:vertAlign w:val="superscript"/>
        </w:rPr>
        <w:t>a</w:t>
      </w:r>
      <w:r w:rsidR="008F3434" w:rsidRPr="00661AE1">
        <w:rPr>
          <w:bCs/>
          <w:kern w:val="36"/>
        </w:rPr>
        <w:t xml:space="preserve">Department of Earth Sciences, University of Cambridge, </w:t>
      </w:r>
      <w:r w:rsidR="003413BD" w:rsidRPr="00661AE1">
        <w:rPr>
          <w:bCs/>
          <w:kern w:val="36"/>
        </w:rPr>
        <w:t xml:space="preserve">CB2 3EQ, </w:t>
      </w:r>
      <w:r w:rsidR="008F3434" w:rsidRPr="00661AE1">
        <w:rPr>
          <w:bCs/>
          <w:kern w:val="36"/>
        </w:rPr>
        <w:t>UK</w:t>
      </w:r>
    </w:p>
    <w:p w14:paraId="21B465C7" w14:textId="687F0411" w:rsidR="00476503" w:rsidRPr="00661AE1" w:rsidRDefault="001A45B4" w:rsidP="00675D01">
      <w:pPr>
        <w:spacing w:before="100" w:beforeAutospacing="1" w:after="100" w:afterAutospacing="1" w:line="360" w:lineRule="auto"/>
        <w:contextualSpacing/>
        <w:jc w:val="both"/>
        <w:outlineLvl w:val="0"/>
        <w:rPr>
          <w:bCs/>
          <w:kern w:val="36"/>
        </w:rPr>
      </w:pPr>
      <w:r w:rsidRPr="00661AE1">
        <w:rPr>
          <w:bCs/>
          <w:kern w:val="36"/>
          <w:vertAlign w:val="superscript"/>
        </w:rPr>
        <w:t>b</w:t>
      </w:r>
      <w:r w:rsidR="008F3434" w:rsidRPr="00661AE1">
        <w:rPr>
          <w:bCs/>
          <w:kern w:val="36"/>
        </w:rPr>
        <w:t xml:space="preserve">Department of Earth Sciences, Natural History Museum, </w:t>
      </w:r>
      <w:r w:rsidR="00476503" w:rsidRPr="00661AE1">
        <w:rPr>
          <w:bCs/>
          <w:kern w:val="36"/>
        </w:rPr>
        <w:t>Cromwell Road, London, SW7 5BD, UK</w:t>
      </w:r>
    </w:p>
    <w:p w14:paraId="3EF7187F" w14:textId="28739735" w:rsidR="00476503" w:rsidRPr="00661AE1" w:rsidRDefault="003B7694" w:rsidP="00675D01">
      <w:pPr>
        <w:spacing w:before="100" w:beforeAutospacing="1" w:after="100" w:afterAutospacing="1" w:line="360" w:lineRule="auto"/>
        <w:contextualSpacing/>
        <w:jc w:val="both"/>
        <w:outlineLvl w:val="0"/>
        <w:rPr>
          <w:bCs/>
          <w:kern w:val="36"/>
        </w:rPr>
      </w:pPr>
      <w:r w:rsidRPr="009B315C">
        <w:rPr>
          <w:bCs/>
          <w:kern w:val="36"/>
          <w:vertAlign w:val="superscript"/>
        </w:rPr>
        <w:t>c</w:t>
      </w:r>
      <w:r w:rsidR="00476503" w:rsidRPr="00661AE1">
        <w:rPr>
          <w:bCs/>
          <w:kern w:val="36"/>
        </w:rPr>
        <w:t xml:space="preserve"> School of Geography, Geology and the Environment, University of Leicester, University Road, Leicester, LE1 7RH, UK</w:t>
      </w:r>
    </w:p>
    <w:p w14:paraId="56D441B0" w14:textId="31469032" w:rsidR="003B7694" w:rsidRPr="00661AE1" w:rsidRDefault="003B7694" w:rsidP="00675D01">
      <w:pPr>
        <w:spacing w:before="100" w:beforeAutospacing="1" w:after="100" w:afterAutospacing="1" w:line="360" w:lineRule="auto"/>
        <w:contextualSpacing/>
        <w:jc w:val="both"/>
        <w:outlineLvl w:val="0"/>
        <w:rPr>
          <w:bCs/>
          <w:kern w:val="36"/>
        </w:rPr>
      </w:pPr>
    </w:p>
    <w:p w14:paraId="7CFB933F" w14:textId="6976C703" w:rsidR="009B4CEE" w:rsidRPr="00661AE1" w:rsidRDefault="009B4CEE" w:rsidP="00675D01">
      <w:pPr>
        <w:spacing w:before="100" w:beforeAutospacing="1" w:after="100" w:afterAutospacing="1" w:line="360" w:lineRule="auto"/>
        <w:contextualSpacing/>
        <w:jc w:val="both"/>
        <w:outlineLvl w:val="0"/>
        <w:rPr>
          <w:bCs/>
          <w:kern w:val="36"/>
        </w:rPr>
      </w:pPr>
      <w:r w:rsidRPr="00661AE1">
        <w:rPr>
          <w:bCs/>
          <w:kern w:val="36"/>
        </w:rPr>
        <w:t xml:space="preserve">*corresponding author: </w:t>
      </w:r>
      <w:r w:rsidR="003F01E0" w:rsidRPr="00661AE1">
        <w:rPr>
          <w:bCs/>
          <w:kern w:val="36"/>
        </w:rPr>
        <w:t>sally</w:t>
      </w:r>
      <w:r w:rsidRPr="00661AE1">
        <w:rPr>
          <w:bCs/>
          <w:kern w:val="36"/>
        </w:rPr>
        <w:t>@</w:t>
      </w:r>
      <w:r w:rsidR="003F01E0" w:rsidRPr="00661AE1">
        <w:rPr>
          <w:bCs/>
          <w:kern w:val="36"/>
        </w:rPr>
        <w:t>esc.</w:t>
      </w:r>
      <w:r w:rsidRPr="00661AE1">
        <w:rPr>
          <w:bCs/>
          <w:kern w:val="36"/>
        </w:rPr>
        <w:t>cam.ac.uk</w:t>
      </w:r>
    </w:p>
    <w:p w14:paraId="5961DBEF" w14:textId="77777777" w:rsidR="00835CED" w:rsidRDefault="00835CED" w:rsidP="00675D01">
      <w:pPr>
        <w:spacing w:after="200" w:line="360" w:lineRule="auto"/>
        <w:rPr>
          <w:b/>
          <w:bCs/>
          <w:kern w:val="36"/>
          <w:sz w:val="32"/>
          <w:szCs w:val="32"/>
        </w:rPr>
      </w:pPr>
    </w:p>
    <w:p w14:paraId="14CD90ED" w14:textId="234A0CA4" w:rsidR="0087786D" w:rsidRDefault="0087786D" w:rsidP="00675D01">
      <w:pPr>
        <w:spacing w:after="200" w:line="360" w:lineRule="auto"/>
        <w:rPr>
          <w:b/>
          <w:bCs/>
          <w:kern w:val="36"/>
          <w:sz w:val="32"/>
          <w:szCs w:val="32"/>
        </w:rPr>
      </w:pPr>
      <w:r>
        <w:rPr>
          <w:b/>
          <w:bCs/>
          <w:kern w:val="36"/>
          <w:sz w:val="32"/>
          <w:szCs w:val="32"/>
        </w:rPr>
        <w:br w:type="page"/>
      </w:r>
    </w:p>
    <w:p w14:paraId="503605AC" w14:textId="75BC1808" w:rsidR="00391BD0" w:rsidRPr="00661AE1" w:rsidRDefault="007B3F6A" w:rsidP="00C20C0B">
      <w:pPr>
        <w:spacing w:line="480" w:lineRule="auto"/>
        <w:outlineLvl w:val="0"/>
        <w:rPr>
          <w:b/>
          <w:bCs/>
          <w:kern w:val="36"/>
          <w:sz w:val="32"/>
          <w:szCs w:val="32"/>
        </w:rPr>
      </w:pPr>
      <w:r w:rsidRPr="00661AE1">
        <w:rPr>
          <w:b/>
          <w:bCs/>
          <w:kern w:val="36"/>
          <w:sz w:val="32"/>
          <w:szCs w:val="32"/>
        </w:rPr>
        <w:lastRenderedPageBreak/>
        <w:t>Abstract</w:t>
      </w:r>
      <w:r w:rsidR="000318D5">
        <w:rPr>
          <w:b/>
          <w:bCs/>
          <w:kern w:val="36"/>
          <w:sz w:val="32"/>
          <w:szCs w:val="32"/>
        </w:rPr>
        <w:t xml:space="preserve"> </w:t>
      </w:r>
    </w:p>
    <w:p w14:paraId="3E53F165" w14:textId="6B73C840" w:rsidR="004838EA" w:rsidRDefault="002402E7" w:rsidP="00C20C0B">
      <w:pPr>
        <w:spacing w:line="480" w:lineRule="auto"/>
        <w:jc w:val="both"/>
        <w:outlineLvl w:val="0"/>
      </w:pPr>
      <w:r>
        <w:t xml:space="preserve">The extent to which </w:t>
      </w:r>
      <w:r w:rsidR="006A407D">
        <w:t xml:space="preserve">Earth’s </w:t>
      </w:r>
      <w:r>
        <w:t xml:space="preserve">sub-continental </w:t>
      </w:r>
      <w:r w:rsidR="006A407D">
        <w:t>lithospheric mantle</w:t>
      </w:r>
      <w:r>
        <w:t xml:space="preserve"> modulates </w:t>
      </w:r>
      <w:r w:rsidR="006A407D">
        <w:t xml:space="preserve">the flux of </w:t>
      </w:r>
      <w:r>
        <w:t xml:space="preserve">volatile </w:t>
      </w:r>
      <w:r w:rsidR="006A407D">
        <w:t>elements from our planet’s deep interior to its atmosphere (via volcanism)</w:t>
      </w:r>
      <w:r>
        <w:t xml:space="preserve"> is poorly constrained</w:t>
      </w:r>
      <w:r w:rsidR="006A407D">
        <w:t xml:space="preserve">. </w:t>
      </w:r>
      <w:r w:rsidR="00AD6AF5">
        <w:t>Here</w:t>
      </w:r>
      <w:r w:rsidR="00981242">
        <w:t>,</w:t>
      </w:r>
      <w:r>
        <w:t xml:space="preserve"> we focus on “off-craton” sub-continental lithospheric mantle</w:t>
      </w:r>
      <w:r w:rsidR="00EA3D63">
        <w:t xml:space="preserve"> because </w:t>
      </w:r>
      <w:r w:rsidR="00894F56">
        <w:t xml:space="preserve">this long-lived reservoir </w:t>
      </w:r>
      <w:r>
        <w:t xml:space="preserve">potentially acts as both </w:t>
      </w:r>
      <w:r w:rsidR="00EA3D63">
        <w:t>a</w:t>
      </w:r>
      <w:r>
        <w:t xml:space="preserve"> </w:t>
      </w:r>
      <w:r w:rsidR="00CC3BD3">
        <w:t xml:space="preserve">volatile </w:t>
      </w:r>
      <w:r w:rsidR="00514DED">
        <w:t xml:space="preserve">“sink” </w:t>
      </w:r>
      <w:r>
        <w:t xml:space="preserve">and </w:t>
      </w:r>
      <w:r w:rsidR="00514DED">
        <w:t xml:space="preserve">“source” </w:t>
      </w:r>
      <w:r>
        <w:t xml:space="preserve">during </w:t>
      </w:r>
      <w:r w:rsidR="007A3593">
        <w:t xml:space="preserve">major </w:t>
      </w:r>
      <w:r w:rsidR="00981242">
        <w:t>heating and</w:t>
      </w:r>
      <w:r>
        <w:t xml:space="preserve"> rifting events. </w:t>
      </w:r>
      <w:r w:rsidR="00894F56">
        <w:t xml:space="preserve">The sub-continental lithospheric mantle </w:t>
      </w:r>
      <w:r w:rsidRPr="001E6FDF">
        <w:t xml:space="preserve">is primarily </w:t>
      </w:r>
      <w:r w:rsidR="009A60B0" w:rsidRPr="001E6FDF">
        <w:t>form</w:t>
      </w:r>
      <w:r w:rsidRPr="001E6FDF">
        <w:t xml:space="preserve">ed of peridotites with subordinate amounts of </w:t>
      </w:r>
      <w:r w:rsidR="00B55FCD">
        <w:t>pyroxenites</w:t>
      </w:r>
      <w:r w:rsidR="004910A9">
        <w:t>. While both lithologies</w:t>
      </w:r>
      <w:r w:rsidR="00B55FCD">
        <w:t xml:space="preserve"> </w:t>
      </w:r>
      <w:r w:rsidR="00514DED">
        <w:t xml:space="preserve">are </w:t>
      </w:r>
      <w:r w:rsidR="00362FE4">
        <w:t>dominated by</w:t>
      </w:r>
      <w:r w:rsidR="00192C99">
        <w:t xml:space="preserve"> nominally-volatile-free </w:t>
      </w:r>
      <w:r w:rsidR="00075D09">
        <w:t xml:space="preserve">mantle </w:t>
      </w:r>
      <w:r w:rsidR="00192C99">
        <w:t>minerals</w:t>
      </w:r>
      <w:r w:rsidR="004910A9">
        <w:t>,</w:t>
      </w:r>
      <w:r w:rsidR="00D41233">
        <w:t xml:space="preserve"> </w:t>
      </w:r>
      <w:r w:rsidR="00AD6AF5">
        <w:t xml:space="preserve">some of these phases </w:t>
      </w:r>
      <w:r w:rsidR="00EB2683">
        <w:t>have been shown to contain non-negligible amounts of H</w:t>
      </w:r>
      <w:r w:rsidR="00EB2683" w:rsidRPr="009D37AD">
        <w:rPr>
          <w:vertAlign w:val="subscript"/>
        </w:rPr>
        <w:t>2</w:t>
      </w:r>
      <w:r w:rsidR="00EB2683">
        <w:t>O (</w:t>
      </w:r>
      <w:r w:rsidR="00514DED" w:rsidRPr="00195AA8">
        <w:rPr>
          <w:i/>
        </w:rPr>
        <w:t>e.g.</w:t>
      </w:r>
      <w:r w:rsidR="00514DED">
        <w:t xml:space="preserve"> </w:t>
      </w:r>
      <w:r w:rsidR="00EB2683">
        <w:t xml:space="preserve">100’s of </w:t>
      </w:r>
      <w:r w:rsidR="00C5757D">
        <w:t>ppmw</w:t>
      </w:r>
      <w:r w:rsidR="00AD6AF5">
        <w:t xml:space="preserve"> in clinopyroxene</w:t>
      </w:r>
      <w:r w:rsidR="00EB2683">
        <w:t>)</w:t>
      </w:r>
      <w:r w:rsidR="00446F8C">
        <w:t>.</w:t>
      </w:r>
      <w:r w:rsidR="00EB2683">
        <w:t xml:space="preserve"> </w:t>
      </w:r>
      <w:r w:rsidR="00446F8C">
        <w:t>D</w:t>
      </w:r>
      <w:r w:rsidR="00EB2683">
        <w:t>ata for volatile elements other than Li are</w:t>
      </w:r>
      <w:r w:rsidR="00B55FCD">
        <w:t>, however,</w:t>
      </w:r>
      <w:r w:rsidR="00EB2683">
        <w:t xml:space="preserve"> limited</w:t>
      </w:r>
      <w:r w:rsidR="008E6AAF">
        <w:t xml:space="preserve">. </w:t>
      </w:r>
      <w:r w:rsidR="00C7500A">
        <w:t xml:space="preserve">We present new, high-precision, </w:t>
      </w:r>
      <w:r w:rsidR="00C7500A" w:rsidRPr="00784762">
        <w:rPr>
          <w:i/>
        </w:rPr>
        <w:t>in-situ</w:t>
      </w:r>
      <w:r w:rsidR="00C7500A">
        <w:t xml:space="preserve"> Secondary Ion Mass Spectrometry analyses</w:t>
      </w:r>
      <w:r w:rsidR="00192C99">
        <w:t xml:space="preserve"> of </w:t>
      </w:r>
      <w:r w:rsidR="008E6AAF">
        <w:t xml:space="preserve">H, F, Cl, Li </w:t>
      </w:r>
      <w:r w:rsidR="00192C99">
        <w:t xml:space="preserve">and B in olivine and pyroxenes from </w:t>
      </w:r>
      <w:r w:rsidR="006A407D">
        <w:t>well-characterised garnet- and spinel-bearing peridotites and pyroxenites</w:t>
      </w:r>
      <w:r w:rsidR="009F7532">
        <w:t xml:space="preserve"> </w:t>
      </w:r>
      <w:r w:rsidR="001E1498">
        <w:t>(</w:t>
      </w:r>
      <w:r w:rsidR="006A407D">
        <w:t>from southern Patagonia and the Antarctic Peninsula</w:t>
      </w:r>
      <w:r w:rsidR="001E1498">
        <w:t>)</w:t>
      </w:r>
      <w:r w:rsidR="00192C99">
        <w:t xml:space="preserve">. </w:t>
      </w:r>
      <w:r w:rsidR="00EA3D63">
        <w:t>Our study c</w:t>
      </w:r>
      <w:r w:rsidR="00EB2683">
        <w:t>onfirms that</w:t>
      </w:r>
      <w:r w:rsidR="00BD773A">
        <w:t xml:space="preserve"> </w:t>
      </w:r>
      <w:r w:rsidR="00EB2683">
        <w:t>clinopyroxene</w:t>
      </w:r>
      <w:r w:rsidR="004910A9">
        <w:t xml:space="preserve"> is</w:t>
      </w:r>
      <w:r w:rsidR="00EB2683">
        <w:t xml:space="preserve"> </w:t>
      </w:r>
      <w:r w:rsidR="00F86211">
        <w:t xml:space="preserve">the main host of </w:t>
      </w:r>
      <w:r w:rsidR="00812334">
        <w:t>H</w:t>
      </w:r>
      <w:r w:rsidR="00812334" w:rsidRPr="009D37AD">
        <w:rPr>
          <w:vertAlign w:val="subscript"/>
        </w:rPr>
        <w:t>2</w:t>
      </w:r>
      <w:r w:rsidR="00812334">
        <w:t>O</w:t>
      </w:r>
      <w:r w:rsidR="00F86211">
        <w:t xml:space="preserve"> and F</w:t>
      </w:r>
      <w:r w:rsidR="00BD773A">
        <w:t>.</w:t>
      </w:r>
      <w:r w:rsidR="00EA3D63">
        <w:t xml:space="preserve"> </w:t>
      </w:r>
      <w:r w:rsidR="00BD773A">
        <w:t>T</w:t>
      </w:r>
      <w:r w:rsidR="006A407D">
        <w:t>he maximum F contents</w:t>
      </w:r>
      <w:r w:rsidR="00EA3D63">
        <w:t xml:space="preserve"> we report </w:t>
      </w:r>
      <w:r w:rsidR="00987745">
        <w:t xml:space="preserve">(up to 154 </w:t>
      </w:r>
      <w:r w:rsidR="00C5757D">
        <w:t>ppmw</w:t>
      </w:r>
      <w:r w:rsidR="00987745">
        <w:t xml:space="preserve">) </w:t>
      </w:r>
      <w:r w:rsidR="00295748">
        <w:t>are high</w:t>
      </w:r>
      <w:r w:rsidR="00DF7235">
        <w:t>er than</w:t>
      </w:r>
      <w:r w:rsidR="00295748">
        <w:t xml:space="preserve"> those </w:t>
      </w:r>
      <w:r w:rsidR="00EA3D63">
        <w:t>in</w:t>
      </w:r>
      <w:r w:rsidR="00295748">
        <w:t xml:space="preserve"> previous studies and </w:t>
      </w:r>
      <w:r w:rsidR="00A2645D">
        <w:t>occur in Ti-Cr diopsides in highly-metasomatised peridotites</w:t>
      </w:r>
      <w:r w:rsidR="007B5A35">
        <w:t xml:space="preserve"> </w:t>
      </w:r>
      <w:r w:rsidR="00E76A3A">
        <w:t>and Ti-Al augites from clinopyroxenite veins</w:t>
      </w:r>
      <w:r w:rsidR="006A407D">
        <w:t xml:space="preserve">. </w:t>
      </w:r>
      <w:r w:rsidR="00E76A3A">
        <w:t>Water</w:t>
      </w:r>
      <w:r w:rsidR="006A407D">
        <w:t xml:space="preserve"> contents </w:t>
      </w:r>
      <w:r w:rsidR="00CC3BD3">
        <w:t xml:space="preserve">of clinopyroxenes </w:t>
      </w:r>
      <w:r w:rsidR="006A407D">
        <w:t xml:space="preserve">(up to </w:t>
      </w:r>
      <w:r w:rsidR="00B55FCD">
        <w:t xml:space="preserve">615 </w:t>
      </w:r>
      <w:r w:rsidR="00C5757D">
        <w:t>ppm</w:t>
      </w:r>
      <w:r w:rsidR="00A85EAC">
        <w:t>w</w:t>
      </w:r>
      <w:r w:rsidR="006A407D">
        <w:t xml:space="preserve">) are within the range </w:t>
      </w:r>
      <w:r w:rsidR="00295748">
        <w:t xml:space="preserve">previously </w:t>
      </w:r>
      <w:r w:rsidR="006A407D">
        <w:t xml:space="preserve">published for continental mantle. </w:t>
      </w:r>
      <w:r w:rsidR="00987745">
        <w:t xml:space="preserve">Lithium concentrations are low (&lt;5 </w:t>
      </w:r>
      <w:r w:rsidR="00C5757D">
        <w:t>ppmw</w:t>
      </w:r>
      <w:r w:rsidR="00987745">
        <w:t>) in all analysed phases</w:t>
      </w:r>
      <w:r w:rsidR="00E50918">
        <w:t xml:space="preserve"> and both </w:t>
      </w:r>
      <w:r w:rsidR="00987745">
        <w:t>Cl and B are below detection levels (</w:t>
      </w:r>
      <w:r w:rsidR="009D029F">
        <w:t xml:space="preserve">14 </w:t>
      </w:r>
      <w:r w:rsidR="00C5757D">
        <w:t>ppmw</w:t>
      </w:r>
      <w:r w:rsidR="00987745">
        <w:t xml:space="preserve"> and 0.</w:t>
      </w:r>
      <w:r w:rsidR="009D029F">
        <w:t xml:space="preserve">03 </w:t>
      </w:r>
      <w:r w:rsidR="00C5757D">
        <w:t>ppmw</w:t>
      </w:r>
      <w:r w:rsidR="00987745">
        <w:t xml:space="preserve">, respectively). </w:t>
      </w:r>
    </w:p>
    <w:p w14:paraId="608C033B" w14:textId="7C39E6B8" w:rsidR="009B315C" w:rsidRDefault="00EA3D63" w:rsidP="00C20C0B">
      <w:pPr>
        <w:spacing w:line="480" w:lineRule="auto"/>
        <w:ind w:firstLine="360"/>
        <w:jc w:val="both"/>
        <w:outlineLvl w:val="0"/>
      </w:pPr>
      <w:r>
        <w:t xml:space="preserve">Unique to our study is the large variation in major- and trace-element concentrations of </w:t>
      </w:r>
      <w:r w:rsidR="00CC3BD3">
        <w:t>the</w:t>
      </w:r>
      <w:r>
        <w:t xml:space="preserve"> clinopyroxenes</w:t>
      </w:r>
      <w:r w:rsidR="0051530C">
        <w:t>, which allows us to place</w:t>
      </w:r>
      <w:r w:rsidR="00D511D3">
        <w:t xml:space="preserve"> quantitative </w:t>
      </w:r>
      <w:r w:rsidR="0051530C">
        <w:t>constraints on how volatiles are stored in the mantle</w:t>
      </w:r>
      <w:r>
        <w:t xml:space="preserve">. </w:t>
      </w:r>
      <w:r w:rsidR="0051530C">
        <w:t>W</w:t>
      </w:r>
      <w:r w:rsidR="006A407D">
        <w:t>e demonstrate that</w:t>
      </w:r>
      <w:r w:rsidR="0051530C">
        <w:t>:</w:t>
      </w:r>
      <w:r w:rsidR="006A407D">
        <w:t xml:space="preserve"> </w:t>
      </w:r>
      <w:r>
        <w:t xml:space="preserve">(i) F contents </w:t>
      </w:r>
      <w:r w:rsidR="0051530C">
        <w:t xml:space="preserve">of clinopyroxenes </w:t>
      </w:r>
      <w:r>
        <w:t xml:space="preserve">closely correlate with Ti and (ii) </w:t>
      </w:r>
      <m:oMath>
        <m:sSubSup>
          <m:sSubSupPr>
            <m:ctrlPr>
              <w:rPr>
                <w:rFonts w:ascii="Cambria Math" w:hAnsi="Cambria Math"/>
                <w:i/>
              </w:rPr>
            </m:ctrlPr>
          </m:sSubSupPr>
          <m:e>
            <m:r>
              <w:rPr>
                <w:rFonts w:ascii="Cambria Math" w:hAnsi="Cambria Math"/>
              </w:rPr>
              <m:t>D</m:t>
            </m:r>
          </m:e>
          <m:sub>
            <m:r>
              <w:rPr>
                <w:rFonts w:ascii="Cambria Math" w:hAnsi="Cambria Math"/>
              </w:rPr>
              <m:t>H</m:t>
            </m:r>
          </m:sub>
          <m:sup>
            <m:r>
              <w:rPr>
                <w:rFonts w:ascii="Cambria Math" w:hAnsi="Cambria Math"/>
              </w:rPr>
              <m:t>Cpx-Opx</m:t>
            </m:r>
          </m:sup>
        </m:sSubSup>
      </m:oMath>
      <w:r w:rsidR="00812334">
        <w:t xml:space="preserve"> and </w:t>
      </w:r>
      <m:oMath>
        <m:sSubSup>
          <m:sSubSupPr>
            <m:ctrlPr>
              <w:rPr>
                <w:rFonts w:ascii="Cambria Math" w:hAnsi="Cambria Math"/>
                <w:i/>
              </w:rPr>
            </m:ctrlPr>
          </m:sSubSupPr>
          <m:e>
            <m:r>
              <w:rPr>
                <w:rFonts w:ascii="Cambria Math" w:hAnsi="Cambria Math"/>
              </w:rPr>
              <m:t>D</m:t>
            </m:r>
          </m:e>
          <m:sub>
            <m:r>
              <w:rPr>
                <w:rFonts w:ascii="Cambria Math" w:hAnsi="Cambria Math"/>
              </w:rPr>
              <m:t>F</m:t>
            </m:r>
          </m:sub>
          <m:sup>
            <m:r>
              <w:rPr>
                <w:rFonts w:ascii="Cambria Math" w:hAnsi="Cambria Math"/>
              </w:rPr>
              <m:t>Cpx-Opx</m:t>
            </m:r>
          </m:sup>
        </m:sSubSup>
      </m:oMath>
      <w:r w:rsidR="006A407D">
        <w:t xml:space="preserve">is systematic and inversely correlated with temperature. </w:t>
      </w:r>
      <w:r w:rsidR="00D5393D">
        <w:t xml:space="preserve">Despite </w:t>
      </w:r>
      <w:r w:rsidR="00812334">
        <w:t>the redistribution of volatiles during sub-solidus re-equilibration</w:t>
      </w:r>
      <w:r w:rsidR="00D5393D">
        <w:t>, w</w:t>
      </w:r>
      <w:r w:rsidR="00E50918">
        <w:t xml:space="preserve">e show that the first </w:t>
      </w:r>
      <w:r w:rsidR="00E50918">
        <w:lastRenderedPageBreak/>
        <w:t xml:space="preserve">order control </w:t>
      </w:r>
      <w:r w:rsidR="00CC3BD3">
        <w:t>on the concentration</w:t>
      </w:r>
      <w:r w:rsidR="00CC3BD3" w:rsidRPr="00D5393D">
        <w:t xml:space="preserve"> </w:t>
      </w:r>
      <w:r w:rsidR="00CC3BD3">
        <w:t xml:space="preserve">of volatiles in clinopyroxene </w:t>
      </w:r>
      <w:r w:rsidR="00E50918">
        <w:t>is</w:t>
      </w:r>
      <w:r w:rsidR="006F28BC">
        <w:t xml:space="preserve"> </w:t>
      </w:r>
      <w:r w:rsidR="00D5393D">
        <w:t xml:space="preserve">the style of </w:t>
      </w:r>
      <w:r w:rsidR="00E50918">
        <w:t>metasomatism</w:t>
      </w:r>
      <w:r w:rsidR="000318D5">
        <w:t>, i.e. channellised flow versus reactive percolation</w:t>
      </w:r>
      <w:r w:rsidR="00EB03D4">
        <w:t>.</w:t>
      </w:r>
      <w:r w:rsidR="00B063E0">
        <w:t xml:space="preserve"> </w:t>
      </w:r>
      <w:r w:rsidR="00EA27EE">
        <w:t xml:space="preserve">The mean bulk volatile contents of </w:t>
      </w:r>
      <w:r w:rsidR="00C9163B">
        <w:t xml:space="preserve">peridotites from </w:t>
      </w:r>
      <w:r w:rsidR="00EA27EE">
        <w:t xml:space="preserve">Pali Aike and </w:t>
      </w:r>
      <w:r w:rsidR="00C9163B">
        <w:t xml:space="preserve">the </w:t>
      </w:r>
      <w:r w:rsidR="00EA27EE">
        <w:t>Ant</w:t>
      </w:r>
      <w:r w:rsidR="00C9163B">
        <w:t>ar</w:t>
      </w:r>
      <w:r w:rsidR="00EA27EE">
        <w:t xml:space="preserve">ctic Peninsula </w:t>
      </w:r>
      <w:r w:rsidR="004448BF">
        <w:t>(H</w:t>
      </w:r>
      <w:r w:rsidR="004448BF" w:rsidRPr="00C23946">
        <w:rPr>
          <w:vertAlign w:val="subscript"/>
        </w:rPr>
        <w:t>2</w:t>
      </w:r>
      <w:r w:rsidR="004448BF">
        <w:t xml:space="preserve">O = </w:t>
      </w:r>
      <w:r w:rsidR="00E545E1">
        <w:t>89</w:t>
      </w:r>
      <w:r w:rsidR="004448BF">
        <w:t xml:space="preserve"> ± 3</w:t>
      </w:r>
      <w:r w:rsidR="00E545E1">
        <w:t>1</w:t>
      </w:r>
      <w:r w:rsidR="004448BF">
        <w:t xml:space="preserve"> </w:t>
      </w:r>
      <w:r w:rsidR="00C5757D">
        <w:t>ppmw</w:t>
      </w:r>
      <w:r w:rsidR="004448BF">
        <w:t>, F=</w:t>
      </w:r>
      <w:r w:rsidR="004448BF" w:rsidRPr="007A3593">
        <w:t>1</w:t>
      </w:r>
      <w:r w:rsidR="004448BF">
        <w:t>6</w:t>
      </w:r>
      <w:r w:rsidR="004448BF" w:rsidRPr="007A3593">
        <w:t xml:space="preserve"> ± 1</w:t>
      </w:r>
      <w:r w:rsidR="004448BF">
        <w:t>1.2</w:t>
      </w:r>
      <w:r w:rsidR="004448BF" w:rsidRPr="007A3593">
        <w:t xml:space="preserve"> </w:t>
      </w:r>
      <w:r w:rsidR="00C5757D">
        <w:t>ppmw</w:t>
      </w:r>
      <w:r w:rsidR="004448BF">
        <w:t xml:space="preserve"> and Li=2</w:t>
      </w:r>
      <w:r w:rsidR="004448BF" w:rsidRPr="007A3593">
        <w:t xml:space="preserve"> ± </w:t>
      </w:r>
      <w:r w:rsidR="004448BF">
        <w:t>0.7</w:t>
      </w:r>
      <w:r w:rsidR="004448BF" w:rsidRPr="007A3593">
        <w:t xml:space="preserve"> </w:t>
      </w:r>
      <w:r w:rsidR="00C5757D">
        <w:t>ppmw</w:t>
      </w:r>
      <w:r w:rsidR="004448BF">
        <w:t xml:space="preserve">) </w:t>
      </w:r>
      <w:r w:rsidR="00EA27EE">
        <w:t xml:space="preserve">are within the range previously published for continental </w:t>
      </w:r>
      <w:r w:rsidR="00F23ABC">
        <w:t>“</w:t>
      </w:r>
      <w:r w:rsidR="00EA27EE">
        <w:t>off-craton</w:t>
      </w:r>
      <w:r w:rsidR="00F23ABC">
        <w:t>”</w:t>
      </w:r>
      <w:r w:rsidR="00EA27EE">
        <w:t xml:space="preserve"> mantle. </w:t>
      </w:r>
      <w:r w:rsidR="001E6FDF">
        <w:t xml:space="preserve">The pyroxenites have significantly higher mean </w:t>
      </w:r>
      <w:r w:rsidR="00877465">
        <w:t>bulk c</w:t>
      </w:r>
      <w:r w:rsidR="00EA27EE">
        <w:t xml:space="preserve">oncentrations </w:t>
      </w:r>
      <w:r w:rsidR="00877465">
        <w:t>of H</w:t>
      </w:r>
      <w:r w:rsidR="00877465" w:rsidRPr="00C23946">
        <w:rPr>
          <w:vertAlign w:val="subscript"/>
        </w:rPr>
        <w:t>2</w:t>
      </w:r>
      <w:r w:rsidR="00877465">
        <w:t>O</w:t>
      </w:r>
      <w:r w:rsidR="001E6FDF">
        <w:t xml:space="preserve"> (260 ± </w:t>
      </w:r>
      <w:r w:rsidR="001E6FDF" w:rsidRPr="00B16E35">
        <w:t>5</w:t>
      </w:r>
      <w:r w:rsidR="001E6FDF">
        <w:t xml:space="preserve">9 </w:t>
      </w:r>
      <w:r w:rsidR="00C5757D">
        <w:t>ppmw</w:t>
      </w:r>
      <w:r w:rsidR="001E6FDF">
        <w:t>)</w:t>
      </w:r>
      <w:r w:rsidR="00673909">
        <w:t>,</w:t>
      </w:r>
      <w:r w:rsidR="00877465">
        <w:t xml:space="preserve"> F </w:t>
      </w:r>
      <w:r w:rsidR="001E6FDF">
        <w:t>(</w:t>
      </w:r>
      <w:r w:rsidR="001E6FDF" w:rsidRPr="002D350A">
        <w:t>8</w:t>
      </w:r>
      <w:r w:rsidR="004448BF">
        <w:t>6</w:t>
      </w:r>
      <w:r w:rsidR="001E6FDF" w:rsidRPr="002D350A">
        <w:t xml:space="preserve"> ±</w:t>
      </w:r>
      <w:r w:rsidR="001E6FDF">
        <w:t xml:space="preserve"> </w:t>
      </w:r>
      <w:r w:rsidR="004448BF">
        <w:t>43</w:t>
      </w:r>
      <w:r w:rsidR="001E6FDF">
        <w:t xml:space="preserve"> </w:t>
      </w:r>
      <w:r w:rsidR="00C5757D">
        <w:t>ppmw</w:t>
      </w:r>
      <w:r w:rsidR="001E6FDF">
        <w:t xml:space="preserve">) </w:t>
      </w:r>
      <w:r w:rsidR="00673909">
        <w:t xml:space="preserve">and Li </w:t>
      </w:r>
      <w:r w:rsidR="001E6FDF">
        <w:t>(</w:t>
      </w:r>
      <w:r w:rsidR="003F4660">
        <w:t xml:space="preserve">1.0 </w:t>
      </w:r>
      <w:r w:rsidR="00673909" w:rsidRPr="002D350A">
        <w:t>±</w:t>
      </w:r>
      <w:r w:rsidR="003F4660">
        <w:t xml:space="preserve"> 0.</w:t>
      </w:r>
      <w:r w:rsidR="004448BF">
        <w:t xml:space="preserve">35 </w:t>
      </w:r>
      <w:r w:rsidR="00C5757D">
        <w:t>ppmw</w:t>
      </w:r>
      <w:r w:rsidR="001E6FDF">
        <w:t>)</w:t>
      </w:r>
      <w:r w:rsidR="00EA27EE">
        <w:t>.</w:t>
      </w:r>
      <w:r w:rsidR="00C9163B">
        <w:t xml:space="preserve"> </w:t>
      </w:r>
      <w:r w:rsidR="00254134">
        <w:t>While t</w:t>
      </w:r>
      <w:r w:rsidR="00087021">
        <w:t>h</w:t>
      </w:r>
      <w:r w:rsidR="00BC2FBD">
        <w:t>e</w:t>
      </w:r>
      <w:r w:rsidR="00087021">
        <w:t xml:space="preserve"> </w:t>
      </w:r>
      <w:r w:rsidR="004456AC">
        <w:t>greater</w:t>
      </w:r>
      <w:r w:rsidR="00BC2FBD">
        <w:t xml:space="preserve"> </w:t>
      </w:r>
      <w:r w:rsidR="00087021">
        <w:t xml:space="preserve">capacity of </w:t>
      </w:r>
      <w:r w:rsidR="0047398D">
        <w:t xml:space="preserve">mantle </w:t>
      </w:r>
      <w:r w:rsidR="00087021">
        <w:t>pyro</w:t>
      </w:r>
      <w:r w:rsidR="0047398D">
        <w:t>xe</w:t>
      </w:r>
      <w:r w:rsidR="00087021">
        <w:t>nites to host H</w:t>
      </w:r>
      <w:r w:rsidR="00087021" w:rsidRPr="00C23946">
        <w:rPr>
          <w:vertAlign w:val="subscript"/>
        </w:rPr>
        <w:t>2</w:t>
      </w:r>
      <w:r w:rsidR="00087021">
        <w:t xml:space="preserve">O </w:t>
      </w:r>
      <w:r w:rsidR="00BC2FBD">
        <w:t>relative to the</w:t>
      </w:r>
      <w:r w:rsidR="0047398D">
        <w:t xml:space="preserve"> associated peridotites </w:t>
      </w:r>
      <w:r w:rsidR="00087021">
        <w:t xml:space="preserve">has previously been observed </w:t>
      </w:r>
      <w:r w:rsidR="006574BE">
        <w:t xml:space="preserve">in </w:t>
      </w:r>
      <w:r w:rsidR="00254134">
        <w:t xml:space="preserve">global </w:t>
      </w:r>
      <w:r w:rsidR="00FF2E44">
        <w:t>“</w:t>
      </w:r>
      <w:r w:rsidR="006574BE">
        <w:t>off-craton</w:t>
      </w:r>
      <w:r w:rsidR="00FF2E44">
        <w:t>”</w:t>
      </w:r>
      <w:r w:rsidR="006574BE">
        <w:t xml:space="preserve"> mantle </w:t>
      </w:r>
      <w:r w:rsidR="00254134">
        <w:t>xenolith suites (e.g.</w:t>
      </w:r>
      <w:r w:rsidR="00087021">
        <w:t xml:space="preserve"> </w:t>
      </w:r>
      <w:r w:rsidR="00EA27EE">
        <w:t>Oahu</w:t>
      </w:r>
      <w:r w:rsidR="00514172">
        <w:t>,</w:t>
      </w:r>
      <w:r w:rsidR="00EA27EE">
        <w:t xml:space="preserve"> </w:t>
      </w:r>
      <w:r w:rsidR="00087021">
        <w:t>Hawaii</w:t>
      </w:r>
      <w:r w:rsidR="00755285">
        <w:t xml:space="preserve">; </w:t>
      </w:r>
      <w:r w:rsidR="00F80210">
        <w:t>eastern China</w:t>
      </w:r>
      <w:r w:rsidR="00087021">
        <w:t xml:space="preserve"> and </w:t>
      </w:r>
      <w:r w:rsidR="0047398D">
        <w:t>the Rio Grande Rift</w:t>
      </w:r>
      <w:r w:rsidR="00254134">
        <w:t xml:space="preserve">, </w:t>
      </w:r>
      <w:r w:rsidR="0047398D">
        <w:t>SW USA)</w:t>
      </w:r>
      <w:r w:rsidR="00254134">
        <w:t>,</w:t>
      </w:r>
      <w:r w:rsidR="00A52DED">
        <w:t xml:space="preserve"> h</w:t>
      </w:r>
      <w:r w:rsidR="0047398D">
        <w:t xml:space="preserve">ere we show </w:t>
      </w:r>
      <w:r w:rsidR="00103403">
        <w:t xml:space="preserve">for the first time </w:t>
      </w:r>
      <w:r w:rsidR="00A52DED">
        <w:t>t</w:t>
      </w:r>
      <w:r w:rsidR="0047398D">
        <w:t xml:space="preserve">hat </w:t>
      </w:r>
      <w:r w:rsidR="00812334">
        <w:t>pyroxenites</w:t>
      </w:r>
      <w:r w:rsidR="00EA27EE">
        <w:t xml:space="preserve"> are also major hosts of F</w:t>
      </w:r>
      <w:r w:rsidR="00EA378C">
        <w:t xml:space="preserve"> (but not Cl, Li or B)</w:t>
      </w:r>
      <w:r w:rsidR="00EA27EE">
        <w:t>.</w:t>
      </w:r>
      <w:r w:rsidR="00087021">
        <w:t xml:space="preserve"> </w:t>
      </w:r>
      <w:r w:rsidR="00B47641">
        <w:t>Because of their relatively low solidus temperatures</w:t>
      </w:r>
      <w:r w:rsidR="00CC3BD3">
        <w:t>,</w:t>
      </w:r>
      <w:r w:rsidR="00B47641">
        <w:t xml:space="preserve"> </w:t>
      </w:r>
      <w:r w:rsidR="000B5071">
        <w:t>pyroxenite</w:t>
      </w:r>
      <w:r w:rsidR="00BC2FBD">
        <w:t xml:space="preserve">s </w:t>
      </w:r>
      <w:r w:rsidR="00894F56">
        <w:t>in “</w:t>
      </w:r>
      <w:r w:rsidR="000D6D5C">
        <w:t>off-</w:t>
      </w:r>
      <w:r w:rsidR="00894F56">
        <w:t xml:space="preserve">craton” settings </w:t>
      </w:r>
      <w:r w:rsidR="00645786">
        <w:t xml:space="preserve">will </w:t>
      </w:r>
      <w:r w:rsidR="00A52DED">
        <w:t xml:space="preserve">be </w:t>
      </w:r>
      <w:r w:rsidR="00645786">
        <w:t xml:space="preserve">readily </w:t>
      </w:r>
      <w:r w:rsidR="00A52DED">
        <w:t>re-mobilised</w:t>
      </w:r>
      <w:r w:rsidR="00B47641">
        <w:t xml:space="preserve"> </w:t>
      </w:r>
      <w:r w:rsidR="00CC3BD3">
        <w:t>during</w:t>
      </w:r>
      <w:r w:rsidR="00B47641">
        <w:t xml:space="preserve"> litho</w:t>
      </w:r>
      <w:r w:rsidR="00CC3BD3">
        <w:t xml:space="preserve">spheric extension (and heating). </w:t>
      </w:r>
      <w:r w:rsidR="00F23ABC">
        <w:t xml:space="preserve">We suggest </w:t>
      </w:r>
      <w:r w:rsidR="00682CDB">
        <w:t>these pyroxene-rich mantle lithologies</w:t>
      </w:r>
      <w:r w:rsidR="00B47641">
        <w:t xml:space="preserve"> </w:t>
      </w:r>
      <w:r w:rsidR="00645786">
        <w:t xml:space="preserve">may be responsible for the elevated </w:t>
      </w:r>
      <w:r w:rsidR="00847113">
        <w:t>concentrations of H</w:t>
      </w:r>
      <w:r w:rsidR="00847113" w:rsidRPr="009D37AD">
        <w:rPr>
          <w:vertAlign w:val="subscript"/>
        </w:rPr>
        <w:t>2</w:t>
      </w:r>
      <w:r w:rsidR="00847113">
        <w:t>O and F</w:t>
      </w:r>
      <w:r w:rsidR="000B5071">
        <w:t xml:space="preserve"> </w:t>
      </w:r>
      <w:r w:rsidR="00847113">
        <w:t>observed</w:t>
      </w:r>
      <w:r w:rsidR="000B5071">
        <w:t xml:space="preserve"> in basalts and volcanic gas</w:t>
      </w:r>
      <w:r w:rsidR="00847113">
        <w:t xml:space="preserve">ses from </w:t>
      </w:r>
      <w:r w:rsidR="000B5071">
        <w:t>major</w:t>
      </w:r>
      <w:r w:rsidR="009B315C">
        <w:t xml:space="preserve"> </w:t>
      </w:r>
      <w:r w:rsidR="000B5071">
        <w:t>continental rift zones and flood basalt provinces</w:t>
      </w:r>
      <w:r w:rsidR="00812334">
        <w:t>,</w:t>
      </w:r>
      <w:r w:rsidR="00CC3BD3">
        <w:t xml:space="preserve"> and </w:t>
      </w:r>
      <w:r w:rsidR="00812334">
        <w:t xml:space="preserve">hence </w:t>
      </w:r>
      <w:r w:rsidR="00CC3BD3">
        <w:t>an important consideration in models of global volatile cycles</w:t>
      </w:r>
      <w:r w:rsidR="009B315C">
        <w:t xml:space="preserve">. </w:t>
      </w:r>
    </w:p>
    <w:p w14:paraId="721BDF03" w14:textId="4F53CEF9" w:rsidR="00D75B37" w:rsidRDefault="00D75B37" w:rsidP="00C20C0B">
      <w:pPr>
        <w:spacing w:line="480" w:lineRule="auto"/>
        <w:ind w:firstLine="720"/>
        <w:jc w:val="both"/>
        <w:outlineLvl w:val="0"/>
      </w:pPr>
    </w:p>
    <w:p w14:paraId="7565069A" w14:textId="267FDCBE" w:rsidR="00AC6157" w:rsidRPr="00661AE1" w:rsidRDefault="00EC0126" w:rsidP="00C20C0B">
      <w:pPr>
        <w:pStyle w:val="Heading1"/>
        <w:numPr>
          <w:ilvl w:val="0"/>
          <w:numId w:val="17"/>
        </w:numPr>
        <w:spacing w:line="480" w:lineRule="auto"/>
        <w:ind w:left="284" w:hanging="284"/>
      </w:pPr>
      <w:r w:rsidRPr="00661AE1">
        <w:t>Introduction</w:t>
      </w:r>
    </w:p>
    <w:p w14:paraId="2C3FD942" w14:textId="18D6E240" w:rsidR="00464DEA" w:rsidRPr="00661AE1" w:rsidRDefault="008E5D44" w:rsidP="00C20C0B">
      <w:pPr>
        <w:spacing w:line="480" w:lineRule="auto"/>
        <w:jc w:val="both"/>
      </w:pPr>
      <w:r w:rsidRPr="00661AE1">
        <w:t>R</w:t>
      </w:r>
      <w:r w:rsidR="00DD0B52" w:rsidRPr="00661AE1">
        <w:t xml:space="preserve">ecent studies of Earth’s volatiles have </w:t>
      </w:r>
      <w:r w:rsidR="00842B56" w:rsidRPr="00661AE1">
        <w:t xml:space="preserve">largely </w:t>
      </w:r>
      <w:r w:rsidR="00DD0B52" w:rsidRPr="00661AE1">
        <w:t xml:space="preserve">focused </w:t>
      </w:r>
      <w:r w:rsidR="00842B56" w:rsidRPr="00661AE1">
        <w:t>on the behaviour of H</w:t>
      </w:r>
      <w:r w:rsidR="00842B56" w:rsidRPr="009B315C">
        <w:rPr>
          <w:vertAlign w:val="subscript"/>
        </w:rPr>
        <w:t>2</w:t>
      </w:r>
      <w:r w:rsidR="00842B56" w:rsidRPr="00661AE1">
        <w:t>O, CO</w:t>
      </w:r>
      <w:r w:rsidR="00842B56" w:rsidRPr="009B315C">
        <w:rPr>
          <w:vertAlign w:val="subscript"/>
        </w:rPr>
        <w:t>2</w:t>
      </w:r>
      <w:r w:rsidR="00842B56" w:rsidRPr="00661AE1">
        <w:t xml:space="preserve"> and SO</w:t>
      </w:r>
      <w:r w:rsidR="00842B56" w:rsidRPr="009B315C">
        <w:rPr>
          <w:vertAlign w:val="subscript"/>
        </w:rPr>
        <w:t>2</w:t>
      </w:r>
      <w:r w:rsidR="00097B73" w:rsidRPr="00661AE1">
        <w:t xml:space="preserve">, e.g. </w:t>
      </w:r>
      <w:r w:rsidR="00CA7270" w:rsidRPr="004E4764">
        <w:fldChar w:fldCharType="begin"/>
      </w:r>
      <w:r w:rsidR="008E0CCC">
        <w:instrText xml:space="preserve"> ADDIN ZOTERO_ITEM CSL_CITATION {"citationID":"Poikkuyy","properties":{"formattedCitation":"(Dasgupta and Hirschmann, 2010; Blake et al., 2010; Callegaro et al., 2014; Kagoshima et al., 2015; Kelemen and Manning, 2015; Foley and Fischer, 2017; Peslier et al., 2017; Hirschmann, 2018)","plainCitation":"(Dasgupta and Hirschmann, 2010; Blake et al., 2010; Callegaro et al., 2014; Kagoshima et al., 2015; Kelemen and Manning, 2015; Foley and Fischer, 2017; Peslier et al., 2017; Hirschmann, 2018)","noteIndex":0},"citationItems":[{"id":930,"uris":["http://zotero.org/users/88665/items/4UXN4T9S"],"uri":["http://zotero.org/users/88665/items/4UXN4T9S"],"itemData":{"id":930,"type":"article-journal","abstract":"A very likely cause of widespread environmental impacts of flood basalt eruptions is the emission of sulfur, chlorine, and possibly fluorine from the erupting magma. We present new data on the S contents of rare glass inclusions and matrix glasses preserved in quenched lava selvages from lava fields of the Columbia River Basalt Group (CRBG; Ginkgo, Sand Hollow and Sentinel Gap flows, Wanapum Basalt Formation). We compare these results with published data from Neral and Jawar Formation lavas (Deccan Traps, India) and the Roza flow (CRBG). CRBG glass inclusions have up to 2000&amp;#xa0;ppm&amp;#xa0;S and 15–16&amp;#xa0;wt.% FeOtotal. By contrast, the Deccan examples have about 1400&amp;#xa0;ppm&amp;#xa0;S and 10&amp;#xa0;wt.% FeOtotal. Several of the glass inclusions are partly degassed, indicating entrapment during magma rise, and matrix glasses are typically more evolved than glass inclusions due to small amounts of in situ crystallization. Using only the highest S inclusions and taking account of the effect of in situ crystallization and degassing on the S content of the residual matrix glasses indicates S yields of about 0.07 to 0.1&amp;#xa0;wt.% from Deccan eruptions and about 0.15&amp;#xa0;wt.% from Wanapum (CRBG) eruptions. The pre-eruptive S contents of these magmas correlate with weight% FeOtotal in the same way as undegassed sulfide-saturated mid-ocean ridge basalts. Using oceanic basalts to define a sulfide saturation line, and data on S contents of degassed basalts, we propose an equation to estimate the weight% S yield (ΔS) from initially sulfide-saturated basalt liquid without the need to find well-preserved, rare, undegassed glass inclusions and matrix glasses: Δ S = ( 0.0 1418 × FeO total − 0.0 6381) ± 0.0 2635. \n\nThis compares well with independent estimates derived from the petrologic method by taking the difference in S concentration of glass inclusions and matrix glass. Applying our method to the aphyric Grande Ronde Basalts of the CRBG implies a total yield of about 1000&amp;#xa0;Gt SO2 delivered into the Miocene atmosphere in intermittent bursts of &amp;lt;&amp;#xa0;1 to 30&amp;#xa0;Gt separated by long non-eruptive intervals during an overall time period of about 0.4&amp;#xa0;million years.","container-title":"Earth and Planetary Science Letters","DOI":"10.1016/j.epsl.2010.09.013","ISSN":"0012-821X","issue":"3-4","journalAbbreviation":"Earth and Planetary Science Letters","page":"328-338","source":"ScienceDirect","title":"Sulfur release from the Columbia River Basalts and other flood lava eruptions constrained by a model of sulfide saturation","volume":"299","author":[{"family":"Blake","given":"S."},{"family":"Self","given":"S."},{"family":"Sharma","given":"K."},{"family":"Sephton","given":"S."}],"issued":{"date-parts":[["2010",11,1]]}}},{"id":2801,"uris":["http://zotero.org/users/88665/items/SSCU497K"],"uri":["http://zotero.org/users/88665/items/SSCU497K"],"itemData":{"id":2801,"type":"article-journal","abstract":"Volcanic gases can have devastating impacts on Earth’s environment and life. However, measurement of volatile elements in prehistoric magmas is challenging. We present a new method for determining sulfur contents in magmas using its concentrations in clinopyroxenes and an experimentally determined crystal-melt partition coefficient. Using this method we compared magmatic sulfur contents in the Paraná-Etendeka large igneous province (LIP; South America) and two other similarly sized LIPs, the Central Atlantic magmatic province (CAMP) and the Deccan Traps (India). We found that the CAMP and Deccan Traps, both associated with major extinction events, contained high magmatic sulfur concentrations, up to 1900 ppm. Conversely, the Paraná-Etendeka LIP, lacking significant environmental effects, had substantially lower magmatic sulfur concentrations, less than 800 ppm.","container-title":"Geology","DOI":"10.1130/G35983.1","ISSN":"0091-7613, 1943-2682","issue":"10","journalAbbreviation":"Geology","language":"en","note":"00000","page":"895-898","source":"geology.gsapubs.org","title":"Microanalyses link sulfur from Large Igneous Provinces and Mesozoic mass extinctions","volume":"42","author":[{"family":"Callegaro","given":"Sara"},{"family":"Baker","given":"Don R."},{"family":"Min","given":"Angelo De"},{"family":"Marzoli","given":"Andrea"},{"family":"Geraki","given":"Kalotina"},{"family":"Bertrand","given":"Hervé"},{"family":"Viti","given":"Cecilia"},{"family":"Nestola","given":"Fabrizio"}],"issued":{"date-parts":[["2014",10,1]]}}},{"id":311,"uris":["http://zotero.org/users/88665/items/PXIDB88F"],"uri":["http://zotero.org/users/88665/items/PXIDB88F"],"itemData":{"id":311,"type":"article-journal","abstract":"Carbon geochemistry of mantle-derived samples suggests that the fluxes and reservoir sizes associated with deep cycle are in the order of 1012-13 g C/yr and 1022-23 g C, respectively. This deep cycle is responsible for the billion year-scale evolution of the terrestrial carbon reservoirs. The petrology of deep storage modulates the long-term evolution and distribution of terrestrial carbon. Unlike water, which in most of the Earth's mantle is held in nominally anhydrous silicates, carbon is stored in accessory phases. The accessory phase of interest, with increasing depth, typically changes from fluids/melts --&gt; calcite/dolomite --&gt; magnesite --&gt; diamond/Fe-rich alloy/Fe-metal carbide, assuming that the mass balance and oxidation state are buffered solely by silicates. If, however, carbon is sufficiently abundant, it may reside as carbonate even in the deep mantle. If Earth's deep mantle is Fe-metal saturated, carbon storage in metal alloy and as metal carbide cannot be avoided for depleted and enriched domains, respectively. Carbon ingassing to the interior is aided by modern subduction of the carbonated oceanic lithosphere, whereas outgassing from the mantle is controlled by decompression melting of carbonated mantle. Carbonated melting at &gt; 300 km depth or redox melting of diamond-bearing or metal-bearing mantle at somewhat shallower depth generates carbonatitic and carbonated silicate melts and are the chief agents for liberating carbon from the solid Earth to the exosphere. Petrology allows net ingassing of carbon into the mantle in the modern Earth, but in the hotter subduction zones that prevailed during the Hadean, Archean, and Paleoproterozoic, carbonate likely was released at shallow depths and may have returned to the exosphere. Inefficient ingassing, along with efficient outgassing, may have kept the ancient mantle carbon-poor. The influence of carbon on deep Earth dynamics is through inducing melting and mobilization of structurally bound mineral water. Extraction of carbonated melt on one hand can dehydrate the mantle and enhance viscosity; the presence of trace carbonated melt on other may generate seismic low-velocity zones and amplify attenuation.","container-title":"Earth and Planetary Science Letters","DOI":"10.1016/j.epsl.2010.06.039","ISSN":"0012-821X","issue":"1-2","journalAbbreviation":"Earth Planet. Sci. Lett.","page":"1-13","source":"ScienceDirect","title":"The deep carbon cycle and melting in Earth's interior","volume":"298","author":[{"family":"Dasgupta","given":"Rajdeep"},{"family":"Hirschmann","given":"Marc M."}],"issued":{"date-parts":[["2010",9,15]]}}},{"id":4051,"uris":["http://zotero.org/users/88665/items/HYQYKAXQ"],"uri":["http://zotero.org/users/88665/items/HYQYKAXQ"],"itemData":{"id":4051,"type":"article-journal","container-title":"Nature Geoscience","DOI":"10.1038/s41561-017-0002-7","language":"en","page":"897-902","title":"An essential role for continental rifts and lithosphere in the deep carbon cycle","volume":"10","author":[{"family":"Foley","given":"S.F."},{"family":"Fischer","given":"Tobias P."}],"issued":{"date-parts":[["2017"]]}}},{"id":3951,"uris":["http://zotero.org/users/88665/items/X4H73ZFA"],"uri":["http://zotero.org/users/88665/items/X4H73ZFA"],"itemData":{"id":3951,"type":"article-journal","abstract":"Crucial monitors of operation of deep Earth volatile cycles are the accumulated volatile masses in the exosphere, particularly when these are compared to outgassing fluxes and to the masses stored in the mantle. Further insight can be gained by examining the relative mantle/exosphere fractionations of the major (H2O, C, and N) volatiles. New estimates for the H2O and C contents of the convecting mantle (290 ± 80 and 110 ± 40 ppm, respectively) are derived from H2O/Ce and CO2/Ba ratios of oceanic basalts combined with convecting mantle Ce and Ba concentrations. Together with an earlier estimate of convecting mantle N (1.1 ± 0.55 ppm) and with surface inventories (including a new estimate for total exosphere C, 10.6±1.8×1022 g), these allow construction of exosphere-normalized mantle masses of major volatiles. Values for H2O, C, and N are, respectively 0.75 ± 0.2, 4.2 ± 2.0 and 0.7 ± 0.35, meaning subequal amounts of H2O and N are in the mantle and exosphere, but most of the bulk silicate Earth (BSE) C is in the mantle. Outfluxes of major volatiles from the mantle suggest exosphere replenishment times of 7.5 and 1 Ga for H2O and C. Previous estimates for outfluxes of N indicate a replenishment time of 80 Ga, but an alternative based on the C/N ratio of the depleted mantle is 16 Ga. Importantly, the normalized flux of C from the mantle to the exosphere is much greater than those for H2O and N, even though the exosphere C reservoir is by far the smallest of the three. This is owing to more efficient recycling of C relative to H2O and N, where “recycling” means return of materials from near-surface reservoirs to the convecting mantle, and/or to large surface reservoirs of H2O and N (but not C) inherited from Earth's early history. H2O/Ce, CO2/Nb, and CO2/Ba ratios are little-fractionated from one another during mantle melting, but the H2O/Ce ratio of the exosphere (1540 ± 360) is much greater than mantle ratios (200 ± 50), indicating that H2O is not recycled as efficiently as Ce or partial preservation of a large primordial ocean. In contrast, the exosphere CO2/Ba ratio (40 ± 14) is far smaller than the convecting mantle ratio (100 ± 20), indicating that C is recycled more efficiently than Ba. The small exosphere CO2/Ba ratio reflects substantial long-term Ba storage in the continental crust combined with significant recycling to the mantle of C. Monte Carlo simulations of C and Ba exchange between the interior and exterior reservoirs, taking into account uncertainties in total C and Ba in the BSE and in the exosphere, suggest that for 0–40% Ba recycling to the mantle, 35–80% of the C that has outgassed to the surface through time has been returned to the deep mantle. Some former surface C may be stored in the continental lithosphere, but observed xenolith C concentrations indicate that the lithosphere accommodates only a small fraction of C apparently returned to the mantle. Consideration of models in which the continental lithosphere stores substantial C has only small effect on the quantitative conclusions of this exercise.","container-title":"Earth and Planetary Science Letters","DOI":"10.1016/j.epsl.2018.08.023","ISSN":"0012-821X","journalAbbreviation":"Earth and Planetary Science Letters","page":"262-273","source":"ScienceDirect","title":"Comparative deep Earth volatile cycles: The case for C recycling from exosphere/mantle fractionation of major (H2O, C, N) volatiles and from H2O/Ce, CO2/Ba, and CO2/Nb exosphere ratios","title-short":"Comparative deep Earth volatile cycles","volume":"502","author":[{"family":"Hirschmann","given":"Marc M."}],"issued":{"date-parts":[["2018",11,15]]}}},{"id":4238,"uris":["http://zotero.org/users/88665/items/85LV2PHD"],"uri":["http://zotero.org/users/88665/items/85LV2PHD"],"itemData":{"id":4238,"type":"article-journal","abstract":"Evaluation of volcanic and hydrothermal fluxes to the surface environments is important to elucidate the geochemical cycle of sulphur and the evolution of ocean chemistry. This paper presents S/3He ratios of vesicles in mid-ocean ridge (MOR) basalt glass together with the ratios of high-temperature hydrothermal fluids to calculate the sulphur flux of 100 Gmol/y at MOR. The S/3He ratios of high-temperature volcanic gases show sulphur flux of 720 Gmol/y at arc volcanoes (ARC) with a contribution from the mantle of 2.9%, which is calculated as 21 Gmol/y. The C/S flux ratio of 12 from the mantle at MOR and ARC is comparable to the C/S ratio in the surface inventory, which suggests that these elements in the surface environments originated from the upper mantle.","container-title":"Scientific Reports","DOI":"10.1038/srep08330","ISSN":"2045-2322","language":"en","page":"8330","source":"www.nature.com","title":"Sulphur geodynamic cycle","volume":"5","author":[{"family":"Kagoshima","given":"Takanori"},{"family":"Sano","given":"Yuji"},{"family":"Takahata","given":"Naoto"},{"family":"Maruoka","given":"Teruyuki"},{"family":"Fischer","given":"Tobias P."},{"family":"Hattori","given":"Keiko"}],"issued":{"date-parts":[["2015",2,9]]}}},{"id":3021,"uris":["http://zotero.org/users/88665/items/U26ESN26"],"uri":["http://zotero.org/users/88665/items/U26ESN26"],"itemData":{"id":3021,"type":"article-journal","abstract":"Carbon fluxes in subduction zones can be better constrained by including new estimates of carbon concentration in subducting mantle peridotites, consideration of carbonate solubility in aqueous fluid along subduction geotherms, and diapirism of carbon-bearing metasediments. Whereas previous studies concluded that about half the subducting carbon is returned to the convecting mantle, we find that relatively little carbon may be recycled. If so, input from subduction zones into the overlying plate is larger than output from arc volcanoes plus diffuse venting, and substantial quantities of carbon are stored in the mantle lithosphere and crust. Also, if the subduction zone carbon cycle is nearly closed on time scales of 5–10 Ma, then the carbon content of the mantle lithosphere + crust + ocean + atmosphere must be increasing. Such an increase is consistent with inferences from noble gas data. Carbon in diamonds, which may have been recycled into the convecting mantle, is a small fraction of the global carbon inventory.","container-title":"Proceedings of the National Academy of Sciences","DOI":"10.1073/pnas.1507889112","ISSN":"0027-8424, 1091-6490","journalAbbreviation":"PNAS","language":"en","note":"00000 \nPMID: 26048906","page":"10.1073/pnas.1507889112","source":"www.pnas.org","title":"Reevaluating carbon fluxes in subduction zones, what goes down, mostly comes up","author":[{"family":"Kelemen","given":"Peter B."},{"family":"Manning","given":"Craig E."}],"issued":{"date-parts":[["2015",6,5]]}}},{"id":3880,"uris":["http://zotero.org/users/88665/items/BFXIRKLV"],"uri":["http://zotero.org/users/88665/items/BFXIRKLV"],"itemData":{"id":3880,"type":"article-journal","abstract":"The concentration and distribution of water in the Earth has influenced its evolution throughout its history. Even at the trace levels contained in the planet’s deep interior (mantle and core), water affects Earth’s thermal, deformational, melting, electrical and seismic properties, that control differentiation, plate tectonics and volcanism. These in turn influenced the development of Earth’s atmosphere, oceans, and life. In addition to the ubiquitous presence of water in the hydrosphere, most of Earth’s “water” actually occurs as trace amounts of hydrogen incorporated in the rock-forming silicate minerals that constitute the planet’s crust and mantle, and may also be stored in the metallic core. The heterogeneous distribution of water in the Earth is the result of early planetary differentiation into crust, mantle and core, followed by remixing of lithosphere into the mantle after plate-tectonics started. The Earth’s total water content is estimated at (Formula presented.) times the equivalent mass of the oceans (or a concentration of (Formula presented.) weight H2O). Uncertainties in this estimate arise primarily from the less-well-known concentrations for the lower mantle and core, since samples for water analyses are only available from the crust, the upper mantle and very rarely from the mantle transition zone (410–670 km depth). For the lower mantle (670–2900 km) and core (2900–4500 km), the estimates rely on laboratory experiments and indirect geophysical techniques (electrical conductivity and seismology). The Earth’s accretion likely started relatively dry because it mainly acquired material from the inner part of the proto-planetary disk, where temperatures were too high for the formation and accretion of water ice. Combined evidence from several radionuclide systems (Pd-Ag, Mn-Cr, Rb-Sr, U-Pb) suggests that water was not incorporated in the Earth in significant quantities until the planet had grown to (Formula presented.) of its current size, while core formation was still on-going. Dynamic models of planet formation provide additional evidence for water delivery to the Earth during the same period by water-rich planetesimals originating from the asteroid belt and possibly beyond. This early delivered water may have been partly lost during giant impacts, including the Moon forming event: magma oceans can form in their aftermath, degas and be followed by atmospheric loss. More water may have been delivered and/or lost after core formation during late accretion of extraterrestrial material (“late-veneer”). Stable isotopes of hydrogen, carbon, nitrogen and some noble gases in Earth’s materials show similar compositions to those in carbonaceous chondrites, implying a common origin for their water, and only allowing for minor water inputs from comets. © 2017 Springer Science+Business Media B.V.","archive":"Scopus","container-title":"Space Science Reviews","DOI":"10.1007/s11214-017-0387-z","issue":"1-2","page":"1-68","source":"Scopus","title":"Water in the Earth’s interior: Distribution and origin","title-short":"Water in the Earth’s Interior","volume":"212","author":[{"family":"Peslier","given":"A.H."},{"family":"Schönbächler","given":"M."},{"family":"Busemann","given":"H."},{"family":"Karato","given":"S.-I."}],"issued":{"date-parts":[["2017"]]}}}],"schema":"https://github.com/citation-style-language/schema/raw/master/csl-citation.json"} </w:instrText>
      </w:r>
      <w:r w:rsidR="00CA7270" w:rsidRPr="004E4764">
        <w:fldChar w:fldCharType="separate"/>
      </w:r>
      <w:r w:rsidR="00636367">
        <w:t>(Dasgupta and Hirschmann, 2010; Blake et al., 2010; Callegaro et al., 2014; Kagoshima et al., 2015; Kelemen and Manning, 2015; Foley and Fischer, 2017; Peslier et al., 2017; Hirschmann, 2018)</w:t>
      </w:r>
      <w:r w:rsidR="00CA7270" w:rsidRPr="004E4764">
        <w:fldChar w:fldCharType="end"/>
      </w:r>
      <w:r w:rsidR="000834BF">
        <w:t>.</w:t>
      </w:r>
      <w:r w:rsidR="00D57A29" w:rsidRPr="00661AE1">
        <w:t xml:space="preserve"> </w:t>
      </w:r>
      <w:r w:rsidR="000834BF">
        <w:t>F</w:t>
      </w:r>
      <w:r w:rsidR="00842B56" w:rsidRPr="00661AE1">
        <w:t xml:space="preserve">ar less is known about the </w:t>
      </w:r>
      <w:r w:rsidR="00227A72">
        <w:t xml:space="preserve">behaviour </w:t>
      </w:r>
      <w:r w:rsidR="00842B56" w:rsidRPr="00661AE1">
        <w:t xml:space="preserve">of </w:t>
      </w:r>
      <w:r w:rsidR="00CE47E1">
        <w:t xml:space="preserve">other volatile elements (such as </w:t>
      </w:r>
      <w:r w:rsidR="00842B56" w:rsidRPr="00661AE1">
        <w:t>the halogens</w:t>
      </w:r>
      <w:r w:rsidR="00F41893">
        <w:t xml:space="preserve">, Li </w:t>
      </w:r>
      <w:r w:rsidR="00464CCC">
        <w:t>and</w:t>
      </w:r>
      <w:r w:rsidR="00F41893">
        <w:t xml:space="preserve"> B</w:t>
      </w:r>
      <w:r w:rsidR="00CE47E1">
        <w:t>)</w:t>
      </w:r>
      <w:r w:rsidR="000834BF">
        <w:t xml:space="preserve"> and their </w:t>
      </w:r>
      <w:r w:rsidR="00CE47E1">
        <w:t>role in</w:t>
      </w:r>
      <w:r w:rsidR="000834BF">
        <w:t xml:space="preserve"> </w:t>
      </w:r>
      <w:r w:rsidR="00756206">
        <w:t xml:space="preserve">deep Earth </w:t>
      </w:r>
      <w:r w:rsidR="00227A72" w:rsidRPr="00661AE1">
        <w:t>cycles</w:t>
      </w:r>
      <w:r w:rsidR="00286C16" w:rsidRPr="00661AE1">
        <w:t>. The</w:t>
      </w:r>
      <w:r w:rsidR="000834BF">
        <w:t xml:space="preserve"> halogens </w:t>
      </w:r>
      <w:r w:rsidR="00916EFF">
        <w:t xml:space="preserve">are </w:t>
      </w:r>
      <w:r w:rsidR="00405075">
        <w:t xml:space="preserve">particularly </w:t>
      </w:r>
      <w:r w:rsidR="00916EFF">
        <w:t>important because</w:t>
      </w:r>
      <w:r w:rsidR="008E0CCC">
        <w:t>,</w:t>
      </w:r>
      <w:r w:rsidR="00916EFF">
        <w:t xml:space="preserve"> </w:t>
      </w:r>
      <w:r w:rsidR="008E0CCC">
        <w:t xml:space="preserve">when emitted from volcanoes, </w:t>
      </w:r>
      <w:r w:rsidR="00916EFF">
        <w:t xml:space="preserve">they </w:t>
      </w:r>
      <w:r w:rsidR="0093249F" w:rsidRPr="00661AE1">
        <w:t xml:space="preserve">have </w:t>
      </w:r>
      <w:r w:rsidR="008F4617" w:rsidRPr="00661AE1">
        <w:t xml:space="preserve">the </w:t>
      </w:r>
      <w:r w:rsidR="0093249F" w:rsidRPr="00661AE1">
        <w:t xml:space="preserve">second highest environmental impact after sulfur </w:t>
      </w:r>
      <w:r w:rsidR="00761CD3">
        <w:t>and</w:t>
      </w:r>
      <w:r w:rsidR="0093249F" w:rsidRPr="00661AE1">
        <w:t xml:space="preserve"> play </w:t>
      </w:r>
      <w:r w:rsidR="00916EFF">
        <w:t>a critical</w:t>
      </w:r>
      <w:r w:rsidR="0093249F" w:rsidRPr="00661AE1">
        <w:t xml:space="preserve"> role in our pla</w:t>
      </w:r>
      <w:r w:rsidR="00496E1E" w:rsidRPr="00661AE1">
        <w:t>n</w:t>
      </w:r>
      <w:r w:rsidR="0093249F" w:rsidRPr="00661AE1">
        <w:t>et’s ecosystems and habitability</w:t>
      </w:r>
      <w:r w:rsidR="0093142D" w:rsidRPr="00661AE1">
        <w:t xml:space="preserve"> </w:t>
      </w:r>
      <w:r w:rsidR="006456ED" w:rsidRPr="004E4764">
        <w:fldChar w:fldCharType="begin"/>
      </w:r>
      <w:r w:rsidR="008E0CCC">
        <w:instrText xml:space="preserve"> ADDIN ZOTERO_ITEM CSL_CITATION {"citationID":"MI4bIRhn","properties":{"formattedCitation":"(Pyle and Mather, 2009)","plainCitation":"(Pyle and Mather, 2009)","noteIndex":0},"citationItems":[{"id":2945,"uris":["http://zotero.org/users/88665/items/MA5KVV2T"],"uri":["http://zotero.org/users/88665/items/MA5KVV2T"],"itemData":{"id":2945,"type":"article-journal","abstract":"The halogens (F, Cl, Br, I) form an important suite of tracers of igneous processes, and may be used to track magmas from their point of origin, through their differentiation, evolution, saturation in vapour and escape to the Earth's atmosphere and hydrosphere. This review summarises the current state of the field, starting with an analysis of what is, and what is not, known about the distribution of halogens in Earth's interior reservoirs, and the principal controls on their behaviour during partial melting, crystallisation and degassing. With recent advances in measurement techniques, there is now a new opportunity to improve the inventories of halogen emissions from the open-vent, continuously-degassing systems that dominate the background contribution of volcanoes to the atmosphere. The different approaches to estimating the fluxes of HCl and HF to the atmosphere from arc and global volcanism are converging, and can now be used to place important constraints on the global cycling of halogens through subduction-zone systems. Arc-related volcanic emissions of halogens dominate the global halogen degassing budgets. Our current best estimates of halogen degassing fluxes from arc volcanoes are 4.3 (± 1) Tg/a (HCl), 0.5 (± 0.2) Tg/a (HF), 5–15 Gg/a (HBr) and 0.5–2 Gg/a (HI).","collection-title":"Halogens in Volcanic Systems and Their Environmental Impacts","container-title":"Chemical Geology","DOI":"10.1016/j.chemgeo.2008.11.013","ISSN":"0009-2541","issue":"1–4","journalAbbreviation":"Chemical Geology","note":"00068","page":"110-121","source":"ScienceDirect","title":"Halogens in igneous processes and their fluxes to the atmosphere and oceans from volcanic activity: A review","title-short":"Halogens in igneous processes and their fluxes to the atmosphere and oceans from volcanic activity","volume":"263","author":[{"family":"Pyle","given":"D. M."},{"family":"Mather","given":"T. A."}],"issued":{"date-parts":[["2009",6,15]]}}}],"schema":"https://github.com/citation-style-language/schema/raw/master/csl-citation.json"} </w:instrText>
      </w:r>
      <w:r w:rsidR="006456ED" w:rsidRPr="004E4764">
        <w:fldChar w:fldCharType="separate"/>
      </w:r>
      <w:r w:rsidR="00636367">
        <w:t xml:space="preserve">(Pyle and </w:t>
      </w:r>
      <w:r w:rsidR="00636367">
        <w:lastRenderedPageBreak/>
        <w:t>Mather, 2009)</w:t>
      </w:r>
      <w:r w:rsidR="006456ED" w:rsidRPr="004E4764">
        <w:fldChar w:fldCharType="end"/>
      </w:r>
      <w:r w:rsidR="00842B56" w:rsidRPr="00661AE1">
        <w:t xml:space="preserve">. </w:t>
      </w:r>
      <w:r w:rsidR="005959E8" w:rsidRPr="00661AE1">
        <w:t xml:space="preserve">While F is concentrated in Earth’s crust and mantle, Cl and Br are dominant in seawater, formation waters and evaporates, and </w:t>
      </w:r>
      <w:r w:rsidR="00E46501" w:rsidRPr="00661AE1">
        <w:t>I</w:t>
      </w:r>
      <w:r w:rsidR="005959E8" w:rsidRPr="00661AE1">
        <w:t xml:space="preserve"> is most abundant in the core. </w:t>
      </w:r>
    </w:p>
    <w:p w14:paraId="602344AC" w14:textId="091ECC45" w:rsidR="000A4FF2" w:rsidRPr="00661AE1" w:rsidRDefault="00390F72" w:rsidP="00C20C0B">
      <w:pPr>
        <w:spacing w:line="480" w:lineRule="auto"/>
        <w:ind w:firstLine="360"/>
        <w:jc w:val="both"/>
        <w:outlineLvl w:val="0"/>
      </w:pPr>
      <w:r>
        <w:t>The concentrations of volatiles in the convecting mantle are relatively well-</w:t>
      </w:r>
      <w:r w:rsidR="006B2A5E">
        <w:t>constrained</w:t>
      </w:r>
      <w:r>
        <w:t xml:space="preserve"> from studies of mantle melts</w:t>
      </w:r>
      <w:r w:rsidR="00210BFD">
        <w:t xml:space="preserve"> and experiments</w:t>
      </w:r>
      <w:r w:rsidR="003571FF">
        <w:t xml:space="preserve"> </w:t>
      </w:r>
      <w:r w:rsidR="003571FF">
        <w:fldChar w:fldCharType="begin"/>
      </w:r>
      <w:r w:rsidR="008E0CCC">
        <w:instrText xml:space="preserve"> ADDIN ZOTERO_ITEM CSL_CITATION {"citationID":"laDb2cdu","properties":{"formattedCitation":"(Salters and Stracke, 2004; E. H. Hauri et al., 2006)","plainCitation":"(Salters and Stracke, 2004; E. H. Hauri et al., 2006)","dontUpdate":true,"noteIndex":0},"citationItems":[{"id":368,"uris":["http://zotero.org/users/88665/items/TD5JKCNQ"],"uri":["http://zotero.org/users/88665/items/TD5JKCNQ"],"itemData":{"id":368,"type":"article-journal","container-title":"Geochemistry Geophysics Geosystems","DOI":"200410.1029/2003GC000597","journalAbbreviation":"Geochem. Geophys. Geosyst.","page":"200410.1029/2003GC000597","source":"AGU Journals","title":"Composition of the depleted mantle","volume":"5","author":[{"family":"Salters","given":"Vincent J. M."},{"family":"Stracke","given":"Andreas"}],"issued":{"date-parts":[["2004",5,13]]}}},{"id":3012,"uris":["http://zotero.org/users/88665/items/K2QTACZA"],"uri":["http://zotero.org/users/88665/items/K2QTACZA"],"itemData":{"id":3012,"type":"article-journal","abstract":"We present the results of an experimental study of the partitioning of water between common upper mantle minerals (olivine, orthopyroxene, clinopyroxene, garnet) and silicate melt, consisting of 352 measurements in 23 hydrous melting experiments conducted over a broad range of melt water contents (1.7–25 wt.% H2O) at upper mantle conditions (1–4 GPa; 1000–1380 °C). Our data show that, at water-undersaturated conditions, incorporation of H2O into olivine and pyroxenes is accomplished through two independent mechanisms: a coupled substitution in which H+ and Al3+ replace Si4+ in the mineral structure, and the substitution of 2H+ for Mg2+ previously identified in minerals hydrated at water-saturated conditions. At upper mantle temperatures and pressures &amp;lt; 2 GPa, these two substitution mechanisms appear to contribute approximately equal amounts of water to olivine; at higher pressures, the fugacity-dependent 2H+–Mg2+ substitution dominates. For orthopyroxene, coupled substitution of H+ and tetrahedral Al3+ dominates over the 2H+–Mg2+ substitution at pressures &amp;lt; 8 GPa, while the Al-coupled substitution dominates in clinopyroxene at all pressures.\n\nOur data permit a new evaluation of the maximum storage capacity of water in nominally anhydrous upper mantle peridotite and eclogite. The water storage capacity of peridotite increases gradually with pressure to a maximum of 0.6 wt.% H2O at 410 km depth; the storage capacity of eclogite is 0.4 to 0.5 wt.% H2O from 2–5 GPa, dropping gradually to </w:instrText>
      </w:r>
      <w:r w:rsidR="008E0CCC">
        <w:rPr>
          <w:rFonts w:ascii="Cambria Math" w:hAnsi="Cambria Math" w:cs="Cambria Math"/>
        </w:rPr>
        <w:instrText>∼</w:instrText>
      </w:r>
      <w:r w:rsidR="008E0CCC">
        <w:instrText xml:space="preserve">0.2 wt.% just above the transition zone as majorite is formed at the expense of pyroxene. We show that the water abundances inferred for mid-ocean ridge and hotspot magma sources are not consistent with the composition of water-rich mantle residues emerging from a hydrous melt layer at the top of the transition zone. Regional variations observed in the H2O–LREE systematics of oceanic basalts can result from derivation of these magmas from depleted mantle sources having polybaric melting histories, with high-H2O/Ce sources being residues of shallow (garnet-absent) melting, and low-H2O/Ce sources being the residues of deep melting in the stability field of garnet lherzolite.","container-title":"Earth and Planetary Science Letters","DOI":"10.1016/j.epsl.2006.06.014","ISSN":"0012-821X","issue":"3–4","journalAbbreviation":"Earth and Planetary Science Letters","note":"00000","page":"715-734","source":"ScienceDirect","title":"Partitioning of water during melting of the Earth's upper mantle at H&lt;sub&gt;2&lt;/sub&gt;O-undersaturated conditions","volume":"248","author":[{"family":"Hauri","given":"Erik H."},{"family":"Gaetani","given":"Glenn A."},{"family":"Green","given":"Trevor H."}],"issued":{"date-parts":[["2006",8,30]]}}}],"schema":"https://github.com/citation-style-language/schema/raw/master/csl-citation.json"} </w:instrText>
      </w:r>
      <w:r w:rsidR="003571FF">
        <w:fldChar w:fldCharType="separate"/>
      </w:r>
      <w:r w:rsidR="00BA413F">
        <w:rPr>
          <w:noProof/>
        </w:rPr>
        <w:t>(Salters and Stracke, 2004; Hauri et al., 2006)</w:t>
      </w:r>
      <w:r w:rsidR="003571FF">
        <w:fldChar w:fldCharType="end"/>
      </w:r>
      <w:r>
        <w:t xml:space="preserve">. Far less is known about the volatile content of the overlying lithospheric mantle, especially </w:t>
      </w:r>
      <w:r w:rsidR="00E16269" w:rsidRPr="00661AE1">
        <w:t xml:space="preserve">metasomatised </w:t>
      </w:r>
      <w:r w:rsidR="00556FDC">
        <w:t>regions</w:t>
      </w:r>
      <w:r>
        <w:t xml:space="preserve"> which</w:t>
      </w:r>
      <w:r w:rsidR="00FA052F" w:rsidRPr="00661AE1">
        <w:t xml:space="preserve"> </w:t>
      </w:r>
      <w:r w:rsidR="00556FDC">
        <w:t xml:space="preserve">are </w:t>
      </w:r>
      <w:r w:rsidR="00FA052F" w:rsidRPr="00661AE1">
        <w:t xml:space="preserve">readily mobilised during heating and rifting </w:t>
      </w:r>
      <w:r>
        <w:t xml:space="preserve">due to </w:t>
      </w:r>
      <w:r w:rsidR="00556FDC">
        <w:t>their</w:t>
      </w:r>
      <w:r w:rsidRPr="00661AE1">
        <w:t xml:space="preserve"> </w:t>
      </w:r>
      <w:r>
        <w:t xml:space="preserve">relatively </w:t>
      </w:r>
      <w:r w:rsidRPr="00661AE1">
        <w:t>low solidus temperature</w:t>
      </w:r>
      <w:r w:rsidR="00DB3DAA" w:rsidRPr="00661AE1">
        <w:t xml:space="preserve"> </w:t>
      </w:r>
      <w:r w:rsidR="00E81CE1" w:rsidRPr="004E4764">
        <w:fldChar w:fldCharType="begin"/>
      </w:r>
      <w:r w:rsidR="008E0CCC">
        <w:instrText xml:space="preserve"> ADDIN ZOTERO_ITEM CSL_CITATION {"citationID":"DwBNd8T2","properties":{"formattedCitation":"(McKenzie, 1989; Gibson et al., 1993; Gibson et al., 1995; Gibson et al., 2006)","plainCitation":"(McKenzie, 1989; Gibson et al., 1993; Gibson et al., 1995; Gibson et al., 2006)","noteIndex":0},"citationItems":[{"id":1015,"uris":["http://zotero.org/users/88665/items/9G5QRWP8"],"uri":["http://zotero.org/users/88665/items/9G5QRWP8"],"itemData":{"id":1015,"type":"article-journal","abstract":"We have determined high-precision 40Ar/39Ar ages for alkaline igneous rocks from the western margin of the Early-Cretaceous Paraná–Etendeka large igneous province (Paraguay). These show that small-fraction melt generation occurred beneath the region in two phases; at 145 Ma and 127.5 Ma, i.e. before and at the end of the 139–127.5 Ma Paraná–Etendeka flood-basalt eruptions. Previously published 40Ar/39Ar ages for alkaline igneous rocks on the proto-Atlantic coastal margins range from 134 to 128 Ma and indicate that small-fraction melt generation in the east of the province was either synchronous or slightly later than the main pulse of tholeiitic volcanism (between 134 and 132 Ma). Our new 40Ar/39Ar phlogopite ages confirm that: (i) the earliest melts associated with the initial impact of the Tristan plume were generated in the west of the Paraná–Etendeka large igneous province and (ii) igneous activity was long lived and immediately predates continental break-up.\n\nThe Early-Cretaceous Paraguayan alkaline magmas are silica-undersaturated, enriched in incompatible-trace elements, have very-low initial εNd values and probably represent melts of phlogopite-bearing, carbonate-metasomatised peridotite in the subcontinental lithospheric mantle. Our simple one-dimensional, conductive-heating models suggest that the early-phase (145 Ma) alkaline magmas were emplaced on the margins of the Rio de La Plata craton at the time of sublithospheric impact of the proto-Tristan plume. The late phase (127.5 Ma) of Paraguayan alkaline magmatism is concentrated in an intra-cratonic rift zone and melt generation appears to have been triggered by lithospheric extension, perhaps facilitated by conductive heating and thermal weakening associated with the upwelling Tristan plume.\n\nThe location and timing of both alkaline and tholeiitic melt generation in the Paraná–Etendeka province appear to have been significantly influenced by the non-uniform composition and thickness of the South American and south-west African lithosphere. The long duration of Paraná–Etendeka magmatism (17 Myr) relative to other Phanerozoic large igneous provinces (e.g. Siberia, Karoo, and Deccan) may be an artefact of the limited available high-precision age data for CFB-related alkaline igneous rocks.","container-title":"Earth and Planetary Science Letters","DOI":"10.1016/j.epsl.2006.08.004","ISSN":"0012-821X","issue":"1-2","journalAbbreviation":"Earth and Planetary Science Letters","page":"1-17","source":"ScienceDirect","title":"Timescales and mechanisms of plume–lithosphere interactions: 40Ar/39Ar geochronology and geochemistry of alkaline igneous rocks from the Paraná–Etendeka Large Igneous Province","title-short":"Timescales and mechanisms of plume–lithosphere interactions","volume":"251","author":[{"family":"Gibson","given":"S.A."},{"family":"Thompson","given":"R.N."},{"family":"Day","given":"J.A."}],"issued":{"date-parts":[["2006",11,15]]}}},{"id":1024,"uris":["http://zotero.org/users/88665/items/2DRR6TKU"],"uri":["http://zotero.org/users/88665/items/2DRR6TKU"],"itemData":{"id":1024,"type":"article-journal","abstract":"The role of mantle plumes in the genesis of continental flood-basalts (CFB) remains controversial, primarily due to our limited knowledge of the composition of the subcontinental lithospheric mantle (SCLM). In this study we use the widespread Cretaceous mafic potassic magmatic rocks, emplaced around the margins of the Paranásedimentary basin, to probe large-scale compositional variations of the SCLM beneath southern Brazil and Paraguay. On the basis of Ti contents, together with major-, trace-element and isotopic ratios, these mafic potassic rocks may be subdivided into high-Ti and low-Ti groups. The former have relatively high average TiO2 (4.64), CaO/Al2O3 (1.74) and 143Nd/144Ndi (0.51232), together with low La/Nb (1.1) and 87Sr/86Sri (0.7050). The latter are characterised by much lower average TiO2 (1.77), CaO/Al2O3 (0.72) and 143Nd/144Ndi (0.51182), together with higher La/Nb (2.01) and 87Sr86Sri (0.7068). These high-Ti and low-Ti groups are spatially separate and their distribution correlates with tectonic setting; the low-Ti magmas are associated with cratonic regions, whereas the high-Ti magmas are in Proterozoic mobile belts.\n\nThe distribution of the subgroups of mafic potassic magmatic rocks correlates closely with the geochemical provinciality of the Early Cretaceous high-Ti and low-Ti Paranáflood-basalts. This is the first reported occurrence of extensive low-Ti mafic potassic magmatism associated both spatially and temporally with the low-Ti region of a major CFB province. Our study further reveals similar relationships between tectonic setting and the geochemical provinciality of mafic potassic magmas and continental flood-basalts across Gondwana. We use the bulk-rock compositions and radiogenic isotopic ratios of both the high-Ti and low-Ti mafic potassic magmatic rocks as end members in models of CFB genesis. Mixing calculations involving Sr and Nd isotopic ratios indicate that the flood-basalts may contain up to 50% of mafic potassic lithosphere-derived melts. Overall, the results of our geochemical modelling agree with geophysical arguments that the convecting asthenosphere is the predominant source of CFB magmas.","container-title":"Earth and Planetary Science Letters","DOI":"10.1016/0012-821X(95)00179-G","ISSN":"0012-821X","issue":"3-4","journalAbbreviation":"Earth and Planetary Science Letters","note":"00143","page":"149-165","source":"ScienceDirect","title":"High-Ti and low-Ti mafic potassic magmas: Key to plume-lithosphere interactions and continental flood-basalt genesis","title-short":"High-Ti and low-Ti mafic potassic magmas","volume":"136","author":[{"family":"Gibson","given":"S.A."},{"family":"Thompson","given":"R.N."},{"family":"Dickin","given":"A.P."},{"family":"Leonardos","given":"O.H."}],"issued":{"date-parts":[["1995",12]]}}},{"id":3025,"uris":["http://zotero.org/users/88665/items/7WQCW559"],"uri":["http://zotero.org/users/88665/items/7WQCW559"],"itemData":{"id":3025,"type":"article-journal","abstract":"Recent theoretical studies of rift tectonics have concluded that their observed geophysical features, require that (1) extension affects a much wider zone of the underlying lithospheric mantle than the crust; (2) early extension involves a comparatively wide zone that narrows with time. The Neogene evolution of the segment of the Rio Grande rift between the Great Plains and Colorado Plateau shows this theoretical pattern clearly. The width of the crustal extension zone narrowed from ˜170 km in the Oligo-Miocene to ˜50 km in the Pliocene. In contrast, both gravity and teleseismic studies indicate that the current width of the zone of thinned lithospheric mantle (β = 2−3) beneath the rift is ˜750 km.To assess the contributions of lithosphere- and asthenosphere-derived melts to the magmatism\nassociated with the early phase of development of the Rio Grande rift, we have undertaken a 670-km geochemical traverse of Oligo-Miocene volcanism between latitudes 36 and 38°N. Our section is centered on the present-day axis of the rift in the Espanola Basin. It extends from the Navajo volcanic field, Arizona, to Two Buttes, SE Colorado, and intersects hypabyssal intrusions on the rift shoulders at Dulce, west of the rift, and Spanish Peaks to the east. We have sampled a diverse range of magma types that vary in composition from ultrapotassic to Hy- and Ne-normative basalts. A geochemical profile along this traverse shows a spatially symmetrical variation in element and oxide ratios, such as Na2O/K2O and Ba/Nb, and also in Sr and Nd isotope ratios. On the rift flanks and shoulders Oligo-Miocene volcanism was dominated by K-rich mafic magmatism, whereas at the rift axis tholeiitic and alkalic basalts with whole-rock compositions similar to those of ocean-island basalts (OIB) were erupted. This symmetrical geochemical variation broadly parallels the corresponding teleseismic lithosphere thickness profile and is a mirror image of the gravity profile.We interpret the OIB-type magmas at the rift axis as predominantly asthenosphere-derived melts. These suggest that mantle upwelling, and melting by decompression, were occurring during the early development of the Rio Grande rift The symmetrical variation of incompatible elements and isotope ratios in rocks about the rift axis suggests that the sources of the K-rich mafic magmas on the stable flanks and shoulders of the rift are not directly related to the subduction of the Farallon plate: an asymmetric process. Instead, we propose that the K-rich mafic magmas on the flanks and shoulders of the Rio Grande rift are derived from the melting of a metasomatized layer in the lithospheric mantle during extension.","container-title":"Journal of Petrology","DOI":"10.1093/petrology/34.1.187","issue":"1","journalAbbreviation":"Journal of Petrology","note":"00083","page":"187-228","title":"Ultrapotassic magmas along the flanks of the Oligo-Miocene Rio Grande Rift, USA: Monitors of the zone of lithospheric mantle extension and thinning beneath a continental rift","volume":"34","author":[{"family":"Gibson","given":"S.A."},{"family":"Thompson","given":"R. N."},{"family":"Leat","given":"P. T."},{"family":"Morrison","given":"M. A."},{"family":"Hendry","given":"G. L."},{"family":"Dickin","given":"A. P."},{"family":"Mitchell","given":"J. G."}],"issued":{"date-parts":[["1993",2,1]]}}},{"id":2592,"uris":["http://zotero.org/users/88665/items/GQSF7ZJ2"],"uri":["http://zotero.org/users/88665/items/GQSF7ZJ2"],"itemData":{"id":2592,"type":"article-journal","container-title":"Earth and Planetary Science Letters","DOI":"10.1016/0012-821X(89)90167-2","ISSN":"0012821X","issue":"1-2","page":"53-72","source":"CrossRef","title":"Some remarks on the movement of small melt fractions in the mantle","volume":"95","author":[{"family":"McKenzie","given":"Dan"}],"issued":{"date-parts":[["1989",10]]}}}],"schema":"https://github.com/citation-style-language/schema/raw/master/csl-citation.json"} </w:instrText>
      </w:r>
      <w:r w:rsidR="00E81CE1" w:rsidRPr="004E4764">
        <w:fldChar w:fldCharType="separate"/>
      </w:r>
      <w:r w:rsidR="00636367" w:rsidRPr="000050A1">
        <w:rPr>
          <w:lang w:val="it-IT"/>
        </w:rPr>
        <w:t>(McKenzie, 1989; Gibson et al., 1993; Gibson et al., 1995; Gibson et al., 2006)</w:t>
      </w:r>
      <w:r w:rsidR="00E81CE1" w:rsidRPr="004E4764">
        <w:fldChar w:fldCharType="end"/>
      </w:r>
      <w:r w:rsidR="00E81CE1" w:rsidRPr="000050A1">
        <w:rPr>
          <w:lang w:val="it-IT"/>
        </w:rPr>
        <w:t>.</w:t>
      </w:r>
      <w:r w:rsidR="005368D1" w:rsidRPr="000050A1">
        <w:rPr>
          <w:lang w:val="it-IT"/>
        </w:rPr>
        <w:t xml:space="preserve"> </w:t>
      </w:r>
      <w:r w:rsidR="009B315C">
        <w:t xml:space="preserve">This </w:t>
      </w:r>
      <w:r w:rsidR="00556FDC">
        <w:t xml:space="preserve">mobilisation </w:t>
      </w:r>
      <w:r w:rsidR="009B315C">
        <w:t xml:space="preserve">is likely to </w:t>
      </w:r>
      <w:r w:rsidR="00556FDC">
        <w:t xml:space="preserve">be most prevalent </w:t>
      </w:r>
      <w:r w:rsidR="004838EA">
        <w:t xml:space="preserve">adjacent to </w:t>
      </w:r>
      <w:r w:rsidR="009B315C">
        <w:t>cratons</w:t>
      </w:r>
      <w:r w:rsidR="007C2C4D">
        <w:t>,</w:t>
      </w:r>
      <w:r w:rsidR="004838EA">
        <w:t xml:space="preserve"> </w:t>
      </w:r>
      <w:r w:rsidR="00556FDC">
        <w:t>where</w:t>
      </w:r>
      <w:r w:rsidR="004838EA">
        <w:t xml:space="preserve"> focused upwelling of convecting mantle </w:t>
      </w:r>
      <w:r w:rsidR="00556FDC">
        <w:t xml:space="preserve">associated with mantle plumes </w:t>
      </w:r>
      <w:r w:rsidR="0004147C">
        <w:t xml:space="preserve">driven by thermal buoyancy </w:t>
      </w:r>
      <w:r w:rsidR="00556FDC">
        <w:t>or thinning</w:t>
      </w:r>
      <w:r w:rsidR="007C2C4D">
        <w:t>,</w:t>
      </w:r>
      <w:r w:rsidR="00556FDC">
        <w:t xml:space="preserve"> exploit</w:t>
      </w:r>
      <w:r w:rsidR="00455A5A">
        <w:t>s</w:t>
      </w:r>
      <w:r w:rsidR="00556FDC">
        <w:t xml:space="preserve"> “weak” zones </w:t>
      </w:r>
      <w:r w:rsidR="004838EA">
        <w:fldChar w:fldCharType="begin"/>
      </w:r>
      <w:r w:rsidR="008E0CCC">
        <w:instrText xml:space="preserve"> ADDIN ZOTERO_ITEM CSL_CITATION {"citationID":"z8rikwWn","properties":{"formattedCitation":"(Thompson and Gibson, 1991)","plainCitation":"(Thompson and Gibson, 1991)","noteIndex":0},"citationItems":[{"id":3961,"uris":["http://zotero.org/users/88665/items/ZGT6B67N"],"uri":["http://zotero.org/users/88665/items/ZGT6B67N"],"itemData":{"id":3961,"type":"article-journal","abstract":"Skip to Next Section\nThe magmatism occurring when a hot convective mantle plume is sited beneath a lithospheric plate may be more complex if the latter is continental, rather than oceanic, because of the characteristic local physical inhomogeneity of continents. Thus, the surface volcanic expression of the plume (hotspot) may be displaced from immediately above its rising stem, if the continent has been previously locally thinned nearby. The magmatism of the British Tertiary Igneous Province and Parana basin, South America, appears to fit this model, and it may also explain why the Miocene Columbia River basalts of the NW United States overlie an Early Tertiary sedimentary basin.","container-title":"Journal of the Geological Society","DOI":"10.1144/gsjgs.148.6.0973","ISSN":"0016-7649, 2041-479X","issue":"6","language":"en","page":"973-977","source":"jgs.lyellcollection.org","title":"Subcontinental mantle plumes, hotspots and pre-existing thinspots","volume":"148","author":[{"family":"Thompson","given":"R. N."},{"family":"Gibson","given":"Sally A."}],"issued":{"date-parts":[["1991",11,1]]}}}],"schema":"https://github.com/citation-style-language/schema/raw/master/csl-citation.json"} </w:instrText>
      </w:r>
      <w:r w:rsidR="004838EA">
        <w:fldChar w:fldCharType="separate"/>
      </w:r>
      <w:r w:rsidR="00636367">
        <w:t>(Thompson and Gibson, 1991)</w:t>
      </w:r>
      <w:r w:rsidR="004838EA">
        <w:fldChar w:fldCharType="end"/>
      </w:r>
      <w:r w:rsidR="009B315C">
        <w:t>.</w:t>
      </w:r>
      <w:r w:rsidR="00862FE8">
        <w:t xml:space="preserve"> </w:t>
      </w:r>
      <w:r w:rsidR="009A50FC">
        <w:t>Q</w:t>
      </w:r>
      <w:r w:rsidR="009A50FC" w:rsidRPr="00661AE1">
        <w:t xml:space="preserve">uantifying </w:t>
      </w:r>
      <w:r w:rsidR="009A50FC">
        <w:t>t</w:t>
      </w:r>
      <w:r w:rsidR="007A717F" w:rsidRPr="00661AE1">
        <w:t>he volatile</w:t>
      </w:r>
      <w:r w:rsidR="00F01261" w:rsidRPr="00661AE1">
        <w:t xml:space="preserve"> budget </w:t>
      </w:r>
      <w:r w:rsidR="007A717F" w:rsidRPr="00661AE1">
        <w:t xml:space="preserve">of </w:t>
      </w:r>
      <w:r w:rsidR="004838EA">
        <w:t xml:space="preserve">continental “off-craton” mantle </w:t>
      </w:r>
      <w:r w:rsidR="00F01261" w:rsidRPr="00661AE1">
        <w:t xml:space="preserve">is </w:t>
      </w:r>
      <w:r w:rsidR="00595BCC">
        <w:t xml:space="preserve">therefore </w:t>
      </w:r>
      <w:r w:rsidR="001627AB" w:rsidRPr="00661AE1">
        <w:t>critical</w:t>
      </w:r>
      <w:r w:rsidR="009A50FC">
        <w:t xml:space="preserve"> to</w:t>
      </w:r>
      <w:r w:rsidR="00F01261" w:rsidRPr="00661AE1">
        <w:t xml:space="preserve"> </w:t>
      </w:r>
      <w:r w:rsidR="00FB12EA">
        <w:t>e</w:t>
      </w:r>
      <w:r w:rsidR="0079350D" w:rsidRPr="00661AE1">
        <w:t>stablishing the extent to which</w:t>
      </w:r>
      <w:r w:rsidR="00FB12EA" w:rsidRPr="00FB12EA">
        <w:t xml:space="preserve"> </w:t>
      </w:r>
      <w:r w:rsidR="00FE0C8A">
        <w:t>this region</w:t>
      </w:r>
      <w:r w:rsidR="00FE0C8A" w:rsidRPr="00661AE1" w:rsidDel="00EF3FC0">
        <w:t xml:space="preserve"> </w:t>
      </w:r>
      <w:r w:rsidR="0079350D" w:rsidRPr="00661AE1">
        <w:t>modulates</w:t>
      </w:r>
      <w:r w:rsidR="00D7386A">
        <w:t xml:space="preserve"> their concentrations as a consequence of</w:t>
      </w:r>
      <w:r w:rsidR="00717C86">
        <w:t>:</w:t>
      </w:r>
      <w:r w:rsidR="0079350D" w:rsidRPr="00661AE1">
        <w:t xml:space="preserve"> </w:t>
      </w:r>
      <w:r w:rsidR="009A50FC">
        <w:t xml:space="preserve">(i) </w:t>
      </w:r>
      <w:r w:rsidR="0079350D" w:rsidRPr="00661AE1">
        <w:t xml:space="preserve">the influx of </w:t>
      </w:r>
      <w:r w:rsidR="00B159CB">
        <w:t>volatile</w:t>
      </w:r>
      <w:r w:rsidR="0079350D" w:rsidRPr="00661AE1">
        <w:t>s</w:t>
      </w:r>
      <w:r w:rsidR="001627AB" w:rsidRPr="00661AE1">
        <w:t xml:space="preserve"> </w:t>
      </w:r>
      <w:r w:rsidR="0079350D" w:rsidRPr="00661AE1">
        <w:t>from the convecting mantle and subducted slabs</w:t>
      </w:r>
      <w:r w:rsidR="00717C86">
        <w:t>;</w:t>
      </w:r>
      <w:r w:rsidR="0079350D" w:rsidRPr="00661AE1">
        <w:t xml:space="preserve"> and </w:t>
      </w:r>
      <w:r w:rsidR="009A50FC">
        <w:t xml:space="preserve">(ii) </w:t>
      </w:r>
      <w:r w:rsidR="0079350D" w:rsidRPr="00661AE1">
        <w:t xml:space="preserve">the subsequent outflux </w:t>
      </w:r>
      <w:r w:rsidR="0004147C">
        <w:t xml:space="preserve">of volatiles </w:t>
      </w:r>
      <w:r w:rsidR="0079350D" w:rsidRPr="00661AE1">
        <w:t>to the atmosphere via volcanic eruptions</w:t>
      </w:r>
      <w:r w:rsidR="001627AB" w:rsidRPr="00661AE1">
        <w:t>.</w:t>
      </w:r>
      <w:r w:rsidR="00355A05" w:rsidRPr="00661AE1">
        <w:t xml:space="preserve"> </w:t>
      </w:r>
      <w:r w:rsidR="009A50FC">
        <w:t>T</w:t>
      </w:r>
      <w:r w:rsidR="001627AB" w:rsidRPr="00661AE1">
        <w:t xml:space="preserve">his </w:t>
      </w:r>
      <w:r w:rsidR="002C209D" w:rsidRPr="00661AE1">
        <w:t>remains a challenge</w:t>
      </w:r>
      <w:r w:rsidR="002C209D">
        <w:t xml:space="preserve"> </w:t>
      </w:r>
      <w:r w:rsidR="001627AB" w:rsidRPr="00661AE1">
        <w:t xml:space="preserve">primarily </w:t>
      </w:r>
      <w:r w:rsidR="00355A05" w:rsidRPr="00661AE1">
        <w:t>because o</w:t>
      </w:r>
      <w:r w:rsidR="0078435D" w:rsidRPr="00661AE1">
        <w:t>ur understanding of</w:t>
      </w:r>
      <w:r w:rsidR="00717C86">
        <w:t xml:space="preserve"> </w:t>
      </w:r>
      <w:r w:rsidR="00085823">
        <w:t xml:space="preserve">both </w:t>
      </w:r>
      <w:r w:rsidR="0078435D" w:rsidRPr="00661AE1">
        <w:t xml:space="preserve">the ability of </w:t>
      </w:r>
      <w:r w:rsidR="00F51320" w:rsidRPr="00661AE1">
        <w:t xml:space="preserve">the abundant </w:t>
      </w:r>
      <w:r w:rsidR="004272DC" w:rsidRPr="00661AE1">
        <w:t xml:space="preserve">nominally-volatile-free </w:t>
      </w:r>
      <w:r w:rsidR="0078435D" w:rsidRPr="00661AE1">
        <w:t xml:space="preserve">mantle </w:t>
      </w:r>
      <w:r w:rsidR="00717C86" w:rsidRPr="00661AE1">
        <w:t xml:space="preserve">minerals </w:t>
      </w:r>
      <w:r w:rsidR="00717C86">
        <w:t>(NVFMMs</w:t>
      </w:r>
      <w:r w:rsidR="00905978">
        <w:t xml:space="preserve">; i.e. minerals </w:t>
      </w:r>
      <w:r w:rsidR="00085823">
        <w:t>without</w:t>
      </w:r>
      <w:r w:rsidR="00905978">
        <w:t xml:space="preserve"> volatiles in the</w:t>
      </w:r>
      <w:r w:rsidR="00085823">
        <w:t>ir</w:t>
      </w:r>
      <w:r w:rsidR="00905978">
        <w:t xml:space="preserve"> stoichiometric formula</w:t>
      </w:r>
      <w:r w:rsidR="00717C86">
        <w:t xml:space="preserve">) </w:t>
      </w:r>
      <w:r w:rsidR="0078435D" w:rsidRPr="00661AE1">
        <w:t xml:space="preserve">to host </w:t>
      </w:r>
      <w:r w:rsidR="0010422B">
        <w:t>volatile elements</w:t>
      </w:r>
      <w:r w:rsidR="0078435D" w:rsidRPr="00661AE1">
        <w:t xml:space="preserve"> and </w:t>
      </w:r>
      <w:r w:rsidR="00130EBD">
        <w:t xml:space="preserve">the </w:t>
      </w:r>
      <w:r w:rsidR="00085823">
        <w:t xml:space="preserve">inter-mineral </w:t>
      </w:r>
      <w:r w:rsidR="0078435D" w:rsidRPr="00661AE1">
        <w:t xml:space="preserve">partitioning of </w:t>
      </w:r>
      <w:r w:rsidR="0010422B">
        <w:t>volatiles</w:t>
      </w:r>
      <w:r w:rsidR="0078435D" w:rsidRPr="00661AE1">
        <w:t xml:space="preserve"> between </w:t>
      </w:r>
      <w:r w:rsidR="005368D1" w:rsidRPr="00661AE1">
        <w:t xml:space="preserve">mantle </w:t>
      </w:r>
      <w:r w:rsidR="00717C86" w:rsidRPr="00661AE1">
        <w:t xml:space="preserve">phases </w:t>
      </w:r>
      <w:r w:rsidR="0078435D" w:rsidRPr="00661AE1">
        <w:t>is in its infancy</w:t>
      </w:r>
      <w:r w:rsidR="002C209D">
        <w:t xml:space="preserve"> </w:t>
      </w:r>
      <w:r w:rsidR="002C209D" w:rsidRPr="00661AE1">
        <w:t>(see reviews by Frezzotti &amp; Ferrando, 2018; Hanley &amp; Koga, 2018)</w:t>
      </w:r>
      <w:r w:rsidR="0078435D" w:rsidRPr="00661AE1">
        <w:t xml:space="preserve">. </w:t>
      </w:r>
      <w:r w:rsidR="00B71B0C" w:rsidRPr="00661AE1">
        <w:t>To date, m</w:t>
      </w:r>
      <w:r w:rsidR="007976D3" w:rsidRPr="00661AE1">
        <w:t xml:space="preserve">ost experiments </w:t>
      </w:r>
      <w:r w:rsidR="00FD5222" w:rsidRPr="00661AE1">
        <w:t>on</w:t>
      </w:r>
      <w:r w:rsidR="00EF76E0" w:rsidRPr="00661AE1">
        <w:t xml:space="preserve"> </w:t>
      </w:r>
      <w:r w:rsidR="0010422B">
        <w:t>volatiles</w:t>
      </w:r>
      <w:r w:rsidR="00B05F0D" w:rsidRPr="00661AE1">
        <w:t xml:space="preserve"> </w:t>
      </w:r>
      <w:r w:rsidR="00B574D7">
        <w:t xml:space="preserve">have </w:t>
      </w:r>
      <w:r w:rsidR="009A50FC">
        <w:t xml:space="preserve">been </w:t>
      </w:r>
      <w:r w:rsidR="00464DEA" w:rsidRPr="00661AE1">
        <w:t>undertaken at</w:t>
      </w:r>
      <w:r w:rsidR="005368D1">
        <w:t>:</w:t>
      </w:r>
      <w:r w:rsidR="00464DEA" w:rsidRPr="00661AE1">
        <w:t xml:space="preserve"> </w:t>
      </w:r>
      <w:r w:rsidR="00130EBD">
        <w:t xml:space="preserve">(i) </w:t>
      </w:r>
      <w:r w:rsidR="001B7A9F" w:rsidRPr="001B7A9F">
        <w:t>supra-solidus temperatures</w:t>
      </w:r>
      <w:r w:rsidR="005368D1">
        <w:t>;</w:t>
      </w:r>
      <w:r w:rsidR="009A50FC">
        <w:t xml:space="preserve"> and </w:t>
      </w:r>
      <w:r w:rsidR="00130EBD">
        <w:t xml:space="preserve">(ii) </w:t>
      </w:r>
      <w:r w:rsidR="009A50FC">
        <w:t>involved melts</w:t>
      </w:r>
      <w:r w:rsidR="009A50FC" w:rsidRPr="00661AE1">
        <w:t xml:space="preserve"> </w:t>
      </w:r>
      <w:r w:rsidR="00E76A3A">
        <w:t xml:space="preserve">rather than fully-equilibrated mineral assemblages </w:t>
      </w:r>
      <w:r w:rsidR="00AE5939" w:rsidRPr="00D53B4C">
        <w:fldChar w:fldCharType="begin"/>
      </w:r>
      <w:r w:rsidR="00A17546">
        <w:instrText xml:space="preserve"> ADDIN ZOTERO_ITEM CSL_CITATION {"citationID":"Pn1EpnFZ","properties":{"formattedCitation":"(O\\uc0\\u8217{}Leary et al., 2010; Dalou et al., 2012; Dalou et al., 2012; Dalou et al., 2014; Joachim et al., 2015; Rosenthal and Hauri, 2015; Beyer et al., 2016; Gr\\uc0\\u252{}tzner et al., 2017)","plainCitation":"(O’Leary et al., 2010; Dalou et al., 2012; Dalou et al., 2012; Dalou et al., 2014; Joachim et al., 2015; Rosenthal and Hauri, 2015; Beyer et al., 2016; Grützner et al., 2017)","noteIndex":0},"citationItems":[{"id":2931,"uris":["http://zotero.org/users/88665/items/XHJJAA2Z"],"uri":["http://zotero.org/users/88665/items/XHJJAA2Z"],"itemData":{"id":2931,"type":"article-journal","container-title":"Earth and Planetary Science Letters","DOI":"10.1016/j.epsl.2014.11.044","ISSN":"0012-821X","note":"00000","page":"77-87","title":"Experimental determination of C, F, and H partitioning between mantle minerals and carbonated basalt, CO2/Ba and CO2/Nb systematics of partial melting, and the CO2 contents of basaltic source regions","volume":"412","author":[{"family":"Rosenthal","given":"A."},{"family":"Hauri","given":"E. H."}],"issued":{"date-parts":[["2015"]]}}},{"id":3663,"uris":["http://zotero.org/users/88665/items/8MQ84VCZ"],"uri":["http://zotero.org/users/88665/items/8MQ84VCZ"],"itemData":{"id":3663,"type":"article-journal","abstract":"In this experimental study we obtained new mineral/melt (DF=cmineral/cmelt) partitioning data for fluorine in a bimineralic hydrous eclogite under Earth's upper mantle conditions (4–6GPa, 1460–1550°C). Omphacitic clinopyroxene displays mineral/melt partition coefficients between DF=0.056±0.005 and DF=0.074±0.001. Garnet partition coefficients are consistently lower with an average partition coefficient of DF=0.016±0.003. We found that omphacitic clinopyroxene is the dominant nominally fluorine-free phase in subducted oceanic crust and hence omphacite is expected to be the major fluorine carrier during subduction of crust into the deeper mantle. Together with previously obtained partitioning data we propose that the oceanic crust can host more fluorine per mass unit than the underlying depleted oceanic mantle. If the majority of entrained fluorine is recycled into Earth's transition zone it is possible that the fluorine is either incorporated into high-pressure transition zone phases or released during high-pressure phase transformations and forming fluorine-rich small degree partial melts. Both scenarios are supported by elevated fluorine concentration in ocean island basalts, kimberlites, and lamproites. Combining the fluorine partitioning data with water partitioning data yields a plausible process to generate lamproitic magmas with a high F/H2O ratio. The enrichment of fluorine relative to H2O is triggered by multiple episodes of small degree melting that deplete the residual more in H2O than in fluorine, caused by the approximately three times smaller mineral-melt partition coefficients of H2O.","container-title":"Chemical Geology","DOI":"10.1016/j.chemgeo.2016.05.032","ISSN":"0009-2541","journalAbbreviation":"Chemical Geology","page":"88-97","source":"ScienceDirect","title":"Fluorine partitioning between eclogitic garnet, clinopyroxene, and melt at upper mantle conditions","volume":"437","author":[{"family":"Beyer","given":"C."},{"family":"Klemme","given":"S."},{"family":"Grützner","given":"T."},{"family":"Ireland","given":"T. R."},{"family":"Magee","given":"C. W."},{"family":"Frost","given":"D. J."}],"issued":{"date-parts":[["2016",10,25]]}}},{"id":2959,"uris":["http://zotero.org/users/88665/items/DJZDISF8"],"uri":["http://zotero.org/users/88665/items/DJZDISF8"],"itemData":{"id":2959,"type":"article-journal","container-title":"Progress in Earth and Planetary Science","DOI":"10.1186/s40645-014-0026-1","ISSN":"2197-4284","issue":"1","language":"en","note":"00000","page":"1-26","source":"www.progearthplanetsci.com","title":"Contrasting partition behavior of F and Cl during hydrous mantle melting: implications for Cl/F signature in arc magmas","title-short":"Contrasting partition behavior of F and Cl during hydrous mantle melting","volume":"1","author":[{"family":"Dalou","given":"Célia"},{"family":"Koga","given":"Kenneth T."},{"family":"Voyer","given":"Marion Le"},{"family":"Shimizu","given":"Nobumichi"}],"issued":{"date-parts":[["2014",12,13]]}}},{"id":2488,"uris":["http://zotero.org/users/88665/items/CU9XWXTR"],"uri":["http://zotero.org/users/88665/items/CU9XWXTR"],"itemData":{"id":2488,"type":"article-journal","abstract":"We experimentally determined F and Cl partition coefficients together with that of 19 trace elements (including REE, U-Th, HFSE and LILE) between basaltic melt and lherzolite minerals: olivine, orthopyroxene, clinopyroxene, plagioclase and garnet. Under conditions from 8 to 25 kbars and from 1,265 to 1,430°C, compatibilities of F and Cl are globally ordered as D Cpx/melt &gt; D Opx/melt &gt; D Grt/melt &gt; D Ol/melt &gt; D Plag/melt, and D F mineral/melt is larger than D Cl mineral/melt . Four other major results were brought to light. (1) Chlorine partition coefficients positively correlate with the jadeite component in orthopyroxene, and increase of the CaTs component promotes Cl incorporation in clinopyroxene. (2) Variations of fluorine partition coefficients correlate strongly with melt viscosity. (3) F and Cl partition coefficients correlate with the Young’s modulus (E 0) of pyroxene octahedral sites (M sites) and with Raman vibrational modes of pyroxenes. This demonstrates a fundamental interaction between the M site of pyroxenes and the incorporation of F and Cl. (4) We also determined the parameters of the lattice-strain model applied to 3+ cation trace elements for the two M sites in orthopyroxene and clinopyroxene: D 0 M 1, D 0 M 2, r 0 M1 , r 0 M2 , E 0 M1 and E 0 M2 .","container-title":"Contributions to Mineralogy and Petrology","DOI":"10.1007/s00410-011-0688-2","ISSN":"0010-7999, 1432-0967","issue":"4","journalAbbreviation":"Contributions to Mineralogy and Petrology","language":"en","note":"00012","page":"591-609","source":"link.springer.com","title":"Experimental determination of F and Cl partitioning between lherzolite and basaltic melt","volume":"163","author":[{"family":"Dalou","given":"Célia"},{"family":"Koga","given":"Kenneth T."},{"family":"Shimizu","given":"Nobumichi"},{"family":"Boulon","given":"Julien"},{"family":"Devidal","given":"Jean-Luc"}],"issued":{"date-parts":[["2012",4,1]]}}},{"id":2488,"uris":["http://zotero.org/users/88665/items/CU9XWXTR"],"uri":["http://zotero.org/users/88665/items/CU9XWXTR"],"itemData":{"id":2488,"type":"article-journal","abstract":"We experimentally determined F and Cl partition coefficients together with that of 19 trace elements (including REE, U-Th, HFSE and LILE) between basaltic melt and lherzolite minerals: olivine, orthopyroxene, clinopyroxene, plagioclase and garnet. Under conditions from 8 to 25 kbars and from 1,265 to 1,430°C, compatibilities of F and Cl are globally ordered as D Cpx/melt &gt; D Opx/melt &gt; D Grt/melt &gt; D Ol/melt &gt; D Plag/melt, and D F mineral/melt is larger than D Cl mineral/melt . Four other major results were brought to light. (1) Chlorine partition coefficients positively correlate with the jadeite component in orthopyroxene, and increase of the CaTs component promotes Cl incorporation in clinopyroxene. (2) Variations of fluorine partition coefficients correlate strongly with melt viscosity. (3) F and Cl partition coefficients correlate with the Young’s modulus (E 0) of pyroxene octahedral sites (M sites) and with Raman vibrational modes of pyroxenes. This demonstrates a fundamental interaction between the M site of pyroxenes and the incorporation of F and Cl. (4) We also determined the parameters of the lattice-strain model applied to 3+ cation trace elements for the two M sites in orthopyroxene and clinopyroxene: D 0 M 1, D 0 M 2, r 0 M1 , r 0 M2 , E 0 M1 and E 0 M2 .","container-title":"Contributions to Mineralogy and Petrology","DOI":"10.1007/s00410-011-0688-2","ISSN":"0010-7999, 1432-0967","issue":"4","journalAbbreviation":"Contributions to Mineralogy and Petrology","language":"en","note":"00012","page":"591-609","source":"link.springer.com","title":"Experimental determination of F and Cl partitioning between lherzolite and basaltic melt","volume":"163","author":[{"family":"Dalou","given":"Célia"},{"family":"Koga","given":"Kenneth T."},{"family":"Shimizu","given":"Nobumichi"},{"family":"Boulon","given":"Julien"},{"family":"Devidal","given":"Jean-Luc"}],"issued":{"date-parts":[["2012",4,1]]}}},{"id":4059,"uris":["http://zotero.org/users/88665/items/Q8696UGP"],"uri":["http://zotero.org/users/88665/items/Q8696UGP"],"itemData":{"id":4059,"type":"article-journal","abstract":"We present new experimental results on the fluorine storage capacity of olivine and orthopyroxene in the Earth’s mantle. Experiments were performed in the system MgO-SiO2+MgF2 at temperatures between 1350°C and 1700°C and pressures up to 17GPa. Electron microprobe measurements show that fluorine concentrations in olivine reach up to 5100µg/g. The storage capacity of fluorine in olivine shows only a small pressure dependence but a strong temperature dependence with a positive correlation between increasing temperature and fluorine storage capacity. Fluorine concentrations found in enstatite are one order of magnitude smaller and reach up to 670µg/g. Our data show that concentrations of fluorine in fluorine-saturated olivine are in the same range as water concentrations in olivine. Nevertheless, fluorine and water solubility in olivine show opposing behavior with increasing pressure and temperature. The fluorine solubility in olivine increases with increasing temperature but is not much affected by pressure. In contrast, water solubility in olivine has previously been shown to decrease with increasing temperature and increase with increasing pressure. Our experiments show that nominally fluorine-free minerals like forsterite and enstatite are capable of storing the entire fluorine budget of the upper mantle, without the need to invoke accessory phases such as apatite or amphibole.","container-title":"Geochimica et Cosmochimica Acta","DOI":"10.1016/j.gca.2017.03.043","ISSN":"0016-7037","journalAbbreviation":"Geochimica et Cosmochimica Acta","page":"160-170","source":"ScienceDirect","title":"The storage capacity of fluorine in olivine and pyroxene under upper mantle conditions","volume":"208","author":[{"family":"Grützner","given":"Tobias"},{"family":"Kohn","given":"Simon C."},{"family":"Bromiley","given":"David W."},{"family":"Rohrbach","given":"Arno"},{"family":"Berndt","given":"Jasper"},{"family":"Klemme","given":"Stephan"}],"issued":{"date-parts":[["2017",7,1]]}}},{"id":3070,"uris":["http://zotero.org/users/88665/items/EK4Z3GIR"],"uri":["http://zotero.org/users/88665/items/EK4Z3GIR"],"itemData":{"id":3070,"type":"article-journal","abstract":"Halogens have, because of their volatile behavior and incompatibility, the potential to act as key tracers of volatile transport processes within the Earth's mantle. A better understanding of halogen behavior during partial melting processes will improve our understanding of volatile input mechanisms into the Earth's mantle and give insight into its evolution over the Earth's history. This study introduces time of flight secondary ion mass spectrometry (TOF-SIMS) as an analytical method for the determination of halogen partition coefficients and significantly extends the available dataset for fluorine and chlorine partitioning between mantle minerals and silicate melts to conditions of partial melting processes in Ocean Island Basalt (OIB) source regions.\n\nHalogen partitioning between olivine, orthopyroxene and silicate melt has been determined in experiments at 1.0–2.3 GPa and 1350–1600 °C. Combining our data with results of recent studies (O'Leary et al., 2010; Beyer et al., 2012; Dalou et al., 2012, 2014; Rosenthal et al., 2015) shows that fluorine and chlorine partitioning between olivine and melt increases by about 1.5–2 orders of magnitude between 1350 °C and 1600 °C (fluorine: 0.005(3)–0.31(16); chlorine: 0.005(45)–0.17(9)) and does not show any pressure dependence between 1.0 and 2.3 GPa. Chlorine partitioning between orthopyroxene and melt increases by about 1 order of magnitude between 1450 °C and 1600 °C (0.015(8)–0.16(9)) at a constant pressure of 2.3 GPa. Fluorine partitioning between orthopyroxene and melt increases by 1.5 orders of magnitude between 1250 °C and 1600 °C (0.029(6)–0.20(14)) and does not show any pressure dependence.\n\nTransmission electron microscopy measurements show that halogens are not incorporated in the form of humite-type defects in olivine. The most reasonable incorporation mechanism for halogens is via point defects in the olivine and orthopyroxene lattice, where they are inferred to be charge-balanced via oxygen defects.\n\nBy combining our partition coefficients with natural halogen concentrations in oceanic basalts, we are able to give estimates for fluorine and chlorine abundances in Mid Ocean Ridge Basalt (MORB) (F = 3–14; Cl = 0.6–14 ppm) and OIB (F = 34–76; Cl = 21–71 ppm) mantle source regions. Comparing these with estimates of bulk silicate Earth (BSE) concentrations (F = 18 ± 8 ppm, Lyubetskaya and Korenaga, 2007; F = 25 ± 10 ppm, Palme and O'Neill, 2003; Cl = 30 ± 12 ppm Palme and O'Neill, 2003) indicates that the upper mantle is degassed by 22–88% in fluorine and 22–99% in chlorine relative to the primitive mantle. The OIB source mantle region has a chlorine concentration that is similar to primitive mantle estimates, but is enriched in fluorine by a factor of 1.4–4.2 relative to the primitive mantle. An explanation for the relative fluorine enrichment in the OIB source region is that compared to chlorine, fluorine may be incorporated to a greater extent into the crystal structure of minerals that are stable at high P–T conditions and may thus be recycled more efficiently into the deeper mantle through subduction of oceanic crust.","container-title":"Chemical Geology","DOI":"10.1016/j.chemgeo.2015.08.012","ISSN":"0009-2541","journalAbbreviation":"Chemical Geology","note":"00000","page":"65-78","source":"ScienceDirect","title":"Experimental partitioning of F and Cl between olivine, orthopyroxene and silicate melt at Earth's mantle conditions","volume":"416","author":[{"family":"Joachim","given":"Bastian"},{"family":"Pawley","given":"Alison"},{"family":"Lyon","given":"Ian C."},{"family":"Marquardt (neé Hartmann)","given":"Katharina"},{"family":"Henkel","given":"Torsten"},{"family":"Clay","given":"Patricia L."},{"family":"Ruzié","given":"Lorraine"},{"family":"Burgess","given":"Ray"},{"family":"Ballentine","given":"Christopher J."}],"issued":{"date-parts":[["2015"]]}}},{"id":"4YmRUp4L/jfJvJijG","uris":["http://zotero.org/users/2552499/items/KHR2BN3H"],"uri":["http://zotero.org/users/2552499/items/KHR2BN3H"],"itemData":{"id":"feDsth7o/N4J54QYv","type":"article-journal","title":"The effect of tetrahedral Al3+ on the partitioning of water between clinopyroxene and silicate melt","container-title":"Earth and Planetary Science Letters","page":"111-120","volume":"297","issue":"1–2","source":"ScienceDirect","abstract":"This experimental study examines the influence of tetrahedrally coordinated Al3+ (IVAl3+) on the partitioning of H+ between high-Ca clinopyroxene and silicate melt. Experiments were carried out at 1.5 GPa and 1275 to 1350 °C on a natural high-alumina basalt and a compositionally similar synthetic basalt that is nominally alumina free. The results extend the compositional range of clinopyroxene for which partitioning has been determined experimentally to both higher and lower IVAl3+, thereby clarifying its role in maintaining charge neutrality during H+ incorporation. Clinopyroxene-melt partition coefficients for H+ (DH2OCpx − Melt) determined for the high-alumina basalt are among largest ever reported (DH2OCpx − Melt = 0.0228 to 0.0477), while those determined for the nominally alumina-free starting composition are the smallest (DH2OCpx − Melt = 0.00445 to 0.0071). Our results confirm that H+ is incorporated into clinopyroxene through two independent mechanisms: (1) the creation of metal vacancies and coupled hydroxyl defects and (2) a coupled substitution involving IVAl3+ that creates isolated hydroxyl defects. The relative importance of each of these incorporation mechanisms was quantified by formulating DH2OCpx − Melt as the sum of a metal vacancy-related partition coefficient (DH2OVMe) and an Al-coupled substitution-related partition coefficient (DH2OAl) and fitting the resulting expression to all available experimental data. The contribution of DH2OVMe to DH2OCpx − Melt is relatively constant at 0.006 ± 0.002, but is sensitive to pressure, temperature, H2O fugacity and pyroxene composition. The contribution of DH2OAl varies from </w:instrText>
      </w:r>
      <w:r w:rsidR="00A17546">
        <w:rPr>
          <w:rFonts w:ascii="Cambria Math" w:hAnsi="Cambria Math" w:cs="Cambria Math"/>
        </w:rPr>
        <w:instrText>∼</w:instrText>
      </w:r>
      <w:r w:rsidR="00A17546">
        <w:instrText xml:space="preserve"> 0 to 0.038 and is strongly dependent on phase composition, but insensitive to pressure and temperature. Two parameterizations of DH2OCpx − Melt that account for the potential effects of temperature, pressure and phase composition were calibrated using our data and experimentally determined partition coefficients from the literature. The first parameterization considers only compositional effects and can be used to estimate DH2OCpx − Melt in cases where pressure and/or temperature are unknown. This equation was used to demonstrate that the pre-eruptive H2O contents of arc lavas calculated on the basis of H+ in clinopyroxene phenocrysts are systematically higher than those inferred from olivine-hosted melt inclusions, so that the former provide a record that is closer to primary (undegassed) values. The second parameterization considers the effects of pressure and temperature in addition to phase composition and provides a moderately better fit to the experimental data. This equation was used to re-evaluate the influence of H2O on the depth at which peridotite partial melting begins beneath oceanic spreading centers. Our calculations indicate that partial melting begins at depths that are shallower than suggested by previous estimates. For a potential temperature of 1350 °C, peridotite containing 50, 100, 150, and 200 ppm H2O dissolved in nominally anhydrous minerals begins melting at depths of 75, 79, 83, and 87 km, respectively.","DOI":"10.1016/j.epsl.2010.06.011","ISSN":"0012-821X","journalAbbreviation":"Earth and Planetary Science Letters","author":[{"family":"O'Leary","given":"Julie A."},{"family":"Gaetani","given":"Glenn A."},{"family":"Hauri","given":"Erik H."}],"issued":{"date-parts":[["2010",8,15]]}}}],"schema":"https://github.com/citation-style-language/schema/raw/master/csl-citation.json"} </w:instrText>
      </w:r>
      <w:r w:rsidR="00AE5939" w:rsidRPr="00D53B4C">
        <w:fldChar w:fldCharType="separate"/>
      </w:r>
      <w:r w:rsidR="00636367" w:rsidRPr="00636367">
        <w:t>(O’Leary et al., 2010; Dalou et al., 2012; Dalou et al., 2012; Dalou et al., 2014; Joachim et al., 2015; Rosenthal and Hauri, 2015; Beyer et al., 2016; Grützner et al., 2017)</w:t>
      </w:r>
      <w:r w:rsidR="00AE5939" w:rsidRPr="00D53B4C">
        <w:fldChar w:fldCharType="end"/>
      </w:r>
      <w:r w:rsidR="007976D3" w:rsidRPr="00661AE1">
        <w:t xml:space="preserve">. </w:t>
      </w:r>
      <w:r w:rsidR="006F106F">
        <w:t xml:space="preserve">Exceptions include </w:t>
      </w:r>
      <w:r w:rsidR="007C2C4D">
        <w:t xml:space="preserve">experiments at sub-solidus temperatures </w:t>
      </w:r>
      <w:r w:rsidR="006F106F">
        <w:t xml:space="preserve">by Green et al. </w:t>
      </w:r>
      <w:r w:rsidR="00C213C2">
        <w:fldChar w:fldCharType="begin"/>
      </w:r>
      <w:r w:rsidR="008E0CCC">
        <w:instrText xml:space="preserve"> ADDIN ZOTERO_ITEM CSL_CITATION {"citationID":"r2P2sDnZ","properties":{"formattedCitation":"(2010)","plainCitation":"(2010)","noteIndex":0},"citationItems":[{"id":4308,"uris":["http://zotero.org/users/88665/items/QA8GFX8F"],"uri":["http://zotero.org/users/88665/items/QA8GFX8F"],"itemData":{"id":4308,"type":"article-journal","abstract":"The Earth has distinctive convective behaviour, described by the plate tectonics model, in which lateral motion of the oceanic lithosphere of basaltic crust and peridotitic uppermost mantle is decoupled from the underlying mechanically weaker upper mantle (asthenosphere). The reason for differentiation at the lithosphere–asthenosphere boundary is currently being debated with relevant observations from geophysics (including seismology) and geochemistry (including experimental petrology). Water is thought to have an important effect on mantle rheology, either by weakening the crystal structure of olivine and pyroxenes by dilute solid solution1, or by causing low-temperature partial melting2. Here we present a novel experimental approach to clarify the role of water in the uppermost mantle at pressures up to 6 GPa, equivalent to a depth of 190 km. We found that for lherzolite in which a water-rich vapour is present, the temperature at which a silicate melt first appears (the vapour-saturated solidus) increases from a minimum of 970 °C at 1.5 GPa to 1,350 °C at 6 GPa. We have measured the water content in lherzolite to be approximately 180 parts per million, retained in nominally anhydrous minerals at 2.5 and 4 GPa at temperatures above and below the vapour-saturated solidus. The hydrous mineral pargasite is the main water-storage site in the uppermost mantle, and the instability of pargasite at pressures greater than 3 GPa (equivalent to more than about 90 km depth) causes a sharp drop in both the water-storage capacity and the solidus temperature of fertile upper-mantle lherzolite. The presence of interstitial melt in mantle with more than 180 parts per million of water at pressures greater than 3 GPa alters mantle rheology and defines the lithosphere–asthenosphere boundary. Modern asthenospheric mantle acting as the source for mid-oceanic ridge basalts has a water content of 50–200 parts per million (refs 3–5). We show that this matches the water content of residual nominally anhydrous minerals after incipient melting of lherzolite at the vapour-saturated solidus at high pressure.","container-title":"Nature","DOI":"10.1038/nature09369","ISSN":"1476-4687","issue":"7314","language":"en","page":"448-451","source":"www.nature.com","title":"Water and its influence on the lithosphere–asthenosphere boundary","volume":"467","author":[{"family":"Green","given":"David H."},{"family":"Hibberson","given":"William O."},{"family":"Kovács","given":"István"},{"family":"Rosenthal","given":"Anja"}],"issued":{"date-parts":[["2010",9]]}},"suppress-author":true}],"schema":"https://github.com/citation-style-language/schema/raw/master/csl-citation.json"} </w:instrText>
      </w:r>
      <w:r w:rsidR="00C213C2">
        <w:fldChar w:fldCharType="separate"/>
      </w:r>
      <w:r w:rsidR="00C213C2">
        <w:rPr>
          <w:noProof/>
        </w:rPr>
        <w:t>(2010)</w:t>
      </w:r>
      <w:r w:rsidR="00C213C2">
        <w:fldChar w:fldCharType="end"/>
      </w:r>
      <w:r w:rsidR="006F106F">
        <w:t xml:space="preserve"> and </w:t>
      </w:r>
      <w:r w:rsidR="00C213C2">
        <w:t xml:space="preserve">Kovacs et al. </w:t>
      </w:r>
      <w:r w:rsidR="00C213C2">
        <w:fldChar w:fldCharType="begin"/>
      </w:r>
      <w:r w:rsidR="008E0CCC">
        <w:instrText xml:space="preserve"> ADDIN ZOTERO_ITEM CSL_CITATION {"citationID":"dvqJ0jqb","properties":{"formattedCitation":"(2012)","plainCitation":"(2012)","noteIndex":0},"citationItems":[{"id":4311,"uris":["http://zotero.org/users/88665/items/LLZWDYHM"],"uri":["http://zotero.org/users/88665/items/LLZWDYHM"],"itemData":{"id":4311,"type":"article-journal","abstract":"Abstract.  The incorporation of water in olivine and pyroxenes interlayered within fertile lherzolite compositions was explored experimentally near the wet soli","container-title":"Journal of Petrology","DOI":"10.1093/petrology/egs044","ISSN":"0022-3530","issue":"10","journalAbbreviation":"J Petrology","language":"en","page":"2067-2093","source":"academic.oup.com","title":"An Experimental Study of Water in Nominally Anhydrous Minerals in the Upper Mantle near the Water-saturated Solidus","volume":"53","author":[{"family":"Kovács","given":"István"},{"family":"Green","given":"David H."},{"family":"Rosenthal","given":"Anja"},{"family":"Hermann","given":"Jörg"},{"family":"O’neill","given":"Hugh St C."},{"family":"Hibberson","given":"William O."},{"family":"Udvardi","given":"Beatrix"}],"issued":{"date-parts":[["2012",10,1]]}},"suppress-author":true}],"schema":"https://github.com/citation-style-language/schema/raw/master/csl-citation.json"} </w:instrText>
      </w:r>
      <w:r w:rsidR="00C213C2">
        <w:fldChar w:fldCharType="separate"/>
      </w:r>
      <w:r w:rsidR="00C213C2">
        <w:rPr>
          <w:noProof/>
        </w:rPr>
        <w:t>(2012)</w:t>
      </w:r>
      <w:r w:rsidR="00C213C2">
        <w:fldChar w:fldCharType="end"/>
      </w:r>
      <w:r w:rsidR="00C213C2">
        <w:t>.</w:t>
      </w:r>
    </w:p>
    <w:p w14:paraId="69E17DAB" w14:textId="499D8AA8" w:rsidR="0079350D" w:rsidRPr="00661AE1" w:rsidRDefault="00464DEA" w:rsidP="00C20C0B">
      <w:pPr>
        <w:spacing w:line="480" w:lineRule="auto"/>
        <w:ind w:firstLine="360"/>
        <w:jc w:val="both"/>
      </w:pPr>
      <w:r w:rsidRPr="00661AE1">
        <w:rPr>
          <w:i/>
        </w:rPr>
        <w:t>In-situ</w:t>
      </w:r>
      <w:r w:rsidRPr="00661AE1">
        <w:t xml:space="preserve"> analyses of volatiles </w:t>
      </w:r>
      <w:r w:rsidR="002244A6">
        <w:t xml:space="preserve">in mantle minerals </w:t>
      </w:r>
      <w:r w:rsidRPr="00661AE1">
        <w:t xml:space="preserve">have traditionally </w:t>
      </w:r>
      <w:r w:rsidR="00687CE5">
        <w:t>focused</w:t>
      </w:r>
      <w:r w:rsidRPr="00661AE1">
        <w:t xml:space="preserve"> on accessory phases (e.g. phlogopite, amphibole and apatite) but </w:t>
      </w:r>
      <w:r w:rsidR="001D7D8A">
        <w:t>a</w:t>
      </w:r>
      <w:r w:rsidR="0079350D" w:rsidRPr="00661AE1">
        <w:t xml:space="preserve">dvances in analytical techniques, such as </w:t>
      </w:r>
      <w:r w:rsidR="0004147C">
        <w:lastRenderedPageBreak/>
        <w:t>F</w:t>
      </w:r>
      <w:r w:rsidR="0004147C" w:rsidRPr="00661AE1">
        <w:t xml:space="preserve">ourier </w:t>
      </w:r>
      <w:r w:rsidR="0004147C">
        <w:t>T</w:t>
      </w:r>
      <w:r w:rsidR="0004147C" w:rsidRPr="00661AE1">
        <w:t xml:space="preserve">ransform </w:t>
      </w:r>
      <w:r w:rsidR="0004147C">
        <w:t>I</w:t>
      </w:r>
      <w:r w:rsidR="0004147C" w:rsidRPr="00661AE1">
        <w:t>nfra</w:t>
      </w:r>
      <w:r w:rsidR="0079350D" w:rsidRPr="00661AE1">
        <w:t xml:space="preserve">red (FTIR) </w:t>
      </w:r>
      <w:r w:rsidR="0004147C">
        <w:t>S</w:t>
      </w:r>
      <w:r w:rsidR="0004147C" w:rsidRPr="00661AE1">
        <w:t xml:space="preserve">pectroscopy </w:t>
      </w:r>
      <w:r w:rsidR="0079350D" w:rsidRPr="00661AE1">
        <w:t xml:space="preserve">and </w:t>
      </w:r>
      <w:r w:rsidR="0004147C">
        <w:t>S</w:t>
      </w:r>
      <w:r w:rsidR="0004147C" w:rsidRPr="00661AE1">
        <w:t>econdary</w:t>
      </w:r>
      <w:r w:rsidR="0004147C">
        <w:t xml:space="preserve"> I</w:t>
      </w:r>
      <w:r w:rsidR="0004147C" w:rsidRPr="00661AE1">
        <w:t xml:space="preserve">on </w:t>
      </w:r>
      <w:r w:rsidR="0004147C">
        <w:t>M</w:t>
      </w:r>
      <w:r w:rsidR="0004147C" w:rsidRPr="00661AE1">
        <w:t xml:space="preserve">ass </w:t>
      </w:r>
      <w:r w:rsidR="0004147C">
        <w:t>S</w:t>
      </w:r>
      <w:r w:rsidR="0004147C" w:rsidRPr="00661AE1">
        <w:t xml:space="preserve">pectrometry </w:t>
      </w:r>
      <w:r w:rsidR="0079350D" w:rsidRPr="00661AE1">
        <w:t>(SIMS)</w:t>
      </w:r>
      <w:r w:rsidR="00E46501" w:rsidRPr="00661AE1">
        <w:t>,</w:t>
      </w:r>
      <w:r w:rsidR="0079350D" w:rsidRPr="00661AE1">
        <w:t xml:space="preserve"> have enabled the increasingly routine analysis of H</w:t>
      </w:r>
      <w:r w:rsidR="0079350D" w:rsidRPr="00661AE1">
        <w:rPr>
          <w:vertAlign w:val="subscript"/>
        </w:rPr>
        <w:t>2</w:t>
      </w:r>
      <w:r w:rsidR="0079350D" w:rsidRPr="00661AE1">
        <w:t>O in NVFMMs</w:t>
      </w:r>
      <w:r w:rsidR="00EA378C">
        <w:t xml:space="preserve"> (Figure 1)</w:t>
      </w:r>
      <w:r w:rsidR="00A9208C" w:rsidRPr="00661AE1">
        <w:t xml:space="preserve">. </w:t>
      </w:r>
      <w:r w:rsidR="0079350D" w:rsidRPr="00661AE1">
        <w:t>The</w:t>
      </w:r>
      <w:r w:rsidR="00A9208C" w:rsidRPr="00661AE1">
        <w:t xml:space="preserve"> </w:t>
      </w:r>
      <w:r w:rsidR="0079350D" w:rsidRPr="00661AE1">
        <w:t>published dataset for halogens</w:t>
      </w:r>
      <w:r w:rsidR="00AC4BD8">
        <w:t>, Li and B</w:t>
      </w:r>
      <w:r w:rsidR="0079350D" w:rsidRPr="00661AE1">
        <w:t xml:space="preserve"> in NVFMMs is</w:t>
      </w:r>
      <w:r w:rsidR="002C209D">
        <w:t xml:space="preserve"> sparse</w:t>
      </w:r>
      <w:r w:rsidR="00E76A3A">
        <w:t xml:space="preserve"> (</w:t>
      </w:r>
      <w:r w:rsidR="00E76A3A" w:rsidRPr="009B315C">
        <w:rPr>
          <w:i/>
        </w:rPr>
        <w:t>n</w:t>
      </w:r>
      <w:r w:rsidR="00E76A3A">
        <w:t>=&lt;50)</w:t>
      </w:r>
      <w:r w:rsidR="00E46501" w:rsidRPr="00661AE1">
        <w:t>,</w:t>
      </w:r>
      <w:r w:rsidR="0079350D" w:rsidRPr="00661AE1">
        <w:t xml:space="preserve"> but shows that clinopyroxene is the dominant host </w:t>
      </w:r>
      <w:r w:rsidR="00233815" w:rsidRPr="00661AE1">
        <w:t xml:space="preserve">in the mantle </w:t>
      </w:r>
      <w:r w:rsidR="004272DC" w:rsidRPr="00661AE1">
        <w:t>and contains up</w:t>
      </w:r>
      <w:r w:rsidR="00937DB8" w:rsidRPr="00661AE1">
        <w:t xml:space="preserve"> </w:t>
      </w:r>
      <w:r w:rsidR="0079350D" w:rsidRPr="00661AE1">
        <w:t xml:space="preserve">to </w:t>
      </w:r>
      <w:r w:rsidR="00DF7235">
        <w:t>120</w:t>
      </w:r>
      <w:r w:rsidR="00DF7235" w:rsidRPr="00661AE1">
        <w:t xml:space="preserve"> </w:t>
      </w:r>
      <w:r w:rsidR="00C5757D">
        <w:t>ppmw</w:t>
      </w:r>
      <w:r w:rsidR="0079350D" w:rsidRPr="00661AE1">
        <w:t xml:space="preserve"> of F and 30 </w:t>
      </w:r>
      <w:r w:rsidR="00C5757D">
        <w:t>ppmw</w:t>
      </w:r>
      <w:r w:rsidR="0079350D" w:rsidRPr="00661AE1">
        <w:t xml:space="preserve"> of Cl</w:t>
      </w:r>
      <w:r w:rsidR="00682321" w:rsidRPr="00661AE1">
        <w:t xml:space="preserve"> </w:t>
      </w:r>
      <w:r w:rsidR="00682321" w:rsidRPr="00D53B4C">
        <w:fldChar w:fldCharType="begin"/>
      </w:r>
      <w:r w:rsidR="00DF7235">
        <w:instrText xml:space="preserve"> ADDIN ZOTERO_ITEM CSL_CITATION {"citationID":"JpLWixhG","properties":{"formattedCitation":"(Peslier and Luhr, 2006; Beyer et al., 2012; Mosenfelder and Rossman, 2013b; Mosenfelder and Rossman, 2013a; Warren and Hauri, 2014; B\\uc0\\u233{}nard et al., 2017; Kumamoto et al., 2017; Urann et al., 2017)","plainCitation":"(Peslier and Luhr, 2006; Beyer et al., 2012; Mosenfelder and Rossman, 2013b; Mosenfelder and Rossman, 2013a; Warren and Hauri, 2014; Bénard et al., 2017; Kumamoto et al., 2017; Urann et al., 2017)","noteIndex":0},"citationItems":[{"id":3914,"uris":["http://zotero.org/users/88665/items/MMCYWYD3"],"uri":["http://zotero.org/users/88665/items/MMCYWYD3"],"itemData":{"id":3914,"type":"article-journal","container-title":"Earth and Planetary Science Letters","journalAbbreviation":"Earth and Planetary Science Letters","page":"302-319","title":"Hydrogen loss from olivines in mantle xenoliths from Simcoe (USA) and Mexico: Mafic alkalic magma ascent rates and water budget of the sub-continental lithosphere - ScienceDirect","volume":"242","author":[{"family":"Peslier","given":"A.H."},{"family":"Luhr","given":"James F"}],"issued":{"date-parts":[["2006"]]}}},{"id":2470,"uris":["http://zotero.org/users/88665/items/NUVEKN4E"],"uri":["http://zotero.org/users/88665/items/NUVEKN4E"],"itemData":{"id":2470,"type":"article-journal","abstract":"We present new experimentally determined partition coefficients for fluorine (F) between nominally fluorine-free minerals and corresponding basaltic melts in the systems CaO–MgO–Al2O3–SiO2+F, Na2O–CaO–MgO–Al2O3–SiO2+F, and in natural compositions at pressures up to 2.5 GPa and temperatures between 1285 °C and 1445 °C. Fluorine is incompatible in olivine with F partition coefficients D F o l / m e l t varying between 0.0007 and 0.0033, whereas the F in orthopyroxene is more compatible with D F o p x / m e l t between 0.031 and 0.037. These findings agree well with new analyses of F in natural olivines and orthopyroxene from spinel peridotites and oceanic basalts, and indicate that F is less incompatible in olivine and orthopyroxene than hydrogen (DF/DH</w:instrText>
      </w:r>
      <w:r w:rsidR="00DF7235">
        <w:rPr>
          <w:rFonts w:ascii="Cambria Math" w:hAnsi="Cambria Math" w:cs="Cambria Math"/>
        </w:rPr>
        <w:instrText>∼</w:instrText>
      </w:r>
      <w:r w:rsidR="00DF7235">
        <w:instrText>3.3 for olivine, DF/DH</w:instrText>
      </w:r>
      <w:r w:rsidR="00DF7235">
        <w:rPr>
          <w:rFonts w:ascii="Cambria Math" w:hAnsi="Cambria Math" w:cs="Cambria Math"/>
        </w:rPr>
        <w:instrText>∼</w:instrText>
      </w:r>
      <w:r w:rsidR="00DF7235">
        <w:instrText xml:space="preserve">2.4 for orthopyroxene). Based on high-resolution TEM images of one of the samples, we argue that the F incorporation into the olivine structure is mass balanced via oxygen defects. Furthermore, we present some analyses of Cl in olivine and orthopyroxene from spinel peridotites and basalts.\n\nHence, fluorine, and to a lesser extend chlorine, may be effectively stored in nominally halogen-free mantle minerals such as olivine and orthopyroxene. Considering their high modal proportion in the upper mantle, both phases are the major hosts for F in the Earth's mantle, and must be taken into account when calculating the Earth's budget of halogens or global cycles of halogens in the deeper Earth. Other F-bearing minerals such as amphibole or phosphates are not needed to balance the F concentrations between crust and mantle.\n\nApplying our new partition coefficients to primitive olivine hosted melt inclusion data from mid-ocean ridge basalt (MORB), we calculate a concentration of 6–15 μg/g F for the depleted MORB mantle source. Our results also show that typical spinel lherzolites from the subcontinental lithosphere show virtually identical concentrations of about 12 μg/g. However, using the partition coefficients on primary melt inclusions from ocean island basalts (OIB), suggest slightly higher fluorine contents between 8 and 31 μg/g for OIB mantle sources.","container-title":"Earth and Planetary Science Letters","DOI":"10.1016/j.epsl.2012.05.003","ISSN":"0012-821X","journalAbbreviation":"Earth and Planetary Science Letters","note":"00006","page":"1-9","source":"ScienceDirect","title":"Fluorine in nominally fluorine-free mantle minerals: Experimental partitioning of F between olivine, orthopyroxene and silicate melts with implications for magmatic processes","title-short":"Fluorine in nominally fluorine-free mantle minerals","volume":"337–338","author":[{"family":"Beyer","given":"C."},{"family":"Klemme","given":"S."},{"family":"Wiedenbeck","given":"M."},{"family":"Stracke","given":"A."},{"family":"Vollmer","given":"C."}],"issued":{"date-parts":[["2012",7,1]]}}},{"id":2452,"uris":["http://zotero.org/users/88665/items/2VRPE7NT"],"uri":["http://zotero.org/users/88665/items/2VRPE7NT"],"itemData":{"id":2452,"type":"article-journal","abstract":"Studies of coexisting, nominally anhydrous minerals in mantle samples show that clinopyroxene is an especially important host for hydrogen. Recent experimental studies have also shown that clinopyroxene may contain significant amounts of fluorine, which has implications for the F budget of the mantle. More accurate quantification of H and F is therefore a desirable goal.\nWe measured H in 13 natural clinopyroxenes using Fourier transform infrared (FTIR) spectroscopy. 16O1H/30Si and 19F/30Si were also measured in the samples using secondary ion mass spectrometry (SIMS). H data were compared between the two techniques and F was calculated with reference to F-bearing silicate glass standards. Four of the clinopyroxenes are used as standards for SIMS calibration in multiple laboratories, and three have been measured previously using hydrogen manometry and/or elastic recoil detection analysis. Compared to clinopyroxenes in previous surveys comparing FTIR and SIMS, the 13 samples cover a broader range in chemistry and band positions in the O-H vibrational spectrum. They also all lack detectable amphibole lamellae, which are otherwise commonly present in this mineral group. In contrast to orthopyroxene, the SIMS and FTIR data for clinopyroxene show significantly better correlations (r2 = 0.96–0.98) when the frequency-dependent IR calibration of Libowitzky and Rossman (1997) is applied, as opposed to the Bell et al. (1995) calibration (r2 = 0.92–93). We derive a frequency-dependent molar absorption coefficient with parameters different from those of Libowitzky and Rossman’s calibration, which was established using data on stoichiometric hydrous phases and gives poor agreement with the manometrically determined value for PMR-53. Comparison of data for PMR-53 to our SIMS calibrations for orthopyroxene and olivine suggests that the matrix effect among these phases is less than 20% relative. Fluorine concentrations vary depending on geological context, with the highest concentrations (up to 214 ppm) found in diopsides from crustal metamorphic environments. Mantle samples follow similar geographic trends as olivines and orthopyroxenes, with higher F in xenocrysts from Kilbourne Hole (46 ppm) and South African kimberlites (up to 29 ppm) compared to the Colorado Plateau (8 ppm). On the basis of chemical correlations, we propose two different incorporation mechanisms for F: (1) coupled subsititution with Al3+ and/or Fe3+ in tetrahedral sites; and (2) coupled substitution with monovalent cations (Na and K) in the M2 site. The second substitution is more relevant to mantle augites than crustal diopsides. Our measured F concentrations are much lower than those in some clinopyroxenes synthesized in recent high P-T studies. Nevertheless, our data support suggestions that the F budget of the mantle can be entirely accommodated by incorporation in nominally anhydrous/fluorine-free minerals.","container-title":"American Mineralogist","DOI":"10.2138/am.2013.4413","ISSN":"0003-004X,","issue":"5-6","journalAbbreviation":"American Mineralogist","language":"en","note":"00034","page":"1042-1054","source":"ammin.geoscienceworld.org","title":"Analysis of hydrogen and fluorine in pyroxenes: II. Clinopyroxene","title-short":"Analysis of hydrogen and fluorine in pyroxenes","volume":"98","author":[{"family":"Mosenfelder","given":"Jed L."},{"family":"Rossman","given":"George R."}],"issued":{"date-parts":[["2013",1,5]]}}},{"id":2455,"uris":["http://zotero.org/users/88665/items/8R6URUTK"],"uri":["http://zotero.org/users/88665/items/8R6URUTK"],"itemData":{"id":2455,"type":"article-journal","abstract":"Pyroxenes have the capacity to incorporate both hydrogen and fluorine in their structures, and accurate measurement of these volatile elements can be used to constrain geophysical and petrologic processes in planetary bodies. For example, pyroxenes may be used to constrain the volatile contents of melts from which they crystallized. However, the experimental determination of H and F in pyroxenes is difficult, particularly at the relatively low levels present in natural samples. Here we evaluate methods for determining both H and F in orthopyroxene.\nWe measured trace concentrations of H (~40–400 ppm H2O) and F (&lt;1–17 ppm) in a suite of nine orthopyroxenes from varying geological environments, using secondary ion mass spectrometry (SIMS). The SIMS data for H (measured as 16O1H, referenced to 30Si and 18O) are cross calibrated against Fourier transform infrared (FTIR) spectra, in turn calibrated against either manometry (Bell et al. 1995) or the frequency-dependent molar absorption coefficient derived by Libowitzky and Rossman (1997). Despite the fact that our samples exhibit a wide range of IR band structures, with varying percentages of absorbance split among low (2600–3350 cm−1) and high (3350–3700 cm−1) wavenumber bands, the SIMS data are fit with the same precision and virtually the same regression slope regardless of which IR calibration is used. We also confirm previous suggestions that the matrix effect for SIMS analyses between orthopyroxene and olivine is small (≤20%). Anomalously high yields of 16O1H in some analyses can be attributed to the presence of amphibole lamellae, and these analyses must be filtered out with different criteria than for olivine due to differences in the geometrical relationship of host to inclusion. For F, our derived values are highly dependent on analytical uncertainties related to the use of silicate glasses as standards. Regardless of the accuracy of our calibration, we see systematic differences in F concentrations in orthopyroxenes and olivines depending on their geological context. Samples derived from crustal environments and from Colorado Plateau minette diatremes have very low F (≤3 ppm), while higher contents can be found in megacrysts from South African kimberlites (up to 17 ppm in orthopyroxene and 47 ppm in olivine) and in xenocrysts from the Rio Grande Rift (Kilbourne Hole, 7–9 ppm in orthopyroxene).","container-title":"American Mineralogist","DOI":"10.2138/am.2013.4291","ISSN":"0003-004X,","issue":"5-6","journalAbbreviation":"American Mineralogist","language":"en","note":"00001","page":"1026-1041","source":"ammin.geoscienceworld.org","title":"Analysis of hydrogen and fluorine in pyroxenes: I. Orthopyroxene","title-short":"Analysis of hydrogen and fluorine in pyroxenes","volume":"98","author":[{"family":"Mosenfelder","given":"Jed L."},{"family":"Rossman","given":"George R."}],"issued":{"date-parts":[["2013",1,5]]}}},{"id":2911,"uris":["http://zotero.org/users/88665/items/2QV77GNQ"],"uri":["http://zotero.org/users/88665/items/2QV77GNQ"],"itemData":{"id":2911,"type":"article-journal","abstract":"The concentration and distribution of volatiles in the Earth's mantle influence properties such as melting temperature, conductivity, and viscosity. To constrain upper mantle water content, concentrations of H2O, P, and F were measured in olivine, orthopyroxene, and clinopyroxene in mantle peridotites by secondary ion mass spectrometry. Analyzed peridotites are xenoliths (Pali Aike, Spitsbergen, Samoa), orogenic peridotites (Josephine Peridotite), and abyssal peridotites (Gakkel Ridge, Southwest Indian Ridge, Tonga Trench). The comparison of fresh and altered peridotites demonstrates that low to moderate levels of alteration do not affect H2O concentrations, in agreement with mineral diffusion data. Olivines have diffusively lost water during emplacement, as demonstrated by disequilibrium between olivine and coexisting pyroxenes. In contrast, clinopyroxene and orthopyroxene preserve their high-temperature water contents, and their partitioning agrees with published experiments and other xenoliths. Hence, olivine water concentrations can be determined from pyroxene concentrations using mineral-mineral partition coefficients. Clinopyroxenes have 60–670 ppm H2O, while orthopyroxenes have 10–300 ppm, which gives calculated olivine concentrations of 8–34 ppm. The highest olivine water concentration translates to an effective viscosity of 6 × 1019 Pa s at 1250°C and ~15 km depth, compared to a dry effective viscosity of 2.5 × 1021 Pa s. Bulk rock water concentrations, calculated using mineral modes, are 20–220 ppm and correlate with peridotite indices of melt depletion. However, trace element melt modeling indicates that peridotites have too much water relative to their rare earth element concentrations, which may be explained by late-stage melt addition, during which only hydrogen diffuses fast enough for reequilibration.","container-title":"Journal of Geophysical Research: Solid Earth","DOI":"10.1002/2013JB010328","ISSN":"2169-9356","issue":"3","journalAbbreviation":"Journal of Geophysical Research: Solid Earth","language":"en","note":"00032","page":"2013JB010328","source":"Wiley Online Library","title":"Pyroxenes as tracers of mantle water variations","volume":"119","author":[{"family":"Warren","given":"Jessica M."},{"family":"Hauri","given":"Erik H."}],"issued":{"date-parts":[["2014",3,1]]}}},{"id":3661,"uris":["http://zotero.org/users/88665/items/TG65ICJT"],"uri":["http://zotero.org/users/88665/items/TG65ICJT"],"itemData":{"id":3661,"type":"article-journal","abstract":"We report chlorine (Cl) and fluorine (F) abundances in minerals, interstitial glasses, and melt inclusions in 12 andesite-hosted, spinel harzburgite xenoliths and crosscutting pyroxenite veins exhumed from the sub-arc lithospheric mantle beneath Avacha volcano in the Kamchatka Arc (NE Russia). The data are used to calculate equilibrium mineral-melt partition coefficients ( D mineral / melt ) for Cl and F relevant to subduction-zone processes and unravel the history of volatile depletion and enrichment mechanisms in an arc setting.\nChlorine is </w:instrText>
      </w:r>
      <w:r w:rsidR="00DF7235">
        <w:rPr>
          <w:rFonts w:ascii="Cambria Math" w:hAnsi="Cambria Math" w:cs="Cambria Math"/>
        </w:rPr>
        <w:instrText>∼</w:instrText>
      </w:r>
      <w:r w:rsidR="00DF7235">
        <w:instrText xml:space="preserve">100 times more incompatible in pyroxenes ( D Cl mineral / melt = 0.005–0.008 [±0.002–0.003]) than F ( D F mineral / melt = 0.50–0.57 [±0.21–0.24]), which indicates that partial melting of mantle sources leads to strong depletions in Cl relative to F in the residues. The data set in this study suggests a strong control of melt composition on D Cl , F pyroxene / melt , in particular H2O contents and Al/(Al + Si), which is in line with recent experiments. Fluorine is compatible in Ca-amphibole in the ‘wet’ sub-arc mantle ( D F amphibole / melt = 3.5–3.7 [±1.5]) but not Cl ( D Cl amphibole / melt = 0.03–0.05 [±0.01–0.03]), indicating that amphibole may fractionate F from Cl in the mantle wedge. The inter-mineral partition coefficients for Cl and F in this study are consistent amongst different harzburgite samples, whether they contain glass or not. In particular, disseminated amphibole hosts much of the Cl and F bulk rock budgets of spinel harzburgites ( D Cl amphibole / pyroxene up to 14 and D F amphibole / pyroxene up to 40). Chlorine and fluorine are variably enriched (up to 1500 ppm Cl and 750 ppm F) in the parental arc picrite and boninite melts of primitive pyroxenite veins (and related melt inclusions) crosscutting spinel harzburgites.\nBased on the data in this study, the main inferences on the behaviour of Cl and F during melting and metasomatic processes in the sub-arc mantle are as follow:\n(i) Melting models show that most depleted mantle protoliths of intra-oceanic arc sources can have extremely low Cl/F (0.002–0.007) before being overprinted by subduction-derived components.\n(ii) Chlorine has a higher percolation distance in the mantle than F. Even for small fluid or melt volumes, Cl and F signatures of partial melting are overprinted by those of pervasive percolation, which increases Cl/F in percolating agents and bulk peridotites during chromatographic interaction and/or amphibole-forming metasomatic reactions. These processes ultimately control the bulk Cl and F compositions of the residual mantle lithosphere beneath arcs, and likely in other tectonic settings.\n(iii) Fluxed melting models suggest that Cl enrichment in arc picrite and boninite melts in this study, and in many arc melt inclusions reported in the literature, could be related to the infiltration of high Cl/F fluids derived from subducted serpentinite or altered crust in mantle wedge sources. However, these high Cl/F signatures should be re-evaluated with new models in light of the possible overprint of pervasive percolation effects in the mantle. The breakdown of amphibole (and/or mica) in the deep metasomatised mantle at higher pressure and temperature conditions than in the slab may explain, at least in part, the positive correlations between F abundances and Cl/F in primitive arc melt inclusions and slab depth.","container-title":"Geochimica et Cosmochimica Acta","DOI":"10.1016/j.gca.2016.10.035","ISSN":"0016-7037","journalAbbreviation":"Geochimica et Cosmochimica Acta","page":"324-350","source":"ScienceDirect","title":"Chlorine and fluorine partition coefficients and abundances in sub-arc mantle xenoliths (Kamchatka, Russia): Implications for melt generation and volatile recycling processes in subduction zones","title-short":"Chlorine and fluorine partition coefficients and abundances in sub-arc mantle xenoliths (Kamchatka, Russia)","volume":"199","author":[{"family":"Bénard","given":"A."},{"family":"Koga","given":"K. T."},{"family":"Shimizu","given":"N."},{"family":"Kendrick","given":"M. A."},{"family":"Ionov","given":"D. A."},{"family":"Nebel","given":"O."},{"family":"Arculus","given":"R. J."}],"issued":{"date-parts":[["2017",2,15]]}}},{"id":3782,"uris":["http://zotero.org/users/88665/items/4NREKIMK"],"uri":["http://zotero.org/users/88665/items/4NREKIMK"],"itemData":{"id":3782,"type":"article-journal","container-title":"American Mineralogist","DOI":"10.2138/am-2017-5863","ISSN":"0003-004X","issue":"3","journalAbbreviation":"American Mineralogist","language":"en","page":"537-547","source":"pubs.geoscienceworld.org","title":"New SIMS reference materials for measuring water in upper mantle minerals","volume":"102","author":[{"family":"Kumamoto","given":"Kathryn M."},{"family":"Warren","given":"Jessica M."},{"family":"Hauri","given":"Erik H."}],"issued":{"date-parts":[["2017",3,1]]}}},{"id":4058,"uris":["http://zotero.org/users/88665/items/U92MUH99"],"uri":["http://zotero.org/users/88665/items/U92MUH99"],"itemData":{"id":4058,"type":"article-journal","abstract":"The fluorine (F) and chlorine (Cl) contents of arc magmas have been used to track the composition of subducted components, and the F and Cl contents of MORB have been used to estimate the halogen content of depleted MORB mantle (DMM). Yet, the F and Cl budget of the Earth’s upper mantle and their distribution in peridotite minerals remain to be constrained. Here, we developed a method to measure low concentrations of halogens (≥0.4 µg/g F and ≥0.3 µg/g Cl) in minerals by secondary ion mass spectroscopy. We present a comprehensive study of F and Cl in co-existing natural olivine, orthopyroxene, clinopyroxene, and amphibole in seventeen samples from different tectonic settings. We support the hypothesis that F in olivine is controlled by melt polymerization, and that F in pyroxene is controlled by their Na and Al contents, with some effect of melt polymerization. We infer that Cl compatibility ranks as follows: amphibole &gt; clinopyroxene &gt; olivine ~ orthopyroxene, while F compatibility ranks as follows: amphibole &gt; clinopyroxene &gt; orthopyroxene ≥ olivine, depending on the tectonic context. In addition, we show that F, Cl, Be and B are correlated in pyroxenes and amphibole. F and Cl variations suggest that interaction with slab melts and fluids can significantly alter the halogen content of mantle minerals. In particular, F in oceanic peridotites is mostly hosted in pyroxenes, and proportionally increases in olivine in subduction-related peridotites. The mantle wedge is likely enriched in F compared to un-metasomatized mantle, while Cl is always low (&lt;1 µg/g) in all tectonic settings studied here. The bulk anhydrous peridotite mantle contains 1.4–31 µg/g F and 0.14–0.38 µg/g Cl. The bulk F content of oceanic-like peridotites (2.1–9.4 µg/g) is lower than DMM estimates, consistent with F-rich eclogite in the source of MORB. Furthermore, the bulk Cl budget of all anhydrous peridotites studied here is lower than previous DMM estimates. Our results indicate that nearly all MORB may be somewhat contaminated by seawater-rich material and that the Cl content of DMM could be overestimated. With this study, we demonstrate that the halogen contents of natural peridotite minerals are a unique tool to understand the cycling of halogens, from ridge settings to subduction zones.","container-title":"Contributions to Mineralogy and Petrology","DOI":"10.1007/s00410-017-1368-7","ISSN":"0010-7999, 1432-0967","issue":"7","journalAbbreviation":"Contributions to Mineralogy and Petrology","language":"en","page":"51","source":"link.springer.com","title":"Fluorine and chlorine in mantle minerals and the halogen budget of the Earth’s mantle","volume":"172","author":[{"family":"Urann","given":"B. M."},{"family":"Roux","given":"V. Le"},{"family":"Hammond","given":"K."},{"family":"Marschall","given":"H. R."},{"family":"Lee","given":"C.-T. A."},{"family":"Monteleone","given":"B. D."}],"issued":{"date-parts":[["2017",7,1]]}}}],"schema":"https://github.com/citation-style-language/schema/raw/master/csl-citation.json"} </w:instrText>
      </w:r>
      <w:r w:rsidR="00682321" w:rsidRPr="00D53B4C">
        <w:fldChar w:fldCharType="separate"/>
      </w:r>
      <w:r w:rsidR="00DF7235" w:rsidRPr="00DF7235">
        <w:t>(Peslier and Luhr, 2006; Beyer et al., 2012; Mosenfelder and Rossman, 2013b; Mosenfelder and Rossman, 2013a; Warren and Hauri, 2014; Bénard et al., 2017; Kumamoto et al., 2017; Urann et al., 2017)</w:t>
      </w:r>
      <w:r w:rsidR="00682321" w:rsidRPr="00D53B4C">
        <w:fldChar w:fldCharType="end"/>
      </w:r>
      <w:r w:rsidR="0079350D" w:rsidRPr="00661AE1">
        <w:t xml:space="preserve">. </w:t>
      </w:r>
    </w:p>
    <w:p w14:paraId="7EE713F1" w14:textId="13C1A560" w:rsidR="000A4FF2" w:rsidRDefault="00B43C2A" w:rsidP="00C20C0B">
      <w:pPr>
        <w:spacing w:line="480" w:lineRule="auto"/>
        <w:ind w:firstLine="360"/>
        <w:jc w:val="both"/>
      </w:pPr>
      <w:r w:rsidRPr="00661AE1">
        <w:t>Here we</w:t>
      </w:r>
      <w:r w:rsidR="00641B93" w:rsidRPr="00661AE1">
        <w:t xml:space="preserve"> present the results of </w:t>
      </w:r>
      <w:r w:rsidR="002D3393" w:rsidRPr="00AA3EF8">
        <w:rPr>
          <w:i/>
        </w:rPr>
        <w:t>in-situ</w:t>
      </w:r>
      <w:r w:rsidR="002D3393">
        <w:t xml:space="preserve"> </w:t>
      </w:r>
      <w:r w:rsidR="00762AA9" w:rsidRPr="00661AE1">
        <w:t xml:space="preserve">SIMS </w:t>
      </w:r>
      <w:r w:rsidR="00641B93" w:rsidRPr="00661AE1">
        <w:t>analys</w:t>
      </w:r>
      <w:r w:rsidR="00416FA8" w:rsidRPr="00661AE1">
        <w:t>e</w:t>
      </w:r>
      <w:r w:rsidR="00641B93" w:rsidRPr="00661AE1">
        <w:t xml:space="preserve">s of </w:t>
      </w:r>
      <w:r w:rsidR="00B05F0D" w:rsidRPr="00661AE1">
        <w:t xml:space="preserve">H, </w:t>
      </w:r>
      <w:r w:rsidR="00120C07" w:rsidRPr="00661AE1">
        <w:t xml:space="preserve">F, Cl, Li and B in </w:t>
      </w:r>
      <w:r w:rsidR="005368D1" w:rsidRPr="00661AE1">
        <w:t>olivine</w:t>
      </w:r>
      <w:r w:rsidR="00641B93" w:rsidRPr="00661AE1">
        <w:t xml:space="preserve">, orthopyroxene and </w:t>
      </w:r>
      <w:r w:rsidR="005368D1" w:rsidRPr="00661AE1">
        <w:t>clinopyroxene</w:t>
      </w:r>
      <w:r w:rsidR="005368D1" w:rsidRPr="00661AE1" w:rsidDel="005368D1">
        <w:t xml:space="preserve"> </w:t>
      </w:r>
      <w:r w:rsidR="002713CF" w:rsidRPr="00661AE1">
        <w:t>separate</w:t>
      </w:r>
      <w:r w:rsidRPr="00661AE1">
        <w:t>s</w:t>
      </w:r>
      <w:r w:rsidR="002713CF" w:rsidRPr="00661AE1">
        <w:t xml:space="preserve"> </w:t>
      </w:r>
      <w:r w:rsidR="00120C07" w:rsidRPr="00661AE1">
        <w:t xml:space="preserve">from </w:t>
      </w:r>
      <w:r w:rsidR="0044633B">
        <w:t xml:space="preserve">a suite of </w:t>
      </w:r>
      <w:r w:rsidR="00120C07" w:rsidRPr="00661AE1">
        <w:t xml:space="preserve">well-characterised off-craton mantle peridotites </w:t>
      </w:r>
      <w:r w:rsidR="003B0AAB" w:rsidRPr="00661AE1">
        <w:t xml:space="preserve">and </w:t>
      </w:r>
      <w:r w:rsidR="006C0B38" w:rsidRPr="00661AE1">
        <w:t>pyroxenite</w:t>
      </w:r>
      <w:r w:rsidR="0044633B">
        <w:t>s (</w:t>
      </w:r>
      <w:r w:rsidR="0044633B" w:rsidRPr="009D37AD">
        <w:rPr>
          <w:b/>
        </w:rPr>
        <w:t>Figure 1</w:t>
      </w:r>
      <w:r w:rsidR="0044633B">
        <w:t>)</w:t>
      </w:r>
      <w:r w:rsidR="00096414">
        <w:t>. These are</w:t>
      </w:r>
      <w:r w:rsidR="003B0AAB" w:rsidRPr="00661AE1">
        <w:t xml:space="preserve"> </w:t>
      </w:r>
      <w:r w:rsidR="00F51320" w:rsidRPr="00661AE1">
        <w:t xml:space="preserve">hosted </w:t>
      </w:r>
      <w:r w:rsidR="00464CCC">
        <w:t xml:space="preserve">mostly </w:t>
      </w:r>
      <w:r w:rsidR="00F51320" w:rsidRPr="00661AE1">
        <w:t xml:space="preserve">by </w:t>
      </w:r>
      <w:r w:rsidR="005E3C17" w:rsidRPr="00661AE1">
        <w:t>young (&lt;</w:t>
      </w:r>
      <w:r w:rsidR="00464CCC">
        <w:t>7</w:t>
      </w:r>
      <w:r w:rsidR="005E3C17" w:rsidRPr="00661AE1">
        <w:t xml:space="preserve"> Ma) </w:t>
      </w:r>
      <w:r w:rsidR="009959E4" w:rsidRPr="00661AE1">
        <w:t xml:space="preserve">alkali </w:t>
      </w:r>
      <w:r w:rsidR="00F51320" w:rsidRPr="00661AE1">
        <w:t>basalts</w:t>
      </w:r>
      <w:r w:rsidR="00464CCC">
        <w:t xml:space="preserve"> and</w:t>
      </w:r>
      <w:r w:rsidR="009959E4" w:rsidRPr="00661AE1">
        <w:t xml:space="preserve"> basanites </w:t>
      </w:r>
      <w:r w:rsidR="00987420">
        <w:t xml:space="preserve">with intra-plate </w:t>
      </w:r>
      <w:r w:rsidR="004B2266">
        <w:t xml:space="preserve">affinities </w:t>
      </w:r>
      <w:r w:rsidR="00F51320" w:rsidRPr="00661AE1">
        <w:t xml:space="preserve">from </w:t>
      </w:r>
      <w:r w:rsidR="00BD0183">
        <w:t>s</w:t>
      </w:r>
      <w:r w:rsidR="00E90E9D" w:rsidRPr="00661AE1">
        <w:t>outhern</w:t>
      </w:r>
      <w:r w:rsidR="00120C07" w:rsidRPr="00661AE1">
        <w:t xml:space="preserve"> Patagonia </w:t>
      </w:r>
      <w:r w:rsidR="003F4A36" w:rsidRPr="00661AE1">
        <w:t xml:space="preserve">(Pali Aike Volcanic Field) </w:t>
      </w:r>
      <w:r w:rsidR="00120C07" w:rsidRPr="00661AE1">
        <w:t xml:space="preserve">and </w:t>
      </w:r>
      <w:r w:rsidR="00F51320" w:rsidRPr="00661AE1">
        <w:t xml:space="preserve">the </w:t>
      </w:r>
      <w:r w:rsidR="003B3057" w:rsidRPr="00661AE1">
        <w:t xml:space="preserve">western </w:t>
      </w:r>
      <w:r w:rsidR="00120C07" w:rsidRPr="00661AE1">
        <w:t>Antarctic Peninsula</w:t>
      </w:r>
      <w:r w:rsidR="00A86344" w:rsidRPr="00661AE1">
        <w:t xml:space="preserve"> (</w:t>
      </w:r>
      <w:r w:rsidR="00C77CBD" w:rsidRPr="009B315C">
        <w:rPr>
          <w:b/>
          <w:color w:val="000000" w:themeColor="text1"/>
        </w:rPr>
        <w:t xml:space="preserve">Supplementary </w:t>
      </w:r>
      <w:r w:rsidR="00A86344" w:rsidRPr="009B315C">
        <w:rPr>
          <w:b/>
          <w:color w:val="000000" w:themeColor="text1"/>
        </w:rPr>
        <w:t>Figure 1</w:t>
      </w:r>
      <w:r w:rsidR="00A86344" w:rsidRPr="00661AE1">
        <w:t>)</w:t>
      </w:r>
      <w:r w:rsidR="00120C07" w:rsidRPr="00661AE1">
        <w:t>.</w:t>
      </w:r>
      <w:r w:rsidR="00AD543A" w:rsidRPr="00661AE1">
        <w:t xml:space="preserve"> </w:t>
      </w:r>
      <w:r w:rsidR="00E17B21" w:rsidRPr="00661AE1">
        <w:t xml:space="preserve">The Pliocene post-plateau volcanism of southern Patagonia is </w:t>
      </w:r>
      <w:r w:rsidR="00E17B21" w:rsidRPr="00EC6DAE">
        <w:t xml:space="preserve">one of the few locations in the world </w:t>
      </w:r>
      <w:r w:rsidR="00E17B21">
        <w:t xml:space="preserve">(together with the Vitim Volcanic Field in Siberia, </w:t>
      </w:r>
      <w:r w:rsidR="005A15C2">
        <w:t xml:space="preserve">Mongolia, </w:t>
      </w:r>
      <w:r w:rsidR="00E17B21">
        <w:t xml:space="preserve">SE Australia and Ontong Java) </w:t>
      </w:r>
      <w:r w:rsidR="00E17B21" w:rsidRPr="00EC6DAE">
        <w:t>where garnet-</w:t>
      </w:r>
      <w:r w:rsidR="00E17B21" w:rsidRPr="00661AE1">
        <w:t>, spinel+garnet- and spinel-</w:t>
      </w:r>
      <w:r w:rsidR="00E17B21" w:rsidRPr="00EC6DAE">
        <w:t xml:space="preserve">bearing peridotites are </w:t>
      </w:r>
      <w:r w:rsidR="00E17B21" w:rsidRPr="00661AE1">
        <w:t>brought to the surface in</w:t>
      </w:r>
      <w:r w:rsidR="00E17B21" w:rsidRPr="00EC6DAE">
        <w:t xml:space="preserve"> </w:t>
      </w:r>
      <w:r w:rsidR="00E17B21" w:rsidRPr="00661AE1">
        <w:t xml:space="preserve">an </w:t>
      </w:r>
      <w:r w:rsidR="005368D1">
        <w:t>“</w:t>
      </w:r>
      <w:r w:rsidR="00E17B21" w:rsidRPr="00EC6DAE">
        <w:t>off-craton</w:t>
      </w:r>
      <w:r w:rsidR="005368D1">
        <w:t>”</w:t>
      </w:r>
      <w:r w:rsidR="00E17B21" w:rsidRPr="00EC6DAE">
        <w:t xml:space="preserve"> setting</w:t>
      </w:r>
      <w:r w:rsidR="004C3BE2">
        <w:t xml:space="preserve"> </w:t>
      </w:r>
      <w:r w:rsidR="00E17B21">
        <w:fldChar w:fldCharType="begin"/>
      </w:r>
      <w:r w:rsidR="008E0CCC">
        <w:instrText xml:space="preserve"> ADDIN ZOTERO_ITEM CSL_CITATION {"citationID":"qH3BXLvt","properties":{"formattedCitation":"(Stern et al., 1986; Ionov et al., 1993; Taylor, 1998; Demouchy et al., 2015)","plainCitation":"(Stern et al., 1986; Ionov et al., 1993; Taylor, 1998; Demouchy et al., 2015)","noteIndex":0},"citationItems":[{"id":2848,"uris":["http://zotero.org/users/88665/items/FMMPVZQR"],"uri":["http://zotero.org/users/88665/items/FMMPVZQR"],"itemData":{"id":2848,"type":"article-journal","abstract":"We report concentrations of hydrogen (H) in upper mantle minerals of peridotites (olivine and pyroxenes) transported by alnöitic lavas, which erupted on the southwestern border of the Ontong Java Plateau (Malaita, Solomon Islands, West Pacific). Unpolarized FTIR analyses show that olivine, orthopyroxene, and diopside contain 2–32 ppm, 162–362 ppm and 159–459 ppm wt H2O, respectively. In the studied lherzolites, garnets are anhydrous. The concentration of hydrogen within individual olivine and pyroxene grains is almost homogeneous, indicating no evidence of dehydration or hydration by ionic diffusion. In the lherzolite, the concentration of hydrogen in olivine tends to increase weakly with depth (based on geothermobarometry), consistent with the increase of water solubility with increasing water fugacity as a function of pressure, but concentrations remain well below water-saturation values determined experimentally. The highest concentration of H in olivine (32 ppm wt H2O) is, however, found in refractory spinel harzburgites, which equilibrated at depths of 85 km., while deeper specimens as the high-temperature spinel harzburgites, and some of the garnet lherzolites, contain less hydrogen in olivine. Olivines from pyroxene- or pargasite-rich peridotites have also lower hydrogen concentrations. We interpret the high hydrogen concentrations in olivine from the refractory spinel harzburgites as due to (1) simultaneous hydration and metasomatism of the lithospheric mantle by a water-rich silicate melt/fluid, during which hydrogen follows MREE and where spinel harzburgite have experienced ‘stealth’ metasomatism, and/or (2) to a late ‘fleeting’ hydrogen metasomatism, which would hydrate the rock after this first ‘stealth’ metasomatism event. In the second case, the composition of the ‘fleeting’ percolating fluid (small volume fraction of very evolved fluids, with high volatiles concentration and transient properties) is likely to be linked to the decrease of the plume activity and resulting in the downwelling of the lithosphere asthenosphere boundary. The difference in hydrogen concentration between harzburgites and lherzolites could be linked to variation in trace elements in olivine induced by the first ‘stealth’ metasomatism alone or associated to the late ‘fleeting’ hydrogen metasomatism, triggered by the lack of secondary crystallization of clinopyroxenes in the harzburgite. To conclude, H concentrations in upper mantle minerals may thus be correlated to metasomatic events, with the later yielding variation of the mineral assemblage and trace element composition that constitute the peridotites.","container-title":"Lithos","DOI":"10.1016/j.lithos.2014.11.005","ISSN":"0024-4937","journalAbbreviation":"Lithos","note":"00000","page":"189-201","source":"ScienceDirect","title":"Characterization of hydration in the mantle lithosphere: Peridotite xenoliths from the Ontong Java Plateau as an example","title-short":"Characterization of hydration in the mantle lithosphere","volume":"212–215","author":[{"family":"Demouchy","given":"Sylvie"},{"family":"Ishikawa","given":"Akira"},{"family":"Tommasi","given":"Andréa"},{"family":"Alard","given":"Olivier"},{"family":"Keshav","given":"Shantanu"}],"issued":{"date-parts":[["2015",1]]}}},{"id":804,"uris":["http://zotero.org/users/88665/items/796GAEAD"],"uri":["http://zotero.org/users/88665/items/796GAEAD"],"itemData":{"id":804,"type":"article-journal","abstract":"A suite of large and fresh peridotite xenoliths from a picrite tuff deposit in the Cenozoic Vitim volcanic field, ˜200 km east of Lake Baikal, shows a continuous gradation from protogranular spinel through garnet–spinel to very abundant garnet peridotites. This includes composite nodules in which all these lithologies coexist on the scale of a few centimeters. Garnet and many spinel lherzolites are remarkably fertile in terms of their ‘basaltic’ major element contents (CaO 3·0–3·7%, MgO 37–40%, Ca/Al=1·1, Cr/Al&lt;0·13), whereas some garnet–spinel and spinel peridotites are moderately depleted (Cr/Al 0·14–0·45). T estimates are 850–880°C for the fertile spinel lherzolites apparently brought up from shallow depths of 40–50 km. This contrasts with 980–1030°C for depleted spinel peridotites and 1000–1150°C for the garnet-bearing peridotites for which equilibration pressures between 16 and 23 kbar are inferred. The data suggest that garnet and spinel peridotites coexist in the sub-Vitim mantle at a pressure of ˜18 kbar over an interval of ˜2 kbar, with the appearance of garnet, and with the garnetto-spinel ratio in this transitional zone primarily being controlled by bulk rock contents of Ca, Al, Cr, and Cr/Al ratios, in addition to P–T conditions.The Vitim peridotites show little evidence for metasomatic enrichment: they commonly show depletion of LREE compared with intermediate REE; this includes also rare amphibole-bearing veins. The fertile spinel and garnet lherzolites have very similar bulk rock major oxide contents and REE distribution patterns; these features indicate a lack of significant chemical vertical mantle stratification in that region. Garnet peridotites from Vitim show large differences in modal and chemical composition from garnet peridotite xenoliths from Yakutian and South African kimberlites, suggesting distinct lithospheric mantle structure and composition in Archean cratons and post-Archean mobile belts.","container-title":"Journal of Petrology","DOI":"10.1093/petrology/34.6.1141","issue":"6","page":"1141 -1175","source":"Highwire 2.0","title":"Garnet peridotite xenoliths from the Vitim Volcanic Field, Baikal Region: the nature of the garnet—spinel peridotite transition zone in the continental mantle","title-short":"Garnet Peridotite Xenoliths from the Vitim Volcanic Field, Baikal Region","volume":"34","author":[{"family":"Ionov","given":"D.A."},{"family":"Ashchepkov","given":"Igor"},{"family":"Stosch","given":"H.-G."},{"family":"Witt-Eickschen","given":"G."},{"family":"Seck","given":"H. A."}],"issued":{"date-parts":[["1993",12,1]]}}},{"id":803,"uris":["http://zotero.org/users/88665/items/7HRNNFHQ"],"uri":["http://zotero.org/users/88665/items/7HRNNFHQ"],"itemData":{"id":803,"type":"article-journal","collection-title":"Ross, J. (ed.) Kimberlites and Related Rocks. Geological Society of Australia Special Publication","container-title":"Ross, J. (ed.) Kimberlites and Related Rocks. Geological Society of Australia Special Publication","page":"736-744","title":"Garnet peridotite xenoliths from the Pali-Aike alkali basalts of southernmost South America","volume":"14","author":[{"family":"Stern","given":"C.R."},{"family":"Saul","given":"S."},{"family":"Skewes","given":"M."},{"family":"Futa, K.","given":""}],"issued":{"date-parts":[["1986"]]}}},{"id":113,"uris":["http://zotero.org/users/88665/items/3SAKX2RZ"],"uri":["http://zotero.org/users/88665/items/3SAKX2RZ"],"itemData":{"id":113,"type":"article-journal","container-title":"Neues Jahrbuch Fur Mineralogie Abhandlungen","issue":"2-3","note":"00000","page":"381– 408","title":"An experimental test of some geothermometer and geobarometer formulations for upper mantle peridotites with application to the thermobarometry of fertile Iherzolite and garnet websterite","volume":"172","author":[{"family":"Taylor","given":"W R"}],"issued":{"date-parts":[["1998"]]}}}],"schema":"https://github.com/citation-style-language/schema/raw/master/csl-citation.json"} </w:instrText>
      </w:r>
      <w:r w:rsidR="00E17B21">
        <w:fldChar w:fldCharType="separate"/>
      </w:r>
      <w:r w:rsidR="00636367">
        <w:t>(Stern et al., 1986; Ionov et al., 1993; Taylor, 1998; Demouchy et al., 2015)</w:t>
      </w:r>
      <w:r w:rsidR="00E17B21">
        <w:fldChar w:fldCharType="end"/>
      </w:r>
      <w:r w:rsidR="00E17B21" w:rsidRPr="00661AE1">
        <w:t xml:space="preserve">. </w:t>
      </w:r>
      <w:r w:rsidR="007C2C4D">
        <w:t xml:space="preserve">The presence of garnet in fully-equilibrated xenoliths </w:t>
      </w:r>
      <w:r w:rsidR="00D75318">
        <w:t xml:space="preserve">(see Supplementary File) </w:t>
      </w:r>
      <w:r w:rsidR="007C2C4D">
        <w:t xml:space="preserve">is important because it permits the most accurate determinations of both pressure and temperature, and thereby direct constraints on the thermal structure of the lithosphere. </w:t>
      </w:r>
      <w:r w:rsidR="00CD7954" w:rsidRPr="00661AE1">
        <w:t>Only t</w:t>
      </w:r>
      <w:r w:rsidR="003215C4">
        <w:t>hree</w:t>
      </w:r>
      <w:r w:rsidR="00CD7954" w:rsidRPr="00661AE1">
        <w:t xml:space="preserve"> mantle xenoliths from </w:t>
      </w:r>
      <w:r w:rsidR="005975F2">
        <w:t>southern Patagonia</w:t>
      </w:r>
      <w:r w:rsidR="00CD7954" w:rsidRPr="00661AE1">
        <w:t xml:space="preserve"> (</w:t>
      </w:r>
      <w:r w:rsidR="00A56D16">
        <w:t>all</w:t>
      </w:r>
      <w:r w:rsidR="00A56D16" w:rsidRPr="00661AE1">
        <w:t xml:space="preserve"> </w:t>
      </w:r>
      <w:r w:rsidR="00CD7954">
        <w:t xml:space="preserve">garnet-bearing </w:t>
      </w:r>
      <w:r w:rsidR="00687CE5">
        <w:t>lherzolites)</w:t>
      </w:r>
      <w:r w:rsidR="00CD7954" w:rsidRPr="00661AE1">
        <w:t xml:space="preserve"> have </w:t>
      </w:r>
      <w:r w:rsidR="005975F2">
        <w:t xml:space="preserve">previously </w:t>
      </w:r>
      <w:r w:rsidR="00CD7954" w:rsidRPr="00661AE1">
        <w:t xml:space="preserve">been analysed for volatiles </w:t>
      </w:r>
      <w:r w:rsidR="00CD7954" w:rsidRPr="004E4764">
        <w:fldChar w:fldCharType="begin"/>
      </w:r>
      <w:r w:rsidR="00A17546">
        <w:instrText xml:space="preserve"> ADDIN ZOTERO_ITEM CSL_CITATION {"citationID":"RMy4lfrM","properties":{"formattedCitation":"(Seitz and Woodland, 2000; Demouchy et al., 2006; Warren and Hauri, 2014)","plainCitation":"(Seitz and Woodland, 2000; Demouchy et al., 2006; Warren and Hauri, 2014)","noteIndex":0},"citationItems":[{"id":"4YmRUp4L/oIP6zNKL","uris":["http://zotero.org/users/2552499/items/BPF9QRB4"],"uri":["http://zotero.org/users/2552499/items/BPF9QRB4"],"itemData":{"id":"Pf7KQBgN/VcBCd2lJ","type":"article-journal","title":"Rapid magma ascent recorded by water diffusion profiles in mantle olivine","container-title":"Geology","page":"429-432","volume":"34","issue":"6","journalAbbreviation":"Geology","author":[{"family":"Demouchy","given":"Sylvie"},{"family":"Jacobsen","given":"Steven D."},{"family":"Gaillard","given":"Fabrice"},{"family":"Stern","given":"Charles R."}],"issued":{"date-parts":[["2006"]]}}},{"id":4215,"uris":["http://zotero.org/users/88665/items/PV6X89EY"],"uri":["http://zotero.org/users/88665/items/PV6X89EY"],"itemData":{"id":4215,"type":"article-journal","abstract":"Lithium concentrations in orthopyroxene, clinopyroxene, olivine, garnet or spinel from equilibrated spinel peridotite, garnet peridotite and garnet pyroxenite xenoliths and from metasomatised peridotites and pyroxenites were measured using the ion-microprobe (SIMS). With respect to changes in physical and chemical parameters, we present new data on lithium contents in mantle minerals and its partitioning behaviour in (1) equilibrated and (2) metasomatised samples. Lithium is preferentially incorporated into olivine, ranging between 1 and 2 ppm in equilibrated unmetasomatised peridotites. Pyroxenes from peridotitic xenoliths have Li concentrations on the order of several hundred ppb up to 1.3 ppm, while pyroxenes from pyroxenites have somewhat higher abundances (1–3 ppm with a maximum of 19 ppm). The following partitioning relationships have been established: ol&gt;cpx≥opx</w:instrText>
      </w:r>
      <w:r w:rsidR="00A17546">
        <w:rPr>
          <w:rFonts w:ascii="Cambria Math" w:hAnsi="Cambria Math" w:cs="Cambria Math"/>
        </w:rPr>
        <w:instrText>≫</w:instrText>
      </w:r>
      <w:r w:rsidR="00A17546">
        <w:instrText xml:space="preserve">grt or sp for garnet and spinel peridotites, respectively, and cpx≥opx&gt;grt for garnet pyroxenites. The intercrystalline partitioning of Li is independent of T, P and bulk composition (for ultramafic to mafic compositions), making Li a suitable tracer element for chemical processes such as metasomatism. We estimate a bulk Li content of 1.0–1.5 ppm for fertile to moderately depleted lithospheric mantle. Low Li abundances in mantle peridotites and pyroxenites emphasise its incompatibility during partial melting and fractional crystallisation. However, elevated Li concentrations are present in some pyroxenites, presumably due to complete crystallisation of trapped partial melts. Metasomatised samples from peridotite massifs (Pyrenees and Ivrea Zone) and mantle nodules from two Victorian volcanic fields (Australia) clearly show enrichment of Li in both olivine and clinopyroxene, whereby the distribution of Li between olivine and clinopyroxene has generally not achieved equilibrium. Disequilibrium is manifested by preferential Li enrichment in either olivine or clinopyroxene depending on the type of metasomatic agent involved (carbonatite vs. mafic silicate melt). Differences in absolute Li abundances and in its partitioning behaviour allow the identification not only of metasomatic overprints, but also of magmatic processes such as partial melting, crystal fractionation and accumulation. The sensitivity of Li as such a chemical tracer gives an additional criterium for recognising cryptic metasomatism.","container-title":"Chemical Geology","DOI":"10.1016/S0009-2541(99)00184-9","ISSN":"0009-2541","issue":"1","journalAbbreviation":"Chemical Geology","page":"47-64","source":"ScienceDirect","title":"The distribution of lithium in peridotitic and pyroxenitic mantle lithologies — an indicator of magmatic and metasomatic processes","volume":"166","author":[{"family":"Seitz","given":"Hans-Michael"},{"family":"Woodland","given":"Alan B"}],"issued":{"date-parts":[["2000",5,1]]}}},{"id":2911,"uris":["http://zotero.org/users/88665/items/2QV77GNQ"],"uri":["http://zotero.org/users/88665/items/2QV77GNQ"],"itemData":{"id":2911,"type":"article-journal","abstract":"The concentration and distribution of volatiles in the Earth's mantle influence properties such as melting temperature, conductivity, and viscosity. To constrain upper mantle water content, concentrations of H2O, P, and F were measured in olivine, orthopyroxene, and clinopyroxene in mantle peridotites by secondary ion mass spectrometry. Analyzed peridotites are xenoliths (Pali Aike, Spitsbergen, Samoa), orogenic peridotites (Josephine Peridotite), and abyssal peridotites (Gakkel Ridge, Southwest Indian Ridge, Tonga Trench). The comparison of fresh and altered peridotites demonstrates that low to moderate levels of alteration do not affect H2O concentrations, in agreement with mineral diffusion data. Olivines have diffusively lost water during emplacement, as demonstrated by disequilibrium between olivine and coexisting pyroxenes. In contrast, clinopyroxene and orthopyroxene preserve their high-temperature water contents, and their partitioning agrees with published experiments and other xenoliths. Hence, olivine water concentrations can be determined from pyroxene concentrations using mineral-mineral partition coefficients. Clinopyroxenes have 60–670 ppm H2O, while orthopyroxenes have 10–300 ppm, which gives calculated olivine concentrations of 8–34 ppm. The highest olivine water concentration translates to an effective viscosity of 6 × 1019 Pa s at 1250°C and ~15 km depth, compared to a dry effective viscosity of 2.5 × 1021 Pa s. Bulk rock water concentrations, calculated using mineral modes, are 20–220 ppm and correlate with peridotite indices of melt depletion. However, trace element melt modeling indicates that peridotites have too much water relative to their rare earth element concentrations, which may be explained by late-stage melt addition, during which only hydrogen diffuses fast enough for reequilibration.","container-title":"Journal of Geophysical Research: Solid Earth","DOI":"10.1002/2013JB010328","ISSN":"2169-9356","issue":"3","journalAbbreviation":"Journal of Geophysical Research: Solid Earth","language":"en","note":"00032","page":"2013JB010328","source":"Wiley Online Library","title":"Pyroxenes as tracers of mantle water variations","volume":"119","author":[{"family":"Warren","given":"Jessica M."},{"family":"Hauri","given":"Erik H."}],"issued":{"date-parts":[["2014",3,1]]}}}],"schema":"https://github.com/citation-style-language/schema/raw/master/csl-citation.json"} </w:instrText>
      </w:r>
      <w:r w:rsidR="00CD7954" w:rsidRPr="004E4764">
        <w:fldChar w:fldCharType="separate"/>
      </w:r>
      <w:r w:rsidR="00636367">
        <w:t>(Seitz and Woodland, 2000; Demouchy et al., 2006; Warren and Hauri, 2014)</w:t>
      </w:r>
      <w:r w:rsidR="00CD7954" w:rsidRPr="004E4764">
        <w:fldChar w:fldCharType="end"/>
      </w:r>
      <w:r w:rsidR="00CD7954" w:rsidRPr="00661AE1">
        <w:t xml:space="preserve"> and none from the Antarctic Peninsula.</w:t>
      </w:r>
      <w:r w:rsidR="00CD7954">
        <w:t xml:space="preserve"> </w:t>
      </w:r>
      <w:r w:rsidR="003B3057" w:rsidRPr="00661AE1">
        <w:t>By</w:t>
      </w:r>
      <w:r w:rsidR="002713CF" w:rsidRPr="00661AE1">
        <w:t xml:space="preserve"> combin</w:t>
      </w:r>
      <w:r w:rsidR="003B3057" w:rsidRPr="00661AE1">
        <w:t>ing</w:t>
      </w:r>
      <w:r w:rsidR="002713CF" w:rsidRPr="00661AE1">
        <w:t xml:space="preserve"> </w:t>
      </w:r>
      <w:r w:rsidR="00D932A0" w:rsidRPr="009B315C">
        <w:rPr>
          <w:i/>
        </w:rPr>
        <w:t>in-situ</w:t>
      </w:r>
      <w:r w:rsidR="00D932A0" w:rsidRPr="00661AE1">
        <w:t xml:space="preserve"> analyses </w:t>
      </w:r>
      <w:r w:rsidR="00172F8D" w:rsidRPr="00661AE1">
        <w:t xml:space="preserve">of </w:t>
      </w:r>
      <w:r w:rsidR="00B05F0D" w:rsidRPr="00661AE1">
        <w:t>H, F, Cl, Li and B</w:t>
      </w:r>
      <w:r w:rsidR="00172F8D" w:rsidRPr="00661AE1">
        <w:t xml:space="preserve"> with</w:t>
      </w:r>
      <w:r w:rsidR="00D932A0" w:rsidRPr="00661AE1">
        <w:t xml:space="preserve"> major</w:t>
      </w:r>
      <w:r w:rsidR="00391BD0" w:rsidRPr="00661AE1">
        <w:t xml:space="preserve"> and trace element</w:t>
      </w:r>
      <w:r w:rsidR="00172F8D" w:rsidRPr="00661AE1">
        <w:t xml:space="preserve"> </w:t>
      </w:r>
      <w:r w:rsidR="006A4048">
        <w:t>che</w:t>
      </w:r>
      <w:r w:rsidR="005975F2">
        <w:t>mistry</w:t>
      </w:r>
      <w:r w:rsidR="00D932A0" w:rsidRPr="00661AE1">
        <w:t xml:space="preserve"> </w:t>
      </w:r>
      <w:r w:rsidR="00414398">
        <w:t xml:space="preserve">of olivine and pyroxenes </w:t>
      </w:r>
      <w:r w:rsidR="003B3057" w:rsidRPr="00661AE1">
        <w:t>we make the first</w:t>
      </w:r>
      <w:r w:rsidR="00D57290" w:rsidRPr="00661AE1">
        <w:t xml:space="preserve"> attempt to constrain</w:t>
      </w:r>
      <w:r w:rsidR="00ED6D0C">
        <w:t>:</w:t>
      </w:r>
      <w:r w:rsidR="00DE5668">
        <w:t xml:space="preserve"> </w:t>
      </w:r>
      <w:r w:rsidR="00ED6D0C">
        <w:t xml:space="preserve">(i) </w:t>
      </w:r>
      <w:r w:rsidR="00D57290" w:rsidRPr="00661AE1">
        <w:t xml:space="preserve">how the thermal structure of the lithospheric mantle controls the </w:t>
      </w:r>
      <w:r w:rsidR="00D57290" w:rsidRPr="00661AE1">
        <w:lastRenderedPageBreak/>
        <w:t xml:space="preserve">volatile content of nominally-volatile-free mantle phases </w:t>
      </w:r>
      <w:r w:rsidR="00646264">
        <w:t xml:space="preserve">and </w:t>
      </w:r>
      <w:r w:rsidR="00ED6D0C">
        <w:t xml:space="preserve">(ii) the source of </w:t>
      </w:r>
      <w:r w:rsidR="00646264">
        <w:t>volatile</w:t>
      </w:r>
      <w:r w:rsidR="00ED6D0C">
        <w:t>s</w:t>
      </w:r>
      <w:r w:rsidR="00646264">
        <w:t xml:space="preserve"> </w:t>
      </w:r>
      <w:r w:rsidR="00ED6D0C">
        <w:t>emitted by intraplate volcanoes</w:t>
      </w:r>
      <w:r w:rsidR="005E3C17" w:rsidRPr="00661AE1">
        <w:t xml:space="preserve">. </w:t>
      </w:r>
    </w:p>
    <w:p w14:paraId="7E5A29B7" w14:textId="1287CEC5" w:rsidR="000514EB" w:rsidRPr="00661AE1" w:rsidRDefault="000514EB" w:rsidP="00C20C0B">
      <w:pPr>
        <w:spacing w:line="480" w:lineRule="auto"/>
        <w:ind w:firstLine="720"/>
        <w:jc w:val="both"/>
        <w:rPr>
          <w:sz w:val="28"/>
        </w:rPr>
      </w:pPr>
    </w:p>
    <w:p w14:paraId="321494CC" w14:textId="07FB1367" w:rsidR="00391BD0" w:rsidRPr="00661AE1" w:rsidRDefault="00532277" w:rsidP="00C20C0B">
      <w:pPr>
        <w:pStyle w:val="Heading3"/>
        <w:spacing w:line="480" w:lineRule="auto"/>
      </w:pPr>
      <w:r>
        <w:t>2.</w:t>
      </w:r>
      <w:r w:rsidR="007B3F6A" w:rsidRPr="009B315C">
        <w:rPr>
          <w:rFonts w:eastAsiaTheme="minorHAnsi"/>
        </w:rPr>
        <w:t xml:space="preserve"> </w:t>
      </w:r>
      <w:r w:rsidR="007C12CF" w:rsidRPr="009B315C">
        <w:rPr>
          <w:rFonts w:eastAsiaTheme="minorHAnsi"/>
        </w:rPr>
        <w:t xml:space="preserve">Geological </w:t>
      </w:r>
      <w:r w:rsidR="00463ABE">
        <w:rPr>
          <w:rFonts w:eastAsiaTheme="minorHAnsi"/>
        </w:rPr>
        <w:t>c</w:t>
      </w:r>
      <w:r w:rsidR="0076457B" w:rsidRPr="00661AE1">
        <w:rPr>
          <w:rFonts w:eastAsiaTheme="minorHAnsi"/>
        </w:rPr>
        <w:t>ontext</w:t>
      </w:r>
    </w:p>
    <w:p w14:paraId="5E108194" w14:textId="01C0882A" w:rsidR="00130EBD" w:rsidRPr="00661AE1" w:rsidRDefault="00A20B6D" w:rsidP="00C20C0B">
      <w:pPr>
        <w:spacing w:line="480" w:lineRule="auto"/>
        <w:jc w:val="both"/>
        <w:rPr>
          <w:b/>
          <w:bCs/>
        </w:rPr>
      </w:pPr>
      <w:r w:rsidRPr="00A20B6D">
        <w:t>The rigid mantle beneath southern Patagonia and the Antarctic Peninsula formed at a long-lived active margin</w:t>
      </w:r>
      <w:r>
        <w:t>. This</w:t>
      </w:r>
      <w:r w:rsidRPr="00A20B6D">
        <w:t xml:space="preserve"> is thought to include accreted oceanic lithosphere </w:t>
      </w:r>
      <w:r>
        <w:t>(up to</w:t>
      </w:r>
      <w:r w:rsidRPr="00A20B6D">
        <w:t xml:space="preserve"> Late-Archean and Proterozoic</w:t>
      </w:r>
      <w:r>
        <w:t xml:space="preserve"> in age), which</w:t>
      </w:r>
      <w:r w:rsidRPr="00A20B6D">
        <w:t xml:space="preserve"> initially formed as residues of large amounts of adiabatic decompression melting (up to 25%) in an ocean-ridge type setting but has been subsequently modified by several episodes of metasomatism</w:t>
      </w:r>
      <w:r w:rsidR="00795225">
        <w:t xml:space="preserve"> </w:t>
      </w:r>
      <w:r w:rsidR="00795225" w:rsidRPr="00D53B4C">
        <w:fldChar w:fldCharType="begin"/>
      </w:r>
      <w:r w:rsidR="008E0CCC">
        <w:instrText xml:space="preserve"> ADDIN ZOTERO_ITEM CSL_CITATION {"citationID":"ECzhWj08","properties":{"formattedCitation":"(Stern et al., 1986; Kempton et al., 1999a; Stern et al., 1999; Gibson, 2012; Mundl et al., 2015; Rooks, 2016; Schilling et al., 2017)","plainCitation":"(Stern et al., 1986; Kempton et al., 1999a; Stern et al., 1999; Gibson, 2012; Mundl et al., 2015; Rooks, 2016; Schilling et al., 2017)","noteIndex":0},"citationItems":[{"id":2220,"uris":["http://zotero.org/users/88665/items/F4QC6XVI"],"uri":["http://zotero.org/users/88665/items/F4QC6XVI"],"itemData":{"id":2220,"type":"thesis","note":"00000 Cited by 0000","number-of-pages":"275","publisher":"PhD thesis, University of Cambridge, UK, 275 pp","source":"nora.nerc.ac.uk","title":"Antarctic lithosphere architecture and evolution: Direct constraints from mantle xenoliths","title-short":"Antarctic lithosphere architecture and evolution","URL":"http://nora.nerc.ac.uk/502361/","author":[{"family":"Gibson","given":"Lydia C."}],"issued":{"date-parts":[["2012",5]]}}},{"id":4050,"uris":["http://zotero.org/users/88665/items/3A7C4S34"],"uri":["http://zotero.org/users/88665/items/3A7C4S34"],"itemData":{"id":4050,"type":"chapter","container-title":"Gurney, J. J., Gurney, J. L., Pascoe, M. D. &amp; Richardson, S. H. (eds) Proceedings Volume of 7th International Kimberlite Conference, Cape Town","edition":"JB Dawson","event-place":"Cape Town","page":"415-428","publisher":"Red Roof Design","publisher-place":"Cape Town","title":"Spinel ± garnet lherzolite xenoliths from Pali Aike, Part 2: trace element and isotopic evidence on the evolution of lithospheric mantle beneath southern Patagonia","volume":"Proceedings of VII International Kimberlite Conference","author":[{"family":"Kempton","given":"P. D."},{"family":"Hawkesworth","given":"C. J."},{"family":"Lopez-Escobar","given":"L"},{"family":"Pearson","given":"D. G."},{"family":"Wright","given":"D.W."},{"family":"Ware","given":"A.G."}],"issued":{"date-parts":[["1999"]]}}},{"id":3696,"uris":["http://zotero.org/users/88665/items/3ZHTMHUL"],"uri":["http://zotero.org/users/88665/items/3ZHTMHUL"],"itemData":{"id":3696,"type":"article-journal","container-title":"Geology","DOI":"10.1130/G36344.1","ISSN":"0091-7613","issue":"1","journalAbbreviation":"Geology","language":"en","page":"39-42","source":"pubs.geoscienceworld.org","title":"Mesoproterozoic and Paleoproterozoic subcontinental lithospheric mantle domains beneath southern Patagonia: Isotopic evidence for its connection to Africa and Antarctica","title-short":"Mesoproterozoic and Paleoproterozoic subcontinental lithospheric mantle domains beneath southern Patagonia","volume":"43","author":[{"family":"Mundl","given":"Andrea"},{"family":"Ntaflos","given":"Theodoros"},{"family":"Ackerman","given":"Lukas"},{"family":"Bizimis","given":"Michael"},{"family":"Bjerg","given":"Ernesto A."},{"family":"Hauzenberger","given":"Christoph A."}],"issued":{"date-parts":[["2015",1,1]]}}},{"id":3646,"uris":["http://zotero.org/users/88665/items/7SBRZPI2"],"uri":["http://zotero.org/users/88665/items/7SBRZPI2"],"itemData":{"id":3646,"type":"book","event-place":"PhD thesis, University of Cambridge, UK, 200 pp","number-of-pages":"200","publisher-place":"PhD thesis, University of Cambridge, UK, 200 pp","title":"The subcontinental lithospheric mantle evolution of the southern Gondwana margin","author":[{"family":"Rooks","given":"Eve"}],"issued":{"date-parts":[["2016"]]}}},{"id":3638,"uris":["http://zotero.org/users/88665/items/MTN9RAS3"],"uri":["http://zotero.org/users/88665/items/MTN9RAS3"],"itemData":{"id":3638,"type":"article-journal","abstract":"We present mineral chemistry and whole rock major, trace, and platinum group element (PGE) concentrations, and Re-Os isotope data for eighteen mantle xenoliths carried to the surface of southern Patagonia (45°–52°S) by Paleocene to Pleistocene alkaline basalts in seven localities scattered widely across southern South America. The new data along with those previously published show that peridotites derived from the lithospheric mantle of the Deseado Massif (DM), southern Patagonia, have compositions indicative of higher degrees of partial melt extraction compared to those from surrounding regions. Re-depletion model ages (TRD) of mantle xenoliths from the DM (n=20) range from 0.5 to 2.1Ga, with an average of 1.5Ga. In contrast, samples from the surrounding areas (n=39) have a wider range of Re-depletion ages from 0.0 to 2.5Ga, with an average of 1.0Ga. Similar geochemical characteristics are recognized between the lithospheric mantle section of the DM and that beneath East Griqualand (</w:instrText>
      </w:r>
      <w:r w:rsidR="008E0CCC">
        <w:rPr>
          <w:rFonts w:ascii="Cambria Math" w:hAnsi="Cambria Math" w:cs="Cambria Math"/>
        </w:rPr>
        <w:instrText>∼</w:instrText>
      </w:r>
      <w:r w:rsidR="008E0CCC">
        <w:instrText xml:space="preserve">1.1Ga), south-eastern Africa, which is related to the Proterozoic Namaqua-Natal Province. The Re-Os systematics of the mantle xenoliths are indicative of Meso to Paleoproterozoic ages for partial melting and stabilization processes of the lithospheric mantle of southern Patagonia, which are considerably older than the crystallization ages obtained for the scarce basement rocks of Patagonia (&lt;0.6Ga). In addition, published elastic thickness (Te) estimates of southern South America show maximum values on the submerged continental region located between the DM and the Malvinas/Falkland Islands, where Grenville-age metamorphic rocks are exposed. These geochemical and geophysical results suggest that southern Patagonia and the Malvinas/Falkland Islands and plateau constitute an integrated and relatively rigid continental block formed mainly during the Meso to Paleoproterozoic as part of the supercontinent Rodinia. To the north, the formation of the North Patagonian Massif (NPM) seems to be contemporaneous with that of the DM. Nevertheless, its ancient lithospheric mantle and lower crust appear to have been widely eroded and replaced by relatively young convecting mantle, possibly during the Carboniferous collision between the DM and the NPM. The differences between the DM and NPM lithosphere histories apparently controlled the subsequent formation and distribution of Jurassic epithermal Au-Ag deposits.","container-title":"Precambrian Research","DOI":"10.1016/j.precamres.2017.03.008","ISSN":"0301-9268","journalAbbreviation":"Precambrian Research","page":"15-32","source":"ScienceDirect","title":"The origin of Patagonia revealed by Re-Os systematics of mantle xenoliths","volume":"294","author":[{"family":"Schilling","given":"Manuel Enrique"},{"family":"Carlson","given":"Richard Walter"},{"family":"Tassara","given":"Andrés"},{"family":"Conceição","given":"Rommulo Vieira"},{"family":"Bertotto","given":"Gustavo Walter"},{"family":"Vásquez","given":"Manuel"},{"family":"Muñoz","given":"Daniel"},{"family":"Jalowitzki","given":"Tiago"},{"family":"Gervasoni","given":"Fernanda"},{"family":"Morata","given":"Diego"}],"issued":{"date-parts":[["2017",6,1]]}}},{"id":1357,"uris":["http://zotero.org/users/88665/items/AIVNUDN6"],"uri":["http://zotero.org/users/88665/items/AIVNUDN6"],"itemData":{"id":1357,"type":"article-journal","abstract":"Garnet peridotite xenoliths in the Quaternary Pali-Aike alkali olivine basalts of southernmost South America are samples of the deeper portion of continental lithosphere formed by accretion along the western margin of Gondwanaland during the Phanerozoic. Core compositions of minerals in garnet peridotites indicate temperatures of 970 to 1160°C between 1.9 and 2.4 GPa, constraining a geothermal gradient which suggests a lithospheric thickness of approximately 100 km below this region. Previously, this lithosphere may have been heated and thinned to ≤80 km during the Jurassic break-up of Gondwanaland, when widespread mafic and silicic volcanism occurred in association with extension in southern South America. Subsequent cooling, by up to &amp;gt;175°C, and thickening, by about 20 km, of the lithosphere is reflected in low-temperature (&amp;lt;970°C) spinel peridotites by chemical zonation of pyroxenes involving a rimward decrease in Ca, and in moderate- and high-temperature (&amp;gt;970°C) peridotites by textural evidence for the transformation of spinel to garnet. A recent heating event, which probably occurred in conjunction with modal metasomatism related to the genesis of the Pali-Aike alkali olivine basalts, has again thinned the lithosphere to &amp;lt;100 km. Evidence for this heating is preserved in moderate- and high-temperature (&amp;gt;970°C) peridotites as chemical zonation of pyroxenes involving a rimward increase in Ca, and by kelyphitic rims around garnet. The majority of moderate- and high-temperature (&amp;gt;970°C) xenoliths are petrochemically similar to the asthenospheric source of mid-oceanic ridge basalts: fertile (&amp;gt;20% modal clinopyroxene and garnet), Fe-rich garnet lherzolite with major element composition similar to estimates of primitive mantle, but large-ion-lithophile and light-rare-earth element depletion relative to heavy-rare-earth elements, and with Sr, Nd, Pb, Os, and O isotopic compositions similar to MORB. In contrast, infertile, Mg-rich spinel harzburgite is predominant among low-temperature (&amp;lt;970°C) xenoliths. This implies a significant chemical gradient and increasing density with depth in the mantle section represented by the xenoliths, and the absence of a deep, low density, olivine-rich root below the southernmost South American crust such as has been inferred below Archean cratons. With respect to both temperature/rheology and chemistry/density, the subcontinental mantle lithosphere below southernmost South America is similar to that below oceanic crust. It is interpreted to have formed by tectonic capture, during the Paleozoic, of a segment of what had previously been oceanic lithosphere generated at a late Proterozoic mid-oceanic spreading ridge.","container-title":"Lithos","DOI":"10.1016/S0024-4937(99)00030-4","ISSN":"0024-4937","issue":"1–4","page":"217-235","source":"ScienceDirect","title":"Evidence from mantle xenoliths for relatively thin (&lt;100 km) continental lithosphere below the Phanerozoic crust of southernmost South America","volume":"48","author":[{"family":"Stern","given":"Charles R"},{"family":"Kilian","given":"Rolf"},{"family":"Olker","given":"Bettina"},{"family":"Hauri","given":"Eric H"},{"family":"Kyser","given":"T.Kurtis"}],"issued":{"date-parts":[["1999",9]]}}},{"id":803,"uris":["http://zotero.org/users/88665/items/7HRNNFHQ"],"uri":["http://zotero.org/users/88665/items/7HRNNFHQ"],"itemData":{"id":803,"type":"article-journal","collection-title":"Ross, J. (ed.) Kimberlites and Related Rocks. Geological Society of Australia Special Publication","container-title":"Ross, J. (ed.) Kimberlites and Related Rocks. Geological Society of Australia Special Publication","page":"736-744","title":"Garnet peridotite xenoliths from the Pali-Aike alkali basalts of southernmost South America","volume":"14","author":[{"family":"Stern","given":"C.R."},{"family":"Saul","given":"S."},{"family":"Skewes","given":"M."},{"family":"Futa, K.","given":""}],"issued":{"date-parts":[["1986"]]}}}],"schema":"https://github.com/citation-style-language/schema/raw/master/csl-citation.json"} </w:instrText>
      </w:r>
      <w:r w:rsidR="00795225" w:rsidRPr="00D53B4C">
        <w:fldChar w:fldCharType="separate"/>
      </w:r>
      <w:r w:rsidR="00C213C2">
        <w:t>(Stern et al., 1986; Kempton et al., 1999a; Stern et al., 1999; Gibson, 2012; Mundl et al., 2015; Rooks, 2016; Schilling et al., 2017)</w:t>
      </w:r>
      <w:r w:rsidR="00795225" w:rsidRPr="00D53B4C">
        <w:fldChar w:fldCharType="end"/>
      </w:r>
      <w:r w:rsidR="00795225" w:rsidRPr="00661AE1">
        <w:t>.</w:t>
      </w:r>
      <w:r w:rsidR="00D57290" w:rsidRPr="00661AE1">
        <w:t xml:space="preserve"> </w:t>
      </w:r>
      <w:r w:rsidR="00CD7954">
        <w:t>This</w:t>
      </w:r>
      <w:r w:rsidR="00390CCB">
        <w:t xml:space="preserve"> </w:t>
      </w:r>
      <w:r w:rsidR="003C7238">
        <w:t>‘refertilisation’</w:t>
      </w:r>
      <w:r w:rsidR="00205CA9" w:rsidRPr="00661AE1">
        <w:t xml:space="preserve"> </w:t>
      </w:r>
      <w:r w:rsidR="00D66915" w:rsidRPr="00661AE1">
        <w:t>involve</w:t>
      </w:r>
      <w:r w:rsidR="00080618" w:rsidRPr="00661AE1">
        <w:t>d</w:t>
      </w:r>
      <w:r w:rsidR="00D66915" w:rsidRPr="00661AE1">
        <w:t xml:space="preserve"> addition of NVFMMs </w:t>
      </w:r>
      <w:r w:rsidR="00595BCC">
        <w:t>(</w:t>
      </w:r>
      <w:r w:rsidR="00D66915" w:rsidRPr="00661AE1">
        <w:t>such as clinopyroxene, orthopyroxene, garnet and spinel</w:t>
      </w:r>
      <w:r w:rsidR="00595BCC">
        <w:t>)</w:t>
      </w:r>
      <w:r w:rsidR="00C87C74">
        <w:t xml:space="preserve"> </w:t>
      </w:r>
      <w:r w:rsidR="00ED1612">
        <w:t xml:space="preserve">together with amphibole and phlogopite </w:t>
      </w:r>
      <w:r w:rsidR="00C87C74">
        <w:t>and</w:t>
      </w:r>
      <w:r w:rsidR="00D66915" w:rsidRPr="00661AE1">
        <w:t xml:space="preserve"> </w:t>
      </w:r>
      <w:r w:rsidR="00D25393" w:rsidRPr="00661AE1">
        <w:t>may</w:t>
      </w:r>
      <w:r w:rsidR="002B3F85" w:rsidRPr="00661AE1">
        <w:t xml:space="preserve"> date back to</w:t>
      </w:r>
      <w:r w:rsidR="00173250" w:rsidRPr="00661AE1">
        <w:t>:</w:t>
      </w:r>
      <w:r w:rsidR="00D25393" w:rsidRPr="00661AE1">
        <w:t xml:space="preserve"> </w:t>
      </w:r>
      <w:r w:rsidR="00173250" w:rsidRPr="00661AE1">
        <w:t xml:space="preserve">(i) </w:t>
      </w:r>
      <w:r w:rsidR="00D25393" w:rsidRPr="00661AE1">
        <w:t xml:space="preserve">Palaeozoic </w:t>
      </w:r>
      <w:r w:rsidR="00B028FA" w:rsidRPr="00661AE1">
        <w:t xml:space="preserve">to Miocene times </w:t>
      </w:r>
      <w:r w:rsidR="00D25393" w:rsidRPr="00661AE1">
        <w:t xml:space="preserve">when </w:t>
      </w:r>
      <w:r w:rsidR="00612F4D" w:rsidRPr="00661AE1">
        <w:t xml:space="preserve">the Antarctic Peninsula and </w:t>
      </w:r>
      <w:r w:rsidR="00E90E9D" w:rsidRPr="00661AE1">
        <w:t>southern</w:t>
      </w:r>
      <w:r w:rsidR="00B05F0D" w:rsidRPr="00661AE1">
        <w:t xml:space="preserve"> </w:t>
      </w:r>
      <w:r w:rsidR="00612F4D" w:rsidRPr="00661AE1">
        <w:t xml:space="preserve">Patagonia </w:t>
      </w:r>
      <w:r w:rsidR="003F5441" w:rsidRPr="00661AE1">
        <w:t>were adjacent</w:t>
      </w:r>
      <w:r w:rsidR="005A15C2">
        <w:t>,</w:t>
      </w:r>
      <w:r w:rsidR="003F5441" w:rsidRPr="00661AE1">
        <w:t xml:space="preserve"> </w:t>
      </w:r>
      <w:r w:rsidR="005A15C2">
        <w:t xml:space="preserve">and </w:t>
      </w:r>
      <w:r w:rsidR="003F5441" w:rsidRPr="00661AE1">
        <w:t xml:space="preserve">above a long-lived </w:t>
      </w:r>
      <w:r w:rsidR="00EF2391" w:rsidRPr="00661AE1">
        <w:t xml:space="preserve">contiguous </w:t>
      </w:r>
      <w:r w:rsidR="003F5441" w:rsidRPr="00661AE1">
        <w:t xml:space="preserve">subduction zone on the </w:t>
      </w:r>
      <w:r w:rsidR="00E90E9D" w:rsidRPr="00661AE1">
        <w:t>southern</w:t>
      </w:r>
      <w:r w:rsidR="003F5441" w:rsidRPr="00661AE1">
        <w:t xml:space="preserve"> margin of the former Gondwana supercontinent </w:t>
      </w:r>
      <w:r w:rsidR="006A4F92" w:rsidRPr="00D53B4C">
        <w:fldChar w:fldCharType="begin"/>
      </w:r>
      <w:r w:rsidR="00A17546">
        <w:instrText xml:space="preserve"> ADDIN ZOTERO_ITEM CSL_CITATION {"citationID":"2n5dccsonv","properties":{"formattedCitation":"(Vaughan et al., 2012; Torsvik and Cocks, 2013)","plainCitation":"(Vaughan et al., 2012; Torsvik and Cocks, 2013)","noteIndex":0},"citationItems":[{"id":"4YmRUp4L/oKaRTx3J","uris":["http://zotero.org/users/2552499/items/UXDJQVP9"],"uri":["http://zotero.org/users/2552499/items/UXDJQVP9"],"itemData":{"id":1911,"type":"article-journal","title":"Gondwana from top to base in space and time","container-title":"Gondwana Research","page":"999-1030","volume":"24","issue":"3-4","journalAbbreviation":"Gondwana Research","author":[{"family":"Torsvik","given":"Trond H."},{"family":"Cocks","given":"L. Robin M."}],"issued":{"date-parts":[["2013"]]}}},{"id":"4YmRUp4L/0AdB637K","uris":["http://zotero.org/users/2552499/items/CN73USVN"],"uri":["http://zotero.org/users/2552499/items/CN73USVN"],"itemData":{"id":1921,"type":"article-journal","title":"Evidence for a two-phase Palmer Land event from crosscutting structural relationships and emplacement timing of the Lassiter Coast Intrusive Suite, Antarctic Peninsula: Implications for mid-Cretaceous Southern Ocean plate configuration","container-title":"Tectonics","page":"1-19","volume":"31","issue":"1","journalAbbreviation":"Tectonics","author":[{"family":"Vaughan","given":"Alan P. M."},{"family":"Eagles","given":"Graeme"},{"family":"Flowerdew","given":"Michael J."}],"issued":{"date-parts":[["2012"]]}}}],"schema":"https://github.com/citation-style-language/schema/raw/master/csl-citation.json"} </w:instrText>
      </w:r>
      <w:r w:rsidR="006A4F92" w:rsidRPr="00D53B4C">
        <w:fldChar w:fldCharType="separate"/>
      </w:r>
      <w:r w:rsidR="00636367">
        <w:t>(Vaughan et al., 2012; Torsvik and Cocks, 2013)</w:t>
      </w:r>
      <w:r w:rsidR="006A4F92" w:rsidRPr="00D53B4C">
        <w:fldChar w:fldCharType="end"/>
      </w:r>
      <w:r w:rsidR="004B5057" w:rsidRPr="00661AE1">
        <w:t>; (ii) tectonic extension and rifting prior to Gondwana break-up (Homovc &amp; Constantini, 2001)</w:t>
      </w:r>
      <w:r w:rsidR="00A9677E" w:rsidRPr="00661AE1">
        <w:t>;</w:t>
      </w:r>
      <w:r w:rsidR="006911C7" w:rsidRPr="00661AE1">
        <w:t xml:space="preserve"> </w:t>
      </w:r>
      <w:r w:rsidR="00173250" w:rsidRPr="00661AE1">
        <w:t>or (ii</w:t>
      </w:r>
      <w:r w:rsidR="00313111" w:rsidRPr="00661AE1">
        <w:t>i</w:t>
      </w:r>
      <w:r w:rsidR="00173250" w:rsidRPr="00661AE1">
        <w:t xml:space="preserve">) </w:t>
      </w:r>
      <w:r w:rsidR="00464CCC">
        <w:t>Miocene</w:t>
      </w:r>
      <w:r w:rsidR="00C66828" w:rsidRPr="00661AE1">
        <w:t xml:space="preserve">-Quaternary </w:t>
      </w:r>
      <w:r w:rsidR="005F4768" w:rsidRPr="00661AE1">
        <w:t xml:space="preserve">times and </w:t>
      </w:r>
      <w:r w:rsidR="002D5E82" w:rsidRPr="00661AE1">
        <w:t>melt</w:t>
      </w:r>
      <w:r w:rsidR="005F4768" w:rsidRPr="00661AE1">
        <w:t xml:space="preserve"> generation </w:t>
      </w:r>
      <w:r w:rsidR="00C66828" w:rsidRPr="00661AE1">
        <w:t xml:space="preserve">associated with </w:t>
      </w:r>
      <w:r w:rsidR="00173250" w:rsidRPr="00661AE1">
        <w:t xml:space="preserve">recent </w:t>
      </w:r>
      <w:r w:rsidR="00464C56" w:rsidRPr="00661AE1">
        <w:t>ridge subduction</w:t>
      </w:r>
      <w:r w:rsidR="004C798E" w:rsidRPr="00661AE1">
        <w:t xml:space="preserve"> </w:t>
      </w:r>
      <w:r w:rsidR="00A9677E" w:rsidRPr="00661AE1">
        <w:t>and</w:t>
      </w:r>
      <w:r w:rsidR="00464C56" w:rsidRPr="00661AE1">
        <w:t xml:space="preserve"> </w:t>
      </w:r>
      <w:r w:rsidR="00173250" w:rsidRPr="00661AE1">
        <w:t>slab-window formation</w:t>
      </w:r>
      <w:r w:rsidR="0081112E" w:rsidRPr="00661AE1">
        <w:t xml:space="preserve"> </w:t>
      </w:r>
      <w:r w:rsidR="006B6CB1" w:rsidRPr="004E4764">
        <w:fldChar w:fldCharType="begin"/>
      </w:r>
      <w:r w:rsidR="004F07C0">
        <w:instrText xml:space="preserve"> ADDIN ZOTERO_ITEM CSL_CITATION {"citationID":"Efndp8Dz","properties":{"formattedCitation":"(Hole, 1988; D\\uc0\\u8217{}Orazio et al., 2000)","plainCitation":"(Hole, 1988; D’Orazio et al., 2000)","noteIndex":0},"citationItems":[{"id":1354,"uris":["http://zotero.org/users/88665/items/6U6TVDC7"],"uri":["http://zotero.org/users/88665/items/6U6TVDC7"],"itemData":{"id":1354,"type":"article-journal","abstract":"The Pali Aike Volcanic Field (PAVF) represents the southernmost occurrence of the Cenozoic back-arc Patagonian Plateau Lavas. Its activity (Pliocene–Recent) started forming tabular lavas followed by the growth of about 470 essentially monogenetic volcanic centers (tuff-rings, maars, spatter and scoria cones). Azimuths of cone alignment, cone elongation and morphologic lineations show prevailing ENE–WSW and NW–SE trends. Erupted products consist mainly of alkaline basalt and basanite, with minor olivine basalt. PAVF rocks are quite primitive in composition (average Mg#=66, Ni=220&amp;#xa0;ppm and Cr=313&amp;#xa0;ppm) with relatively high TiO2 (average 3.0&amp;#xa0;wt.%). Ultramafic garnet- and/or spinel-bearing xenoliths are found within PAVF volcanics. Chondrite-normalized REE patterns are significantly LREE-enriched and almost rectilinear [(La/Yb)N=10.9–21.0]. Primordial mantle-normalized distributions of incompatible trace elements, as well as Sr and Nd isotope ratios (87Sr/86Sr=0.70317–0.70339, 143Nd/144Nd=0.51290–0.51294), show values typical of intra-plate basalts, despite the fact that these rocks occur only 200&amp;#xa0;km east of the Andean Cordillera. Primary magmas were generated from a fertile garnet-bearing asthenospheric source at P=1.9–2.9&amp;#xa0;GPa and T=1420–1470°C.\n\nThe data suggest a geodynamic model that implies sub-slab asthenosphere flow through a slab window, which started opening below this sector of South America 14&amp;#xa0;m.y. ago as a consequence of the collision of the Chile Ridge with the Chile Trench. The trailing edge of the Nazca Plate crossed below the Pali Aike area at 9–10&amp;#xa0;Ma, that is 6–5&amp;#xa0;m.y. before the onset of the volcanic activity. We hypothesize that this time delay resulted from changes in the kinematics of the South America–Scotia transform plate boundary which only allowed the Pali Aike magmas to rise after about 4&amp;#xa0;m.y.","container-title":"Tectonophysics","DOI":"10.1016/S0040-1951(00)00082-2","ISSN":"0040-1951","issue":"4","page":"407-427","source":"ScienceDirect","title":"The Pali Aike Volcanic Field, Patagonia: slab-window magmatism near the tip of South America","title-short":"The Pali Aike Volcanic Field, Patagonia","volume":"321","author":[{"family":"D'Orazio","given":"Massimo"},{"family":"Agostini","given":"Samuele"},{"family":"Mazzarini","given":"Francesco"},{"family":"Innocenti","given":"Fabrizio"},{"family":"Manetti","given":"Piero"},{"family":"Haller","given":"Miguel J"},{"family":"Lahsen","given":"Alfredo"}],"issued":{"date-parts":[["2000",6,30]]}}},{"id":1720,"uris":["http://zotero.org/users/88665/items/QRG85W5Z"],"uri":["http://zotero.org/users/88665/items/QRG85W5Z"],"itemData":{"id":1720,"type":"article-journal","abstract":"Following the cessation of subduction along the Antarctic Peninsula, there was a change in the character of the magmatism from calc-alkaline to alkaline. A Miocene-Pliocene suite of basanites, tephrites and alkali and olivine basalts from Alexander Island, south-west Antarctic Peninsula, was erupted between 18 and 30 Ma after the cessation of subduction. These basalts exhibit incompatible trace element characteristics similar to those reported for continental alkali basalts and OIB. Major and trace element variations are consistent with an origin by low but variable degrees of partial melting of a garnet lherzolite source with residual garnet ± clinopyroxene, followed by limited fractional crystallization of olivine and clinopyroxene. Sr- and Nd-isotope compositions cover a limited range of 87Sr/86Sr 0.70275-0.70343 and 143Nd/144Nd 0.51298–0.51286. These ratios are consistent with the derivation of the basalts from a depleted source region broadly similar to that of MORB and non-Dupal OIB.\nCorrelated LILE/HFSE-isotope trends demonstrate that the olivine basalts are enriched in the LILE and 87Sr but depleted in 143Nd relative to other Alexander Island samples. The LILE-enrichment is attributed to the inheritance of a subduction component from mantle material which previously constituted the mantle wedge during Mesozoic subduction along the Antarctic Peninsula.","call-number":"0042","container-title":"Journal of the Geological Society","DOI":"10.1144/gsjgs.145.6.0985","ISSN":"0016-7649,","issue":"6","journalAbbreviation":"Journal of the Geological Society","language":"en","page":"985-998","source":"jgs.geoscienceworld.org","title":"Post-subduction alkaline volcanism along the Antarctic Peninsula","volume":"145","author":[{"family":"Hole","given":"M. J."}],"issued":{"date-parts":[["1988",1,12]]}}}],"schema":"https://github.com/citation-style-language/schema/raw/master/csl-citation.json"} </w:instrText>
      </w:r>
      <w:r w:rsidR="006B6CB1" w:rsidRPr="004E4764">
        <w:fldChar w:fldCharType="separate"/>
      </w:r>
      <w:r w:rsidR="00636367" w:rsidRPr="00636367">
        <w:t>(Hole, 1988; D’Orazio et al., 2000)</w:t>
      </w:r>
      <w:r w:rsidR="006B6CB1" w:rsidRPr="004E4764">
        <w:fldChar w:fldCharType="end"/>
      </w:r>
      <w:r w:rsidR="0081112E" w:rsidRPr="00661AE1">
        <w:t xml:space="preserve">. </w:t>
      </w:r>
      <w:r w:rsidR="001E6FDF">
        <w:t>T</w:t>
      </w:r>
      <w:r w:rsidR="0010422B">
        <w:t xml:space="preserve">he </w:t>
      </w:r>
      <w:r w:rsidR="00BB33B1" w:rsidRPr="00661AE1">
        <w:t xml:space="preserve">Pali Aike </w:t>
      </w:r>
      <w:r w:rsidR="0010422B">
        <w:t>Volcanic Field</w:t>
      </w:r>
      <w:r w:rsidR="001E6FDF">
        <w:t xml:space="preserve"> formed during the last 4</w:t>
      </w:r>
      <w:r w:rsidR="005A15C2">
        <w:t xml:space="preserve"> </w:t>
      </w:r>
      <w:r w:rsidR="001E6FDF">
        <w:t xml:space="preserve">Ma and </w:t>
      </w:r>
      <w:r w:rsidR="00BB33B1" w:rsidRPr="00661AE1">
        <w:t xml:space="preserve">is </w:t>
      </w:r>
      <w:r w:rsidR="001E6FDF">
        <w:t xml:space="preserve">currently </w:t>
      </w:r>
      <w:r w:rsidR="006911C7" w:rsidRPr="00661AE1">
        <w:t xml:space="preserve">located </w:t>
      </w:r>
      <w:r w:rsidR="008E6BBB" w:rsidRPr="00661AE1">
        <w:t xml:space="preserve">at 52 </w:t>
      </w:r>
      <w:r w:rsidR="008E6BBB" w:rsidRPr="009B315C">
        <w:rPr>
          <w:vertAlign w:val="superscript"/>
        </w:rPr>
        <w:t>o</w:t>
      </w:r>
      <w:r w:rsidR="008E6BBB" w:rsidRPr="00661AE1">
        <w:t>S</w:t>
      </w:r>
      <w:r w:rsidR="008770EF" w:rsidRPr="00661AE1">
        <w:t xml:space="preserve">, </w:t>
      </w:r>
      <w:r w:rsidR="00390CCB">
        <w:t xml:space="preserve">approximately </w:t>
      </w:r>
      <w:r w:rsidR="0004045E" w:rsidRPr="00661AE1">
        <w:t>400 km east of the Chile trench</w:t>
      </w:r>
      <w:r w:rsidR="005E3C17" w:rsidRPr="00661AE1">
        <w:t>,</w:t>
      </w:r>
      <w:r w:rsidR="009B3405" w:rsidRPr="00661AE1">
        <w:t xml:space="preserve"> and</w:t>
      </w:r>
      <w:r w:rsidR="008E6BBB" w:rsidRPr="00661AE1">
        <w:t xml:space="preserve"> </w:t>
      </w:r>
      <w:r w:rsidR="006911C7" w:rsidRPr="00661AE1">
        <w:t xml:space="preserve">in a back-arc </w:t>
      </w:r>
      <w:r w:rsidR="00D66915" w:rsidRPr="00661AE1">
        <w:t xml:space="preserve">extensional </w:t>
      </w:r>
      <w:r w:rsidR="006911C7" w:rsidRPr="00661AE1">
        <w:t>setting</w:t>
      </w:r>
      <w:r w:rsidR="00D66915" w:rsidRPr="00661AE1">
        <w:t xml:space="preserve"> (</w:t>
      </w:r>
      <w:r w:rsidR="00C77CBD" w:rsidRPr="009B315C">
        <w:rPr>
          <w:b/>
          <w:color w:val="000000" w:themeColor="text1"/>
        </w:rPr>
        <w:t xml:space="preserve">Supplementary </w:t>
      </w:r>
      <w:r w:rsidR="00D66915" w:rsidRPr="009B315C">
        <w:rPr>
          <w:b/>
          <w:color w:val="000000" w:themeColor="text1"/>
        </w:rPr>
        <w:t>Figure 1</w:t>
      </w:r>
      <w:r w:rsidR="00D66915" w:rsidRPr="00661AE1">
        <w:t>)</w:t>
      </w:r>
      <w:r w:rsidR="008E6BBB" w:rsidRPr="00661AE1">
        <w:t xml:space="preserve">. </w:t>
      </w:r>
      <w:r w:rsidR="00ED1612">
        <w:t>Although t</w:t>
      </w:r>
      <w:r w:rsidR="00ED1612" w:rsidRPr="00661AE1">
        <w:t xml:space="preserve">he </w:t>
      </w:r>
      <w:r w:rsidR="003B3057" w:rsidRPr="00661AE1">
        <w:t xml:space="preserve">western </w:t>
      </w:r>
      <w:r w:rsidR="006911C7" w:rsidRPr="00661AE1">
        <w:t xml:space="preserve">Antarctic Peninsula </w:t>
      </w:r>
      <w:r w:rsidR="00A9677E" w:rsidRPr="00661AE1">
        <w:t xml:space="preserve">is </w:t>
      </w:r>
      <w:r w:rsidR="006911C7" w:rsidRPr="00661AE1">
        <w:t>in a fore-arc</w:t>
      </w:r>
      <w:r w:rsidR="00BB33B1" w:rsidRPr="00661AE1">
        <w:t xml:space="preserve"> setting</w:t>
      </w:r>
      <w:r w:rsidR="00ED1612">
        <w:t xml:space="preserve">, </w:t>
      </w:r>
      <w:r w:rsidR="00130EBD">
        <w:t>t</w:t>
      </w:r>
      <w:r w:rsidR="00130EBD" w:rsidRPr="00661AE1">
        <w:t>he</w:t>
      </w:r>
      <w:r w:rsidR="00130EBD">
        <w:t xml:space="preserve"> </w:t>
      </w:r>
      <w:r w:rsidR="003A5282">
        <w:t>2.</w:t>
      </w:r>
      <w:r w:rsidR="00414398" w:rsidRPr="00661AE1">
        <w:t>5-7 Ma alkali basalts</w:t>
      </w:r>
      <w:r w:rsidR="003A5282">
        <w:t xml:space="preserve"> and basanites</w:t>
      </w:r>
      <w:r w:rsidR="00414398">
        <w:t xml:space="preserve"> </w:t>
      </w:r>
      <w:r w:rsidR="00130EBD">
        <w:t xml:space="preserve">that host the xenoliths </w:t>
      </w:r>
      <w:r w:rsidR="00551389">
        <w:t>resemble intraplate basalts</w:t>
      </w:r>
      <w:r w:rsidR="00130EBD" w:rsidRPr="00661AE1">
        <w:t xml:space="preserve"> </w:t>
      </w:r>
      <w:r w:rsidR="00130EBD">
        <w:fldChar w:fldCharType="begin"/>
      </w:r>
      <w:r w:rsidR="00A17546">
        <w:instrText xml:space="preserve"> ADDIN ZOTERO_ITEM CSL_CITATION {"citationID":"mEt9qP42","properties":{"formattedCitation":"(Hole, 1988; Gibson, 2012)","plainCitation":"(Hole, 1988; Gibson, 2012)","noteIndex":0},"citationItems":[{"id":1720,"uris":["http://zotero.org/users/88665/items/QRG85W5Z"],"uri":["http://zotero.org/users/88665/items/QRG85W5Z"],"itemData":{"id":1720,"type":"article-journal","abstract":"Following the cessation of subduction along the Antarctic Peninsula, there was a change in the character of the magmatism from calc-alkaline to alkaline. A Miocene-Pliocene suite of basanites, tephrites and alkali and olivine basalts from Alexander Island, south-west Antarctic Peninsula, was erupted between 18 and 30 Ma after the cessation of subduction. These basalts exhibit incompatible trace element characteristics similar to those reported for continental alkali basalts and OIB. Major and trace element variations are consistent with an origin by low but variable degrees of partial melting of a garnet lherzolite source with residual garnet ± clinopyroxene, followed by limited fractional crystallization of olivine and clinopyroxene. Sr- and Nd-isotope compositions cover a limited range of 87Sr/86Sr 0.70275-0.70343 and 143Nd/144Nd 0.51298–0.51286. These ratios are consistent with the derivation of the basalts from a depleted source region broadly similar to that of MORB and non-Dupal OIB.\nCorrelated LILE/HFSE-isotope trends demonstrate that the olivine basalts are enriched in the LILE and 87Sr but depleted in 143Nd relative to other Alexander Island samples. The LILE-enrichment is attributed to the inheritance of a subduction component from mantle material which previously constituted the mantle wedge during Mesozoic subduction along the Antarctic Peninsula.","call-number":"0042","container-title":"Journal of the Geological Society","DOI":"10.1144/gsjgs.145.6.0985","ISSN":"0016-7649,","issue":"6","journalAbbreviation":"Journal of the Geological Society","language":"en","page":"985-998","source":"jgs.geoscienceworld.org","title":"Post-subduction alkaline volcanism along the Antarctic Peninsula","volume":"145","author":[{"family":"Hole","given":"M. J."}],"issued":{"date-parts":[["1988",1,12]]}}},{"id":2220,"uris":["http://zotero.org/users/88665/items/F4QC6XVI"],"uri":["http://zotero.org/users/88665/items/F4QC6XVI"],"itemData":{"id":2220,"type":"thesis","note":"00000 Cited by 0000","number-of-pages":"275","publisher":"PhD thesis, University of Cambridge, UK, 275 pp","source":"nora.nerc.ac.uk","title":"Antarctic lithosphere architecture and evolution: Direct constraints from mantle xenoliths","title-short":"Antarctic lithosphere architecture and evolution","URL":"http://nora.nerc.ac.uk/502361/","author":[{"family":"Gibson","given":"Lydia C."}],"issued":{"date-parts":[["2012",5]]}}}],"schema":"https://github.com/citation-style-language/schema/raw/master/csl-citation.json"} </w:instrText>
      </w:r>
      <w:r w:rsidR="00130EBD">
        <w:fldChar w:fldCharType="separate"/>
      </w:r>
      <w:bookmarkStart w:id="0" w:name="_GoBack"/>
      <w:bookmarkEnd w:id="0"/>
      <w:r w:rsidR="00A17546" w:rsidRPr="00A17546">
        <w:t>(Hole, 1988; Gibson, 2012)</w:t>
      </w:r>
      <w:r w:rsidR="00130EBD">
        <w:fldChar w:fldCharType="end"/>
      </w:r>
      <w:r w:rsidR="00130EBD" w:rsidRPr="00661AE1">
        <w:t xml:space="preserve">. </w:t>
      </w:r>
    </w:p>
    <w:p w14:paraId="65737565" w14:textId="237B5AB8" w:rsidR="002747AF" w:rsidRPr="00661AE1" w:rsidRDefault="002747AF" w:rsidP="00C20C0B">
      <w:pPr>
        <w:spacing w:line="480" w:lineRule="auto"/>
        <w:jc w:val="both"/>
      </w:pPr>
    </w:p>
    <w:p w14:paraId="4BB2E0B8" w14:textId="020D9960" w:rsidR="00391BD0" w:rsidRPr="004E4764" w:rsidRDefault="00532277" w:rsidP="00C20C0B">
      <w:pPr>
        <w:pStyle w:val="Heading1"/>
        <w:spacing w:line="480" w:lineRule="auto"/>
      </w:pPr>
      <w:r>
        <w:lastRenderedPageBreak/>
        <w:t>3</w:t>
      </w:r>
      <w:r w:rsidR="00EC0126" w:rsidRPr="004E4764">
        <w:t>. Sample</w:t>
      </w:r>
      <w:r w:rsidR="007C12CF" w:rsidRPr="00D53B4C">
        <w:t xml:space="preserve"> </w:t>
      </w:r>
      <w:r w:rsidR="007C12CF" w:rsidRPr="00C44395">
        <w:t>selection</w:t>
      </w:r>
      <w:r w:rsidR="00EC0126" w:rsidRPr="00AD729C">
        <w:t xml:space="preserve"> </w:t>
      </w:r>
    </w:p>
    <w:p w14:paraId="09020AD4" w14:textId="7848037E" w:rsidR="0079350D" w:rsidRPr="00661AE1" w:rsidRDefault="001957A2" w:rsidP="00C20C0B">
      <w:pPr>
        <w:spacing w:after="200" w:line="480" w:lineRule="auto"/>
        <w:jc w:val="both"/>
      </w:pPr>
      <w:r w:rsidRPr="00661AE1">
        <w:t xml:space="preserve">Analyses of </w:t>
      </w:r>
      <w:r w:rsidR="0045255D">
        <w:t>major</w:t>
      </w:r>
      <w:r w:rsidR="004910A9">
        <w:t>,</w:t>
      </w:r>
      <w:r w:rsidR="0045255D">
        <w:t xml:space="preserve"> trace and volatile elements (</w:t>
      </w:r>
      <w:r w:rsidR="00810650">
        <w:t>H, F, Cl</w:t>
      </w:r>
      <w:r w:rsidR="0045255D">
        <w:t>, Li and B)</w:t>
      </w:r>
      <w:r w:rsidR="0045255D" w:rsidRPr="00661AE1">
        <w:t xml:space="preserve"> </w:t>
      </w:r>
      <w:r w:rsidRPr="00661AE1">
        <w:t>in nominally volatile</w:t>
      </w:r>
      <w:r w:rsidR="00BD0183">
        <w:t>-</w:t>
      </w:r>
      <w:r w:rsidRPr="00661AE1">
        <w:t xml:space="preserve">free phases were undertaken on </w:t>
      </w:r>
      <w:r w:rsidR="00ED1612">
        <w:t>“</w:t>
      </w:r>
      <w:r w:rsidR="00A9208C" w:rsidRPr="00661AE1">
        <w:t>off-craton</w:t>
      </w:r>
      <w:r w:rsidR="00ED1612">
        <w:t>”</w:t>
      </w:r>
      <w:r w:rsidR="00A9208C" w:rsidRPr="00661AE1">
        <w:t xml:space="preserve"> </w:t>
      </w:r>
      <w:r w:rsidR="00B47095" w:rsidRPr="00661AE1">
        <w:t xml:space="preserve">peridotite and pyroxenite </w:t>
      </w:r>
      <w:r w:rsidR="00361642" w:rsidRPr="00661AE1">
        <w:t xml:space="preserve">mantle </w:t>
      </w:r>
      <w:r w:rsidR="00371580" w:rsidRPr="00661AE1">
        <w:t xml:space="preserve">xenoliths </w:t>
      </w:r>
      <w:r w:rsidR="00827832" w:rsidRPr="00661AE1">
        <w:t xml:space="preserve">from </w:t>
      </w:r>
      <w:r w:rsidR="006123B0" w:rsidRPr="00661AE1">
        <w:t>s</w:t>
      </w:r>
      <w:r w:rsidR="00E90E9D" w:rsidRPr="00661AE1">
        <w:t>outhern</w:t>
      </w:r>
      <w:r w:rsidR="00827832" w:rsidRPr="00661AE1">
        <w:t xml:space="preserve"> Patagonia </w:t>
      </w:r>
      <w:r w:rsidR="00DE319A" w:rsidRPr="00661AE1">
        <w:t xml:space="preserve">(Pali Aike) </w:t>
      </w:r>
      <w:r w:rsidR="00827832" w:rsidRPr="00661AE1">
        <w:t>and the Antarctic Peninsula</w:t>
      </w:r>
      <w:r w:rsidR="00DE319A" w:rsidRPr="00661AE1">
        <w:t xml:space="preserve"> (Rothschild Island, Alexander Island and Adelaide Island; </w:t>
      </w:r>
      <w:r w:rsidR="00DB3D17" w:rsidRPr="009B315C">
        <w:rPr>
          <w:b/>
          <w:color w:val="000000" w:themeColor="text1"/>
        </w:rPr>
        <w:t xml:space="preserve">Supplementary </w:t>
      </w:r>
      <w:r w:rsidR="00DE319A" w:rsidRPr="009B315C">
        <w:rPr>
          <w:b/>
          <w:color w:val="000000" w:themeColor="text1"/>
        </w:rPr>
        <w:t>Fig</w:t>
      </w:r>
      <w:r w:rsidR="00DB3D17" w:rsidRPr="009B315C">
        <w:rPr>
          <w:b/>
          <w:color w:val="000000" w:themeColor="text1"/>
        </w:rPr>
        <w:t>ure</w:t>
      </w:r>
      <w:r w:rsidR="00DE319A" w:rsidRPr="009B315C">
        <w:rPr>
          <w:b/>
          <w:color w:val="000000" w:themeColor="text1"/>
        </w:rPr>
        <w:t xml:space="preserve"> 1</w:t>
      </w:r>
      <w:r w:rsidR="00DE319A" w:rsidRPr="00661AE1">
        <w:t>)</w:t>
      </w:r>
      <w:r w:rsidRPr="00661AE1">
        <w:t xml:space="preserve">. </w:t>
      </w:r>
      <w:r w:rsidR="00E87C51" w:rsidRPr="00661AE1">
        <w:t>T</w:t>
      </w:r>
      <w:r w:rsidR="00CD774D" w:rsidRPr="00661AE1">
        <w:t>he</w:t>
      </w:r>
      <w:r w:rsidR="00130EBD">
        <w:t>se</w:t>
      </w:r>
      <w:r w:rsidR="00D54B21" w:rsidRPr="00661AE1">
        <w:t xml:space="preserve"> </w:t>
      </w:r>
      <w:r w:rsidR="00CD774D" w:rsidRPr="00661AE1">
        <w:t xml:space="preserve">xenolith suites </w:t>
      </w:r>
      <w:r w:rsidR="003F5441" w:rsidRPr="00661AE1">
        <w:t>ha</w:t>
      </w:r>
      <w:r w:rsidR="00E87C51" w:rsidRPr="00661AE1">
        <w:t>ve</w:t>
      </w:r>
      <w:r w:rsidR="003F5441" w:rsidRPr="00661AE1">
        <w:t xml:space="preserve"> been</w:t>
      </w:r>
      <w:r w:rsidR="00C15E7D" w:rsidRPr="00661AE1">
        <w:t xml:space="preserve"> well-characterised</w:t>
      </w:r>
      <w:r w:rsidR="005E3C17" w:rsidRPr="00661AE1">
        <w:t>,</w:t>
      </w:r>
      <w:r w:rsidR="00C15E7D" w:rsidRPr="00661AE1">
        <w:t xml:space="preserve"> following </w:t>
      </w:r>
      <w:r w:rsidR="00355A05" w:rsidRPr="00661AE1">
        <w:t xml:space="preserve">detailed </w:t>
      </w:r>
      <w:r w:rsidR="00C15165" w:rsidRPr="00661AE1">
        <w:t xml:space="preserve">petrographic </w:t>
      </w:r>
      <w:r w:rsidR="00C15E7D" w:rsidRPr="00661AE1">
        <w:t xml:space="preserve">studies </w:t>
      </w:r>
      <w:r w:rsidR="00791BFC" w:rsidRPr="00661AE1">
        <w:t>together with</w:t>
      </w:r>
      <w:r w:rsidR="00C15165" w:rsidRPr="00661AE1">
        <w:t xml:space="preserve"> </w:t>
      </w:r>
      <w:r w:rsidR="00355A05" w:rsidRPr="00661AE1">
        <w:t xml:space="preserve">systematic </w:t>
      </w:r>
      <w:r w:rsidR="00C15165" w:rsidRPr="00661AE1">
        <w:t xml:space="preserve">analyses of </w:t>
      </w:r>
      <w:r w:rsidR="00C4466C" w:rsidRPr="00661AE1">
        <w:t xml:space="preserve">mineral and whole-rock chemistry </w:t>
      </w:r>
      <w:r w:rsidR="00DD4C1C" w:rsidRPr="004E4764">
        <w:fldChar w:fldCharType="begin"/>
      </w:r>
      <w:r w:rsidR="008E0CCC">
        <w:instrText xml:space="preserve"> ADDIN ZOTERO_ITEM CSL_CITATION {"citationID":"vtFYSPwS","properties":{"formattedCitation":"(Kempton et al., 1999a; Kempton et al., 1999b; Ross, 2008; Gibson, 2012; Rooks, 2016)","plainCitation":"(Kempton et al., 1999a; Kempton et al., 1999b; Ross, 2008; Gibson, 2012; Rooks, 2016)","noteIndex":0},"citationItems":[{"id":4050,"uris":["http://zotero.org/users/88665/items/3A7C4S34"],"uri":["http://zotero.org/users/88665/items/3A7C4S34"],"itemData":{"id":4050,"type":"chapter","container-title":"Gurney, J. J., Gurney, J. L., Pascoe, M. D. &amp; Richardson, S. H. (eds) Proceedings Volume of 7th International Kimberlite Conference, Cape Town","edition":"JB Dawson","event-place":"Cape Town","page":"415-428","publisher":"Red Roof Design","publisher-place":"Cape Town","title":"Spinel ± garnet lherzolite xenoliths from Pali Aike, Part 2: trace element and isotopic evidence on the evolution of lithospheric mantle beneath southern Patagonia","volume":"Proceedings of VII International Kimberlite Conference","author":[{"family":"Kempton","given":"P. D."},{"family":"Hawkesworth","given":"C. J."},{"family":"Lopez-Escobar","given":"L"},{"family":"Pearson","given":"D. G."},{"family":"Wright","given":"D.W."},{"family":"Ware","given":"A.G."}],"issued":{"date-parts":[["1999"]]}}},{"id":4314,"uris":["http://zotero.org/users/88665/items/F27Y5XZJ"],"uri":["http://zotero.org/users/88665/items/F27Y5XZJ"],"itemData":{"id":4314,"type":"chapter","container-title":"Gurney, J. J., Gurney, J. L., Pascoe, M. D. &amp; Richardson, S. H. (eds) Proceedings Volume of 7th International Kimberlite Conference, Cape Town","edition":"JB Dawson","event-place":"Cape Town","page":"403–414","publisher":"Red Roof Design","publisher-place":"Cape Town","title":"Spinel ± garnet lherzolite xenoliths from Pali Aike, Part 1: Petrography, mineral chemistry and geothermobarometry","author":[{"family":"Kempton","given":"P. D."},{"family":"Lopez-Escobar","given":"L"},{"family":"Hawkesworth","given":"C.J."},{"family":"Pearson","given":"D. G."},{"family":"Wright","given":"D.W."},{"family":"Ware","given":"A.G."}],"issued":{"date-parts":[["1999"]]}}},{"id":4356,"uris":["http://zotero.org/users/88665/items/7QTHSUFM"],"uri":["http://zotero.org/users/88665/items/7QTHSUFM"],"itemData":{"id":4356,"type":"article-journal","container-title":"MRes thesis, University of Cambridge, UK","page":"150 pp","title":"Compositional variability of the mantle beneath West Antarctica and its relationship to terrane tectonics: Evidence from mantle xenoliths","author":[{"family":"Ross","given":"A.J."}],"issued":{"date-parts":[["2008"]]}}},{"id":2220,"uris":["http://zotero.org/users/88665/items/F4QC6XVI"],"uri":["http://zotero.org/users/88665/items/F4QC6XVI"],"itemData":{"id":2220,"type":"thesis","note":"00000 Cited by 0000","number-of-pages":"275","publisher":"PhD thesis, University of Cambridge, UK, 275 pp","source":"nora.nerc.ac.uk","title":"Antarctic lithosphere architecture and evolution: Direct constraints from mantle xenoliths","title-short":"Antarctic lithosphere architecture and evolution","URL":"http://nora.nerc.ac.uk/502361/","author":[{"family":"Gibson","given":"Lydia C."}],"issued":{"date-parts":[["2012",5]]}}},{"id":3646,"uris":["http://zotero.org/users/88665/items/7SBRZPI2"],"uri":["http://zotero.org/users/88665/items/7SBRZPI2"],"itemData":{"id":3646,"type":"book","event-place":"PhD thesis, University of Cambridge, UK, 200 pp","number-of-pages":"200","publisher-place":"PhD thesis, University of Cambridge, UK, 200 pp","title":"The subcontinental lithospheric mantle evolution of the southern Gondwana margin","author":[{"family":"Rooks","given":"Eve"}],"issued":{"date-parts":[["2016"]]}}}],"schema":"https://github.com/citation-style-language/schema/raw/master/csl-citation.json"} </w:instrText>
      </w:r>
      <w:r w:rsidR="00DD4C1C" w:rsidRPr="004E4764">
        <w:fldChar w:fldCharType="separate"/>
      </w:r>
      <w:r w:rsidR="00802606" w:rsidRPr="00802606">
        <w:t>(Kempton et al., 1999a; Kempton et al., 1999b; Ross, 2008; Gibson, 2012; Rooks, 2016)</w:t>
      </w:r>
      <w:r w:rsidR="00DD4C1C" w:rsidRPr="004E4764">
        <w:fldChar w:fldCharType="end"/>
      </w:r>
      <w:r w:rsidR="00CD7954">
        <w:t xml:space="preserve">, and </w:t>
      </w:r>
      <w:r w:rsidR="00365690" w:rsidRPr="00661AE1">
        <w:t xml:space="preserve">allowed us to </w:t>
      </w:r>
      <w:r w:rsidR="00CD7954">
        <w:t>select</w:t>
      </w:r>
      <w:r w:rsidR="00365690" w:rsidRPr="00661AE1">
        <w:t xml:space="preserve"> material with compositions representative of typical </w:t>
      </w:r>
      <w:r w:rsidR="00ED1612">
        <w:t>“</w:t>
      </w:r>
      <w:r w:rsidR="00A85FEF">
        <w:t>off-craton</w:t>
      </w:r>
      <w:r w:rsidR="00ED1612">
        <w:t>”</w:t>
      </w:r>
      <w:r w:rsidR="00A85FEF">
        <w:t xml:space="preserve"> </w:t>
      </w:r>
      <w:r w:rsidR="00ED1612">
        <w:t xml:space="preserve">sub-continental </w:t>
      </w:r>
      <w:r w:rsidR="00365690" w:rsidRPr="00661AE1">
        <w:t>lithospheric mantle</w:t>
      </w:r>
      <w:r w:rsidR="00322190">
        <w:t xml:space="preserve"> </w:t>
      </w:r>
      <w:r w:rsidR="00322190">
        <w:fldChar w:fldCharType="begin"/>
      </w:r>
      <w:r w:rsidR="00322190">
        <w:instrText xml:space="preserve"> ADDIN ZOTERO_ITEM CSL_CITATION {"citationID":"KF6aOjrW","properties":{"formattedCitation":"(Pearson et al., 2003)","plainCitation":"(Pearson et al., 2003)","noteIndex":0},"citationItems":[{"id":4285,"uris":["http://zotero.org/users/88665/items/4HEWNTGH"],"uri":["http://zotero.org/users/88665/items/4HEWNTGH"],"itemData":{"id":4285,"type":"chapter","container-title":"Treatise on Geochemistry","event-place":"Oxford","ISBN":"978-0-08-043751-4","note":"DOI: 10.1016/B0-08-043751-6/02005-3","page":"171-275","publisher":"Pergamon","publisher-place":"Oxford","source":"ScienceDirect","title":"2.05 - Mantle Samples Included in Volcanic Rocks: Xenoliths and Diamonds","title-short":"2.05 - Mantle Samples Included in Volcanic Rocks","URL":"http://www.sciencedirect.com/science/article/pii/B0080437516020053","author":[{"family":"Pearson","given":"D. G."},{"family":"Canil","given":"D."},{"family":"Shirey","given":"S. B."}],"editor":[{"family":"Holland","given":"Heinrich D."},{"family":"Turekian","given":"Karl K."}],"accessed":{"date-parts":[["2019",8,2]]},"issued":{"date-parts":[["2003",1,1]]}}}],"schema":"https://github.com/citation-style-language/schema/raw/master/csl-citation.json"} </w:instrText>
      </w:r>
      <w:r w:rsidR="00322190">
        <w:fldChar w:fldCharType="separate"/>
      </w:r>
      <w:r w:rsidR="00322190" w:rsidRPr="00322190">
        <w:t>(Pearson et al., 2003)</w:t>
      </w:r>
      <w:r w:rsidR="00322190">
        <w:fldChar w:fldCharType="end"/>
      </w:r>
      <w:r w:rsidR="00365690" w:rsidRPr="00661AE1">
        <w:t xml:space="preserve">. </w:t>
      </w:r>
      <w:r w:rsidR="00417DD4" w:rsidRPr="00661AE1">
        <w:t xml:space="preserve">We </w:t>
      </w:r>
      <w:r w:rsidR="00CD7954">
        <w:t>focused on</w:t>
      </w:r>
      <w:r w:rsidR="00417DD4" w:rsidRPr="00661AE1">
        <w:t xml:space="preserve"> samples with fresh, compositionally-homogeneous grains of nominally-volatile-free silicate phases (based on core-to-rim zonation profiles across individual grains</w:t>
      </w:r>
      <w:r w:rsidR="00417DD4">
        <w:t xml:space="preserve">) and </w:t>
      </w:r>
      <w:r w:rsidR="00390CCB">
        <w:t xml:space="preserve">in </w:t>
      </w:r>
      <w:r w:rsidR="00417DD4">
        <w:t xml:space="preserve">which there is no </w:t>
      </w:r>
      <w:r w:rsidR="00ED1612">
        <w:t>optically-</w:t>
      </w:r>
      <w:r w:rsidR="00417DD4">
        <w:t>detectable exsolution</w:t>
      </w:r>
      <w:r w:rsidR="0079350D" w:rsidRPr="00661AE1">
        <w:t xml:space="preserve">. </w:t>
      </w:r>
      <w:r w:rsidR="00696BF9">
        <w:t>A</w:t>
      </w:r>
      <w:r w:rsidR="00413908">
        <w:t xml:space="preserve"> summary of mineralogy and modal abundances </w:t>
      </w:r>
      <w:r w:rsidR="00696BF9">
        <w:t xml:space="preserve">for each sample analysed for volatiles </w:t>
      </w:r>
      <w:r w:rsidR="00413908">
        <w:t xml:space="preserve">are presented in </w:t>
      </w:r>
      <w:r w:rsidR="00413908" w:rsidRPr="009B315C">
        <w:rPr>
          <w:b/>
        </w:rPr>
        <w:t>Table 1</w:t>
      </w:r>
      <w:r w:rsidR="00193C39">
        <w:rPr>
          <w:b/>
        </w:rPr>
        <w:t xml:space="preserve"> and Supplem</w:t>
      </w:r>
      <w:r w:rsidR="00D844EC">
        <w:rPr>
          <w:b/>
        </w:rPr>
        <w:t>entary Figures 2-4</w:t>
      </w:r>
      <w:r w:rsidR="00413908">
        <w:t>.</w:t>
      </w:r>
    </w:p>
    <w:p w14:paraId="6D02F74C" w14:textId="77777777" w:rsidR="007870E4" w:rsidRPr="00661AE1" w:rsidRDefault="007870E4" w:rsidP="00C20C0B">
      <w:pPr>
        <w:spacing w:line="480" w:lineRule="auto"/>
        <w:jc w:val="both"/>
      </w:pPr>
    </w:p>
    <w:p w14:paraId="726EC2A9" w14:textId="6BF36DA9" w:rsidR="007C12CF" w:rsidRPr="00AD729C" w:rsidRDefault="00646264" w:rsidP="00C20C0B">
      <w:pPr>
        <w:pStyle w:val="Heading1"/>
        <w:spacing w:line="480" w:lineRule="auto"/>
      </w:pPr>
      <w:r>
        <w:t>4</w:t>
      </w:r>
      <w:r w:rsidR="007C12CF" w:rsidRPr="004E4764">
        <w:t xml:space="preserve">. </w:t>
      </w:r>
      <w:r w:rsidR="007C12CF" w:rsidRPr="00D53B4C">
        <w:t>Summary</w:t>
      </w:r>
      <w:r w:rsidR="007C12CF" w:rsidRPr="00C44395">
        <w:t xml:space="preserve"> of analytical </w:t>
      </w:r>
      <w:r w:rsidR="00513C6C" w:rsidRPr="009E306E">
        <w:t>techniques</w:t>
      </w:r>
    </w:p>
    <w:p w14:paraId="37E2CD97" w14:textId="0AE5F51D" w:rsidR="00460C41" w:rsidRPr="00661AE1" w:rsidRDefault="00436569" w:rsidP="00C20C0B">
      <w:pPr>
        <w:spacing w:line="480" w:lineRule="auto"/>
        <w:jc w:val="both"/>
      </w:pPr>
      <w:r w:rsidRPr="00661AE1">
        <w:t>F</w:t>
      </w:r>
      <w:r w:rsidR="003D7ECB" w:rsidRPr="00661AE1">
        <w:t>if</w:t>
      </w:r>
      <w:r w:rsidR="007E7E92" w:rsidRPr="00661AE1">
        <w:t xml:space="preserve">teen </w:t>
      </w:r>
      <w:r w:rsidR="00182822" w:rsidRPr="00661AE1">
        <w:t xml:space="preserve">mantle </w:t>
      </w:r>
      <w:r w:rsidR="00E07EA1" w:rsidRPr="00661AE1">
        <w:t xml:space="preserve">xenoliths </w:t>
      </w:r>
      <w:r w:rsidR="00621641" w:rsidRPr="00661AE1">
        <w:t xml:space="preserve">from </w:t>
      </w:r>
      <w:r w:rsidR="00E90E9D" w:rsidRPr="00661AE1">
        <w:t>southern</w:t>
      </w:r>
      <w:r w:rsidR="00621641" w:rsidRPr="00661AE1">
        <w:t xml:space="preserve"> Patagonia and </w:t>
      </w:r>
      <w:r w:rsidR="00FC0A49">
        <w:t xml:space="preserve">the </w:t>
      </w:r>
      <w:r w:rsidR="00621641" w:rsidRPr="00661AE1">
        <w:t xml:space="preserve">Antarctic Peninsula </w:t>
      </w:r>
      <w:r w:rsidR="00E07EA1" w:rsidRPr="00661AE1">
        <w:t>were crushed and sieved</w:t>
      </w:r>
      <w:r w:rsidR="007E7E92" w:rsidRPr="00661AE1">
        <w:t>,</w:t>
      </w:r>
      <w:r w:rsidR="00E07EA1" w:rsidRPr="00661AE1">
        <w:t xml:space="preserve"> prior to hand-picking of </w:t>
      </w:r>
      <w:r w:rsidR="0076457B" w:rsidRPr="00661AE1">
        <w:t>optically-clean</w:t>
      </w:r>
      <w:r w:rsidR="00B74D66" w:rsidRPr="00661AE1">
        <w:t xml:space="preserve"> o</w:t>
      </w:r>
      <w:r w:rsidR="00190670" w:rsidRPr="00661AE1">
        <w:t xml:space="preserve">livine, </w:t>
      </w:r>
      <w:r w:rsidR="00E07EA1" w:rsidRPr="00661AE1">
        <w:t>orthopyroxene and clinopyroxene</w:t>
      </w:r>
      <w:r w:rsidR="00B22DA1">
        <w:t>.</w:t>
      </w:r>
      <w:r w:rsidR="005E7FC6" w:rsidRPr="00661AE1">
        <w:t xml:space="preserve"> </w:t>
      </w:r>
      <w:r w:rsidR="00B22DA1">
        <w:t>T</w:t>
      </w:r>
      <w:r w:rsidR="00053246" w:rsidRPr="00661AE1">
        <w:t xml:space="preserve">he amount of </w:t>
      </w:r>
      <w:r w:rsidR="00CA261A" w:rsidRPr="00661AE1">
        <w:t>water and halogens</w:t>
      </w:r>
      <w:r w:rsidR="00053246" w:rsidRPr="00661AE1">
        <w:t xml:space="preserve"> dissolved in </w:t>
      </w:r>
      <w:r w:rsidR="0010422B">
        <w:t xml:space="preserve">pyrope </w:t>
      </w:r>
      <w:r w:rsidR="00053246" w:rsidRPr="00661AE1">
        <w:t>garnet</w:t>
      </w:r>
      <w:r w:rsidR="000D2B97" w:rsidRPr="00661AE1">
        <w:t xml:space="preserve"> and spinel</w:t>
      </w:r>
      <w:r w:rsidR="00053246" w:rsidRPr="00661AE1">
        <w:t xml:space="preserve"> </w:t>
      </w:r>
      <w:r w:rsidR="00D832D2" w:rsidRPr="00661AE1">
        <w:t xml:space="preserve">has </w:t>
      </w:r>
      <w:r w:rsidR="00ED1612">
        <w:t>previously</w:t>
      </w:r>
      <w:r w:rsidR="00ED1612" w:rsidRPr="00661AE1">
        <w:t xml:space="preserve"> </w:t>
      </w:r>
      <w:r w:rsidR="00D832D2" w:rsidRPr="00661AE1">
        <w:t>been shown to be</w:t>
      </w:r>
      <w:r w:rsidR="00053246" w:rsidRPr="00661AE1">
        <w:t xml:space="preserve"> very low </w:t>
      </w:r>
      <w:r w:rsidR="00053246" w:rsidRPr="004E4764">
        <w:fldChar w:fldCharType="begin"/>
      </w:r>
      <w:r w:rsidR="008E0CCC">
        <w:instrText xml:space="preserve"> ADDIN ZOTERO_ITEM CSL_CITATION {"citationID":"0Fope5qD","properties":{"formattedCitation":"(Bell et al., 1995; Grant et al., 2007; Bizimis and Peslier, 2015; Beyer et al., 2016; Demouchy et al., 2017)","plainCitation":"(Bell et al., 1995; Grant et al., 2007; Bizimis and Peslier, 2015; Beyer et al., 2016; Demouchy et al., 2017)","noteIndex":0},"citationItems":[{"id":4194,"uris":["http://zotero.org/users/88665/items/26SCD5VD"],"uri":["http://zotero.org/users/88665/items/26SCD5VD"],"itemData":{"id":4194,"type":"article-journal","abstract":"To calibrate infrared (IR) spectroscopy for quantitative analysis of trace structural OH in specific minerals, we have determined concentrations of H in pure separates of mantle derived pyrope garnet (56 ± 6 ppm H_2O by weight), augite (268 ± 8, ppm H_2O, and enstatite (217 ± 11 ppm H_2O) by manometry after heating the samples and extracting H_2 gas under vacuum. IR spectroscopy confirmed the presence of intrinsic OH in these samples prior to extraction and indicated between 86 and 100% removal of H during the extraction procedure. The integral specific absorption coefficients of 1.39 ± 0.14(lσ),7.09\n± 0.32, and 15.6 ± 0.94 /(ppm H_2O.cm^2) for pyrope, augite, and enstatite, respectively, allow precise spectroscopic determination of the OH content of upper mantle garnets and pyroxenes to concentration levels of a few parts per million. Uncertainties in accuracy depend on mineral composition and characteristics of the OH absorption spectrum and are estimated to range between ± 10 and ± 50%.","container-title":"American Mineralogist","ISSN":"0003-004X","page":"465-474","source":"authors.library.caltech.edu","title":"Quantitative analysis of trace OH in garnet and pyroxenes","volume":"80","author":[{"family":"Bell","given":"David R."},{"family":"Lhinger","given":"Phillip D."},{"family":"Rossman","given":"George R."}],"issued":{"date-parts":[["1995",5]]}}},{"id":3663,"uris":["http://zotero.org/users/88665/items/8MQ84VCZ"],"uri":["http://zotero.org/users/88665/items/8MQ84VCZ"],"itemData":{"id":3663,"type":"article-journal","abstract":"In this experimental study we obtained new mineral/melt (DF=cmineral/cmelt) partitioning data for fluorine in a bimineralic hydrous eclogite under Earth's upper mantle conditions (4–6GPa, 1460–1550°C). Omphacitic clinopyroxene displays mineral/melt partition coefficients between DF=0.056±0.005 and DF=0.074±0.001. Garnet partition coefficients are consistently lower with an average partition coefficient of DF=0.016±0.003. We found that omphacitic clinopyroxene is the dominant nominally fluorine-free phase in subducted oceanic crust and hence omphacite is expected to be the major fluorine carrier during subduction of crust into the deeper mantle. Together with previously obtained partitioning data we propose that the oceanic crust can host more fluorine per mass unit than the underlying depleted oceanic mantle. If the majority of entrained fluorine is recycled into Earth's transition zone it is possible that the fluorine is either incorporated into high-pressure transition zone phases or released during high-pressure phase transformations and forming fluorine-rich small degree partial melts. Both scenarios are supported by elevated fluorine concentration in ocean island basalts, kimberlites, and lamproites. Combining the fluorine partitioning data with water partitioning data yields a plausible process to generate lamproitic magmas with a high F/H2O ratio. The enrichment of fluorine relative to H2O is triggered by multiple episodes of small degree melting that deplete the residual more in H2O than in fluorine, caused by the approximately three times smaller mineral-melt partition coefficients of H2O.","container-title":"Chemical Geology","DOI":"10.1016/j.chemgeo.2016.05.032","ISSN":"0009-2541","journalAbbreviation":"Chemical Geology","page":"88-97","source":"ScienceDirect","title":"Fluorine partitioning between eclogitic garnet, clinopyroxene, and melt at upper mantle conditions","volume":"437","author":[{"family":"Beyer","given":"C."},{"family":"Klemme","given":"S."},{"family":"Grützner","given":"T."},{"family":"Ireland","given":"T. R."},{"family":"Magee","given":"C. W."},{"family":"Frost","given":"D. J."}],"issued":{"date-parts":[["2016",10,25]]}}},{"id":3162,"uris":["http://zotero.org/users/88665/items/2VGDK5GX"],"uri":["http://zotero.org/users/88665/items/2VGDK5GX"],"itemData":{"id":3162,"type":"article-journal","abstract":"Mapping the compositional variability of the Earth's mantle is fundamental for understanding mantle dynamics, crustal recycling and melt generation. The geochemistry of intraplate oceanic basalts in particular points to a heterogeneous convecting mantle, often explained by variable proportions of fertile (pyroxenite, eclogite) and depleted (peridotitic) domains. A key parameter necessary to constrain the Earth's deep processes is water because it influences melting and affects the physical properties of the Earth's mantle. However, there are only a few direct water determinations on samples of the oceanic mantle. Here we report water concentrations by FTIR on garnet pyroxenite xenoliths from Salt Lake Crater vent, Oahu, Hawaii, in order to constrain the role of lithological variability in the distribution of water in the upper oceanic mantle. The clinopyroxenes have 260 to 576 ppm H2O and the orthopyroxenes about half these amounts. Curiously, garnets have water concentrations below detection limits (&amp;lt; 0.5 ppm H2O). Calculated melts in equilibrium with the pyroxenes have, on average, 2.3 ± 0.4 wt.% H2O and 243 ± 83 H2O/Ce. These H2O concentrations are similar to estimates for the H2O concentration of primary magmas of the rejuvenated Hawaiian stage volcanism, and 3 to 5 times higher than primary magmas of the shield stage. This supports earlier conclusions where the pyroxenites are interpreted as high pressure cumulates from alkali magmas similar to the rejuvenated stage magmas within the Pacific lithosphere. The reconstructed bulk pyroxenites have 211 to 467 ppm H2O, similar to estimates for the source of Hawaiian magmas and two to four times higher than estimates for the depleted MORB source (~ 100 ppm H2O). Despite their high water concentrations, however, the bulk pyroxenites have much lower H2O/Ce ratios than the MORB source (35–115 vs. 150–210, respectively) or Hawaiian magma sources (&amp;gt; 160). The discrepancy between the low H2O/Ce ratios in the bulk pyroxenites and high H2O/Ce in the equilibrium melts is consistent with experimental data that predicts 4 to 5 times higher partition coefficient for Ce than H in these pyroxenes. Therefore, the process of high-pressure crystallization in the oceanic lithosphere will create pyroxene-rich lithologies which are paradoxically, both “wet” (i.e., high H2O concentrations) and “dry” (low H2O/Ce ratios) compared to the source of their parental melts. Phlogopite is present as a trace phase in these rocks (&amp;lt; 0.4% modal) with relatively minor contribution on the bulk water contents. The coupled high H2O, low H2O/Ce ratios of the pyroxenites are similar to the inferred source of several Enriched Mantle (EM)-type Ocean Island Basalts (OIB), like the Samoa, Pitcairn, Society, and Kergulen hot spots, as well as the EM-1 type Koolau endmember of the Hawaiian magmas. We suggest that recycling of pyroxenite-bearing oceanic lithosphere can explain the relatively high H2O and low H2O/Ce ratios of some EM-type OIB. Our data suggests a link between lithological variability and heterogeneous water distribution in the upper mantle.","container-title":"Chemical Geology","DOI":"10.1016/j.chemgeo.2015.01.008","ISSN":"0009-2541","journalAbbreviation":"Chemical Geology","note":"00019","page":"61-75","source":"ScienceDirect","title":"Water in Hawaiian garnet pyroxenites: Implications for water heterogeneity in the mantle","title-short":"Water in Hawaiian garnet pyroxenites","volume":"397","author":[{"family":"Bizimis","given":"Michael"},{"family":"Peslier","given":"Anne H."}],"issued":{"date-parts":[["2015",3,18]]}}},{"id":4139,"uris":["http://zotero.org/users/88665/items/84UCL6WI"],"uri":["http://zotero.org/users/88665/items/84UCL6WI"],"itemData":{"id":4139,"type":"article-journal","container-title":"American Mineralogist","DOI":"10.2138/am-2017-6089","ISSN":"0003-004X","issue":"9","journalAbbreviation":"American Mineralogist","language":"en","page":"1822-1831","source":"pubs.geoscienceworld.org","title":"Subsolidus hydrogen partitioning between nominally anhydrous minerals in garnet-bearing peridotite","volume":"102","author":[{"family":"Demouchy","given":"Sylvie"},{"family":"Shcheka","given":"Svyatoslav"},{"family":"Denis","given":"Carole M. M."},{"family":"Thoraval","given":"Catherine"}],"issued":{"date-parts":[["2017",9,1]]}}},{"id":3720,"uris":["http://zotero.org/users/88665/items/BMAJKPQ9"],"uri":["http://zotero.org/users/88665/items/BMAJKPQ9"],"itemData":{"id":3720,"type":"article-journal","abstract":"The speciation and amount of water dissolved in nominally anhydrous silicates comprising eight different mantle xenoliths has been quantified using synchrotron micro-FTIR spectroscopy. Samples studied are from six geographic localities and represent a cross-section of the major upper mantle lithologies from a variety of tectonic settings. Clinopyroxene contains between 342 and 413 ppm H2O. Orthopyroxene, olivine and garnet contain 169–201, 3–54 and 0 to &lt;3 ppm H2O, respectively. Pyroxenes water contents and the distribution of water between ortho- and clinopyroxene is identical regardless of sample mineralogy (D water cpx/opx = 2.1 ± 0.1). The total water contents of each xenolith are remarkably similar (113 ± 14 ppm H2O). High-resolution spectroscopic traverses show that the concentration and speciation of hydrous defects dissolved in each phase are spatially homogeneous within individual crystals and identical in different crystals interspersed throughout the xenolith. These results suggest that the amount of water dissolved in the silicate phases is in partial equilibrium with the transporting melt. Other features indicate that xenoliths have also preserved OH signatures of equilibrium with the mantle source region: Hydroxyl stretching modes in clinopyroxene show that garnet lherzolites re-equilibrated under more reducing conditions than spinel lherzolites. The distribution of water between pyroxenes and olivine differs according to xenolith mineralogy. The distribution of water between clinopyroxene and olivine from garnet peridotites (D water cpx/oliv (gnt) = 22.2 ± 24.1) is a factor of four greater than mineral pairs from spinel-bearing xenoliths (D water cpx/oliv (sp) = 88.1 ± 47.8). Such an increase in olivine water contents at the spinel to garnet transition is likely a global phenomenon and this discontinuity could lead to a reduction of the upper mantle viscosity by 0.2–0.7 log units and a reduction of its electrical resistivity by a factor of 0.5–0.8 log units.","container-title":"Contributions to Mineralogy and Petrology","DOI":"10.1007/s00410-006-0177-1","ISSN":"0010-7999, 1432-0967","issue":"1","journalAbbreviation":"Contributions to Mineralogy and Petrology","language":"en","page":"15-34","source":"link.springer.com","title":"Water partitioning between mantle minerals from peridotite xenoliths","volume":"154","author":[{"family":"Grant","given":"Kevin"},{"family":"Ingrin","given":"Jannick"},{"family":"Lorand","given":"Jean Pierre"},{"family":"Dumas","given":"Paul"}],"issued":{"date-parts":[["2007",7,1]]}}}],"schema":"https://github.com/citation-style-language/schema/raw/master/csl-citation.json"} </w:instrText>
      </w:r>
      <w:r w:rsidR="00053246" w:rsidRPr="004E4764">
        <w:fldChar w:fldCharType="separate"/>
      </w:r>
      <w:r w:rsidR="00636367">
        <w:t>(Bell et al., 1995; Grant et al., 2007; Bizimis and Peslier, 2015; Beyer et al., 2016; Demouchy et al., 2017)</w:t>
      </w:r>
      <w:r w:rsidR="00053246" w:rsidRPr="004E4764">
        <w:fldChar w:fldCharType="end"/>
      </w:r>
      <w:r w:rsidR="00214B92">
        <w:t>; because of this and a lack of SIMS standards</w:t>
      </w:r>
      <w:r w:rsidR="00633DCB">
        <w:t xml:space="preserve"> </w:t>
      </w:r>
      <w:r w:rsidR="00AA026D" w:rsidRPr="00661AE1">
        <w:t>t</w:t>
      </w:r>
      <w:r w:rsidR="00053246" w:rsidRPr="00661AE1">
        <w:t>h</w:t>
      </w:r>
      <w:r w:rsidR="000D2B97" w:rsidRPr="00661AE1">
        <w:t>ese</w:t>
      </w:r>
      <w:r w:rsidR="00053246" w:rsidRPr="00661AE1">
        <w:t xml:space="preserve"> phase</w:t>
      </w:r>
      <w:r w:rsidR="000D2B97" w:rsidRPr="00661AE1">
        <w:t>s</w:t>
      </w:r>
      <w:r w:rsidR="00053246" w:rsidRPr="00661AE1">
        <w:t xml:space="preserve"> </w:t>
      </w:r>
      <w:r w:rsidR="00F01261" w:rsidRPr="00661AE1">
        <w:t xml:space="preserve">were not analysed </w:t>
      </w:r>
      <w:r w:rsidR="000D2B97" w:rsidRPr="00661AE1">
        <w:t>for volatiles</w:t>
      </w:r>
      <w:r w:rsidR="00053246" w:rsidRPr="00661AE1">
        <w:t xml:space="preserve">. </w:t>
      </w:r>
      <w:r w:rsidR="008774AC" w:rsidRPr="00661AE1">
        <w:t>The</w:t>
      </w:r>
      <w:r w:rsidR="00053246" w:rsidRPr="00661AE1">
        <w:t xml:space="preserve"> selected</w:t>
      </w:r>
      <w:r w:rsidR="008774AC" w:rsidRPr="00661AE1">
        <w:t xml:space="preserve"> </w:t>
      </w:r>
      <w:r w:rsidR="00C933A1" w:rsidRPr="00661AE1">
        <w:t xml:space="preserve">grains </w:t>
      </w:r>
      <w:r w:rsidR="005E7FC6" w:rsidRPr="00661AE1">
        <w:t xml:space="preserve">of olivine, orthopyroxene and clinopyroxene </w:t>
      </w:r>
      <w:r w:rsidR="008774AC" w:rsidRPr="00661AE1">
        <w:t xml:space="preserve">were </w:t>
      </w:r>
      <w:r w:rsidR="00621641" w:rsidRPr="00661AE1">
        <w:t xml:space="preserve">polished and </w:t>
      </w:r>
      <w:r w:rsidR="00AE121E" w:rsidRPr="00661AE1">
        <w:t>mounted in indium</w:t>
      </w:r>
      <w:r w:rsidR="00AF0814" w:rsidRPr="00661AE1">
        <w:t xml:space="preserve"> </w:t>
      </w:r>
      <w:r w:rsidR="00DB254C" w:rsidRPr="00661AE1">
        <w:t xml:space="preserve">before </w:t>
      </w:r>
      <w:r w:rsidR="001B6BA0" w:rsidRPr="009B315C">
        <w:rPr>
          <w:i/>
        </w:rPr>
        <w:t>in-situ</w:t>
      </w:r>
      <w:r w:rsidR="001B6BA0" w:rsidRPr="00661AE1">
        <w:t xml:space="preserve"> </w:t>
      </w:r>
      <w:r w:rsidR="00446533" w:rsidRPr="00661AE1">
        <w:t>analys</w:t>
      </w:r>
      <w:r w:rsidR="00621641" w:rsidRPr="00661AE1">
        <w:t xml:space="preserve">is of </w:t>
      </w:r>
      <w:r w:rsidR="00190670" w:rsidRPr="00661AE1">
        <w:t xml:space="preserve">H, </w:t>
      </w:r>
      <w:r w:rsidR="00414398" w:rsidRPr="00661AE1">
        <w:t>F,</w:t>
      </w:r>
      <w:r w:rsidR="00414398">
        <w:t xml:space="preserve"> </w:t>
      </w:r>
      <w:r w:rsidR="00190670" w:rsidRPr="00661AE1">
        <w:t xml:space="preserve">Cl, Li and B </w:t>
      </w:r>
      <w:r w:rsidR="00B74D66" w:rsidRPr="00661AE1">
        <w:t xml:space="preserve">on a Cameca </w:t>
      </w:r>
      <w:r w:rsidR="00AF3D78">
        <w:t>IMS</w:t>
      </w:r>
      <w:r w:rsidR="00B74D66" w:rsidRPr="00661AE1">
        <w:t xml:space="preserve">-4f </w:t>
      </w:r>
      <w:r w:rsidR="00361997" w:rsidRPr="00661AE1">
        <w:t xml:space="preserve">SIMS </w:t>
      </w:r>
      <w:r w:rsidR="00B74D66" w:rsidRPr="009B315C">
        <w:t xml:space="preserve">at the </w:t>
      </w:r>
      <w:r w:rsidR="000A487E" w:rsidRPr="00661AE1">
        <w:t xml:space="preserve">Edinburgh </w:t>
      </w:r>
      <w:r w:rsidR="00260BFE">
        <w:t>Ion Microprobe Facility</w:t>
      </w:r>
      <w:r w:rsidR="00687CE5">
        <w:t xml:space="preserve"> (UK)</w:t>
      </w:r>
      <w:r w:rsidR="00B74D66" w:rsidRPr="00661AE1">
        <w:t>.</w:t>
      </w:r>
      <w:r w:rsidR="00AB3397">
        <w:t xml:space="preserve"> </w:t>
      </w:r>
      <w:r w:rsidR="003D7ECB" w:rsidRPr="00661AE1">
        <w:t>Hydrogen</w:t>
      </w:r>
      <w:r w:rsidR="006C7D3E" w:rsidRPr="00661AE1">
        <w:t xml:space="preserve"> </w:t>
      </w:r>
      <w:r w:rsidR="006C7D3E" w:rsidRPr="00661AE1">
        <w:lastRenderedPageBreak/>
        <w:t xml:space="preserve">concentrations in clinopyroxene and orthopyroxene </w:t>
      </w:r>
      <w:r w:rsidR="000A487E" w:rsidRPr="00661AE1">
        <w:t xml:space="preserve">were calculated using </w:t>
      </w:r>
      <w:r w:rsidR="00E05A36" w:rsidRPr="00661AE1">
        <w:t xml:space="preserve">corresponding </w:t>
      </w:r>
      <w:r w:rsidR="00897190" w:rsidRPr="00661AE1">
        <w:t>refer</w:t>
      </w:r>
      <w:r w:rsidR="004F1F93" w:rsidRPr="00661AE1">
        <w:t>en</w:t>
      </w:r>
      <w:r w:rsidR="00897190" w:rsidRPr="00661AE1">
        <w:t>c</w:t>
      </w:r>
      <w:r w:rsidR="004F1F93" w:rsidRPr="00661AE1">
        <w:t>e</w:t>
      </w:r>
      <w:r w:rsidR="00897190" w:rsidRPr="00661AE1">
        <w:t xml:space="preserve"> </w:t>
      </w:r>
      <w:r w:rsidR="00E05A36" w:rsidRPr="00661AE1">
        <w:t>mineral</w:t>
      </w:r>
      <w:r w:rsidR="004F1F93" w:rsidRPr="00661AE1">
        <w:t>s</w:t>
      </w:r>
      <w:r w:rsidR="000A487E" w:rsidRPr="00661AE1">
        <w:t xml:space="preserve"> from </w:t>
      </w:r>
      <w:r w:rsidR="006C7D3E" w:rsidRPr="00661AE1">
        <w:t xml:space="preserve">Kumamoto et al. </w:t>
      </w:r>
      <w:r w:rsidR="00F41504" w:rsidRPr="009B315C">
        <w:fldChar w:fldCharType="begin"/>
      </w:r>
      <w:r w:rsidR="008E0CCC">
        <w:instrText xml:space="preserve"> ADDIN ZOTERO_ITEM CSL_CITATION {"citationID":"xWKBCPPH","properties":{"formattedCitation":"(2017)","plainCitation":"(2017)","noteIndex":0},"citationItems":[{"id":3782,"uris":["http://zotero.org/users/88665/items/4NREKIMK"],"uri":["http://zotero.org/users/88665/items/4NREKIMK"],"itemData":{"id":3782,"type":"article-journal","container-title":"American Mineralogist","DOI":"10.2138/am-2017-5863","ISSN":"0003-004X","issue":"3","journalAbbreviation":"American Mineralogist","language":"en","page":"537-547","source":"pubs.geoscienceworld.org","title":"New SIMS reference materials for measuring water in upper mantle minerals","volume":"102","author":[{"family":"Kumamoto","given":"Kathryn M."},{"family":"Warren","given":"Jessica M."},{"family":"Hauri","given":"Erik H."}],"issued":{"date-parts":[["2017",3,1]]}},"suppress-author":true}],"schema":"https://github.com/citation-style-language/schema/raw/master/csl-citation.json"} </w:instrText>
      </w:r>
      <w:r w:rsidR="00F41504" w:rsidRPr="009B315C">
        <w:fldChar w:fldCharType="separate"/>
      </w:r>
      <w:r w:rsidR="00636367">
        <w:t>(2017)</w:t>
      </w:r>
      <w:r w:rsidR="00F41504" w:rsidRPr="009B315C">
        <w:fldChar w:fldCharType="end"/>
      </w:r>
      <w:r w:rsidR="000A487E" w:rsidRPr="00661AE1">
        <w:t xml:space="preserve">. </w:t>
      </w:r>
      <w:r w:rsidR="00460C41" w:rsidRPr="00661AE1">
        <w:t xml:space="preserve">The impact of matrix effects due to the use of basaltic glasses as standards </w:t>
      </w:r>
      <w:r w:rsidR="000A487E" w:rsidRPr="00661AE1">
        <w:t xml:space="preserve">for </w:t>
      </w:r>
      <w:r w:rsidR="003E387A" w:rsidRPr="00661AE1">
        <w:t>halogens</w:t>
      </w:r>
      <w:r w:rsidR="000A487E" w:rsidRPr="00661AE1">
        <w:t xml:space="preserve"> </w:t>
      </w:r>
      <w:r w:rsidR="00DD6CEB">
        <w:t>based on the same set of reference minerals was found</w:t>
      </w:r>
      <w:r w:rsidR="00DD6CEB" w:rsidRPr="00661AE1">
        <w:t xml:space="preserve"> to be </w:t>
      </w:r>
      <w:r w:rsidR="00DD6CEB">
        <w:t>negligible</w:t>
      </w:r>
      <w:r w:rsidR="000A487E" w:rsidRPr="00661AE1">
        <w:t xml:space="preserve">. </w:t>
      </w:r>
      <w:r w:rsidR="00281F63" w:rsidRPr="00661AE1">
        <w:t xml:space="preserve">Analyses were mainly undertaken at crystal cores but those from corresponding rims </w:t>
      </w:r>
      <w:r w:rsidR="00FC27A3">
        <w:t xml:space="preserve">deviated </w:t>
      </w:r>
      <w:r w:rsidR="006F1B3A">
        <w:t>less than 85% with respect to cores</w:t>
      </w:r>
      <w:r w:rsidR="00E05A36" w:rsidRPr="00661AE1">
        <w:t xml:space="preserve">. </w:t>
      </w:r>
      <w:r w:rsidR="001B175D">
        <w:rPr>
          <w:bCs/>
        </w:rPr>
        <w:t>Because h</w:t>
      </w:r>
      <w:r w:rsidR="001B175D">
        <w:t>ydrogen</w:t>
      </w:r>
      <w:r w:rsidR="001B175D" w:rsidRPr="00661AE1">
        <w:t xml:space="preserve"> is thought to </w:t>
      </w:r>
      <w:r w:rsidR="001B175D">
        <w:t>bond with one of the co-ordinating oxygens</w:t>
      </w:r>
      <w:r w:rsidR="00ED1612" w:rsidRPr="00ED1612">
        <w:t xml:space="preserve"> </w:t>
      </w:r>
      <w:r w:rsidR="00ED1612" w:rsidRPr="00661AE1">
        <w:t>in olivine and pyroxenes</w:t>
      </w:r>
      <w:r w:rsidR="00ED1612">
        <w:t>,</w:t>
      </w:r>
      <w:r w:rsidR="001B175D">
        <w:t xml:space="preserve"> and form</w:t>
      </w:r>
      <w:r w:rsidR="001B175D" w:rsidRPr="00661AE1">
        <w:t xml:space="preserve"> hydroxyl ions (OH</w:t>
      </w:r>
      <w:r w:rsidR="001B175D" w:rsidRPr="00661AE1">
        <w:rPr>
          <w:vertAlign w:val="superscript"/>
        </w:rPr>
        <w:t>-</w:t>
      </w:r>
      <w:r w:rsidR="001B175D" w:rsidRPr="00661AE1">
        <w:t>)</w:t>
      </w:r>
      <w:r w:rsidR="00ED1612">
        <w:t>,</w:t>
      </w:r>
      <w:r w:rsidR="001B175D" w:rsidRPr="00905978">
        <w:t xml:space="preserve"> </w:t>
      </w:r>
      <w:r w:rsidR="001B175D">
        <w:t xml:space="preserve">we follow convention and express this as </w:t>
      </w:r>
      <w:r w:rsidR="00C5757D">
        <w:t>ppmw</w:t>
      </w:r>
      <w:r w:rsidR="001B175D">
        <w:t xml:space="preserve"> </w:t>
      </w:r>
      <w:r w:rsidR="001B175D" w:rsidRPr="00CB30EF">
        <w:t>H</w:t>
      </w:r>
      <w:r w:rsidR="001B175D" w:rsidRPr="00CB30EF">
        <w:rPr>
          <w:vertAlign w:val="subscript"/>
        </w:rPr>
        <w:t>2</w:t>
      </w:r>
      <w:r w:rsidR="001B175D" w:rsidRPr="00CB30EF">
        <w:t>O</w:t>
      </w:r>
      <w:r w:rsidR="001B175D" w:rsidRPr="00661AE1">
        <w:t>.</w:t>
      </w:r>
    </w:p>
    <w:p w14:paraId="2863BF33" w14:textId="4DB7DD9B" w:rsidR="00391BD0" w:rsidRPr="00661AE1" w:rsidRDefault="00190670" w:rsidP="00C20C0B">
      <w:pPr>
        <w:spacing w:line="480" w:lineRule="auto"/>
        <w:ind w:firstLine="360"/>
        <w:jc w:val="both"/>
      </w:pPr>
      <w:r w:rsidRPr="009B315C">
        <w:rPr>
          <w:i/>
        </w:rPr>
        <w:t>In-situ</w:t>
      </w:r>
      <w:r w:rsidRPr="00661AE1">
        <w:t xml:space="preserve"> analyses of major and trace element</w:t>
      </w:r>
      <w:r w:rsidR="003B3057" w:rsidRPr="00661AE1">
        <w:t xml:space="preserve"> concentrations in </w:t>
      </w:r>
      <w:r w:rsidR="00E05A36" w:rsidRPr="00661AE1">
        <w:t>co-existing</w:t>
      </w:r>
      <w:r w:rsidRPr="00661AE1">
        <w:t xml:space="preserve"> </w:t>
      </w:r>
      <w:r w:rsidR="003B6EB8" w:rsidRPr="00661AE1">
        <w:t xml:space="preserve">NVFMMs </w:t>
      </w:r>
      <w:r w:rsidRPr="00661AE1">
        <w:t xml:space="preserve">were </w:t>
      </w:r>
      <w:r w:rsidR="003B6EB8" w:rsidRPr="00661AE1">
        <w:t>determined</w:t>
      </w:r>
      <w:r w:rsidR="00AE2CBC" w:rsidRPr="00661AE1">
        <w:t xml:space="preserve"> </w:t>
      </w:r>
      <w:r w:rsidR="003B3057" w:rsidRPr="00661AE1">
        <w:t xml:space="preserve">by </w:t>
      </w:r>
      <w:r w:rsidRPr="00661AE1">
        <w:t xml:space="preserve">electron microprobe </w:t>
      </w:r>
      <w:r w:rsidR="003B3057" w:rsidRPr="00661AE1">
        <w:t xml:space="preserve">(Cameca SX100) </w:t>
      </w:r>
      <w:r w:rsidR="00967056" w:rsidRPr="00661AE1">
        <w:t xml:space="preserve">and </w:t>
      </w:r>
      <w:r w:rsidR="003B3057" w:rsidRPr="00661AE1">
        <w:t>laser ablation inductively-coupled mass spectrometry (</w:t>
      </w:r>
      <w:r w:rsidR="007327DB" w:rsidRPr="00661AE1">
        <w:t xml:space="preserve">New Wave 213 </w:t>
      </w:r>
      <w:r w:rsidRPr="00661AE1">
        <w:t>laser</w:t>
      </w:r>
      <w:r w:rsidR="00FC380A" w:rsidRPr="00661AE1">
        <w:t xml:space="preserve"> coupled to a</w:t>
      </w:r>
      <w:r w:rsidR="007327DB" w:rsidRPr="00661AE1">
        <w:t xml:space="preserve"> Perkin Elmer Elan 6500 </w:t>
      </w:r>
      <w:r w:rsidR="003B3057" w:rsidRPr="00661AE1">
        <w:t xml:space="preserve">for clinopyroxene and garnet, </w:t>
      </w:r>
      <w:r w:rsidR="001F436E" w:rsidRPr="00661AE1">
        <w:t>and an ESI</w:t>
      </w:r>
      <w:r w:rsidR="00A37751">
        <w:t xml:space="preserve"> </w:t>
      </w:r>
      <w:r w:rsidR="001F436E" w:rsidRPr="00661AE1">
        <w:t>193 laser coupled to a Perkin Elemer Nexion</w:t>
      </w:r>
      <w:r w:rsidR="003B3057" w:rsidRPr="00661AE1">
        <w:t xml:space="preserve"> for orthopyroxene)</w:t>
      </w:r>
      <w:r w:rsidR="001F436E" w:rsidRPr="00661AE1">
        <w:t xml:space="preserve"> </w:t>
      </w:r>
      <w:r w:rsidRPr="00661AE1">
        <w:t xml:space="preserve">in the Department of Earth Sciences at the University of Cambridge, UK. </w:t>
      </w:r>
      <w:r w:rsidR="00003CC9" w:rsidRPr="00661AE1">
        <w:t xml:space="preserve">Full </w:t>
      </w:r>
      <w:r w:rsidR="003D7ECB" w:rsidRPr="00661AE1">
        <w:t xml:space="preserve">descriptions </w:t>
      </w:r>
      <w:r w:rsidR="00003CC9" w:rsidRPr="00661AE1">
        <w:t xml:space="preserve">of sample preparation and analytical methods are given in the </w:t>
      </w:r>
      <w:r w:rsidR="00E05A36" w:rsidRPr="00AA3EF8">
        <w:rPr>
          <w:b/>
        </w:rPr>
        <w:t>Supplementary Material</w:t>
      </w:r>
      <w:r w:rsidR="00003CC9" w:rsidRPr="00661AE1">
        <w:t>.</w:t>
      </w:r>
      <w:r w:rsidR="004F1F93" w:rsidRPr="00661AE1">
        <w:t xml:space="preserve"> </w:t>
      </w:r>
      <w:r w:rsidR="009C3CED">
        <w:t xml:space="preserve">Mean analyses </w:t>
      </w:r>
      <w:r w:rsidR="009C3CED" w:rsidRPr="00661AE1">
        <w:t>of volatile</w:t>
      </w:r>
      <w:r w:rsidR="009C3CED">
        <w:t xml:space="preserve"> concentration</w:t>
      </w:r>
      <w:r w:rsidR="009C3CED" w:rsidRPr="00661AE1">
        <w:t>s together with major and trace element</w:t>
      </w:r>
      <w:r w:rsidR="009C3CED">
        <w:t>s</w:t>
      </w:r>
      <w:r w:rsidR="009C3CED" w:rsidRPr="00661AE1">
        <w:t xml:space="preserve"> </w:t>
      </w:r>
      <w:r w:rsidR="009C3CED">
        <w:t xml:space="preserve">of each sample are shown in </w:t>
      </w:r>
      <w:r w:rsidR="009C3CED" w:rsidRPr="00784762">
        <w:rPr>
          <w:b/>
        </w:rPr>
        <w:t>Table 2</w:t>
      </w:r>
      <w:r w:rsidR="009C3CED">
        <w:rPr>
          <w:b/>
        </w:rPr>
        <w:t xml:space="preserve">. </w:t>
      </w:r>
      <w:r w:rsidR="009C3CED">
        <w:t>I</w:t>
      </w:r>
      <w:r w:rsidR="004F1F93" w:rsidRPr="00661AE1">
        <w:t xml:space="preserve">ndividual measurements </w:t>
      </w:r>
      <w:r w:rsidR="009C3CED">
        <w:t xml:space="preserve">are </w:t>
      </w:r>
      <w:r w:rsidR="004F1F93" w:rsidRPr="00661AE1">
        <w:t xml:space="preserve">given in </w:t>
      </w:r>
      <w:r w:rsidR="00CE27DA" w:rsidRPr="009B315C">
        <w:rPr>
          <w:b/>
        </w:rPr>
        <w:t xml:space="preserve">Supplementary </w:t>
      </w:r>
      <w:r w:rsidR="00687CE5" w:rsidRPr="009B315C">
        <w:rPr>
          <w:b/>
        </w:rPr>
        <w:t>Table</w:t>
      </w:r>
      <w:r w:rsidR="004910A9">
        <w:rPr>
          <w:b/>
        </w:rPr>
        <w:t>s</w:t>
      </w:r>
      <w:r w:rsidR="00CE27DA" w:rsidRPr="009B315C">
        <w:rPr>
          <w:b/>
        </w:rPr>
        <w:t xml:space="preserve"> 1</w:t>
      </w:r>
      <w:r w:rsidR="004910A9">
        <w:rPr>
          <w:b/>
        </w:rPr>
        <w:t xml:space="preserve"> and 2</w:t>
      </w:r>
      <w:r w:rsidR="004F1F93" w:rsidRPr="00661AE1">
        <w:t>.</w:t>
      </w:r>
      <w:r w:rsidR="00413908">
        <w:t xml:space="preserve"> </w:t>
      </w:r>
    </w:p>
    <w:p w14:paraId="55C54615" w14:textId="635A9CEE" w:rsidR="00F55C48" w:rsidRPr="00661AE1" w:rsidRDefault="00F55C48" w:rsidP="00C20C0B">
      <w:pPr>
        <w:spacing w:line="480" w:lineRule="auto"/>
        <w:ind w:firstLine="720"/>
        <w:jc w:val="both"/>
      </w:pPr>
    </w:p>
    <w:p w14:paraId="1E23BA75" w14:textId="1EEAA04F" w:rsidR="00391BD0" w:rsidRPr="00C44395" w:rsidRDefault="00734BE9" w:rsidP="00C20C0B">
      <w:pPr>
        <w:pStyle w:val="Heading2"/>
        <w:spacing w:line="480" w:lineRule="auto"/>
      </w:pPr>
      <w:r>
        <w:t>5</w:t>
      </w:r>
      <w:r w:rsidR="00F55C48" w:rsidRPr="004E4764">
        <w:t xml:space="preserve">. </w:t>
      </w:r>
      <w:r w:rsidR="005623FE" w:rsidRPr="004E4764">
        <w:t>Volatile contents of nomina</w:t>
      </w:r>
      <w:r w:rsidR="005623FE" w:rsidRPr="00D53B4C">
        <w:t>lly-volatile-free mantle phases</w:t>
      </w:r>
    </w:p>
    <w:p w14:paraId="0FA0C58A" w14:textId="409E937A" w:rsidR="00F62331" w:rsidRPr="00C44395" w:rsidRDefault="00734BE9" w:rsidP="00C20C0B">
      <w:pPr>
        <w:pStyle w:val="Heading2"/>
        <w:spacing w:line="480" w:lineRule="auto"/>
      </w:pPr>
      <w:r>
        <w:t>5</w:t>
      </w:r>
      <w:r w:rsidR="00F62331" w:rsidRPr="00AD729C">
        <w:t>.1.</w:t>
      </w:r>
      <w:r w:rsidR="00F62331" w:rsidRPr="008D1E75">
        <w:t xml:space="preserve"> </w:t>
      </w:r>
      <w:r w:rsidR="00914BE5">
        <w:t>Water</w:t>
      </w:r>
      <w:r w:rsidR="00914BE5" w:rsidRPr="004E4764">
        <w:t xml:space="preserve"> </w:t>
      </w:r>
      <w:r w:rsidR="00F62331" w:rsidRPr="004E4764">
        <w:t xml:space="preserve">contents </w:t>
      </w:r>
    </w:p>
    <w:p w14:paraId="1C18FB8C" w14:textId="5E56B5BC" w:rsidR="008F028D" w:rsidRPr="00661AE1" w:rsidRDefault="00B43C2A" w:rsidP="00C20C0B">
      <w:pPr>
        <w:spacing w:line="480" w:lineRule="auto"/>
        <w:jc w:val="both"/>
      </w:pPr>
      <w:r w:rsidRPr="00661AE1">
        <w:t xml:space="preserve">Our new </w:t>
      </w:r>
      <w:r w:rsidR="00391BD0" w:rsidRPr="00661AE1">
        <w:t xml:space="preserve">SIMS </w:t>
      </w:r>
      <w:r w:rsidR="00371580" w:rsidRPr="00661AE1">
        <w:t xml:space="preserve">analyses </w:t>
      </w:r>
      <w:r w:rsidR="00391BD0" w:rsidRPr="00661AE1">
        <w:t xml:space="preserve">show that </w:t>
      </w:r>
      <w:r w:rsidR="004A4110" w:rsidRPr="00661AE1">
        <w:t xml:space="preserve">olivines </w:t>
      </w:r>
      <w:r w:rsidR="00E95171" w:rsidRPr="00661AE1">
        <w:t>in</w:t>
      </w:r>
      <w:r w:rsidR="00391BD0" w:rsidRPr="00661AE1">
        <w:t xml:space="preserve"> </w:t>
      </w:r>
      <w:r w:rsidR="00ED1612">
        <w:t>“</w:t>
      </w:r>
      <w:r w:rsidR="0012188B" w:rsidRPr="00661AE1">
        <w:t xml:space="preserve">off </w:t>
      </w:r>
      <w:r w:rsidR="00ED1612" w:rsidRPr="00661AE1">
        <w:t>craton</w:t>
      </w:r>
      <w:r w:rsidR="00ED1612">
        <w:t>”</w:t>
      </w:r>
      <w:r w:rsidR="00ED1612" w:rsidRPr="00661AE1">
        <w:t xml:space="preserve"> </w:t>
      </w:r>
      <w:r w:rsidR="00AE121E" w:rsidRPr="00661AE1">
        <w:t>mantle xenoliths</w:t>
      </w:r>
      <w:r w:rsidR="00391BD0" w:rsidRPr="00661AE1">
        <w:t xml:space="preserve"> </w:t>
      </w:r>
      <w:r w:rsidR="007A5DF6" w:rsidRPr="00661AE1">
        <w:t xml:space="preserve">from </w:t>
      </w:r>
      <w:r w:rsidR="00E90E9D" w:rsidRPr="00661AE1">
        <w:t>southern</w:t>
      </w:r>
      <w:r w:rsidR="007A5DF6" w:rsidRPr="00661AE1">
        <w:t xml:space="preserve"> Patagonia and the Antarctic Peninsula </w:t>
      </w:r>
      <w:r w:rsidR="00391BD0" w:rsidRPr="00661AE1">
        <w:t xml:space="preserve">are </w:t>
      </w:r>
      <w:r w:rsidR="00BD5F17" w:rsidRPr="00661AE1">
        <w:t>almost</w:t>
      </w:r>
      <w:r w:rsidR="002A55D0" w:rsidRPr="00661AE1">
        <w:t xml:space="preserve"> completely </w:t>
      </w:r>
      <w:r w:rsidR="00696BF9">
        <w:t>dry</w:t>
      </w:r>
      <w:r w:rsidR="00BD5F17" w:rsidRPr="00661AE1">
        <w:t>. O</w:t>
      </w:r>
      <w:r w:rsidR="002A55D0" w:rsidRPr="00661AE1">
        <w:t>n</w:t>
      </w:r>
      <w:r w:rsidR="00A652E7" w:rsidRPr="00661AE1">
        <w:t>ly</w:t>
      </w:r>
      <w:r w:rsidR="002A55D0" w:rsidRPr="00661AE1">
        <w:t xml:space="preserve"> </w:t>
      </w:r>
      <w:r w:rsidR="001D211B" w:rsidRPr="00661AE1">
        <w:t xml:space="preserve">one </w:t>
      </w:r>
      <w:r w:rsidR="009B3405" w:rsidRPr="00661AE1">
        <w:t xml:space="preserve">olivine grain </w:t>
      </w:r>
      <w:r w:rsidR="00E978F5">
        <w:t>has</w:t>
      </w:r>
      <w:r w:rsidR="002A55D0" w:rsidRPr="00661AE1">
        <w:t xml:space="preserve"> </w:t>
      </w:r>
      <w:r w:rsidR="00281F63" w:rsidRPr="00661AE1">
        <w:t>a</w:t>
      </w:r>
      <w:r w:rsidR="00912AC3">
        <w:t>n</w:t>
      </w:r>
      <w:r w:rsidR="002A55D0" w:rsidRPr="00661AE1">
        <w:t xml:space="preserve"> </w:t>
      </w:r>
      <w:r w:rsidR="00ED1612" w:rsidRPr="00CB30EF">
        <w:t>H</w:t>
      </w:r>
      <w:r w:rsidR="00ED1612" w:rsidRPr="00CB30EF">
        <w:rPr>
          <w:vertAlign w:val="subscript"/>
        </w:rPr>
        <w:t>2</w:t>
      </w:r>
      <w:r w:rsidR="00ED1612" w:rsidRPr="00CB30EF">
        <w:t>O</w:t>
      </w:r>
      <w:r w:rsidR="002A55D0" w:rsidRPr="00661AE1">
        <w:t xml:space="preserve"> content </w:t>
      </w:r>
      <w:r w:rsidR="00A652E7" w:rsidRPr="00661AE1">
        <w:t>greater than background (</w:t>
      </w:r>
      <w:r w:rsidR="005A15C2" w:rsidRPr="00661AE1">
        <w:t>4</w:t>
      </w:r>
      <w:r w:rsidR="005A15C2">
        <w:t>3</w:t>
      </w:r>
      <w:r w:rsidR="005A15C2" w:rsidRPr="00661AE1">
        <w:t xml:space="preserve"> </w:t>
      </w:r>
      <w:r w:rsidR="00C5757D">
        <w:t>ppmw</w:t>
      </w:r>
      <w:r w:rsidR="00A652E7" w:rsidRPr="00661AE1">
        <w:t>)</w:t>
      </w:r>
      <w:r w:rsidR="00AB4342" w:rsidRPr="00661AE1">
        <w:t xml:space="preserve"> </w:t>
      </w:r>
      <w:r w:rsidR="007B7955" w:rsidRPr="00661AE1">
        <w:t>and</w:t>
      </w:r>
      <w:r w:rsidR="002A55D0" w:rsidRPr="00661AE1">
        <w:t xml:space="preserve"> </w:t>
      </w:r>
      <w:r w:rsidR="00F01261" w:rsidRPr="00661AE1">
        <w:t>may be</w:t>
      </w:r>
      <w:r w:rsidR="00370E1E" w:rsidRPr="00661AE1">
        <w:t xml:space="preserve"> an</w:t>
      </w:r>
      <w:r w:rsidR="002A55D0" w:rsidRPr="00661AE1">
        <w:t xml:space="preserve"> analysis of a fluid, melt or </w:t>
      </w:r>
      <w:r w:rsidR="002A55D0" w:rsidRPr="00661AE1">
        <w:lastRenderedPageBreak/>
        <w:t xml:space="preserve">mineral inclusion. </w:t>
      </w:r>
      <w:r w:rsidR="007B2895">
        <w:t>S</w:t>
      </w:r>
      <w:r w:rsidR="00382ECF" w:rsidRPr="00661AE1">
        <w:t xml:space="preserve">ignificantly higher </w:t>
      </w:r>
      <w:r w:rsidR="007B2895" w:rsidRPr="00CB30EF">
        <w:t>H</w:t>
      </w:r>
      <w:r w:rsidR="007B2895" w:rsidRPr="00CB30EF">
        <w:rPr>
          <w:vertAlign w:val="subscript"/>
        </w:rPr>
        <w:t>2</w:t>
      </w:r>
      <w:r w:rsidR="007B2895" w:rsidRPr="00CB30EF">
        <w:t>O</w:t>
      </w:r>
      <w:r w:rsidR="007B2895" w:rsidRPr="00661AE1">
        <w:t xml:space="preserve"> contents </w:t>
      </w:r>
      <w:r w:rsidR="007B2895">
        <w:t xml:space="preserve">were determined </w:t>
      </w:r>
      <w:r w:rsidR="00382ECF" w:rsidRPr="00661AE1">
        <w:t>in orthopyroxene and clinopyroxene</w:t>
      </w:r>
      <w:r w:rsidR="00370E1E" w:rsidRPr="00661AE1">
        <w:t>,</w:t>
      </w:r>
      <w:r w:rsidR="00AE121E" w:rsidRPr="00661AE1">
        <w:t xml:space="preserve"> in which they</w:t>
      </w:r>
      <w:r w:rsidR="00382ECF" w:rsidRPr="00661AE1">
        <w:t xml:space="preserve"> </w:t>
      </w:r>
      <w:r w:rsidR="00371580" w:rsidRPr="00661AE1">
        <w:t xml:space="preserve">range from </w:t>
      </w:r>
      <w:r w:rsidR="004910A9">
        <w:t>95</w:t>
      </w:r>
      <w:r w:rsidR="00391BD0" w:rsidRPr="00661AE1">
        <w:t>-</w:t>
      </w:r>
      <w:r w:rsidR="004910A9">
        <w:t>241</w:t>
      </w:r>
      <w:r w:rsidR="004910A9" w:rsidRPr="00661AE1">
        <w:t xml:space="preserve"> </w:t>
      </w:r>
      <w:r w:rsidR="00C5757D">
        <w:t>ppmw</w:t>
      </w:r>
      <w:r w:rsidR="00391BD0" w:rsidRPr="00661AE1">
        <w:t xml:space="preserve"> and </w:t>
      </w:r>
      <w:r w:rsidR="00A1480C">
        <w:t>218</w:t>
      </w:r>
      <w:r w:rsidR="00371580" w:rsidRPr="00661AE1">
        <w:t>-</w:t>
      </w:r>
      <w:r w:rsidR="004910A9">
        <w:t>635</w:t>
      </w:r>
      <w:r w:rsidR="004910A9" w:rsidRPr="00661AE1">
        <w:t xml:space="preserve"> </w:t>
      </w:r>
      <w:r w:rsidR="00C5757D">
        <w:t>ppmw</w:t>
      </w:r>
      <w:r w:rsidR="00371580" w:rsidRPr="00661AE1">
        <w:t>, respectively</w:t>
      </w:r>
      <w:r w:rsidR="00391BD0" w:rsidRPr="00661AE1">
        <w:t xml:space="preserve">. </w:t>
      </w:r>
    </w:p>
    <w:p w14:paraId="3D97D7E9" w14:textId="2C53EDFB" w:rsidR="0077716D" w:rsidRPr="00661AE1" w:rsidRDefault="004910A9" w:rsidP="00C20C0B">
      <w:pPr>
        <w:spacing w:line="480" w:lineRule="auto"/>
        <w:ind w:firstLine="360"/>
        <w:jc w:val="both"/>
      </w:pPr>
      <w:r>
        <w:t>O</w:t>
      </w:r>
      <w:r w:rsidRPr="009F51FA">
        <w:t xml:space="preserve">rthopyroxenes found in garnet-bearing lherzolites </w:t>
      </w:r>
      <w:r w:rsidR="0077716D" w:rsidRPr="009F51FA">
        <w:t xml:space="preserve">from southern Patagonia </w:t>
      </w:r>
      <w:r>
        <w:t>are</w:t>
      </w:r>
      <w:r w:rsidR="007C2C4D">
        <w:t xml:space="preserve"> more</w:t>
      </w:r>
      <w:r>
        <w:t xml:space="preserve"> </w:t>
      </w:r>
      <w:r w:rsidR="00E76A3A" w:rsidRPr="009F51FA">
        <w:t>Fe-rich (Mg</w:t>
      </w:r>
      <w:r w:rsidR="009F51FA" w:rsidRPr="009F51FA">
        <w:t>#</w:t>
      </w:r>
      <w:r w:rsidR="00E76A3A" w:rsidRPr="009F51FA">
        <w:t>=</w:t>
      </w:r>
      <w:r w:rsidR="009F51FA" w:rsidRPr="009F51FA">
        <w:t>89</w:t>
      </w:r>
      <w:r w:rsidR="00990EE2">
        <w:t xml:space="preserve"> to </w:t>
      </w:r>
      <w:r w:rsidR="009F51FA" w:rsidRPr="009F51FA">
        <w:t>90</w:t>
      </w:r>
      <w:r w:rsidR="00D844EC">
        <w:t xml:space="preserve">, </w:t>
      </w:r>
      <w:r w:rsidR="00D844EC">
        <w:rPr>
          <w:b/>
        </w:rPr>
        <w:t>Supplementary Figures 2, 4a</w:t>
      </w:r>
      <w:r w:rsidR="00E76A3A" w:rsidRPr="009F51FA">
        <w:t xml:space="preserve">) </w:t>
      </w:r>
      <w:r>
        <w:t xml:space="preserve">and </w:t>
      </w:r>
      <w:r w:rsidR="0077716D" w:rsidRPr="009F51FA">
        <w:t xml:space="preserve">generally </w:t>
      </w:r>
      <w:r w:rsidR="00E76A3A" w:rsidRPr="009F51FA">
        <w:t xml:space="preserve">have higher </w:t>
      </w:r>
      <w:r w:rsidR="00ED1612" w:rsidRPr="00CB30EF">
        <w:t>H</w:t>
      </w:r>
      <w:r w:rsidR="00ED1612" w:rsidRPr="00CB30EF">
        <w:rPr>
          <w:vertAlign w:val="subscript"/>
        </w:rPr>
        <w:t>2</w:t>
      </w:r>
      <w:r w:rsidR="00ED1612" w:rsidRPr="00CB30EF">
        <w:t>O</w:t>
      </w:r>
      <w:r w:rsidR="00E76A3A" w:rsidRPr="009F51FA">
        <w:t xml:space="preserve"> contents </w:t>
      </w:r>
      <w:r w:rsidR="0077716D" w:rsidRPr="009F51FA">
        <w:t>(</w:t>
      </w:r>
      <w:r w:rsidR="00811EF5" w:rsidRPr="009F51FA">
        <w:t>2</w:t>
      </w:r>
      <w:r w:rsidR="00811EF5">
        <w:t>31</w:t>
      </w:r>
      <w:r w:rsidR="00811EF5" w:rsidRPr="009F51FA">
        <w:t xml:space="preserve"> </w:t>
      </w:r>
      <w:r w:rsidR="0077716D" w:rsidRPr="009F51FA">
        <w:t>±</w:t>
      </w:r>
      <w:r w:rsidR="00811EF5">
        <w:t>11</w:t>
      </w:r>
      <w:r w:rsidR="00811EF5" w:rsidRPr="009F51FA">
        <w:t xml:space="preserve"> </w:t>
      </w:r>
      <w:r w:rsidR="00C5757D">
        <w:t>ppmw</w:t>
      </w:r>
      <w:r w:rsidR="0077716D" w:rsidRPr="009F51FA">
        <w:t>) than</w:t>
      </w:r>
      <w:r w:rsidR="00627AEB" w:rsidRPr="009F51FA">
        <w:t xml:space="preserve"> </w:t>
      </w:r>
      <w:r w:rsidR="0077716D" w:rsidRPr="009F51FA">
        <w:t xml:space="preserve">orthopyroxenes </w:t>
      </w:r>
      <w:r w:rsidR="008D21C7" w:rsidRPr="009F51FA">
        <w:t>(Mg</w:t>
      </w:r>
      <w:r w:rsidR="009F51FA" w:rsidRPr="009F51FA">
        <w:t>#</w:t>
      </w:r>
      <w:r w:rsidR="008D21C7" w:rsidRPr="009B315C">
        <w:t>=</w:t>
      </w:r>
      <w:r w:rsidR="009F51FA" w:rsidRPr="009F51FA">
        <w:t>90</w:t>
      </w:r>
      <w:r w:rsidR="00990EE2">
        <w:t xml:space="preserve"> to </w:t>
      </w:r>
      <w:r w:rsidR="009F51FA" w:rsidRPr="009F51FA">
        <w:t>92</w:t>
      </w:r>
      <w:r w:rsidR="008D21C7" w:rsidRPr="009F51FA">
        <w:t xml:space="preserve">) </w:t>
      </w:r>
      <w:r w:rsidR="0077716D" w:rsidRPr="00661AE1">
        <w:t xml:space="preserve">in </w:t>
      </w:r>
      <w:r w:rsidR="00E76A3A">
        <w:t>co-existing</w:t>
      </w:r>
      <w:r w:rsidR="0077716D" w:rsidRPr="00661AE1">
        <w:t xml:space="preserve"> spinel-peridotites (</w:t>
      </w:r>
      <w:r w:rsidR="00811EF5" w:rsidRPr="00661AE1">
        <w:t>1</w:t>
      </w:r>
      <w:r w:rsidR="00811EF5">
        <w:t>30</w:t>
      </w:r>
      <w:r w:rsidR="00811EF5" w:rsidRPr="00661AE1">
        <w:t xml:space="preserve"> </w:t>
      </w:r>
      <w:r w:rsidR="0077716D" w:rsidRPr="00661AE1">
        <w:t>±</w:t>
      </w:r>
      <w:r w:rsidR="00811EF5">
        <w:t>47</w:t>
      </w:r>
      <w:r w:rsidR="00811EF5" w:rsidRPr="00661AE1">
        <w:t xml:space="preserve"> </w:t>
      </w:r>
      <w:r w:rsidR="00C5757D">
        <w:t>ppmw</w:t>
      </w:r>
      <w:r w:rsidR="0077716D" w:rsidRPr="00661AE1">
        <w:t>).</w:t>
      </w:r>
      <w:r w:rsidR="0077716D">
        <w:t xml:space="preserve"> </w:t>
      </w:r>
      <w:r w:rsidR="008D21C7">
        <w:t>O</w:t>
      </w:r>
      <w:r w:rsidR="0077716D" w:rsidRPr="00661AE1">
        <w:t xml:space="preserve">rthopyroxenes found in spinel-peridotites </w:t>
      </w:r>
      <w:r w:rsidR="00FF6E62">
        <w:t>(Mg</w:t>
      </w:r>
      <w:r w:rsidR="009F51FA" w:rsidRPr="00661AE1">
        <w:t>#</w:t>
      </w:r>
      <w:r w:rsidR="00FF6E62" w:rsidRPr="009B315C">
        <w:t>=</w:t>
      </w:r>
      <w:r w:rsidR="009F51FA">
        <w:t>88</w:t>
      </w:r>
      <w:r w:rsidR="00990EE2">
        <w:t xml:space="preserve"> to </w:t>
      </w:r>
      <w:r w:rsidR="009F51FA">
        <w:t>92</w:t>
      </w:r>
      <w:r w:rsidR="00FF6E62">
        <w:t xml:space="preserve">) </w:t>
      </w:r>
      <w:r w:rsidR="0077716D" w:rsidRPr="00661AE1">
        <w:t xml:space="preserve">from the Antarctic Peninsula </w:t>
      </w:r>
      <w:r w:rsidR="0077716D">
        <w:t>exhibit little variation</w:t>
      </w:r>
      <w:r w:rsidR="008D21C7">
        <w:t xml:space="preserve"> in </w:t>
      </w:r>
      <w:r w:rsidR="007C2C4D">
        <w:t xml:space="preserve">their </w:t>
      </w:r>
      <w:r w:rsidR="008D21C7">
        <w:t>H</w:t>
      </w:r>
      <w:r w:rsidR="008D21C7" w:rsidRPr="009B315C">
        <w:rPr>
          <w:vertAlign w:val="subscript"/>
        </w:rPr>
        <w:t>2</w:t>
      </w:r>
      <w:r w:rsidR="008D21C7">
        <w:t>O</w:t>
      </w:r>
      <w:r w:rsidR="0077716D">
        <w:t xml:space="preserve"> </w:t>
      </w:r>
      <w:r w:rsidR="007C2C4D">
        <w:t xml:space="preserve">contents </w:t>
      </w:r>
      <w:r w:rsidR="0077716D" w:rsidRPr="00661AE1">
        <w:t>(</w:t>
      </w:r>
      <w:r w:rsidR="00811EF5" w:rsidRPr="00661AE1">
        <w:t>1</w:t>
      </w:r>
      <w:r w:rsidR="00811EF5">
        <w:t>74</w:t>
      </w:r>
      <w:r w:rsidR="00811EF5" w:rsidRPr="00661AE1">
        <w:t xml:space="preserve"> </w:t>
      </w:r>
      <w:r w:rsidR="0077716D" w:rsidRPr="00661AE1">
        <w:t>±</w:t>
      </w:r>
      <w:r w:rsidR="00811EF5">
        <w:t>44</w:t>
      </w:r>
      <w:r w:rsidR="00811EF5" w:rsidRPr="00661AE1">
        <w:t xml:space="preserve"> </w:t>
      </w:r>
      <w:r w:rsidR="00C5757D">
        <w:t>ppmw</w:t>
      </w:r>
      <w:r w:rsidR="001E6FDF">
        <w:t>)</w:t>
      </w:r>
      <w:r w:rsidR="0077716D" w:rsidRPr="00661AE1">
        <w:t xml:space="preserve">, and are </w:t>
      </w:r>
      <w:r w:rsidR="00EB22DB">
        <w:t>intermediate between</w:t>
      </w:r>
      <w:r w:rsidR="0077716D" w:rsidRPr="00661AE1">
        <w:t xml:space="preserve"> </w:t>
      </w:r>
      <w:r w:rsidR="00EB22DB">
        <w:t>those of</w:t>
      </w:r>
      <w:r w:rsidR="0077716D" w:rsidRPr="00661AE1">
        <w:t xml:space="preserve"> orthopyroxenes in the spinel </w:t>
      </w:r>
      <w:r w:rsidR="00EB22DB">
        <w:t xml:space="preserve">and garnet </w:t>
      </w:r>
      <w:r w:rsidR="0077716D" w:rsidRPr="00661AE1">
        <w:t>peridotites from Pali Aike described above</w:t>
      </w:r>
      <w:r w:rsidR="00EB22DB">
        <w:t xml:space="preserve"> (</w:t>
      </w:r>
      <w:r w:rsidR="00EB22DB" w:rsidRPr="009B315C">
        <w:rPr>
          <w:b/>
        </w:rPr>
        <w:t xml:space="preserve">Figure </w:t>
      </w:r>
      <w:r w:rsidR="0044633B">
        <w:rPr>
          <w:b/>
        </w:rPr>
        <w:t>2a</w:t>
      </w:r>
      <w:r w:rsidR="00EB22DB">
        <w:t>)</w:t>
      </w:r>
      <w:r w:rsidR="0077716D" w:rsidRPr="00661AE1">
        <w:t xml:space="preserve">. </w:t>
      </w:r>
    </w:p>
    <w:p w14:paraId="46C9C2EC" w14:textId="7C6B60E0" w:rsidR="00D46AF9" w:rsidRPr="00661AE1" w:rsidRDefault="00130EBD" w:rsidP="00C20C0B">
      <w:pPr>
        <w:spacing w:line="480" w:lineRule="auto"/>
        <w:ind w:firstLine="360"/>
        <w:jc w:val="both"/>
      </w:pPr>
      <w:r>
        <w:t>Akin to the ort</w:t>
      </w:r>
      <w:r w:rsidR="00627AEB">
        <w:t>h</w:t>
      </w:r>
      <w:r>
        <w:t>opyroxenes, clinopyroxen</w:t>
      </w:r>
      <w:r w:rsidR="0077716D" w:rsidRPr="00661AE1">
        <w:t xml:space="preserve">es in </w:t>
      </w:r>
      <w:r w:rsidR="00627AEB">
        <w:t xml:space="preserve">the </w:t>
      </w:r>
      <w:r w:rsidR="0077716D" w:rsidRPr="00661AE1">
        <w:t xml:space="preserve">garnet-bearing peridotites </w:t>
      </w:r>
      <w:r w:rsidR="0077716D">
        <w:t xml:space="preserve">from Pali Aike </w:t>
      </w:r>
      <w:r w:rsidR="0077716D" w:rsidRPr="00661AE1">
        <w:t xml:space="preserve">generally display higher </w:t>
      </w:r>
      <w:r w:rsidR="00ED1612" w:rsidRPr="00CB30EF">
        <w:t>H</w:t>
      </w:r>
      <w:r w:rsidR="00ED1612" w:rsidRPr="00CB30EF">
        <w:rPr>
          <w:vertAlign w:val="subscript"/>
        </w:rPr>
        <w:t>2</w:t>
      </w:r>
      <w:r w:rsidR="00ED1612" w:rsidRPr="00CB30EF">
        <w:t>O</w:t>
      </w:r>
      <w:r w:rsidR="0077716D" w:rsidRPr="00661AE1">
        <w:t xml:space="preserve"> contents (</w:t>
      </w:r>
      <w:r w:rsidR="00811EF5">
        <w:t>469</w:t>
      </w:r>
      <w:r w:rsidR="00811EF5" w:rsidRPr="00661AE1">
        <w:t xml:space="preserve"> </w:t>
      </w:r>
      <w:r w:rsidR="0077716D" w:rsidRPr="00661AE1">
        <w:t>±</w:t>
      </w:r>
      <w:r w:rsidR="00811EF5" w:rsidRPr="00661AE1">
        <w:t>1</w:t>
      </w:r>
      <w:r w:rsidR="00811EF5">
        <w:t>34</w:t>
      </w:r>
      <w:r w:rsidR="00811EF5" w:rsidRPr="00661AE1">
        <w:t xml:space="preserve"> </w:t>
      </w:r>
      <w:r w:rsidR="00C5757D">
        <w:t>ppmw</w:t>
      </w:r>
      <w:r w:rsidR="0077716D" w:rsidRPr="00661AE1">
        <w:t xml:space="preserve">) than </w:t>
      </w:r>
      <w:r>
        <w:t>those</w:t>
      </w:r>
      <w:r w:rsidR="0077716D" w:rsidRPr="00661AE1">
        <w:t xml:space="preserve"> in </w:t>
      </w:r>
      <w:r w:rsidR="00ED1612">
        <w:t>spinel-</w:t>
      </w:r>
      <w:r w:rsidR="0077716D">
        <w:t>only</w:t>
      </w:r>
      <w:r w:rsidR="0077716D" w:rsidRPr="00661AE1">
        <w:t xml:space="preserve"> xenoliths</w:t>
      </w:r>
      <w:r w:rsidR="0077716D">
        <w:t xml:space="preserve"> from Pali Aike</w:t>
      </w:r>
      <w:r w:rsidR="0077716D" w:rsidRPr="00661AE1">
        <w:t xml:space="preserve"> (</w:t>
      </w:r>
      <w:r w:rsidR="00811EF5" w:rsidRPr="00661AE1">
        <w:t>2</w:t>
      </w:r>
      <w:r w:rsidR="00811EF5">
        <w:t>93</w:t>
      </w:r>
      <w:r w:rsidR="00811EF5" w:rsidRPr="00661AE1">
        <w:t xml:space="preserve"> </w:t>
      </w:r>
      <w:r w:rsidR="0077716D" w:rsidRPr="00661AE1">
        <w:t>±</w:t>
      </w:r>
      <w:r w:rsidR="00811EF5">
        <w:t>65</w:t>
      </w:r>
      <w:r w:rsidR="00811EF5" w:rsidRPr="00661AE1">
        <w:t xml:space="preserve"> </w:t>
      </w:r>
      <w:r w:rsidR="00C5757D">
        <w:t>ppmw</w:t>
      </w:r>
      <w:r w:rsidR="0077716D" w:rsidRPr="00661AE1">
        <w:t>)</w:t>
      </w:r>
      <w:r w:rsidR="0077716D">
        <w:t xml:space="preserve"> and</w:t>
      </w:r>
      <w:r w:rsidR="0009340C" w:rsidRPr="00661AE1">
        <w:t xml:space="preserve"> t</w:t>
      </w:r>
      <w:r w:rsidR="00706229" w:rsidRPr="00661AE1">
        <w:t>he</w:t>
      </w:r>
      <w:r w:rsidR="009B3405" w:rsidRPr="00661AE1">
        <w:t xml:space="preserve"> </w:t>
      </w:r>
      <w:r w:rsidR="0009340C" w:rsidRPr="00661AE1">
        <w:t>Antarctic Peninsula</w:t>
      </w:r>
      <w:r w:rsidR="00493B18">
        <w:t xml:space="preserve"> </w:t>
      </w:r>
      <w:r w:rsidR="0077716D">
        <w:t>(</w:t>
      </w:r>
      <w:r w:rsidR="002E288A" w:rsidRPr="00661AE1">
        <w:t>3</w:t>
      </w:r>
      <w:r w:rsidR="002E288A">
        <w:t>57</w:t>
      </w:r>
      <w:r w:rsidR="002E288A" w:rsidRPr="00661AE1">
        <w:t xml:space="preserve"> </w:t>
      </w:r>
      <w:r w:rsidR="00493B18" w:rsidRPr="00661AE1">
        <w:t>±</w:t>
      </w:r>
      <w:r w:rsidR="00B55FCD">
        <w:t>44</w:t>
      </w:r>
      <w:r w:rsidR="002E288A" w:rsidRPr="00661AE1">
        <w:t xml:space="preserve"> </w:t>
      </w:r>
      <w:r w:rsidR="00C5757D">
        <w:t>ppmw</w:t>
      </w:r>
      <w:r w:rsidR="000033A4">
        <w:t xml:space="preserve">; </w:t>
      </w:r>
      <w:r w:rsidR="000033A4" w:rsidRPr="009B315C">
        <w:rPr>
          <w:b/>
          <w:color w:val="000000" w:themeColor="text1"/>
        </w:rPr>
        <w:t xml:space="preserve">Figure </w:t>
      </w:r>
      <w:r w:rsidR="0044633B">
        <w:rPr>
          <w:b/>
          <w:color w:val="000000" w:themeColor="text1"/>
        </w:rPr>
        <w:t>2</w:t>
      </w:r>
      <w:r w:rsidR="0044633B" w:rsidRPr="009B315C">
        <w:rPr>
          <w:b/>
          <w:color w:val="000000" w:themeColor="text1"/>
        </w:rPr>
        <w:t>a</w:t>
      </w:r>
      <w:r w:rsidR="0077716D">
        <w:t>)</w:t>
      </w:r>
      <w:r w:rsidR="00C15D2D">
        <w:t xml:space="preserve">. </w:t>
      </w:r>
      <w:r w:rsidR="009E414A">
        <w:t xml:space="preserve">The </w:t>
      </w:r>
      <w:r w:rsidR="00C15D2D" w:rsidRPr="00661AE1">
        <w:t xml:space="preserve">Ti-Al augites </w:t>
      </w:r>
      <w:r w:rsidR="00E978F5">
        <w:t>found in clino</w:t>
      </w:r>
      <w:r w:rsidR="00E978F5" w:rsidRPr="00661AE1">
        <w:t>pyroxenites</w:t>
      </w:r>
      <w:r w:rsidR="00C15D2D" w:rsidRPr="00661AE1">
        <w:t xml:space="preserve"> </w:t>
      </w:r>
      <w:r w:rsidR="00E978F5">
        <w:t xml:space="preserve">from </w:t>
      </w:r>
      <w:r w:rsidR="00C15D2D" w:rsidRPr="00661AE1">
        <w:t>the Antarctic Peninsula</w:t>
      </w:r>
      <w:r w:rsidR="00C15D2D">
        <w:t xml:space="preserve"> contain</w:t>
      </w:r>
      <w:r w:rsidR="00493B18">
        <w:t xml:space="preserve"> </w:t>
      </w:r>
      <w:r w:rsidR="00E80E10">
        <w:t xml:space="preserve">similar amounts of </w:t>
      </w:r>
      <w:r w:rsidR="007C2C4D">
        <w:t>H</w:t>
      </w:r>
      <w:r w:rsidR="007C2C4D" w:rsidRPr="009B315C">
        <w:rPr>
          <w:vertAlign w:val="subscript"/>
        </w:rPr>
        <w:t>2</w:t>
      </w:r>
      <w:r w:rsidR="007C2C4D">
        <w:t>O</w:t>
      </w:r>
      <w:r w:rsidR="00E80E10">
        <w:t xml:space="preserve"> </w:t>
      </w:r>
      <w:r w:rsidR="001C20F9">
        <w:t>to</w:t>
      </w:r>
      <w:r w:rsidR="00883A6F">
        <w:t xml:space="preserve"> Cr diopsides from</w:t>
      </w:r>
      <w:r w:rsidR="00E80E10">
        <w:t xml:space="preserve"> the </w:t>
      </w:r>
      <w:r w:rsidR="00E978F5">
        <w:t xml:space="preserve">co-existing </w:t>
      </w:r>
      <w:r w:rsidR="00E80E10">
        <w:t>spinel peridotites (</w:t>
      </w:r>
      <w:r w:rsidR="00493B18" w:rsidRPr="00661AE1">
        <w:t xml:space="preserve">366 ±58 </w:t>
      </w:r>
      <w:r w:rsidR="00C5757D">
        <w:t>ppmw</w:t>
      </w:r>
      <w:r w:rsidR="00E80E10">
        <w:t>)</w:t>
      </w:r>
      <w:r w:rsidR="00B56752" w:rsidRPr="00661AE1">
        <w:t xml:space="preserve">. </w:t>
      </w:r>
    </w:p>
    <w:p w14:paraId="7B1E2CA0" w14:textId="381FBBE5" w:rsidR="002D32B2" w:rsidRDefault="00E978F5" w:rsidP="00C20C0B">
      <w:pPr>
        <w:spacing w:line="480" w:lineRule="auto"/>
        <w:ind w:firstLine="360"/>
        <w:jc w:val="both"/>
      </w:pPr>
      <w:r w:rsidRPr="00E978F5">
        <w:t xml:space="preserve"> </w:t>
      </w:r>
      <w:r>
        <w:t xml:space="preserve">Distribution coefficients </w:t>
      </w:r>
      <w:r w:rsidR="002D32B2">
        <w:t xml:space="preserve">for </w:t>
      </w:r>
      <w:r w:rsidR="00912AC3" w:rsidRPr="00CB30EF">
        <w:t>H</w:t>
      </w:r>
      <w:r w:rsidR="00912AC3" w:rsidRPr="00CB30EF">
        <w:rPr>
          <w:vertAlign w:val="subscript"/>
        </w:rPr>
        <w:t>2</w:t>
      </w:r>
      <w:r w:rsidR="00912AC3" w:rsidRPr="00CB30EF">
        <w:t>O</w:t>
      </w:r>
      <w:r w:rsidR="00DA6E19">
        <w:t xml:space="preserve"> (</w:t>
      </w:r>
      <m:oMath>
        <m:sSubSup>
          <m:sSubSupPr>
            <m:ctrlPr>
              <w:rPr>
                <w:rFonts w:ascii="Cambria Math" w:hAnsi="Cambria Math"/>
                <w:i/>
              </w:rPr>
            </m:ctrlPr>
          </m:sSubSupPr>
          <m:e>
            <m:r>
              <m:rPr>
                <m:nor/>
              </m:rPr>
              <w:rPr>
                <w:rFonts w:ascii="Cambria Math" w:hAnsi="Cambria Math"/>
                <w:i/>
              </w:rPr>
              <m:t>D</m:t>
            </m:r>
          </m:e>
          <m:sub>
            <m:r>
              <m:rPr>
                <m:nor/>
              </m:rPr>
              <w:rPr>
                <w:rFonts w:ascii="Cambria Math" w:hAnsi="Cambria Math"/>
                <w:i/>
              </w:rPr>
              <m:t>H</m:t>
            </m:r>
            <m:r>
              <m:rPr>
                <m:nor/>
              </m:rPr>
              <w:rPr>
                <w:rFonts w:ascii="Cambria Math" w:hAnsi="Cambria Math"/>
                <w:i/>
                <w:vertAlign w:val="subscript"/>
              </w:rPr>
              <m:t>2</m:t>
            </m:r>
            <m:r>
              <m:rPr>
                <m:nor/>
              </m:rPr>
              <w:rPr>
                <w:rFonts w:ascii="Cambria Math" w:hAnsi="Cambria Math"/>
                <w:i/>
              </w:rPr>
              <m:t>O</m:t>
            </m:r>
          </m:sub>
          <m:sup>
            <m:r>
              <m:rPr>
                <m:nor/>
              </m:rPr>
              <w:rPr>
                <w:rFonts w:ascii="Cambria Math" w:hAnsi="Cambria Math"/>
                <w:i/>
              </w:rPr>
              <m:t xml:space="preserve"> Cpx-Opx</m:t>
            </m:r>
          </m:sup>
        </m:sSubSup>
      </m:oMath>
      <w:r w:rsidR="00DA6E19">
        <w:t>)</w:t>
      </w:r>
      <w:r w:rsidR="00912AC3">
        <w:t xml:space="preserve">, calculated using mean concentrations between co-existing clinopyroxenes and orthopyroxenes, </w:t>
      </w:r>
      <w:r w:rsidR="002D32B2">
        <w:t>vary from 1</w:t>
      </w:r>
      <w:r w:rsidR="002E288A">
        <w:t>.4</w:t>
      </w:r>
      <w:r w:rsidR="002D32B2">
        <w:t xml:space="preserve"> to </w:t>
      </w:r>
      <w:r w:rsidR="002E288A">
        <w:t xml:space="preserve">2.9 </w:t>
      </w:r>
      <w:r w:rsidR="002D32B2">
        <w:t>(</w:t>
      </w:r>
      <w:r w:rsidR="002D32B2">
        <w:rPr>
          <w:b/>
          <w:color w:val="000000" w:themeColor="text1"/>
        </w:rPr>
        <w:t xml:space="preserve">Figure </w:t>
      </w:r>
      <w:r w:rsidR="0044633B">
        <w:rPr>
          <w:b/>
          <w:color w:val="000000" w:themeColor="text1"/>
        </w:rPr>
        <w:t>2a</w:t>
      </w:r>
      <w:r w:rsidR="002D32B2">
        <w:t xml:space="preserve">), which is </w:t>
      </w:r>
      <w:r w:rsidR="002E288A">
        <w:t xml:space="preserve">within </w:t>
      </w:r>
      <w:r w:rsidR="002D32B2">
        <w:t>the range observed in previous investigations of continental mantle (</w:t>
      </w:r>
      <m:oMath>
        <m:sSubSup>
          <m:sSubSupPr>
            <m:ctrlPr>
              <w:rPr>
                <w:rFonts w:ascii="Cambria Math" w:hAnsi="Cambria Math"/>
                <w:i/>
              </w:rPr>
            </m:ctrlPr>
          </m:sSubSupPr>
          <m:e>
            <m:r>
              <m:rPr>
                <m:nor/>
              </m:rPr>
              <w:rPr>
                <w:rFonts w:ascii="Cambria Math" w:hAnsi="Cambria Math"/>
                <w:i/>
              </w:rPr>
              <m:t>D</m:t>
            </m:r>
          </m:e>
          <m:sub>
            <m:r>
              <m:rPr>
                <m:nor/>
              </m:rPr>
              <w:rPr>
                <w:rFonts w:ascii="Cambria Math" w:hAnsi="Cambria Math"/>
                <w:i/>
              </w:rPr>
              <m:t>H</m:t>
            </m:r>
            <m:r>
              <m:rPr>
                <m:nor/>
              </m:rPr>
              <w:rPr>
                <w:rFonts w:ascii="Cambria Math" w:hAnsi="Cambria Math"/>
                <w:i/>
                <w:vertAlign w:val="subscript"/>
              </w:rPr>
              <m:t>2</m:t>
            </m:r>
            <m:r>
              <m:rPr>
                <m:nor/>
              </m:rPr>
              <w:rPr>
                <w:rFonts w:ascii="Cambria Math" w:hAnsi="Cambria Math"/>
                <w:i/>
              </w:rPr>
              <m:t>O</m:t>
            </m:r>
          </m:sub>
          <m:sup>
            <m:r>
              <m:rPr>
                <m:nor/>
              </m:rPr>
              <w:rPr>
                <w:rFonts w:ascii="Cambria Math" w:hAnsi="Cambria Math"/>
                <w:i/>
              </w:rPr>
              <m:t xml:space="preserve"> Cpx-Opx</m:t>
            </m:r>
          </m:sup>
        </m:sSubSup>
      </m:oMath>
      <w:r w:rsidR="002D32B2">
        <w:t>=</w:t>
      </w:r>
      <w:r w:rsidR="00857CF2">
        <w:t>0.7</w:t>
      </w:r>
      <w:r w:rsidR="002D32B2">
        <w:t xml:space="preserve"> to </w:t>
      </w:r>
      <w:r w:rsidR="00857CF2">
        <w:t>4.7</w:t>
      </w:r>
      <w:r w:rsidR="002D32B2">
        <w:t>) and abyssal peridotites (</w:t>
      </w:r>
      <m:oMath>
        <m:sSubSup>
          <m:sSubSupPr>
            <m:ctrlPr>
              <w:rPr>
                <w:rFonts w:ascii="Cambria Math" w:hAnsi="Cambria Math"/>
                <w:i/>
              </w:rPr>
            </m:ctrlPr>
          </m:sSubSupPr>
          <m:e>
            <m:r>
              <m:rPr>
                <m:nor/>
              </m:rPr>
              <w:rPr>
                <w:rFonts w:ascii="Cambria Math" w:hAnsi="Cambria Math"/>
                <w:i/>
              </w:rPr>
              <m:t>D</m:t>
            </m:r>
          </m:e>
          <m:sub>
            <m:r>
              <m:rPr>
                <m:nor/>
              </m:rPr>
              <w:rPr>
                <w:rFonts w:ascii="Cambria Math" w:hAnsi="Cambria Math"/>
                <w:i/>
              </w:rPr>
              <m:t>H</m:t>
            </m:r>
            <m:r>
              <m:rPr>
                <m:nor/>
              </m:rPr>
              <w:rPr>
                <w:rFonts w:ascii="Cambria Math" w:hAnsi="Cambria Math"/>
                <w:i/>
                <w:vertAlign w:val="subscript"/>
              </w:rPr>
              <m:t>2</m:t>
            </m:r>
            <m:r>
              <m:rPr>
                <m:nor/>
              </m:rPr>
              <w:rPr>
                <w:rFonts w:ascii="Cambria Math" w:hAnsi="Cambria Math"/>
                <w:i/>
              </w:rPr>
              <m:t>O</m:t>
            </m:r>
          </m:sub>
          <m:sup>
            <m:r>
              <m:rPr>
                <m:nor/>
              </m:rPr>
              <w:rPr>
                <w:rFonts w:ascii="Cambria Math" w:hAnsi="Cambria Math"/>
                <w:i/>
              </w:rPr>
              <m:t xml:space="preserve"> Cpx-Opx</m:t>
            </m:r>
          </m:sup>
        </m:sSubSup>
      </m:oMath>
      <w:r w:rsidR="00E71B04">
        <w:t xml:space="preserve"> </w:t>
      </w:r>
      <w:r w:rsidR="002D32B2">
        <w:t>= 2</w:t>
      </w:r>
      <w:r w:rsidR="00857CF2">
        <w:t xml:space="preserve"> to </w:t>
      </w:r>
      <w:r w:rsidR="00447053" w:rsidRPr="009D37AD">
        <w:rPr>
          <w:color w:val="000000" w:themeColor="text1"/>
        </w:rPr>
        <w:t>6.6</w:t>
      </w:r>
      <w:r w:rsidR="002D32B2">
        <w:t xml:space="preserve">; </w:t>
      </w:r>
      <w:r w:rsidR="002D32B2">
        <w:fldChar w:fldCharType="begin"/>
      </w:r>
      <w:r w:rsidR="004F07C0">
        <w:instrText xml:space="preserve"> ADDIN ZOTERO_ITEM CSL_CITATION {"citationID":"49trZDgQ","properties":{"formattedCitation":"(Peslier et al., 2002; Bell et al., 2005; Grant et al., 2007; Bonadiman et al., 2009; Mosenfelder and Rossman, 2013b; Warren and Hauri, 2014; Bizimis and Peslier, 2015; Demouchy and Bolfan-Casanova, 2016)","plainCitation":"(Peslier et al., 2002; Bell et al., 2005; Grant et al., 2007; Bonadiman et al., 2009; Mosenfelder and Rossman, 2013b; Warren and Hauri, 2014; Bizimis and Peslier, 2015; Demouchy and Bolfan-Casanova, 2016)","noteIndex":0},"citationItems":[{"id":31,"uris":["http://zotero.org/users/88665/items/3FPE8FER"],"uri":["http://zotero.org/users/88665/items/3FPE8FER"],"itemData":{"id":31,"type":"article-journal","container-title":"Contributions to Mineralogy and Petrology","DOI":"10.1007/s00410-005-0673-8","ISSN":"0010-7999","issue":"3","journalAbbreviation":"Contributions to Mineralogy and Petrology","note":"00086","page":"251-267","source":"CrossRef","title":"Silica and volatile-element metasomatism of Archean mantle: a xenolith-scale example from the Kaapvaal Craton","title-short":"Silica and volatile-element metasomatism of Archean mantle","volume":"150","author":[{"family":"Bell","given":"D. R."},{"family":"Grégoire","given":"M."},{"family":"Grove","given":"T. L."},{"family":"Chatterjee","given":"N."},{"family":"Carlson","given":"R. W."},{"family":"Buseck","given":"P. R."}],"issued":{"date-parts":[["2005",9]]}}},{"id":3162,"uris":["http://zotero.org/users/88665/items/2VGDK5GX"],"uri":["http://zotero.org/users/88665/items/2VGDK5GX"],"itemData":{"id":3162,"type":"article-journal","abstract":"Mapping the compositional variability of the Earth's mantle is fundamental for understanding mantle dynamics, crustal recycling and melt generation. The geochemistry of intraplate oceanic basalts in particular points to a heterogeneous convecting mantle, often explained by variable proportions of fertile (pyroxenite, eclogite) and depleted (peridotitic) domains. A key parameter necessary to constrain the Earth's deep processes is water because it influences melting and affects the physical properties of the Earth's mantle. However, there are only a few direct water determinations on samples of the oceanic mantle. Here we report water concentrations by FTIR on garnet pyroxenite xenoliths from Salt Lake Crater vent, Oahu, Hawaii, in order to constrain the role of lithological variability in the distribution of water in the upper oceanic mantle. The clinopyroxenes have 260 to 576 ppm H2O and the orthopyroxenes about half these amounts. Curiously, garnets have water concentrations below detection limits (&amp;lt; 0.5 ppm H2O). Calculated melts in equilibrium with the pyroxenes have, on average, 2.3 ± 0.4 wt.% H2O and 243 ± 83 H2O/Ce. These H2O concentrations are similar to estimates for the H2O concentration of primary magmas of the rejuvenated Hawaiian stage volcanism, and 3 to 5 times higher than primary magmas of the shield stage. This supports earlier conclusions where the pyroxenites are interpreted as high pressure cumulates from alkali magmas similar to the rejuvenated stage magmas within the Pacific lithosphere. The reconstructed bulk pyroxenites have 211 to 467 ppm H2O, similar to estimates for the source of Hawaiian magmas and two to four times higher than estimates for the depleted MORB source (~ 100 ppm H2O). Despite their high water concentrations, however, the bulk pyroxenites have much lower H2O/Ce ratios than the MORB source (35–115 vs. 150–210, respectively) or Hawaiian magma sources (&amp;gt; 160). The discrepancy between the low H2O/Ce ratios in the bulk pyroxenites and high H2O/Ce in the equilibrium melts is consistent with experimental data that predicts 4 to 5 times higher partition coefficient for Ce than H in these pyroxenes. Therefore, the process of high-pressure crystallization in the oceanic lithosphere will create pyroxene-rich lithologies which are paradoxically, both “wet” (i.e., high H2O concentrations) and “dry” (low H2O/Ce ratios) compared to the source of their parental melts. Phlogopite is present as a trace phase in these rocks (&amp;lt; 0.4% modal) with relatively minor contribution on the bulk water contents. The coupled high H2O, low H2O/Ce ratios of the pyroxenites are similar to the inferred source of several Enriched Mantle (EM)-type Ocean Island Basalts (OIB), like the Samoa, Pitcairn, Society, and Kergulen hot spots, as well as the EM-1 type Koolau endmember of the Hawaiian magmas. We suggest that recycling of pyroxenite-bearing oceanic lithosphere can explain the relatively high H2O and low H2O/Ce ratios of some EM-type OIB. Our data suggests a link between lithological variability and heterogeneous water distribution in the upper mantle.","container-title":"Chemical Geology","DOI":"10.1016/j.chemgeo.2015.01.008","ISSN":"0009-2541","journalAbbreviation":"Chemical Geology","note":"00019","page":"61-75","source":"ScienceDirect","title":"Water in Hawaiian garnet pyroxenites: Implications for water heterogeneity in the mantle","title-short":"Water in Hawaiian garnet pyroxenites","volume":"397","author":[{"family":"Bizimis","given":"Michael"},{"family":"Peslier","given":"Anne H."}],"issued":{"date-parts":[["2015",3,18]]}}},{"id":4143,"uris":["http://zotero.org/users/88665/items/IYB7GYYM"],"uri":["http://zotero.org/users/88665/items/IYB7GYYM"],"itemData":{"id":4143,"type":"article-journal","container-title":"European Journal of Mineralogy","DOI":"10.1127/0935-1221/2009/0021-1935","ISSN":"0935-1221","issue":"3","journalAbbreviation":"European Journal of Mineralogy","language":"en","page":"637-647","source":"pubs.geoscienceworld.org","title":"Water contents of pyroxenes in intraplate lithospheric mantle","volume":"21","author":[{"family":"Bonadiman","given":"Costanza"},{"family":"Hao","given":"Yantao"},{"family":"Coltorti","given":"Massimo"},{"family":"Dallai","given":"Luigi"},{"family":"Faccini","given":"Barbara"},{"family":"Huang","given":"Yu"},{"family":"Xia","given":"Qunke"}],"issued":{"date-parts":[["2009",6,1]]}}},{"id":3149,"uris":["http://zotero.org/users/88665/items/2K3XPCEM"],"uri":["http://zotero.org/users/88665/items/2K3XPCEM"],"itemData":{"id":3149,"type":"article-journal","container-title":"Lithos","DOI":"10.1016/j.lithos.2015.11.012","ISSN":"00244937","language":"en","note":"00011","page":"402-425","source":"CrossRef","title":"Distribution and transport of hydrogen in the lithospheric mantle: A review","title-short":"Distribution and transport of hydrogen in the lithospheric mantle","volume":"240-243","author":[{"family":"Demouchy","given":"Sylvie"},{"family":"Bolfan-Casanova","given":"Nathalie"}],"issued":{"date-parts":[["2016",1]]}}},{"id":3720,"uris":["http://zotero.org/users/88665/items/BMAJKPQ9"],"uri":["http://zotero.org/users/88665/items/BMAJKPQ9"],"itemData":{"id":3720,"type":"article-journal","abstract":"The speciation and amount of water dissolved in nominally anhydrous silicates comprising eight different mantle xenoliths has been quantified using synchrotron micro-FTIR spectroscopy. Samples studied are from six geographic localities and represent a cross-section of the major upper mantle lithologies from a variety of tectonic settings. Clinopyroxene contains between 342 and 413 ppm H2O. Orthopyroxene, olivine and garnet contain 169–201, 3–54 and 0 to &lt;3 ppm H2O, respectively. Pyroxenes water contents and the distribution of water between ortho- and clinopyroxene is identical regardless of sample mineralogy (D water cpx/opx = 2.1 ± 0.1). The total water contents of each xenolith are remarkably similar (113 ± 14 ppm H2O). High-resolution spectroscopic traverses show that the concentration and speciation of hydrous defects dissolved in each phase are spatially homogeneous within individual crystals and identical in different crystals interspersed throughout the xenolith. These results suggest that the amount of water dissolved in the silicate phases is in partial equilibrium with the transporting melt. Other features indicate that xenoliths have also preserved OH signatures of equilibrium with the mantle source region: Hydroxyl stretching modes in clinopyroxene show that garnet lherzolites re-equilibrated under more reducing conditions than spinel lherzolites. The distribution of water between pyroxenes and olivine differs according to xenolith mineralogy. The distribution of water between clinopyroxene and olivine from garnet peridotites (D water cpx/oliv (gnt) = 22.2 ± 24.1) is a factor of four greater than mineral pairs from spinel-bearing xenoliths (D water cpx/oliv (sp) = 88.1 ± 47.8). Such an increase in olivine water contents at the spinel to garnet transition is likely a global phenomenon and this discontinuity could lead to a reduction of the upper mantle viscosity by 0.2–0.7 log units and a reduction of its electrical resistivity by a factor of 0.5–0.8 log units.","container-title":"Contributions to Mineralogy and Petrology","DOI":"10.1007/s00410-006-0177-1","ISSN":"0010-7999, 1432-0967","issue":"1","journalAbbreviation":"Contributions to Mineralogy and Petrology","language":"en","page":"15-34","source":"link.springer.com","title":"Water partitioning between mantle minerals from peridotite xenoliths","volume":"154","author":[{"family":"Grant","given":"Kevin"},{"family":"Ingrin","given":"Jannick"},{"family":"Lorand","given":"Jean Pierre"},{"family":"Dumas","given":"Paul"}],"issued":{"date-parts":[["2007",7,1]]}}},{"id":2452,"uris":["http://zotero.org/users/88665/items/2VRPE7NT"],"uri":["http://zotero.org/users/88665/items/2VRPE7NT"],"itemData":{"id":2452,"type":"article-journal","abstract":"Studies of coexisting, nominally anhydrous minerals in mantle samples show that clinopyroxene is an especially important host for hydrogen. Recent experimental studies have also shown that clinopyroxene may contain significant amounts of fluorine, which has implications for the F budget of the mantle. More accurate quantification of H and F is therefore a desirable goal.\nWe measured H in 13 natural clinopyroxenes using Fourier transform infrared (FTIR) spectroscopy. 16O1H/30Si and 19F/30Si were also measured in the samples using secondary ion mass spectrometry (SIMS). H data were compared between the two techniques and F was calculated with reference to F-bearing silicate glass standards. Four of the clinopyroxenes are used as standards for SIMS calibration in multiple laboratories, and three have been measured previously using hydrogen manometry and/or elastic recoil detection analysis. Compared to clinopyroxenes in previous surveys comparing FTIR and SIMS, the 13 samples cover a broader range in chemistry and band positions in the O-H vibrational spectrum. They also all lack detectable amphibole lamellae, which are otherwise commonly present in this mineral group. In contrast to orthopyroxene, the SIMS and FTIR data for clinopyroxene show significantly better correlations (r2 = 0.96–0.98) when the frequency-dependent IR calibration of Libowitzky and Rossman (1997) is applied, as opposed to the Bell et al. (1995) calibration (r2 = 0.92–93). We derive a frequency-dependent molar absorption coefficient with parameters different from those of Libowitzky and Rossman’s calibration, which was established using data on stoichiometric hydrous phases and gives poor agreement with the manometrically determined value for PMR-53. Comparison of data for PMR-53 to our SIMS calibrations for orthopyroxene and olivine suggests that the matrix effect among these phases is less than 20% relative. Fluorine concentrations vary depending on geological context, with the highest concentrations (up to 214 ppm) found in diopsides from crustal metamorphic environments. Mantle samples follow similar geographic trends as olivines and orthopyroxenes, with higher F in xenocrysts from Kilbourne Hole (46 ppm) and South African kimberlites (up to 29 ppm) compared to the Colorado Plateau (8 ppm). On the basis of chemical correlations, we propose two different incorporation mechanisms for F: (1) coupled subsititution with Al3+ and/or Fe3+ in tetrahedral sites; and (2) coupled substitution with monovalent cations (Na and K) in the M2 site. The second substitution is more relevant to mantle augites than crustal diopsides. Our measured F concentrations are much lower than those in some clinopyroxenes synthesized in recent high P-T studies. Nevertheless, our data support suggestions that the F budget of the mantle can be entirely accommodated by incorporation in nominally anhydrous/fluorine-free minerals.","container-title":"American Mineralogist","DOI":"10.2138/am.2013.4413","ISSN":"0003-004X,","issue":"5-6","journalAbbreviation":"American Mineralogist","language":"en","note":"00034","page":"1042-1054","source":"ammin.geoscienceworld.org","title":"Analysis of hydrogen and fluorine in pyroxenes: II. Clinopyroxene","title-short":"Analysis of hydrogen and fluorine in pyroxenes","volume":"98","author":[{"family":"Mosenfelder","given":"Jed L."},{"family":"Rossman","given":"George R."}],"issued":{"date-parts":[["2013",1,5]]}}},{"id":3718,"uris":["http://zotero.org/users/88665/items/WXJS55YE"],"uri":["http://zotero.org/users/88665/items/WXJS55YE"],"itemData":{"id":3718,"type":"article-journal","abstract":"Pyroxene water contents measured by Fourier transform infrared spectrometry for Mexican and Simcoe (WA, USA) spinel-peridotite xenoliths range from 140 to 528 ppm in clinopyroxenes and 39 to 265 ppm in orthopyroxenes. Correlations between these water contents and major-element compositional data for the pyroxenes, associated spinels, and whole-rock xenoliths demonstrate that these water contents record mantle values that have not been perturbed since the xenoliths were brought to the surface by their host magmas. Broad positive correlations of pyroxene water contents with whole-rock Al2O3 are consistent with water behaving as an incompatible element during peridotite melting. The main control on the range of pyroxene water contents, however, appears to be the redox state of the peridotite, because estimates of oxygen fugacity from Mössbauer (Simcoe) and microprobe data (Mexico) on spinels are negatively correlated with water contents. This is consistent with the dominant mechanism of H incorporation into pyroxene, which is dependent on the oxidation-reduction of iron. Metasomatism of sub-arc mantle-wedge peridotites by oxidized fluids or melts rising from the slab raises the oxygen fugacity of the peridotites, and where temperature is high enough, induces them to partially melt. The oxidation, in turn, lowers the solubility of water in the peridotite minerals, causing more than half of the original water to be expelled. That water enters the hydrous partial melts and these ascend through the lithosphere to feed the arc magmatic system in the upper crust. Low water contents in pyroxenes from sub-arc mantle-wedge peridotites, such as those from Simcoe and some western Mexican sites, therefore appear to be complementary to the high water contents that characterize subduction-zone magmas and fuel their explosive eruptions. An estimate of water budget in subduction zones, however, indicates that the amount of water coming from the dehydration of mantle-wedge anhydrous minerals probably accounts for less than 5% of the total water present in subduction-related magmas. The high water contents of arc magmas thus are mainly attributed to fluids or melts from the slab proper. The relatively dry sub-arc mantle wedge appears to be an effective medium through which subducted water is transported from slabs toward the surface.","container-title":"Earth and Planetary Science Letters","DOI":"10.1016/S0012-821X(02)00663-5","ISSN":"0012-821X","issue":"1","journalAbbreviation":"Earth and Planetary Science Letters","page":"69-86","source":"ScienceDirect","title":"Low water contents in pyroxenes from spinel-peridotites of the oxidized, sub-arc mantle wedge","volume":"201","author":[{"family":"Peslier","given":"Anne H"},{"family":"Luhr","given":"James F"},{"family":"Post","given":"Jeffrey"}],"issued":{"date-parts":[["2002"]]}}},{"id":2911,"uris":["http://zotero.org/users/88665/items/2QV77GNQ"],"uri":["http://zotero.org/users/88665/items/2QV77GNQ"],"itemData":{"id":2911,"type":"article-journal","abstract":"The concentration and distribution of volatiles in the Earth's mantle influence properties such as melting temperature, conductivity, and viscosity. To constrain upper mantle water content, concentrations of H2O, P, and F were measured in olivine, orthopyroxene, and clinopyroxene in mantle peridotites by secondary ion mass spectrometry. Analyzed peridotites are xenoliths (Pali Aike, Spitsbergen, Samoa), orogenic peridotites (Josephine Peridotite), and abyssal peridotites (Gakkel Ridge, Southwest Indian Ridge, Tonga Trench). The comparison of fresh and altered peridotites demonstrates that low to moderate levels of alteration do not affect H2O concentrations, in agreement with mineral diffusion data. Olivines have diffusively lost water during emplacement, as demonstrated by disequilibrium between olivine and coexisting pyroxenes. In contrast, clinopyroxene and orthopyroxene preserve their high-temperature water contents, and their partitioning agrees with published experiments and other xenoliths. Hence, olivine water concentrations can be determined from pyroxene concentrations using mineral-mineral partition coefficients. Clinopyroxenes have 60–670 ppm H2O, while orthopyroxenes have 10–300 ppm, which gives calculated olivine concentrations of 8–34 ppm. The highest olivine water concentration translates to an effective viscosity of 6 × 1019 Pa s at 1250°C and ~15 km depth, compared to a dry effective viscosity of 2.5 × 1021 Pa s. Bulk rock water concentrations, calculated using mineral modes, are 20–220 ppm and correlate with peridotite indices of melt depletion. However, trace element melt modeling indicates that peridotites have too much water relative to their rare earth element concentrations, which may be explained by late-stage melt addition, during which only hydrogen diffuses fast enough for reequilibration.","container-title":"Journal of Geophysical Research: Solid Earth","DOI":"10.1002/2013JB010328","ISSN":"2169-9356","issue":"3","journalAbbreviation":"Journal of Geophysical Research: Solid Earth","language":"en","note":"00032","page":"2013JB010328","source":"Wiley Online Library","title":"Pyroxenes as tracers of mantle water variations","volume":"119","author":[{"family":"Warren","given":"Jessica M."},{"family":"Hauri","given":"Erik H."}],"issued":{"date-parts":[["2014",3,1]]}}}],"schema":"https://github.com/citation-style-language/schema/raw/master/csl-citation.json"} </w:instrText>
      </w:r>
      <w:r w:rsidR="002D32B2">
        <w:fldChar w:fldCharType="separate"/>
      </w:r>
      <w:r w:rsidR="00636367">
        <w:t>(Peslier et al., 2002; Bell et al., 2005; Grant et al., 2007; Bonadiman et al., 2009; Mosenfelder and Rossman, 2013b; Warren and Hauri, 2014; Bizimis and Peslier, 2015; Demouchy and Bolfan-Casanova, 2016)</w:t>
      </w:r>
      <w:r w:rsidR="002D32B2">
        <w:fldChar w:fldCharType="end"/>
      </w:r>
      <w:r w:rsidR="002D32B2">
        <w:t xml:space="preserve">. </w:t>
      </w:r>
    </w:p>
    <w:p w14:paraId="1F079ABA" w14:textId="1E1870B0" w:rsidR="00666B1B" w:rsidRPr="009E5889" w:rsidRDefault="00666B1B" w:rsidP="00C20C0B">
      <w:pPr>
        <w:spacing w:line="480" w:lineRule="auto"/>
        <w:ind w:firstLine="720"/>
        <w:jc w:val="both"/>
      </w:pPr>
    </w:p>
    <w:p w14:paraId="5426CA01" w14:textId="712F6130" w:rsidR="00F62331" w:rsidRPr="00C81BB4" w:rsidRDefault="00734BE9" w:rsidP="00C20C0B">
      <w:pPr>
        <w:pStyle w:val="Heading2"/>
        <w:spacing w:line="480" w:lineRule="auto"/>
      </w:pPr>
      <w:r>
        <w:t>5</w:t>
      </w:r>
      <w:r w:rsidR="00F62331" w:rsidRPr="004E4764">
        <w:t>.</w:t>
      </w:r>
      <w:r w:rsidR="00F62331" w:rsidRPr="009E306E">
        <w:t>2 F</w:t>
      </w:r>
      <w:r w:rsidR="005623FE" w:rsidRPr="00E14312">
        <w:t xml:space="preserve">luorine </w:t>
      </w:r>
      <w:r w:rsidR="00F62331" w:rsidRPr="00EF2F08">
        <w:t xml:space="preserve">contents </w:t>
      </w:r>
    </w:p>
    <w:p w14:paraId="1A9C1771" w14:textId="5B1F55D6" w:rsidR="00ED1612" w:rsidRDefault="00321BA8" w:rsidP="00C20C0B">
      <w:pPr>
        <w:spacing w:after="200" w:line="480" w:lineRule="auto"/>
        <w:ind w:firstLine="360"/>
        <w:jc w:val="both"/>
      </w:pPr>
      <w:r>
        <w:t>M</w:t>
      </w:r>
      <w:r w:rsidR="00A743EB" w:rsidRPr="00661AE1">
        <w:t xml:space="preserve">antle </w:t>
      </w:r>
      <w:r w:rsidR="003213B6" w:rsidRPr="00661AE1">
        <w:t>olivine</w:t>
      </w:r>
      <w:r w:rsidR="0051726E" w:rsidRPr="00661AE1">
        <w:t xml:space="preserve">s </w:t>
      </w:r>
      <w:r w:rsidR="00A24B39" w:rsidRPr="00661AE1">
        <w:t xml:space="preserve">from </w:t>
      </w:r>
      <w:r w:rsidR="00E90E9D" w:rsidRPr="00661AE1">
        <w:t>southern</w:t>
      </w:r>
      <w:r w:rsidR="00A24B39" w:rsidRPr="00661AE1">
        <w:t xml:space="preserve"> Patagonia and the Antarctic Peninsula</w:t>
      </w:r>
      <w:r w:rsidR="00CA47F2">
        <w:t xml:space="preserve"> (</w:t>
      </w:r>
      <w:r w:rsidR="00CA47F2" w:rsidRPr="009B315C">
        <w:rPr>
          <w:b/>
          <w:color w:val="000000" w:themeColor="text1"/>
        </w:rPr>
        <w:t>Table 2</w:t>
      </w:r>
      <w:r w:rsidR="00CA47F2">
        <w:t>)</w:t>
      </w:r>
      <w:r w:rsidR="00A6276D">
        <w:t xml:space="preserve"> </w:t>
      </w:r>
      <w:r>
        <w:t>have low</w:t>
      </w:r>
      <w:r w:rsidRPr="00661AE1">
        <w:t xml:space="preserve"> fluorine concentrations (&lt; </w:t>
      </w:r>
      <w:r w:rsidR="004910A9">
        <w:t>15</w:t>
      </w:r>
      <w:r w:rsidR="004910A9" w:rsidRPr="00661AE1">
        <w:t xml:space="preserve"> </w:t>
      </w:r>
      <w:r w:rsidR="00C5757D">
        <w:t>ppmw</w:t>
      </w:r>
      <w:r w:rsidRPr="00661AE1">
        <w:t>)</w:t>
      </w:r>
      <w:r w:rsidR="00A6276D">
        <w:t>.</w:t>
      </w:r>
      <w:r>
        <w:t xml:space="preserve"> </w:t>
      </w:r>
      <w:r w:rsidR="00281F63" w:rsidRPr="00661AE1">
        <w:t>The</w:t>
      </w:r>
      <w:r w:rsidR="00A6276D">
        <w:t>se</w:t>
      </w:r>
      <w:r w:rsidR="00281F63" w:rsidRPr="00661AE1">
        <w:t xml:space="preserve"> are </w:t>
      </w:r>
      <w:r w:rsidR="00A6276D">
        <w:t xml:space="preserve">typically </w:t>
      </w:r>
      <w:r w:rsidR="00460C41" w:rsidRPr="00661AE1">
        <w:t>l</w:t>
      </w:r>
      <w:r w:rsidR="00457255">
        <w:t>ess</w:t>
      </w:r>
      <w:r w:rsidR="00460C41" w:rsidRPr="00661AE1">
        <w:t xml:space="preserve"> than </w:t>
      </w:r>
      <w:r w:rsidR="003D7ECB" w:rsidRPr="00661AE1">
        <w:t>those of</w:t>
      </w:r>
      <w:r w:rsidR="00F14FF2" w:rsidRPr="00661AE1">
        <w:t xml:space="preserve"> </w:t>
      </w:r>
      <w:r w:rsidR="00460C41" w:rsidRPr="00661AE1">
        <w:t xml:space="preserve">co-existing </w:t>
      </w:r>
      <w:r w:rsidR="00460C41" w:rsidRPr="00661AE1">
        <w:lastRenderedPageBreak/>
        <w:t>orthopyroxenes</w:t>
      </w:r>
      <w:r w:rsidR="00CA47F2">
        <w:t xml:space="preserve">, </w:t>
      </w:r>
      <w:r w:rsidR="00A6276D">
        <w:t xml:space="preserve">in </w:t>
      </w:r>
      <w:r w:rsidR="00CA47F2">
        <w:t xml:space="preserve">which </w:t>
      </w:r>
      <w:r w:rsidR="00CA47F2" w:rsidRPr="00661AE1">
        <w:t xml:space="preserve">F </w:t>
      </w:r>
      <w:r w:rsidR="00912AC3">
        <w:t>range from below detection levels</w:t>
      </w:r>
      <w:r w:rsidR="004910A9">
        <w:t xml:space="preserve"> </w:t>
      </w:r>
      <w:r w:rsidR="00A6276D">
        <w:t xml:space="preserve">to </w:t>
      </w:r>
      <w:r w:rsidR="004910A9" w:rsidRPr="00661AE1">
        <w:t>4</w:t>
      </w:r>
      <w:r w:rsidR="004910A9">
        <w:t>4</w:t>
      </w:r>
      <w:r w:rsidR="004910A9" w:rsidRPr="00661AE1">
        <w:t xml:space="preserve"> </w:t>
      </w:r>
      <w:r w:rsidR="00C5757D">
        <w:t>ppmw</w:t>
      </w:r>
      <w:r w:rsidR="00CA47F2" w:rsidRPr="00661AE1">
        <w:t xml:space="preserve">. </w:t>
      </w:r>
      <w:r w:rsidR="00CA47F2">
        <w:t>O</w:t>
      </w:r>
      <w:r w:rsidR="00CA47F2" w:rsidRPr="00661AE1">
        <w:t>rthopyroxene</w:t>
      </w:r>
      <w:r w:rsidR="00CA47F2">
        <w:t>s with the lowest F contents are</w:t>
      </w:r>
      <w:r w:rsidR="00CA47F2" w:rsidRPr="00661AE1">
        <w:t xml:space="preserve"> from spinel lherzolites LT1 (</w:t>
      </w:r>
      <w:r w:rsidR="005A15C2">
        <w:t>southern Patagonia</w:t>
      </w:r>
      <w:r w:rsidR="00CA47F2" w:rsidRPr="00661AE1">
        <w:t xml:space="preserve">) and KG3610.11C (Antarctic Peninsula), which are also distinguished by their low </w:t>
      </w:r>
      <w:r w:rsidR="00CA47F2">
        <w:t>LREE</w:t>
      </w:r>
      <w:r w:rsidR="00757B9B">
        <w:t>, Na</w:t>
      </w:r>
      <w:r w:rsidR="00CA47F2" w:rsidRPr="00661AE1">
        <w:t xml:space="preserve"> and Ti contents. In the other peridotite xenoliths, F contents of orthopyroxene are relatively constant with the highest concentrations occurring in </w:t>
      </w:r>
      <w:r w:rsidR="00E80E10">
        <w:t xml:space="preserve">Pali Aike samples and </w:t>
      </w:r>
      <w:r w:rsidR="00A1480C">
        <w:t>two</w:t>
      </w:r>
      <w:r w:rsidR="00883A6F">
        <w:t xml:space="preserve"> </w:t>
      </w:r>
      <w:r w:rsidR="00E80E10">
        <w:t xml:space="preserve">spinel </w:t>
      </w:r>
      <w:r w:rsidR="00A1480C">
        <w:t>lherzol</w:t>
      </w:r>
      <w:r w:rsidR="00E80E10">
        <w:t>ite</w:t>
      </w:r>
      <w:r w:rsidR="00A1480C">
        <w:t>s</w:t>
      </w:r>
      <w:r w:rsidR="00E80E10">
        <w:t xml:space="preserve"> </w:t>
      </w:r>
      <w:r w:rsidR="00883A6F">
        <w:t>(</w:t>
      </w:r>
      <w:r w:rsidR="00E80E10">
        <w:t>KG3619.12</w:t>
      </w:r>
      <w:r w:rsidR="00A1480C" w:rsidRPr="00A1480C">
        <w:t xml:space="preserve"> </w:t>
      </w:r>
      <w:r w:rsidR="00A1480C">
        <w:t>&amp; KG3610.2</w:t>
      </w:r>
      <w:r w:rsidR="00883A6F">
        <w:t>)</w:t>
      </w:r>
      <w:r w:rsidR="00E80E10">
        <w:t xml:space="preserve"> from the Antarctic Peninsula</w:t>
      </w:r>
      <w:r w:rsidR="00A15F37">
        <w:t xml:space="preserve"> (</w:t>
      </w:r>
      <w:r w:rsidR="00A15F37" w:rsidRPr="009B315C">
        <w:rPr>
          <w:b/>
          <w:color w:val="000000" w:themeColor="text1"/>
        </w:rPr>
        <w:t xml:space="preserve">Figure </w:t>
      </w:r>
      <w:r w:rsidR="0044633B">
        <w:rPr>
          <w:b/>
          <w:color w:val="000000" w:themeColor="text1"/>
        </w:rPr>
        <w:t>2</w:t>
      </w:r>
      <w:r w:rsidR="0044633B" w:rsidRPr="009B315C">
        <w:rPr>
          <w:b/>
          <w:color w:val="000000" w:themeColor="text1"/>
        </w:rPr>
        <w:t>b</w:t>
      </w:r>
      <w:r w:rsidR="00A15F37">
        <w:t>)</w:t>
      </w:r>
      <w:r w:rsidR="00CA47F2" w:rsidRPr="00661AE1">
        <w:t xml:space="preserve">. </w:t>
      </w:r>
    </w:p>
    <w:p w14:paraId="1CCE0BC7" w14:textId="4171F1F5" w:rsidR="002D32B2" w:rsidRDefault="00B150C5" w:rsidP="00C20C0B">
      <w:pPr>
        <w:spacing w:after="200" w:line="480" w:lineRule="auto"/>
        <w:ind w:firstLine="360"/>
        <w:jc w:val="both"/>
        <w:rPr>
          <w:b/>
          <w:color w:val="000000" w:themeColor="text1"/>
        </w:rPr>
      </w:pPr>
      <w:r>
        <w:t xml:space="preserve">Of the nominally-volatile free minerals that we analysed, </w:t>
      </w:r>
      <w:r w:rsidR="00CA47F2">
        <w:t xml:space="preserve">the highest F contents </w:t>
      </w:r>
      <w:r>
        <w:t xml:space="preserve">are </w:t>
      </w:r>
      <w:r w:rsidR="00CA47F2">
        <w:t xml:space="preserve">in </w:t>
      </w:r>
      <w:r w:rsidR="00391BD0" w:rsidRPr="00661AE1">
        <w:t>clinopyroxenes</w:t>
      </w:r>
      <w:r w:rsidR="00703977" w:rsidRPr="00661AE1">
        <w:rPr>
          <w:color w:val="FF0000"/>
        </w:rPr>
        <w:t xml:space="preserve"> </w:t>
      </w:r>
      <w:r w:rsidR="00703977" w:rsidRPr="009B315C">
        <w:rPr>
          <w:color w:val="000000" w:themeColor="text1"/>
        </w:rPr>
        <w:t>(</w:t>
      </w:r>
      <w:r w:rsidR="00703977" w:rsidRPr="009B315C">
        <w:rPr>
          <w:b/>
          <w:color w:val="000000" w:themeColor="text1"/>
        </w:rPr>
        <w:t>Table 2</w:t>
      </w:r>
      <w:r w:rsidR="00703977" w:rsidRPr="009B315C">
        <w:rPr>
          <w:color w:val="000000" w:themeColor="text1"/>
        </w:rPr>
        <w:t>)</w:t>
      </w:r>
      <w:r w:rsidR="00D35F89" w:rsidRPr="00661AE1">
        <w:t xml:space="preserve">. </w:t>
      </w:r>
      <w:r w:rsidR="00D24A00" w:rsidRPr="00661AE1">
        <w:t>For the Antarctic Peninsula, t</w:t>
      </w:r>
      <w:r w:rsidR="00A84C42" w:rsidRPr="00661AE1">
        <w:t xml:space="preserve">he highest concentrations </w:t>
      </w:r>
      <w:r w:rsidR="00D24A00" w:rsidRPr="00661AE1">
        <w:t xml:space="preserve">of F </w:t>
      </w:r>
      <w:r w:rsidR="00B21292" w:rsidRPr="00661AE1">
        <w:t>occur</w:t>
      </w:r>
      <w:r w:rsidR="00A84C42" w:rsidRPr="00661AE1">
        <w:t xml:space="preserve"> in </w:t>
      </w:r>
      <w:r w:rsidR="00F576F4" w:rsidRPr="00661AE1">
        <w:t>T</w:t>
      </w:r>
      <w:r w:rsidR="008B0C15">
        <w:t>i</w:t>
      </w:r>
      <w:r w:rsidR="00F576F4" w:rsidRPr="00661AE1">
        <w:t>-Al augites</w:t>
      </w:r>
      <w:r w:rsidR="00E50B6D" w:rsidRPr="00661AE1">
        <w:t xml:space="preserve"> </w:t>
      </w:r>
      <w:r w:rsidR="00E6420E" w:rsidRPr="00661AE1">
        <w:t>found in</w:t>
      </w:r>
      <w:r w:rsidR="00E50B6D" w:rsidRPr="00661AE1">
        <w:t xml:space="preserve"> </w:t>
      </w:r>
      <w:r w:rsidR="004F0545" w:rsidRPr="00661AE1">
        <w:t>the</w:t>
      </w:r>
      <w:r w:rsidR="00531646" w:rsidRPr="00661AE1">
        <w:t xml:space="preserve"> </w:t>
      </w:r>
      <w:r w:rsidR="00627AEB">
        <w:t>clino</w:t>
      </w:r>
      <w:r w:rsidR="00A84C42" w:rsidRPr="00661AE1">
        <w:t>pyroxenites</w:t>
      </w:r>
      <w:r w:rsidR="00B21292" w:rsidRPr="00661AE1">
        <w:t xml:space="preserve"> </w:t>
      </w:r>
      <w:r w:rsidR="004F0545" w:rsidRPr="00661AE1">
        <w:t xml:space="preserve">(119 ±27 </w:t>
      </w:r>
      <w:r w:rsidR="00C5757D">
        <w:t>ppmw</w:t>
      </w:r>
      <w:r w:rsidR="004F0545" w:rsidRPr="00661AE1">
        <w:t xml:space="preserve">) </w:t>
      </w:r>
      <w:r w:rsidR="00B21292" w:rsidRPr="00661AE1">
        <w:t xml:space="preserve">and </w:t>
      </w:r>
      <w:r w:rsidR="00962D77" w:rsidRPr="00661AE1">
        <w:t xml:space="preserve">high-Ti </w:t>
      </w:r>
      <w:r w:rsidR="00F576F4" w:rsidRPr="00661AE1">
        <w:t xml:space="preserve">Cr-diopsides in </w:t>
      </w:r>
      <w:r w:rsidR="00B21292" w:rsidRPr="00661AE1">
        <w:t>spinel lherzolite</w:t>
      </w:r>
      <w:r w:rsidR="00A84C42" w:rsidRPr="00661AE1">
        <w:t xml:space="preserve"> </w:t>
      </w:r>
      <w:r w:rsidR="002A2657" w:rsidRPr="00661AE1">
        <w:t>KG3619.12</w:t>
      </w:r>
      <w:r w:rsidR="00385F56">
        <w:t xml:space="preserve"> (</w:t>
      </w:r>
      <w:r w:rsidR="004F0545" w:rsidRPr="00661AE1">
        <w:t xml:space="preserve">154 </w:t>
      </w:r>
      <w:r w:rsidR="00C5757D">
        <w:t>ppmw</w:t>
      </w:r>
      <w:r w:rsidR="004F0545" w:rsidRPr="00661AE1">
        <w:t>)</w:t>
      </w:r>
      <w:r w:rsidR="00F576F4" w:rsidRPr="00661AE1">
        <w:t>,</w:t>
      </w:r>
      <w:r w:rsidR="00B21292" w:rsidRPr="009B315C" w:rsidDel="00B21292">
        <w:t xml:space="preserve"> </w:t>
      </w:r>
      <w:r w:rsidR="00540B8F" w:rsidRPr="00661AE1">
        <w:t>whereas</w:t>
      </w:r>
      <w:r w:rsidR="00B21292" w:rsidRPr="00661AE1">
        <w:t xml:space="preserve"> the lowest </w:t>
      </w:r>
      <w:r w:rsidR="00540B8F" w:rsidRPr="00661AE1">
        <w:t xml:space="preserve">occur </w:t>
      </w:r>
      <w:r w:rsidR="00B21292" w:rsidRPr="00661AE1">
        <w:t xml:space="preserve">in </w:t>
      </w:r>
      <w:r w:rsidR="00531646" w:rsidRPr="00661AE1">
        <w:t>a</w:t>
      </w:r>
      <w:r w:rsidR="00B21292" w:rsidRPr="00661AE1">
        <w:t xml:space="preserve"> </w:t>
      </w:r>
      <w:r w:rsidR="00D35F89" w:rsidRPr="00661AE1">
        <w:t xml:space="preserve">spinel </w:t>
      </w:r>
      <w:r w:rsidR="00385F56">
        <w:t xml:space="preserve">harzburgite </w:t>
      </w:r>
      <w:r w:rsidR="00B21292" w:rsidRPr="00661AE1">
        <w:t>KG361</w:t>
      </w:r>
      <w:r w:rsidR="00D35F89" w:rsidRPr="00661AE1">
        <w:t>0</w:t>
      </w:r>
      <w:r w:rsidR="00B21292" w:rsidRPr="00661AE1">
        <w:t>.10A</w:t>
      </w:r>
      <w:r w:rsidR="00531646" w:rsidRPr="00661AE1">
        <w:t xml:space="preserve"> </w:t>
      </w:r>
      <w:r w:rsidR="00385F56">
        <w:t>(</w:t>
      </w:r>
      <w:r w:rsidR="00B21292" w:rsidRPr="00661AE1">
        <w:t xml:space="preserve">5-10 </w:t>
      </w:r>
      <w:r w:rsidR="00C5757D">
        <w:t>ppmw</w:t>
      </w:r>
      <w:r w:rsidR="00B21292" w:rsidRPr="00661AE1">
        <w:t>)</w:t>
      </w:r>
      <w:r w:rsidR="00A84C42" w:rsidRPr="00661AE1">
        <w:t xml:space="preserve">. </w:t>
      </w:r>
      <w:r w:rsidR="00A23D05" w:rsidRPr="00661AE1">
        <w:t xml:space="preserve">Contents of F </w:t>
      </w:r>
      <w:r w:rsidR="001715E7">
        <w:t xml:space="preserve">exhibit a weak </w:t>
      </w:r>
      <w:r w:rsidR="00A23D05" w:rsidRPr="00661AE1">
        <w:t>correlat</w:t>
      </w:r>
      <w:r w:rsidR="001715E7">
        <w:t>ion</w:t>
      </w:r>
      <w:r w:rsidR="00A23D05" w:rsidRPr="00661AE1">
        <w:t xml:space="preserve"> with modal abundance of mantle clinopyroxene (</w:t>
      </w:r>
      <w:r w:rsidR="00457255" w:rsidRPr="009B315C">
        <w:rPr>
          <w:b/>
        </w:rPr>
        <w:t>Tables 1 &amp; 2</w:t>
      </w:r>
      <w:r w:rsidR="00A23D05" w:rsidRPr="00661AE1">
        <w:t>)</w:t>
      </w:r>
      <w:r w:rsidR="00E80E10">
        <w:t xml:space="preserve">. </w:t>
      </w:r>
      <w:r w:rsidR="00457255">
        <w:t>While t</w:t>
      </w:r>
      <w:r w:rsidR="00A23D05">
        <w:rPr>
          <w:color w:val="000000" w:themeColor="text1"/>
        </w:rPr>
        <w:t>he F contents</w:t>
      </w:r>
      <w:r w:rsidR="00A23D05" w:rsidRPr="003565ED">
        <w:rPr>
          <w:color w:val="000000" w:themeColor="text1"/>
        </w:rPr>
        <w:t xml:space="preserve"> </w:t>
      </w:r>
      <w:r w:rsidR="00A23D05">
        <w:rPr>
          <w:color w:val="000000" w:themeColor="text1"/>
        </w:rPr>
        <w:t xml:space="preserve">of </w:t>
      </w:r>
      <w:r w:rsidR="00CA261A" w:rsidRPr="009B315C">
        <w:rPr>
          <w:color w:val="000000" w:themeColor="text1"/>
        </w:rPr>
        <w:t>clinopyroxene</w:t>
      </w:r>
      <w:r w:rsidR="00CA47F2">
        <w:rPr>
          <w:color w:val="000000" w:themeColor="text1"/>
        </w:rPr>
        <w:t>s</w:t>
      </w:r>
      <w:r w:rsidR="00CA261A" w:rsidRPr="009B315C">
        <w:rPr>
          <w:color w:val="000000" w:themeColor="text1"/>
        </w:rPr>
        <w:t xml:space="preserve"> in </w:t>
      </w:r>
      <w:r w:rsidR="00B21292" w:rsidRPr="009B315C">
        <w:rPr>
          <w:color w:val="000000" w:themeColor="text1"/>
        </w:rPr>
        <w:t>garnet</w:t>
      </w:r>
      <w:r w:rsidR="00D36C46" w:rsidRPr="009B315C">
        <w:rPr>
          <w:color w:val="000000" w:themeColor="text1"/>
        </w:rPr>
        <w:t>+spinel</w:t>
      </w:r>
      <w:r w:rsidR="00B21292" w:rsidRPr="009B315C">
        <w:rPr>
          <w:color w:val="000000" w:themeColor="text1"/>
        </w:rPr>
        <w:t xml:space="preserve"> </w:t>
      </w:r>
      <w:r w:rsidR="00AE19A7" w:rsidRPr="009B315C">
        <w:rPr>
          <w:color w:val="000000" w:themeColor="text1"/>
        </w:rPr>
        <w:t>bearing</w:t>
      </w:r>
      <w:r w:rsidR="00B21292" w:rsidRPr="009B315C">
        <w:rPr>
          <w:color w:val="000000" w:themeColor="text1"/>
        </w:rPr>
        <w:t xml:space="preserve"> </w:t>
      </w:r>
      <w:r w:rsidR="00E80E10">
        <w:rPr>
          <w:color w:val="000000" w:themeColor="text1"/>
        </w:rPr>
        <w:t xml:space="preserve">and spinel-bearing </w:t>
      </w:r>
      <w:r w:rsidR="00B21292" w:rsidRPr="009B315C">
        <w:rPr>
          <w:color w:val="000000" w:themeColor="text1"/>
        </w:rPr>
        <w:t>xenoliths</w:t>
      </w:r>
      <w:r w:rsidR="00464DEA" w:rsidRPr="009B315C">
        <w:rPr>
          <w:color w:val="000000" w:themeColor="text1"/>
        </w:rPr>
        <w:t xml:space="preserve"> from southern Patagonia</w:t>
      </w:r>
      <w:r w:rsidR="00CA47F2">
        <w:rPr>
          <w:color w:val="000000" w:themeColor="text1"/>
        </w:rPr>
        <w:t xml:space="preserve"> </w:t>
      </w:r>
      <w:r w:rsidR="00E80E10">
        <w:rPr>
          <w:color w:val="000000" w:themeColor="text1"/>
        </w:rPr>
        <w:t>overlap</w:t>
      </w:r>
      <w:r w:rsidR="00457255">
        <w:rPr>
          <w:color w:val="000000" w:themeColor="text1"/>
        </w:rPr>
        <w:t xml:space="preserve">, </w:t>
      </w:r>
      <w:r w:rsidR="00E80E10">
        <w:rPr>
          <w:color w:val="000000" w:themeColor="text1"/>
        </w:rPr>
        <w:t>the highest contents are found in garnet</w:t>
      </w:r>
      <w:r w:rsidR="00627AEB">
        <w:rPr>
          <w:color w:val="000000" w:themeColor="text1"/>
        </w:rPr>
        <w:t>-</w:t>
      </w:r>
      <w:r w:rsidR="00E80E10">
        <w:rPr>
          <w:color w:val="000000" w:themeColor="text1"/>
        </w:rPr>
        <w:t>bearing samples</w:t>
      </w:r>
      <w:r w:rsidR="007C2C4D">
        <w:rPr>
          <w:color w:val="000000" w:themeColor="text1"/>
        </w:rPr>
        <w:t xml:space="preserve"> </w:t>
      </w:r>
      <w:r w:rsidR="007C2C4D">
        <w:t>(</w:t>
      </w:r>
      <w:r w:rsidR="007C2C4D" w:rsidRPr="009B315C">
        <w:rPr>
          <w:b/>
          <w:color w:val="000000" w:themeColor="text1"/>
        </w:rPr>
        <w:t xml:space="preserve">Figure </w:t>
      </w:r>
      <w:r w:rsidR="007C2C4D">
        <w:rPr>
          <w:b/>
          <w:color w:val="000000" w:themeColor="text1"/>
        </w:rPr>
        <w:t>2</w:t>
      </w:r>
      <w:r w:rsidR="007C2C4D" w:rsidRPr="009B315C">
        <w:rPr>
          <w:b/>
          <w:color w:val="000000" w:themeColor="text1"/>
        </w:rPr>
        <w:t>b</w:t>
      </w:r>
      <w:r w:rsidR="007C2C4D">
        <w:t>)</w:t>
      </w:r>
      <w:r w:rsidR="00FF42A6">
        <w:rPr>
          <w:color w:val="000000" w:themeColor="text1"/>
        </w:rPr>
        <w:t>.</w:t>
      </w:r>
    </w:p>
    <w:p w14:paraId="240C711F" w14:textId="4B5C23B0" w:rsidR="002D32B2" w:rsidRDefault="002D32B2" w:rsidP="00C20C0B">
      <w:pPr>
        <w:spacing w:line="480" w:lineRule="auto"/>
        <w:ind w:firstLine="360"/>
        <w:jc w:val="both"/>
      </w:pPr>
      <w:r>
        <w:t xml:space="preserve">In the peridotite xenoliths from southern Patagonia and the Antarctic Peninsula </w:t>
      </w:r>
      <m:oMath>
        <m:sSubSup>
          <m:sSubSupPr>
            <m:ctrlPr>
              <w:rPr>
                <w:rFonts w:ascii="Cambria Math" w:hAnsi="Cambria Math"/>
                <w:i/>
              </w:rPr>
            </m:ctrlPr>
          </m:sSubSupPr>
          <m:e>
            <m:r>
              <w:rPr>
                <w:rFonts w:ascii="Cambria Math" w:hAnsi="Cambria Math"/>
              </w:rPr>
              <m:t>D</m:t>
            </m:r>
          </m:e>
          <m:sub>
            <m:r>
              <w:rPr>
                <w:rFonts w:ascii="Cambria Math" w:hAnsi="Cambria Math"/>
              </w:rPr>
              <m:t>F</m:t>
            </m:r>
          </m:sub>
          <m:sup>
            <m:r>
              <w:rPr>
                <w:rFonts w:ascii="Cambria Math" w:hAnsi="Cambria Math"/>
              </w:rPr>
              <m:t>Cpx-Opx</m:t>
            </m:r>
          </m:sup>
        </m:sSubSup>
      </m:oMath>
      <w:r>
        <w:t xml:space="preserve"> ranges from 0.5 to 4 (</w:t>
      </w:r>
      <w:r>
        <w:rPr>
          <w:b/>
          <w:color w:val="000000" w:themeColor="text1"/>
        </w:rPr>
        <w:t xml:space="preserve">Figure </w:t>
      </w:r>
      <w:r w:rsidR="0044633B">
        <w:rPr>
          <w:b/>
          <w:color w:val="000000" w:themeColor="text1"/>
        </w:rPr>
        <w:t>2b</w:t>
      </w:r>
      <w:r>
        <w:t xml:space="preserve">) and similar to </w:t>
      </w:r>
      <m:oMath>
        <m:sSubSup>
          <m:sSubSupPr>
            <m:ctrlPr>
              <w:rPr>
                <w:rFonts w:ascii="Cambria Math" w:hAnsi="Cambria Math"/>
                <w:i/>
              </w:rPr>
            </m:ctrlPr>
          </m:sSubSupPr>
          <m:e>
            <m:r>
              <m:rPr>
                <m:nor/>
              </m:rPr>
              <w:rPr>
                <w:rFonts w:ascii="Cambria Math" w:hAnsi="Cambria Math"/>
                <w:i/>
              </w:rPr>
              <m:t>D</m:t>
            </m:r>
          </m:e>
          <m:sub>
            <m:r>
              <m:rPr>
                <m:nor/>
              </m:rPr>
              <w:rPr>
                <w:rFonts w:ascii="Cambria Math" w:hAnsi="Cambria Math"/>
                <w:i/>
              </w:rPr>
              <m:t>H</m:t>
            </m:r>
            <m:r>
              <m:rPr>
                <m:nor/>
              </m:rPr>
              <w:rPr>
                <w:rFonts w:ascii="Cambria Math" w:hAnsi="Cambria Math"/>
                <w:i/>
                <w:vertAlign w:val="subscript"/>
              </w:rPr>
              <m:t>2</m:t>
            </m:r>
            <m:r>
              <m:rPr>
                <m:nor/>
              </m:rPr>
              <w:rPr>
                <w:rFonts w:ascii="Cambria Math" w:hAnsi="Cambria Math"/>
                <w:i/>
              </w:rPr>
              <m:t>O</m:t>
            </m:r>
          </m:sub>
          <m:sup>
            <m:r>
              <m:rPr>
                <m:nor/>
              </m:rPr>
              <w:rPr>
                <w:rFonts w:ascii="Cambria Math" w:hAnsi="Cambria Math"/>
                <w:i/>
              </w:rPr>
              <m:t xml:space="preserve"> Cpx-Opx</m:t>
            </m:r>
          </m:sup>
        </m:sSubSup>
        <m:r>
          <w:rPr>
            <w:rFonts w:ascii="Cambria Math" w:hAnsi="Cambria Math"/>
          </w:rPr>
          <m:t xml:space="preserve"> </m:t>
        </m:r>
      </m:oMath>
      <w:r>
        <w:t xml:space="preserve">described above. The overall variation of </w:t>
      </w:r>
      <m:oMath>
        <m:sSubSup>
          <m:sSubSupPr>
            <m:ctrlPr>
              <w:rPr>
                <w:rFonts w:ascii="Cambria Math" w:hAnsi="Cambria Math"/>
                <w:i/>
              </w:rPr>
            </m:ctrlPr>
          </m:sSubSupPr>
          <m:e>
            <m:r>
              <w:rPr>
                <w:rFonts w:ascii="Cambria Math" w:hAnsi="Cambria Math"/>
              </w:rPr>
              <m:t>D</m:t>
            </m:r>
          </m:e>
          <m:sub>
            <m:r>
              <w:rPr>
                <w:rFonts w:ascii="Cambria Math" w:hAnsi="Cambria Math"/>
              </w:rPr>
              <m:t>F</m:t>
            </m:r>
          </m:sub>
          <m:sup>
            <m:r>
              <w:rPr>
                <w:rFonts w:ascii="Cambria Math" w:hAnsi="Cambria Math"/>
              </w:rPr>
              <m:t>Cpx-Opx</m:t>
            </m:r>
          </m:sup>
        </m:sSubSup>
      </m:oMath>
      <w:r>
        <w:t xml:space="preserve"> </w:t>
      </w:r>
      <w:r w:rsidR="004910A9">
        <w:t xml:space="preserve">which </w:t>
      </w:r>
      <w:r>
        <w:t xml:space="preserve">we observed in </w:t>
      </w:r>
      <w:r w:rsidR="00481714">
        <w:t xml:space="preserve">these </w:t>
      </w:r>
      <w:r w:rsidR="004C615D">
        <w:t>“</w:t>
      </w:r>
      <w:r w:rsidR="00481714">
        <w:t>off-craton</w:t>
      </w:r>
      <w:r w:rsidR="004C615D">
        <w:t>”</w:t>
      </w:r>
      <w:r w:rsidR="00481714">
        <w:t xml:space="preserve"> </w:t>
      </w:r>
      <w:r>
        <w:t xml:space="preserve">peridotites is similar to </w:t>
      </w:r>
      <w:r w:rsidR="006A4048">
        <w:t>that of</w:t>
      </w:r>
      <w:r>
        <w:t xml:space="preserve"> Urann et al. (2017)</w:t>
      </w:r>
      <w:r w:rsidR="003E4CF7">
        <w:t>,</w:t>
      </w:r>
      <w:r>
        <w:t xml:space="preserve"> who analysed nominally-volatile-free mantle phases (mainly in spinel peridotite xenoliths) from a range of tectonic settings and showed that </w:t>
      </w:r>
      <m:oMath>
        <m:sSubSup>
          <m:sSubSupPr>
            <m:ctrlPr>
              <w:rPr>
                <w:rFonts w:ascii="Cambria Math" w:hAnsi="Cambria Math"/>
                <w:i/>
              </w:rPr>
            </m:ctrlPr>
          </m:sSubSupPr>
          <m:e>
            <m:r>
              <w:rPr>
                <w:rFonts w:ascii="Cambria Math" w:hAnsi="Cambria Math"/>
              </w:rPr>
              <m:t>D</m:t>
            </m:r>
          </m:e>
          <m:sub>
            <m:r>
              <w:rPr>
                <w:rFonts w:ascii="Cambria Math" w:hAnsi="Cambria Math"/>
              </w:rPr>
              <m:t>F</m:t>
            </m:r>
          </m:sub>
          <m:sup>
            <m:r>
              <w:rPr>
                <w:rFonts w:ascii="Cambria Math" w:hAnsi="Cambria Math"/>
              </w:rPr>
              <m:t>Cpx-Opx</m:t>
            </m:r>
          </m:sup>
        </m:sSubSup>
      </m:oMath>
      <w:r>
        <w:t xml:space="preserve"> = 0.9-4.9. Our </w:t>
      </w:r>
      <m:oMath>
        <m:sSubSup>
          <m:sSubSupPr>
            <m:ctrlPr>
              <w:rPr>
                <w:rFonts w:ascii="Cambria Math" w:hAnsi="Cambria Math"/>
                <w:i/>
              </w:rPr>
            </m:ctrlPr>
          </m:sSubSupPr>
          <m:e>
            <m:r>
              <w:rPr>
                <w:rFonts w:ascii="Cambria Math" w:hAnsi="Cambria Math"/>
              </w:rPr>
              <m:t>D</m:t>
            </m:r>
          </m:e>
          <m:sub>
            <m:r>
              <w:rPr>
                <w:rFonts w:ascii="Cambria Math" w:hAnsi="Cambria Math"/>
              </w:rPr>
              <m:t>F</m:t>
            </m:r>
          </m:sub>
          <m:sup>
            <m:r>
              <w:rPr>
                <w:rFonts w:ascii="Cambria Math" w:hAnsi="Cambria Math"/>
              </w:rPr>
              <m:t>Cpx-Opx</m:t>
            </m:r>
          </m:sup>
        </m:sSubSup>
      </m:oMath>
      <w:r>
        <w:t xml:space="preserve"> values </w:t>
      </w:r>
      <w:r w:rsidR="007C2C4D">
        <w:t xml:space="preserve">also </w:t>
      </w:r>
      <w:r>
        <w:t xml:space="preserve">fall within the relatively large range </w:t>
      </w:r>
      <w:r w:rsidR="00481714">
        <w:t xml:space="preserve">previously </w:t>
      </w:r>
      <w:r>
        <w:t xml:space="preserve">estimated for abyssal peridotites and ‘shallow’ off-craton mantle (0.2-9; Warren &amp; Hauri, 2014), and </w:t>
      </w:r>
      <w:r w:rsidR="00481714">
        <w:t xml:space="preserve">also </w:t>
      </w:r>
      <w:r>
        <w:t>sub</w:t>
      </w:r>
      <w:r w:rsidR="00481714">
        <w:t>-</w:t>
      </w:r>
      <w:r>
        <w:t xml:space="preserve">arc mantle (1.4 </w:t>
      </w:r>
      <m:oMath>
        <m:r>
          <w:rPr>
            <w:rFonts w:ascii="Cambria Math" w:hAnsi="Cambria Math"/>
          </w:rPr>
          <m:t>-3.6</m:t>
        </m:r>
      </m:oMath>
      <w:r>
        <w:t xml:space="preserve">; Benard et al., 2016). </w:t>
      </w:r>
    </w:p>
    <w:p w14:paraId="0C5C6A16" w14:textId="27105103" w:rsidR="002D32B2" w:rsidRDefault="002D32B2" w:rsidP="00C20C0B">
      <w:pPr>
        <w:spacing w:line="480" w:lineRule="auto"/>
        <w:ind w:firstLine="360"/>
        <w:jc w:val="both"/>
      </w:pPr>
      <w:r>
        <w:t xml:space="preserve"> The partitioning of F between orthopyroxene and olivine (</w:t>
      </w:r>
      <m:oMath>
        <m:sSubSup>
          <m:sSubSupPr>
            <m:ctrlPr>
              <w:rPr>
                <w:rFonts w:ascii="Cambria Math" w:hAnsi="Cambria Math"/>
                <w:i/>
              </w:rPr>
            </m:ctrlPr>
          </m:sSubSupPr>
          <m:e>
            <m:r>
              <w:rPr>
                <w:rFonts w:ascii="Cambria Math" w:hAnsi="Cambria Math"/>
              </w:rPr>
              <m:t>D</m:t>
            </m:r>
          </m:e>
          <m:sub>
            <m:r>
              <w:rPr>
                <w:rFonts w:ascii="Cambria Math" w:hAnsi="Cambria Math"/>
              </w:rPr>
              <m:t>F</m:t>
            </m:r>
          </m:sub>
          <m:sup>
            <m:r>
              <w:rPr>
                <w:rFonts w:ascii="Cambria Math" w:hAnsi="Cambria Math"/>
              </w:rPr>
              <m:t>Opx-Ol</m:t>
            </m:r>
          </m:sup>
        </m:sSubSup>
        <m:r>
          <w:rPr>
            <w:rFonts w:ascii="Cambria Math" w:hAnsi="Cambria Math"/>
          </w:rPr>
          <m:t>)</m:t>
        </m:r>
      </m:oMath>
      <w:r>
        <w:t xml:space="preserve"> in peridotites from southern Patagonia and the Antarctic Peninsula ranges from 1.5 </w:t>
      </w:r>
      <w:r w:rsidR="004C615D">
        <w:t xml:space="preserve">to </w:t>
      </w:r>
      <w:r>
        <w:t>5</w:t>
      </w:r>
      <w:r w:rsidR="009E1479">
        <w:t>,</w:t>
      </w:r>
      <w:r>
        <w:t xml:space="preserve"> and therefore similar to </w:t>
      </w:r>
      <m:oMath>
        <m:sSubSup>
          <m:sSubSupPr>
            <m:ctrlPr>
              <w:rPr>
                <w:rFonts w:ascii="Cambria Math" w:hAnsi="Cambria Math"/>
                <w:i/>
              </w:rPr>
            </m:ctrlPr>
          </m:sSubSupPr>
          <m:e>
            <m:r>
              <w:rPr>
                <w:rFonts w:ascii="Cambria Math" w:hAnsi="Cambria Math"/>
              </w:rPr>
              <m:t>D</m:t>
            </m:r>
          </m:e>
          <m:sub>
            <m:r>
              <w:rPr>
                <w:rFonts w:ascii="Cambria Math" w:hAnsi="Cambria Math"/>
              </w:rPr>
              <m:t>F</m:t>
            </m:r>
          </m:sub>
          <m:sup>
            <m:r>
              <w:rPr>
                <w:rFonts w:ascii="Cambria Math" w:hAnsi="Cambria Math"/>
              </w:rPr>
              <m:t>Cpx-Opx</m:t>
            </m:r>
          </m:sup>
        </m:sSubSup>
      </m:oMath>
      <w:r>
        <w:t xml:space="preserve"> reported above.</w:t>
      </w:r>
      <w:r w:rsidR="00011E59">
        <w:t xml:space="preserve"> </w:t>
      </w:r>
      <m:oMath>
        <m:sSubSup>
          <m:sSubSupPr>
            <m:ctrlPr>
              <w:rPr>
                <w:rFonts w:ascii="Cambria Math" w:hAnsi="Cambria Math"/>
                <w:i/>
              </w:rPr>
            </m:ctrlPr>
          </m:sSubSupPr>
          <m:e>
            <m:r>
              <w:rPr>
                <w:rFonts w:ascii="Cambria Math" w:hAnsi="Cambria Math"/>
              </w:rPr>
              <m:t>D</m:t>
            </m:r>
          </m:e>
          <m:sub>
            <m:r>
              <w:rPr>
                <w:rFonts w:ascii="Cambria Math" w:hAnsi="Cambria Math"/>
              </w:rPr>
              <m:t>F</m:t>
            </m:r>
          </m:sub>
          <m:sup>
            <m:r>
              <w:rPr>
                <w:rFonts w:ascii="Cambria Math" w:hAnsi="Cambria Math"/>
              </w:rPr>
              <m:t>Cpx-Ol</m:t>
            </m:r>
          </m:sup>
        </m:sSubSup>
      </m:oMath>
      <w:r>
        <w:t xml:space="preserve"> varies from 3</w:t>
      </w:r>
      <w:r w:rsidR="004C615D">
        <w:t xml:space="preserve"> to </w:t>
      </w:r>
      <w:r>
        <w:t>7 in the peridotites and 11</w:t>
      </w:r>
      <w:r w:rsidR="004C615D">
        <w:t xml:space="preserve"> to </w:t>
      </w:r>
      <w:r>
        <w:t xml:space="preserve">17 in the pyroxenites. </w:t>
      </w:r>
      <w:r w:rsidR="005F4F6E">
        <w:t xml:space="preserve">These values for both </w:t>
      </w:r>
      <m:oMath>
        <m:sSubSup>
          <m:sSubSupPr>
            <m:ctrlPr>
              <w:rPr>
                <w:rFonts w:ascii="Cambria Math" w:hAnsi="Cambria Math"/>
                <w:i/>
              </w:rPr>
            </m:ctrlPr>
          </m:sSubSupPr>
          <m:e>
            <m:r>
              <w:rPr>
                <w:rFonts w:ascii="Cambria Math" w:hAnsi="Cambria Math"/>
              </w:rPr>
              <m:t>D</m:t>
            </m:r>
          </m:e>
          <m:sub>
            <m:r>
              <w:rPr>
                <w:rFonts w:ascii="Cambria Math" w:hAnsi="Cambria Math"/>
              </w:rPr>
              <m:t>F</m:t>
            </m:r>
          </m:sub>
          <m:sup>
            <m:r>
              <w:rPr>
                <w:rFonts w:ascii="Cambria Math" w:hAnsi="Cambria Math"/>
              </w:rPr>
              <m:t>Opx-Ol</m:t>
            </m:r>
          </m:sup>
        </m:sSubSup>
        <m:r>
          <w:rPr>
            <w:rFonts w:ascii="Cambria Math" w:hAnsi="Cambria Math"/>
          </w:rPr>
          <m:t xml:space="preserve"> </m:t>
        </m:r>
      </m:oMath>
      <w:r w:rsidR="005F4F6E">
        <w:t xml:space="preserve">and </w:t>
      </w:r>
      <m:oMath>
        <m:sSubSup>
          <m:sSubSupPr>
            <m:ctrlPr>
              <w:rPr>
                <w:rFonts w:ascii="Cambria Math" w:hAnsi="Cambria Math"/>
                <w:i/>
              </w:rPr>
            </m:ctrlPr>
          </m:sSubSupPr>
          <m:e>
            <m:r>
              <w:rPr>
                <w:rFonts w:ascii="Cambria Math" w:hAnsi="Cambria Math"/>
              </w:rPr>
              <m:t>D</m:t>
            </m:r>
          </m:e>
          <m:sub>
            <m:r>
              <w:rPr>
                <w:rFonts w:ascii="Cambria Math" w:hAnsi="Cambria Math"/>
              </w:rPr>
              <m:t>F</m:t>
            </m:r>
          </m:sub>
          <m:sup>
            <m:r>
              <w:rPr>
                <w:rFonts w:ascii="Cambria Math" w:hAnsi="Cambria Math"/>
              </w:rPr>
              <m:t>Cpx-Ol</m:t>
            </m:r>
          </m:sup>
        </m:sSubSup>
        <m:r>
          <w:rPr>
            <w:rFonts w:ascii="Cambria Math" w:hAnsi="Cambria Math"/>
          </w:rPr>
          <m:t xml:space="preserve"> </m:t>
        </m:r>
      </m:oMath>
      <w:r w:rsidR="00482FC5">
        <w:t xml:space="preserve">in the peridotites </w:t>
      </w:r>
      <w:r w:rsidR="005F4F6E">
        <w:t xml:space="preserve">are at the lower </w:t>
      </w:r>
      <w:r w:rsidR="00482FC5">
        <w:t>end</w:t>
      </w:r>
      <w:r w:rsidR="005F4F6E">
        <w:t xml:space="preserve"> of the range estimated from experiments</w:t>
      </w:r>
      <w:r w:rsidR="00482FC5">
        <w:t>,</w:t>
      </w:r>
      <w:r w:rsidR="005F4F6E">
        <w:t xml:space="preserve"> </w:t>
      </w:r>
      <w:r w:rsidR="00482FC5">
        <w:t xml:space="preserve">in which  </w:t>
      </w:r>
      <m:oMath>
        <m:sSubSup>
          <m:sSubSupPr>
            <m:ctrlPr>
              <w:rPr>
                <w:rFonts w:ascii="Cambria Math" w:hAnsi="Cambria Math"/>
                <w:i/>
              </w:rPr>
            </m:ctrlPr>
          </m:sSubSupPr>
          <m:e>
            <m:r>
              <w:rPr>
                <w:rFonts w:ascii="Cambria Math" w:hAnsi="Cambria Math"/>
              </w:rPr>
              <m:t>D</m:t>
            </m:r>
          </m:e>
          <m:sub>
            <m:r>
              <w:rPr>
                <w:rFonts w:ascii="Cambria Math" w:hAnsi="Cambria Math"/>
              </w:rPr>
              <m:t>F</m:t>
            </m:r>
          </m:sub>
          <m:sup>
            <m:r>
              <w:rPr>
                <w:rFonts w:ascii="Cambria Math" w:hAnsi="Cambria Math"/>
              </w:rPr>
              <m:t>Opx-Ol</m:t>
            </m:r>
          </m:sup>
        </m:sSubSup>
      </m:oMath>
      <w:r w:rsidR="00482FC5">
        <w:t xml:space="preserve"> ranges from </w:t>
      </w:r>
      <w:r w:rsidR="005F4F6E" w:rsidRPr="004C3AF4">
        <w:t xml:space="preserve">2 to </w:t>
      </w:r>
      <w:r w:rsidR="005F4F6E">
        <w:t>12.1</w:t>
      </w:r>
      <w:r w:rsidR="00482FC5">
        <w:t xml:space="preserve"> and </w:t>
      </w:r>
      <m:oMath>
        <m:sSubSup>
          <m:sSubSupPr>
            <m:ctrlPr>
              <w:rPr>
                <w:rFonts w:ascii="Cambria Math" w:hAnsi="Cambria Math"/>
                <w:i/>
              </w:rPr>
            </m:ctrlPr>
          </m:sSubSupPr>
          <m:e>
            <m:r>
              <w:rPr>
                <w:rFonts w:ascii="Cambria Math" w:hAnsi="Cambria Math"/>
              </w:rPr>
              <m:t>D</m:t>
            </m:r>
          </m:e>
          <m:sub>
            <m:r>
              <w:rPr>
                <w:rFonts w:ascii="Cambria Math" w:hAnsi="Cambria Math"/>
              </w:rPr>
              <m:t>F</m:t>
            </m:r>
          </m:sub>
          <m:sup>
            <m:r>
              <w:rPr>
                <w:rFonts w:ascii="Cambria Math" w:hAnsi="Cambria Math"/>
              </w:rPr>
              <m:t>Cpx-Ol</m:t>
            </m:r>
          </m:sup>
        </m:sSubSup>
        <m:r>
          <w:rPr>
            <w:rFonts w:ascii="Cambria Math" w:hAnsi="Cambria Math"/>
          </w:rPr>
          <m:t xml:space="preserve"> </m:t>
        </m:r>
      </m:oMath>
      <w:r w:rsidR="00482FC5">
        <w:t xml:space="preserve"> from 9</w:t>
      </w:r>
      <w:r w:rsidR="004C615D">
        <w:t xml:space="preserve"> to </w:t>
      </w:r>
      <w:r w:rsidR="00482FC5">
        <w:t>19</w:t>
      </w:r>
      <w:r w:rsidR="005F4F6E">
        <w:t xml:space="preserve"> </w:t>
      </w:r>
      <w:r w:rsidR="005F4F6E">
        <w:fldChar w:fldCharType="begin"/>
      </w:r>
      <w:r w:rsidR="008E0CCC">
        <w:instrText xml:space="preserve"> ADDIN ZOTERO_ITEM CSL_CITATION {"citationID":"q9xFNCPt","properties":{"formattedCitation":"(E. H. Hauri et al., 2006; Dalou et al., 2012; Beyer et al., 2012; Dalou et al., 2014)","plainCitation":"(E. H. Hauri et al., 2006; Dalou et al., 2012; Beyer et al., 2012; Dalou et al., 2014)","dontUpdate":true,"noteIndex":0},"citationItems":[{"id":3012,"uris":["http://zotero.org/users/88665/items/K2QTACZA"],"uri":["http://zotero.org/users/88665/items/K2QTACZA"],"itemData":{"id":3012,"type":"article-journal","abstract":"We present the results of an experimental study of the partitioning of water between common upper mantle minerals (olivine, orthopyroxene, clinopyroxene, garnet) and silicate melt, consisting of 352 measurements in 23 hydrous melting experiments conducted over a broad range of melt water contents (1.7–25 wt.% H2O) at upper mantle conditions (1–4 GPa; 1000–1380 °C). Our data show that, at water-undersaturated conditions, incorporation of H2O into olivine and pyroxenes is accomplished through two independent mechanisms: a coupled substitution in which H+ and Al3+ replace Si4+ in the mineral structure, and the substitution of 2H+ for Mg2+ previously identified in minerals hydrated at water-saturated conditions. At upper mantle temperatures and pressures &amp;lt; 2 GPa, these two substitution mechanisms appear to contribute approximately equal amounts of water to olivine; at higher pressures, the fugacity-dependent 2H+–Mg2+ substitution dominates. For orthopyroxene, coupled substitution of H+ and tetrahedral Al3+ dominates over the 2H+–Mg2+ substitution at pressures &amp;lt; 8 GPa, while the Al-coupled substitution dominates in clinopyroxene at all pressures.\n\nOur data permit a new evaluation of the maximum storage capacity of water in nominally anhydrous upper mantle peridotite and eclogite. The water storage capacity of peridotite increases gradually with pressure to a maximum of 0.6 wt.% H2O at 410 km depth; the storage capacity of eclogite is 0.4 to 0.5 wt.% H2O from 2–5 GPa, dropping gradually to </w:instrText>
      </w:r>
      <w:r w:rsidR="008E0CCC">
        <w:rPr>
          <w:rFonts w:ascii="Cambria Math" w:hAnsi="Cambria Math" w:cs="Cambria Math"/>
        </w:rPr>
        <w:instrText>∼</w:instrText>
      </w:r>
      <w:r w:rsidR="008E0CCC">
        <w:instrText>0.2 wt.% just above the transition zone as majorite is formed at the expense of pyroxene. We show that the water abundances inferred for mid-ocean ridge and hotspot magma sources are not consistent with the composition of water-rich mantle residues emerging from a hydrous melt layer at the top of the transition zone. Regional variations observed in the H2O–LREE systematics of oceanic basalts can result from derivation of these magmas from depleted mantle sources having polybaric melting histories, with high-H2O/Ce sources being residues of shallow (garnet-absent) melting, and low-H2O/Ce sources being the residues of deep melting in the stability field of garnet lherzolite.","container-title":"Earth and Planetary Science Letters","DOI":"10.1016/j.epsl.2006.06.014","ISSN":"0012-821X","issue":"3–4","journalAbbreviation":"Earth and Planetary Science Letters","note":"00000","page":"715-734","source":"ScienceDirect","title":"Partitioning of water during melting of the Earth's upper mantle at H&lt;sub&gt;2&lt;/sub&gt;O-undersaturated conditions","volume":"248","author":[{"family":"Hauri","given":"Erik H."},{"family":"Gaetani","given":"Glenn A."},{"family":"Green","given":"Trevor H."}],"issued":{"date-parts":[["2006",8,30]]}}},{"id":2488,"uris":["http://zotero.org/users/88665/items/CU9XWXTR"],"uri":["http://zotero.org/users/88665/items/CU9XWXTR"],"itemData":{"id":2488,"type":"article-journal","abstract":"We experimentally determined F and Cl partition coefficients together with that of 19 trace elements (including REE, U-Th, HFSE and LILE) between basaltic melt and lherzolite minerals: olivine, orthopyroxene, clinopyroxene, plagioclase and garnet. Under conditions from 8 to 25 kbars and from 1,265 to 1,430°C, compatibilities of F and Cl are globally ordered as D Cpx/melt &gt; D Opx/melt &gt; D Grt/melt &gt; D Ol/melt &gt; D Plag/melt, and D F mineral/melt is larger than D Cl mineral/melt . Four other major results were brought to light. (1) Chlorine partition coefficients positively correlate with the jadeite component in orthopyroxene, and increase of the CaTs component promotes Cl incorporation in clinopyroxene. (2) Variations of fluorine partition coefficients correlate strongly with melt viscosity. (3) F and Cl partition coefficients correlate with the Young’s modulus (E 0) of pyroxene octahedral sites (M sites) and with Raman vibrational modes of pyroxenes. This demonstrates a fundamental interaction between the M site of pyroxenes and the incorporation of F and Cl. (4) We also determined the parameters of the lattice-strain model applied to 3+ cation trace elements for the two M sites in orthopyroxene and clinopyroxene: D 0 M 1, D 0 M 2, r 0 M1 , r 0 M2 , E 0 M1 and E 0 M2 .","container-title":"Contributions to Mineralogy and Petrology","DOI":"10.1007/s00410-011-0688-2","ISSN":"0010-7999, 1432-0967","issue":"4","journalAbbreviation":"Contributions to Mineralogy and Petrology","language":"en","note":"00012","page":"591-609","source":"link.springer.com","title":"Experimental determination of F and Cl partitioning between lherzolite and basaltic melt","volume":"163","author":[{"family":"Dalou","given":"Célia"},{"family":"Koga","given":"Kenneth T."},{"family":"Shimizu","given":"Nobumichi"},{"family":"Boulon","given":"Julien"},{"family":"Devidal","given":"Jean-Luc"}],"issued":{"date-parts":[["2012",4,1]]}}},{"id":2470,"uris":["http://zotero.org/users/88665/items/NUVEKN4E"],"uri":["http://zotero.org/users/88665/items/NUVEKN4E"],"itemData":{"id":2470,"type":"article-journal","abstract":"We present new experimentally determined partition coefficients for fluorine (F) between nominally fluorine-free minerals and corresponding basaltic melts in the systems CaO–MgO–Al2O3–SiO2+F, Na2O–CaO–MgO–Al2O3–SiO2+F, and in natural compositions at pressures up to 2.5 GPa and temperatures between 1285 °C and 1445 °C. Fluorine is incompatible in olivine with F partition coefficients D F o l / m e l t varying between 0.0007 and 0.0033, whereas the F in orthopyroxene is more compatible with D F o p x / m e l t between 0.031 and 0.037. These findings agree well with new analyses of F in natural olivines and orthopyroxene from spinel peridotites and oceanic basalts, and indicate that F is less incompatible in olivine and orthopyroxene than hydrogen (DF/DH</w:instrText>
      </w:r>
      <w:r w:rsidR="008E0CCC">
        <w:rPr>
          <w:rFonts w:ascii="Cambria Math" w:hAnsi="Cambria Math" w:cs="Cambria Math"/>
        </w:rPr>
        <w:instrText>∼</w:instrText>
      </w:r>
      <w:r w:rsidR="008E0CCC">
        <w:instrText>3.3 for olivine, DF/DH</w:instrText>
      </w:r>
      <w:r w:rsidR="008E0CCC">
        <w:rPr>
          <w:rFonts w:ascii="Cambria Math" w:hAnsi="Cambria Math" w:cs="Cambria Math"/>
        </w:rPr>
        <w:instrText>∼</w:instrText>
      </w:r>
      <w:r w:rsidR="008E0CCC">
        <w:instrText xml:space="preserve">2.4 for orthopyroxene). Based on high-resolution TEM images of one of the samples, we argue that the F incorporation into the olivine structure is mass balanced via oxygen defects. Furthermore, we present some analyses of Cl in olivine and orthopyroxene from spinel peridotites and basalts.\n\nHence, fluorine, and to a lesser extend chlorine, may be effectively stored in nominally halogen-free mantle minerals such as olivine and orthopyroxene. Considering their high modal proportion in the upper mantle, both phases are the major hosts for F in the Earth's mantle, and must be taken into account when calculating the Earth's budget of halogens or global cycles of halogens in the deeper Earth. Other F-bearing minerals such as amphibole or phosphates are not needed to balance the F concentrations between crust and mantle.\n\nApplying our new partition coefficients to primitive olivine hosted melt inclusion data from mid-ocean ridge basalt (MORB), we calculate a concentration of 6–15 μg/g F for the depleted MORB mantle source. Our results also show that typical spinel lherzolites from the subcontinental lithosphere show virtually identical concentrations of about 12 μg/g. However, using the partition coefficients on primary melt inclusions from ocean island basalts (OIB), suggest slightly higher fluorine contents between 8 and 31 μg/g for OIB mantle sources.","container-title":"Earth and Planetary Science Letters","DOI":"10.1016/j.epsl.2012.05.003","ISSN":"0012-821X","journalAbbreviation":"Earth and Planetary Science Letters","note":"00006","page":"1-9","source":"ScienceDirect","title":"Fluorine in nominally fluorine-free mantle minerals: Experimental partitioning of F between olivine, orthopyroxene and silicate melts with implications for magmatic processes","title-short":"Fluorine in nominally fluorine-free mantle minerals","volume":"337–338","author":[{"family":"Beyer","given":"C."},{"family":"Klemme","given":"S."},{"family":"Wiedenbeck","given":"M."},{"family":"Stracke","given":"A."},{"family":"Vollmer","given":"C."}],"issued":{"date-parts":[["2012",7,1]]}}},{"id":2959,"uris":["http://zotero.org/users/88665/items/DJZDISF8"],"uri":["http://zotero.org/users/88665/items/DJZDISF8"],"itemData":{"id":2959,"type":"article-journal","container-title":"Progress in Earth and Planetary Science","DOI":"10.1186/s40645-014-0026-1","ISSN":"2197-4284","issue":"1","language":"en","note":"00000","page":"1-26","source":"www.progearthplanetsci.com","title":"Contrasting partition behavior of F and Cl during hydrous mantle melting: implications for Cl/F signature in arc magmas","title-short":"Contrasting partition behavior of F and Cl during hydrous mantle melting","volume":"1","author":[{"family":"Dalou","given":"Célia"},{"family":"Koga","given":"Kenneth T."},{"family":"Voyer","given":"Marion Le"},{"family":"Shimizu","given":"Nobumichi"}],"issued":{"date-parts":[["2014",12,13]]}}}],"schema":"https://github.com/citation-style-language/schema/raw/master/csl-citation.json"} </w:instrText>
      </w:r>
      <w:r w:rsidR="005F4F6E">
        <w:fldChar w:fldCharType="separate"/>
      </w:r>
      <w:r w:rsidR="0073055D" w:rsidRPr="000050A1">
        <w:rPr>
          <w:lang w:val="it-IT"/>
        </w:rPr>
        <w:t>(Hauri et al., 2006; Dalou et al., 2012; Beyer et al., 2012; Dalou et al., 2014)</w:t>
      </w:r>
      <w:r w:rsidR="005F4F6E">
        <w:fldChar w:fldCharType="end"/>
      </w:r>
      <w:r w:rsidR="005F4F6E" w:rsidRPr="000050A1">
        <w:rPr>
          <w:lang w:val="it-IT"/>
        </w:rPr>
        <w:t>.</w:t>
      </w:r>
      <w:r w:rsidR="003E4CF7" w:rsidRPr="000050A1">
        <w:rPr>
          <w:lang w:val="it-IT"/>
        </w:rPr>
        <w:t xml:space="preserve"> </w:t>
      </w:r>
      <w:r w:rsidR="00B22DA1" w:rsidRPr="00B22DA1">
        <w:t xml:space="preserve">A final observation from our study is that pyroxenes in xenoliths with accessory volatile-bearing phases, i.e. amphibole and phlogopite, from southern Patagonia (LT6) and the Antarctic Peninsula (e.g. L7.201.1.41) have high </w:t>
      </w:r>
      <w:r w:rsidR="004C615D" w:rsidRPr="00CB30EF">
        <w:t>H</w:t>
      </w:r>
      <w:r w:rsidR="004C615D" w:rsidRPr="00CB30EF">
        <w:rPr>
          <w:vertAlign w:val="subscript"/>
        </w:rPr>
        <w:t>2</w:t>
      </w:r>
      <w:r w:rsidR="004C615D" w:rsidRPr="00CB30EF">
        <w:t>O</w:t>
      </w:r>
      <w:r w:rsidR="00B22DA1" w:rsidRPr="00B22DA1">
        <w:t xml:space="preserve"> but low-to-moderate F contents.</w:t>
      </w:r>
    </w:p>
    <w:p w14:paraId="2A9A4F78" w14:textId="77777777" w:rsidR="005623FE" w:rsidRPr="00661AE1" w:rsidRDefault="005623FE" w:rsidP="00C20C0B">
      <w:pPr>
        <w:spacing w:line="480" w:lineRule="auto"/>
        <w:jc w:val="both"/>
      </w:pPr>
    </w:p>
    <w:p w14:paraId="1955823B" w14:textId="7E60DF91" w:rsidR="005623FE" w:rsidRPr="00C44395" w:rsidRDefault="00734BE9" w:rsidP="00C20C0B">
      <w:pPr>
        <w:pStyle w:val="Heading2"/>
        <w:spacing w:line="480" w:lineRule="auto"/>
      </w:pPr>
      <w:r>
        <w:t>5</w:t>
      </w:r>
      <w:r w:rsidR="005623FE" w:rsidRPr="00D53B4C">
        <w:t xml:space="preserve">.3 </w:t>
      </w:r>
      <w:r w:rsidR="00872F97">
        <w:t>Li</w:t>
      </w:r>
      <w:r w:rsidR="00914BE5">
        <w:t>thium</w:t>
      </w:r>
      <w:r w:rsidR="00872F97">
        <w:t xml:space="preserve">, </w:t>
      </w:r>
      <w:r w:rsidR="00914BE5">
        <w:t>ch</w:t>
      </w:r>
      <w:r w:rsidR="00914BE5" w:rsidRPr="00D53B4C">
        <w:t>l</w:t>
      </w:r>
      <w:r w:rsidR="00914BE5">
        <w:t xml:space="preserve">orine </w:t>
      </w:r>
      <w:r w:rsidR="00872F97">
        <w:t>and</w:t>
      </w:r>
      <w:r w:rsidR="005623FE" w:rsidRPr="00D53B4C">
        <w:t xml:space="preserve"> </w:t>
      </w:r>
      <w:r w:rsidR="00914BE5">
        <w:t>boron</w:t>
      </w:r>
      <w:r w:rsidR="00914BE5" w:rsidRPr="00D53B4C">
        <w:t xml:space="preserve"> </w:t>
      </w:r>
      <w:r w:rsidR="005623FE" w:rsidRPr="00D53B4C">
        <w:t xml:space="preserve">contents </w:t>
      </w:r>
    </w:p>
    <w:p w14:paraId="5D3A13C1" w14:textId="019C09E5" w:rsidR="00291013" w:rsidRPr="00661AE1" w:rsidRDefault="0037291F" w:rsidP="00C20C0B">
      <w:pPr>
        <w:spacing w:line="480" w:lineRule="auto"/>
        <w:jc w:val="both"/>
      </w:pPr>
      <w:r w:rsidRPr="00661AE1">
        <w:t>Li</w:t>
      </w:r>
      <w:r>
        <w:t>thium</w:t>
      </w:r>
      <w:r w:rsidRPr="00661AE1">
        <w:t xml:space="preserve"> contents are low and fairly constant</w:t>
      </w:r>
      <w:r w:rsidRPr="00661AE1" w:rsidDel="00670C91">
        <w:t xml:space="preserve"> </w:t>
      </w:r>
      <w:r>
        <w:t>i</w:t>
      </w:r>
      <w:r w:rsidR="00B43C2A" w:rsidRPr="00661AE1">
        <w:t xml:space="preserve">n all </w:t>
      </w:r>
      <w:r w:rsidR="00E91E48">
        <w:t>“</w:t>
      </w:r>
      <w:r w:rsidR="00CA261A" w:rsidRPr="00661AE1">
        <w:t>off-craton</w:t>
      </w:r>
      <w:r w:rsidR="00E91E48">
        <w:t>”</w:t>
      </w:r>
      <w:r w:rsidR="00CA261A" w:rsidRPr="00661AE1">
        <w:t xml:space="preserve"> </w:t>
      </w:r>
      <w:r w:rsidR="00EA27FB">
        <w:t xml:space="preserve">mantle </w:t>
      </w:r>
      <w:r w:rsidR="00CA261A" w:rsidRPr="00661AE1">
        <w:t>xenoliths studied here,</w:t>
      </w:r>
      <w:r w:rsidR="002A55D0" w:rsidRPr="00661AE1">
        <w:t xml:space="preserve"> </w:t>
      </w:r>
      <w:r w:rsidR="00391BD0" w:rsidRPr="00661AE1">
        <w:t>rang</w:t>
      </w:r>
      <w:r w:rsidR="00687A72" w:rsidRPr="00661AE1">
        <w:t>ing</w:t>
      </w:r>
      <w:r w:rsidR="00391BD0" w:rsidRPr="00661AE1">
        <w:t xml:space="preserve"> from 0.5-</w:t>
      </w:r>
      <w:r w:rsidR="0073055D">
        <w:t>2.7</w:t>
      </w:r>
      <w:r w:rsidR="0073055D" w:rsidRPr="00661AE1">
        <w:t xml:space="preserve"> </w:t>
      </w:r>
      <w:r w:rsidR="00C5757D">
        <w:t>ppmw</w:t>
      </w:r>
      <w:r w:rsidR="00391BD0" w:rsidRPr="00661AE1">
        <w:t xml:space="preserve"> in pyroxene and 1.3-</w:t>
      </w:r>
      <w:r w:rsidR="0073055D">
        <w:t>3.6</w:t>
      </w:r>
      <w:r w:rsidR="00391BD0" w:rsidRPr="00661AE1">
        <w:t xml:space="preserve"> </w:t>
      </w:r>
      <w:r w:rsidR="00C5757D">
        <w:t>ppmw</w:t>
      </w:r>
      <w:r w:rsidR="00391BD0" w:rsidRPr="00661AE1">
        <w:t xml:space="preserve"> in olivine</w:t>
      </w:r>
      <w:r w:rsidR="006360C0">
        <w:t xml:space="preserve"> (</w:t>
      </w:r>
      <w:r w:rsidR="006360C0" w:rsidRPr="009B315C">
        <w:rPr>
          <w:b/>
        </w:rPr>
        <w:t>Table 2</w:t>
      </w:r>
      <w:r w:rsidR="006360C0">
        <w:t>)</w:t>
      </w:r>
      <w:r w:rsidR="0063672A">
        <w:t xml:space="preserve">. These are consistent with previous analyses of Li in NVFMMs </w:t>
      </w:r>
      <w:r w:rsidR="0063672A">
        <w:fldChar w:fldCharType="begin"/>
      </w:r>
      <w:r w:rsidR="008E0CCC">
        <w:instrText xml:space="preserve"> ADDIN ZOTERO_ITEM CSL_CITATION {"citationID":"AquccFMJ","properties":{"formattedCitation":"(Seitz and Woodland, 2000; De Hoog et al., 2010; Marschall et al., 2017; Ionov et al., 2017)","plainCitation":"(Seitz and Woodland, 2000; De Hoog et al., 2010; Marschall et al., 2017; Ionov et al., 2017)","noteIndex":0},"citationItems":[{"id":4217,"uris":["http://zotero.org/users/88665/items/FTRAXUJL"],"uri":["http://zotero.org/users/88665/items/FTRAXUJL"],"itemData":{"id":4217,"type":"article-journal","abstract":"Trace-element compositions of olivine from 75 mantle rocks of diverse origin, including xenoliths from kimberlites, basaltic lavas and orogenic peridotites, were determined by laser ablation ICP-MS to study systematic variations between mantle lithologies, partitioning mechanisms in olivine and their potential for geothermobarometry and unravelling mantle processes. Samples were selected to cover a wide range of forsterite contents (89.1–93.4), equilibration temperatures and pressures (750–1450°C; 15–80kbar). Trace elements in olivine can be divided into three groups. Group I elements (Ni, Mn, Co, Cu, Zn and Li) show small concentration ranges and olivine is the major host mineral. These are mostly divalent elements and have ionic radii close to that of Mg. Group II elements (Cr, Al, V, Sc, Ca and Na) show large concentration ranges, which are mainly controlled by the equilibration temperature of the host rock. The elements are strongly concentrated in co-existing mantle minerals (garnet, clinopyroxene and spinel) and show a narrow range of bulk rock concentrations. They fit less comfortably in the olivine lattice than Group I elements because of their charge or size. Differences between garnet and spinel-facies rocks are apparent for Al, Ca and Sc. Group III elements (Ti, Zr, Nb and Y) show large ranges of concentration in olivine as well as in co-existing minerals, and are strongly dependent on bulk rock contents. Concentration differences between olivine from garnet and spinel-facies rocks are apparent for all these elements. They are strongly incompatible in olivine and other rock-forming mantle minerals because of their charge or size. Various mantle lithologies can be discriminated using olivine composition. Spinel, garnet and garnet–spinel peridotites can be distinguished in olivine Sc–Zr and MnO–Al2O3 diagrams, whereas volcanic olivine is distinguished by high Ca and Al contents (picritic olivine) or high Nb contents (kimberlitic olivine). Since concentrations of Group III elements in olivine are diagnostic of whole-rock contents they can be used to trace the petrogenetic history of the rock. For instance, Ti contents and Cr# (Cr/(Cr+Al)) of olivine correlate with the amount of melt extracted from a mantle residue, although refertilisation may subsequently have increased Ti contents in high-T peridotites from the base of the lithosphere. The olivine dataset can be used to examine substitution reactions. Uptake of Al and Cr appears to be largely charge-balanced by Na in garnet-facies olivine, and olivine Cr# strongly correlates with that of co-existing minerals, in particular clinopyroxene and spinel. In spinel-facies olivine a large excess of trivalent cations is present in olivine, which can be fully attributed to excess Al. This suggests a Tschermak-style substitution, in which replacement of Mg by Al in the octahedral site is charge-balanced by replacement of Si by Al in the tetrahedral site. Partition coefficients of Group II elements are highly temperature sensitive with most of the element variability being shown by olivine. This allows the definition of simple geothermometers based solely on the concentrations of these elements in olivine. The most widely applicable of these is Al-in-olivine for garnet peridotites, following the expressionTAl-ol(°C)=9423+51.4P+1860Cr#ol(13.409−ln[Al]ol)−273 with P in kbar, Alol the Al concentration of olivine in ppm, and Cr#ol is Cr/(Cr+Al) in olivine. This thermometer predicts the temperature with a residual of 15°C based on calibration with two-pyroxene and Al-in-opx geothermobarometers (Brey and Köhler, 1990). Although calibrated using lherzolites only, the thermometer performs well for clinopyroxene-free harzburgites and also spinel peridotites. An alternative thermometer is presented for the case where the presence of Cr2+ is expected, e.g., for olivine inclusions in diamonds. The geochemical and thermobarometric information recorded by olivine can be a useful tool in studies of the petrogenesis of lithospheric mantle, olivine xenocrysts in mantle-derived magmas, the formation of diamonds and diamond exploration using detrital olivine.","container-title":"Chemical Geology","DOI":"10.1016/j.chemgeo.2009.11.017","ISSN":"0009-2541","issue":"1","journalAbbreviation":"Chemical Geology","page":"196-215","source":"ScienceDirect","title":"Trace-element geochemistry of mantle olivine and application to mantle petrogenesis and geothermobarometry","volume":"270","author":[{"family":"De Hoog","given":"Jan C. M."},{"family":"Gall","given":"Louise"},{"family":"Cornell","given":"David H."}],"issued":{"date-parts":[["2010",2,15]]}}},{"id":4226,"uris":["http://zotero.org/users/88665/items/UBWPDNZ3"],"uri":["http://zotero.org/users/88665/items/UBWPDNZ3"],"itemData":{"id":4226,"type":"article-journal","abstract":"We report the concentrations ([Li]) and isotopic compositions of Li in mineral separates and bulk rocks obtained by MC-ICPMS for 14 previously studied garnet and spinel peridotite xenoliths from the Udachnaya kimberlite in the central Siberian craton as well as major and trace element compositions for a new suite of 13 deformed garnet peridotites. The deformed Udachnaya peridotites occur at &gt;5GPa; they are metasomatized residues of melt extraction, which as a group experienced greater modal and chemical enrichments than coarse peridotites. We identify two sub-groups of the deformed peridotites: (a) mainly cryptically metasomatized (similar to coarse peridotites) with relatively low modal cpx (&lt;6%) and garnet (&lt;7%), low Ca and high Mg#, sinusoidal REE patterns in garnet, and chemically unequilibrated garnet and cpx; (b) modally metasomatized with more cpx and garnet, higher Ca, Fe and Ti, and equilibrated garnet and cpx. The chemical enrichments are not proportional to deformation degrees. The deformation in the lower lithosphere is caused by a combination of localized stress, heating and fluid ingress from the pathways of ascending proto-kimberlite melts, with metasomatic media evolving due to reactions with wall rocks. Mg-rich olivine in spinel and coarse garnet Udachnaya peridotites has 1.2–1.9ppm Li and δ7Li of 1.2–5.0‰, i.e. close to olivine in equilibrated fertile to depleted off-craton mantle peridotites from literature data, whereas olivine from the deformed peridotites has higher [Li] (2.4–7.5ppm) and a broader range of δ7Li (1.8–11.6‰), which we attribute to pre-eruption metasomatism. [Li] in opx is higher than in coexisting olivine while Δ7LiOl-Opx (δ7LiOl−δ7LiOpx) ranges from −6.6 to 7.8‰, indicating disequilibrium inter-mineral [Li] and Li-isotope partitioning. We relate these Li systematics to interaction of lithospheric peridotites with fluids or melts that are either precursors of kimberlite magmatism or products of their fractionation and/or reaction with host mantle. The melts rich in Na and carbonates infiltrated, heated and weakened wall-rock peridotites to facilitate their deformation as well as produce high [Li] and variable, but mainly high, δ7Li in olivine. The carbonate-rich melts preferentially reacted with the opx without achieving inter-mineral equilibrium because opx is consumed by such melts, and because of small volumes and uneven distribution of the metasomatic media, as well as short time spans between the melt infiltration and the capture of the wall-rock fragments by incoming portions of ascending kimberlite magma as xenoliths. Trapped interstitial liquid solidified as cryptic components responsible for high [Li] and the lack of δ7Li balance between olivine and opx, and bulk rocks. Unaltered δ26Mg values (0.20–0.26‰) measured in several olivine separates show no effects of the metasomatism on Mg-isotopes, apparently due to high Mg in the peridotites.","container-title":"Chemical Geology","DOI":"10.1016/j.chemgeo.2017.10.038","ISSN":"0009-2541","journalAbbreviation":"Chemical Geology","page":"105-121","source":"ScienceDirect","title":"Links between deformation, chemical enrichments and Li-isotope compositions in the lithospheric mantle of the central Siberian craton","volume":"475","author":[{"family":"Ionov","given":"Dmitri A."},{"family":"Doucet","given":"Luc S."},{"family":"Pogge von Strandmann","given":"Philip A. E."},{"family":"Golovin","given":"Alexander V."},{"family":"Korsakov","given":"Andrey V."}],"issued":{"date-parts":[["2017",12,25]]}}},{"id":4222,"uris":["http://zotero.org/users/88665/items/MLKMX3FM"],"uri":["http://zotero.org/users/88665/items/MLKMX3FM"],"itemData":{"id":4222,"type":"article-journal","abstract":"A global selection of 56 mid-ocean ridge basalt (MORB) glasses were analysed for Li and B abundances and isotopic compositions. Analytical accuracy and precision of analyses constitute an improvement over previously published MORB data and allow a more detailed discussion of the Li and B systematics of the crust-mantle system. Refined estimates for primitive mantle abundances ([Li]=1.39±0.10μg/g and [B]=0.19±0.02μg/g) and depleted mantle abundances ([Li]=1.20±0.10μg/g and [B]=0.077±0.010μg/g) are presented based on mass balance and on partial melting models that utilise observed element ratios in MORB. Assimilation of seawater (or brine) or seawater-altered material beneath the ridge, identified by high Cl/K, causes significant elevation of MORB δ11B and variable elevation in δ7Li. The B isotope ratio is, hence, identified as a reliable indicator of assimilation in MORB and values higher than −6‰ are strongly indicative of shallow contamination of the magma. The global set of samples investigated here were produced at various degrees of partial melting and include depleted and enriched MORB from slow and fast-spreading ridge segments with a range of radiogenic isotope signatures and trace element compositions. Uncontaminated (low-Cl/K) MORB show no significant boron isotope variation at the current level of analytical precision, and hence a homogenous B isotopic composition of δ11B=-7.1±0.9‰ (mean of six ridge segments; 2SD). Boron isotope fractionation during mantle melting and basalt fractionation likely is small, and this δ11B value reflects the B isotopic composition of the depleted mantle and the bulk silicate Earth, probably within ±0.4‰. Our sample set shows a mean δ7Li=+3.5±1.0‰ (mean of five ridge segments; 2SD), excluding high-Cl/K samples. A significant variation of 1.0–1.5‰ exists among various ridge segments and among samples within individual ridge segments, but this variation is unrelated to differentiation, assimilation or mantle source indicators, such as radiogenic isotopes or trace elements. It, therefore, seems likely that kinetic fractionation of Li isotopes during magma extraction, transport and storage may generate δ7Li excursions in MORB. No mantle heterogeneities, such as those generated by deeply recycled subducted materials, are invoked in the interpretation of the Li and B isotope data presented here, in contrast to previous work on smaller data sets. Lithium and boron budgets for the silicate Earth are presented that are based on isotope and element mass balance. A refined estimate for the B isotopic composition of the bulk continental crust is given as δ11B=-9.1±2.4‰. Mass balance allows the existence of recycled B reservoirs in the deep mantle, but these are not required. However, mass balance among the crust, sediments and seawater shows enrichment of 6Li in the surface reservoirs, which requires the existence of 7Li-enriched material in the mantle. This may have formed by the subduction of altered oceanic crust since the Archaean.","container-title":"Geochimica et Cosmochimica Acta","DOI":"10.1016/j.gca.2017.03.028","ISSN":"0016-7037","journalAbbreviation":"Geochimica et Cosmochimica Acta","page":"102-138","source":"ScienceDirect","title":"The boron and lithium isotopic composition of mid-ocean ridge basalts and the mantle","volume":"207","author":[{"family":"Marschall","given":"Horst R."},{"family":"Wanless","given":"V. Dorsey"},{"family":"Shimizu","given":"Nobumichi"},{"family":"Pogge von Strandmann","given":"Philip A. E."},{"family":"Elliott","given":"Tim"},{"family":"Monteleone","given":"Brian D."}],"issued":{"date-parts":[["2017",6,15]]}}},{"id":4215,"uris":["http://zotero.org/users/88665/items/PV6X89EY"],"uri":["http://zotero.org/users/88665/items/PV6X89EY"],"itemData":{"id":4215,"type":"article-journal","abstract":"Lithium concentrations in orthopyroxene, clinopyroxene, olivine, garnet or spinel from equilibrated spinel peridotite, garnet peridotite and garnet pyroxenite xenoliths and from metasomatised peridotites and pyroxenites were measured using the ion-microprobe (SIMS). With respect to changes in physical and chemical parameters, we present new data on lithium contents in mantle minerals and its partitioning behaviour in (1) equilibrated and (2) metasomatised samples. Lithium is preferentially incorporated into olivine, ranging between 1 and 2 ppm in equilibrated unmetasomatised peridotites. Pyroxenes from peridotitic xenoliths have Li concentrations on the order of several hundred ppb up to 1.3 ppm, while pyroxenes from pyroxenites have somewhat higher abundances (1–3 ppm with a maximum of 19 ppm). The following partitioning relationships have been established: ol&gt;cpx≥opx</w:instrText>
      </w:r>
      <w:r w:rsidR="008E0CCC">
        <w:rPr>
          <w:rFonts w:ascii="Cambria Math" w:hAnsi="Cambria Math" w:cs="Cambria Math"/>
        </w:rPr>
        <w:instrText>≫</w:instrText>
      </w:r>
      <w:r w:rsidR="008E0CCC">
        <w:instrText xml:space="preserve">grt or sp for garnet and spinel peridotites, respectively, and cpx≥opx&gt;grt for garnet pyroxenites. The intercrystalline partitioning of Li is independent of T, P and bulk composition (for ultramafic to mafic compositions), making Li a suitable tracer element for chemical processes such as metasomatism. We estimate a bulk Li content of 1.0–1.5 ppm for fertile to moderately depleted lithospheric mantle. Low Li abundances in mantle peridotites and pyroxenites emphasise its incompatibility during partial melting and fractional crystallisation. However, elevated Li concentrations are present in some pyroxenites, presumably due to complete crystallisation of trapped partial melts. Metasomatised samples from peridotite massifs (Pyrenees and Ivrea Zone) and mantle nodules from two Victorian volcanic fields (Australia) clearly show enrichment of Li in both olivine and clinopyroxene, whereby the distribution of Li between olivine and clinopyroxene has generally not achieved equilibrium. Disequilibrium is manifested by preferential Li enrichment in either olivine or clinopyroxene depending on the type of metasomatic agent involved (carbonatite vs. mafic silicate melt). Differences in absolute Li abundances and in its partitioning behaviour allow the identification not only of metasomatic overprints, but also of magmatic processes such as partial melting, crystal fractionation and accumulation. The sensitivity of Li as such a chemical tracer gives an additional criterium for recognising cryptic metasomatism.","container-title":"Chemical Geology","DOI":"10.1016/S0009-2541(99)00184-9","ISSN":"0009-2541","issue":"1","journalAbbreviation":"Chemical Geology","page":"47-64","source":"ScienceDirect","title":"The distribution of lithium in peridotitic and pyroxenitic mantle lithologies — an indicator of magmatic and metasomatic processes","volume":"166","author":[{"family":"Seitz","given":"Hans-Michael"},{"family":"Woodland","given":"Alan B"}],"issued":{"date-parts":[["2000",5,1]]}}}],"schema":"https://github.com/citation-style-language/schema/raw/master/csl-citation.json"} </w:instrText>
      </w:r>
      <w:r w:rsidR="0063672A">
        <w:fldChar w:fldCharType="separate"/>
      </w:r>
      <w:r w:rsidR="00636367">
        <w:t>(Seitz and Woodland, 2000; De Hoog et al., 2010; Marschall et al., 2017; Ionov et al., 2017)</w:t>
      </w:r>
      <w:r w:rsidR="0063672A">
        <w:fldChar w:fldCharType="end"/>
      </w:r>
      <w:r w:rsidR="0063672A">
        <w:t xml:space="preserve">. </w:t>
      </w:r>
      <w:r w:rsidR="00C016BC">
        <w:t xml:space="preserve">Inter-mineral partition coefficients are close to unity </w:t>
      </w:r>
      <w:r w:rsidR="00AC3581">
        <w:t xml:space="preserve">with </w:t>
      </w:r>
      <m:oMath>
        <m:sSubSup>
          <m:sSubSupPr>
            <m:ctrlPr>
              <w:rPr>
                <w:rFonts w:ascii="Cambria Math" w:hAnsi="Cambria Math"/>
                <w:i/>
              </w:rPr>
            </m:ctrlPr>
          </m:sSubSupPr>
          <m:e>
            <m:r>
              <w:rPr>
                <w:rFonts w:ascii="Cambria Math" w:hAnsi="Cambria Math"/>
              </w:rPr>
              <m:t>D</m:t>
            </m:r>
          </m:e>
          <m:sub>
            <m:r>
              <w:rPr>
                <w:rFonts w:ascii="Cambria Math" w:hAnsi="Cambria Math"/>
              </w:rPr>
              <m:t>Li</m:t>
            </m:r>
          </m:sub>
          <m:sup>
            <m:r>
              <w:rPr>
                <w:rFonts w:ascii="Cambria Math" w:hAnsi="Cambria Math"/>
              </w:rPr>
              <m:t>Cpx-Opx</m:t>
            </m:r>
          </m:sup>
        </m:sSubSup>
        <m:r>
          <w:rPr>
            <w:rFonts w:ascii="Cambria Math" w:hAnsi="Cambria Math"/>
          </w:rPr>
          <m:t xml:space="preserve"> </m:t>
        </m:r>
      </m:oMath>
      <w:r w:rsidR="00AC3581">
        <w:t>varying from 0.</w:t>
      </w:r>
      <w:r w:rsidR="0083636F">
        <w:t xml:space="preserve">5 </w:t>
      </w:r>
      <w:r w:rsidR="00AC3581">
        <w:t>to 1.</w:t>
      </w:r>
      <w:r w:rsidR="0083636F">
        <w:t>3</w:t>
      </w:r>
      <w:r w:rsidR="00803E01">
        <w:t xml:space="preserve">, </w:t>
      </w:r>
      <m:oMath>
        <m:sSubSup>
          <m:sSubSupPr>
            <m:ctrlPr>
              <w:rPr>
                <w:rFonts w:ascii="Cambria Math" w:hAnsi="Cambria Math"/>
                <w:i/>
              </w:rPr>
            </m:ctrlPr>
          </m:sSubSupPr>
          <m:e>
            <m:r>
              <w:rPr>
                <w:rFonts w:ascii="Cambria Math" w:hAnsi="Cambria Math"/>
              </w:rPr>
              <m:t>D</m:t>
            </m:r>
          </m:e>
          <m:sub>
            <m:r>
              <w:rPr>
                <w:rFonts w:ascii="Cambria Math" w:hAnsi="Cambria Math"/>
              </w:rPr>
              <m:t>Li</m:t>
            </m:r>
          </m:sub>
          <m:sup>
            <m:r>
              <w:rPr>
                <w:rFonts w:ascii="Cambria Math" w:hAnsi="Cambria Math"/>
              </w:rPr>
              <m:t>Opx-Ol</m:t>
            </m:r>
          </m:sup>
        </m:sSubSup>
      </m:oMath>
      <w:r w:rsidR="00803E01">
        <w:t xml:space="preserve"> from 0.4 to 1.0,</w:t>
      </w:r>
      <w:r w:rsidR="00AC3581">
        <w:t xml:space="preserve"> and </w:t>
      </w:r>
      <m:oMath>
        <m:sSubSup>
          <m:sSubSupPr>
            <m:ctrlPr>
              <w:rPr>
                <w:rFonts w:ascii="Cambria Math" w:hAnsi="Cambria Math"/>
                <w:i/>
              </w:rPr>
            </m:ctrlPr>
          </m:sSubSupPr>
          <m:e>
            <m:r>
              <w:rPr>
                <w:rFonts w:ascii="Cambria Math" w:hAnsi="Cambria Math"/>
              </w:rPr>
              <m:t>D</m:t>
            </m:r>
          </m:e>
          <m:sub>
            <m:r>
              <w:rPr>
                <w:rFonts w:ascii="Cambria Math" w:hAnsi="Cambria Math"/>
              </w:rPr>
              <m:t>Li</m:t>
            </m:r>
          </m:sub>
          <m:sup>
            <m:r>
              <w:rPr>
                <w:rFonts w:ascii="Cambria Math" w:hAnsi="Cambria Math"/>
              </w:rPr>
              <m:t>Cpx-Ol</m:t>
            </m:r>
          </m:sup>
        </m:sSubSup>
      </m:oMath>
      <w:r w:rsidR="00391BD0" w:rsidRPr="00661AE1">
        <w:t xml:space="preserve"> </w:t>
      </w:r>
      <w:r w:rsidR="00AC3581">
        <w:t xml:space="preserve">from </w:t>
      </w:r>
      <w:r w:rsidR="00184131">
        <w:t>0.38</w:t>
      </w:r>
      <w:r w:rsidR="00AC3581">
        <w:t xml:space="preserve"> to </w:t>
      </w:r>
      <w:r w:rsidR="00184131">
        <w:t>1.2</w:t>
      </w:r>
      <w:r w:rsidR="00EA27FB">
        <w:t>.</w:t>
      </w:r>
      <w:r w:rsidR="00AC3581">
        <w:t xml:space="preserve"> </w:t>
      </w:r>
      <w:r w:rsidR="00C0365E" w:rsidRPr="00661AE1">
        <w:t xml:space="preserve">The </w:t>
      </w:r>
      <w:r w:rsidR="00296B66" w:rsidRPr="00661AE1">
        <w:t xml:space="preserve">mean </w:t>
      </w:r>
      <w:r w:rsidR="00C0365E" w:rsidRPr="00661AE1">
        <w:t xml:space="preserve">concentrations of both boron </w:t>
      </w:r>
      <w:r w:rsidR="00391BD0" w:rsidRPr="00661AE1">
        <w:t xml:space="preserve">and </w:t>
      </w:r>
      <w:r w:rsidR="00C0365E" w:rsidRPr="00661AE1">
        <w:t xml:space="preserve">chlorine </w:t>
      </w:r>
      <w:r w:rsidR="00AA1BE9" w:rsidRPr="00661AE1">
        <w:t xml:space="preserve">in </w:t>
      </w:r>
      <w:r w:rsidR="00FF2EE2" w:rsidRPr="00661AE1">
        <w:t xml:space="preserve">all of the </w:t>
      </w:r>
      <w:r w:rsidR="00703977" w:rsidRPr="00661AE1">
        <w:t xml:space="preserve">investigated </w:t>
      </w:r>
      <w:r w:rsidR="0019795C" w:rsidRPr="00661AE1">
        <w:t>mantle phases</w:t>
      </w:r>
      <w:r w:rsidR="00C0365E" w:rsidRPr="00661AE1">
        <w:t xml:space="preserve"> </w:t>
      </w:r>
      <w:r w:rsidR="00E91E48">
        <w:t>ar</w:t>
      </w:r>
      <w:r w:rsidR="00E91E48" w:rsidRPr="00661AE1">
        <w:t xml:space="preserve">e </w:t>
      </w:r>
      <w:r w:rsidR="007841A7" w:rsidRPr="00661AE1">
        <w:t xml:space="preserve">below </w:t>
      </w:r>
      <w:r w:rsidR="002A2657" w:rsidRPr="00661AE1">
        <w:t xml:space="preserve">SIMS </w:t>
      </w:r>
      <w:r w:rsidR="007841A7" w:rsidRPr="00661AE1">
        <w:t>detection levels</w:t>
      </w:r>
      <w:r w:rsidR="00C12944" w:rsidRPr="00661AE1">
        <w:t xml:space="preserve"> (0.</w:t>
      </w:r>
      <w:r w:rsidR="005A15C2" w:rsidRPr="00661AE1">
        <w:t>0</w:t>
      </w:r>
      <w:r w:rsidR="005A15C2">
        <w:t>3</w:t>
      </w:r>
      <w:r w:rsidR="005A15C2" w:rsidRPr="00661AE1">
        <w:t xml:space="preserve"> </w:t>
      </w:r>
      <w:r w:rsidR="00C5757D">
        <w:t>ppmw</w:t>
      </w:r>
      <w:r w:rsidR="00C12944" w:rsidRPr="00661AE1">
        <w:t xml:space="preserve"> B and </w:t>
      </w:r>
      <w:r w:rsidR="005A15C2">
        <w:t>14</w:t>
      </w:r>
      <w:r w:rsidR="005A15C2" w:rsidRPr="00661AE1">
        <w:t xml:space="preserve"> </w:t>
      </w:r>
      <w:r w:rsidR="00C5757D">
        <w:t>ppmw</w:t>
      </w:r>
      <w:r w:rsidR="00C12944" w:rsidRPr="00661AE1">
        <w:t xml:space="preserve"> Cl</w:t>
      </w:r>
      <w:r w:rsidR="00D11E8F">
        <w:t>; see Supplementary File</w:t>
      </w:r>
      <w:r w:rsidR="00C12944" w:rsidRPr="00661AE1">
        <w:t>)</w:t>
      </w:r>
      <w:r w:rsidR="00AA1BE9" w:rsidRPr="00661AE1">
        <w:t>.</w:t>
      </w:r>
    </w:p>
    <w:p w14:paraId="4A5F7852" w14:textId="77777777" w:rsidR="00841EBF" w:rsidRPr="00C44395" w:rsidRDefault="00841EBF" w:rsidP="00C20C0B">
      <w:pPr>
        <w:pStyle w:val="Heading1"/>
        <w:spacing w:line="480" w:lineRule="auto"/>
        <w:ind w:left="540"/>
      </w:pPr>
    </w:p>
    <w:p w14:paraId="33BBBE7B" w14:textId="06E4BB26" w:rsidR="00E9350A" w:rsidRPr="00AD729C" w:rsidRDefault="00E9350A" w:rsidP="00C20C0B">
      <w:pPr>
        <w:pStyle w:val="Heading1"/>
        <w:numPr>
          <w:ilvl w:val="0"/>
          <w:numId w:val="24"/>
        </w:numPr>
        <w:spacing w:line="480" w:lineRule="auto"/>
        <w:ind w:left="360"/>
      </w:pPr>
      <w:r w:rsidRPr="009E306E">
        <w:t>How are H and F incorporated into NVFMMs?</w:t>
      </w:r>
    </w:p>
    <w:p w14:paraId="18417518" w14:textId="1FCA9B86" w:rsidR="00A67B92" w:rsidRPr="00661AE1" w:rsidRDefault="00F21930" w:rsidP="00C42CB4">
      <w:pPr>
        <w:spacing w:line="480" w:lineRule="auto"/>
        <w:ind w:firstLine="360"/>
        <w:jc w:val="both"/>
      </w:pPr>
      <w:r>
        <w:rPr>
          <w:bCs/>
        </w:rPr>
        <w:t>V</w:t>
      </w:r>
      <w:r w:rsidR="00A20100" w:rsidRPr="00661AE1">
        <w:rPr>
          <w:bCs/>
        </w:rPr>
        <w:t xml:space="preserve">olatiles </w:t>
      </w:r>
      <w:r w:rsidR="00FD0E77" w:rsidRPr="00661AE1">
        <w:rPr>
          <w:bCs/>
        </w:rPr>
        <w:t>ar</w:t>
      </w:r>
      <w:r w:rsidR="00A20100" w:rsidRPr="00661AE1">
        <w:rPr>
          <w:bCs/>
        </w:rPr>
        <w:t xml:space="preserve">e incorporated into </w:t>
      </w:r>
      <w:r w:rsidR="00374425" w:rsidRPr="00661AE1">
        <w:rPr>
          <w:bCs/>
        </w:rPr>
        <w:t xml:space="preserve">the crystal lattice </w:t>
      </w:r>
      <w:r w:rsidR="00374425">
        <w:rPr>
          <w:bCs/>
        </w:rPr>
        <w:t xml:space="preserve">of </w:t>
      </w:r>
      <w:r w:rsidR="00196639">
        <w:rPr>
          <w:bCs/>
        </w:rPr>
        <w:t>minerals</w:t>
      </w:r>
      <w:r w:rsidR="00A20100" w:rsidRPr="00661AE1">
        <w:rPr>
          <w:bCs/>
        </w:rPr>
        <w:t xml:space="preserve"> </w:t>
      </w:r>
      <w:r>
        <w:rPr>
          <w:bCs/>
        </w:rPr>
        <w:t>by mechanism</w:t>
      </w:r>
      <w:r w:rsidR="00A15F37">
        <w:rPr>
          <w:bCs/>
        </w:rPr>
        <w:t>s</w:t>
      </w:r>
      <w:r>
        <w:rPr>
          <w:bCs/>
        </w:rPr>
        <w:t xml:space="preserve"> that </w:t>
      </w:r>
      <w:r w:rsidR="00A20100" w:rsidRPr="00661AE1">
        <w:rPr>
          <w:bCs/>
        </w:rPr>
        <w:t>involv</w:t>
      </w:r>
      <w:r w:rsidR="006C052F" w:rsidRPr="00661AE1">
        <w:rPr>
          <w:bCs/>
        </w:rPr>
        <w:t>e</w:t>
      </w:r>
      <w:r w:rsidR="00137335" w:rsidRPr="00661AE1">
        <w:rPr>
          <w:bCs/>
        </w:rPr>
        <w:t xml:space="preserve">: (i) </w:t>
      </w:r>
      <w:r w:rsidR="007B74B4">
        <w:rPr>
          <w:bCs/>
        </w:rPr>
        <w:t>structural defects such as cation</w:t>
      </w:r>
      <w:r w:rsidR="00A20100" w:rsidRPr="00661AE1">
        <w:rPr>
          <w:bCs/>
        </w:rPr>
        <w:t xml:space="preserve"> vacancies</w:t>
      </w:r>
      <w:r w:rsidR="00394FE9" w:rsidRPr="00661AE1">
        <w:rPr>
          <w:bCs/>
        </w:rPr>
        <w:t>;</w:t>
      </w:r>
      <w:r w:rsidR="00A20100" w:rsidRPr="00661AE1">
        <w:rPr>
          <w:bCs/>
        </w:rPr>
        <w:t xml:space="preserve"> and/or (ii) </w:t>
      </w:r>
      <w:r w:rsidR="007B74B4">
        <w:rPr>
          <w:bCs/>
        </w:rPr>
        <w:t>charge deficiencies.</w:t>
      </w:r>
      <w:r w:rsidR="00A20100" w:rsidRPr="00661AE1">
        <w:rPr>
          <w:bCs/>
        </w:rPr>
        <w:t xml:space="preserve"> </w:t>
      </w:r>
      <w:r w:rsidR="00C42CB4">
        <w:t>While t</w:t>
      </w:r>
      <w:r w:rsidR="00C42CB4" w:rsidRPr="00661AE1">
        <w:t xml:space="preserve">he low contents </w:t>
      </w:r>
      <w:r w:rsidR="00C42CB4">
        <w:t xml:space="preserve">volatiles </w:t>
      </w:r>
      <w:r w:rsidR="00C42CB4" w:rsidRPr="00661AE1">
        <w:t xml:space="preserve">of olivine observed in our study </w:t>
      </w:r>
      <w:r w:rsidR="00C42CB4">
        <w:t>(</w:t>
      </w:r>
      <w:r w:rsidR="00C42CB4" w:rsidRPr="000050A1">
        <w:rPr>
          <w:b/>
        </w:rPr>
        <w:t>Table 2</w:t>
      </w:r>
      <w:r w:rsidR="00C42CB4">
        <w:t xml:space="preserve">) </w:t>
      </w:r>
      <w:r w:rsidR="00C42CB4" w:rsidRPr="00661AE1">
        <w:t xml:space="preserve">preclude any discussion of crystal </w:t>
      </w:r>
      <w:r w:rsidR="00C42CB4" w:rsidRPr="00661AE1">
        <w:lastRenderedPageBreak/>
        <w:t xml:space="preserve">lattice incorporation mechanisms </w:t>
      </w:r>
      <w:r w:rsidR="00C42CB4">
        <w:t xml:space="preserve">they </w:t>
      </w:r>
      <w:r w:rsidR="00C42CB4" w:rsidRPr="00661AE1">
        <w:t xml:space="preserve">confirm that </w:t>
      </w:r>
      <w:r w:rsidR="00C42CB4">
        <w:t>olivine</w:t>
      </w:r>
      <w:r w:rsidR="00C42CB4" w:rsidRPr="00661AE1">
        <w:t xml:space="preserve"> is not a major repository </w:t>
      </w:r>
      <w:r w:rsidR="00C42CB4">
        <w:t xml:space="preserve">for </w:t>
      </w:r>
      <w:r w:rsidR="00C42CB4" w:rsidRPr="00661AE1">
        <w:t>F</w:t>
      </w:r>
      <w:r w:rsidR="00C42CB4">
        <w:t>, Cl, Li</w:t>
      </w:r>
      <w:r w:rsidR="00C42CB4" w:rsidRPr="00661AE1">
        <w:t xml:space="preserve"> and </w:t>
      </w:r>
      <w:r w:rsidR="00C42CB4">
        <w:t xml:space="preserve">B </w:t>
      </w:r>
      <w:r w:rsidR="00C42CB4" w:rsidRPr="00661AE1">
        <w:t xml:space="preserve">in </w:t>
      </w:r>
      <w:r w:rsidR="005A15C2">
        <w:t>“off-craton”</w:t>
      </w:r>
      <w:r w:rsidR="00C42CB4" w:rsidRPr="00661AE1">
        <w:t xml:space="preserve"> </w:t>
      </w:r>
      <w:r w:rsidR="00C42CB4">
        <w:t xml:space="preserve">lithospheric </w:t>
      </w:r>
      <w:r w:rsidR="00C42CB4" w:rsidRPr="00661AE1">
        <w:t>mant</w:t>
      </w:r>
      <w:r w:rsidR="00C42CB4">
        <w:t xml:space="preserve">le, and that it readily loses H during transport to the surface. </w:t>
      </w:r>
      <w:r w:rsidR="00D33DCF" w:rsidRPr="00661AE1">
        <w:t>Below we combine o</w:t>
      </w:r>
      <w:r w:rsidR="00A67B92" w:rsidRPr="00661AE1">
        <w:t xml:space="preserve">ur </w:t>
      </w:r>
      <w:r w:rsidR="00412552">
        <w:t xml:space="preserve">new </w:t>
      </w:r>
      <w:r w:rsidR="00A20100" w:rsidRPr="009B315C">
        <w:rPr>
          <w:i/>
        </w:rPr>
        <w:t>in-situ</w:t>
      </w:r>
      <w:r w:rsidR="00A20100" w:rsidRPr="00661AE1">
        <w:t xml:space="preserve"> </w:t>
      </w:r>
      <w:r w:rsidR="00A67B92" w:rsidRPr="00661AE1">
        <w:t>analys</w:t>
      </w:r>
      <w:r w:rsidR="00A20100" w:rsidRPr="00661AE1">
        <w:t>e</w:t>
      </w:r>
      <w:r w:rsidR="00A67B92" w:rsidRPr="00661AE1">
        <w:t xml:space="preserve">s of </w:t>
      </w:r>
      <w:r w:rsidR="00A20100" w:rsidRPr="00661AE1">
        <w:t>major</w:t>
      </w:r>
      <w:r w:rsidR="00E91E48">
        <w:t>,</w:t>
      </w:r>
      <w:r w:rsidR="00A20100" w:rsidRPr="00661AE1">
        <w:t xml:space="preserve"> trace </w:t>
      </w:r>
      <w:r w:rsidR="00E91E48">
        <w:t xml:space="preserve">and </w:t>
      </w:r>
      <w:r w:rsidR="00A20100" w:rsidRPr="00661AE1">
        <w:t>volatiles</w:t>
      </w:r>
      <w:r w:rsidR="00A67B92" w:rsidRPr="00661AE1">
        <w:t xml:space="preserve"> </w:t>
      </w:r>
      <w:r w:rsidR="00E91E48" w:rsidRPr="00661AE1">
        <w:t xml:space="preserve">elements </w:t>
      </w:r>
      <w:r w:rsidR="00A67B92" w:rsidRPr="00661AE1">
        <w:t>in</w:t>
      </w:r>
      <w:r w:rsidR="00A20100" w:rsidRPr="00661AE1">
        <w:t xml:space="preserve"> </w:t>
      </w:r>
      <w:r w:rsidR="00A67B92" w:rsidRPr="00661AE1">
        <w:t>pyroxene</w:t>
      </w:r>
      <w:r w:rsidR="00C42CB4">
        <w:t>s</w:t>
      </w:r>
      <w:r w:rsidR="00A67B92" w:rsidRPr="00661AE1">
        <w:t xml:space="preserve"> </w:t>
      </w:r>
      <w:r w:rsidR="00D33DCF" w:rsidRPr="00661AE1">
        <w:t xml:space="preserve">in order to </w:t>
      </w:r>
      <w:r w:rsidR="00B626A2">
        <w:t>improve</w:t>
      </w:r>
      <w:r w:rsidR="00FF7B48">
        <w:t xml:space="preserve"> </w:t>
      </w:r>
      <w:r w:rsidR="00D33DCF" w:rsidRPr="00661AE1">
        <w:t>constrain</w:t>
      </w:r>
      <w:r w:rsidR="00FF7B48">
        <w:t xml:space="preserve">ts on </w:t>
      </w:r>
      <w:r w:rsidR="00D33DCF" w:rsidRPr="00661AE1">
        <w:t xml:space="preserve">how </w:t>
      </w:r>
      <w:r w:rsidR="00E91E48" w:rsidRPr="00CB30EF">
        <w:t>H</w:t>
      </w:r>
      <w:r w:rsidR="00E91E48" w:rsidRPr="00CB30EF">
        <w:rPr>
          <w:vertAlign w:val="subscript"/>
        </w:rPr>
        <w:t>2</w:t>
      </w:r>
      <w:r w:rsidR="00E91E48" w:rsidRPr="00CB30EF">
        <w:t>O</w:t>
      </w:r>
      <w:r w:rsidR="00D33DCF" w:rsidRPr="00661AE1">
        <w:t xml:space="preserve"> </w:t>
      </w:r>
      <w:r w:rsidR="00A67B92" w:rsidRPr="00661AE1">
        <w:t xml:space="preserve">and </w:t>
      </w:r>
      <w:r w:rsidR="00FF7B48">
        <w:t>F</w:t>
      </w:r>
      <w:r w:rsidR="00A67B92" w:rsidRPr="00661AE1">
        <w:t xml:space="preserve"> </w:t>
      </w:r>
      <w:r w:rsidR="00794BA7">
        <w:t>are</w:t>
      </w:r>
      <w:r w:rsidR="00D33DCF" w:rsidRPr="00661AE1">
        <w:t xml:space="preserve"> incorporated </w:t>
      </w:r>
      <w:r w:rsidR="00A67B92" w:rsidRPr="00661AE1">
        <w:t>in</w:t>
      </w:r>
      <w:r w:rsidR="00C42CB4">
        <w:t>to these</w:t>
      </w:r>
      <w:r w:rsidR="00A67B92" w:rsidRPr="00661AE1">
        <w:t xml:space="preserve"> nominally volatile</w:t>
      </w:r>
      <w:r w:rsidR="009E1479">
        <w:t>-</w:t>
      </w:r>
      <w:r w:rsidR="00A67B92" w:rsidRPr="00661AE1">
        <w:t xml:space="preserve">free mantle phases. </w:t>
      </w:r>
    </w:p>
    <w:p w14:paraId="4A3E9F46" w14:textId="3CF82017" w:rsidR="00391BD0" w:rsidRPr="00661AE1" w:rsidRDefault="00391BD0" w:rsidP="00C20C0B">
      <w:pPr>
        <w:spacing w:line="480" w:lineRule="auto"/>
        <w:jc w:val="both"/>
      </w:pPr>
    </w:p>
    <w:p w14:paraId="5F711A1E" w14:textId="19F4636C" w:rsidR="00391BD0" w:rsidRPr="009B315C" w:rsidRDefault="00734BE9" w:rsidP="00C20C0B">
      <w:pPr>
        <w:pStyle w:val="Heading2"/>
        <w:spacing w:before="0" w:beforeAutospacing="0" w:after="0" w:afterAutospacing="0" w:line="480" w:lineRule="auto"/>
        <w:rPr>
          <w:b w:val="0"/>
          <w:bCs w:val="0"/>
        </w:rPr>
      </w:pPr>
      <w:r>
        <w:t>6</w:t>
      </w:r>
      <w:r w:rsidR="00391BD0" w:rsidRPr="009B315C">
        <w:t>.</w:t>
      </w:r>
      <w:r w:rsidR="005C78CF" w:rsidRPr="004E4764">
        <w:t xml:space="preserve">2 </w:t>
      </w:r>
      <w:r w:rsidR="00C83F69" w:rsidRPr="00C44395">
        <w:t>Clinop</w:t>
      </w:r>
      <w:r w:rsidR="00391BD0" w:rsidRPr="009B315C">
        <w:t>yroxene</w:t>
      </w:r>
    </w:p>
    <w:p w14:paraId="56A1F497" w14:textId="5D742AEB" w:rsidR="00314F3E" w:rsidRPr="00693912" w:rsidRDefault="00693912" w:rsidP="00C20C0B">
      <w:pPr>
        <w:autoSpaceDE w:val="0"/>
        <w:autoSpaceDN w:val="0"/>
        <w:adjustRightInd w:val="0"/>
        <w:spacing w:line="480" w:lineRule="auto"/>
        <w:jc w:val="both"/>
      </w:pPr>
      <w:r>
        <w:t>The r</w:t>
      </w:r>
      <w:r w:rsidR="00415008" w:rsidRPr="00661AE1">
        <w:t xml:space="preserve">elationships </w:t>
      </w:r>
      <w:r>
        <w:t>of</w:t>
      </w:r>
      <w:r w:rsidR="00BB2EF4" w:rsidRPr="00661AE1">
        <w:t xml:space="preserve"> </w:t>
      </w:r>
      <w:r w:rsidR="00C42CB4">
        <w:t xml:space="preserve">mean </w:t>
      </w:r>
      <w:r w:rsidR="00124A8D">
        <w:t>H</w:t>
      </w:r>
      <w:r w:rsidR="00EA27FB">
        <w:t>, F</w:t>
      </w:r>
      <w:r w:rsidR="00124A8D">
        <w:t xml:space="preserve"> and </w:t>
      </w:r>
      <w:r w:rsidR="00EA27FB">
        <w:t>Li</w:t>
      </w:r>
      <w:r w:rsidR="00BB2EF4" w:rsidRPr="00661AE1">
        <w:t xml:space="preserve"> </w:t>
      </w:r>
      <w:r w:rsidR="00C42CB4">
        <w:t xml:space="preserve">concentrations in clinopyroxenes </w:t>
      </w:r>
      <w:r w:rsidR="00BB2EF4" w:rsidRPr="00661AE1">
        <w:t>with</w:t>
      </w:r>
      <w:r w:rsidR="005A15C2">
        <w:t>: (i)</w:t>
      </w:r>
      <w:r w:rsidR="00415008" w:rsidRPr="00661AE1">
        <w:t xml:space="preserve"> cations </w:t>
      </w:r>
      <w:r w:rsidR="00BB2EF4" w:rsidRPr="00661AE1">
        <w:t>of</w:t>
      </w:r>
      <w:r w:rsidR="00415008" w:rsidRPr="00661AE1">
        <w:t xml:space="preserve"> different </w:t>
      </w:r>
      <w:r w:rsidR="004C5E9F" w:rsidRPr="00661AE1">
        <w:t>valences</w:t>
      </w:r>
      <w:r w:rsidR="005A15C2">
        <w:t>;</w:t>
      </w:r>
      <w:r w:rsidR="00415008" w:rsidRPr="00661AE1">
        <w:t xml:space="preserve"> </w:t>
      </w:r>
      <w:r w:rsidR="00D94209">
        <w:t xml:space="preserve">and </w:t>
      </w:r>
      <w:r w:rsidR="005A15C2">
        <w:t xml:space="preserve">(ii) </w:t>
      </w:r>
      <w:r w:rsidR="00D94209">
        <w:t xml:space="preserve">trace elements </w:t>
      </w:r>
      <w:r w:rsidR="00124A8D">
        <w:t xml:space="preserve">in </w:t>
      </w:r>
      <w:r w:rsidR="00C42CB4">
        <w:t xml:space="preserve">individual mantle xenoliths from </w:t>
      </w:r>
      <w:r w:rsidR="00C42CB4" w:rsidRPr="00661AE1">
        <w:t xml:space="preserve">southern Patagonia and the Antarctic Peninsula </w:t>
      </w:r>
      <w:r w:rsidR="00124A8D">
        <w:t xml:space="preserve">clinopyroxenes </w:t>
      </w:r>
      <w:r w:rsidR="00415008" w:rsidRPr="00661AE1">
        <w:t xml:space="preserve">are summarised in </w:t>
      </w:r>
      <w:r w:rsidR="00C477C0">
        <w:t>graphical correlation matrices</w:t>
      </w:r>
      <w:r w:rsidR="00EB4FBB">
        <w:t xml:space="preserve"> </w:t>
      </w:r>
      <w:r>
        <w:t>(</w:t>
      </w:r>
      <w:r w:rsidR="00415008" w:rsidRPr="009B315C">
        <w:rPr>
          <w:b/>
          <w:color w:val="000000" w:themeColor="text1"/>
        </w:rPr>
        <w:t xml:space="preserve">Figure </w:t>
      </w:r>
      <w:r w:rsidR="0044633B">
        <w:rPr>
          <w:b/>
          <w:color w:val="000000" w:themeColor="text1"/>
        </w:rPr>
        <w:t xml:space="preserve">3a </w:t>
      </w:r>
      <w:r w:rsidR="00D94209">
        <w:rPr>
          <w:b/>
          <w:color w:val="000000" w:themeColor="text1"/>
        </w:rPr>
        <w:t>&amp; b</w:t>
      </w:r>
      <w:r>
        <w:rPr>
          <w:b/>
          <w:color w:val="000000" w:themeColor="text1"/>
        </w:rPr>
        <w:t xml:space="preserve">). </w:t>
      </w:r>
      <w:r w:rsidRPr="009B315C">
        <w:rPr>
          <w:color w:val="000000" w:themeColor="text1"/>
        </w:rPr>
        <w:t xml:space="preserve">The regression lines </w:t>
      </w:r>
      <w:r w:rsidR="00165D28">
        <w:rPr>
          <w:color w:val="000000" w:themeColor="text1"/>
        </w:rPr>
        <w:t>together with</w:t>
      </w:r>
      <w:r w:rsidR="00165D28" w:rsidRPr="009B315C">
        <w:rPr>
          <w:color w:val="000000" w:themeColor="text1"/>
        </w:rPr>
        <w:t xml:space="preserve"> </w:t>
      </w:r>
      <w:r w:rsidR="00D94209">
        <w:rPr>
          <w:color w:val="000000" w:themeColor="text1"/>
        </w:rPr>
        <w:t xml:space="preserve">Pearson </w:t>
      </w:r>
      <w:r w:rsidRPr="009B315C">
        <w:rPr>
          <w:color w:val="000000" w:themeColor="text1"/>
        </w:rPr>
        <w:t xml:space="preserve">correlation coefficients </w:t>
      </w:r>
      <w:r w:rsidR="00D94209">
        <w:rPr>
          <w:color w:val="000000" w:themeColor="text1"/>
        </w:rPr>
        <w:t>(</w:t>
      </w:r>
      <w:r w:rsidR="00D94209" w:rsidRPr="009B315C">
        <w:rPr>
          <w:i/>
          <w:color w:val="000000" w:themeColor="text1"/>
        </w:rPr>
        <w:t>r</w:t>
      </w:r>
      <w:r w:rsidR="00D94209">
        <w:rPr>
          <w:color w:val="000000" w:themeColor="text1"/>
        </w:rPr>
        <w:t>)</w:t>
      </w:r>
      <w:r w:rsidR="00484E30">
        <w:rPr>
          <w:color w:val="000000" w:themeColor="text1"/>
        </w:rPr>
        <w:t>, which are a measure of linear relationships,</w:t>
      </w:r>
      <w:r w:rsidR="00D94209">
        <w:rPr>
          <w:color w:val="000000" w:themeColor="text1"/>
        </w:rPr>
        <w:t xml:space="preserve"> </w:t>
      </w:r>
      <w:r w:rsidRPr="009B315C">
        <w:rPr>
          <w:color w:val="000000" w:themeColor="text1"/>
        </w:rPr>
        <w:t xml:space="preserve">are </w:t>
      </w:r>
      <w:r>
        <w:rPr>
          <w:color w:val="000000" w:themeColor="text1"/>
        </w:rPr>
        <w:t>shown in more detail</w:t>
      </w:r>
      <w:r w:rsidRPr="009B315C">
        <w:rPr>
          <w:color w:val="000000" w:themeColor="text1"/>
        </w:rPr>
        <w:t xml:space="preserve"> in</w:t>
      </w:r>
      <w:r w:rsidR="009F42A7" w:rsidRPr="009B315C">
        <w:rPr>
          <w:color w:val="000000" w:themeColor="text1"/>
        </w:rPr>
        <w:t xml:space="preserve"> </w:t>
      </w:r>
      <w:r w:rsidR="009F42A7" w:rsidRPr="00693912">
        <w:rPr>
          <w:b/>
          <w:color w:val="000000" w:themeColor="text1"/>
        </w:rPr>
        <w:t xml:space="preserve">Supplementary Figure </w:t>
      </w:r>
      <w:r w:rsidR="004306C1">
        <w:rPr>
          <w:b/>
          <w:color w:val="000000" w:themeColor="text1"/>
        </w:rPr>
        <w:t>5</w:t>
      </w:r>
      <w:r w:rsidR="00415008" w:rsidRPr="00693912">
        <w:t>.</w:t>
      </w:r>
      <w:r w:rsidR="00B9457F" w:rsidRPr="00693912">
        <w:t xml:space="preserve"> </w:t>
      </w:r>
    </w:p>
    <w:p w14:paraId="52ABE046" w14:textId="77777777" w:rsidR="002E79BE" w:rsidRPr="00661AE1" w:rsidRDefault="002E79BE" w:rsidP="00C20C0B">
      <w:pPr>
        <w:autoSpaceDE w:val="0"/>
        <w:autoSpaceDN w:val="0"/>
        <w:adjustRightInd w:val="0"/>
        <w:spacing w:line="480" w:lineRule="auto"/>
        <w:jc w:val="both"/>
      </w:pPr>
    </w:p>
    <w:p w14:paraId="2CB5B8E4" w14:textId="0729330C" w:rsidR="00C70A46" w:rsidRPr="009B315C" w:rsidRDefault="00734BE9" w:rsidP="00C20C0B">
      <w:pPr>
        <w:spacing w:line="480" w:lineRule="auto"/>
        <w:jc w:val="both"/>
        <w:rPr>
          <w:b/>
        </w:rPr>
      </w:pPr>
      <w:r>
        <w:rPr>
          <w:b/>
        </w:rPr>
        <w:t>6</w:t>
      </w:r>
      <w:r w:rsidR="00C70A46" w:rsidRPr="009B315C">
        <w:rPr>
          <w:b/>
        </w:rPr>
        <w:t xml:space="preserve">.2.1 </w:t>
      </w:r>
      <w:r w:rsidR="00165D28">
        <w:rPr>
          <w:b/>
        </w:rPr>
        <w:t>Water</w:t>
      </w:r>
    </w:p>
    <w:p w14:paraId="7521EF43" w14:textId="4DDA2276" w:rsidR="007403C5" w:rsidRPr="00661AE1" w:rsidRDefault="00C83F69" w:rsidP="00C20C0B">
      <w:pPr>
        <w:spacing w:line="480" w:lineRule="auto"/>
        <w:jc w:val="both"/>
      </w:pPr>
      <w:r w:rsidRPr="00661AE1">
        <w:t>W</w:t>
      </w:r>
      <w:r w:rsidR="003E4CDC" w:rsidRPr="00661AE1">
        <w:t>e observe</w:t>
      </w:r>
      <w:r w:rsidR="0073690B" w:rsidRPr="00661AE1">
        <w:t>d</w:t>
      </w:r>
      <w:r w:rsidR="003E4CDC" w:rsidRPr="00661AE1">
        <w:t xml:space="preserve"> </w:t>
      </w:r>
      <w:r w:rsidR="0093789B" w:rsidRPr="00661AE1">
        <w:t>only weak to</w:t>
      </w:r>
      <w:r w:rsidR="003E4CDC" w:rsidRPr="00661AE1">
        <w:t xml:space="preserve"> </w:t>
      </w:r>
      <w:r w:rsidR="00E70E38" w:rsidRPr="00661AE1">
        <w:t>moderate correlation</w:t>
      </w:r>
      <w:r w:rsidR="0093789B" w:rsidRPr="00661AE1">
        <w:t>s</w:t>
      </w:r>
      <w:r w:rsidR="003E4CDC" w:rsidRPr="00661AE1">
        <w:t xml:space="preserve"> between </w:t>
      </w:r>
      <w:r w:rsidR="00165D28" w:rsidRPr="00CB30EF">
        <w:t>H</w:t>
      </w:r>
      <w:r w:rsidR="00165D28" w:rsidRPr="00CB30EF">
        <w:rPr>
          <w:vertAlign w:val="subscript"/>
        </w:rPr>
        <w:t>2</w:t>
      </w:r>
      <w:r w:rsidR="00165D28" w:rsidRPr="00CB30EF">
        <w:t>O</w:t>
      </w:r>
      <w:r w:rsidR="003E4CDC" w:rsidRPr="00661AE1">
        <w:t xml:space="preserve"> and </w:t>
      </w:r>
      <w:r w:rsidR="0093789B" w:rsidRPr="00661AE1">
        <w:t xml:space="preserve">other elements </w:t>
      </w:r>
      <w:r w:rsidR="003E4CDC" w:rsidRPr="00661AE1">
        <w:t xml:space="preserve">in </w:t>
      </w:r>
      <w:r w:rsidR="00E70E38" w:rsidRPr="00661AE1">
        <w:t>mantle</w:t>
      </w:r>
      <w:r w:rsidR="0073690B" w:rsidRPr="00661AE1">
        <w:t>-</w:t>
      </w:r>
      <w:r w:rsidR="00E70E38" w:rsidRPr="00661AE1">
        <w:t xml:space="preserve">derived </w:t>
      </w:r>
      <w:r w:rsidR="003E4CDC" w:rsidRPr="00661AE1">
        <w:t>clinopyroxene</w:t>
      </w:r>
      <w:r w:rsidR="00E70E38" w:rsidRPr="00661AE1">
        <w:t xml:space="preserve"> from </w:t>
      </w:r>
      <w:r w:rsidR="001F6E5B" w:rsidRPr="00661AE1">
        <w:t>s</w:t>
      </w:r>
      <w:r w:rsidR="00E90E9D" w:rsidRPr="00661AE1">
        <w:t>outhern</w:t>
      </w:r>
      <w:r w:rsidR="003E738F" w:rsidRPr="00661AE1">
        <w:t xml:space="preserve"> Patagonia</w:t>
      </w:r>
      <w:r w:rsidR="00E70E38" w:rsidRPr="00661AE1">
        <w:t xml:space="preserve"> and the Antarctic Peninsula</w:t>
      </w:r>
      <w:r w:rsidR="0093789B" w:rsidRPr="00661AE1">
        <w:t xml:space="preserve"> (</w:t>
      </w:r>
      <w:r w:rsidR="0093789B" w:rsidRPr="009B315C">
        <w:rPr>
          <w:b/>
          <w:color w:val="000000" w:themeColor="text1"/>
        </w:rPr>
        <w:t xml:space="preserve">Figure </w:t>
      </w:r>
      <w:r w:rsidR="0044633B">
        <w:rPr>
          <w:b/>
          <w:color w:val="000000" w:themeColor="text1"/>
        </w:rPr>
        <w:t>3</w:t>
      </w:r>
      <w:r w:rsidR="0093789B" w:rsidRPr="00661AE1">
        <w:t>)</w:t>
      </w:r>
      <w:r w:rsidR="003E4CDC" w:rsidRPr="00661AE1">
        <w:t>.</w:t>
      </w:r>
      <w:r w:rsidR="00097519" w:rsidRPr="00661AE1">
        <w:t xml:space="preserve"> </w:t>
      </w:r>
      <w:r w:rsidR="0093789B" w:rsidRPr="00661AE1">
        <w:t>The best positive correlation</w:t>
      </w:r>
      <w:r w:rsidR="00EA27FB">
        <w:t xml:space="preserve"> </w:t>
      </w:r>
      <w:r w:rsidR="00B5566F">
        <w:t xml:space="preserve">occurs </w:t>
      </w:r>
      <w:r w:rsidR="0093789B" w:rsidRPr="00661AE1">
        <w:t>with Li (</w:t>
      </w:r>
      <w:r w:rsidR="00D94209" w:rsidRPr="00623F43">
        <w:rPr>
          <w:i/>
          <w:color w:val="000000" w:themeColor="text1"/>
        </w:rPr>
        <w:t>r</w:t>
      </w:r>
      <w:r w:rsidR="00D94209">
        <w:rPr>
          <w:i/>
          <w:color w:val="000000" w:themeColor="text1"/>
        </w:rPr>
        <w:t xml:space="preserve"> </w:t>
      </w:r>
      <w:r w:rsidR="0093789B" w:rsidRPr="00661AE1">
        <w:t xml:space="preserve">=0.5). </w:t>
      </w:r>
      <w:r w:rsidR="009E1479">
        <w:t>W</w:t>
      </w:r>
      <w:r w:rsidR="007D2E9D">
        <w:t xml:space="preserve">hen </w:t>
      </w:r>
      <w:r w:rsidR="009E1479">
        <w:t xml:space="preserve">the </w:t>
      </w:r>
      <w:r w:rsidR="007D2E9D">
        <w:t xml:space="preserve">clinopyroxenes are divided </w:t>
      </w:r>
      <w:r w:rsidR="009E1479">
        <w:t>into diopsides and Ti-Al augites,</w:t>
      </w:r>
      <w:r w:rsidR="00BC6344">
        <w:t xml:space="preserve"> </w:t>
      </w:r>
      <w:r w:rsidR="00326D61">
        <w:t>and considered together with global datasets</w:t>
      </w:r>
      <w:r w:rsidR="009E1479">
        <w:t xml:space="preserve">, broad correlations </w:t>
      </w:r>
      <w:r w:rsidR="004D251C">
        <w:t>emerge</w:t>
      </w:r>
      <w:r w:rsidR="009E1479">
        <w:t xml:space="preserve"> between </w:t>
      </w:r>
      <w:r w:rsidR="00165D28" w:rsidRPr="00CB30EF">
        <w:t>H</w:t>
      </w:r>
      <w:r w:rsidR="00165D28" w:rsidRPr="00CB30EF">
        <w:rPr>
          <w:vertAlign w:val="subscript"/>
        </w:rPr>
        <w:t>2</w:t>
      </w:r>
      <w:r w:rsidR="00165D28" w:rsidRPr="00CB30EF">
        <w:t>O</w:t>
      </w:r>
      <w:r w:rsidR="009E1479">
        <w:t xml:space="preserve"> and </w:t>
      </w:r>
      <w:r w:rsidR="009E1479" w:rsidRPr="009B315C">
        <w:rPr>
          <w:vertAlign w:val="superscript"/>
        </w:rPr>
        <w:t>[IV]</w:t>
      </w:r>
      <w:r w:rsidR="009E1479">
        <w:t>Al</w:t>
      </w:r>
      <w:r w:rsidR="00326D61">
        <w:t xml:space="preserve"> </w:t>
      </w:r>
      <w:r w:rsidR="00BC6344">
        <w:t>(see discussion below)</w:t>
      </w:r>
      <w:r w:rsidR="009E1479">
        <w:t>.</w:t>
      </w:r>
      <w:r w:rsidR="00D94209">
        <w:t xml:space="preserve"> </w:t>
      </w:r>
    </w:p>
    <w:p w14:paraId="3502D8E9" w14:textId="211155E9" w:rsidR="00314F3E" w:rsidRPr="009D37AD" w:rsidRDefault="00734BE9" w:rsidP="00C20C0B">
      <w:pPr>
        <w:pStyle w:val="Heading3"/>
        <w:spacing w:line="480" w:lineRule="auto"/>
        <w:rPr>
          <w:sz w:val="24"/>
        </w:rPr>
      </w:pPr>
      <w:r>
        <w:rPr>
          <w:sz w:val="24"/>
        </w:rPr>
        <w:t>6</w:t>
      </w:r>
      <w:r w:rsidR="00314F3E" w:rsidRPr="009D37AD">
        <w:rPr>
          <w:sz w:val="24"/>
        </w:rPr>
        <w:t>.2.2 Fluorine</w:t>
      </w:r>
    </w:p>
    <w:p w14:paraId="43FBDF70" w14:textId="455A81E8" w:rsidR="00346E48" w:rsidRPr="00195AA8" w:rsidRDefault="00EA27FB" w:rsidP="00C20C0B">
      <w:pPr>
        <w:spacing w:before="240" w:line="480" w:lineRule="auto"/>
        <w:jc w:val="both"/>
        <w:rPr>
          <w:lang w:val="it-IT"/>
        </w:rPr>
      </w:pPr>
      <w:r>
        <w:t>Our analyses</w:t>
      </w:r>
      <w:r w:rsidR="000839AD">
        <w:t xml:space="preserve"> </w:t>
      </w:r>
      <w:r w:rsidR="009E1479">
        <w:t>of mantle clino</w:t>
      </w:r>
      <w:r w:rsidR="009E1479" w:rsidRPr="00661AE1">
        <w:t>pyroxenes</w:t>
      </w:r>
      <w:r w:rsidR="009E1479" w:rsidRPr="00661AE1" w:rsidDel="000839AD">
        <w:t xml:space="preserve"> </w:t>
      </w:r>
      <w:r>
        <w:t>reveal</w:t>
      </w:r>
      <w:r w:rsidR="009E1479">
        <w:t xml:space="preserve"> that </w:t>
      </w:r>
      <w:r w:rsidR="00A975ED">
        <w:t>fluorine</w:t>
      </w:r>
      <w:r w:rsidR="003E55D6" w:rsidRPr="00661AE1">
        <w:t xml:space="preserve"> correlate</w:t>
      </w:r>
      <w:r w:rsidR="00165D28">
        <w:t>s</w:t>
      </w:r>
      <w:r w:rsidR="003E55D6" w:rsidRPr="00661AE1">
        <w:t xml:space="preserve"> with various mono-</w:t>
      </w:r>
      <w:r w:rsidR="006A4048">
        <w:t xml:space="preserve"> and</w:t>
      </w:r>
      <w:r w:rsidR="003E55D6" w:rsidRPr="00661AE1">
        <w:t xml:space="preserve"> tri- and tetra-valent cations</w:t>
      </w:r>
      <w:r w:rsidR="00285665" w:rsidRPr="00661AE1">
        <w:t xml:space="preserve"> </w:t>
      </w:r>
      <w:r w:rsidR="00B41F31">
        <w:t>which</w:t>
      </w:r>
      <w:r w:rsidR="00B41F31" w:rsidRPr="00661AE1">
        <w:t xml:space="preserve"> </w:t>
      </w:r>
      <w:r w:rsidR="00285665" w:rsidRPr="00661AE1">
        <w:t>partition into the M1</w:t>
      </w:r>
      <w:r w:rsidR="006A4048">
        <w:t>,</w:t>
      </w:r>
      <w:r w:rsidR="00285665" w:rsidRPr="00661AE1">
        <w:t xml:space="preserve"> M2 </w:t>
      </w:r>
      <w:r w:rsidR="006A4048">
        <w:t xml:space="preserve">and T </w:t>
      </w:r>
      <w:r w:rsidR="00285665" w:rsidRPr="00661AE1">
        <w:t>sites</w:t>
      </w:r>
      <w:r w:rsidR="003E55D6" w:rsidRPr="00661AE1">
        <w:t xml:space="preserve">. </w:t>
      </w:r>
      <w:r w:rsidR="000839AD" w:rsidRPr="009B315C">
        <w:rPr>
          <w:b/>
          <w:color w:val="000000" w:themeColor="text1"/>
        </w:rPr>
        <w:t xml:space="preserve">Figure </w:t>
      </w:r>
      <w:r w:rsidR="0044633B">
        <w:rPr>
          <w:b/>
          <w:color w:val="000000" w:themeColor="text1"/>
        </w:rPr>
        <w:t>3</w:t>
      </w:r>
      <w:r w:rsidR="0044633B" w:rsidRPr="009B315C">
        <w:rPr>
          <w:b/>
          <w:color w:val="000000" w:themeColor="text1"/>
        </w:rPr>
        <w:t>a</w:t>
      </w:r>
      <w:r w:rsidR="0044633B" w:rsidRPr="009B315C" w:rsidDel="000839AD">
        <w:rPr>
          <w:color w:val="000000" w:themeColor="text1"/>
        </w:rPr>
        <w:t xml:space="preserve"> </w:t>
      </w:r>
      <w:r w:rsidR="000839AD">
        <w:t xml:space="preserve">shows that there is a </w:t>
      </w:r>
      <w:r w:rsidR="003858E5" w:rsidRPr="00661AE1">
        <w:t xml:space="preserve">positive </w:t>
      </w:r>
      <w:r w:rsidR="00346E48" w:rsidRPr="00661AE1">
        <w:t>relationship</w:t>
      </w:r>
      <w:r w:rsidR="000839AD">
        <w:t xml:space="preserve"> between</w:t>
      </w:r>
      <w:r w:rsidR="00346E48" w:rsidRPr="00661AE1">
        <w:t xml:space="preserve"> fluorine</w:t>
      </w:r>
      <w:r w:rsidR="00346E48" w:rsidRPr="00661AE1" w:rsidDel="00A0403E">
        <w:t xml:space="preserve"> </w:t>
      </w:r>
      <w:r w:rsidR="000839AD">
        <w:t>and</w:t>
      </w:r>
      <w:r w:rsidR="00346E48" w:rsidRPr="00661AE1">
        <w:t xml:space="preserve"> </w:t>
      </w:r>
      <w:r w:rsidR="00D81FB0" w:rsidRPr="00661AE1">
        <w:rPr>
          <w:vertAlign w:val="superscript"/>
        </w:rPr>
        <w:t>[IV]</w:t>
      </w:r>
      <w:r w:rsidR="007415B3" w:rsidRPr="00661AE1">
        <w:t>Al</w:t>
      </w:r>
      <w:r w:rsidR="007415B3" w:rsidRPr="00661AE1">
        <w:rPr>
          <w:vertAlign w:val="superscript"/>
        </w:rPr>
        <w:t>3+</w:t>
      </w:r>
      <w:r w:rsidR="003858E5" w:rsidRPr="00661AE1">
        <w:t xml:space="preserve"> </w:t>
      </w:r>
      <w:r w:rsidR="00346E48" w:rsidRPr="009B315C">
        <w:t>(</w:t>
      </w:r>
      <w:r w:rsidR="00D94209" w:rsidRPr="00623F43">
        <w:rPr>
          <w:i/>
          <w:color w:val="000000" w:themeColor="text1"/>
        </w:rPr>
        <w:t>r</w:t>
      </w:r>
      <w:r w:rsidR="00D94209" w:rsidRPr="00661AE1">
        <w:t xml:space="preserve"> </w:t>
      </w:r>
      <w:r w:rsidR="00346E48" w:rsidRPr="00661AE1">
        <w:t>=0.</w:t>
      </w:r>
      <w:r w:rsidR="00195AA8">
        <w:t>89</w:t>
      </w:r>
      <w:r w:rsidR="00346E48" w:rsidRPr="009B315C">
        <w:t>)</w:t>
      </w:r>
      <w:r w:rsidR="00D81FB0" w:rsidRPr="00661AE1">
        <w:t xml:space="preserve"> and a negative correlation </w:t>
      </w:r>
      <w:r w:rsidR="00D81FB0" w:rsidRPr="00661AE1">
        <w:lastRenderedPageBreak/>
        <w:t xml:space="preserve">with </w:t>
      </w:r>
      <w:r w:rsidR="00D81FB0" w:rsidRPr="00661AE1">
        <w:rPr>
          <w:vertAlign w:val="superscript"/>
        </w:rPr>
        <w:t>[IV]</w:t>
      </w:r>
      <w:r w:rsidR="00D81FB0" w:rsidRPr="00661AE1" w:rsidDel="00FA6BA3">
        <w:rPr>
          <w:vertAlign w:val="superscript"/>
        </w:rPr>
        <w:t xml:space="preserve"> </w:t>
      </w:r>
      <w:r w:rsidR="00D81FB0" w:rsidRPr="00661AE1">
        <w:t>Si</w:t>
      </w:r>
      <w:r w:rsidR="00D81FB0" w:rsidRPr="00661AE1">
        <w:rPr>
          <w:vertAlign w:val="superscript"/>
        </w:rPr>
        <w:t xml:space="preserve">4+ </w:t>
      </w:r>
      <w:r w:rsidR="002A2657" w:rsidRPr="00661AE1">
        <w:t>(</w:t>
      </w:r>
      <w:r w:rsidR="00D94209" w:rsidRPr="00623F43">
        <w:rPr>
          <w:i/>
          <w:color w:val="000000" w:themeColor="text1"/>
        </w:rPr>
        <w:t>r</w:t>
      </w:r>
      <w:r w:rsidR="00D94209" w:rsidRPr="00661AE1" w:rsidDel="00D94209">
        <w:t xml:space="preserve"> </w:t>
      </w:r>
      <w:r w:rsidR="002A2657" w:rsidRPr="00661AE1">
        <w:t>= -0.</w:t>
      </w:r>
      <w:r w:rsidR="00195AA8">
        <w:t>91</w:t>
      </w:r>
      <w:r w:rsidR="002A2657" w:rsidRPr="00661AE1">
        <w:t>)</w:t>
      </w:r>
      <w:r w:rsidR="00346E48" w:rsidRPr="00661AE1">
        <w:t>.</w:t>
      </w:r>
      <w:r w:rsidR="00346E48" w:rsidRPr="00661AE1">
        <w:rPr>
          <w:vertAlign w:val="superscript"/>
        </w:rPr>
        <w:t xml:space="preserve"> </w:t>
      </w:r>
      <w:r w:rsidR="00D81FB0" w:rsidRPr="00661AE1">
        <w:t>This</w:t>
      </w:r>
      <w:r w:rsidR="009D2BBA" w:rsidRPr="00661AE1">
        <w:t xml:space="preserve"> confirms the importance of th</w:t>
      </w:r>
      <w:r w:rsidR="00767531" w:rsidRPr="00661AE1">
        <w:t>e</w:t>
      </w:r>
      <w:r w:rsidR="009D2BBA" w:rsidRPr="00661AE1">
        <w:t xml:space="preserve"> </w:t>
      </w:r>
      <w:r w:rsidR="00767531" w:rsidRPr="00661AE1">
        <w:t xml:space="preserve">following </w:t>
      </w:r>
      <w:r w:rsidR="009D2BBA" w:rsidRPr="00661AE1">
        <w:t xml:space="preserve">coupled substitution </w:t>
      </w:r>
      <w:r w:rsidR="00767531" w:rsidRPr="00661AE1">
        <w:t>proposed by Beyer et al.</w:t>
      </w:r>
      <w:r w:rsidR="00D81935" w:rsidRPr="00661AE1">
        <w:t xml:space="preserve"> </w:t>
      </w:r>
      <w:r w:rsidR="00D81935" w:rsidRPr="00195AA8">
        <w:rPr>
          <w:lang w:val="it-IT"/>
        </w:rPr>
        <w:t>(</w:t>
      </w:r>
      <w:r w:rsidR="00767531" w:rsidRPr="00195AA8">
        <w:rPr>
          <w:lang w:val="it-IT"/>
        </w:rPr>
        <w:t>2012</w:t>
      </w:r>
      <w:r w:rsidR="00D81935" w:rsidRPr="00195AA8">
        <w:rPr>
          <w:lang w:val="it-IT"/>
        </w:rPr>
        <w:t>),</w:t>
      </w:r>
      <w:r w:rsidR="00767531" w:rsidRPr="00195AA8">
        <w:rPr>
          <w:lang w:val="it-IT"/>
        </w:rPr>
        <w:t xml:space="preserve"> Mossenfelder &amp; Rossman </w:t>
      </w:r>
      <w:r w:rsidR="00D81935" w:rsidRPr="00195AA8">
        <w:rPr>
          <w:lang w:val="it-IT"/>
        </w:rPr>
        <w:t>(</w:t>
      </w:r>
      <w:r w:rsidR="00767531" w:rsidRPr="00195AA8">
        <w:rPr>
          <w:lang w:val="it-IT"/>
        </w:rPr>
        <w:t>2013b</w:t>
      </w:r>
      <w:r w:rsidR="00D81935" w:rsidRPr="00195AA8">
        <w:rPr>
          <w:lang w:val="it-IT"/>
        </w:rPr>
        <w:t xml:space="preserve">) and </w:t>
      </w:r>
      <w:r w:rsidR="00767531" w:rsidRPr="00195AA8">
        <w:rPr>
          <w:lang w:val="it-IT"/>
        </w:rPr>
        <w:t xml:space="preserve">Urann et al. </w:t>
      </w:r>
      <w:r w:rsidR="00D81935" w:rsidRPr="00195AA8">
        <w:rPr>
          <w:lang w:val="it-IT"/>
        </w:rPr>
        <w:t>(</w:t>
      </w:r>
      <w:r w:rsidR="00767531" w:rsidRPr="00195AA8">
        <w:rPr>
          <w:lang w:val="it-IT"/>
        </w:rPr>
        <w:t>2017):</w:t>
      </w:r>
      <w:r w:rsidR="003858E5" w:rsidRPr="00195AA8">
        <w:rPr>
          <w:lang w:val="it-IT"/>
        </w:rPr>
        <w:t xml:space="preserve"> </w:t>
      </w:r>
    </w:p>
    <w:p w14:paraId="00CD7214" w14:textId="34AD1A59" w:rsidR="00767531" w:rsidRPr="00195AA8" w:rsidRDefault="0087786D" w:rsidP="00C20C0B">
      <w:pPr>
        <w:spacing w:after="200" w:line="480" w:lineRule="auto"/>
        <w:ind w:firstLine="720"/>
        <w:jc w:val="center"/>
        <w:rPr>
          <w:lang w:val="it-IT"/>
        </w:rPr>
      </w:pPr>
      <w:r w:rsidRPr="00195AA8">
        <w:rPr>
          <w:vertAlign w:val="superscript"/>
          <w:lang w:val="it-IT"/>
        </w:rPr>
        <w:t xml:space="preserve">                                       </w:t>
      </w:r>
      <w:r w:rsidRPr="00195AA8">
        <w:rPr>
          <w:vertAlign w:val="superscript"/>
          <w:lang w:val="it-IT"/>
        </w:rPr>
        <w:tab/>
        <w:t xml:space="preserve"> </w:t>
      </w:r>
      <w:r w:rsidR="00FA6BA3" w:rsidRPr="00195AA8">
        <w:rPr>
          <w:vertAlign w:val="superscript"/>
          <w:lang w:val="it-IT"/>
        </w:rPr>
        <w:t>[</w:t>
      </w:r>
      <w:r w:rsidR="00284DB7" w:rsidRPr="00195AA8">
        <w:rPr>
          <w:vertAlign w:val="superscript"/>
          <w:lang w:val="it-IT"/>
        </w:rPr>
        <w:t>I</w:t>
      </w:r>
      <w:r w:rsidR="00FA6BA3" w:rsidRPr="00195AA8">
        <w:rPr>
          <w:vertAlign w:val="superscript"/>
          <w:lang w:val="it-IT"/>
        </w:rPr>
        <w:t>V]</w:t>
      </w:r>
      <w:r w:rsidR="00FA6BA3" w:rsidRPr="00195AA8" w:rsidDel="00C270B2">
        <w:rPr>
          <w:vertAlign w:val="superscript"/>
          <w:lang w:val="it-IT"/>
        </w:rPr>
        <w:t xml:space="preserve"> </w:t>
      </w:r>
      <w:r w:rsidR="00767531" w:rsidRPr="00195AA8">
        <w:rPr>
          <w:lang w:val="it-IT"/>
        </w:rPr>
        <w:t>Al</w:t>
      </w:r>
      <w:r w:rsidR="00767531" w:rsidRPr="00195AA8">
        <w:rPr>
          <w:vertAlign w:val="superscript"/>
          <w:lang w:val="it-IT"/>
        </w:rPr>
        <w:t xml:space="preserve">3+ </w:t>
      </w:r>
      <w:r w:rsidR="00767531" w:rsidRPr="00195AA8">
        <w:rPr>
          <w:lang w:val="it-IT"/>
        </w:rPr>
        <w:t>+ F</w:t>
      </w:r>
      <w:r w:rsidR="00767531" w:rsidRPr="00195AA8">
        <w:rPr>
          <w:vertAlign w:val="superscript"/>
          <w:lang w:val="it-IT"/>
        </w:rPr>
        <w:t xml:space="preserve">-  </w:t>
      </w:r>
      <w:r w:rsidR="00767531" w:rsidRPr="00195AA8">
        <w:rPr>
          <w:lang w:val="it-IT"/>
        </w:rPr>
        <w:t>=</w:t>
      </w:r>
      <w:r w:rsidR="00767531" w:rsidRPr="00195AA8">
        <w:rPr>
          <w:vertAlign w:val="superscript"/>
          <w:lang w:val="it-IT"/>
        </w:rPr>
        <w:t xml:space="preserve"> </w:t>
      </w:r>
      <w:r w:rsidR="00FA6BA3" w:rsidRPr="00195AA8">
        <w:rPr>
          <w:vertAlign w:val="superscript"/>
          <w:lang w:val="it-IT"/>
        </w:rPr>
        <w:t>[IV]</w:t>
      </w:r>
      <w:r w:rsidR="00FA6BA3" w:rsidRPr="00195AA8" w:rsidDel="00FA6BA3">
        <w:rPr>
          <w:vertAlign w:val="superscript"/>
          <w:lang w:val="it-IT"/>
        </w:rPr>
        <w:t xml:space="preserve"> </w:t>
      </w:r>
      <w:r w:rsidR="00767531" w:rsidRPr="00195AA8">
        <w:rPr>
          <w:lang w:val="it-IT"/>
        </w:rPr>
        <w:t>Si</w:t>
      </w:r>
      <w:r w:rsidR="00767531" w:rsidRPr="00195AA8">
        <w:rPr>
          <w:vertAlign w:val="superscript"/>
          <w:lang w:val="it-IT"/>
        </w:rPr>
        <w:t xml:space="preserve">4+ </w:t>
      </w:r>
      <w:r w:rsidR="00767531" w:rsidRPr="00195AA8">
        <w:rPr>
          <w:lang w:val="it-IT"/>
        </w:rPr>
        <w:t>+ O</w:t>
      </w:r>
      <w:r w:rsidR="00767531" w:rsidRPr="00195AA8">
        <w:rPr>
          <w:vertAlign w:val="superscript"/>
          <w:lang w:val="it-IT"/>
        </w:rPr>
        <w:t>2-</w:t>
      </w:r>
      <w:r w:rsidR="00767531" w:rsidRPr="00195AA8">
        <w:rPr>
          <w:vertAlign w:val="superscript"/>
          <w:lang w:val="it-IT"/>
        </w:rPr>
        <w:tab/>
      </w:r>
      <w:r w:rsidRPr="00195AA8">
        <w:rPr>
          <w:vertAlign w:val="superscript"/>
          <w:lang w:val="it-IT"/>
        </w:rPr>
        <w:tab/>
      </w:r>
      <w:r w:rsidR="00767531" w:rsidRPr="00195AA8">
        <w:rPr>
          <w:vertAlign w:val="superscript"/>
          <w:lang w:val="it-IT"/>
        </w:rPr>
        <w:tab/>
        <w:t xml:space="preserve">                </w:t>
      </w:r>
      <w:r w:rsidRPr="00195AA8">
        <w:rPr>
          <w:vertAlign w:val="superscript"/>
          <w:lang w:val="it-IT"/>
        </w:rPr>
        <w:t xml:space="preserve">              </w:t>
      </w:r>
      <w:r w:rsidR="00165D28" w:rsidRPr="00195AA8">
        <w:rPr>
          <w:vertAlign w:val="superscript"/>
          <w:lang w:val="it-IT"/>
        </w:rPr>
        <w:tab/>
      </w:r>
      <w:r w:rsidR="004F5C28" w:rsidRPr="00195AA8">
        <w:rPr>
          <w:lang w:val="it-IT"/>
        </w:rPr>
        <w:t>(</w:t>
      </w:r>
      <w:r w:rsidR="00EF6B77" w:rsidRPr="00195AA8">
        <w:rPr>
          <w:lang w:val="it-IT"/>
        </w:rPr>
        <w:t>1</w:t>
      </w:r>
      <w:r w:rsidR="004F5C28" w:rsidRPr="00195AA8">
        <w:rPr>
          <w:lang w:val="it-IT"/>
        </w:rPr>
        <w:t>)</w:t>
      </w:r>
    </w:p>
    <w:p w14:paraId="7A8B47D2" w14:textId="1D9DCCA5" w:rsidR="00D90515" w:rsidRDefault="00D81FB0" w:rsidP="00C20C0B">
      <w:pPr>
        <w:spacing w:after="200" w:line="480" w:lineRule="auto"/>
        <w:jc w:val="both"/>
      </w:pPr>
      <w:r w:rsidRPr="00661AE1">
        <w:t xml:space="preserve">This </w:t>
      </w:r>
      <w:r w:rsidR="001A30BE" w:rsidRPr="00661AE1">
        <w:t xml:space="preserve">reaction </w:t>
      </w:r>
      <w:r w:rsidRPr="00661AE1">
        <w:t>may</w:t>
      </w:r>
      <w:r w:rsidR="00947A67" w:rsidRPr="00661AE1">
        <w:t>, however,</w:t>
      </w:r>
      <w:r w:rsidRPr="00661AE1">
        <w:t xml:space="preserve"> be just one of a series that allows F</w:t>
      </w:r>
      <w:r w:rsidR="00EF6B77" w:rsidRPr="00661AE1">
        <w:rPr>
          <w:vertAlign w:val="superscript"/>
        </w:rPr>
        <w:t>-</w:t>
      </w:r>
      <w:r w:rsidRPr="00661AE1">
        <w:t xml:space="preserve"> to be incorporated into clinopyroxene</w:t>
      </w:r>
      <w:r w:rsidR="00EF6B77" w:rsidRPr="00661AE1">
        <w:t xml:space="preserve">. The </w:t>
      </w:r>
      <w:r w:rsidR="00B36DAC" w:rsidRPr="00661AE1">
        <w:t xml:space="preserve">additional </w:t>
      </w:r>
      <w:r w:rsidR="00195AA8">
        <w:t>strong</w:t>
      </w:r>
      <w:r w:rsidR="00195AA8" w:rsidRPr="00661AE1">
        <w:t xml:space="preserve"> </w:t>
      </w:r>
      <w:r w:rsidR="00EF6B77" w:rsidRPr="00661AE1">
        <w:t>positive correlation of F</w:t>
      </w:r>
      <w:r w:rsidR="00EF6B77" w:rsidRPr="00661AE1">
        <w:rPr>
          <w:vertAlign w:val="superscript"/>
        </w:rPr>
        <w:t>-</w:t>
      </w:r>
      <w:r w:rsidR="00EF6B77" w:rsidRPr="00661AE1">
        <w:t xml:space="preserve"> with </w:t>
      </w:r>
      <w:r w:rsidR="00924012" w:rsidRPr="009B315C">
        <w:t>octahedrally</w:t>
      </w:r>
      <w:r w:rsidR="009E1479">
        <w:t>-</w:t>
      </w:r>
      <w:r w:rsidR="00924012" w:rsidRPr="009B315C">
        <w:t xml:space="preserve">co-ordinated </w:t>
      </w:r>
      <w:r w:rsidR="00924012" w:rsidRPr="00661AE1">
        <w:t>Al</w:t>
      </w:r>
      <w:r w:rsidR="00924012" w:rsidRPr="00661AE1">
        <w:rPr>
          <w:vertAlign w:val="superscript"/>
        </w:rPr>
        <w:t>3+</w:t>
      </w:r>
      <w:r w:rsidR="002D437D" w:rsidRPr="00661AE1">
        <w:rPr>
          <w:vertAlign w:val="superscript"/>
        </w:rPr>
        <w:t xml:space="preserve"> </w:t>
      </w:r>
      <w:r w:rsidR="002D437D" w:rsidRPr="009B315C">
        <w:t>(</w:t>
      </w:r>
      <w:r w:rsidR="00D94209" w:rsidRPr="00623F43">
        <w:rPr>
          <w:i/>
          <w:color w:val="000000" w:themeColor="text1"/>
        </w:rPr>
        <w:t>r</w:t>
      </w:r>
      <w:r w:rsidR="00D94209" w:rsidRPr="00661AE1" w:rsidDel="00D94209">
        <w:t xml:space="preserve"> </w:t>
      </w:r>
      <w:r w:rsidR="002D437D" w:rsidRPr="009B315C">
        <w:t>=</w:t>
      </w:r>
      <w:r w:rsidR="002D437D" w:rsidRPr="00661AE1">
        <w:t>0.</w:t>
      </w:r>
      <w:r w:rsidR="00195AA8">
        <w:t>83</w:t>
      </w:r>
      <w:r w:rsidR="002D437D" w:rsidRPr="009B315C">
        <w:t>)</w:t>
      </w:r>
      <w:r w:rsidR="00CC5164" w:rsidRPr="009B315C">
        <w:rPr>
          <w:vertAlign w:val="subscript"/>
        </w:rPr>
        <w:t>,</w:t>
      </w:r>
      <w:r w:rsidR="00CC5164" w:rsidRPr="00661AE1">
        <w:rPr>
          <w:vertAlign w:val="superscript"/>
        </w:rPr>
        <w:t xml:space="preserve"> </w:t>
      </w:r>
      <w:r w:rsidR="00924012" w:rsidRPr="00661AE1">
        <w:t>coupled with the</w:t>
      </w:r>
      <w:r w:rsidR="00924012" w:rsidRPr="00661AE1">
        <w:rPr>
          <w:vertAlign w:val="superscript"/>
        </w:rPr>
        <w:t xml:space="preserve"> </w:t>
      </w:r>
      <w:r w:rsidR="00EF6B77" w:rsidRPr="00661AE1">
        <w:t>negative correlation</w:t>
      </w:r>
      <w:r w:rsidR="009E1479">
        <w:t>s</w:t>
      </w:r>
      <w:r w:rsidR="00EF6B77" w:rsidRPr="00661AE1">
        <w:t xml:space="preserve"> </w:t>
      </w:r>
      <w:r w:rsidR="00924012" w:rsidRPr="00661AE1">
        <w:t>of F</w:t>
      </w:r>
      <w:r w:rsidR="00924012" w:rsidRPr="00661AE1">
        <w:rPr>
          <w:vertAlign w:val="superscript"/>
        </w:rPr>
        <w:t xml:space="preserve">- </w:t>
      </w:r>
      <w:r w:rsidR="00EF6B77" w:rsidRPr="00661AE1">
        <w:t xml:space="preserve">with </w:t>
      </w:r>
      <w:r w:rsidR="00EF6B77" w:rsidRPr="009B315C">
        <w:t>octahedrally</w:t>
      </w:r>
      <w:r w:rsidR="009E1479">
        <w:t>-</w:t>
      </w:r>
      <w:r w:rsidR="00EF6B77" w:rsidRPr="009B315C">
        <w:t>co-ordinated</w:t>
      </w:r>
      <w:r w:rsidR="00EF6B77" w:rsidRPr="00661AE1">
        <w:rPr>
          <w:vertAlign w:val="superscript"/>
        </w:rPr>
        <w:t xml:space="preserve"> </w:t>
      </w:r>
      <w:r w:rsidR="00EF6B77" w:rsidRPr="00661AE1">
        <w:t>Mg</w:t>
      </w:r>
      <w:r w:rsidR="00EF6B77" w:rsidRPr="009B315C">
        <w:rPr>
          <w:vertAlign w:val="superscript"/>
        </w:rPr>
        <w:t>2+</w:t>
      </w:r>
      <w:r w:rsidR="00EF6B77" w:rsidRPr="00661AE1">
        <w:t xml:space="preserve"> </w:t>
      </w:r>
      <w:r w:rsidR="002878E4" w:rsidRPr="00661AE1">
        <w:t>(</w:t>
      </w:r>
      <w:r w:rsidR="00D94209" w:rsidRPr="00623F43">
        <w:rPr>
          <w:i/>
          <w:color w:val="000000" w:themeColor="text1"/>
        </w:rPr>
        <w:t>r</w:t>
      </w:r>
      <w:r w:rsidR="00D94209" w:rsidRPr="00661AE1" w:rsidDel="00D94209">
        <w:t xml:space="preserve"> </w:t>
      </w:r>
      <w:r w:rsidR="002878E4" w:rsidRPr="00661AE1">
        <w:t>=-0.</w:t>
      </w:r>
      <w:r w:rsidR="00195AA8">
        <w:t>82</w:t>
      </w:r>
      <w:r w:rsidR="002878E4" w:rsidRPr="00661AE1">
        <w:t xml:space="preserve">) </w:t>
      </w:r>
      <w:r w:rsidR="00924012" w:rsidRPr="00661AE1">
        <w:t xml:space="preserve">and </w:t>
      </w:r>
      <w:r w:rsidR="00B128F0">
        <w:t xml:space="preserve">tetrahedral </w:t>
      </w:r>
      <w:r w:rsidR="00924012" w:rsidRPr="00661AE1">
        <w:t>Si</w:t>
      </w:r>
      <w:r w:rsidR="00924012" w:rsidRPr="009B315C">
        <w:rPr>
          <w:vertAlign w:val="superscript"/>
        </w:rPr>
        <w:t>4+</w:t>
      </w:r>
      <w:r w:rsidR="00CC5164" w:rsidRPr="00661AE1">
        <w:t xml:space="preserve">, </w:t>
      </w:r>
      <w:r w:rsidR="00E344EA" w:rsidRPr="00661AE1">
        <w:t>suggests that substitution of F</w:t>
      </w:r>
      <w:r w:rsidR="00947A67" w:rsidRPr="009B315C">
        <w:rPr>
          <w:vertAlign w:val="superscript"/>
        </w:rPr>
        <w:t>-</w:t>
      </w:r>
      <w:r w:rsidR="00E344EA" w:rsidRPr="00661AE1">
        <w:t xml:space="preserve"> </w:t>
      </w:r>
      <w:r w:rsidR="00CC5164" w:rsidRPr="00661AE1">
        <w:t>in</w:t>
      </w:r>
      <w:r w:rsidR="00E344EA" w:rsidRPr="00661AE1">
        <w:t xml:space="preserve">to the clinopyroxene </w:t>
      </w:r>
      <w:r w:rsidR="00A975ED" w:rsidRPr="00661AE1">
        <w:t xml:space="preserve">structure </w:t>
      </w:r>
      <w:r w:rsidR="00E344EA" w:rsidRPr="00661AE1">
        <w:t>may be associated with</w:t>
      </w:r>
      <w:r w:rsidRPr="009B315C">
        <w:t xml:space="preserve"> </w:t>
      </w:r>
      <w:r w:rsidR="00B73757" w:rsidRPr="00661AE1">
        <w:t>the formation of the Mg-</w:t>
      </w:r>
      <w:r w:rsidRPr="00661AE1">
        <w:t xml:space="preserve">Tschermak’s </w:t>
      </w:r>
      <w:r w:rsidR="00B73757" w:rsidRPr="00661AE1">
        <w:t>component</w:t>
      </w:r>
      <w:r w:rsidR="00A1457B">
        <w:t>.</w:t>
      </w:r>
      <w:r w:rsidR="008E742D">
        <w:t xml:space="preserve"> </w:t>
      </w:r>
    </w:p>
    <w:p w14:paraId="07D8407E" w14:textId="5D44A064" w:rsidR="00D90515" w:rsidRPr="00195AA8" w:rsidRDefault="00D90515" w:rsidP="00C20C0B">
      <w:pPr>
        <w:spacing w:after="200" w:line="480" w:lineRule="auto"/>
        <w:ind w:left="360"/>
        <w:jc w:val="right"/>
        <w:rPr>
          <w:lang w:val="it-IT"/>
        </w:rPr>
      </w:pPr>
      <w:r w:rsidRPr="00195AA8">
        <w:rPr>
          <w:vertAlign w:val="superscript"/>
          <w:lang w:val="it-IT"/>
        </w:rPr>
        <w:t>[VI]</w:t>
      </w:r>
      <w:r w:rsidRPr="00195AA8">
        <w:rPr>
          <w:lang w:val="it-IT"/>
        </w:rPr>
        <w:t>Al</w:t>
      </w:r>
      <w:r w:rsidRPr="00195AA8">
        <w:rPr>
          <w:vertAlign w:val="superscript"/>
          <w:lang w:val="it-IT"/>
        </w:rPr>
        <w:t>3+</w:t>
      </w:r>
      <w:r w:rsidRPr="00195AA8">
        <w:rPr>
          <w:vertAlign w:val="subscript"/>
          <w:lang w:val="it-IT"/>
        </w:rPr>
        <w:t xml:space="preserve"> </w:t>
      </w:r>
      <w:r w:rsidRPr="00195AA8">
        <w:rPr>
          <w:lang w:val="it-IT"/>
        </w:rPr>
        <w:t xml:space="preserve">+ </w:t>
      </w:r>
      <w:r w:rsidRPr="00195AA8">
        <w:rPr>
          <w:vertAlign w:val="superscript"/>
          <w:lang w:val="it-IT"/>
        </w:rPr>
        <w:t>[IV]</w:t>
      </w:r>
      <w:r w:rsidRPr="00195AA8">
        <w:rPr>
          <w:lang w:val="it-IT"/>
        </w:rPr>
        <w:t>Al</w:t>
      </w:r>
      <w:r w:rsidRPr="00195AA8">
        <w:rPr>
          <w:vertAlign w:val="superscript"/>
          <w:lang w:val="it-IT"/>
        </w:rPr>
        <w:t xml:space="preserve">3+ </w:t>
      </w:r>
      <w:r w:rsidRPr="00195AA8">
        <w:rPr>
          <w:lang w:val="it-IT"/>
        </w:rPr>
        <w:t>=</w:t>
      </w:r>
      <w:r w:rsidRPr="00195AA8">
        <w:rPr>
          <w:vertAlign w:val="superscript"/>
          <w:lang w:val="it-IT"/>
        </w:rPr>
        <w:t xml:space="preserve"> [VI]</w:t>
      </w:r>
      <w:r w:rsidRPr="00195AA8">
        <w:rPr>
          <w:lang w:val="it-IT"/>
        </w:rPr>
        <w:t>Mg</w:t>
      </w:r>
      <w:r w:rsidRPr="00195AA8">
        <w:rPr>
          <w:vertAlign w:val="superscript"/>
          <w:lang w:val="it-IT"/>
        </w:rPr>
        <w:t>2+</w:t>
      </w:r>
      <w:r w:rsidRPr="00195AA8">
        <w:rPr>
          <w:vertAlign w:val="subscript"/>
          <w:lang w:val="it-IT"/>
        </w:rPr>
        <w:t xml:space="preserve"> </w:t>
      </w:r>
      <w:r w:rsidRPr="00195AA8">
        <w:rPr>
          <w:lang w:val="it-IT"/>
        </w:rPr>
        <w:t>+</w:t>
      </w:r>
      <w:r w:rsidRPr="00195AA8">
        <w:rPr>
          <w:vertAlign w:val="superscript"/>
          <w:lang w:val="it-IT"/>
        </w:rPr>
        <w:t xml:space="preserve"> [IV]</w:t>
      </w:r>
      <w:r w:rsidRPr="00195AA8">
        <w:rPr>
          <w:lang w:val="it-IT"/>
        </w:rPr>
        <w:t>Si</w:t>
      </w:r>
      <w:r w:rsidRPr="00195AA8">
        <w:rPr>
          <w:vertAlign w:val="superscript"/>
          <w:lang w:val="it-IT"/>
        </w:rPr>
        <w:t>4+</w:t>
      </w:r>
      <w:r w:rsidRPr="00195AA8">
        <w:rPr>
          <w:vertAlign w:val="superscript"/>
          <w:lang w:val="it-IT"/>
        </w:rPr>
        <w:tab/>
      </w:r>
      <w:r w:rsidRPr="00195AA8">
        <w:rPr>
          <w:lang w:val="it-IT"/>
        </w:rPr>
        <w:tab/>
      </w:r>
      <w:r w:rsidRPr="00195AA8">
        <w:rPr>
          <w:lang w:val="it-IT"/>
        </w:rPr>
        <w:tab/>
      </w:r>
      <w:r w:rsidR="004F5C28" w:rsidRPr="00195AA8">
        <w:rPr>
          <w:lang w:val="it-IT"/>
        </w:rPr>
        <w:t>(</w:t>
      </w:r>
      <w:r w:rsidRPr="00195AA8">
        <w:rPr>
          <w:lang w:val="it-IT"/>
        </w:rPr>
        <w:t>2</w:t>
      </w:r>
      <w:r w:rsidR="004F5C28" w:rsidRPr="00195AA8">
        <w:rPr>
          <w:lang w:val="it-IT"/>
        </w:rPr>
        <w:t>)</w:t>
      </w:r>
    </w:p>
    <w:p w14:paraId="0E2EE776" w14:textId="77777777" w:rsidR="00D90515" w:rsidRPr="00195AA8" w:rsidRDefault="00D90515" w:rsidP="00C20C0B">
      <w:pPr>
        <w:spacing w:after="200" w:line="480" w:lineRule="auto"/>
        <w:jc w:val="center"/>
        <w:rPr>
          <w:lang w:val="it-IT"/>
        </w:rPr>
      </w:pPr>
      <w:r w:rsidRPr="00195AA8">
        <w:rPr>
          <w:lang w:val="it-IT"/>
        </w:rPr>
        <w:t xml:space="preserve">Where </w:t>
      </w:r>
      <w:r w:rsidRPr="00195AA8">
        <w:rPr>
          <w:vertAlign w:val="superscript"/>
          <w:lang w:val="it-IT"/>
        </w:rPr>
        <w:t>[VI]</w:t>
      </w:r>
      <w:r w:rsidRPr="00195AA8">
        <w:rPr>
          <w:lang w:val="it-IT"/>
        </w:rPr>
        <w:t>Al</w:t>
      </w:r>
      <w:r w:rsidRPr="00195AA8">
        <w:rPr>
          <w:vertAlign w:val="superscript"/>
          <w:lang w:val="it-IT"/>
        </w:rPr>
        <w:t xml:space="preserve">3+ </w:t>
      </w:r>
      <w:r w:rsidRPr="00195AA8">
        <w:rPr>
          <w:lang w:val="it-IT"/>
        </w:rPr>
        <w:t>=</w:t>
      </w:r>
      <w:r w:rsidRPr="00195AA8">
        <w:rPr>
          <w:sz w:val="28"/>
          <w:lang w:val="it-IT"/>
        </w:rPr>
        <w:t xml:space="preserve"> </w:t>
      </w:r>
      <m:oMath>
        <m:f>
          <m:fPr>
            <m:ctrlPr>
              <w:rPr>
                <w:rFonts w:ascii="Cambria Math" w:hAnsi="Cambria Math"/>
                <w:i/>
                <w:sz w:val="28"/>
              </w:rPr>
            </m:ctrlPr>
          </m:fPr>
          <m:num>
            <m:r>
              <m:rPr>
                <m:sty m:val="p"/>
              </m:rPr>
              <w:rPr>
                <w:rFonts w:ascii="Cambria Math" w:hAnsi="Cambria Math"/>
                <w:sz w:val="28"/>
                <w:lang w:val="it-IT"/>
              </w:rPr>
              <m:t>(Al - Cr - Fe</m:t>
            </m:r>
            <m:r>
              <m:rPr>
                <m:sty m:val="p"/>
              </m:rPr>
              <w:rPr>
                <w:rFonts w:ascii="Cambria Math" w:hAnsi="Cambria Math"/>
                <w:position w:val="4"/>
                <w:sz w:val="28"/>
                <w:vertAlign w:val="superscript"/>
                <w:lang w:val="it-IT"/>
              </w:rPr>
              <m:t>3+</m:t>
            </m:r>
            <m:r>
              <m:rPr>
                <m:sty m:val="p"/>
              </m:rPr>
              <w:rPr>
                <w:rFonts w:ascii="Cambria Math" w:hAnsi="Cambria Math"/>
                <w:sz w:val="28"/>
                <w:lang w:val="it-IT"/>
              </w:rPr>
              <m:t>- 2Ti + Na)</m:t>
            </m:r>
          </m:num>
          <m:den>
            <m:r>
              <w:rPr>
                <w:rFonts w:ascii="Cambria Math" w:hAnsi="Cambria Math"/>
                <w:sz w:val="28"/>
                <w:lang w:val="it-IT"/>
              </w:rPr>
              <m:t>2</m:t>
            </m:r>
          </m:den>
        </m:f>
      </m:oMath>
      <w:r w:rsidRPr="00195AA8">
        <w:rPr>
          <w:lang w:val="it-IT"/>
        </w:rPr>
        <w:t xml:space="preserve">  and  </w:t>
      </w:r>
      <w:r w:rsidRPr="00195AA8">
        <w:rPr>
          <w:vertAlign w:val="superscript"/>
          <w:lang w:val="it-IT"/>
        </w:rPr>
        <w:t>[IV]</w:t>
      </w:r>
      <w:r w:rsidRPr="00195AA8">
        <w:rPr>
          <w:lang w:val="it-IT"/>
        </w:rPr>
        <w:t>Al</w:t>
      </w:r>
      <w:r w:rsidRPr="00195AA8">
        <w:rPr>
          <w:vertAlign w:val="superscript"/>
          <w:lang w:val="it-IT"/>
        </w:rPr>
        <w:t xml:space="preserve">3+ </w:t>
      </w:r>
      <w:r w:rsidRPr="00195AA8">
        <w:rPr>
          <w:lang w:val="it-IT"/>
        </w:rPr>
        <w:t>=</w:t>
      </w:r>
      <w:r w:rsidRPr="00195AA8">
        <w:rPr>
          <w:sz w:val="28"/>
          <w:lang w:val="it-IT"/>
        </w:rPr>
        <w:t xml:space="preserve"> </w:t>
      </w:r>
      <m:oMath>
        <m:f>
          <m:fPr>
            <m:ctrlPr>
              <w:rPr>
                <w:rFonts w:ascii="Cambria Math" w:hAnsi="Cambria Math"/>
                <w:i/>
                <w:sz w:val="28"/>
              </w:rPr>
            </m:ctrlPr>
          </m:fPr>
          <m:num>
            <m:r>
              <m:rPr>
                <m:sty m:val="p"/>
              </m:rPr>
              <w:rPr>
                <w:rFonts w:ascii="Cambria Math" w:hAnsi="Cambria Math"/>
                <w:sz w:val="28"/>
                <w:lang w:val="it-IT"/>
              </w:rPr>
              <m:t>(Al+ Cr+ Fe</m:t>
            </m:r>
            <m:r>
              <m:rPr>
                <m:sty m:val="p"/>
              </m:rPr>
              <w:rPr>
                <w:rFonts w:ascii="Cambria Math" w:hAnsi="Cambria Math"/>
                <w:position w:val="4"/>
                <w:sz w:val="28"/>
                <w:vertAlign w:val="superscript"/>
                <w:lang w:val="it-IT"/>
              </w:rPr>
              <m:t>3+</m:t>
            </m:r>
            <m:r>
              <m:rPr>
                <m:sty m:val="p"/>
              </m:rPr>
              <w:rPr>
                <w:rFonts w:ascii="Cambria Math" w:hAnsi="Cambria Math"/>
                <w:sz w:val="28"/>
                <w:lang w:val="it-IT"/>
              </w:rPr>
              <m:t>+ 2Ti- Na)</m:t>
            </m:r>
          </m:num>
          <m:den>
            <m:r>
              <w:rPr>
                <w:rFonts w:ascii="Cambria Math" w:hAnsi="Cambria Math"/>
                <w:sz w:val="28"/>
                <w:lang w:val="it-IT"/>
              </w:rPr>
              <m:t>2</m:t>
            </m:r>
          </m:den>
        </m:f>
      </m:oMath>
      <w:r w:rsidRPr="00195AA8">
        <w:rPr>
          <w:lang w:val="it-IT"/>
        </w:rPr>
        <w:t xml:space="preserve">  </w:t>
      </w:r>
    </w:p>
    <w:p w14:paraId="3B530332" w14:textId="77777777" w:rsidR="00D90515" w:rsidRPr="00195AA8" w:rsidRDefault="00D90515" w:rsidP="00C20C0B">
      <w:pPr>
        <w:spacing w:after="200" w:line="480" w:lineRule="auto"/>
        <w:jc w:val="both"/>
        <w:rPr>
          <w:lang w:val="it-IT"/>
        </w:rPr>
      </w:pPr>
    </w:p>
    <w:p w14:paraId="2C6009C8" w14:textId="4C9F58E7" w:rsidR="005441DF" w:rsidRDefault="008E742D" w:rsidP="00C20C0B">
      <w:pPr>
        <w:spacing w:after="200" w:line="480" w:lineRule="auto"/>
        <w:jc w:val="both"/>
      </w:pPr>
      <w:r>
        <w:t>This is supported by</w:t>
      </w:r>
      <w:r w:rsidR="009D2BBA" w:rsidRPr="00661AE1">
        <w:t xml:space="preserve"> </w:t>
      </w:r>
      <w:r w:rsidR="000F4089" w:rsidRPr="00661AE1">
        <w:t xml:space="preserve">new </w:t>
      </w:r>
      <w:r w:rsidR="009A3DE0" w:rsidRPr="00661AE1">
        <w:t>observation</w:t>
      </w:r>
      <w:r w:rsidR="00883A6F">
        <w:t>s</w:t>
      </w:r>
      <w:r w:rsidR="009A3DE0" w:rsidRPr="00661AE1">
        <w:t xml:space="preserve"> </w:t>
      </w:r>
      <w:r w:rsidR="00C42AFE">
        <w:t>to</w:t>
      </w:r>
      <w:r w:rsidR="002767A6" w:rsidRPr="00661AE1">
        <w:t xml:space="preserve"> emerge</w:t>
      </w:r>
      <w:r w:rsidR="00980037" w:rsidRPr="00661AE1">
        <w:t xml:space="preserve"> from our study</w:t>
      </w:r>
      <w:r w:rsidR="00EA27FB">
        <w:t xml:space="preserve"> of </w:t>
      </w:r>
      <w:r w:rsidR="00EA27FB" w:rsidRPr="00661AE1">
        <w:t>mantle clinopyroxenes</w:t>
      </w:r>
      <w:r w:rsidR="009E1479">
        <w:t>,</w:t>
      </w:r>
      <w:r w:rsidR="00980037" w:rsidRPr="00661AE1">
        <w:t xml:space="preserve"> </w:t>
      </w:r>
      <w:r w:rsidR="00883A6F">
        <w:t>includ</w:t>
      </w:r>
      <w:r w:rsidR="009D477D">
        <w:t>ing</w:t>
      </w:r>
      <w:r w:rsidR="001526AE" w:rsidRPr="00661AE1">
        <w:t xml:space="preserve"> a</w:t>
      </w:r>
      <w:r w:rsidR="000F4089" w:rsidRPr="00661AE1">
        <w:t xml:space="preserve"> </w:t>
      </w:r>
      <w:r w:rsidR="001526AE" w:rsidRPr="00661AE1">
        <w:t>very</w:t>
      </w:r>
      <w:r w:rsidR="000F4089" w:rsidRPr="00661AE1">
        <w:t xml:space="preserve"> </w:t>
      </w:r>
      <w:r w:rsidR="006F3B05" w:rsidRPr="00661AE1">
        <w:t>strong</w:t>
      </w:r>
      <w:r w:rsidR="000F4089" w:rsidRPr="00661AE1">
        <w:t xml:space="preserve"> </w:t>
      </w:r>
      <w:r w:rsidR="006F3B05" w:rsidRPr="00661AE1">
        <w:t xml:space="preserve">positive </w:t>
      </w:r>
      <w:r w:rsidR="000F4089" w:rsidRPr="00661AE1">
        <w:t xml:space="preserve">correlation </w:t>
      </w:r>
      <w:r w:rsidR="001526AE" w:rsidRPr="00661AE1">
        <w:t>of F</w:t>
      </w:r>
      <w:r w:rsidR="000F4089" w:rsidRPr="00661AE1">
        <w:t xml:space="preserve"> </w:t>
      </w:r>
      <w:r w:rsidR="00917CF3" w:rsidRPr="00661AE1">
        <w:t>with</w:t>
      </w:r>
      <w:r w:rsidR="000F4089" w:rsidRPr="00661AE1">
        <w:t xml:space="preserve"> </w:t>
      </w:r>
      <w:r w:rsidR="001B6BA0" w:rsidRPr="00661AE1">
        <w:t>Ti</w:t>
      </w:r>
      <w:r w:rsidR="008E5D6A" w:rsidRPr="00661AE1">
        <w:t xml:space="preserve"> </w:t>
      </w:r>
      <w:r w:rsidR="001526AE" w:rsidRPr="00661AE1">
        <w:t>and</w:t>
      </w:r>
      <w:r w:rsidR="00C42AFE">
        <w:t xml:space="preserve"> </w:t>
      </w:r>
      <w:r w:rsidR="00883A6F">
        <w:t xml:space="preserve">a </w:t>
      </w:r>
      <w:r w:rsidR="00D90515">
        <w:t xml:space="preserve">moderate </w:t>
      </w:r>
      <w:r w:rsidR="009E1479">
        <w:t xml:space="preserve">positive </w:t>
      </w:r>
      <w:r w:rsidR="00D90515">
        <w:t xml:space="preserve">correlation with </w:t>
      </w:r>
      <w:r w:rsidR="00917CF3" w:rsidRPr="00661AE1">
        <w:t>Fe</w:t>
      </w:r>
      <w:r w:rsidR="00917CF3" w:rsidRPr="00661AE1">
        <w:rPr>
          <w:vertAlign w:val="superscript"/>
        </w:rPr>
        <w:t>3+</w:t>
      </w:r>
      <w:r w:rsidR="00B73757" w:rsidRPr="00661AE1">
        <w:rPr>
          <w:vertAlign w:val="superscript"/>
        </w:rPr>
        <w:t xml:space="preserve"> </w:t>
      </w:r>
      <w:r w:rsidR="007841A7" w:rsidRPr="00661AE1">
        <w:t>(</w:t>
      </w:r>
      <w:r w:rsidR="00B626A2" w:rsidRPr="00623F43">
        <w:rPr>
          <w:i/>
          <w:color w:val="000000" w:themeColor="text1"/>
        </w:rPr>
        <w:t>r</w:t>
      </w:r>
      <w:r w:rsidR="00B626A2" w:rsidRPr="00661AE1" w:rsidDel="00B626A2">
        <w:t xml:space="preserve"> </w:t>
      </w:r>
      <w:r w:rsidR="007841A7" w:rsidRPr="00661AE1">
        <w:t>=0.</w:t>
      </w:r>
      <w:r w:rsidR="00195AA8">
        <w:t>93</w:t>
      </w:r>
      <w:r w:rsidR="00195AA8" w:rsidRPr="00661AE1">
        <w:t xml:space="preserve"> </w:t>
      </w:r>
      <w:r w:rsidR="002878E4" w:rsidRPr="00661AE1">
        <w:t>and 0.</w:t>
      </w:r>
      <w:r w:rsidR="00195AA8">
        <w:t>81</w:t>
      </w:r>
      <w:r w:rsidR="002878E4" w:rsidRPr="00661AE1">
        <w:t>, respectively</w:t>
      </w:r>
      <w:r w:rsidR="007D2E9D">
        <w:t xml:space="preserve">; </w:t>
      </w:r>
      <w:r w:rsidR="007D2E9D" w:rsidRPr="009B315C">
        <w:rPr>
          <w:b/>
        </w:rPr>
        <w:t xml:space="preserve">Figure </w:t>
      </w:r>
      <w:r w:rsidR="0044633B">
        <w:rPr>
          <w:b/>
        </w:rPr>
        <w:t>3</w:t>
      </w:r>
      <w:r w:rsidR="0044633B" w:rsidRPr="009B315C">
        <w:rPr>
          <w:b/>
        </w:rPr>
        <w:t>a</w:t>
      </w:r>
      <w:r w:rsidR="00E7418A" w:rsidRPr="00661AE1">
        <w:t>)</w:t>
      </w:r>
      <w:r w:rsidR="004C100A" w:rsidRPr="00661AE1">
        <w:t xml:space="preserve">. </w:t>
      </w:r>
      <w:r w:rsidR="00883A6F">
        <w:t>I</w:t>
      </w:r>
      <w:r w:rsidR="00796035" w:rsidRPr="00661AE1">
        <w:t xml:space="preserve">n </w:t>
      </w:r>
      <w:r w:rsidR="00EA27FB">
        <w:t>diopsides</w:t>
      </w:r>
      <w:r w:rsidR="00D90515">
        <w:t xml:space="preserve"> </w:t>
      </w:r>
      <w:r w:rsidR="00EA27FB">
        <w:t>and augites</w:t>
      </w:r>
      <w:r w:rsidR="00796035" w:rsidRPr="00661AE1">
        <w:t>,</w:t>
      </w:r>
      <w:r w:rsidR="006F3B05" w:rsidRPr="00661AE1">
        <w:t xml:space="preserve"> Ti </w:t>
      </w:r>
      <w:r w:rsidR="000F50E7" w:rsidRPr="00661AE1">
        <w:t xml:space="preserve">together with </w:t>
      </w:r>
      <w:r w:rsidR="00917CF3" w:rsidRPr="00661AE1">
        <w:t>Fe</w:t>
      </w:r>
      <w:r w:rsidR="00917CF3" w:rsidRPr="00661AE1">
        <w:rPr>
          <w:vertAlign w:val="superscript"/>
        </w:rPr>
        <w:t>3+</w:t>
      </w:r>
      <w:r w:rsidR="000F50E7" w:rsidRPr="00661AE1">
        <w:t xml:space="preserve"> </w:t>
      </w:r>
      <w:r w:rsidR="00B73757" w:rsidRPr="00661AE1">
        <w:t>(and also Cr</w:t>
      </w:r>
      <w:r w:rsidR="00B73757" w:rsidRPr="00661AE1">
        <w:rPr>
          <w:vertAlign w:val="superscript"/>
        </w:rPr>
        <w:t>3+</w:t>
      </w:r>
      <w:r w:rsidR="00B73757" w:rsidRPr="00661AE1">
        <w:t xml:space="preserve">) </w:t>
      </w:r>
      <w:r w:rsidR="000F50E7" w:rsidRPr="00661AE1">
        <w:t xml:space="preserve">will occupy the octahedral </w:t>
      </w:r>
      <w:r w:rsidR="00796035" w:rsidRPr="00661AE1">
        <w:t xml:space="preserve">M1 </w:t>
      </w:r>
      <w:r w:rsidR="000F50E7" w:rsidRPr="00661AE1">
        <w:t xml:space="preserve">site </w:t>
      </w:r>
      <w:r w:rsidR="000F50E7" w:rsidRPr="00C44395">
        <w:fldChar w:fldCharType="begin"/>
      </w:r>
      <w:r w:rsidR="008E0CCC">
        <w:instrText xml:space="preserve"> ADDIN ZOTERO_ITEM CSL_CITATION {"citationID":"2cY93YLR","properties":{"formattedCitation":"(Manning and Nickel, 1969)","plainCitation":"(Manning and Nickel, 1969)","noteIndex":0},"citationItems":[{"id":3984,"uris":["http://zotero.org/users/88665/items/8D2AQE7A"],"uri":["http://zotero.org/users/88665/items/8D2AQE7A"],"itemData":{"id":3984,"type":"article-journal","container-title":"The Canadian Mineralogist","ISSN":"0008-4476","issue":"1","journalAbbreviation":"The Canadian Mineralogist","language":"en","page":"71-83","source":"pubs.geoscienceworld.org","title":"A spectral study of the origin of colour and pleochroism of a titanaugite from Kaiserstuhl and of a riebeckite from Saint Peter's Dome, Colorado","volume":"10","author":[{"family":"Manning","given":"P. G."},{"family":"Nickel","given":"E. H."}],"issued":{"date-parts":[["1969",12,1]]}}}],"schema":"https://github.com/citation-style-language/schema/raw/master/csl-citation.json"} </w:instrText>
      </w:r>
      <w:r w:rsidR="000F50E7" w:rsidRPr="00C44395">
        <w:fldChar w:fldCharType="separate"/>
      </w:r>
      <w:r w:rsidR="00636367">
        <w:t>(Manning and Nickel, 1969)</w:t>
      </w:r>
      <w:r w:rsidR="000F50E7" w:rsidRPr="00C44395">
        <w:fldChar w:fldCharType="end"/>
      </w:r>
      <w:r w:rsidR="00883A6F">
        <w:t xml:space="preserve"> and w</w:t>
      </w:r>
      <w:r w:rsidR="008B541E" w:rsidRPr="00661AE1">
        <w:t xml:space="preserve">e suggest that the </w:t>
      </w:r>
      <w:r w:rsidR="00796035" w:rsidRPr="00661AE1">
        <w:t xml:space="preserve">strong </w:t>
      </w:r>
      <w:r w:rsidR="008B541E" w:rsidRPr="00661AE1">
        <w:t>correlation</w:t>
      </w:r>
      <w:r w:rsidR="00B73757" w:rsidRPr="00661AE1">
        <w:t>s</w:t>
      </w:r>
      <w:r w:rsidR="00796035" w:rsidRPr="00661AE1">
        <w:t xml:space="preserve"> exhibited by</w:t>
      </w:r>
      <w:r w:rsidR="008B541E" w:rsidRPr="00661AE1">
        <w:t xml:space="preserve"> F</w:t>
      </w:r>
      <w:r w:rsidR="008B541E" w:rsidRPr="009B315C">
        <w:rPr>
          <w:vertAlign w:val="superscript"/>
        </w:rPr>
        <w:t>-</w:t>
      </w:r>
      <w:r w:rsidR="008B541E" w:rsidRPr="00661AE1">
        <w:t xml:space="preserve"> </w:t>
      </w:r>
      <w:r w:rsidR="00796035" w:rsidRPr="00661AE1">
        <w:t xml:space="preserve">with </w:t>
      </w:r>
      <w:r w:rsidR="00B73757" w:rsidRPr="00661AE1">
        <w:t>Ti</w:t>
      </w:r>
      <w:r w:rsidR="00B626A2">
        <w:t>,</w:t>
      </w:r>
      <w:r w:rsidR="00B73757" w:rsidRPr="00661AE1">
        <w:t xml:space="preserve"> Fe</w:t>
      </w:r>
      <w:r w:rsidR="00B73757" w:rsidRPr="00661AE1">
        <w:rPr>
          <w:vertAlign w:val="superscript"/>
        </w:rPr>
        <w:t>3+</w:t>
      </w:r>
      <w:r w:rsidR="00B626A2">
        <w:t>and</w:t>
      </w:r>
      <w:r w:rsidR="00B73757" w:rsidRPr="00661AE1">
        <w:t xml:space="preserve"> </w:t>
      </w:r>
      <w:r w:rsidR="00B73757" w:rsidRPr="00661AE1">
        <w:rPr>
          <w:vertAlign w:val="superscript"/>
        </w:rPr>
        <w:t>[VI]</w:t>
      </w:r>
      <w:r w:rsidR="00B73757" w:rsidRPr="00661AE1">
        <w:t>Al</w:t>
      </w:r>
      <w:r w:rsidR="00B73757" w:rsidRPr="00661AE1">
        <w:rPr>
          <w:vertAlign w:val="superscript"/>
        </w:rPr>
        <w:t>3+</w:t>
      </w:r>
      <w:r w:rsidR="00796035" w:rsidRPr="009B315C">
        <w:rPr>
          <w:vertAlign w:val="subscript"/>
        </w:rPr>
        <w:t>,</w:t>
      </w:r>
      <w:r w:rsidR="00796035" w:rsidRPr="00661AE1">
        <w:rPr>
          <w:vertAlign w:val="superscript"/>
        </w:rPr>
        <w:t xml:space="preserve"> </w:t>
      </w:r>
      <w:r w:rsidR="008B541E" w:rsidRPr="00661AE1">
        <w:t xml:space="preserve">can be explained by </w:t>
      </w:r>
      <w:r w:rsidR="008E68BB" w:rsidRPr="00661AE1">
        <w:t>Reaction</w:t>
      </w:r>
      <w:r w:rsidR="00D90515">
        <w:t>s</w:t>
      </w:r>
      <w:r w:rsidR="008E68BB" w:rsidRPr="00661AE1">
        <w:t xml:space="preserve"> </w:t>
      </w:r>
      <w:r w:rsidR="004F5C28">
        <w:t>(</w:t>
      </w:r>
      <w:r w:rsidR="008E68BB" w:rsidRPr="00661AE1">
        <w:t>1</w:t>
      </w:r>
      <w:r w:rsidR="004F5C28">
        <w:t>)</w:t>
      </w:r>
      <w:r w:rsidR="008E68BB" w:rsidRPr="00661AE1">
        <w:t xml:space="preserve"> </w:t>
      </w:r>
      <w:r w:rsidR="00D90515">
        <w:t xml:space="preserve">and </w:t>
      </w:r>
      <w:r w:rsidR="004F5C28">
        <w:t>(</w:t>
      </w:r>
      <w:r w:rsidR="00D90515">
        <w:t>2</w:t>
      </w:r>
      <w:r w:rsidR="004F5C28">
        <w:t>)</w:t>
      </w:r>
      <w:r w:rsidR="00D90515">
        <w:t>.</w:t>
      </w:r>
      <w:r w:rsidR="00E246BB" w:rsidRPr="00661AE1">
        <w:rPr>
          <w:noProof/>
        </w:rPr>
        <w:t xml:space="preserve"> </w:t>
      </w:r>
      <w:r w:rsidR="005441DF">
        <w:t xml:space="preserve">Fluorine also exhibits a </w:t>
      </w:r>
      <w:r w:rsidR="005441DF" w:rsidRPr="00661AE1">
        <w:t xml:space="preserve">moderate </w:t>
      </w:r>
      <w:r w:rsidR="005441DF">
        <w:t>positive correlation</w:t>
      </w:r>
      <w:r w:rsidR="005441DF" w:rsidRPr="00661AE1">
        <w:t xml:space="preserve"> </w:t>
      </w:r>
      <w:r w:rsidR="005441DF">
        <w:t>with</w:t>
      </w:r>
      <w:r w:rsidR="005441DF" w:rsidRPr="00661AE1">
        <w:t xml:space="preserve"> Li</w:t>
      </w:r>
      <w:r w:rsidR="005441DF" w:rsidRPr="00661AE1">
        <w:rPr>
          <w:vertAlign w:val="superscript"/>
        </w:rPr>
        <w:t xml:space="preserve">+ </w:t>
      </w:r>
      <w:r w:rsidR="005441DF" w:rsidRPr="00661AE1">
        <w:t>(</w:t>
      </w:r>
      <w:r w:rsidR="00D94209" w:rsidRPr="00623F43">
        <w:rPr>
          <w:i/>
          <w:color w:val="000000" w:themeColor="text1"/>
        </w:rPr>
        <w:t>r</w:t>
      </w:r>
      <w:r w:rsidR="00D94209" w:rsidRPr="00661AE1">
        <w:t xml:space="preserve"> </w:t>
      </w:r>
      <w:r w:rsidR="005441DF" w:rsidRPr="00661AE1">
        <w:t>=0.55</w:t>
      </w:r>
      <w:r w:rsidR="005441DF">
        <w:t xml:space="preserve">; </w:t>
      </w:r>
      <w:r w:rsidR="005441DF" w:rsidRPr="00E10E4E">
        <w:rPr>
          <w:b/>
        </w:rPr>
        <w:t xml:space="preserve">Supplementary </w:t>
      </w:r>
      <w:r w:rsidR="005441DF">
        <w:rPr>
          <w:b/>
        </w:rPr>
        <w:t>F</w:t>
      </w:r>
      <w:r w:rsidR="005441DF" w:rsidRPr="00E10E4E">
        <w:rPr>
          <w:b/>
        </w:rPr>
        <w:t>igure</w:t>
      </w:r>
      <w:r w:rsidR="006B3F61">
        <w:rPr>
          <w:b/>
        </w:rPr>
        <w:t>s</w:t>
      </w:r>
      <w:r w:rsidR="005441DF" w:rsidRPr="00E10E4E">
        <w:rPr>
          <w:b/>
        </w:rPr>
        <w:t xml:space="preserve"> </w:t>
      </w:r>
      <w:r w:rsidR="00B5566F">
        <w:rPr>
          <w:b/>
        </w:rPr>
        <w:t xml:space="preserve">5 </w:t>
      </w:r>
      <w:r w:rsidR="006B3F61">
        <w:rPr>
          <w:b/>
        </w:rPr>
        <w:t>&amp; 7</w:t>
      </w:r>
      <w:r w:rsidR="005441DF" w:rsidRPr="00661AE1">
        <w:t>)</w:t>
      </w:r>
      <w:r w:rsidR="005A15C2">
        <w:t>,</w:t>
      </w:r>
      <w:r w:rsidR="009D477D">
        <w:t xml:space="preserve"> and supports </w:t>
      </w:r>
      <w:r w:rsidR="005441DF">
        <w:t xml:space="preserve">the proposal of Seitz &amp; Woodland </w:t>
      </w:r>
      <w:r w:rsidR="005441DF">
        <w:fldChar w:fldCharType="begin"/>
      </w:r>
      <w:r w:rsidR="008E0CCC">
        <w:instrText xml:space="preserve"> ADDIN ZOTERO_ITEM CSL_CITATION {"citationID":"xBQXAtky","properties":{"formattedCitation":"(2000)","plainCitation":"(2000)","noteIndex":0},"citationItems":[{"id":4215,"uris":["http://zotero.org/users/88665/items/PV6X89EY"],"uri":["http://zotero.org/users/88665/items/PV6X89EY"],"itemData":{"id":4215,"type":"article-journal","abstract":"Lithium concentrations in orthopyroxene, clinopyroxene, olivine, garnet or spinel from equilibrated spinel peridotite, garnet peridotite and garnet pyroxenite xenoliths and from metasomatised peridotites and pyroxenites were measured using the ion-microprobe (SIMS). With respect to changes in physical and chemical parameters, we present new data on lithium contents in mantle minerals and its partitioning behaviour in (1) equilibrated and (2) metasomatised samples. Lithium is preferentially incorporated into olivine, ranging between 1 and 2 ppm in equilibrated unmetasomatised peridotites. Pyroxenes from peridotitic xenoliths have Li concentrations on the order of several hundred ppb up to 1.3 ppm, while pyroxenes from pyroxenites have somewhat higher abundances (1–3 ppm with a maximum of 19 ppm). The following partitioning relationships have been established: ol&gt;cpx≥opx</w:instrText>
      </w:r>
      <w:r w:rsidR="008E0CCC">
        <w:rPr>
          <w:rFonts w:ascii="Cambria Math" w:hAnsi="Cambria Math" w:cs="Cambria Math"/>
        </w:rPr>
        <w:instrText>≫</w:instrText>
      </w:r>
      <w:r w:rsidR="008E0CCC">
        <w:instrText xml:space="preserve">grt or sp for garnet and spinel peridotites, respectively, and cpx≥opx&gt;grt for garnet pyroxenites. The intercrystalline partitioning of Li is independent of T, P and bulk composition (for ultramafic to mafic compositions), making Li a suitable tracer element for chemical processes such as metasomatism. We estimate a bulk Li content of 1.0–1.5 ppm for fertile to moderately depleted lithospheric mantle. Low Li abundances in mantle peridotites and pyroxenites emphasise its incompatibility during partial melting and fractional crystallisation. However, elevated Li concentrations are present in some pyroxenites, presumably due to complete crystallisation of trapped partial melts. Metasomatised samples from peridotite massifs (Pyrenees and Ivrea Zone) and mantle nodules from two Victorian volcanic fields (Australia) clearly show enrichment of Li in both olivine and clinopyroxene, whereby the distribution of Li between olivine and clinopyroxene has generally not achieved equilibrium. Disequilibrium is manifested by preferential Li enrichment in either olivine or clinopyroxene depending on the type of metasomatic agent involved (carbonatite vs. mafic silicate melt). Differences in absolute Li abundances and in its partitioning behaviour allow the identification not only of metasomatic overprints, but also of magmatic processes such as partial melting, crystal fractionation and accumulation. The sensitivity of Li as such a chemical tracer gives an additional criterium for recognising cryptic metasomatism.","container-title":"Chemical Geology","DOI":"10.1016/S0009-2541(99)00184-9","ISSN":"0009-2541","issue":"1","journalAbbreviation":"Chemical Geology","page":"47-64","source":"ScienceDirect","title":"The distribution of lithium in peridotitic and pyroxenitic mantle lithologies — an indicator of magmatic and metasomatic processes","volume":"166","author":[{"family":"Seitz","given":"Hans-Michael"},{"family":"Woodland","given":"Alan B"}],"issued":{"date-parts":[["2000",5,1]]}},"suppress-author":true}],"schema":"https://github.com/citation-style-language/schema/raw/master/csl-citation.json"} </w:instrText>
      </w:r>
      <w:r w:rsidR="005441DF">
        <w:fldChar w:fldCharType="separate"/>
      </w:r>
      <w:r w:rsidR="00636367">
        <w:t>(2000)</w:t>
      </w:r>
      <w:r w:rsidR="005441DF">
        <w:fldChar w:fldCharType="end"/>
      </w:r>
      <w:r w:rsidR="005441DF">
        <w:t xml:space="preserve"> that Li undergoes coupled substitutions with trivalent cations (Al, Cr, </w:t>
      </w:r>
      <w:r w:rsidR="005441DF" w:rsidRPr="00661AE1">
        <w:t>Fe</w:t>
      </w:r>
      <w:r w:rsidR="005441DF" w:rsidRPr="00661AE1">
        <w:rPr>
          <w:vertAlign w:val="superscript"/>
        </w:rPr>
        <w:t>3+</w:t>
      </w:r>
      <w:r w:rsidR="005441DF">
        <w:t xml:space="preserve">, Sc and the </w:t>
      </w:r>
      <w:r w:rsidR="005A15C2">
        <w:t>rare-earth elements</w:t>
      </w:r>
      <w:r w:rsidR="005441DF">
        <w:t xml:space="preserve">). </w:t>
      </w:r>
    </w:p>
    <w:p w14:paraId="030AD502" w14:textId="60711D05" w:rsidR="00EF6B77" w:rsidRPr="00195AA8" w:rsidRDefault="00165D28" w:rsidP="00C20C0B">
      <w:pPr>
        <w:spacing w:after="200" w:line="480" w:lineRule="auto"/>
        <w:ind w:firstLine="360"/>
        <w:jc w:val="both"/>
        <w:rPr>
          <w:lang w:val="it-IT"/>
        </w:rPr>
      </w:pPr>
      <w:r>
        <w:t>W</w:t>
      </w:r>
      <w:r w:rsidR="00EF6B77" w:rsidRPr="00661AE1">
        <w:t xml:space="preserve">e </w:t>
      </w:r>
      <w:r w:rsidR="006E26D7" w:rsidRPr="00661AE1">
        <w:t>observe</w:t>
      </w:r>
      <w:r w:rsidR="006E26D7">
        <w:t xml:space="preserve"> a negative </w:t>
      </w:r>
      <w:r w:rsidR="00883A6F">
        <w:t>relationship</w:t>
      </w:r>
      <w:r w:rsidR="006E26D7">
        <w:t xml:space="preserve"> </w:t>
      </w:r>
      <w:r>
        <w:t xml:space="preserve">between F and </w:t>
      </w:r>
      <w:r w:rsidR="006E26D7">
        <w:t>Ca (</w:t>
      </w:r>
      <w:r w:rsidR="00D94209" w:rsidRPr="00623F43">
        <w:rPr>
          <w:i/>
          <w:color w:val="000000" w:themeColor="text1"/>
        </w:rPr>
        <w:t>r</w:t>
      </w:r>
      <w:r w:rsidR="00D94209" w:rsidDel="00D94209">
        <w:t xml:space="preserve"> </w:t>
      </w:r>
      <w:r w:rsidR="006E26D7">
        <w:t>=-0.</w:t>
      </w:r>
      <w:r w:rsidR="00195AA8">
        <w:t>83</w:t>
      </w:r>
      <w:r w:rsidR="006E26D7">
        <w:t xml:space="preserve">) but </w:t>
      </w:r>
      <w:r w:rsidR="00195AA8">
        <w:t>no</w:t>
      </w:r>
      <w:r w:rsidR="00EF6B77" w:rsidRPr="00661AE1">
        <w:t xml:space="preserve"> </w:t>
      </w:r>
      <w:r w:rsidR="00B626A2">
        <w:t xml:space="preserve">significant </w:t>
      </w:r>
      <w:r w:rsidR="00EF6B77" w:rsidRPr="00661AE1">
        <w:t xml:space="preserve">correlation </w:t>
      </w:r>
      <w:r w:rsidR="007D2E9D">
        <w:t>with</w:t>
      </w:r>
      <w:r w:rsidR="00EF6B77" w:rsidRPr="00661AE1">
        <w:t xml:space="preserve"> Na</w:t>
      </w:r>
      <w:r w:rsidR="00EF6B77" w:rsidRPr="00661AE1">
        <w:rPr>
          <w:vertAlign w:val="superscript"/>
        </w:rPr>
        <w:t>+</w:t>
      </w:r>
      <w:r w:rsidR="00EF6B77" w:rsidRPr="00661AE1">
        <w:t xml:space="preserve"> </w:t>
      </w:r>
      <w:r w:rsidR="007D2E9D">
        <w:t>or</w:t>
      </w:r>
      <w:r w:rsidR="00EF6B77" w:rsidRPr="00661AE1">
        <w:t xml:space="preserve"> K</w:t>
      </w:r>
      <w:r w:rsidR="00EF6B77" w:rsidRPr="00661AE1">
        <w:rPr>
          <w:vertAlign w:val="superscript"/>
        </w:rPr>
        <w:t>+</w:t>
      </w:r>
      <w:r w:rsidR="006E26D7">
        <w:t>. This</w:t>
      </w:r>
      <w:r w:rsidR="00EF6B77" w:rsidRPr="00661AE1">
        <w:t xml:space="preserve"> is to some extent consistent with the coupled substitution for </w:t>
      </w:r>
      <w:r w:rsidR="00EF6B77" w:rsidRPr="00661AE1">
        <w:lastRenderedPageBreak/>
        <w:t>Ca</w:t>
      </w:r>
      <w:r w:rsidR="00EF6B77" w:rsidRPr="00661AE1">
        <w:rPr>
          <w:vertAlign w:val="superscript"/>
        </w:rPr>
        <w:t>2+</w:t>
      </w:r>
      <w:r w:rsidR="00A92D03">
        <w:t xml:space="preserve"> </w:t>
      </w:r>
      <w:r w:rsidR="00EF6B77" w:rsidRPr="00661AE1">
        <w:t>on the M2 site previously proposed by Mossenfelder &amp; Rossman (2013b)</w:t>
      </w:r>
      <w:r w:rsidR="00932DFA">
        <w:t>,</w:t>
      </w:r>
      <w:r w:rsidR="00EF6B77" w:rsidRPr="00661AE1">
        <w:t xml:space="preserve"> Urann et al. </w:t>
      </w:r>
      <w:r w:rsidR="00EF6B77" w:rsidRPr="00195AA8">
        <w:rPr>
          <w:lang w:val="it-IT"/>
        </w:rPr>
        <w:t>(2017) and Benard et al. (2017):</w:t>
      </w:r>
    </w:p>
    <w:p w14:paraId="519A6E3D" w14:textId="7D2281C0" w:rsidR="00EF6B77" w:rsidRPr="00195AA8" w:rsidRDefault="00EF6B77" w:rsidP="00C20C0B">
      <w:pPr>
        <w:autoSpaceDE w:val="0"/>
        <w:autoSpaceDN w:val="0"/>
        <w:adjustRightInd w:val="0"/>
        <w:spacing w:line="480" w:lineRule="auto"/>
        <w:ind w:left="2160" w:firstLine="720"/>
        <w:rPr>
          <w:lang w:val="it-IT"/>
        </w:rPr>
      </w:pPr>
      <w:r w:rsidRPr="00195AA8">
        <w:rPr>
          <w:vertAlign w:val="superscript"/>
          <w:lang w:val="it-IT"/>
        </w:rPr>
        <w:t>M2</w:t>
      </w:r>
      <w:r w:rsidRPr="00195AA8">
        <w:rPr>
          <w:lang w:val="it-IT"/>
        </w:rPr>
        <w:t>Na</w:t>
      </w:r>
      <w:r w:rsidRPr="00195AA8">
        <w:rPr>
          <w:vertAlign w:val="superscript"/>
          <w:lang w:val="it-IT"/>
        </w:rPr>
        <w:t xml:space="preserve">+ </w:t>
      </w:r>
      <w:r w:rsidRPr="00195AA8">
        <w:rPr>
          <w:lang w:val="it-IT"/>
        </w:rPr>
        <w:t>+ (</w:t>
      </w:r>
      <w:r w:rsidRPr="00195AA8">
        <w:rPr>
          <w:vertAlign w:val="superscript"/>
          <w:lang w:val="it-IT"/>
        </w:rPr>
        <w:t>M2</w:t>
      </w:r>
      <w:r w:rsidRPr="00195AA8">
        <w:rPr>
          <w:lang w:val="it-IT"/>
        </w:rPr>
        <w:t>K</w:t>
      </w:r>
      <w:r w:rsidRPr="00195AA8">
        <w:rPr>
          <w:vertAlign w:val="superscript"/>
          <w:lang w:val="it-IT"/>
        </w:rPr>
        <w:t xml:space="preserve">+ </w:t>
      </w:r>
      <w:r w:rsidRPr="00195AA8">
        <w:rPr>
          <w:lang w:val="it-IT"/>
        </w:rPr>
        <w:t>+</w:t>
      </w:r>
      <w:r w:rsidRPr="00195AA8">
        <w:rPr>
          <w:vertAlign w:val="superscript"/>
          <w:lang w:val="it-IT"/>
        </w:rPr>
        <w:t xml:space="preserve"> M2</w:t>
      </w:r>
      <w:r w:rsidRPr="00195AA8">
        <w:rPr>
          <w:lang w:val="it-IT"/>
        </w:rPr>
        <w:t>Li</w:t>
      </w:r>
      <w:r w:rsidRPr="00195AA8">
        <w:rPr>
          <w:vertAlign w:val="superscript"/>
          <w:lang w:val="it-IT"/>
        </w:rPr>
        <w:t>+</w:t>
      </w:r>
      <w:r w:rsidRPr="00195AA8">
        <w:rPr>
          <w:lang w:val="it-IT"/>
        </w:rPr>
        <w:t xml:space="preserve">) </w:t>
      </w:r>
      <w:r w:rsidR="005A3541" w:rsidRPr="00195AA8">
        <w:rPr>
          <w:lang w:val="it-IT"/>
        </w:rPr>
        <w:t xml:space="preserve">+ </w:t>
      </w:r>
      <w:r w:rsidRPr="00195AA8">
        <w:rPr>
          <w:lang w:val="it-IT"/>
        </w:rPr>
        <w:t>F</w:t>
      </w:r>
      <w:r w:rsidRPr="00195AA8">
        <w:rPr>
          <w:vertAlign w:val="superscript"/>
          <w:lang w:val="it-IT"/>
        </w:rPr>
        <w:t xml:space="preserve">-  </w:t>
      </w:r>
      <w:r w:rsidRPr="00195AA8">
        <w:rPr>
          <w:lang w:val="it-IT"/>
        </w:rPr>
        <w:t>=</w:t>
      </w:r>
      <w:r w:rsidRPr="00195AA8">
        <w:rPr>
          <w:vertAlign w:val="superscript"/>
          <w:lang w:val="it-IT"/>
        </w:rPr>
        <w:t xml:space="preserve"> M2</w:t>
      </w:r>
      <w:r w:rsidRPr="00195AA8">
        <w:rPr>
          <w:lang w:val="it-IT"/>
        </w:rPr>
        <w:t>Ca</w:t>
      </w:r>
      <w:r w:rsidRPr="00195AA8">
        <w:rPr>
          <w:vertAlign w:val="superscript"/>
          <w:lang w:val="it-IT"/>
        </w:rPr>
        <w:t xml:space="preserve">2+ </w:t>
      </w:r>
      <w:r w:rsidRPr="00195AA8">
        <w:rPr>
          <w:lang w:val="it-IT"/>
        </w:rPr>
        <w:t>+ O</w:t>
      </w:r>
      <w:r w:rsidRPr="00195AA8">
        <w:rPr>
          <w:vertAlign w:val="superscript"/>
          <w:lang w:val="it-IT"/>
        </w:rPr>
        <w:t>2-</w:t>
      </w:r>
      <w:r w:rsidRPr="00195AA8">
        <w:rPr>
          <w:lang w:val="it-IT"/>
        </w:rPr>
        <w:t xml:space="preserve"> </w:t>
      </w:r>
      <w:r w:rsidRPr="00195AA8">
        <w:rPr>
          <w:lang w:val="it-IT"/>
        </w:rPr>
        <w:tab/>
      </w:r>
      <w:r w:rsidR="003813A8" w:rsidRPr="00195AA8">
        <w:rPr>
          <w:lang w:val="it-IT"/>
        </w:rPr>
        <w:tab/>
      </w:r>
      <w:r w:rsidR="003660FC" w:rsidRPr="00195AA8">
        <w:rPr>
          <w:lang w:val="it-IT"/>
        </w:rPr>
        <w:tab/>
        <w:t xml:space="preserve"> (</w:t>
      </w:r>
      <w:r w:rsidR="00A1457B" w:rsidRPr="00195AA8">
        <w:rPr>
          <w:lang w:val="it-IT"/>
        </w:rPr>
        <w:t>3</w:t>
      </w:r>
      <w:r w:rsidR="003660FC" w:rsidRPr="00195AA8">
        <w:rPr>
          <w:lang w:val="it-IT"/>
        </w:rPr>
        <w:t>)</w:t>
      </w:r>
    </w:p>
    <w:p w14:paraId="4ACD0A16" w14:textId="77777777" w:rsidR="00A1457B" w:rsidRPr="00195AA8" w:rsidRDefault="00A1457B" w:rsidP="00C20C0B">
      <w:pPr>
        <w:autoSpaceDE w:val="0"/>
        <w:autoSpaceDN w:val="0"/>
        <w:adjustRightInd w:val="0"/>
        <w:spacing w:line="480" w:lineRule="auto"/>
        <w:ind w:left="720" w:firstLine="720"/>
        <w:jc w:val="both"/>
        <w:rPr>
          <w:lang w:val="it-IT"/>
        </w:rPr>
      </w:pPr>
    </w:p>
    <w:p w14:paraId="1EDDC21B" w14:textId="6675DB10" w:rsidR="00A1457B" w:rsidRPr="00661AE1" w:rsidRDefault="00272E4A" w:rsidP="00C20C0B">
      <w:pPr>
        <w:spacing w:after="200" w:line="480" w:lineRule="auto"/>
        <w:ind w:firstLine="360"/>
        <w:jc w:val="both"/>
      </w:pPr>
      <w:r>
        <w:t xml:space="preserve">Additionally, </w:t>
      </w:r>
      <w:r w:rsidR="004100EF">
        <w:t xml:space="preserve">we note that </w:t>
      </w:r>
      <w:r>
        <w:t>there is</w:t>
      </w:r>
      <w:r w:rsidR="00A1457B" w:rsidRPr="00661AE1">
        <w:t xml:space="preserve"> a strong positive correlation between F</w:t>
      </w:r>
      <w:r w:rsidR="00A1457B" w:rsidRPr="00661AE1">
        <w:rPr>
          <w:vertAlign w:val="superscript"/>
        </w:rPr>
        <w:t>-</w:t>
      </w:r>
      <w:r w:rsidR="00A1457B" w:rsidRPr="00661AE1">
        <w:t xml:space="preserve"> and middle </w:t>
      </w:r>
      <w:r w:rsidR="005A15C2">
        <w:t>rare-earth elements (</w:t>
      </w:r>
      <w:r w:rsidR="00A1457B" w:rsidRPr="00661AE1">
        <w:t>REEs</w:t>
      </w:r>
      <w:r w:rsidR="005A15C2">
        <w:t>) such as</w:t>
      </w:r>
      <w:r w:rsidR="00A95C7B">
        <w:t xml:space="preserve"> </w:t>
      </w:r>
      <w:r w:rsidR="00A95C7B" w:rsidRPr="00661AE1">
        <w:t>Tb, Dy and Ho</w:t>
      </w:r>
      <w:r w:rsidR="005A15C2">
        <w:t xml:space="preserve"> (</w:t>
      </w:r>
      <w:r w:rsidR="00D94209" w:rsidRPr="00623F43">
        <w:rPr>
          <w:i/>
          <w:color w:val="000000" w:themeColor="text1"/>
        </w:rPr>
        <w:t>r</w:t>
      </w:r>
      <w:r w:rsidR="00D94209" w:rsidRPr="00661AE1">
        <w:t xml:space="preserve"> </w:t>
      </w:r>
      <w:r w:rsidR="00A1457B" w:rsidRPr="00661AE1">
        <w:t xml:space="preserve">=0.70-0.93; </w:t>
      </w:r>
      <w:r w:rsidR="00A1457B" w:rsidRPr="009B315C">
        <w:rPr>
          <w:b/>
          <w:color w:val="000000" w:themeColor="text1"/>
        </w:rPr>
        <w:t xml:space="preserve">Figure </w:t>
      </w:r>
      <w:r w:rsidR="0044633B">
        <w:rPr>
          <w:b/>
          <w:color w:val="000000" w:themeColor="text1"/>
        </w:rPr>
        <w:t>3</w:t>
      </w:r>
      <w:r w:rsidR="0044633B" w:rsidRPr="009B315C">
        <w:rPr>
          <w:b/>
          <w:color w:val="000000" w:themeColor="text1"/>
        </w:rPr>
        <w:t>b</w:t>
      </w:r>
      <w:r w:rsidR="00A1457B" w:rsidRPr="00661AE1">
        <w:t xml:space="preserve">). </w:t>
      </w:r>
      <w:r w:rsidR="00A95C7B" w:rsidRPr="00661AE1">
        <w:t xml:space="preserve">The REEs </w:t>
      </w:r>
      <w:r w:rsidR="0052693B">
        <w:t>are trivalent and</w:t>
      </w:r>
      <w:r w:rsidR="00A95C7B" w:rsidRPr="00661AE1">
        <w:t xml:space="preserve"> together with larger cations (Ca</w:t>
      </w:r>
      <w:r w:rsidR="00A95C7B" w:rsidRPr="00661AE1">
        <w:rPr>
          <w:vertAlign w:val="superscript"/>
        </w:rPr>
        <w:t>2+</w:t>
      </w:r>
      <w:r w:rsidR="00A95C7B" w:rsidRPr="00661AE1">
        <w:t>, Mg</w:t>
      </w:r>
      <w:r w:rsidR="00A95C7B" w:rsidRPr="00661AE1">
        <w:rPr>
          <w:vertAlign w:val="superscript"/>
        </w:rPr>
        <w:t>2+</w:t>
      </w:r>
      <w:r w:rsidR="00A95C7B" w:rsidRPr="00661AE1">
        <w:t xml:space="preserve"> and Fe</w:t>
      </w:r>
      <w:r w:rsidR="00A95C7B" w:rsidRPr="00661AE1">
        <w:rPr>
          <w:vertAlign w:val="superscript"/>
        </w:rPr>
        <w:t>2+</w:t>
      </w:r>
      <w:r w:rsidR="00A95C7B" w:rsidRPr="00A80892">
        <w:t>)</w:t>
      </w:r>
      <w:r w:rsidR="00A92D03">
        <w:t xml:space="preserve"> partition</w:t>
      </w:r>
      <w:r w:rsidR="00A95C7B" w:rsidRPr="00661AE1">
        <w:t xml:space="preserve"> into the </w:t>
      </w:r>
      <w:r w:rsidR="00B626A2">
        <w:t>clino</w:t>
      </w:r>
      <w:r w:rsidR="00B626A2" w:rsidRPr="00661AE1">
        <w:t xml:space="preserve">pyroxene </w:t>
      </w:r>
      <w:r w:rsidR="00A95C7B" w:rsidRPr="00661AE1">
        <w:t xml:space="preserve">M2 </w:t>
      </w:r>
      <w:r w:rsidR="00AE79BB">
        <w:t xml:space="preserve">octahedral </w:t>
      </w:r>
      <w:r w:rsidR="00A95C7B" w:rsidRPr="00661AE1">
        <w:t>site</w:t>
      </w:r>
      <w:r w:rsidR="0052693B">
        <w:t xml:space="preserve">. </w:t>
      </w:r>
      <w:r w:rsidR="003813A8">
        <w:t xml:space="preserve">A </w:t>
      </w:r>
      <w:r w:rsidR="003813A8" w:rsidRPr="00661AE1">
        <w:t xml:space="preserve">near parabolic relationship exists between the log of the </w:t>
      </w:r>
      <w:r w:rsidR="009C168C" w:rsidRPr="00661AE1">
        <w:t>REE</w:t>
      </w:r>
      <w:r w:rsidR="009C168C">
        <w:t xml:space="preserve"> </w:t>
      </w:r>
      <w:r w:rsidR="003813A8" w:rsidRPr="00661AE1">
        <w:t xml:space="preserve">partition coefficient </w:t>
      </w:r>
      <w:r w:rsidR="00D77457">
        <w:rPr>
          <w:bCs/>
        </w:rPr>
        <w:t>(</w:t>
      </w:r>
      <w:r w:rsidR="00D77457" w:rsidRPr="00EC6DAE">
        <w:rPr>
          <w:bCs/>
          <w:i/>
        </w:rPr>
        <w:t>D</w:t>
      </w:r>
      <w:r w:rsidR="00D77457">
        <w:rPr>
          <w:bCs/>
        </w:rPr>
        <w:t xml:space="preserve">) </w:t>
      </w:r>
      <w:r w:rsidR="003813A8" w:rsidRPr="00661AE1">
        <w:t>and ionic radius</w:t>
      </w:r>
      <w:r w:rsidR="003813A8">
        <w:t xml:space="preserve">, so that </w:t>
      </w:r>
      <w:r w:rsidR="003813A8" w:rsidRPr="00661AE1">
        <w:t xml:space="preserve">the MREEs have the highest </w:t>
      </w:r>
      <w:r w:rsidR="003813A8" w:rsidRPr="009B315C">
        <w:rPr>
          <w:i/>
        </w:rPr>
        <w:t>D</w:t>
      </w:r>
      <w:r w:rsidR="003813A8" w:rsidRPr="00661AE1">
        <w:t xml:space="preserve"> values </w:t>
      </w:r>
      <w:r w:rsidR="003813A8" w:rsidRPr="00A80892">
        <w:fldChar w:fldCharType="begin"/>
      </w:r>
      <w:r w:rsidR="008E0CCC">
        <w:instrText xml:space="preserve"> ADDIN ZOTERO_ITEM CSL_CITATION {"citationID":"BPWUNdZo","properties":{"formattedCitation":"(Wood and Blundy, 1997)","plainCitation":"(Wood and Blundy, 1997)","noteIndex":0},"citationItems":[{"id":32,"uris":["http://zotero.org/users/88665/items/3GVN85ID"],"uri":["http://zotero.org/users/88665/items/3GVN85ID"],"itemData":{"id":32,"type":"article-journal","abstract":"Abstract   We present a quantitative model to describe the partitioning of rare earth elements (REE) and Y between clinopyroxene and\nanhydrous silicate melt as a function of pressure (P), temperature (T) and bulk composition (X). The model is based on the Brice (1975) equation, which relates the partition coefficient of element i (D\n\ni\n) to that of element o (D\n\no\n) where the latter has the same ionic radius r\n\no\nas the crystallographic site of interest, in this case the clinopyroxene M2 site:\n\n\n\n\n\n\n\n\n\nN\n\nA\nis Avogadro's number, E\nM2 is the Young's Modulus of the site, R is the gas constant and T is in K. Values of E\nM2 obtained by fitting the Brice equation to experimental REE partition coefficient patterns are in good agreement with those\nobtained from the well-known correlation between bulk modulus, metal-oxygen distance and cation charge. Using this relationship\nto constrain E\nM2 for 3+ cations and then fitting the Brice equation to those experimental data where 3 or more REE partition coefficients\nhad been simultaneously measured we obtained 82 values of D\n\no\nand r\n\no\n. The latter was found to be a simple and crystallochemically reasonable function of clinopyroxene composition. We show that\nfor any clinopyroxene-melt pair if D for one middle REE (e.g. Sm or Gd) is known then the Brice equation can be used to predict Ds for all the other REE, with uncertainties similar to those involved in the actual measurements. The model was generalised\nusing thermodynamic descriptions of REE components in crystal and melt phases to estimate the free energy of fusion (ΔG\n\nf\n) of the fictive REE components REEMgAlSiO6 and Na0.5REE0.5MgSi2O6. For the melt we find that 6-oxygen melt components (CaMgSi2O6,NaAlSi2O6, Mg3Si1.5O6 etc.) mix with constant activity coefficient over a wide range of natural compositions. Propagating ΔG\n\nf\ninto the Brice model we obtain an expression for D\n\no\n\n3+ in terms of the atomic fraction of Mg on the clinopyroxene M1 site, the Mg-number of the melt, P and T. The D for any REE can be calculated from D\n\no\n\n3+ using the Brice equation. Over 92% of D\nREE (454 points) calculated in this way lie within a factor 0.63–1.59 of the experimental value. The approach can be extended\nto calculate D for any REE at a given P (≤6GPa) and T (12002038K) to within 0.60–1.66 times the true value given only the crystal and/or melt composition. The model has widespread\napplicability to geochemical modelling of all natural processes involving clinopyroxene, e.g. decompression mantle melting,\nenabling for the first time account to be taken of variations in partition coefficient in response to changing pressure, temperature\nand phase composition.","container-title":"Contributions to Mineralogy and Petrology","DOI":"10.1007/s004100050330","issue":"2","journalAbbreviation":"Contributions to Mineralogy and Petrology","note":"00379","page":"166-181","source":"SpringerLink","title":"A predictive model for rare earth element partitioning between clinopyroxene and anhydrous silicate melt","volume":"129","author":[{"family":"Wood","given":"Bernard J."},{"family":"Blundy","given":"Jonathan D."}],"issued":{"date-parts":[["1997",10,8]]}}}],"schema":"https://github.com/citation-style-language/schema/raw/master/csl-citation.json"} </w:instrText>
      </w:r>
      <w:r w:rsidR="003813A8" w:rsidRPr="00A80892">
        <w:fldChar w:fldCharType="separate"/>
      </w:r>
      <w:r w:rsidR="00636367">
        <w:t>(Wood and Blundy, 1997)</w:t>
      </w:r>
      <w:r w:rsidR="003813A8" w:rsidRPr="00A80892">
        <w:fldChar w:fldCharType="end"/>
      </w:r>
      <w:r w:rsidR="003813A8" w:rsidRPr="00661AE1">
        <w:t xml:space="preserve">. </w:t>
      </w:r>
      <w:r w:rsidR="0052693B">
        <w:t xml:space="preserve">The </w:t>
      </w:r>
      <w:r w:rsidR="00A66211">
        <w:t>correlation</w:t>
      </w:r>
      <w:r w:rsidR="007F5BBA">
        <w:t xml:space="preserve"> </w:t>
      </w:r>
      <w:r w:rsidR="008B71FE">
        <w:t>which</w:t>
      </w:r>
      <w:r w:rsidR="007F5BBA">
        <w:t xml:space="preserve"> we have observed between F</w:t>
      </w:r>
      <w:r w:rsidR="007F5BBA" w:rsidRPr="009B315C">
        <w:rPr>
          <w:vertAlign w:val="superscript"/>
        </w:rPr>
        <w:t>-</w:t>
      </w:r>
      <w:r w:rsidR="00104B8A">
        <w:t xml:space="preserve"> and</w:t>
      </w:r>
      <w:r w:rsidR="00A66211">
        <w:t xml:space="preserve"> </w:t>
      </w:r>
      <w:r w:rsidR="007F5BBA">
        <w:t>the MREEs</w:t>
      </w:r>
      <w:r w:rsidR="008864F5">
        <w:rPr>
          <w:vertAlign w:val="superscript"/>
        </w:rPr>
        <w:t>3</w:t>
      </w:r>
      <w:r w:rsidR="008864F5" w:rsidRPr="00661AE1">
        <w:rPr>
          <w:vertAlign w:val="superscript"/>
        </w:rPr>
        <w:t>+</w:t>
      </w:r>
      <w:r w:rsidR="008864F5">
        <w:t xml:space="preserve"> </w:t>
      </w:r>
      <w:r w:rsidR="00A66211">
        <w:t xml:space="preserve">suggests that they may </w:t>
      </w:r>
      <w:r w:rsidR="00B1463F">
        <w:t xml:space="preserve">undergo a </w:t>
      </w:r>
      <w:r w:rsidR="00EA27FB">
        <w:t>charge-compensated</w:t>
      </w:r>
      <w:r w:rsidR="00B1463F">
        <w:t xml:space="preserve"> substitution for</w:t>
      </w:r>
      <w:r w:rsidR="00A66211">
        <w:t xml:space="preserve"> </w:t>
      </w:r>
      <w:r w:rsidR="007F5BBA">
        <w:t>Ca</w:t>
      </w:r>
      <w:r w:rsidR="00AE79BB" w:rsidRPr="00661AE1">
        <w:rPr>
          <w:vertAlign w:val="superscript"/>
        </w:rPr>
        <w:t>2+</w:t>
      </w:r>
      <w:r w:rsidR="007F5BBA">
        <w:t xml:space="preserve"> </w:t>
      </w:r>
      <w:r w:rsidR="00104B8A">
        <w:t>in</w:t>
      </w:r>
      <w:r w:rsidR="00A66211">
        <w:t xml:space="preserve"> </w:t>
      </w:r>
      <w:r w:rsidR="00104B8A">
        <w:t xml:space="preserve">the </w:t>
      </w:r>
      <w:r w:rsidR="00883A6F">
        <w:t xml:space="preserve">clinopyroxene </w:t>
      </w:r>
      <w:r w:rsidR="00104B8A">
        <w:t xml:space="preserve">M2 site </w:t>
      </w:r>
      <w:r w:rsidR="00A66211">
        <w:t>(</w:t>
      </w:r>
      <w:r w:rsidR="00D8304E">
        <w:t>Reaction 3</w:t>
      </w:r>
      <w:r w:rsidR="009C168C">
        <w:t>)</w:t>
      </w:r>
      <w:r w:rsidR="00D8304E">
        <w:t xml:space="preserve">. </w:t>
      </w:r>
    </w:p>
    <w:p w14:paraId="0DEA8DAC" w14:textId="77777777" w:rsidR="00C2326F" w:rsidRPr="009B315C" w:rsidRDefault="00C2326F" w:rsidP="00C20C0B">
      <w:pPr>
        <w:pStyle w:val="Heading3"/>
        <w:spacing w:line="480" w:lineRule="auto"/>
        <w:rPr>
          <w:highlight w:val="yellow"/>
        </w:rPr>
      </w:pPr>
    </w:p>
    <w:p w14:paraId="1C1A9E89" w14:textId="379FC138" w:rsidR="00C83F69" w:rsidRPr="009D37AD" w:rsidRDefault="00734BE9" w:rsidP="00C20C0B">
      <w:pPr>
        <w:pStyle w:val="Heading3"/>
        <w:spacing w:line="480" w:lineRule="auto"/>
        <w:rPr>
          <w:sz w:val="24"/>
        </w:rPr>
      </w:pPr>
      <w:r>
        <w:rPr>
          <w:sz w:val="24"/>
        </w:rPr>
        <w:t>6</w:t>
      </w:r>
      <w:r w:rsidR="00C83F69" w:rsidRPr="009D37AD">
        <w:rPr>
          <w:sz w:val="24"/>
        </w:rPr>
        <w:t>.3 Orthopyroxene</w:t>
      </w:r>
    </w:p>
    <w:p w14:paraId="198076A8" w14:textId="36FEDF55" w:rsidR="00C83F69" w:rsidRPr="009D37AD" w:rsidRDefault="00734BE9" w:rsidP="00C20C0B">
      <w:pPr>
        <w:pStyle w:val="Heading3"/>
        <w:spacing w:line="480" w:lineRule="auto"/>
        <w:rPr>
          <w:sz w:val="24"/>
        </w:rPr>
      </w:pPr>
      <w:r>
        <w:rPr>
          <w:sz w:val="24"/>
        </w:rPr>
        <w:t>6</w:t>
      </w:r>
      <w:r w:rsidR="00C83F69" w:rsidRPr="009D37AD">
        <w:rPr>
          <w:sz w:val="24"/>
        </w:rPr>
        <w:t xml:space="preserve">.3.1 </w:t>
      </w:r>
      <w:r w:rsidR="00165D28">
        <w:rPr>
          <w:sz w:val="24"/>
        </w:rPr>
        <w:t>Water</w:t>
      </w:r>
    </w:p>
    <w:p w14:paraId="4441666C" w14:textId="77ECC809" w:rsidR="00794BA7" w:rsidRDefault="002D437D" w:rsidP="00C20C0B">
      <w:pPr>
        <w:spacing w:line="480" w:lineRule="auto"/>
        <w:jc w:val="both"/>
      </w:pPr>
      <w:r w:rsidRPr="00661AE1">
        <w:t>E</w:t>
      </w:r>
      <w:r w:rsidR="00C83F69" w:rsidRPr="00661AE1">
        <w:t xml:space="preserve">xperiments on enstatite </w:t>
      </w:r>
      <w:r w:rsidR="00326D61">
        <w:t>between 2.5 and 5 GPa</w:t>
      </w:r>
      <w:r w:rsidR="00794BA7">
        <w:t xml:space="preserve"> </w:t>
      </w:r>
      <w:r w:rsidR="00C83F69" w:rsidRPr="00661AE1">
        <w:t>have shown that</w:t>
      </w:r>
      <w:r w:rsidR="00337D72" w:rsidRPr="00661AE1">
        <w:t xml:space="preserve"> </w:t>
      </w:r>
      <w:r w:rsidR="007D2E9D">
        <w:t xml:space="preserve">Al enhances the solubility of </w:t>
      </w:r>
      <w:r w:rsidR="00165D28" w:rsidRPr="00CB30EF">
        <w:t>H</w:t>
      </w:r>
      <w:r w:rsidR="00165D28" w:rsidRPr="00CB30EF">
        <w:rPr>
          <w:vertAlign w:val="subscript"/>
        </w:rPr>
        <w:t>2</w:t>
      </w:r>
      <w:r w:rsidR="00165D28" w:rsidRPr="00CB30EF">
        <w:t>O</w:t>
      </w:r>
      <w:r w:rsidR="007D2E9D">
        <w:t xml:space="preserve"> in orthopyroxene and </w:t>
      </w:r>
      <w:r w:rsidR="00794BA7">
        <w:t>the following</w:t>
      </w:r>
      <w:r w:rsidR="00C83F69" w:rsidRPr="00661AE1">
        <w:t xml:space="preserve"> coupled substitution</w:t>
      </w:r>
      <w:r w:rsidR="00794BA7">
        <w:t>s may be important</w:t>
      </w:r>
      <w:r w:rsidR="007D2E9D">
        <w:t xml:space="preserve"> </w:t>
      </w:r>
      <w:r w:rsidR="007D2E9D" w:rsidRPr="00C44395">
        <w:fldChar w:fldCharType="begin"/>
      </w:r>
      <w:r w:rsidR="008E0CCC">
        <w:instrText xml:space="preserve"> ADDIN ZOTERO_ITEM CSL_CITATION {"citationID":"1KBpLdQQ","properties":{"formattedCitation":"(Rauch and Keppler, 2002; Kohn, 2006; Mierdel et al., 2007; F\\uc0\\u233{}rot and Bolfan-Casanova, 2012)","plainCitation":"(Rauch and Keppler, 2002; Kohn, 2006; Mierdel et al., 2007; Férot and Bolfan-Casanova, 2012)","noteIndex":0},"citationItems":[{"id":4060,"uris":["http://zotero.org/users/88665/items/JA8G3FWY"],"uri":["http://zotero.org/users/88665/items/JA8G3FWY"],"itemData":{"id":4060,"type":"article-journal","abstract":"Experiments were performed under water-saturated conditions in the MFSH (MgO–FeO–SiO2–H2O) and MFASH (MgO–FeO–Al2O3–SiO2–H2O) systems at 2.5, 5, 7.5 and 9GPa, at temperatures from 1175 to 1400°C and H2O initial abundance of 0.5–5wt%. One experiment was performed at 13.5GPa at a temperature of 1400°C in the MFSH system. Water contents were analyzed by Fourier transform infrared spectroscopy. Results show that Al contents in olivine and pyroxene in equilibrium with an aluminous phase decrease significantly with increasing pressure and decreasing temperature. The incorporation of Al enhances water incorporation in olivine and pyroxene, but only at pressures of 2.5 and 5GPa. At 7.5GPa (i.e. 225km depth) the pyroxene is monoclinic, indicating that in a hydrous mantle the orthoenstatite to clinoenstatite phase transition occurs at shallower depths than previously thought, which is more consistent with the Lehmann discontinuity than with the X discontinuity. The partitioning of water between pyroxene and olivine in the MFASH system decreases from a value of 2 at 2.5GPa (80km depth) to 0.9 at 9GPa (270km depth). At 13.5GPa and 1400°C, the water content of olivine is 1700±300ppmwt H2O. The water partition coefficient between coexisting wadsleyite and olivine equals 4.7±0.7. We conclude that the water storage capacity of the upper mantle just above the 410km discontinuity is of 1500±300ppmwt H2O. If we assume that the Low Velocity Layer observed near 350km is due to mantle melting, we can constrain the water content of the mantle at that depth to be </w:instrText>
      </w:r>
      <w:r w:rsidR="008E0CCC">
        <w:rPr>
          <w:rFonts w:ascii="Cambria Math" w:hAnsi="Cambria Math" w:cs="Cambria Math"/>
        </w:rPr>
        <w:instrText>∼</w:instrText>
      </w:r>
      <w:r w:rsidR="008E0CCC">
        <w:instrText xml:space="preserve">850±150ppmwt H2O. This new value is four times higher than previous estimates for the mantle source of Mid Oceanic Ridge Basalts. Finally, comparison of the depth ranges of the L and X seismic discontinuities and the water storage capacity of the upper mantle suggests that the L-discontinuity (180–240km) is concomitant with a kink in the water storage due to the orthorhombic to monoclinic phase transition in enstatite, while the X-discontinuity (240–340km) coincides with a kink in the water storage capacity due to dehydration of garnet.","container-title":"Earth and Planetary Science Letters","DOI":"10.1016/j.epsl.2012.06.022","ISSN":"0012-821X","journalAbbreviation":"Earth and Planetary Science Letters","page":"218-230","source":"ScienceDirect","title":"Water storage capacity in olivine and pyroxene to 14GPa: Implications for the water content of the Earth's upper mantle and nature of seismic discontinuities","title-short":"Water storage capacity in olivine and pyroxene to 14GPa","volume":"349-350","author":[{"family":"Férot","given":"Anaïs"},{"family":"Bolfan-Casanova","given":"Nathalie"}],"issued":{"date-parts":[["2012",10,1]]}}},{"id":2564,"uris":["http://zotero.org/users/88665/items/HIRUPRXG"],"uri":["http://zotero.org/users/88665/items/HIRUPRXG"],"itemData":{"id":2564,"type":"article-journal","container-title":"Reviews in Mineralogy and Geochemistry","DOI":"10.2138/rmg.2006.62.10","ISSN":"1529-6466","issue":"1","note":"00015","page":"231-241","source":"CrossRef","title":"The partitioning of water between nominally anhydrous minerals and silicate melts","volume":"62","author":[{"family":"Kohn","given":"S. C."}],"issued":{"date-parts":[["2006",1,1]]}}},{"id":4048,"uris":["http://zotero.org/users/88665/items/E6F33TMB"],"uri":["http://zotero.org/users/88665/items/E6F33TMB"],"itemData":{"id":4048,"type":"article-journal","abstract":"Plate tectonics is based on the concept of rigid lithosphere plates sliding on a mechanically weak asthenosphere. Many models assume that the weakness of the asthenosphere is related to the presence of small amounts of hydrous melts. However, the mechanism that may cause melting in the asthenosphere is not well understood. We show that the asthenosphere coincides with a zone where the water solubility in mantle minerals has a pronounced minimum. The minimum is due to a sharp decrease of water solubility in aluminous orthopyroxene with depth, whereas the water solubility in olivine continuously increases with pressure. Melting in the asthenosphere may therefore be related not to volatile enrichment but to a minimum in water solubility, which causes excess water to form a hydrous silicate melt.","container-title":"Science","DOI":"10.1126/science.1135422","issue":"5810","journalAbbreviation":"Science","page":"364","title":"Water solubility in aluminous orthopyroxene and the origin of Earth's asthenosphere","volume":"315","author":[{"family":"Mierdel","given":"Katrin"},{"family":"Keppler","given":"Hans"},{"family":"Smyth","given":"Joseph R."},{"family":"Langenhorst","given":"Falko"}],"issued":{"date-parts":[["2007",1,19]]}}},{"id":3795,"uris":["http://zotero.org/users/88665/items/U7UKDIIM"],"uri":["http://zotero.org/users/88665/items/U7UKDIIM"],"itemData":{"id":3795,"type":"article-journal","abstract":". The solubility of water in pure enstatite was measured on samples synthesized at 1,100 °C and pressures to 100 kbar. Enstatite crystals were grown under water-saturated conditions from a stoichiometric mixture of high-purity SiO2 and Mg(OH)2. Water contents were calculated from polarized FTIR spectra measured on oriented single crystals. The water solubility in orthoenstatite increases with pressure to 867±35 ppm H2O by weight at 75 kbar. At 100 kbar, in the stability field of high-clinoenstatite, a water solubility of 714±35 ppm was observed. The water solubility in enstatite at 1,100 °C can be described by the equation cH2O=AfH2O exp(–PΔV/RT), where f H2O is water fugacity, A=0.0204 ppm/bar and ΔV=12.3 cm3/mol. The infrared spectra of the hydrous enstatite crystals show a sharp, intense band at 3,363 cm–1 and a broad, weaker band at 3,064 cm–1. Both bands are strongly polarized parallel c. Most likely, pairs of protons attached to non-bridging oxygen atoms substitute for Mg2+. In order to investigate the effect of chemical impurities on water solubility in enstatite, an additional series of experiments was carried out with gels doped with Al, B, or Li as starting material. Whereas, the presence of Li and B had no detectable effect on water solubility, the addition of about 1 wt% Al2O3 increased water solubility in enstatite from 199 to 1,100 ppm at 1,100°C and 15 kbar. In the infrared spectra of these aluminous samples, additional bands occur in the range from 3,450 to 3,650 cm–1. Similar bands are also observed in natural, aluminous orthopyroxenes and are most likely caused by protons coupled with Al according to the substitution of Al3++H+ for Si4+. A series of hydrous annealing experiments on a natural, gem-quality aluminous enstatite from Tanzania yielded water solubilities generally consistent with the results from the synthetic model systems. The results presented here imply that pure enstatite has a similar storage capacity for water as olivine; however, aluminous orthopyroxenes in the mantle may dissolve much larger amounts of water comparable with the entire mass of the present hydrosphere. Moreover, the mechanism of aluminum substitution in orthopyroxenes, i.e., the distribution of Al between tetrahedral and octahedral sites, may be a potential probe of water fugacity.","container-title":"Contributions to Mineralogy and Petrology","DOI":"10.1007/s00410-002-0365-6","ISSN":"0010-7999, 1432-0967","issue":"5","journalAbbreviation":"Contributions to Mineralogy and Petrology","language":"en","page":"525-536","source":"link.springer.com","title":"Water solubility in orthopyroxene","volume":"143","author":[{"family":"Rauch","given":"Markus"},{"family":"Keppler","given":"Hans"}],"issued":{"date-parts":[["2002",8,1]]}}}],"schema":"https://github.com/citation-style-language/schema/raw/master/csl-citation.json"} </w:instrText>
      </w:r>
      <w:r w:rsidR="007D2E9D" w:rsidRPr="00C44395">
        <w:fldChar w:fldCharType="separate"/>
      </w:r>
      <w:r w:rsidR="00636367" w:rsidRPr="00636367">
        <w:t>(Rauch and Keppler, 2002; Kohn, 2006; Mierdel et al., 2007; Férot and Bolfan-Casanova, 2012)</w:t>
      </w:r>
      <w:r w:rsidR="007D2E9D" w:rsidRPr="00C44395">
        <w:fldChar w:fldCharType="end"/>
      </w:r>
      <w:r w:rsidR="00794BA7">
        <w:t xml:space="preserve">: </w:t>
      </w:r>
    </w:p>
    <w:p w14:paraId="29423115" w14:textId="77777777" w:rsidR="00165D28" w:rsidRDefault="00165D28" w:rsidP="00C20C0B">
      <w:pPr>
        <w:spacing w:line="480" w:lineRule="auto"/>
        <w:jc w:val="both"/>
      </w:pPr>
    </w:p>
    <w:p w14:paraId="0527610B" w14:textId="15A946D4" w:rsidR="00794BA7" w:rsidRPr="00143AB6" w:rsidRDefault="00264097" w:rsidP="00C20C0B">
      <w:pPr>
        <w:spacing w:line="480" w:lineRule="auto"/>
        <w:ind w:left="2160" w:firstLine="720"/>
        <w:jc w:val="center"/>
      </w:pPr>
      <w:r w:rsidRPr="00143AB6">
        <w:rPr>
          <w:vertAlign w:val="superscript"/>
        </w:rPr>
        <w:t>[IV]</w:t>
      </w:r>
      <w:r w:rsidR="00C83F69" w:rsidRPr="00143AB6">
        <w:t>Al</w:t>
      </w:r>
      <w:r w:rsidR="00C83F69" w:rsidRPr="00143AB6">
        <w:rPr>
          <w:vertAlign w:val="superscript"/>
        </w:rPr>
        <w:t>3+</w:t>
      </w:r>
      <w:r w:rsidR="00C83F69" w:rsidRPr="00143AB6">
        <w:t xml:space="preserve"> + H</w:t>
      </w:r>
      <w:r w:rsidR="00C83F69" w:rsidRPr="00143AB6">
        <w:rPr>
          <w:vertAlign w:val="superscript"/>
        </w:rPr>
        <w:t>+</w:t>
      </w:r>
      <w:r w:rsidR="00C83F69" w:rsidRPr="00143AB6">
        <w:t xml:space="preserve"> </w:t>
      </w:r>
      <w:r w:rsidR="00794BA7" w:rsidRPr="00143AB6">
        <w:t>=</w:t>
      </w:r>
      <w:r w:rsidR="00C83F69" w:rsidRPr="00143AB6">
        <w:t xml:space="preserve"> </w:t>
      </w:r>
      <w:r w:rsidRPr="00143AB6">
        <w:rPr>
          <w:vertAlign w:val="superscript"/>
        </w:rPr>
        <w:t>[IV]</w:t>
      </w:r>
      <w:r w:rsidR="00C83F69" w:rsidRPr="00143AB6">
        <w:t>Si</w:t>
      </w:r>
      <w:r w:rsidR="00C83F69" w:rsidRPr="00143AB6">
        <w:rPr>
          <w:vertAlign w:val="superscript"/>
        </w:rPr>
        <w:t>4+</w:t>
      </w:r>
      <w:r w:rsidR="005827DA" w:rsidRPr="00143AB6">
        <w:rPr>
          <w:vertAlign w:val="superscript"/>
        </w:rPr>
        <w:tab/>
      </w:r>
      <w:r w:rsidR="005827DA" w:rsidRPr="00143AB6">
        <w:rPr>
          <w:vertAlign w:val="superscript"/>
        </w:rPr>
        <w:tab/>
      </w:r>
      <w:r w:rsidR="005827DA" w:rsidRPr="00143AB6">
        <w:rPr>
          <w:vertAlign w:val="superscript"/>
        </w:rPr>
        <w:tab/>
      </w:r>
      <w:r w:rsidR="005827DA" w:rsidRPr="00143AB6">
        <w:rPr>
          <w:vertAlign w:val="superscript"/>
        </w:rPr>
        <w:tab/>
      </w:r>
      <w:r w:rsidR="005827DA" w:rsidRPr="00143AB6">
        <w:rPr>
          <w:vertAlign w:val="superscript"/>
        </w:rPr>
        <w:tab/>
      </w:r>
      <w:r w:rsidR="005827DA" w:rsidRPr="00143AB6">
        <w:rPr>
          <w:vertAlign w:val="superscript"/>
        </w:rPr>
        <w:tab/>
      </w:r>
      <w:r w:rsidR="005827DA" w:rsidRPr="00143AB6">
        <w:t>(4)</w:t>
      </w:r>
    </w:p>
    <w:p w14:paraId="3741F4B0" w14:textId="4A00722F" w:rsidR="00794BA7" w:rsidRPr="00143AB6" w:rsidRDefault="00794BA7" w:rsidP="00C20C0B">
      <w:pPr>
        <w:spacing w:line="480" w:lineRule="auto"/>
        <w:ind w:left="2160" w:firstLine="720"/>
        <w:jc w:val="center"/>
      </w:pPr>
      <w:r w:rsidRPr="00143AB6">
        <w:rPr>
          <w:vertAlign w:val="superscript"/>
        </w:rPr>
        <w:t>[IV]</w:t>
      </w:r>
      <w:r w:rsidRPr="00143AB6">
        <w:t>Al</w:t>
      </w:r>
      <w:r w:rsidRPr="00143AB6">
        <w:rPr>
          <w:vertAlign w:val="superscript"/>
        </w:rPr>
        <w:t>3+</w:t>
      </w:r>
      <w:r w:rsidRPr="00143AB6">
        <w:t xml:space="preserve"> + H</w:t>
      </w:r>
      <w:r w:rsidRPr="00143AB6">
        <w:rPr>
          <w:vertAlign w:val="superscript"/>
        </w:rPr>
        <w:t>+</w:t>
      </w:r>
      <w:r w:rsidRPr="00143AB6">
        <w:t xml:space="preserve"> = 2Mg</w:t>
      </w:r>
      <w:r w:rsidRPr="00143AB6">
        <w:rPr>
          <w:vertAlign w:val="superscript"/>
        </w:rPr>
        <w:t>2+</w:t>
      </w:r>
      <w:r w:rsidRPr="00143AB6">
        <w:t xml:space="preserve"> </w:t>
      </w:r>
      <w:r w:rsidR="005827DA" w:rsidRPr="00143AB6">
        <w:tab/>
      </w:r>
      <w:r w:rsidR="005827DA" w:rsidRPr="00143AB6">
        <w:tab/>
      </w:r>
      <w:r w:rsidR="005827DA" w:rsidRPr="00143AB6">
        <w:tab/>
      </w:r>
      <w:r w:rsidR="005827DA" w:rsidRPr="00143AB6">
        <w:tab/>
      </w:r>
      <w:r w:rsidR="005827DA" w:rsidRPr="00143AB6">
        <w:tab/>
      </w:r>
      <w:r w:rsidR="005827DA" w:rsidRPr="00143AB6">
        <w:tab/>
        <w:t>(5)</w:t>
      </w:r>
    </w:p>
    <w:p w14:paraId="3C1BFB13" w14:textId="77777777" w:rsidR="00165D28" w:rsidRPr="00143AB6" w:rsidRDefault="00165D28" w:rsidP="00C20C0B">
      <w:pPr>
        <w:spacing w:line="480" w:lineRule="auto"/>
        <w:jc w:val="both"/>
      </w:pPr>
    </w:p>
    <w:p w14:paraId="18F42876" w14:textId="110782E4" w:rsidR="00C83F69" w:rsidRPr="00661AE1" w:rsidRDefault="002D437D" w:rsidP="00C20C0B">
      <w:pPr>
        <w:spacing w:line="480" w:lineRule="auto"/>
        <w:jc w:val="both"/>
      </w:pPr>
      <w:r w:rsidRPr="00661AE1">
        <w:lastRenderedPageBreak/>
        <w:t>These</w:t>
      </w:r>
      <w:r w:rsidR="00337D72" w:rsidRPr="00661AE1">
        <w:t xml:space="preserve"> </w:t>
      </w:r>
      <w:r w:rsidR="00326D61">
        <w:t xml:space="preserve">studies </w:t>
      </w:r>
      <w:r w:rsidR="00337D72" w:rsidRPr="00661AE1">
        <w:t xml:space="preserve">also suggest that the solubility of water </w:t>
      </w:r>
      <w:r w:rsidRPr="00661AE1">
        <w:t xml:space="preserve">in orthopyroxene </w:t>
      </w:r>
      <w:r w:rsidR="00337D72" w:rsidRPr="00661AE1">
        <w:t>increases with both temperature and pressure.</w:t>
      </w:r>
      <w:r w:rsidR="00941302" w:rsidRPr="00661AE1">
        <w:t xml:space="preserve"> </w:t>
      </w:r>
      <w:r w:rsidR="00326D61">
        <w:t>Despite moderate variations in the Al</w:t>
      </w:r>
      <w:r w:rsidR="00EA27FB" w:rsidRPr="009B315C">
        <w:rPr>
          <w:vertAlign w:val="subscript"/>
        </w:rPr>
        <w:t>2</w:t>
      </w:r>
      <w:r w:rsidR="00EA27FB">
        <w:t>O</w:t>
      </w:r>
      <w:r w:rsidR="00EA27FB" w:rsidRPr="009B315C">
        <w:rPr>
          <w:vertAlign w:val="subscript"/>
        </w:rPr>
        <w:t>3</w:t>
      </w:r>
      <w:r w:rsidR="00326D61">
        <w:t xml:space="preserve"> </w:t>
      </w:r>
      <w:r w:rsidR="00EA27FB">
        <w:t>(</w:t>
      </w:r>
      <w:r w:rsidR="000E14E0">
        <w:t xml:space="preserve">2.5 to </w:t>
      </w:r>
      <w:r w:rsidR="009F51FA">
        <w:t>4.9</w:t>
      </w:r>
      <w:r w:rsidR="00EA27FB">
        <w:t xml:space="preserve"> </w:t>
      </w:r>
      <w:r w:rsidR="009A266F">
        <w:t>wt.%</w:t>
      </w:r>
      <w:r w:rsidR="00EA27FB">
        <w:t xml:space="preserve">) </w:t>
      </w:r>
      <w:r w:rsidR="00326D61">
        <w:t>and Mg</w:t>
      </w:r>
      <w:r w:rsidR="00EA27FB">
        <w:t>O</w:t>
      </w:r>
      <w:r w:rsidR="00326D61">
        <w:t xml:space="preserve"> contents </w:t>
      </w:r>
      <w:r w:rsidR="00EA27FB">
        <w:t>(</w:t>
      </w:r>
      <w:r w:rsidR="009F51FA">
        <w:t>31.5 to 34.3</w:t>
      </w:r>
      <w:r w:rsidR="00EA27FB">
        <w:t xml:space="preserve"> </w:t>
      </w:r>
      <w:r w:rsidR="009A266F">
        <w:t>wt.%</w:t>
      </w:r>
      <w:r w:rsidR="00EA27FB">
        <w:t xml:space="preserve">) </w:t>
      </w:r>
      <w:r w:rsidR="00326D61">
        <w:t xml:space="preserve">of orthopyroxenes </w:t>
      </w:r>
      <w:r w:rsidR="00326D61" w:rsidRPr="00661AE1">
        <w:t>in our datasets</w:t>
      </w:r>
      <w:r w:rsidR="00326D61">
        <w:t xml:space="preserve"> w</w:t>
      </w:r>
      <w:r w:rsidR="001E5A04" w:rsidRPr="00661AE1">
        <w:t xml:space="preserve">e see no obvious correlation of </w:t>
      </w:r>
      <w:r w:rsidR="00165D28" w:rsidRPr="00CB30EF">
        <w:t>H</w:t>
      </w:r>
      <w:r w:rsidR="00165D28" w:rsidRPr="00CB30EF">
        <w:rPr>
          <w:vertAlign w:val="subscript"/>
        </w:rPr>
        <w:t>2</w:t>
      </w:r>
      <w:r w:rsidR="00165D28" w:rsidRPr="00CB30EF">
        <w:t>O</w:t>
      </w:r>
      <w:r w:rsidR="001E5A04" w:rsidRPr="00661AE1">
        <w:t xml:space="preserve"> with either </w:t>
      </w:r>
      <w:r w:rsidR="00326D61">
        <w:t>of these cations. This</w:t>
      </w:r>
      <w:r w:rsidR="00F67635" w:rsidRPr="00661AE1">
        <w:t xml:space="preserve"> discrepancy </w:t>
      </w:r>
      <w:r w:rsidR="008864F5">
        <w:t xml:space="preserve">between our observations and </w:t>
      </w:r>
      <w:r w:rsidR="0088534F">
        <w:t xml:space="preserve">the </w:t>
      </w:r>
      <w:r w:rsidR="001E5A04">
        <w:t xml:space="preserve">findings from </w:t>
      </w:r>
      <w:r w:rsidR="00B128F0">
        <w:t>published</w:t>
      </w:r>
      <w:r w:rsidR="00B128F0" w:rsidRPr="00661AE1">
        <w:t xml:space="preserve"> </w:t>
      </w:r>
      <w:r w:rsidR="00F67635" w:rsidRPr="00661AE1">
        <w:t>experiment</w:t>
      </w:r>
      <w:r w:rsidR="006A4048">
        <w:t>al</w:t>
      </w:r>
      <w:r w:rsidR="00B128F0">
        <w:t xml:space="preserve"> </w:t>
      </w:r>
      <w:r w:rsidR="00F67635" w:rsidRPr="00661AE1">
        <w:t>s</w:t>
      </w:r>
      <w:r w:rsidR="00B128F0">
        <w:t>tudies</w:t>
      </w:r>
      <w:r w:rsidR="00F67635" w:rsidRPr="00661AE1">
        <w:t xml:space="preserve"> </w:t>
      </w:r>
      <w:r w:rsidR="00326D61">
        <w:t xml:space="preserve">may </w:t>
      </w:r>
      <w:r w:rsidR="00941302" w:rsidRPr="00661AE1">
        <w:t xml:space="preserve">reflect the rapid diffusion of H in silicate phases </w:t>
      </w:r>
      <w:r w:rsidR="005A15C2">
        <w:t xml:space="preserve">(timescales of days) </w:t>
      </w:r>
      <w:r w:rsidR="00941302" w:rsidRPr="00661AE1">
        <w:t>and the strong partitioning into clinopyroxene during sub-solidus re-equilibration</w:t>
      </w:r>
      <w:r w:rsidR="00E156B2">
        <w:t xml:space="preserve"> (see below)</w:t>
      </w:r>
      <w:r w:rsidR="00941302" w:rsidRPr="00661AE1">
        <w:t>.</w:t>
      </w:r>
    </w:p>
    <w:p w14:paraId="6D24BAFC" w14:textId="77777777" w:rsidR="00C83F69" w:rsidRPr="00661AE1" w:rsidRDefault="00C83F69" w:rsidP="00C20C0B">
      <w:pPr>
        <w:spacing w:line="480" w:lineRule="auto"/>
        <w:ind w:firstLine="720"/>
        <w:jc w:val="both"/>
      </w:pPr>
    </w:p>
    <w:p w14:paraId="4013528C" w14:textId="09036C7F" w:rsidR="00C83F69" w:rsidRPr="009D37AD" w:rsidRDefault="00734BE9" w:rsidP="00C20C0B">
      <w:pPr>
        <w:pStyle w:val="Heading3"/>
        <w:spacing w:line="480" w:lineRule="auto"/>
        <w:rPr>
          <w:sz w:val="24"/>
        </w:rPr>
      </w:pPr>
      <w:r>
        <w:rPr>
          <w:sz w:val="24"/>
        </w:rPr>
        <w:t>6</w:t>
      </w:r>
      <w:r w:rsidR="00C83F69" w:rsidRPr="009D37AD">
        <w:rPr>
          <w:sz w:val="24"/>
        </w:rPr>
        <w:t>.3.</w:t>
      </w:r>
      <w:r w:rsidR="00B36DAC" w:rsidRPr="009D37AD">
        <w:rPr>
          <w:sz w:val="24"/>
        </w:rPr>
        <w:t>2</w:t>
      </w:r>
      <w:r w:rsidR="00C83F69" w:rsidRPr="009D37AD">
        <w:rPr>
          <w:sz w:val="24"/>
        </w:rPr>
        <w:t xml:space="preserve"> Fluorine</w:t>
      </w:r>
    </w:p>
    <w:p w14:paraId="0F651A14" w14:textId="5AE5B2D3" w:rsidR="00190E0C" w:rsidRDefault="00CE727E" w:rsidP="00C20C0B">
      <w:pPr>
        <w:spacing w:line="480" w:lineRule="auto"/>
        <w:jc w:val="both"/>
      </w:pPr>
      <w:r>
        <w:t>In the mantle xenolith suite</w:t>
      </w:r>
      <w:r w:rsidR="00726887">
        <w:t>s</w:t>
      </w:r>
      <w:r>
        <w:t xml:space="preserve"> from </w:t>
      </w:r>
      <w:r w:rsidRPr="00661AE1">
        <w:t>southern Patagonia</w:t>
      </w:r>
      <w:r w:rsidR="00726887">
        <w:t xml:space="preserve"> and the Antarctic Peninsula</w:t>
      </w:r>
      <w:r>
        <w:t>, t</w:t>
      </w:r>
      <w:r w:rsidR="00D75ED0" w:rsidRPr="00661AE1">
        <w:t>h</w:t>
      </w:r>
      <w:r>
        <w:t xml:space="preserve">e highest F concentrations are </w:t>
      </w:r>
      <w:r w:rsidR="00726887">
        <w:t xml:space="preserve">found </w:t>
      </w:r>
      <w:r>
        <w:t xml:space="preserve">in </w:t>
      </w:r>
      <w:r w:rsidR="00EA27FB">
        <w:t xml:space="preserve">relatively </w:t>
      </w:r>
      <w:r w:rsidR="00726887">
        <w:t>Na</w:t>
      </w:r>
      <w:r w:rsidR="00EA27FB">
        <w:t xml:space="preserve">-rich </w:t>
      </w:r>
      <w:r>
        <w:t xml:space="preserve">orthopyroxenes </w:t>
      </w:r>
      <w:r w:rsidR="0088578F">
        <w:t>from</w:t>
      </w:r>
      <w:r>
        <w:t xml:space="preserve"> garnet</w:t>
      </w:r>
      <w:r w:rsidR="00883A6F">
        <w:t>-</w:t>
      </w:r>
      <w:r>
        <w:t>bearing peridotites</w:t>
      </w:r>
      <w:r w:rsidR="00726887">
        <w:t xml:space="preserve"> and </w:t>
      </w:r>
      <w:r>
        <w:t xml:space="preserve">spinel </w:t>
      </w:r>
      <w:r w:rsidR="00630960">
        <w:t>lherzolites</w:t>
      </w:r>
      <w:r>
        <w:t xml:space="preserve"> </w:t>
      </w:r>
      <w:r w:rsidR="00BC24A2">
        <w:t>(KG3610.2</w:t>
      </w:r>
      <w:r w:rsidR="00630960">
        <w:t xml:space="preserve"> &amp; </w:t>
      </w:r>
      <w:r w:rsidR="00BC24A2">
        <w:t>KG3619.12)</w:t>
      </w:r>
      <w:r w:rsidR="00726887">
        <w:t xml:space="preserve"> (</w:t>
      </w:r>
      <w:r w:rsidR="00726887" w:rsidRPr="00784762">
        <w:rPr>
          <w:b/>
        </w:rPr>
        <w:t xml:space="preserve">Figure </w:t>
      </w:r>
      <w:r w:rsidR="0044633B">
        <w:rPr>
          <w:b/>
        </w:rPr>
        <w:t>4</w:t>
      </w:r>
      <w:r w:rsidR="00726887">
        <w:t xml:space="preserve">). This </w:t>
      </w:r>
      <w:r w:rsidR="003A7578">
        <w:t xml:space="preserve">relationship between F and Na in orthopyroxene </w:t>
      </w:r>
      <w:r w:rsidR="00726887">
        <w:t>is consistent with the findings of the study of global orthopyroxenes by Urann et al. (2017).</w:t>
      </w:r>
    </w:p>
    <w:p w14:paraId="17B273CE" w14:textId="77777777" w:rsidR="004838EA" w:rsidRDefault="004838EA" w:rsidP="00C20C0B">
      <w:pPr>
        <w:spacing w:line="480" w:lineRule="auto"/>
        <w:jc w:val="both"/>
      </w:pPr>
    </w:p>
    <w:p w14:paraId="4BC5BEBF" w14:textId="3E49F19C" w:rsidR="00993DFA" w:rsidRPr="00144542" w:rsidRDefault="00734BE9" w:rsidP="00C20C0B">
      <w:pPr>
        <w:pStyle w:val="Heading2"/>
        <w:spacing w:line="480" w:lineRule="auto"/>
        <w:rPr>
          <w:sz w:val="14"/>
        </w:rPr>
      </w:pPr>
      <w:r>
        <w:t>7</w:t>
      </w:r>
      <w:r w:rsidR="005D62CF" w:rsidRPr="009E306E">
        <w:t>.</w:t>
      </w:r>
      <w:r w:rsidR="00391BD0" w:rsidRPr="009B315C">
        <w:rPr>
          <w:kern w:val="36"/>
          <w:szCs w:val="24"/>
        </w:rPr>
        <w:t xml:space="preserve"> </w:t>
      </w:r>
      <w:r w:rsidR="009F6ECC" w:rsidRPr="009D37AD">
        <w:t>P</w:t>
      </w:r>
      <w:r w:rsidR="00993DFA">
        <w:t xml:space="preserve">artitioning </w:t>
      </w:r>
      <w:r w:rsidR="00993DFA" w:rsidRPr="00144542">
        <w:t xml:space="preserve">of volatiles </w:t>
      </w:r>
      <w:r w:rsidR="003C770B">
        <w:t>between</w:t>
      </w:r>
      <w:r w:rsidR="00993DFA" w:rsidRPr="00144542">
        <w:t xml:space="preserve"> mantle phases</w:t>
      </w:r>
    </w:p>
    <w:p w14:paraId="032DFE26" w14:textId="68351441" w:rsidR="00FA44A7" w:rsidRDefault="00FA44A7" w:rsidP="00C20C0B">
      <w:pPr>
        <w:spacing w:line="480" w:lineRule="auto"/>
        <w:jc w:val="both"/>
      </w:pPr>
      <w:r>
        <w:t xml:space="preserve">The solubility of trace elements in co-existing minerals and melts is controlled by their ionic radii and varies according to </w:t>
      </w:r>
      <w:r>
        <w:rPr>
          <w:bCs/>
        </w:rPr>
        <w:t>pressure</w:t>
      </w:r>
      <w:r>
        <w:t xml:space="preserve"> (</w:t>
      </w:r>
      <w:r>
        <w:rPr>
          <w:i/>
        </w:rPr>
        <w:t>P</w:t>
      </w:r>
      <w:r>
        <w:t>), temperature (</w:t>
      </w:r>
      <w:r>
        <w:rPr>
          <w:i/>
        </w:rPr>
        <w:t>T</w:t>
      </w:r>
      <w:r>
        <w:t>) and also major</w:t>
      </w:r>
      <w:r w:rsidR="00741F80">
        <w:t>-</w:t>
      </w:r>
      <w:r>
        <w:t>element composition (</w:t>
      </w:r>
      <w:r>
        <w:rPr>
          <w:i/>
        </w:rPr>
        <w:t>X</w:t>
      </w:r>
      <w:r>
        <w:t>)</w:t>
      </w:r>
      <w:r>
        <w:rPr>
          <w:b/>
        </w:rPr>
        <w:t xml:space="preserve">. </w:t>
      </w:r>
      <w:r>
        <w:t xml:space="preserve">While most </w:t>
      </w:r>
      <w:r w:rsidR="005822B0">
        <w:t>distribution</w:t>
      </w:r>
      <w:r>
        <w:t xml:space="preserve"> coefficients </w:t>
      </w:r>
      <w:r w:rsidR="0086779A">
        <w:t>(</w:t>
      </w:r>
      <w:r w:rsidR="0086779A" w:rsidRPr="009B315C">
        <w:rPr>
          <w:i/>
        </w:rPr>
        <w:t>D</w:t>
      </w:r>
      <w:r w:rsidR="00FB4739">
        <w:rPr>
          <w:i/>
        </w:rPr>
        <w:t xml:space="preserve"> </w:t>
      </w:r>
      <w:r w:rsidR="00FB4739" w:rsidRPr="009D37AD">
        <w:t>values</w:t>
      </w:r>
      <w:r w:rsidR="0086779A">
        <w:t xml:space="preserve">) </w:t>
      </w:r>
      <w:r>
        <w:t xml:space="preserve">are experimentally determined and derived from </w:t>
      </w:r>
      <w:r w:rsidR="00165D28">
        <w:t xml:space="preserve">co-existing </w:t>
      </w:r>
      <w:r>
        <w:t>minera</w:t>
      </w:r>
      <w:r w:rsidR="00165D28">
        <w:t>l</w:t>
      </w:r>
      <w:r>
        <w:t>s and melts, t</w:t>
      </w:r>
      <w:r>
        <w:rPr>
          <w:bCs/>
        </w:rPr>
        <w:t xml:space="preserve">he </w:t>
      </w:r>
      <w:r w:rsidR="00FB4739">
        <w:rPr>
          <w:bCs/>
        </w:rPr>
        <w:t xml:space="preserve">inter-mineral </w:t>
      </w:r>
      <w:r>
        <w:rPr>
          <w:bCs/>
        </w:rPr>
        <w:t>partition</w:t>
      </w:r>
      <w:r w:rsidR="00296521">
        <w:rPr>
          <w:bCs/>
        </w:rPr>
        <w:t>ing</w:t>
      </w:r>
      <w:r>
        <w:rPr>
          <w:bCs/>
        </w:rPr>
        <w:t xml:space="preserve"> </w:t>
      </w:r>
      <w:r w:rsidR="00296521">
        <w:rPr>
          <w:bCs/>
        </w:rPr>
        <w:t>of</w:t>
      </w:r>
      <w:r>
        <w:rPr>
          <w:bCs/>
        </w:rPr>
        <w:t xml:space="preserve"> volatiles in the lithospheric mantle </w:t>
      </w:r>
      <w:r w:rsidR="00296521">
        <w:rPr>
          <w:bCs/>
        </w:rPr>
        <w:t>is</w:t>
      </w:r>
      <w:r>
        <w:rPr>
          <w:bCs/>
        </w:rPr>
        <w:t xml:space="preserve"> </w:t>
      </w:r>
      <w:r w:rsidR="005A15C2">
        <w:rPr>
          <w:bCs/>
        </w:rPr>
        <w:t xml:space="preserve">additionally </w:t>
      </w:r>
      <w:r>
        <w:rPr>
          <w:bCs/>
        </w:rPr>
        <w:t xml:space="preserve">governed by subsolidus re-equilibration. </w:t>
      </w:r>
      <w:r w:rsidR="00453497">
        <w:rPr>
          <w:bCs/>
        </w:rPr>
        <w:t xml:space="preserve">Below we use our new analyses </w:t>
      </w:r>
      <w:r w:rsidR="00165D28">
        <w:rPr>
          <w:bCs/>
        </w:rPr>
        <w:t>and</w:t>
      </w:r>
      <w:r w:rsidR="00453497">
        <w:rPr>
          <w:bCs/>
        </w:rPr>
        <w:t xml:space="preserve"> </w:t>
      </w:r>
      <w:r w:rsidR="00453497" w:rsidRPr="009D37AD">
        <w:rPr>
          <w:bCs/>
          <w:i/>
        </w:rPr>
        <w:t>PT</w:t>
      </w:r>
      <w:r w:rsidR="00453497">
        <w:rPr>
          <w:bCs/>
        </w:rPr>
        <w:t xml:space="preserve"> estimates to </w:t>
      </w:r>
      <w:r w:rsidR="00456DD7">
        <w:rPr>
          <w:bCs/>
        </w:rPr>
        <w:t>constrain</w:t>
      </w:r>
      <w:r>
        <w:t xml:space="preserve"> the partitioning of volatiles between co-existing phases in mantle xenoliths</w:t>
      </w:r>
      <w:r w:rsidR="00453497">
        <w:t>.</w:t>
      </w:r>
      <w:r>
        <w:t xml:space="preserve"> </w:t>
      </w:r>
    </w:p>
    <w:p w14:paraId="5B9E6E39" w14:textId="77777777" w:rsidR="00BD37E9" w:rsidRDefault="00BD37E9" w:rsidP="00C20C0B">
      <w:pPr>
        <w:spacing w:line="480" w:lineRule="auto"/>
        <w:jc w:val="both"/>
      </w:pPr>
    </w:p>
    <w:p w14:paraId="74D74CFF" w14:textId="1DCC2BFA" w:rsidR="00BD37E9" w:rsidRPr="002402E7" w:rsidRDefault="00734BE9" w:rsidP="00C20C0B">
      <w:pPr>
        <w:pStyle w:val="Heading3"/>
        <w:spacing w:line="480" w:lineRule="auto"/>
      </w:pPr>
      <w:r>
        <w:rPr>
          <w:sz w:val="24"/>
        </w:rPr>
        <w:t>7</w:t>
      </w:r>
      <w:r w:rsidR="009F6ECC" w:rsidRPr="009D37AD">
        <w:rPr>
          <w:sz w:val="24"/>
        </w:rPr>
        <w:t>.1 T</w:t>
      </w:r>
      <w:r w:rsidRPr="009D37AD">
        <w:rPr>
          <w:sz w:val="24"/>
        </w:rPr>
        <w:t>emperature</w:t>
      </w:r>
      <w:r w:rsidR="009F6ECC" w:rsidRPr="009D37AD">
        <w:rPr>
          <w:sz w:val="24"/>
        </w:rPr>
        <w:t xml:space="preserve"> (and </w:t>
      </w:r>
      <w:r w:rsidRPr="009D37AD">
        <w:rPr>
          <w:sz w:val="24"/>
        </w:rPr>
        <w:t>pressure)</w:t>
      </w:r>
      <w:r w:rsidR="009F6ECC" w:rsidRPr="009D37AD">
        <w:rPr>
          <w:sz w:val="24"/>
        </w:rPr>
        <w:t xml:space="preserve"> dependence</w:t>
      </w:r>
    </w:p>
    <w:p w14:paraId="167BAB35" w14:textId="3DBF0F7B" w:rsidR="00FA44A7" w:rsidRDefault="00FA44A7" w:rsidP="00C20C0B">
      <w:pPr>
        <w:spacing w:line="480" w:lineRule="auto"/>
        <w:ind w:firstLine="360"/>
        <w:jc w:val="both"/>
      </w:pPr>
      <w:r>
        <w:t xml:space="preserve">We have shown above that </w:t>
      </w:r>
      <w:r w:rsidR="00165D28">
        <w:t>water</w:t>
      </w:r>
      <w:r w:rsidR="00E14F16">
        <w:t>,</w:t>
      </w:r>
      <w:r w:rsidR="00BF36DF" w:rsidDel="00BF36DF">
        <w:t xml:space="preserve"> </w:t>
      </w:r>
      <w:r>
        <w:t xml:space="preserve">fluorine and </w:t>
      </w:r>
      <w:r w:rsidR="00E14F16">
        <w:t xml:space="preserve">lithium </w:t>
      </w:r>
      <w:r>
        <w:t>partition most strongly into clinopyroxene, followed by orthopyroxene then olivine. As found in previous studies</w:t>
      </w:r>
      <w:r w:rsidR="00227BEE">
        <w:t>,</w:t>
      </w:r>
      <w:r>
        <w:t xml:space="preserve"> </w:t>
      </w:r>
      <m:oMath>
        <m:sSubSup>
          <m:sSubSupPr>
            <m:ctrlPr>
              <w:rPr>
                <w:rFonts w:ascii="Cambria Math" w:hAnsi="Cambria Math"/>
                <w:i/>
              </w:rPr>
            </m:ctrlPr>
          </m:sSubSupPr>
          <m:e>
            <m:r>
              <m:rPr>
                <m:nor/>
              </m:rPr>
              <w:rPr>
                <w:rFonts w:ascii="Cambria Math" w:hAnsi="Cambria Math"/>
                <w:i/>
              </w:rPr>
              <m:t>D</m:t>
            </m:r>
          </m:e>
          <m:sub>
            <m:r>
              <m:rPr>
                <m:nor/>
              </m:rPr>
              <w:rPr>
                <w:rFonts w:ascii="Cambria Math" w:hAnsi="Cambria Math"/>
                <w:i/>
              </w:rPr>
              <m:t>H</m:t>
            </m:r>
            <m:r>
              <m:rPr>
                <m:nor/>
              </m:rPr>
              <w:rPr>
                <w:rFonts w:ascii="Cambria Math" w:hAnsi="Cambria Math"/>
                <w:i/>
                <w:vertAlign w:val="subscript"/>
              </w:rPr>
              <m:t>2</m:t>
            </m:r>
            <m:r>
              <m:rPr>
                <m:nor/>
              </m:rPr>
              <w:rPr>
                <w:rFonts w:ascii="Cambria Math" w:hAnsi="Cambria Math"/>
                <w:i/>
              </w:rPr>
              <m:t>O</m:t>
            </m:r>
          </m:sub>
          <m:sup>
            <m:r>
              <m:rPr>
                <m:nor/>
              </m:rPr>
              <w:rPr>
                <w:rFonts w:ascii="Cambria Math" w:hAnsi="Cambria Math"/>
              </w:rPr>
              <m:t xml:space="preserve"> </m:t>
            </m:r>
            <m:r>
              <m:rPr>
                <m:nor/>
              </m:rPr>
              <w:rPr>
                <w:rFonts w:ascii="Cambria Math" w:hAnsi="Cambria Math"/>
                <w:i/>
              </w:rPr>
              <m:t>Cpx-Opx</m:t>
            </m:r>
          </m:sup>
        </m:sSubSup>
      </m:oMath>
      <w:r>
        <w:t xml:space="preserve"> and </w:t>
      </w:r>
      <m:oMath>
        <m:sSubSup>
          <m:sSubSupPr>
            <m:ctrlPr>
              <w:rPr>
                <w:rFonts w:ascii="Cambria Math" w:hAnsi="Cambria Math"/>
                <w:i/>
              </w:rPr>
            </m:ctrlPr>
          </m:sSubSupPr>
          <m:e>
            <m:r>
              <w:rPr>
                <w:rFonts w:ascii="Cambria Math" w:hAnsi="Cambria Math"/>
              </w:rPr>
              <m:t>D</m:t>
            </m:r>
          </m:e>
          <m:sub>
            <m:r>
              <w:rPr>
                <w:rFonts w:ascii="Cambria Math" w:hAnsi="Cambria Math"/>
              </w:rPr>
              <m:t>F</m:t>
            </m:r>
          </m:sub>
          <m:sup>
            <m:r>
              <w:rPr>
                <w:rFonts w:ascii="Cambria Math" w:hAnsi="Cambria Math"/>
              </w:rPr>
              <m:t>Cpx-Opx</m:t>
            </m:r>
          </m:sup>
        </m:sSubSup>
      </m:oMath>
      <w:r>
        <w:t xml:space="preserve"> </w:t>
      </w:r>
      <w:r w:rsidR="00453497">
        <w:t xml:space="preserve">values </w:t>
      </w:r>
      <w:r>
        <w:t xml:space="preserve">in natural samples </w:t>
      </w:r>
      <w:r w:rsidR="00CC7D64">
        <w:t>are</w:t>
      </w:r>
      <w:r>
        <w:t xml:space="preserve"> generally higher than </w:t>
      </w:r>
      <w:r w:rsidR="00453497">
        <w:t xml:space="preserve">those </w:t>
      </w:r>
      <w:r>
        <w:t xml:space="preserve">observed in </w:t>
      </w:r>
      <w:r w:rsidR="00446940">
        <w:t xml:space="preserve">most </w:t>
      </w:r>
      <w:r>
        <w:t xml:space="preserve">experiments in which </w:t>
      </w:r>
      <m:oMath>
        <m:sSubSup>
          <m:sSubSupPr>
            <m:ctrlPr>
              <w:rPr>
                <w:rFonts w:ascii="Cambria Math" w:hAnsi="Cambria Math"/>
                <w:i/>
              </w:rPr>
            </m:ctrlPr>
          </m:sSubSupPr>
          <m:e>
            <m:r>
              <m:rPr>
                <m:nor/>
              </m:rPr>
              <w:rPr>
                <w:rFonts w:ascii="Cambria Math" w:hAnsi="Cambria Math"/>
                <w:i/>
              </w:rPr>
              <m:t>D</m:t>
            </m:r>
          </m:e>
          <m:sub>
            <m:r>
              <m:rPr>
                <m:nor/>
              </m:rPr>
              <w:rPr>
                <w:rFonts w:ascii="Cambria Math" w:hAnsi="Cambria Math"/>
                <w:i/>
              </w:rPr>
              <m:t>H</m:t>
            </m:r>
            <m:r>
              <m:rPr>
                <m:nor/>
              </m:rPr>
              <w:rPr>
                <w:rFonts w:ascii="Cambria Math" w:hAnsi="Cambria Math"/>
                <w:i/>
                <w:vertAlign w:val="subscript"/>
              </w:rPr>
              <m:t>2</m:t>
            </m:r>
            <m:r>
              <m:rPr>
                <m:nor/>
              </m:rPr>
              <w:rPr>
                <w:rFonts w:ascii="Cambria Math" w:hAnsi="Cambria Math"/>
                <w:i/>
              </w:rPr>
              <m:t>O</m:t>
            </m:r>
          </m:sub>
          <m:sup>
            <m:r>
              <m:rPr>
                <m:nor/>
              </m:rPr>
              <w:rPr>
                <w:rFonts w:ascii="Cambria Math" w:hAnsi="Cambria Math"/>
              </w:rPr>
              <m:t xml:space="preserve"> </m:t>
            </m:r>
            <m:r>
              <m:rPr>
                <m:nor/>
              </m:rPr>
              <w:rPr>
                <w:rFonts w:ascii="Cambria Math" w:hAnsi="Cambria Math"/>
                <w:i/>
              </w:rPr>
              <m:t>Cpx-Opx</m:t>
            </m:r>
          </m:sup>
        </m:sSubSup>
      </m:oMath>
      <w:r>
        <w:t xml:space="preserve"> = 1.</w:t>
      </w:r>
      <w:r w:rsidR="00F45C05">
        <w:t>4</w:t>
      </w:r>
      <w:r>
        <w:t xml:space="preserve"> ±0.3 and </w:t>
      </w:r>
      <m:oMath>
        <m:sSubSup>
          <m:sSubSupPr>
            <m:ctrlPr>
              <w:rPr>
                <w:rFonts w:ascii="Cambria Math" w:hAnsi="Cambria Math"/>
                <w:i/>
              </w:rPr>
            </m:ctrlPr>
          </m:sSubSupPr>
          <m:e>
            <m:r>
              <w:rPr>
                <w:rFonts w:ascii="Cambria Math" w:hAnsi="Cambria Math"/>
              </w:rPr>
              <m:t>D</m:t>
            </m:r>
          </m:e>
          <m:sub>
            <m:r>
              <w:rPr>
                <w:rFonts w:ascii="Cambria Math" w:hAnsi="Cambria Math"/>
              </w:rPr>
              <m:t>F</m:t>
            </m:r>
          </m:sub>
          <m:sup>
            <m:r>
              <w:rPr>
                <w:rFonts w:ascii="Cambria Math" w:hAnsi="Cambria Math"/>
              </w:rPr>
              <m:t>Cpx-Opx</m:t>
            </m:r>
          </m:sup>
        </m:sSubSup>
      </m:oMath>
      <w:r>
        <w:t xml:space="preserve"> = 1.2 to 2.6 (</w:t>
      </w:r>
      <w:r>
        <w:rPr>
          <w:b/>
          <w:color w:val="000000" w:themeColor="text1"/>
        </w:rPr>
        <w:t xml:space="preserve">Figure </w:t>
      </w:r>
      <w:r w:rsidR="00B626A2">
        <w:rPr>
          <w:b/>
          <w:color w:val="000000" w:themeColor="text1"/>
        </w:rPr>
        <w:t>2</w:t>
      </w:r>
      <w:r>
        <w:t xml:space="preserve">; </w:t>
      </w:r>
      <w:r w:rsidRPr="009B315C">
        <w:rPr>
          <w:highlight w:val="yellow"/>
        </w:rPr>
        <w:fldChar w:fldCharType="begin"/>
      </w:r>
      <w:r w:rsidR="00A17546">
        <w:rPr>
          <w:highlight w:val="yellow"/>
        </w:rPr>
        <w:instrText xml:space="preserve"> ADDIN ZOTERO_ITEM CSL_CITATION {"citationID":"UdkP9QZM","properties":{"formattedCitation":"(Aubaud, 2004; Dalou et al., 2012; E. Hauri et al., 2006; Novella et al., 2014; O\\uc0\\u8217{}Leary et al., 2010; Rosenthal and Hauri, 2015)","plainCitation":"(Aubaud, 2004; Dalou et al., 2012; E. Hauri et al., 2006; Novella et al., 2014; O’Leary et al., 2010; Rosenthal and Hauri, 2015)","dontUpdate":true,"noteIndex":0},"citationItems":[{"id":"4YmRUp4L/0zeKz7lb","uris":["http://zotero.org/users/2552499/items/CMBSM4RD"],"uri":["http://zotero.org/users/2552499/items/CMBSM4RD"],"itemData":{"id":"YmtRjHgB/X3ORmZmQ","type":"article-journal","title":"Hydrogen partition coefficients between nominally anhydrous minerals and basaltic melts","container-title":"Geophysical Research Letters","page":"L20611-L20611","volume":"31","issue":"20","DOI":"10.1029/2004GL021341","author":[{"family":"Aubaud","given":"Cyril"}],"issued":{"date-parts":[["2004"]]}}},{"id":2488,"uris":["http://zotero.org/users/88665/items/CU9XWXTR"],"uri":["http://zotero.org/users/88665/items/CU9XWXTR"],"itemData":{"id":2488,"type":"article-journal","abstract":"We experimentally determined F and Cl partition coefficients together with that of 19 trace elements (including REE, U-Th, HFSE and LILE) between basaltic melt and lherzolite minerals: olivine, orthopyroxene, clinopyroxene, plagioclase and garnet. Under conditions from 8 to 25 kbars and from 1,265 to 1,430°C, compatibilities of F and Cl are globally ordered as D Cpx/melt &gt; D Opx/melt &gt; D Grt/melt &gt; D Ol/melt &gt; D Plag/melt, and D F mineral/melt is larger than D Cl mineral/melt . Four other major results were brought to light. (1) Chlorine partition coefficients positively correlate with the jadeite component in orthopyroxene, and increase of the CaTs component promotes Cl incorporation in clinopyroxene. (2) Variations of fluorine partition coefficients correlate strongly with melt viscosity. (3) F and Cl partition coefficients correlate with the Young’s modulus (E 0) of pyroxene octahedral sites (M sites) and with Raman vibrational modes of pyroxenes. This demonstrates a fundamental interaction between the M site of pyroxenes and the incorporation of F and Cl. (4) We also determined the parameters of the lattice-strain model applied to 3+ cation trace elements for the two M sites in orthopyroxene and clinopyroxene: D 0 M 1, D 0 M 2, r 0 M1 , r 0 M2 , E 0 M1 and E 0 M2 .","container-title":"Contributions to Mineralogy and Petrology","DOI":"10.1007/s00410-011-0688-2","ISSN":"0010-7999, 1432-0967","issue":"4","journalAbbreviation":"Contributions to Mineralogy and Petrology","language":"en","note":"00012","page":"591-609","source":"link.springer.com","title":"Experimental determination of F and Cl partitioning between lherzolite and basaltic melt","volume":"163","author":[{"family":"Dalou","given":"Célia"},{"family":"Koga","given":"Kenneth T."},{"family":"Shimizu","given":"Nobumichi"},{"family":"Boulon","given":"Julien"},{"family":"Devidal","given":"Jean-Luc"}],"issued":{"date-parts":[["2012",4,1]]}}},{"id":"4YmRUp4L/S1ghLbNK","uris":["http://zotero.org/users/2552499/items/278RMXKF"],"uri":["http://zotero.org/users/2552499/items/278RMXKF"],"itemData":{"id":"JMzWweHv/0RSdeFms","type":"article-journal","title":"Partitioning of water during melting of the Earth's upper mantle at H2O-undersaturated conditions","container-title":"Earth and Planetary Science Letters","page":"715-734","volume":"248","issue":"3-4","DOI":"10.1016/j.epsl.2006.06.014","author":[{"family":"Hauri","given":"E"},{"family":"Gaetani","given":"G"},{"family":"Green","given":"T"}],"issued":{"date-parts":[["2006",8]]}}},{"id":3068,"uris":["http://zotero.org/users/88665/items/XGMGHXVG"],"uri":["http://zotero.org/users/88665/items/XGMGHXVG"],"itemData":{"id":3068,"type":"article-journal","abstract":"The partitioning of H2O between a mantle peridotite assemblage and low degree hydrous melt has been investigated at 6 GPa (corresponding to </w:instrText>
      </w:r>
      <w:r w:rsidR="00A17546">
        <w:rPr>
          <w:rFonts w:ascii="Cambria Math" w:hAnsi="Cambria Math" w:cs="Cambria Math"/>
          <w:highlight w:val="yellow"/>
        </w:rPr>
        <w:instrText>∼</w:instrText>
      </w:r>
      <w:r w:rsidR="00A17546">
        <w:rPr>
          <w:highlight w:val="yellow"/>
        </w:rPr>
        <w:instrText xml:space="preserve">180 km depth) at a temperature of 1400 °C. Peridotite mineral phases were analysed from 6 melting experiments performed in a natural chemical system. The experiments contained </w:instrText>
      </w:r>
      <w:r w:rsidR="00A17546">
        <w:rPr>
          <w:rFonts w:ascii="Cambria Math" w:hAnsi="Cambria Math" w:cs="Cambria Math"/>
          <w:highlight w:val="yellow"/>
        </w:rPr>
        <w:instrText>∼</w:instrText>
      </w:r>
      <w:r w:rsidR="00A17546">
        <w:rPr>
          <w:highlight w:val="yellow"/>
        </w:rPr>
        <w:instrText xml:space="preserve">80 wt% of a low degree hydrous melt that was obtained through a series of experiments where the melt composition was iteratively adjusted until saturation with the appropriate peridotite assemblage was achieved. The melt is fluid-undersaturated at the conditions of the experiment. Ion microprobe measurements of the mineral phases indicate olivine H2O concentrations of 434 ± 61 ppm wt and average clinopyroxene (cpx) concentrations of 1268 ± 173 ppm wt H2O. Orthopyroxene (opx) and garnet contain 700 ± 46 ppm wt and 347 ± 83 ppm wt H2O, respectively. The H2O content of the hydrous melts was determined by mass balance to be 11 ± 0.5 wt% H2O. H2O partition coefficients between minerals and melt ( D H 2 O min / melt = X H 2 O min / X H 2 O melt ) are 0.0040 ± 0.0006 for olivine, 0.0064 ± 0.0004 for opx, 0.0115 ± 0.0016 for cpx and 0.0032 ± 0.0008 for garnet.\n\nUsing the determined H2O partition coefficients the onset and extent of melting at conditions equivalent to 180 km below mid-ocean ridges was determined as a function of mantle H2O content. Current estimates for the H2O content of the depleted mantle (50–200 ppm wt H2O) are insufficient to induce mantle melting at this depth, which requires </w:instrText>
      </w:r>
      <w:r w:rsidR="00A17546">
        <w:rPr>
          <w:rFonts w:ascii="Cambria Math" w:hAnsi="Cambria Math" w:cs="Cambria Math"/>
          <w:highlight w:val="yellow"/>
        </w:rPr>
        <w:instrText>∼</w:instrText>
      </w:r>
      <w:r w:rsidR="00A17546">
        <w:rPr>
          <w:highlight w:val="yellow"/>
        </w:rPr>
        <w:instrText xml:space="preserve">700 ppm wt H2O to produce 0.1% melting and 1600 ppm wt H2O for 1% melting, along an adiabat with a potential temperature of 1327 °C. Melting can occur at these conditions within the mantle source of ocean island basalts, which are estimated to contain up to 900 ppm wt H2O. If adiabatic temperatures are 200 °C higher within such plume related sources, then melt fractions of over 1% can be reached at 180 km depth. In addition, a model for the distribution of H2O between peridotite mineral phases as a function of depth and at H2O-undersaturated conditions is constructed. The model indicates that for a fixed mantle composition containing 150 ppm wt H2O, the olivine H2O content will increase with depth solely due to changes in inter-phase partitioning and modal proportions of minerals. The change in the olivine H2O concentration with depth corresponds to proposed changes in the dominant olivine slip system for deformation by dislocation creep, that might provide an explanation for the reduction in seismic anisotropy observed at depths &amp;gt;200 km.","container-title":"Earth and Planetary Science Letters","DOI":"10.1016/j.epsl.2014.05.006","ISSN":"0012-821X","journalAbbreviation":"Earth and Planetary Science Letters","note":"00000","page":"1-13","source":"ScienceDirect","title":"The distribution of H2O between silicate melt and nominally anhydrous peridotite and the onset of hydrous melting in the deep upper mantle","volume":"400","author":[{"family":"Novella","given":"Davide"},{"family":"Frost","given":"Daniel J."},{"family":"Hauri","given":"Erik H."},{"family":"Bureau","given":"Helene"},{"family":"Raepsaet","given":"Caroline"},{"family":"Roberge","given":"Mathilde"}],"issued":{"date-parts":[["2014",8,15]]}}},{"id":"4YmRUp4L/jfJvJijG","uris":["http://zotero.org/users/2552499/items/KHR2BN3H"],"uri":["http://zotero.org/users/2552499/items/KHR2BN3H"],"itemData":{"id":"YmtRjHgB/EBnFpo2j","type":"article-journal","title":"The effect of tetrahedral Al3+ on the partitioning of water between clinopyroxene and silicate melt","container-title":"Earth and Planetary Science Letters","page":"111-120","volume":"297","issue":"1–2","source":"ScienceDirect","abstract":"This experimental study examines the influence of tetrahedrally coordinated Al3+ (IVAl3+) on the partitioning of H+ between high-Ca clinopyroxene and silicate melt. Experiments were carried out at 1.5 GPa and 1275 to 1350 °C on a natural high-alumina basalt and a compositionally similar synthetic basalt that is nominally alumina free. The results extend the compositional range of clinopyroxene for which partitioning has been determined experimentally to both higher and lower IVAl3+, thereby clarifying its role in maintaining charge neutrality during H+ incorporation. Clinopyroxene-melt partition coefficients for H+ (DH2OCpx − Melt) determined for the high-alumina basalt are among largest ever reported (DH2OCpx − Melt = 0.0228 to 0.0477), while those determined for the nominally alumina-free starting composition are the smallest (DH2OCpx − Melt = 0.00445 to 0.0071). Our results confirm that H+ is incorporated into clinopyroxene through two independent mechanisms: (1) the creation of metal vacancies and coupled hydroxyl defects and (2) a coupled substitution involving IVAl3+ that creates isolated hydroxyl defects. The relative importance of each of these incorporation mechanisms was quantified by formulating DH2OCpx − Melt as the sum of a metal vacancy-related partition coefficient (DH2OVMe) and an Al-coupled substitution-related partition coefficient (DH2OAl) and fitting the resulting expression to all available experimental data. The contribution of DH2OVMe to DH2OCpx − Melt is relatively constant at 0.006 ± 0.002, but is sensitive to pressure, temperature, H2O fugacity and pyroxene composition. The contribution of DH2OAl varies from </w:instrText>
      </w:r>
      <w:r w:rsidR="00A17546">
        <w:rPr>
          <w:rFonts w:ascii="Cambria Math" w:hAnsi="Cambria Math" w:cs="Cambria Math"/>
          <w:highlight w:val="yellow"/>
        </w:rPr>
        <w:instrText>∼</w:instrText>
      </w:r>
      <w:r w:rsidR="00A17546">
        <w:rPr>
          <w:highlight w:val="yellow"/>
        </w:rPr>
        <w:instrText xml:space="preserve"> 0 to 0.038 and is strongly dependent on phase composition, but insensitive to pressure and temperature. Two parameterizations of DH2OCpx − Melt that account for the potential effects of temperature, pressure and phase composition were calibrated using our data and experimentally determined partition coefficients from the literature. The first parameterization considers only compositional effects and can be used to estimate DH2OCpx − Melt in cases where pressure and/or temperature are unknown. This equation was used to demonstrate that the pre-eruptive H2O contents of arc lavas calculated on the basis of H+ in clinopyroxene phenocrysts are systematically higher than those inferred from olivine-hosted melt inclusions, so that the former provide a record that is closer to primary (undegassed) values. The second parameterization considers the effects of pressure and temperature in addition to phase composition and provides a moderately better fit to the experimental data. This equation was used to re-evaluate the influence of H2O on the depth at which peridotite partial melting begins beneath oceanic spreading centers. Our calculations indicate that partial melting begins at depths that are shallower than suggested by previous estimates. For a potential temperature of 1350 °C, peridotite containing 50, 100, 150, and 200 ppm H2O dissolved in nominally anhydrous minerals begins melting at depths of 75, 79, 83, and 87 km, respectively.","DOI":"10.1016/j.epsl.2010.06.011","ISSN":"0012-821X","journalAbbreviation":"Earth and Planetary Science Letters","author":[{"family":"O'Leary","given":"Julie A."},{"family":"Gaetani","given":"Glenn A."},{"family":"Hauri","given":"Erik H."}],"issued":{"date-parts":[["2010",8,15]]}}},{"id":2931,"uris":["http://zotero.org/users/88665/items/XHJJAA2Z"],"uri":["http://zotero.org/users/88665/items/XHJJAA2Z"],"itemData":{"id":2931,"type":"article-journal","container-title":"Earth and Planetary Science Letters","DOI":"10.1016/j.epsl.2014.11.044","ISSN":"0012-821X","note":"00000","page":"77-87","title":"Experimental determination of C, F, and H partitioning between mantle minerals and carbonated basalt, CO2/Ba and CO2/Nb systematics of partial melting, and the CO2 contents of basaltic source regions","volume":"412","author":[{"family":"Rosenthal","given":"A."},{"family":"Hauri","given":"E. H."}],"issued":{"date-parts":[["2015"]]}}}],"schema":"https://github.com/citation-style-language/schema/raw/master/csl-citation.json"} </w:instrText>
      </w:r>
      <w:r w:rsidRPr="009B315C">
        <w:rPr>
          <w:highlight w:val="yellow"/>
        </w:rPr>
        <w:fldChar w:fldCharType="separate"/>
      </w:r>
      <w:r w:rsidR="00F45C05" w:rsidRPr="00F45C05">
        <w:t>Aubaud, 2004; Dalou et al., 2012; Hauri et al., 2006; Novella et al., 2014; O’Leary et al., 2010; Rosenthal and Hauri, 2015)</w:t>
      </w:r>
      <w:r w:rsidRPr="009B315C">
        <w:rPr>
          <w:highlight w:val="yellow"/>
        </w:rPr>
        <w:fldChar w:fldCharType="end"/>
      </w:r>
      <w:r w:rsidR="00BB5DBF">
        <w:t xml:space="preserve">. </w:t>
      </w:r>
      <w:r w:rsidR="00446940">
        <w:t xml:space="preserve">Exceptions are the experiments </w:t>
      </w:r>
      <w:r w:rsidR="00B626A2">
        <w:t xml:space="preserve">carried out between 1000 and 1150 </w:t>
      </w:r>
      <w:r w:rsidR="00B626A2" w:rsidRPr="008732F4">
        <w:rPr>
          <w:vertAlign w:val="superscript"/>
        </w:rPr>
        <w:t>o</w:t>
      </w:r>
      <w:r w:rsidR="00B626A2">
        <w:t xml:space="preserve">C by </w:t>
      </w:r>
      <w:r w:rsidR="00446940">
        <w:t>Kovacs et al</w:t>
      </w:r>
      <w:r w:rsidR="00576E38">
        <w:t xml:space="preserve">. </w:t>
      </w:r>
      <w:r w:rsidR="00576E38">
        <w:fldChar w:fldCharType="begin"/>
      </w:r>
      <w:r w:rsidR="008E0CCC">
        <w:instrText xml:space="preserve"> ADDIN ZOTERO_ITEM CSL_CITATION {"citationID":"UUhsx2qf","properties":{"formattedCitation":"(2012)","plainCitation":"(2012)","noteIndex":0},"citationItems":[{"id":4311,"uris":["http://zotero.org/users/88665/items/LLZWDYHM"],"uri":["http://zotero.org/users/88665/items/LLZWDYHM"],"itemData":{"id":4311,"type":"article-journal","abstract":"Abstract.  The incorporation of water in olivine and pyroxenes interlayered within fertile lherzolite compositions was explored experimentally near the wet soli","container-title":"Journal of Petrology","DOI":"10.1093/petrology/egs044","ISSN":"0022-3530","issue":"10","journalAbbreviation":"J Petrology","language":"en","page":"2067-2093","source":"academic.oup.com","title":"An Experimental Study of Water in Nominally Anhydrous Minerals in the Upper Mantle near the Water-saturated Solidus","volume":"53","author":[{"family":"Kovács","given":"István"},{"family":"Green","given":"David H."},{"family":"Rosenthal","given":"Anja"},{"family":"Hermann","given":"Jörg"},{"family":"O’neill","given":"Hugh St C."},{"family":"Hibberson","given":"William O."},{"family":"Udvardi","given":"Beatrix"}],"issued":{"date-parts":[["2012",10,1]]}},"suppress-author":true}],"schema":"https://github.com/citation-style-language/schema/raw/master/csl-citation.json"} </w:instrText>
      </w:r>
      <w:r w:rsidR="00576E38">
        <w:fldChar w:fldCharType="separate"/>
      </w:r>
      <w:r w:rsidR="003E39BF">
        <w:rPr>
          <w:noProof/>
        </w:rPr>
        <w:t>(2012)</w:t>
      </w:r>
      <w:r w:rsidR="00576E38">
        <w:fldChar w:fldCharType="end"/>
      </w:r>
      <w:r w:rsidR="007C2C4D">
        <w:t>,</w:t>
      </w:r>
      <w:r w:rsidR="00446940">
        <w:t xml:space="preserve"> which</w:t>
      </w:r>
      <w:r w:rsidR="007C2C4D">
        <w:t xml:space="preserve"> have higher</w:t>
      </w:r>
      <w:r w:rsidR="00446940">
        <w:t xml:space="preserve"> </w:t>
      </w:r>
      <m:oMath>
        <m:sSubSup>
          <m:sSubSupPr>
            <m:ctrlPr>
              <w:rPr>
                <w:rFonts w:ascii="Cambria Math" w:hAnsi="Cambria Math"/>
                <w:i/>
              </w:rPr>
            </m:ctrlPr>
          </m:sSubSupPr>
          <m:e>
            <m:r>
              <m:rPr>
                <m:nor/>
              </m:rPr>
              <w:rPr>
                <w:rFonts w:ascii="Cambria Math" w:hAnsi="Cambria Math"/>
                <w:i/>
              </w:rPr>
              <m:t>D</m:t>
            </m:r>
          </m:e>
          <m:sub>
            <m:r>
              <m:rPr>
                <m:nor/>
              </m:rPr>
              <w:rPr>
                <w:rFonts w:ascii="Cambria Math" w:hAnsi="Cambria Math"/>
                <w:i/>
              </w:rPr>
              <m:t>H</m:t>
            </m:r>
            <m:r>
              <m:rPr>
                <m:nor/>
              </m:rPr>
              <w:rPr>
                <w:rFonts w:ascii="Cambria Math" w:hAnsi="Cambria Math"/>
                <w:i/>
                <w:vertAlign w:val="subscript"/>
              </w:rPr>
              <m:t>2</m:t>
            </m:r>
            <m:r>
              <m:rPr>
                <m:nor/>
              </m:rPr>
              <w:rPr>
                <w:rFonts w:ascii="Cambria Math" w:hAnsi="Cambria Math"/>
                <w:i/>
              </w:rPr>
              <m:t>O</m:t>
            </m:r>
          </m:sub>
          <m:sup>
            <m:r>
              <m:rPr>
                <m:nor/>
              </m:rPr>
              <w:rPr>
                <w:rFonts w:ascii="Cambria Math" w:hAnsi="Cambria Math"/>
              </w:rPr>
              <m:t xml:space="preserve"> </m:t>
            </m:r>
            <m:r>
              <m:rPr>
                <m:nor/>
              </m:rPr>
              <w:rPr>
                <w:rFonts w:ascii="Cambria Math" w:hAnsi="Cambria Math"/>
                <w:i/>
              </w:rPr>
              <m:t>Cpx-Opx</m:t>
            </m:r>
          </m:sup>
        </m:sSubSup>
      </m:oMath>
      <w:r w:rsidR="00BF45D8">
        <w:t xml:space="preserve"> </w:t>
      </w:r>
      <w:r w:rsidR="007C2C4D">
        <w:t>(</w:t>
      </w:r>
      <w:r w:rsidR="00BF45D8">
        <w:t>2.7 ±1.1</w:t>
      </w:r>
      <w:r w:rsidR="00446940">
        <w:t xml:space="preserve"> </w:t>
      </w:r>
      <w:r w:rsidR="007C2C4D">
        <w:t xml:space="preserve">at 2.5 GPa </w:t>
      </w:r>
      <w:r w:rsidR="00446940">
        <w:t xml:space="preserve">and 3.5 ±1.5 </w:t>
      </w:r>
      <w:r w:rsidR="007C2C4D">
        <w:t>at</w:t>
      </w:r>
      <w:r w:rsidR="00446940">
        <w:t xml:space="preserve"> 4 GPa</w:t>
      </w:r>
      <w:r w:rsidR="007C2C4D">
        <w:t>)</w:t>
      </w:r>
      <w:r w:rsidR="00446940">
        <w:t xml:space="preserve">. The </w:t>
      </w:r>
      <w:r>
        <w:t xml:space="preserve">variably </w:t>
      </w:r>
      <w:r w:rsidR="00446940">
        <w:t xml:space="preserve">in </w:t>
      </w:r>
      <m:oMath>
        <m:sSubSup>
          <m:sSubSupPr>
            <m:ctrlPr>
              <w:rPr>
                <w:rFonts w:ascii="Cambria Math" w:hAnsi="Cambria Math"/>
                <w:i/>
              </w:rPr>
            </m:ctrlPr>
          </m:sSubSupPr>
          <m:e>
            <m:r>
              <m:rPr>
                <m:nor/>
              </m:rPr>
              <w:rPr>
                <w:rFonts w:ascii="Cambria Math" w:hAnsi="Cambria Math"/>
                <w:i/>
              </w:rPr>
              <m:t>D</m:t>
            </m:r>
          </m:e>
          <m:sub>
            <m:r>
              <m:rPr>
                <m:nor/>
              </m:rPr>
              <w:rPr>
                <w:rFonts w:ascii="Cambria Math" w:hAnsi="Cambria Math"/>
                <w:i/>
              </w:rPr>
              <m:t>H</m:t>
            </m:r>
            <m:r>
              <m:rPr>
                <m:nor/>
              </m:rPr>
              <w:rPr>
                <w:rFonts w:ascii="Cambria Math" w:hAnsi="Cambria Math"/>
                <w:i/>
                <w:vertAlign w:val="subscript"/>
              </w:rPr>
              <m:t>2</m:t>
            </m:r>
            <m:r>
              <m:rPr>
                <m:nor/>
              </m:rPr>
              <w:rPr>
                <w:rFonts w:ascii="Cambria Math" w:hAnsi="Cambria Math"/>
                <w:i/>
              </w:rPr>
              <m:t>O</m:t>
            </m:r>
          </m:sub>
          <m:sup>
            <m:r>
              <m:rPr>
                <m:nor/>
              </m:rPr>
              <w:rPr>
                <w:rFonts w:ascii="Cambria Math" w:hAnsi="Cambria Math"/>
              </w:rPr>
              <m:t xml:space="preserve"> </m:t>
            </m:r>
            <m:r>
              <m:rPr>
                <m:nor/>
              </m:rPr>
              <w:rPr>
                <w:rFonts w:ascii="Cambria Math" w:hAnsi="Cambria Math"/>
                <w:i/>
              </w:rPr>
              <m:t>Cpx-Opx</m:t>
            </m:r>
          </m:sup>
        </m:sSubSup>
      </m:oMath>
      <w:r w:rsidR="00446940">
        <w:t xml:space="preserve"> </w:t>
      </w:r>
      <w:r w:rsidR="007C2C4D">
        <w:t xml:space="preserve">shown by natural mantle samples and experimental run products </w:t>
      </w:r>
      <w:r w:rsidR="00446940">
        <w:t xml:space="preserve">has </w:t>
      </w:r>
      <w:r w:rsidR="0086779A">
        <w:t xml:space="preserve">been </w:t>
      </w:r>
      <w:r>
        <w:t>attributed to</w:t>
      </w:r>
      <w:r w:rsidR="005A15C2">
        <w:t xml:space="preserve"> the fact that</w:t>
      </w:r>
      <w:r w:rsidR="00BF395A">
        <w:t xml:space="preserve">: (i) the lithospheric mantle contains pyroxenes with less </w:t>
      </w:r>
      <w:r w:rsidR="002E031E">
        <w:t>Fe</w:t>
      </w:r>
      <w:r w:rsidR="00394812" w:rsidRPr="009B315C">
        <w:rPr>
          <w:vertAlign w:val="superscript"/>
        </w:rPr>
        <w:t>2+</w:t>
      </w:r>
      <w:r w:rsidR="002E031E">
        <w:t xml:space="preserve"> and </w:t>
      </w:r>
      <w:r w:rsidR="00BF395A">
        <w:t xml:space="preserve">more </w:t>
      </w:r>
      <w:r w:rsidR="002E031E">
        <w:t>Cr</w:t>
      </w:r>
      <w:r w:rsidR="00394812" w:rsidRPr="009B315C">
        <w:rPr>
          <w:vertAlign w:val="superscript"/>
        </w:rPr>
        <w:t>3+</w:t>
      </w:r>
      <w:r w:rsidR="002E031E">
        <w:t xml:space="preserve"> </w:t>
      </w:r>
      <w:r w:rsidR="00BF395A">
        <w:t xml:space="preserve">than </w:t>
      </w:r>
      <w:r w:rsidR="002E031E">
        <w:t xml:space="preserve">experimental </w:t>
      </w:r>
      <w:r>
        <w:t>pyroxene</w:t>
      </w:r>
      <w:r w:rsidR="004F375C">
        <w:t>s</w:t>
      </w:r>
      <w:r w:rsidR="00BF395A">
        <w:t xml:space="preserve">; (ii) the experiments have </w:t>
      </w:r>
      <w:r w:rsidR="004F375C">
        <w:t>high</w:t>
      </w:r>
      <w:r w:rsidR="00F82BB6">
        <w:t>er</w:t>
      </w:r>
      <w:r w:rsidR="004F375C">
        <w:t xml:space="preserve"> </w:t>
      </w:r>
      <w:r>
        <w:t>total water contents</w:t>
      </w:r>
      <w:r w:rsidR="004F375C">
        <w:t xml:space="preserve"> and </w:t>
      </w:r>
      <w:r>
        <w:t>oxygen fugacit</w:t>
      </w:r>
      <w:r w:rsidR="004F375C">
        <w:t>ies</w:t>
      </w:r>
      <w:r>
        <w:t xml:space="preserve"> </w:t>
      </w:r>
      <w:r w:rsidR="00BF395A">
        <w:t xml:space="preserve">than occurs in the lithospheric mantle; (iii) </w:t>
      </w:r>
      <w:r>
        <w:t>sub-solidus re-equilibration</w:t>
      </w:r>
      <w:r w:rsidR="00453497">
        <w:t xml:space="preserve"> in </w:t>
      </w:r>
      <w:r w:rsidR="00BF395A">
        <w:t xml:space="preserve">the lithospheric mantle </w:t>
      </w:r>
      <w:r>
        <w:fldChar w:fldCharType="begin"/>
      </w:r>
      <w:r w:rsidR="008E0CCC">
        <w:instrText xml:space="preserve"> ADDIN ZOTERO_ITEM CSL_CITATION {"citationID":"eNJ5hW1N","properties":{"formattedCitation":"(Kov\\uc0\\u225{}cs et al., 2012; Warren and Hauri, 2014; Peslier and Bizimis, 2015; Kilgore et al., 2018; Schaffer et al., 2018)","plainCitation":"(Kovács et al., 2012; Warren and Hauri, 2014; Peslier and Bizimis, 2015; Kilgore et al., 2018; Schaffer et al., 2018)","noteIndex":0},"citationItems":[{"id":4311,"uris":["http://zotero.org/users/88665/items/LLZWDYHM"],"uri":["http://zotero.org/users/88665/items/LLZWDYHM"],"itemData":{"id":4311,"type":"article-journal","abstract":"Abstract.  The incorporation of water in olivine and pyroxenes interlayered within fertile lherzolite compositions was explored experimentally near the wet soli","container-title":"Journal of Petrology","DOI":"10.1093/petrology/egs044","ISSN":"0022-3530","issue":"10","journalAbbreviation":"J Petrology","language":"en","page":"2067-2093","source":"academic.oup.com","title":"An Experimental Study of Water in Nominally Anhydrous Minerals in the Upper Mantle near the Water-saturated Solidus","volume":"53","author":[{"family":"Kovács","given":"István"},{"family":"Green","given":"David H."},{"family":"Rosenthal","given":"Anja"},{"family":"Hermann","given":"Jörg"},{"family":"O’neill","given":"Hugh St C."},{"family":"Hibberson","given":"William O."},{"family":"Udvardi","given":"Beatrix"}],"issued":{"date-parts":[["2012",10,1]]}}},{"id":2911,"uris":["http://zotero.org/users/88665/items/2QV77GNQ"],"uri":["http://zotero.org/users/88665/items/2QV77GNQ"],"itemData":{"id":2911,"type":"article-journal","abstract":"The concentration and distribution of volatiles in the Earth's mantle influence properties such as melting temperature, conductivity, and viscosity. To constrain upper mantle water content, concentrations of H2O, P, and F were measured in olivine, orthopyroxene, and clinopyroxene in mantle peridotites by secondary ion mass spectrometry. Analyzed peridotites are xenoliths (Pali Aike, Spitsbergen, Samoa), orogenic peridotites (Josephine Peridotite), and abyssal peridotites (Gakkel Ridge, Southwest Indian Ridge, Tonga Trench). The comparison of fresh and altered peridotites demonstrates that low to moderate levels of alteration do not affect H2O concentrations, in agreement with mineral diffusion data. Olivines have diffusively lost water during emplacement, as demonstrated by disequilibrium between olivine and coexisting pyroxenes. In contrast, clinopyroxene and orthopyroxene preserve their high-temperature water contents, and their partitioning agrees with published experiments and other xenoliths. Hence, olivine water concentrations can be determined from pyroxene concentrations using mineral-mineral partition coefficients. Clinopyroxenes have 60–670 ppm H2O, while orthopyroxenes have 10–300 ppm, which gives calculated olivine concentrations of 8–34 ppm. The highest olivine water concentration translates to an effective viscosity of 6 × 1019 Pa s at 1250°C and ~15 km depth, compared to a dry effective viscosity of 2.5 × 1021 Pa s. Bulk rock water concentrations, calculated using mineral modes, are 20–220 ppm and correlate with peridotite indices of melt depletion. However, trace element melt modeling indicates that peridotites have too much water relative to their rare earth element concentrations, which may be explained by late-stage melt addition, during which only hydrogen diffuses fast enough for reequilibration.","container-title":"Journal of Geophysical Research: Solid Earth","DOI":"10.1002/2013JB010328","ISSN":"2169-9356","issue":"3","journalAbbreviation":"Journal of Geophysical Research: Solid Earth","language":"en","note":"00032","page":"2013JB010328","source":"Wiley Online Library","title":"Pyroxenes as tracers of mantle water variations","volume":"119","author":[{"family":"Warren","given":"Jessica M."},{"family":"Hauri","given":"Erik H."}],"issued":{"date-parts":[["2014",3,1]]}}},{"id":3647,"uris":["http://zotero.org/users/88665/items/VA7UGYMZ"],"uri":["http://zotero.org/users/88665/items/VA7UGYMZ"],"itemData":{"id":3647,"type":"article-journal","abstract":"The distribution of water concentrations in the oceanic upper mantle has drastic influence on its melting, rheology, and electrical and thermal conductivities and yet is primarily known indirectly from analyses of OIB and MORB. Here, actual mantle samples, eight peridotite xenoliths from Salt Lake Crater (SLC) and one from Pali in Oahu in Hawaii were analyzed by FTIR. Water contents of orthopyroxene, clinopyroxene, and the highest measured in olivine are 116–222, 246–442, and 10–26 ppm weight H2O, respectively. Although pyroxene water contents correlate with indices of partial melting, they are too high to be explained by simple melting modeling. Mantle-melt interaction modeling reproduces best the SLC data. These peridotites represent depleted oceanic mantle older than the Pacific lithosphere that has been refertilized by nephelinite melts containing &lt;5 weight % H2O. Metasomatism in the Hawaiian peridotites resulted in an apparent decoupling of water and LREE that can be reconciled via assimilation and fractional crystallization. Calculated bulk-rock water contents for SLC (50–96 ppm H2O) are on the low side of that of the MORB source (50–200 ppm H2O). Preceding metasomatism, the SLC peridotites must have been even drier, with a water content similar to that of the Pali peridotite (45 ppm H2O), a relatively unmetasomatized fragment of the Pacific lithosphere. Moreover, our data show that the oceanic mantle lithosphere above plumes is not necessarily enriched in water. Calculated viscosities using olivine water contents allow to estimate the depth of the lithosphere-asthenosphere boundary beneath Hawaii at </w:instrText>
      </w:r>
      <w:r w:rsidR="008E0CCC">
        <w:rPr>
          <w:rFonts w:ascii="Cambria Math" w:hAnsi="Cambria Math" w:cs="Cambria Math"/>
        </w:rPr>
        <w:instrText>∼</w:instrText>
      </w:r>
      <w:r w:rsidR="008E0CCC">
        <w:instrText>90 km.","container-title":"Geochemistry, Geophysics, Geosystems","DOI":"10.1002/2015GC005780","ISSN":"1525-2027","issue":"4","journalAbbreviation":"Geochemistry, Geophysics, Geosystems","language":"en","page":"1211-1232","source":"Wiley Online Library","title":"Water in Hawaiian peridotite minerals: A case for a dry metasomatized oceanic mantle lithosphere","title-short":"Water in Hawaiian peridotite minerals","volume":"16","author":[{"family":"Peslier","given":"Anne H."},{"family":"Bizimis","given":"Michael"}],"issued":{"date-parts":[["2015",4,1]]}}},{"id":3933,"uris":["http://zotero.org/users/88665/items/RAZ5ISZD"],"uri":["http://zotero.org/users/88665/items/RAZ5ISZD"],"itemData":{"id":3933,"type":"article-journal","abstract":"Assessing water contents of subduction zone mantle peridotites can gain insight into the compositions of slab-derived fluids/melts and the active margin water cycle. Here eight mantle xenoliths from Alligator Lake (northern Canadian Cordillera) are examined to address these issues. The harzburgites have less water, on average, but are more oxidized (ΔFMQ 0.1) than the lherzolites (ΔFMQ −1.0). The lherzolites have major and trace element compositions close to primitive mantle, while the harzburgite major element and heavy rare earth element compositions are indicative of higher degrees of melt depletion but with light rare earth element-enriched profiles. Correlations between lherzolite pyroxene water contents and bulk rock Ba/Nb and Ba/Yb ratios likely result from interaction with subduction related fluids. The trace element compositions of the harzburgite clinopyroxenes are successfully modeled by melting of a fertile mantle lithosphere and interaction with a carbonatite melt. Correlations between the harzburgite water contents and clinopyroxene Ca/Al ratios and Mg# are also consistent with the influence of carbonatite metasomatism. Metasomatism likely resulted from opening of a slab window beneath the region, detected as a low-velocity seismic anomaly, which heated and mobilized a heterogeneous mantle lithosphere veined with carbonatite. This study confirms that subduction zone mantle lithosphere is not necessarily more water-rich or more oxidized than oceanic lithosphere or other off-cratonic settings. Moreover, local oxidation is not necessarily related to the ingress of subduction zone fluids but can also be related to melting of a heterogeneous lithosphere following heating above a slab window.","container-title":"Geochemistry, Geophysics, Geosystems","DOI":"10.1029/2018GC007700","ISSN":"1525-2027","language":"en","page":"10.1029/2018GC007700","source":"Wiley Online Library","title":"Water and oxygen fugacity in the lithospheric mantle wedge beneath the Northern Canadian Cordillera (Alligator Lake)","author":[{"family":"Kilgore","given":"McKensie L."},{"family":"Peslier","given":"Anne H."},{"family":"Brandon","given":"Alan D."},{"family":"Lamb","given":"William M."}],"issued":{"date-parts":[["2018"]]}}},{"id":3924,"uris":["http://zotero.org/users/88665/items/7AP93DLJ"],"uri":["http://zotero.org/users/88665/items/7AP93DLJ"],"itemData":{"id":3924,"type":"article-journal","abstract":"The distribution of water in the upper mantle plays a crucial role in the Earth's deep water cycle, magmatism, and plate tectonics. To better constrain how these large-scale geochemical systems operate, peridotite and pyroxenite mantle xenoliths from Kilbourne Hole (KH) and Rio Puerco (RP) along the Rio Grande Rift (NM, USA) were analyzed for water, and major and trace element contents. These xenoliths sample a lithosphere whose composition was influenced by subduction and rifting, and can be used to examine the effects of melting, metasomatism, and sub-solidus equilibration on the behavior of water. The first result is that in KH xenoliths, olivines underwent negligible H loss during xenolith ascent, i.e. preserved their mantle water contents. These olivine water contents are used to calculate mantle viscosities of 0.5-184 1021 Pa.s. These viscosity values are more than 40 times higher than those of the asthenosphere and show that KH peridotites represent samples from the lithosphere. The preservation of olivine water contents is exceptional for off-cratonic xenoliths, and the KH peridotites provide the first estimate of the average concentration of water in Phanerozoic continental mantle lithosphere at 81 ±30 ppm H2O. The mantle lithosphere beneath the Rio Grande rift is nevertheless heterogeneous with water contents ranging from &lt;0.5 to 120 ppm H2O in peridotites and from 227 to 400 ppm H2O in pyroxenites. A composite KH xenolith of a harzburgite cross-cut by a clinopyroxenite vein shows this heterogeneity at the cm scale. The second contribution of this study stems from the majority of the KH peridotites and two of the RP peridotites having major and trace elements that can be explained by partial melting without any need to invoke metasomatic processes. This allows to show that, prior to modelling the water content variation of each peridotite mineral during melting, a correction for sub-solidus equilibration has to be applied to the water contents of the minerals. Sub-solidus equilibration also provides an explanation for the discrepancy between the clinopyroxene/orthopyroxene ratio of water contents in natural peridotites worldwide and in laboratory experiments on water partitioning in peridotite minerals. Finally, the cryptically metasomatized peridotites, rare at KH and abundant at RP, as well as the pyroxenites, permit to decipher the origin and water contents of the metasomatic melts that affected the continental lithosphere beneath the Rio Grande Rift. Trace element modelling of the metasomatized KH and RP peridotites are consistent with metasomatism via melts that are of subduction origin. Melts in equilibrium with peridotites contain more water at RP (</w:instrText>
      </w:r>
      <w:r w:rsidR="008E0CCC">
        <w:rPr>
          <w:rFonts w:ascii="Cambria Math" w:hAnsi="Cambria Math" w:cs="Cambria Math"/>
        </w:rPr>
        <w:instrText>∼</w:instrText>
      </w:r>
      <w:r w:rsidR="008E0CCC">
        <w:instrText>1 wt % H2O) than at KH (</w:instrText>
      </w:r>
      <w:r w:rsidR="008E0CCC">
        <w:rPr>
          <w:rFonts w:ascii="Cambria Math" w:hAnsi="Cambria Math" w:cs="Cambria Math"/>
        </w:rPr>
        <w:instrText>∼</w:instrText>
      </w:r>
      <w:r w:rsidR="008E0CCC">
        <w:instrText xml:space="preserve">0.5 wt % H2O), although this did not result in a more water-rich mantle lithosphere at RP. Rio Puerco lies within the northern Rio Grande rift, proposed to have been affected by a flat slab subduction, which may explain the more hydrous and extensive metasomatism compared to the south, where KH is located.","container-title":"Geochimica et Cosmochimica Acta","DOI":"10.1016/j.gca.2018.10.005","ISSN":"0016-7037","journalAbbreviation":".10.1016/j.gca.2018.10.005","page":"10.1016/j.gca.2018.10.005","source":"ScienceDirect","title":"Effects of melting, subduction-related metasomatism, and sub-solidus equilibration on the distribution of water contents in the mantle beneath the Rio Grande Rift","author":[{"family":"Schaffer","given":"Lillian A."},{"family":"Peslier","given":"Anne H."},{"family":"Brandon","given":"Alan D."},{"family":"Bizimis","given":"Michael"},{"family":"Gibler","given":"Robert"},{"family":"Norman","given":"Marc"},{"family":"Harvey","given":"Jason"}],"issued":{"date-parts":[["2018",10,13]]}}}],"schema":"https://github.com/citation-style-language/schema/raw/master/csl-citation.json"} </w:instrText>
      </w:r>
      <w:r>
        <w:fldChar w:fldCharType="separate"/>
      </w:r>
      <w:r w:rsidR="003E39BF" w:rsidRPr="003E39BF">
        <w:t>(Kovács et al., 2012; Warren and Hauri, 2014; Peslier and Bizimis, 2015; Kilgore et al., 2018; Schaffer et al., 2018)</w:t>
      </w:r>
      <w:r>
        <w:fldChar w:fldCharType="end"/>
      </w:r>
      <w:r>
        <w:t xml:space="preserve">. </w:t>
      </w:r>
    </w:p>
    <w:p w14:paraId="2F605954" w14:textId="406B3123" w:rsidR="00AA761E" w:rsidRDefault="00A15245" w:rsidP="00C20C0B">
      <w:pPr>
        <w:spacing w:line="480" w:lineRule="auto"/>
        <w:ind w:firstLine="360"/>
        <w:jc w:val="both"/>
        <w:rPr>
          <w:b/>
          <w:color w:val="000000" w:themeColor="text1"/>
        </w:rPr>
      </w:pPr>
      <w:r>
        <w:t xml:space="preserve">By comparing our new </w:t>
      </w:r>
      <m:oMath>
        <m:sSubSup>
          <m:sSubSupPr>
            <m:ctrlPr>
              <w:rPr>
                <w:rFonts w:ascii="Cambria Math" w:hAnsi="Cambria Math"/>
                <w:i/>
              </w:rPr>
            </m:ctrlPr>
          </m:sSubSupPr>
          <m:e>
            <m:r>
              <m:rPr>
                <m:nor/>
              </m:rPr>
              <w:rPr>
                <w:rFonts w:ascii="Cambria Math" w:hAnsi="Cambria Math"/>
                <w:i/>
              </w:rPr>
              <m:t>D</m:t>
            </m:r>
          </m:e>
          <m:sub>
            <m:r>
              <m:rPr>
                <m:nor/>
              </m:rPr>
              <w:rPr>
                <w:rFonts w:ascii="Cambria Math" w:hAnsi="Cambria Math"/>
                <w:i/>
              </w:rPr>
              <m:t>H</m:t>
            </m:r>
            <m:r>
              <m:rPr>
                <m:nor/>
              </m:rPr>
              <w:rPr>
                <w:rFonts w:ascii="Cambria Math" w:hAnsi="Cambria Math"/>
                <w:i/>
                <w:vertAlign w:val="subscript"/>
              </w:rPr>
              <m:t>2</m:t>
            </m:r>
            <m:r>
              <m:rPr>
                <m:nor/>
              </m:rPr>
              <w:rPr>
                <w:rFonts w:ascii="Cambria Math" w:hAnsi="Cambria Math"/>
                <w:i/>
              </w:rPr>
              <m:t>O</m:t>
            </m:r>
          </m:sub>
          <m:sup>
            <m:r>
              <m:rPr>
                <m:nor/>
              </m:rPr>
              <w:rPr>
                <w:rFonts w:ascii="Cambria Math" w:hAnsi="Cambria Math"/>
              </w:rPr>
              <m:t xml:space="preserve"> </m:t>
            </m:r>
            <m:r>
              <m:rPr>
                <m:nor/>
              </m:rPr>
              <w:rPr>
                <w:rFonts w:ascii="Cambria Math" w:hAnsi="Cambria Math"/>
                <w:i/>
              </w:rPr>
              <m:t>Cpx-Opx</m:t>
            </m:r>
          </m:sup>
        </m:sSubSup>
      </m:oMath>
      <w:r>
        <w:t xml:space="preserve"> and </w:t>
      </w:r>
      <m:oMath>
        <m:sSubSup>
          <m:sSubSupPr>
            <m:ctrlPr>
              <w:rPr>
                <w:rFonts w:ascii="Cambria Math" w:hAnsi="Cambria Math"/>
                <w:i/>
              </w:rPr>
            </m:ctrlPr>
          </m:sSubSupPr>
          <m:e>
            <m:r>
              <w:rPr>
                <w:rFonts w:ascii="Cambria Math" w:hAnsi="Cambria Math"/>
              </w:rPr>
              <m:t>D</m:t>
            </m:r>
          </m:e>
          <m:sub>
            <m:r>
              <w:rPr>
                <w:rFonts w:ascii="Cambria Math" w:hAnsi="Cambria Math"/>
              </w:rPr>
              <m:t>F</m:t>
            </m:r>
          </m:sub>
          <m:sup>
            <m:r>
              <w:rPr>
                <w:rFonts w:ascii="Cambria Math" w:hAnsi="Cambria Math"/>
              </w:rPr>
              <m:t>Cpx-Opx</m:t>
            </m:r>
          </m:sup>
        </m:sSubSup>
      </m:oMath>
      <w:r>
        <w:t xml:space="preserve"> values </w:t>
      </w:r>
      <w:r w:rsidR="00801A9F">
        <w:t xml:space="preserve">for natural samples </w:t>
      </w:r>
      <w:r>
        <w:t xml:space="preserve">with experimental </w:t>
      </w:r>
      <w:r w:rsidR="000F5F71">
        <w:t>run products</w:t>
      </w:r>
      <w:r>
        <w:t xml:space="preserve"> obtained over a similar </w:t>
      </w:r>
      <w:r w:rsidRPr="00556FDC">
        <w:rPr>
          <w:i/>
        </w:rPr>
        <w:t>P</w:t>
      </w:r>
      <w:r w:rsidR="000F5F71">
        <w:t xml:space="preserve"> interval</w:t>
      </w:r>
      <w:r w:rsidR="00A7369E">
        <w:t xml:space="preserve"> we are able </w:t>
      </w:r>
      <w:r w:rsidR="00FA44A7">
        <w:t xml:space="preserve">to </w:t>
      </w:r>
      <w:r w:rsidR="00BF395A">
        <w:t xml:space="preserve">improve </w:t>
      </w:r>
      <w:r w:rsidR="00B626A2">
        <w:t xml:space="preserve">current </w:t>
      </w:r>
      <w:r w:rsidR="00456DD7">
        <w:t>constrain</w:t>
      </w:r>
      <w:r w:rsidR="00BF395A">
        <w:t>ts on</w:t>
      </w:r>
      <w:r w:rsidR="00456DD7">
        <w:t xml:space="preserve"> </w:t>
      </w:r>
      <w:r w:rsidR="00FA44A7">
        <w:t xml:space="preserve">the </w:t>
      </w:r>
      <w:r w:rsidR="00456DD7">
        <w:t xml:space="preserve">effect </w:t>
      </w:r>
      <w:r w:rsidR="00BF395A">
        <w:t xml:space="preserve">that </w:t>
      </w:r>
      <w:r w:rsidR="00FA44A7">
        <w:t xml:space="preserve">sub-solidus re-equilibration </w:t>
      </w:r>
      <w:r w:rsidR="00BF395A">
        <w:t xml:space="preserve">has </w:t>
      </w:r>
      <w:r w:rsidR="00FA44A7">
        <w:t xml:space="preserve">on the partitioning of volatiles, and hence their distribution at different </w:t>
      </w:r>
      <w:r w:rsidR="00FA44A7">
        <w:rPr>
          <w:i/>
        </w:rPr>
        <w:t>P</w:t>
      </w:r>
      <w:r w:rsidR="00FA44A7">
        <w:t xml:space="preserve"> and </w:t>
      </w:r>
      <w:r w:rsidR="00FA44A7">
        <w:rPr>
          <w:i/>
        </w:rPr>
        <w:t>T</w:t>
      </w:r>
      <w:r w:rsidR="00FA44A7">
        <w:t xml:space="preserve"> in the lithospheric mantle</w:t>
      </w:r>
      <w:r w:rsidR="00FA44A7" w:rsidRPr="009D37AD">
        <w:rPr>
          <w:color w:val="000000" w:themeColor="text1"/>
        </w:rPr>
        <w:t>.</w:t>
      </w:r>
      <w:r w:rsidR="00FA44A7">
        <w:t xml:space="preserve"> </w:t>
      </w:r>
      <w:r w:rsidR="000F5F71">
        <w:t xml:space="preserve">We initially only use xenoliths with accurate estimates for both </w:t>
      </w:r>
      <w:r w:rsidR="000F5F71" w:rsidRPr="009B315C">
        <w:rPr>
          <w:i/>
        </w:rPr>
        <w:t>P</w:t>
      </w:r>
      <w:r w:rsidR="000F5F71" w:rsidRPr="00457F2A">
        <w:t xml:space="preserve"> and </w:t>
      </w:r>
      <w:r w:rsidR="000F5F71" w:rsidRPr="009B315C">
        <w:rPr>
          <w:i/>
        </w:rPr>
        <w:t>T</w:t>
      </w:r>
      <w:r w:rsidR="000F5F71">
        <w:t>; these are the garnet-bearing mantle peridotite</w:t>
      </w:r>
      <w:r w:rsidR="00FB4739">
        <w:t>s</w:t>
      </w:r>
      <w:r w:rsidR="000F5F71">
        <w:t xml:space="preserve"> from </w:t>
      </w:r>
      <w:r w:rsidR="005A15C2">
        <w:t>southern Patagonia (</w:t>
      </w:r>
      <w:r w:rsidR="000F5F71">
        <w:t>Pali Aike</w:t>
      </w:r>
      <w:r w:rsidR="005A15C2">
        <w:t>)</w:t>
      </w:r>
      <w:r w:rsidR="000F5F71">
        <w:t xml:space="preserve">. </w:t>
      </w:r>
      <w:r w:rsidR="000F5F71">
        <w:rPr>
          <w:b/>
          <w:color w:val="000000" w:themeColor="text1"/>
        </w:rPr>
        <w:t>Figure 5</w:t>
      </w:r>
      <w:r w:rsidR="000F5F71">
        <w:rPr>
          <w:color w:val="000000" w:themeColor="text1"/>
        </w:rPr>
        <w:t xml:space="preserve"> </w:t>
      </w:r>
      <w:r w:rsidR="000F5F71">
        <w:t>shows 1/</w:t>
      </w:r>
      <w:r w:rsidR="000F5F71">
        <w:rPr>
          <w:i/>
        </w:rPr>
        <w:t>T</w:t>
      </w:r>
      <w:r w:rsidR="000F5F71">
        <w:t xml:space="preserve"> plotted against experimentally-determined </w:t>
      </w:r>
      <m:oMath>
        <m:sSubSup>
          <m:sSubSupPr>
            <m:ctrlPr>
              <w:rPr>
                <w:rFonts w:ascii="Cambria Math" w:hAnsi="Cambria Math"/>
                <w:i/>
              </w:rPr>
            </m:ctrlPr>
          </m:sSubSupPr>
          <m:e>
            <m:r>
              <w:rPr>
                <w:rFonts w:ascii="Cambria Math" w:hAnsi="Cambria Math"/>
              </w:rPr>
              <m:t>D</m:t>
            </m:r>
          </m:e>
          <m:sub/>
          <m:sup>
            <m:r>
              <w:rPr>
                <w:rFonts w:ascii="Cambria Math" w:hAnsi="Cambria Math"/>
              </w:rPr>
              <m:t>Cpx-Opx</m:t>
            </m:r>
          </m:sup>
        </m:sSubSup>
      </m:oMath>
      <w:r w:rsidR="000F5F71">
        <w:t xml:space="preserve"> values for F, </w:t>
      </w:r>
      <w:r w:rsidR="00165D28" w:rsidRPr="00CB30EF">
        <w:t>H</w:t>
      </w:r>
      <w:r w:rsidR="00165D28" w:rsidRPr="00CB30EF">
        <w:rPr>
          <w:vertAlign w:val="subscript"/>
        </w:rPr>
        <w:t>2</w:t>
      </w:r>
      <w:r w:rsidR="00165D28" w:rsidRPr="00CB30EF">
        <w:t>O</w:t>
      </w:r>
      <w:r w:rsidR="000F5F71">
        <w:t>, Ti and Al (at 2 to 3 GPa; Gaetani &amp; Grove</w:t>
      </w:r>
      <w:r w:rsidR="006432D9">
        <w:t xml:space="preserve">, </w:t>
      </w:r>
      <w:r w:rsidR="000F5F71">
        <w:t>1998; Hauri et al</w:t>
      </w:r>
      <w:r w:rsidR="0094629A">
        <w:t>.</w:t>
      </w:r>
      <w:r w:rsidR="006432D9">
        <w:t>,</w:t>
      </w:r>
      <w:r w:rsidR="000F5F71">
        <w:t xml:space="preserve"> 2006 &amp; Rosenthal </w:t>
      </w:r>
      <w:r w:rsidR="006432D9">
        <w:t>and</w:t>
      </w:r>
      <w:r w:rsidR="00534ED5">
        <w:t xml:space="preserve"> Hauri</w:t>
      </w:r>
      <w:r w:rsidR="006432D9">
        <w:t>,</w:t>
      </w:r>
      <w:r w:rsidR="0094629A">
        <w:t xml:space="preserve"> </w:t>
      </w:r>
      <w:r w:rsidR="000F5F71">
        <w:t>2015)</w:t>
      </w:r>
      <w:r w:rsidR="000F5F71" w:rsidDel="00AA761E">
        <w:t xml:space="preserve"> </w:t>
      </w:r>
      <w:r w:rsidR="000F5F71">
        <w:t xml:space="preserve">together with the Pali Aike </w:t>
      </w:r>
      <w:r w:rsidR="000F5F71">
        <w:lastRenderedPageBreak/>
        <w:t xml:space="preserve">garnet-bearing peridotites, which last equilibrated </w:t>
      </w:r>
      <w:r w:rsidR="00696BF9">
        <w:t xml:space="preserve">at </w:t>
      </w:r>
      <w:r w:rsidR="000F5F71">
        <w:t xml:space="preserve">~2 </w:t>
      </w:r>
      <w:r w:rsidR="00696BF9">
        <w:t xml:space="preserve">to </w:t>
      </w:r>
      <w:r w:rsidR="000F5F71">
        <w:t>2.2 GPa</w:t>
      </w:r>
      <w:r w:rsidR="00B626A2">
        <w:t xml:space="preserve"> (</w:t>
      </w:r>
      <w:r w:rsidR="00B626A2" w:rsidRPr="00964CAC">
        <w:rPr>
          <w:b/>
        </w:rPr>
        <w:t>Table 1</w:t>
      </w:r>
      <w:r w:rsidR="00B626A2">
        <w:t>)</w:t>
      </w:r>
      <w:r w:rsidR="000F5F71">
        <w:t>. Several important observations arise from these plots</w:t>
      </w:r>
      <w:r w:rsidR="000F5F71">
        <w:rPr>
          <w:b/>
          <w:color w:val="000000" w:themeColor="text1"/>
        </w:rPr>
        <w:t xml:space="preserve">: </w:t>
      </w:r>
    </w:p>
    <w:p w14:paraId="4CA63AF9" w14:textId="77777777" w:rsidR="00412552" w:rsidRPr="009D37AD" w:rsidRDefault="00412552" w:rsidP="00C20C0B">
      <w:pPr>
        <w:spacing w:line="480" w:lineRule="auto"/>
        <w:ind w:firstLine="360"/>
        <w:jc w:val="both"/>
      </w:pPr>
    </w:p>
    <w:p w14:paraId="28C822F1" w14:textId="3DA108AC" w:rsidR="00AA761E" w:rsidRDefault="00AA761E" w:rsidP="00C20C0B">
      <w:pPr>
        <w:widowControl w:val="0"/>
        <w:autoSpaceDE w:val="0"/>
        <w:autoSpaceDN w:val="0"/>
        <w:adjustRightInd w:val="0"/>
        <w:spacing w:line="480" w:lineRule="auto"/>
        <w:ind w:left="450" w:hanging="425"/>
        <w:jc w:val="both"/>
      </w:pPr>
      <w:r w:rsidRPr="009D37AD">
        <w:rPr>
          <w:color w:val="000000" w:themeColor="text1"/>
        </w:rPr>
        <w:t>(i)</w:t>
      </w:r>
      <w:r>
        <w:rPr>
          <w:b/>
          <w:color w:val="000000" w:themeColor="text1"/>
        </w:rPr>
        <w:t xml:space="preserve"> </w:t>
      </w:r>
      <w:r>
        <w:t>The garnet</w:t>
      </w:r>
      <w:r w:rsidR="007C2C4D">
        <w:t>-bearing</w:t>
      </w:r>
      <w:r>
        <w:t xml:space="preserve"> peridotites plot along extension</w:t>
      </w:r>
      <w:r w:rsidR="00C72724">
        <w:t>s</w:t>
      </w:r>
      <w:r>
        <w:t xml:space="preserve"> of the </w:t>
      </w:r>
      <w:r w:rsidR="00C72724">
        <w:t>1/</w:t>
      </w:r>
      <w:r w:rsidR="00C72724">
        <w:rPr>
          <w:i/>
        </w:rPr>
        <w:t>T</w:t>
      </w:r>
      <w:r w:rsidR="00C72724">
        <w:t xml:space="preserve"> vs </w:t>
      </w:r>
      <m:oMath>
        <m:sSubSup>
          <m:sSubSupPr>
            <m:ctrlPr>
              <w:rPr>
                <w:rFonts w:ascii="Cambria Math" w:hAnsi="Cambria Math"/>
                <w:i/>
              </w:rPr>
            </m:ctrlPr>
          </m:sSubSupPr>
          <m:e>
            <m:r>
              <w:rPr>
                <w:rFonts w:ascii="Cambria Math" w:hAnsi="Cambria Math"/>
              </w:rPr>
              <m:t>D</m:t>
            </m:r>
          </m:e>
          <m:sub/>
          <m:sup>
            <m:r>
              <w:rPr>
                <w:rFonts w:ascii="Cambria Math" w:hAnsi="Cambria Math"/>
              </w:rPr>
              <m:t>Cpx-Opx</m:t>
            </m:r>
          </m:sup>
        </m:sSubSup>
      </m:oMath>
      <w:r w:rsidR="00C72724">
        <w:t xml:space="preserve"> </w:t>
      </w:r>
      <w:r>
        <w:t>trend</w:t>
      </w:r>
      <w:r w:rsidR="00C72724">
        <w:t>s</w:t>
      </w:r>
      <w:r>
        <w:t xml:space="preserve"> defined by the 2 to 3 GPa experimental data</w:t>
      </w:r>
      <w:r w:rsidR="00C72724">
        <w:t xml:space="preserve"> for F, </w:t>
      </w:r>
      <w:r w:rsidR="00165D28" w:rsidRPr="00CB30EF">
        <w:t>H</w:t>
      </w:r>
      <w:r w:rsidR="00165D28" w:rsidRPr="00CB30EF">
        <w:rPr>
          <w:vertAlign w:val="subscript"/>
        </w:rPr>
        <w:t>2</w:t>
      </w:r>
      <w:r w:rsidR="00165D28" w:rsidRPr="00CB30EF">
        <w:t>O</w:t>
      </w:r>
      <w:r w:rsidR="00C72724">
        <w:t>, Ti and Al</w:t>
      </w:r>
      <w:r>
        <w:t xml:space="preserve">. </w:t>
      </w:r>
    </w:p>
    <w:p w14:paraId="2B4AE1E8" w14:textId="52B6D026" w:rsidR="00AA761E" w:rsidRDefault="00AA761E" w:rsidP="00C20C0B">
      <w:pPr>
        <w:widowControl w:val="0"/>
        <w:autoSpaceDE w:val="0"/>
        <w:autoSpaceDN w:val="0"/>
        <w:adjustRightInd w:val="0"/>
        <w:spacing w:line="480" w:lineRule="auto"/>
        <w:ind w:left="450" w:hanging="425"/>
        <w:jc w:val="both"/>
      </w:pPr>
      <w:r>
        <w:t xml:space="preserve">(ii) The </w:t>
      </w:r>
      <w:r w:rsidR="00165D28">
        <w:t xml:space="preserve">‘high-temperature’ </w:t>
      </w:r>
      <w:r>
        <w:t xml:space="preserve">experimentally-determined </w:t>
      </w:r>
      <m:oMath>
        <m:sSubSup>
          <m:sSubSupPr>
            <m:ctrlPr>
              <w:rPr>
                <w:rFonts w:ascii="Cambria Math" w:hAnsi="Cambria Math"/>
                <w:i/>
              </w:rPr>
            </m:ctrlPr>
          </m:sSubSupPr>
          <m:e>
            <m:r>
              <w:rPr>
                <w:rFonts w:ascii="Cambria Math" w:hAnsi="Cambria Math"/>
              </w:rPr>
              <m:t>D</m:t>
            </m:r>
          </m:e>
          <m:sub/>
          <m:sup>
            <m:r>
              <w:rPr>
                <w:rFonts w:ascii="Cambria Math" w:hAnsi="Cambria Math"/>
              </w:rPr>
              <m:t>Cpx-Opx</m:t>
            </m:r>
          </m:sup>
        </m:sSubSup>
        <m:r>
          <w:rPr>
            <w:rFonts w:ascii="Cambria Math" w:hAnsi="Cambria Math"/>
          </w:rPr>
          <m:t xml:space="preserve"> </m:t>
        </m:r>
      </m:oMath>
      <w:r>
        <w:t xml:space="preserve">values for F, Ti and </w:t>
      </w:r>
      <w:r w:rsidR="00B626A2" w:rsidRPr="00CB30EF">
        <w:t>H</w:t>
      </w:r>
      <w:r w:rsidR="00B626A2" w:rsidRPr="00CB30EF">
        <w:rPr>
          <w:vertAlign w:val="subscript"/>
        </w:rPr>
        <w:t>2</w:t>
      </w:r>
      <w:r w:rsidR="00B626A2" w:rsidRPr="00CB30EF">
        <w:t>O</w:t>
      </w:r>
      <w:r>
        <w:t xml:space="preserve"> are much lower (close to unity) than those of the ‘low-temperature’ natural samples (</w:t>
      </w:r>
      <m:oMath>
        <m:sSubSup>
          <m:sSubSupPr>
            <m:ctrlPr>
              <w:rPr>
                <w:rFonts w:ascii="Cambria Math" w:hAnsi="Cambria Math"/>
                <w:i/>
              </w:rPr>
            </m:ctrlPr>
          </m:sSubSupPr>
          <m:e>
            <m:r>
              <w:rPr>
                <w:rFonts w:ascii="Cambria Math" w:hAnsi="Cambria Math"/>
              </w:rPr>
              <m:t>D</m:t>
            </m:r>
          </m:e>
          <m:sub/>
          <m:sup>
            <m:r>
              <w:rPr>
                <w:rFonts w:ascii="Cambria Math" w:hAnsi="Cambria Math"/>
              </w:rPr>
              <m:t>Cpx-Opx</m:t>
            </m:r>
          </m:sup>
        </m:sSubSup>
        <m:r>
          <w:rPr>
            <w:rFonts w:ascii="Cambria Math" w:hAnsi="Cambria Math"/>
          </w:rPr>
          <m:t>=</m:t>
        </m:r>
      </m:oMath>
      <w:r>
        <w:t xml:space="preserve">1 to </w:t>
      </w:r>
      <w:r w:rsidRPr="00777C10">
        <w:t>4</w:t>
      </w:r>
      <w:r>
        <w:t xml:space="preserve">). </w:t>
      </w:r>
    </w:p>
    <w:p w14:paraId="1CAE671D" w14:textId="78CA1990" w:rsidR="00AA761E" w:rsidRDefault="00AA761E" w:rsidP="00C20C0B">
      <w:pPr>
        <w:widowControl w:val="0"/>
        <w:autoSpaceDE w:val="0"/>
        <w:autoSpaceDN w:val="0"/>
        <w:adjustRightInd w:val="0"/>
        <w:spacing w:line="480" w:lineRule="auto"/>
        <w:ind w:left="450" w:hanging="425"/>
        <w:jc w:val="both"/>
      </w:pPr>
      <w:r>
        <w:t xml:space="preserve">(iii) </w:t>
      </w:r>
      <m:oMath>
        <m:sSubSup>
          <m:sSubSupPr>
            <m:ctrlPr>
              <w:rPr>
                <w:rFonts w:ascii="Cambria Math" w:hAnsi="Cambria Math"/>
                <w:i/>
              </w:rPr>
            </m:ctrlPr>
          </m:sSubSupPr>
          <m:e>
            <m:r>
              <w:rPr>
                <w:rFonts w:ascii="Cambria Math" w:hAnsi="Cambria Math"/>
              </w:rPr>
              <m:t>D</m:t>
            </m:r>
          </m:e>
          <m:sub/>
          <m:sup>
            <m:r>
              <w:rPr>
                <w:rFonts w:ascii="Cambria Math" w:hAnsi="Cambria Math"/>
              </w:rPr>
              <m:t>Cpx-Opx</m:t>
            </m:r>
          </m:sup>
        </m:sSubSup>
        <m:r>
          <w:rPr>
            <w:rFonts w:ascii="Cambria Math" w:hAnsi="Cambria Math"/>
          </w:rPr>
          <m:t xml:space="preserve"> </m:t>
        </m:r>
      </m:oMath>
      <w:r w:rsidR="00FA44A7">
        <w:t xml:space="preserve">values for F, Ti and </w:t>
      </w:r>
      <w:r w:rsidR="00165D28" w:rsidRPr="00CB30EF">
        <w:t>H</w:t>
      </w:r>
      <w:r w:rsidR="00165D28" w:rsidRPr="00CB30EF">
        <w:rPr>
          <w:vertAlign w:val="subscript"/>
        </w:rPr>
        <w:t>2</w:t>
      </w:r>
      <w:r w:rsidR="00165D28" w:rsidRPr="00CB30EF">
        <w:t>O</w:t>
      </w:r>
      <w:r w:rsidR="00FA44A7">
        <w:t xml:space="preserve"> </w:t>
      </w:r>
      <w:r w:rsidR="0086779A">
        <w:t xml:space="preserve">in garnet-bearing peridotites and experimental run products </w:t>
      </w:r>
      <w:r w:rsidR="00FA44A7">
        <w:t>exhibit strong positive correlations with 1/</w:t>
      </w:r>
      <w:r w:rsidR="00FA44A7">
        <w:rPr>
          <w:i/>
        </w:rPr>
        <w:t>T</w:t>
      </w:r>
      <w:r w:rsidR="00FA44A7">
        <w:t xml:space="preserve"> and </w:t>
      </w:r>
      <m:oMath>
        <m:sSubSup>
          <m:sSubSupPr>
            <m:ctrlPr>
              <w:rPr>
                <w:rFonts w:ascii="Cambria Math" w:hAnsi="Cambria Math"/>
                <w:i/>
              </w:rPr>
            </m:ctrlPr>
          </m:sSubSupPr>
          <m:e>
            <m:r>
              <w:rPr>
                <w:rFonts w:ascii="Cambria Math" w:hAnsi="Cambria Math"/>
              </w:rPr>
              <m:t>D</m:t>
            </m:r>
          </m:e>
          <m:sub>
            <m:r>
              <w:rPr>
                <w:rFonts w:ascii="Cambria Math" w:hAnsi="Cambria Math"/>
              </w:rPr>
              <m:t>Ti</m:t>
            </m:r>
          </m:sub>
          <m:sup>
            <m:r>
              <w:rPr>
                <w:rFonts w:ascii="Cambria Math" w:hAnsi="Cambria Math"/>
              </w:rPr>
              <m:t>Cpx-Opx</m:t>
            </m:r>
          </m:sup>
        </m:sSubSup>
        <m:r>
          <w:rPr>
            <w:rFonts w:ascii="Cambria Math" w:hAnsi="Cambria Math"/>
          </w:rPr>
          <m:t>≥</m:t>
        </m:r>
      </m:oMath>
      <w:r w:rsidR="00FA44A7">
        <w:t xml:space="preserve"> </w:t>
      </w:r>
      <m:oMath>
        <m:sSubSup>
          <m:sSubSupPr>
            <m:ctrlPr>
              <w:rPr>
                <w:rFonts w:ascii="Cambria Math" w:hAnsi="Cambria Math"/>
                <w:i/>
              </w:rPr>
            </m:ctrlPr>
          </m:sSubSupPr>
          <m:e>
            <m:r>
              <w:rPr>
                <w:rFonts w:ascii="Cambria Math" w:hAnsi="Cambria Math"/>
              </w:rPr>
              <m:t>D</m:t>
            </m:r>
          </m:e>
          <m:sub>
            <m:r>
              <w:rPr>
                <w:rFonts w:ascii="Cambria Math" w:hAnsi="Cambria Math"/>
              </w:rPr>
              <m:t>F</m:t>
            </m:r>
          </m:sub>
          <m:sup>
            <m:r>
              <w:rPr>
                <w:rFonts w:ascii="Cambria Math" w:hAnsi="Cambria Math"/>
              </w:rPr>
              <m:t>Cpx-Opx</m:t>
            </m:r>
          </m:sup>
        </m:sSubSup>
      </m:oMath>
      <w:r w:rsidR="00FA44A7">
        <w:t xml:space="preserve"> &gt; </w:t>
      </w:r>
      <m:oMath>
        <m:sSubSup>
          <m:sSubSupPr>
            <m:ctrlPr>
              <w:rPr>
                <w:rFonts w:ascii="Cambria Math" w:hAnsi="Cambria Math"/>
                <w:i/>
              </w:rPr>
            </m:ctrlPr>
          </m:sSubSupPr>
          <m:e>
            <m:r>
              <m:rPr>
                <m:nor/>
              </m:rPr>
              <w:rPr>
                <w:rFonts w:ascii="Cambria Math" w:hAnsi="Cambria Math"/>
                <w:i/>
              </w:rPr>
              <m:t>D</m:t>
            </m:r>
          </m:e>
          <m:sub>
            <m:r>
              <m:rPr>
                <m:nor/>
              </m:rPr>
              <w:rPr>
                <w:rFonts w:ascii="Cambria Math" w:hAnsi="Cambria Math"/>
                <w:i/>
              </w:rPr>
              <m:t>H</m:t>
            </m:r>
            <m:r>
              <m:rPr>
                <m:nor/>
              </m:rPr>
              <w:rPr>
                <w:rFonts w:ascii="Cambria Math" w:hAnsi="Cambria Math"/>
                <w:i/>
                <w:vertAlign w:val="subscript"/>
              </w:rPr>
              <m:t>2</m:t>
            </m:r>
            <m:r>
              <m:rPr>
                <m:nor/>
              </m:rPr>
              <w:rPr>
                <w:rFonts w:ascii="Cambria Math" w:hAnsi="Cambria Math"/>
                <w:i/>
              </w:rPr>
              <m:t>O</m:t>
            </m:r>
          </m:sub>
          <m:sup>
            <m:r>
              <m:rPr>
                <m:nor/>
              </m:rPr>
              <w:rPr>
                <w:rFonts w:ascii="Cambria Math" w:hAnsi="Cambria Math"/>
              </w:rPr>
              <m:t xml:space="preserve"> </m:t>
            </m:r>
            <m:r>
              <m:rPr>
                <m:nor/>
              </m:rPr>
              <w:rPr>
                <w:rFonts w:ascii="Cambria Math" w:hAnsi="Cambria Math"/>
                <w:i/>
              </w:rPr>
              <m:t>Cpx-Opx</m:t>
            </m:r>
          </m:sup>
        </m:sSubSup>
      </m:oMath>
      <w:r w:rsidR="00FA44A7">
        <w:t xml:space="preserve"> &gt; </w:t>
      </w:r>
      <m:oMath>
        <m:sSubSup>
          <m:sSubSupPr>
            <m:ctrlPr>
              <w:rPr>
                <w:rFonts w:ascii="Cambria Math" w:hAnsi="Cambria Math"/>
                <w:i/>
              </w:rPr>
            </m:ctrlPr>
          </m:sSubSupPr>
          <m:e>
            <m:r>
              <w:rPr>
                <w:rFonts w:ascii="Cambria Math" w:hAnsi="Cambria Math"/>
              </w:rPr>
              <m:t>D</m:t>
            </m:r>
          </m:e>
          <m:sub>
            <m:r>
              <w:rPr>
                <w:rFonts w:ascii="Cambria Math" w:hAnsi="Cambria Math"/>
              </w:rPr>
              <m:t>Al</m:t>
            </m:r>
          </m:sub>
          <m:sup>
            <m:r>
              <w:rPr>
                <w:rFonts w:ascii="Cambria Math" w:hAnsi="Cambria Math"/>
              </w:rPr>
              <m:t>Cpx-Opx</m:t>
            </m:r>
          </m:sup>
        </m:sSubSup>
        <m:r>
          <w:rPr>
            <w:rFonts w:ascii="Cambria Math" w:hAnsi="Cambria Math"/>
          </w:rPr>
          <m:t>.</m:t>
        </m:r>
      </m:oMath>
      <w:r w:rsidR="00FA44A7">
        <w:t xml:space="preserve"> Th</w:t>
      </w:r>
      <w:r w:rsidR="00E14F16">
        <w:t>is</w:t>
      </w:r>
      <w:r w:rsidR="00FA44A7">
        <w:t xml:space="preserve"> systematic variation is important because it accounts for the discrepancies commonly observed between </w:t>
      </w:r>
      <m:oMath>
        <m:sSubSup>
          <m:sSubSupPr>
            <m:ctrlPr>
              <w:rPr>
                <w:rFonts w:ascii="Cambria Math" w:hAnsi="Cambria Math"/>
                <w:i/>
              </w:rPr>
            </m:ctrlPr>
          </m:sSubSupPr>
          <m:e>
            <m:r>
              <w:rPr>
                <w:rFonts w:ascii="Cambria Math" w:hAnsi="Cambria Math"/>
              </w:rPr>
              <m:t>D</m:t>
            </m:r>
          </m:e>
          <m:sub/>
          <m:sup>
            <m:r>
              <w:rPr>
                <w:rFonts w:ascii="Cambria Math" w:hAnsi="Cambria Math"/>
              </w:rPr>
              <m:t>Cpx-Opx</m:t>
            </m:r>
          </m:sup>
        </m:sSubSup>
        <m:r>
          <w:rPr>
            <w:rFonts w:ascii="Cambria Math" w:hAnsi="Cambria Math"/>
          </w:rPr>
          <m:t xml:space="preserve"> </m:t>
        </m:r>
      </m:oMath>
      <w:r w:rsidR="00FA44A7">
        <w:t xml:space="preserve">values calculated from </w:t>
      </w:r>
      <w:r w:rsidR="00737490">
        <w:t xml:space="preserve">in-situ analyses of </w:t>
      </w:r>
      <w:r w:rsidR="00FA44A7">
        <w:t xml:space="preserve">experimental </w:t>
      </w:r>
      <w:r w:rsidR="00737490">
        <w:t xml:space="preserve">run products </w:t>
      </w:r>
      <w:r w:rsidR="00FA44A7">
        <w:t xml:space="preserve">and mantle xenoliths. </w:t>
      </w:r>
    </w:p>
    <w:p w14:paraId="0970CBDF" w14:textId="701DCA44" w:rsidR="00B626A2" w:rsidRDefault="00AA761E" w:rsidP="00C20C0B">
      <w:pPr>
        <w:widowControl w:val="0"/>
        <w:autoSpaceDE w:val="0"/>
        <w:autoSpaceDN w:val="0"/>
        <w:adjustRightInd w:val="0"/>
        <w:spacing w:line="480" w:lineRule="auto"/>
        <w:ind w:left="450" w:hanging="425"/>
        <w:jc w:val="both"/>
      </w:pPr>
      <w:r>
        <w:t>(iv)</w:t>
      </w:r>
      <w:r w:rsidR="00E14F16">
        <w:t xml:space="preserve"> </w:t>
      </w:r>
      <w:r>
        <w:t xml:space="preserve">The </w:t>
      </w:r>
      <w:r w:rsidR="00CC7D64">
        <w:t>trend for 1/</w:t>
      </w:r>
      <w:r w:rsidR="00CC7D64">
        <w:rPr>
          <w:i/>
        </w:rPr>
        <w:t>T</w:t>
      </w:r>
      <w:r w:rsidR="00CC7D64">
        <w:t xml:space="preserve"> versus</w:t>
      </w:r>
      <m:oMath>
        <m:r>
          <m:rPr>
            <m:sty m:val="p"/>
          </m:rPr>
          <w:rPr>
            <w:rFonts w:ascii="Cambria Math" w:hAnsi="Cambria Math"/>
          </w:rPr>
          <m:t xml:space="preserve"> </m:t>
        </m:r>
        <m:sSubSup>
          <m:sSubSupPr>
            <m:ctrlPr>
              <w:rPr>
                <w:rFonts w:ascii="Cambria Math" w:hAnsi="Cambria Math"/>
                <w:i/>
              </w:rPr>
            </m:ctrlPr>
          </m:sSubSupPr>
          <m:e>
            <m:r>
              <w:rPr>
                <w:rFonts w:ascii="Cambria Math" w:hAnsi="Cambria Math"/>
              </w:rPr>
              <m:t>D</m:t>
            </m:r>
          </m:e>
          <m:sub>
            <m:r>
              <w:rPr>
                <w:rFonts w:ascii="Cambria Math" w:hAnsi="Cambria Math"/>
              </w:rPr>
              <m:t>Al</m:t>
            </m:r>
          </m:sub>
          <m:sup>
            <m:r>
              <w:rPr>
                <w:rFonts w:ascii="Cambria Math" w:hAnsi="Cambria Math"/>
              </w:rPr>
              <m:t>Cpx-Opx</m:t>
            </m:r>
          </m:sup>
        </m:sSubSup>
      </m:oMath>
      <w:r w:rsidR="00CC7D64">
        <w:t xml:space="preserve"> is </w:t>
      </w:r>
      <w:r w:rsidR="00B626A2">
        <w:t xml:space="preserve">slightly </w:t>
      </w:r>
      <w:r w:rsidR="0086779A">
        <w:t>shallower than for</w:t>
      </w:r>
      <w:r w:rsidR="00CC7D64">
        <w:t xml:space="preserve"> </w:t>
      </w:r>
      <m:oMath>
        <m:sSubSup>
          <m:sSubSupPr>
            <m:ctrlPr>
              <w:rPr>
                <w:rFonts w:ascii="Cambria Math" w:hAnsi="Cambria Math"/>
                <w:i/>
              </w:rPr>
            </m:ctrlPr>
          </m:sSubSupPr>
          <m:e>
            <m:r>
              <m:rPr>
                <m:nor/>
              </m:rPr>
              <w:rPr>
                <w:rFonts w:ascii="Cambria Math" w:hAnsi="Cambria Math"/>
                <w:i/>
              </w:rPr>
              <m:t>D</m:t>
            </m:r>
          </m:e>
          <m:sub>
            <m:r>
              <m:rPr>
                <m:nor/>
              </m:rPr>
              <w:rPr>
                <w:rFonts w:ascii="Cambria Math" w:hAnsi="Cambria Math"/>
                <w:i/>
              </w:rPr>
              <m:t>H</m:t>
            </m:r>
            <m:r>
              <m:rPr>
                <m:nor/>
              </m:rPr>
              <w:rPr>
                <w:rFonts w:ascii="Cambria Math" w:hAnsi="Cambria Math"/>
                <w:i/>
                <w:vertAlign w:val="subscript"/>
              </w:rPr>
              <m:t>2</m:t>
            </m:r>
            <m:r>
              <m:rPr>
                <m:nor/>
              </m:rPr>
              <w:rPr>
                <w:rFonts w:ascii="Cambria Math" w:hAnsi="Cambria Math"/>
                <w:i/>
              </w:rPr>
              <m:t>O</m:t>
            </m:r>
          </m:sub>
          <m:sup>
            <m:r>
              <m:rPr>
                <m:nor/>
              </m:rPr>
              <w:rPr>
                <w:rFonts w:ascii="Cambria Math" w:hAnsi="Cambria Math"/>
              </w:rPr>
              <m:t xml:space="preserve"> </m:t>
            </m:r>
            <m:r>
              <m:rPr>
                <m:nor/>
              </m:rPr>
              <w:rPr>
                <w:rFonts w:ascii="Cambria Math" w:hAnsi="Cambria Math"/>
                <w:i/>
              </w:rPr>
              <m:t>Cpx-Opx</m:t>
            </m:r>
          </m:sup>
        </m:sSubSup>
      </m:oMath>
      <w:r w:rsidR="00CC7D64">
        <w:t xml:space="preserve">, which implies that </w:t>
      </w:r>
      <w:r w:rsidR="0086779A">
        <w:t>temperature has a stronger effect on the</w:t>
      </w:r>
      <w:r w:rsidR="00CC7D64">
        <w:t xml:space="preserve"> sub-solidus partitioning behaviour </w:t>
      </w:r>
      <w:r w:rsidR="0086779A">
        <w:t xml:space="preserve">of H </w:t>
      </w:r>
      <w:r w:rsidR="00227BEE">
        <w:t>than</w:t>
      </w:r>
      <w:r w:rsidR="0086779A">
        <w:t xml:space="preserve"> Al</w:t>
      </w:r>
      <w:r w:rsidR="00CC7D64">
        <w:t>.</w:t>
      </w:r>
      <w:r w:rsidR="00894F56">
        <w:t xml:space="preserve"> This is consistent with the faster diffusion of H relative to Al in pyroxene.</w:t>
      </w:r>
    </w:p>
    <w:p w14:paraId="61E4975D" w14:textId="39C5AC1F" w:rsidR="00B626A2" w:rsidRDefault="00B626A2" w:rsidP="00C20C0B">
      <w:pPr>
        <w:widowControl w:val="0"/>
        <w:autoSpaceDE w:val="0"/>
        <w:autoSpaceDN w:val="0"/>
        <w:adjustRightInd w:val="0"/>
        <w:spacing w:line="480" w:lineRule="auto"/>
        <w:ind w:left="426" w:hanging="426"/>
        <w:jc w:val="both"/>
      </w:pPr>
      <w:r>
        <w:t xml:space="preserve">(v) </w:t>
      </w:r>
      <w:r w:rsidR="000F5F71">
        <w:t xml:space="preserve">The regression lines </w:t>
      </w:r>
      <w:r w:rsidR="00352B53">
        <w:t xml:space="preserve">show that sub-solidus re-equilibration </w:t>
      </w:r>
      <w:r w:rsidR="00007670">
        <w:t xml:space="preserve">in the lithospheric mantle </w:t>
      </w:r>
      <w:r w:rsidR="00744024">
        <w:t xml:space="preserve">between 1280 and 1000 </w:t>
      </w:r>
      <w:r w:rsidR="00744024" w:rsidRPr="009D37AD">
        <w:rPr>
          <w:vertAlign w:val="superscript"/>
        </w:rPr>
        <w:t>o</w:t>
      </w:r>
      <w:r w:rsidR="00744024">
        <w:t xml:space="preserve">C </w:t>
      </w:r>
      <w:r>
        <w:t xml:space="preserve">may </w:t>
      </w:r>
      <w:r w:rsidR="00352B53">
        <w:t>cause a</w:t>
      </w:r>
      <w:r>
        <w:t xml:space="preserve"> substantial</w:t>
      </w:r>
      <w:r w:rsidR="00352B53">
        <w:t xml:space="preserve"> increase</w:t>
      </w:r>
      <w:r>
        <w:t xml:space="preserve"> (up to 50%)</w:t>
      </w:r>
      <w:r w:rsidR="00352B53">
        <w:t xml:space="preserve"> in both the H</w:t>
      </w:r>
      <w:r w:rsidR="00352B53" w:rsidRPr="009D37AD">
        <w:rPr>
          <w:vertAlign w:val="subscript"/>
        </w:rPr>
        <w:t>2</w:t>
      </w:r>
      <w:r w:rsidR="00352B53">
        <w:t>O and F contents of clinopyroxenes in garnet</w:t>
      </w:r>
      <w:r w:rsidR="00FB4739">
        <w:t xml:space="preserve">-bearing </w:t>
      </w:r>
      <w:r w:rsidR="00352B53">
        <w:t xml:space="preserve">peridotites. </w:t>
      </w:r>
    </w:p>
    <w:p w14:paraId="233409F4" w14:textId="77777777" w:rsidR="00B626A2" w:rsidRDefault="00B626A2" w:rsidP="00C20C0B">
      <w:pPr>
        <w:widowControl w:val="0"/>
        <w:autoSpaceDE w:val="0"/>
        <w:autoSpaceDN w:val="0"/>
        <w:adjustRightInd w:val="0"/>
        <w:spacing w:line="480" w:lineRule="auto"/>
        <w:jc w:val="both"/>
      </w:pPr>
    </w:p>
    <w:p w14:paraId="70E5FC19" w14:textId="29DA8264" w:rsidR="00FA44A7" w:rsidRDefault="00352B53" w:rsidP="00C20C0B">
      <w:pPr>
        <w:widowControl w:val="0"/>
        <w:autoSpaceDE w:val="0"/>
        <w:autoSpaceDN w:val="0"/>
        <w:adjustRightInd w:val="0"/>
        <w:spacing w:line="480" w:lineRule="auto"/>
        <w:jc w:val="both"/>
      </w:pPr>
      <w:r>
        <w:t>We have also plotted spinel</w:t>
      </w:r>
      <w:r w:rsidR="00FA44A7">
        <w:t xml:space="preserve">-bearing peridotites from southern Patagonia and the Antarctic Peninsula </w:t>
      </w:r>
      <w:r>
        <w:t xml:space="preserve">on </w:t>
      </w:r>
      <w:r>
        <w:rPr>
          <w:b/>
          <w:color w:val="000000" w:themeColor="text1"/>
        </w:rPr>
        <w:t>Figure 5</w:t>
      </w:r>
      <w:r w:rsidR="00FA44A7">
        <w:t xml:space="preserve">. While we are mindful of the </w:t>
      </w:r>
      <w:r w:rsidR="00456DD7">
        <w:t xml:space="preserve">uncertainties </w:t>
      </w:r>
      <w:r w:rsidR="00FA44A7">
        <w:t xml:space="preserve">in the final equilibration temperature </w:t>
      </w:r>
      <w:r w:rsidR="00456DD7">
        <w:t xml:space="preserve">estimates </w:t>
      </w:r>
      <w:r w:rsidR="00FA44A7">
        <w:t xml:space="preserve">for these xenoliths, we note that at a given temperature </w:t>
      </w:r>
      <m:oMath>
        <m:r>
          <m:rPr>
            <m:sty m:val="p"/>
          </m:rPr>
          <w:rPr>
            <w:rFonts w:ascii="Cambria Math" w:hAnsi="Cambria Math"/>
          </w:rPr>
          <m:t xml:space="preserve"> </m:t>
        </m:r>
        <m:sSubSup>
          <m:sSubSupPr>
            <m:ctrlPr>
              <w:rPr>
                <w:rFonts w:ascii="Cambria Math" w:hAnsi="Cambria Math"/>
                <w:i/>
              </w:rPr>
            </m:ctrlPr>
          </m:sSubSupPr>
          <m:e>
            <m:r>
              <w:rPr>
                <w:rFonts w:ascii="Cambria Math" w:hAnsi="Cambria Math"/>
              </w:rPr>
              <m:t>D</m:t>
            </m:r>
          </m:e>
          <m:sub>
            <m:r>
              <w:rPr>
                <w:rFonts w:ascii="Cambria Math" w:hAnsi="Cambria Math"/>
              </w:rPr>
              <m:t>F</m:t>
            </m:r>
          </m:sub>
          <m:sup>
            <m:r>
              <w:rPr>
                <w:rFonts w:ascii="Cambria Math" w:hAnsi="Cambria Math"/>
              </w:rPr>
              <m:t>Cpx-Opx</m:t>
            </m:r>
          </m:sup>
        </m:sSubSup>
      </m:oMath>
      <w:r w:rsidR="00FA44A7">
        <w:t xml:space="preserve"> values </w:t>
      </w:r>
      <w:r>
        <w:t xml:space="preserve">are typically lower </w:t>
      </w:r>
      <w:r w:rsidR="00E14F16">
        <w:t>than</w:t>
      </w:r>
      <w:r w:rsidR="00FA44A7">
        <w:t xml:space="preserve"> th</w:t>
      </w:r>
      <w:r w:rsidR="00465068">
        <w:t>ose of</w:t>
      </w:r>
      <w:r w:rsidR="00FA44A7">
        <w:t xml:space="preserve"> garnet</w:t>
      </w:r>
      <w:r w:rsidR="00CC7D64">
        <w:t xml:space="preserve">-bearing </w:t>
      </w:r>
      <w:r w:rsidR="00FA44A7">
        <w:t>peridotites and experiment</w:t>
      </w:r>
      <w:r w:rsidR="00CC7D64">
        <w:t xml:space="preserve">al </w:t>
      </w:r>
      <w:r w:rsidR="00FA44A7">
        <w:t>run products</w:t>
      </w:r>
      <w:r w:rsidR="005464B3">
        <w:t xml:space="preserve"> </w:t>
      </w:r>
      <w:r w:rsidR="005464B3">
        <w:rPr>
          <w:bCs/>
        </w:rPr>
        <w:lastRenderedPageBreak/>
        <w:t>(</w:t>
      </w:r>
      <w:r w:rsidR="005464B3" w:rsidRPr="00F545F9">
        <w:rPr>
          <w:b/>
          <w:bCs/>
          <w:color w:val="000000" w:themeColor="text1"/>
        </w:rPr>
        <w:t xml:space="preserve">Figure </w:t>
      </w:r>
      <w:r w:rsidR="0044633B">
        <w:rPr>
          <w:b/>
          <w:bCs/>
          <w:color w:val="000000" w:themeColor="text1"/>
        </w:rPr>
        <w:t>5</w:t>
      </w:r>
      <w:r w:rsidR="0044633B" w:rsidRPr="00F545F9">
        <w:rPr>
          <w:b/>
          <w:bCs/>
        </w:rPr>
        <w:t>b</w:t>
      </w:r>
      <w:r w:rsidR="005464B3">
        <w:rPr>
          <w:b/>
          <w:bCs/>
        </w:rPr>
        <w:t>)</w:t>
      </w:r>
      <w:r w:rsidR="00FA44A7">
        <w:t xml:space="preserve">. </w:t>
      </w:r>
      <w:r w:rsidR="00D75F0E">
        <w:rPr>
          <w:bCs/>
        </w:rPr>
        <w:t>This may be because</w:t>
      </w:r>
      <w:r w:rsidR="00165D28">
        <w:rPr>
          <w:bCs/>
        </w:rPr>
        <w:t xml:space="preserve"> in systems </w:t>
      </w:r>
      <w:r w:rsidR="0094629A">
        <w:rPr>
          <w:bCs/>
        </w:rPr>
        <w:t>in which</w:t>
      </w:r>
      <w:r w:rsidR="0094629A" w:rsidRPr="009B315C">
        <w:rPr>
          <w:bCs/>
        </w:rPr>
        <w:t xml:space="preserve"> </w:t>
      </w:r>
      <w:r w:rsidR="00165D28" w:rsidRPr="00796181">
        <w:rPr>
          <w:bCs/>
        </w:rPr>
        <w:t>pyroxene</w:t>
      </w:r>
      <w:r w:rsidR="00165D28">
        <w:rPr>
          <w:bCs/>
        </w:rPr>
        <w:t xml:space="preserve">s co-exist with spinel, </w:t>
      </w:r>
      <w:r w:rsidR="0003715C" w:rsidRPr="009B315C">
        <w:rPr>
          <w:bCs/>
        </w:rPr>
        <w:t>Cr</w:t>
      </w:r>
      <w:r w:rsidR="0003715C" w:rsidRPr="009B315C">
        <w:rPr>
          <w:bCs/>
          <w:vertAlign w:val="superscript"/>
        </w:rPr>
        <w:t>3+</w:t>
      </w:r>
      <w:r w:rsidR="0003715C" w:rsidRPr="009B315C">
        <w:rPr>
          <w:bCs/>
        </w:rPr>
        <w:t xml:space="preserve"> substitutes for </w:t>
      </w:r>
      <w:r w:rsidR="00465068" w:rsidRPr="009B315C">
        <w:rPr>
          <w:bCs/>
          <w:vertAlign w:val="superscript"/>
        </w:rPr>
        <w:t>[VI]</w:t>
      </w:r>
      <w:r w:rsidR="0003715C" w:rsidRPr="009B315C">
        <w:rPr>
          <w:bCs/>
        </w:rPr>
        <w:t>Al</w:t>
      </w:r>
      <w:r w:rsidR="00465068" w:rsidRPr="009B315C">
        <w:rPr>
          <w:bCs/>
          <w:vertAlign w:val="superscript"/>
        </w:rPr>
        <w:t>3</w:t>
      </w:r>
      <w:r w:rsidR="00DD5A8F" w:rsidRPr="00964CAC">
        <w:rPr>
          <w:bCs/>
          <w:vertAlign w:val="superscript"/>
        </w:rPr>
        <w:t>+</w:t>
      </w:r>
      <w:r w:rsidR="0003715C" w:rsidRPr="009B315C">
        <w:rPr>
          <w:bCs/>
        </w:rPr>
        <w:t xml:space="preserve"> </w:t>
      </w:r>
      <w:r>
        <w:rPr>
          <w:bCs/>
        </w:rPr>
        <w:t xml:space="preserve"> </w:t>
      </w:r>
      <w:r w:rsidRPr="009B315C">
        <w:rPr>
          <w:bCs/>
        </w:rPr>
        <w:fldChar w:fldCharType="begin"/>
      </w:r>
      <w:r w:rsidR="008E0CCC">
        <w:rPr>
          <w:bCs/>
        </w:rPr>
        <w:instrText xml:space="preserve"> ADDIN ZOTERO_ITEM CSL_CITATION {"citationID":"d6yDedAK","properties":{"formattedCitation":"(Liu and O\\uc0\\u8217{}Neill, 2004)","plainCitation":"(Liu and O’Neill, 2004)","noteIndex":0},"citationItems":[{"id":4015,"uris":["http://zotero.org/users/88665/items/YRH4KDFD"],"uri":["http://zotero.org/users/88665/items/YRH4KDFD"],"itemData":{"id":4015,"type":"article-journal","abstract":"Abstract.  Chromium as Cr3+ substitutes for octahedrally coordinated Al in upper-mantle minerals, thereby reducing the activity of Al2O3 in the system and hence","container-title":"Journal of Petrology","DOI":"10.1093/petrology/egh055","ISSN":"0022-3530","issue":"11","journalAbbreviation":"Journal of Petrology","language":"en","page":"2261-2286","source":"academic.oup.com","title":"The effect of Cr2O3 on the partial melting of spinel lherzolite in the system CaO–MgO–Al2O3–SiO2–Cr2O3 at 1·1 GPa","volume":"45","author":[{"family":"Liu","given":"Xi"},{"family":"O'Neill","given":"Hugh St C."}],"issued":{"date-parts":[["2004",11,1]]}}}],"schema":"https://github.com/citation-style-language/schema/raw/master/csl-citation.json"} </w:instrText>
      </w:r>
      <w:r w:rsidRPr="009B315C">
        <w:rPr>
          <w:bCs/>
        </w:rPr>
        <w:fldChar w:fldCharType="separate"/>
      </w:r>
      <w:r w:rsidR="00636367" w:rsidRPr="00636367">
        <w:t>(Liu and O’Neill, 2004)</w:t>
      </w:r>
      <w:r w:rsidRPr="009B315C">
        <w:rPr>
          <w:bCs/>
        </w:rPr>
        <w:fldChar w:fldCharType="end"/>
      </w:r>
      <w:r w:rsidR="0003715C" w:rsidRPr="009B315C">
        <w:rPr>
          <w:bCs/>
        </w:rPr>
        <w:t xml:space="preserve"> </w:t>
      </w:r>
      <w:r>
        <w:rPr>
          <w:bCs/>
        </w:rPr>
        <w:t>and</w:t>
      </w:r>
      <w:r w:rsidR="00696BF9">
        <w:rPr>
          <w:bCs/>
        </w:rPr>
        <w:t xml:space="preserve"> is</w:t>
      </w:r>
      <w:r>
        <w:rPr>
          <w:bCs/>
        </w:rPr>
        <w:t xml:space="preserve"> </w:t>
      </w:r>
      <w:r w:rsidR="0003715C" w:rsidRPr="009B315C">
        <w:rPr>
          <w:bCs/>
        </w:rPr>
        <w:t>charge balance</w:t>
      </w:r>
      <w:r w:rsidR="00465068">
        <w:rPr>
          <w:bCs/>
        </w:rPr>
        <w:t>d</w:t>
      </w:r>
      <w:r w:rsidR="0003715C" w:rsidRPr="009B315C">
        <w:rPr>
          <w:bCs/>
        </w:rPr>
        <w:t xml:space="preserve"> </w:t>
      </w:r>
      <w:r w:rsidR="00465068">
        <w:rPr>
          <w:bCs/>
        </w:rPr>
        <w:t>by F</w:t>
      </w:r>
      <w:r w:rsidR="00465068" w:rsidRPr="00C1012C">
        <w:rPr>
          <w:bCs/>
          <w:vertAlign w:val="superscript"/>
        </w:rPr>
        <w:t>-</w:t>
      </w:r>
      <w:r w:rsidR="00465068">
        <w:rPr>
          <w:bCs/>
          <w:vertAlign w:val="superscript"/>
        </w:rPr>
        <w:t xml:space="preserve"> </w:t>
      </w:r>
      <w:r>
        <w:rPr>
          <w:bCs/>
        </w:rPr>
        <w:t>(see</w:t>
      </w:r>
      <w:r w:rsidR="0003715C" w:rsidRPr="009B315C">
        <w:rPr>
          <w:bCs/>
        </w:rPr>
        <w:t xml:space="preserve"> </w:t>
      </w:r>
      <w:r w:rsidR="00696BF9">
        <w:rPr>
          <w:bCs/>
        </w:rPr>
        <w:t>Reaction</w:t>
      </w:r>
      <w:r w:rsidR="000050A1">
        <w:rPr>
          <w:bCs/>
        </w:rPr>
        <w:t>s</w:t>
      </w:r>
      <w:r w:rsidR="00696BF9">
        <w:rPr>
          <w:bCs/>
        </w:rPr>
        <w:t xml:space="preserve"> </w:t>
      </w:r>
      <w:r w:rsidR="000050A1">
        <w:rPr>
          <w:bCs/>
        </w:rPr>
        <w:t xml:space="preserve">1 &amp; </w:t>
      </w:r>
      <w:r w:rsidR="00696BF9">
        <w:rPr>
          <w:bCs/>
        </w:rPr>
        <w:t xml:space="preserve">2 </w:t>
      </w:r>
      <w:r w:rsidR="00071AD2">
        <w:rPr>
          <w:bCs/>
        </w:rPr>
        <w:t>above</w:t>
      </w:r>
      <w:r>
        <w:rPr>
          <w:bCs/>
        </w:rPr>
        <w:t>)</w:t>
      </w:r>
      <w:r w:rsidR="0003715C" w:rsidRPr="009B315C">
        <w:rPr>
          <w:bCs/>
        </w:rPr>
        <w:t xml:space="preserve">. </w:t>
      </w:r>
      <w:r w:rsidR="00FA44A7">
        <w:t xml:space="preserve">More </w:t>
      </w:r>
      <w:r w:rsidR="00CC7D64">
        <w:t xml:space="preserve">systematic </w:t>
      </w:r>
      <w:r w:rsidR="00FA44A7">
        <w:t xml:space="preserve">data are, however, required to establish the extent to which </w:t>
      </w:r>
      <m:oMath>
        <m:sSubSup>
          <m:sSubSupPr>
            <m:ctrlPr>
              <w:rPr>
                <w:rFonts w:ascii="Cambria Math" w:hAnsi="Cambria Math"/>
                <w:i/>
              </w:rPr>
            </m:ctrlPr>
          </m:sSubSupPr>
          <m:e>
            <m:r>
              <m:rPr>
                <m:nor/>
              </m:rPr>
              <w:rPr>
                <w:rFonts w:ascii="Cambria Math" w:hAnsi="Cambria Math"/>
                <w:i/>
              </w:rPr>
              <m:t>D</m:t>
            </m:r>
          </m:e>
          <m:sub>
            <m:r>
              <m:rPr>
                <m:nor/>
              </m:rPr>
              <w:rPr>
                <w:rFonts w:ascii="Cambria Math" w:hAnsi="Cambria Math"/>
                <w:i/>
              </w:rPr>
              <m:t>H</m:t>
            </m:r>
            <m:r>
              <m:rPr>
                <m:nor/>
              </m:rPr>
              <w:rPr>
                <w:rFonts w:ascii="Cambria Math" w:hAnsi="Cambria Math"/>
                <w:i/>
                <w:vertAlign w:val="subscript"/>
              </w:rPr>
              <m:t>2</m:t>
            </m:r>
            <m:r>
              <m:rPr>
                <m:nor/>
              </m:rPr>
              <w:rPr>
                <w:rFonts w:ascii="Cambria Math" w:hAnsi="Cambria Math"/>
                <w:i/>
              </w:rPr>
              <m:t>O</m:t>
            </m:r>
          </m:sub>
          <m:sup>
            <m:r>
              <m:rPr>
                <m:nor/>
              </m:rPr>
              <w:rPr>
                <w:rFonts w:ascii="Cambria Math" w:hAnsi="Cambria Math"/>
              </w:rPr>
              <m:t xml:space="preserve"> </m:t>
            </m:r>
            <m:r>
              <m:rPr>
                <m:nor/>
              </m:rPr>
              <w:rPr>
                <w:rFonts w:ascii="Cambria Math" w:hAnsi="Cambria Math"/>
                <w:i/>
              </w:rPr>
              <m:t>Cpx-Opx</m:t>
            </m:r>
          </m:sup>
        </m:sSubSup>
        <m:r>
          <w:rPr>
            <w:rFonts w:ascii="Cambria Math" w:hAnsi="Cambria Math"/>
          </w:rPr>
          <m:t>,</m:t>
        </m:r>
      </m:oMath>
      <w:r w:rsidR="00FA44A7">
        <w:t xml:space="preserve"> </w:t>
      </w:r>
      <m:oMath>
        <m:sSubSup>
          <m:sSubSupPr>
            <m:ctrlPr>
              <w:rPr>
                <w:rFonts w:ascii="Cambria Math" w:hAnsi="Cambria Math"/>
                <w:i/>
              </w:rPr>
            </m:ctrlPr>
          </m:sSubSupPr>
          <m:e>
            <m:r>
              <w:rPr>
                <w:rFonts w:ascii="Cambria Math" w:hAnsi="Cambria Math"/>
              </w:rPr>
              <m:t>D</m:t>
            </m:r>
          </m:e>
          <m:sub>
            <m:r>
              <w:rPr>
                <w:rFonts w:ascii="Cambria Math" w:hAnsi="Cambria Math"/>
              </w:rPr>
              <m:t>F</m:t>
            </m:r>
          </m:sub>
          <m:sup>
            <m:r>
              <w:rPr>
                <w:rFonts w:ascii="Cambria Math" w:hAnsi="Cambria Math"/>
              </w:rPr>
              <m:t>Cpx-Opx</m:t>
            </m:r>
          </m:sup>
        </m:sSubSup>
      </m:oMath>
      <w:r w:rsidR="00F31D3D">
        <w:t xml:space="preserve"> </w:t>
      </w:r>
      <w:r w:rsidR="00DE4C24">
        <w:t xml:space="preserve">vary </w:t>
      </w:r>
      <w:r w:rsidR="009F3192">
        <w:t>during sub-solidus re-equilibration</w:t>
      </w:r>
      <w:r w:rsidR="00DE4C24">
        <w:t xml:space="preserve"> </w:t>
      </w:r>
      <w:r w:rsidR="00A4725D">
        <w:t xml:space="preserve">of </w:t>
      </w:r>
      <w:r w:rsidR="00534ED5">
        <w:t xml:space="preserve">both </w:t>
      </w:r>
      <w:r w:rsidR="00DE4C24">
        <w:t>garnet and spinel peridotites.</w:t>
      </w:r>
    </w:p>
    <w:p w14:paraId="32EDA912" w14:textId="009644C2" w:rsidR="009F6ECC" w:rsidRPr="002402E7" w:rsidRDefault="00734BE9" w:rsidP="00C20C0B">
      <w:pPr>
        <w:pStyle w:val="Heading3"/>
        <w:spacing w:line="480" w:lineRule="auto"/>
      </w:pPr>
      <w:r>
        <w:rPr>
          <w:sz w:val="24"/>
        </w:rPr>
        <w:t>7</w:t>
      </w:r>
      <w:r w:rsidR="009F6ECC" w:rsidRPr="009D37AD">
        <w:rPr>
          <w:sz w:val="24"/>
        </w:rPr>
        <w:t xml:space="preserve">.2 </w:t>
      </w:r>
      <w:r w:rsidR="00D4341B">
        <w:rPr>
          <w:sz w:val="24"/>
        </w:rPr>
        <w:t>M</w:t>
      </w:r>
      <w:r w:rsidR="00412552">
        <w:rPr>
          <w:sz w:val="24"/>
        </w:rPr>
        <w:t>antle m</w:t>
      </w:r>
      <w:r w:rsidR="009F6ECC" w:rsidRPr="009D37AD">
        <w:rPr>
          <w:sz w:val="24"/>
        </w:rPr>
        <w:t>etasomati</w:t>
      </w:r>
      <w:r w:rsidR="00D4341B">
        <w:rPr>
          <w:sz w:val="24"/>
        </w:rPr>
        <w:t>sm</w:t>
      </w:r>
    </w:p>
    <w:p w14:paraId="340CAC23" w14:textId="4C4B528A" w:rsidR="00AD32BA" w:rsidRDefault="00FA44A7" w:rsidP="00C20C0B">
      <w:pPr>
        <w:spacing w:line="480" w:lineRule="auto"/>
        <w:jc w:val="both"/>
      </w:pPr>
      <w:r>
        <w:t xml:space="preserve">As </w:t>
      </w:r>
      <w:r w:rsidR="009E0198">
        <w:t xml:space="preserve">highlighted </w:t>
      </w:r>
      <w:r>
        <w:t>above, the H</w:t>
      </w:r>
      <w:r w:rsidR="001D5C88" w:rsidRPr="009D37AD">
        <w:rPr>
          <w:vertAlign w:val="subscript"/>
        </w:rPr>
        <w:t>2</w:t>
      </w:r>
      <w:r w:rsidR="001D5C88">
        <w:t>O</w:t>
      </w:r>
      <w:r>
        <w:t xml:space="preserve"> contents of the Cr-diopsides found in garnet-bearing peridotites from southern Patagonia are almost twice those of spinel-bearing peridotites </w:t>
      </w:r>
      <w:r w:rsidR="00B626A2">
        <w:t>(</w:t>
      </w:r>
      <w:r w:rsidR="00B626A2" w:rsidRPr="009012C7">
        <w:rPr>
          <w:b/>
        </w:rPr>
        <w:t>Table 1</w:t>
      </w:r>
      <w:r w:rsidR="00B626A2">
        <w:t>) but</w:t>
      </w:r>
      <w:r>
        <w:t>, since they have similar equilibration temperatures</w:t>
      </w:r>
      <w:r w:rsidR="00B626A2">
        <w:t xml:space="preserve"> (</w:t>
      </w:r>
      <w:r w:rsidR="00B626A2" w:rsidRPr="000050A1">
        <w:rPr>
          <w:b/>
        </w:rPr>
        <w:t xml:space="preserve">Table </w:t>
      </w:r>
      <w:r w:rsidR="00B626A2">
        <w:rPr>
          <w:b/>
        </w:rPr>
        <w:t>2</w:t>
      </w:r>
      <w:r w:rsidR="00B626A2">
        <w:t>)</w:t>
      </w:r>
      <w:r>
        <w:t xml:space="preserve">, </w:t>
      </w:r>
      <w:r w:rsidR="00823C81">
        <w:t xml:space="preserve">this enrichment </w:t>
      </w:r>
      <w:r w:rsidR="006A7889">
        <w:t>is not</w:t>
      </w:r>
      <w:r>
        <w:t xml:space="preserve"> readily explained by sub-solidus equilibration. </w:t>
      </w:r>
      <w:r w:rsidR="00AD32BA">
        <w:rPr>
          <w:bCs/>
        </w:rPr>
        <w:t>E</w:t>
      </w:r>
      <w:r w:rsidR="00AD32BA">
        <w:t xml:space="preserve">xperimental studies have shown that H </w:t>
      </w:r>
      <w:r w:rsidR="00B626A2">
        <w:t xml:space="preserve">undergoes a </w:t>
      </w:r>
      <w:r w:rsidR="00AD32BA">
        <w:t>couple</w:t>
      </w:r>
      <w:r w:rsidR="00B626A2">
        <w:t>d substitution</w:t>
      </w:r>
      <w:r w:rsidR="00AD32BA">
        <w:t xml:space="preserve"> with </w:t>
      </w:r>
      <w:r w:rsidR="00AD32BA" w:rsidRPr="009B315C">
        <w:rPr>
          <w:vertAlign w:val="superscript"/>
        </w:rPr>
        <w:t>[</w:t>
      </w:r>
      <w:r w:rsidR="00AD32BA">
        <w:rPr>
          <w:vertAlign w:val="superscript"/>
        </w:rPr>
        <w:t>IV</w:t>
      </w:r>
      <w:r w:rsidR="00AD32BA" w:rsidRPr="009B315C">
        <w:rPr>
          <w:vertAlign w:val="superscript"/>
        </w:rPr>
        <w:t>]</w:t>
      </w:r>
      <w:r w:rsidR="00AD32BA">
        <w:t>Al</w:t>
      </w:r>
      <w:r w:rsidR="00AD32BA" w:rsidRPr="00AD6F4D">
        <w:rPr>
          <w:vertAlign w:val="superscript"/>
        </w:rPr>
        <w:t>3+</w:t>
      </w:r>
      <w:r w:rsidR="00AD32BA">
        <w:t xml:space="preserve"> for Si</w:t>
      </w:r>
      <w:r w:rsidR="00AD32BA" w:rsidRPr="00AD6F4D">
        <w:rPr>
          <w:vertAlign w:val="superscript"/>
        </w:rPr>
        <w:t>4+</w:t>
      </w:r>
      <w:r w:rsidR="00AD32BA">
        <w:t xml:space="preserve"> in </w:t>
      </w:r>
      <w:r w:rsidR="00424BE4">
        <w:t xml:space="preserve">pyroxene </w:t>
      </w:r>
      <w:r w:rsidR="00AD32BA">
        <w:t>crystal lattice</w:t>
      </w:r>
      <w:r w:rsidR="00424BE4">
        <w:t>s</w:t>
      </w:r>
      <w:r w:rsidR="007C2C4D">
        <w:t xml:space="preserve"> </w:t>
      </w:r>
      <w:r w:rsidR="00AD32BA">
        <w:fldChar w:fldCharType="begin"/>
      </w:r>
      <w:r w:rsidR="008E0CCC">
        <w:instrText xml:space="preserve"> ADDIN ZOTERO_ITEM CSL_CITATION {"citationID":"hoKx4aPI","properties":{"formattedCitation":"(Rauch and Keppler, 2002; Kohn, 2006)","plainCitation":"(Rauch and Keppler, 2002; Kohn, 2006)","noteIndex":0},"citationItems":[{"id":2564,"uris":["http://zotero.org/users/88665/items/HIRUPRXG"],"uri":["http://zotero.org/users/88665/items/HIRUPRXG"],"itemData":{"id":2564,"type":"article-journal","container-title":"Reviews in Mineralogy and Geochemistry","DOI":"10.2138/rmg.2006.62.10","ISSN":"1529-6466","issue":"1","note":"00015","page":"231-241","source":"CrossRef","title":"The partitioning of water between nominally anhydrous minerals and silicate melts","volume":"62","author":[{"family":"Kohn","given":"S. C."}],"issued":{"date-parts":[["2006",1,1]]}}},{"id":3795,"uris":["http://zotero.org/users/88665/items/U7UKDIIM"],"uri":["http://zotero.org/users/88665/items/U7UKDIIM"],"itemData":{"id":3795,"type":"article-journal","abstract":". The solubility of water in pure enstatite was measured on samples synthesized at 1,100 °C and pressures to 100 kbar. Enstatite crystals were grown under water-saturated conditions from a stoichiometric mixture of high-purity SiO2 and Mg(OH)2. Water contents were calculated from polarized FTIR spectra measured on oriented single crystals. The water solubility in orthoenstatite increases with pressure to 867±35 ppm H2O by weight at 75 kbar. At 100 kbar, in the stability field of high-clinoenstatite, a water solubility of 714±35 ppm was observed. The water solubility in enstatite at 1,100 °C can be described by the equation cH2O=AfH2O exp(–PΔV/RT), where f H2O is water fugacity, A=0.0204 ppm/bar and ΔV=12.3 cm3/mol. The infrared spectra of the hydrous enstatite crystals show a sharp, intense band at 3,363 cm–1 and a broad, weaker band at 3,064 cm–1. Both bands are strongly polarized parallel c. Most likely, pairs of protons attached to non-bridging oxygen atoms substitute for Mg2+. In order to investigate the effect of chemical impurities on water solubility in enstatite, an additional series of experiments was carried out with gels doped with Al, B, or Li as starting material. Whereas, the presence of Li and B had no detectable effect on water solubility, the addition of about 1 wt% Al2O3 increased water solubility in enstatite from 199 to 1,100 ppm at 1,100°C and 15 kbar. In the infrared spectra of these aluminous samples, additional bands occur in the range from 3,450 to 3,650 cm–1. Similar bands are also observed in natural, aluminous orthopyroxenes and are most likely caused by protons coupled with Al according to the substitution of Al3++H+ for Si4+. A series of hydrous annealing experiments on a natural, gem-quality aluminous enstatite from Tanzania yielded water solubilities generally consistent with the results from the synthetic model systems. The results presented here imply that pure enstatite has a similar storage capacity for water as olivine; however, aluminous orthopyroxenes in the mantle may dissolve much larger amounts of water comparable with the entire mass of the present hydrosphere. Moreover, the mechanism of aluminum substitution in orthopyroxenes, i.e., the distribution of Al between tetrahedral and octahedral sites, may be a potential probe of water fugacity.","container-title":"Contributions to Mineralogy and Petrology","DOI":"10.1007/s00410-002-0365-6","ISSN":"0010-7999, 1432-0967","issue":"5","journalAbbreviation":"Contributions to Mineralogy and Petrology","language":"en","page":"525-536","source":"link.springer.com","title":"Water solubility in orthopyroxene","volume":"143","author":[{"family":"Rauch","given":"Markus"},{"family":"Keppler","given":"Hans"}],"issued":{"date-parts":[["2002",8,1]]}}}],"schema":"https://github.com/citation-style-language/schema/raw/master/csl-citation.json"} </w:instrText>
      </w:r>
      <w:r w:rsidR="00AD32BA">
        <w:fldChar w:fldCharType="separate"/>
      </w:r>
      <w:r w:rsidR="00636367">
        <w:t>(Rauch and Keppler, 2002; Kohn, 2006)</w:t>
      </w:r>
      <w:r w:rsidR="00AD32BA">
        <w:fldChar w:fldCharType="end"/>
      </w:r>
      <w:r w:rsidR="00AD32BA">
        <w:t xml:space="preserve"> </w:t>
      </w:r>
      <w:r w:rsidR="00424BE4">
        <w:t>and</w:t>
      </w:r>
      <w:r w:rsidR="00AD32BA">
        <w:t xml:space="preserve"> also that the mineral-melt partitioning of Al in pyroxene </w:t>
      </w:r>
      <w:r w:rsidR="00F4388E">
        <w:t xml:space="preserve">has </w:t>
      </w:r>
      <w:r w:rsidR="00AD32BA">
        <w:t xml:space="preserve">a strong, non-linear pressure dependency </w:t>
      </w:r>
      <w:r w:rsidR="00AD32BA">
        <w:fldChar w:fldCharType="begin"/>
      </w:r>
      <w:r w:rsidR="008E0CCC">
        <w:instrText xml:space="preserve"> ADDIN ZOTERO_ITEM CSL_CITATION {"citationID":"J4RBlTPf","properties":{"formattedCitation":"(Tenner et al., 2009; Novella et al., 2014)","plainCitation":"(Tenner et al., 2009; Novella et al., 2014)","noteIndex":0},"citationItems":[{"id":3068,"uris":["http://zotero.org/users/88665/items/XGMGHXVG"],"uri":["http://zotero.org/users/88665/items/XGMGHXVG"],"itemData":{"id":3068,"type":"article-journal","abstract":"The partitioning of H2O between a mantle peridotite assemblage and low degree hydrous melt has been investigated at 6 GPa (corresponding to </w:instrText>
      </w:r>
      <w:r w:rsidR="008E0CCC">
        <w:rPr>
          <w:rFonts w:ascii="Cambria Math" w:hAnsi="Cambria Math" w:cs="Cambria Math"/>
        </w:rPr>
        <w:instrText>∼</w:instrText>
      </w:r>
      <w:r w:rsidR="008E0CCC">
        <w:instrText xml:space="preserve">180 km depth) at a temperature of 1400 °C. Peridotite mineral phases were analysed from 6 melting experiments performed in a natural chemical system. The experiments contained </w:instrText>
      </w:r>
      <w:r w:rsidR="008E0CCC">
        <w:rPr>
          <w:rFonts w:ascii="Cambria Math" w:hAnsi="Cambria Math" w:cs="Cambria Math"/>
        </w:rPr>
        <w:instrText>∼</w:instrText>
      </w:r>
      <w:r w:rsidR="008E0CCC">
        <w:instrText xml:space="preserve">80 wt% of a low degree hydrous melt that was obtained through a series of experiments where the melt composition was iteratively adjusted until saturation with the appropriate peridotite assemblage was achieved. The melt is fluid-undersaturated at the conditions of the experiment. Ion microprobe measurements of the mineral phases indicate olivine H2O concentrations of 434 ± 61 ppm wt and average clinopyroxene (cpx) concentrations of 1268 ± 173 ppm wt H2O. Orthopyroxene (opx) and garnet contain 700 ± 46 ppm wt and 347 ± 83 ppm wt H2O, respectively. The H2O content of the hydrous melts was determined by mass balance to be 11 ± 0.5 wt% H2O. H2O partition coefficients between minerals and melt ( D H 2 O min / melt = X H 2 O min / X H 2 O melt ) are 0.0040 ± 0.0006 for olivine, 0.0064 ± 0.0004 for opx, 0.0115 ± 0.0016 for cpx and 0.0032 ± 0.0008 for garnet.\n\nUsing the determined H2O partition coefficients the onset and extent of melting at conditions equivalent to 180 km below mid-ocean ridges was determined as a function of mantle H2O content. Current estimates for the H2O content of the depleted mantle (50–200 ppm wt H2O) are insufficient to induce mantle melting at this depth, which requires </w:instrText>
      </w:r>
      <w:r w:rsidR="008E0CCC">
        <w:rPr>
          <w:rFonts w:ascii="Cambria Math" w:hAnsi="Cambria Math" w:cs="Cambria Math"/>
        </w:rPr>
        <w:instrText>∼</w:instrText>
      </w:r>
      <w:r w:rsidR="008E0CCC">
        <w:instrText xml:space="preserve">700 ppm wt H2O to produce 0.1% melting and 1600 ppm wt H2O for 1% melting, along an adiabat with a potential temperature of 1327 °C. Melting can occur at these conditions within the mantle source of ocean island basalts, which are estimated to contain up to 900 ppm wt H2O. If adiabatic temperatures are 200 °C higher within such plume related sources, then melt fractions of over 1% can be reached at 180 km depth. In addition, a model for the distribution of H2O between peridotite mineral phases as a function of depth and at H2O-undersaturated conditions is constructed. The model indicates that for a fixed mantle composition containing 150 ppm wt H2O, the olivine H2O content will increase with depth solely due to changes in inter-phase partitioning and modal proportions of minerals. The change in the olivine H2O concentration with depth corresponds to proposed changes in the dominant olivine slip system for deformation by dislocation creep, that might provide an explanation for the reduction in seismic anisotropy observed at depths &amp;gt;200 km.","container-title":"Earth and Planetary Science Letters","DOI":"10.1016/j.epsl.2014.05.006","ISSN":"0012-821X","journalAbbreviation":"Earth and Planetary Science Letters","note":"00000","page":"1-13","source":"ScienceDirect","title":"The distribution of H2O between silicate melt and nominally anhydrous peridotite and the onset of hydrous melting in the deep upper mantle","volume":"400","author":[{"family":"Novella","given":"Davide"},{"family":"Frost","given":"Daniel J."},{"family":"Hauri","given":"Erik H."},{"family":"Bureau","given":"Helene"},{"family":"Raepsaet","given":"Caroline"},{"family":"Roberge","given":"Mathilde"}],"issued":{"date-parts":[["2014",8,15]]}}},{"id":3408,"uris":["http://zotero.org/users/88665/items/AHF2RTV3"],"uri":["http://zotero.org/users/88665/items/AHF2RTV3"],"itemData":{"id":3408,"type":"article-journal","abstract":"To extend our knowledge of partitioning of hydrogen between nominally anhydrous mantle minerals and basaltic melts to higher pressures, we conducted 8 experiments at 3–5 GPa and 1350–1440 °C on a modified mid-ocean ridge basalt (MORB) + 2 wt.% H2O. H contents in olivine, orthopyroxene, clinopyroxene, and garnet were measured by counting 16O1H ions with low-blank SIMS, and total H2O concentrations in coexisting glasses were measured by FTIR, SIMS, and electron microprobe. The glasses have water contents ranging from 4.1 to 8.9 wt.%. Eleven measured pyroxenes have H2O concentrations ranging from 430 to 1430 ppm, two garnets have concentrations of 73 and 260 ppm, and one olivine has a concentration of 29 ppm. Mineral/melt hydrogen partition coefficients are as follows: DHcpx/melt ranges from 0.014–0.021, DHopx/melt ranges from 0.009–0.019, DHgt/melt ranges from 0.001–0.0033, and DHol/melt has a value of 0.0006. Mineral/mineral hydrogen partitioning data are as follows: DHcpx/opxranges from 1.2–2, DHcpx/gt has values of 5.5 and 14, and a single DHcpx/ol has a value of 27. DHpyx/melt correlates with the concentration of Al2O3 in pyroxene and with the concentration of Al on tetrahedral sites. Combining the mineral/melt hydrogen partitioning data from this study, and estimates of mineral modes and compositions along the solidus, we estimate that DHperid/melt increases from 0.006 at 1 GPa up to 0.01 near the garnet lherzolite/spinel lherzolite transition, owing to the maximum in Al2O3 concentration in pyroxenes. With increasing pressure DHperid/melt for garnet lherzolite diminishes to 0.005 at 5 GPa, as pyroxenes become less aluminous and less abundant. As a result, incipient hydrous melts beneath oceanic ridges with bulk mantle H2O contents of 50–200 ppm will have solidus partial melts with H2O contents between 0.5 and 3.8 wt.%, while oceanic island mantle with 300–1000 ppm will have solidus partial melts with H2O content between 3 and 20 wt.%.","container-title":"Volatiles and Volatile-Bearing Melts in the Earth's Interior","DOI":"10.1016/j.chemgeo.2008.12.006","ISSN":"0009-2541","issue":"1–2","journalAbbreviation":"Chemical Geology","note":"00105","page":"42-56","title":"Hydrogen partitioning between nominally anhydrous upper mantle minerals and melt between 3 and 5 GPa and applications to hydrous peridotite partial melting","volume":"262","author":[{"family":"Tenner","given":"Travis J."},{"family":"Hirschmann","given":"Marc M."},{"family":"Withers","given":"Anthony C."},{"family":"Hervig","given":"Richard L."}],"issued":{"date-parts":[["2009",5,15]]}}}],"schema":"https://github.com/citation-style-language/schema/raw/master/csl-citation.json"} </w:instrText>
      </w:r>
      <w:r w:rsidR="00AD32BA">
        <w:fldChar w:fldCharType="separate"/>
      </w:r>
      <w:r w:rsidR="00636367">
        <w:t>(Tenner et al., 2009; Novella et al., 2014)</w:t>
      </w:r>
      <w:r w:rsidR="00AD32BA">
        <w:fldChar w:fldCharType="end"/>
      </w:r>
      <w:r w:rsidR="00AD32BA">
        <w:t xml:space="preserve">. In </w:t>
      </w:r>
      <w:r w:rsidR="00AD32BA" w:rsidRPr="00457F2A">
        <w:rPr>
          <w:b/>
        </w:rPr>
        <w:t xml:space="preserve">Figure </w:t>
      </w:r>
      <w:r w:rsidR="00AD32BA">
        <w:rPr>
          <w:b/>
          <w:color w:val="000000" w:themeColor="text1"/>
        </w:rPr>
        <w:t>6</w:t>
      </w:r>
      <w:r w:rsidR="00A71ED4">
        <w:rPr>
          <w:b/>
          <w:color w:val="000000" w:themeColor="text1"/>
        </w:rPr>
        <w:t>a</w:t>
      </w:r>
      <w:r w:rsidR="00AD32BA" w:rsidRPr="00457F2A">
        <w:rPr>
          <w:color w:val="FF0000"/>
        </w:rPr>
        <w:t xml:space="preserve"> </w:t>
      </w:r>
      <w:r w:rsidR="00AD32BA">
        <w:t xml:space="preserve">we show how the calculated </w:t>
      </w:r>
      <w:r w:rsidR="00AD32BA" w:rsidRPr="00CB30EF">
        <w:t>H</w:t>
      </w:r>
      <w:r w:rsidR="00AD32BA" w:rsidRPr="00CB30EF">
        <w:rPr>
          <w:vertAlign w:val="subscript"/>
        </w:rPr>
        <w:t>2</w:t>
      </w:r>
      <w:r w:rsidR="00AD32BA" w:rsidRPr="00CB30EF">
        <w:t>O</w:t>
      </w:r>
      <w:r w:rsidR="00AD32BA">
        <w:t xml:space="preserve"> contents of clinopyroxenes vary according to the stable aluminium-bearing phase and composition of metasomatising melts. This reflects the large change in experimentally derived </w:t>
      </w:r>
      <m:oMath>
        <m:sSubSup>
          <m:sSubSupPr>
            <m:ctrlPr>
              <w:rPr>
                <w:rFonts w:ascii="Cambria Math" w:hAnsi="Cambria Math"/>
                <w:i/>
              </w:rPr>
            </m:ctrlPr>
          </m:sSubSupPr>
          <m:e>
            <m:r>
              <w:rPr>
                <w:rFonts w:ascii="Cambria Math" w:hAnsi="Cambria Math"/>
              </w:rPr>
              <m:t>D</m:t>
            </m:r>
          </m:e>
          <m:sub>
            <m:r>
              <w:rPr>
                <w:rFonts w:ascii="Cambria Math" w:hAnsi="Cambria Math"/>
              </w:rPr>
              <m:t>Al</m:t>
            </m:r>
          </m:sub>
          <m:sup>
            <m:r>
              <w:rPr>
                <w:rFonts w:ascii="Cambria Math" w:hAnsi="Cambria Math"/>
              </w:rPr>
              <m:t>Cpx-melt</m:t>
            </m:r>
          </m:sup>
        </m:sSubSup>
      </m:oMath>
      <w:r w:rsidR="00AD32BA">
        <w:t xml:space="preserve"> values as the stable aluminous phase changes from garnet to spinel </w:t>
      </w:r>
      <w:r w:rsidR="00AD32BA">
        <w:fldChar w:fldCharType="begin"/>
      </w:r>
      <w:r w:rsidR="008E0CCC">
        <w:instrText xml:space="preserve"> ADDIN ZOTERO_ITEM CSL_CITATION {"citationID":"e5k7chp2","properties":{"formattedCitation":"(Tenner et al., 2009; Novella et al., 2014)","plainCitation":"(Tenner et al., 2009; Novella et al., 2014)","noteIndex":0},"citationItems":[{"id":3068,"uris":["http://zotero.org/users/88665/items/XGMGHXVG"],"uri":["http://zotero.org/users/88665/items/XGMGHXVG"],"itemData":{"id":3068,"type":"article-journal","abstract":"The partitioning of H2O between a mantle peridotite assemblage and low degree hydrous melt has been investigated at 6 GPa (corresponding to </w:instrText>
      </w:r>
      <w:r w:rsidR="008E0CCC">
        <w:rPr>
          <w:rFonts w:ascii="Cambria Math" w:hAnsi="Cambria Math" w:cs="Cambria Math"/>
        </w:rPr>
        <w:instrText>∼</w:instrText>
      </w:r>
      <w:r w:rsidR="008E0CCC">
        <w:instrText xml:space="preserve">180 km depth) at a temperature of 1400 °C. Peridotite mineral phases were analysed from 6 melting experiments performed in a natural chemical system. The experiments contained </w:instrText>
      </w:r>
      <w:r w:rsidR="008E0CCC">
        <w:rPr>
          <w:rFonts w:ascii="Cambria Math" w:hAnsi="Cambria Math" w:cs="Cambria Math"/>
        </w:rPr>
        <w:instrText>∼</w:instrText>
      </w:r>
      <w:r w:rsidR="008E0CCC">
        <w:instrText xml:space="preserve">80 wt% of a low degree hydrous melt that was obtained through a series of experiments where the melt composition was iteratively adjusted until saturation with the appropriate peridotite assemblage was achieved. The melt is fluid-undersaturated at the conditions of the experiment. Ion microprobe measurements of the mineral phases indicate olivine H2O concentrations of 434 ± 61 ppm wt and average clinopyroxene (cpx) concentrations of 1268 ± 173 ppm wt H2O. Orthopyroxene (opx) and garnet contain 700 ± 46 ppm wt and 347 ± 83 ppm wt H2O, respectively. The H2O content of the hydrous melts was determined by mass balance to be 11 ± 0.5 wt% H2O. H2O partition coefficients between minerals and melt ( D H 2 O min / melt = X H 2 O min / X H 2 O melt ) are 0.0040 ± 0.0006 for olivine, 0.0064 ± 0.0004 for opx, 0.0115 ± 0.0016 for cpx and 0.0032 ± 0.0008 for garnet.\n\nUsing the determined H2O partition coefficients the onset and extent of melting at conditions equivalent to 180 km below mid-ocean ridges was determined as a function of mantle H2O content. Current estimates for the H2O content of the depleted mantle (50–200 ppm wt H2O) are insufficient to induce mantle melting at this depth, which requires </w:instrText>
      </w:r>
      <w:r w:rsidR="008E0CCC">
        <w:rPr>
          <w:rFonts w:ascii="Cambria Math" w:hAnsi="Cambria Math" w:cs="Cambria Math"/>
        </w:rPr>
        <w:instrText>∼</w:instrText>
      </w:r>
      <w:r w:rsidR="008E0CCC">
        <w:instrText xml:space="preserve">700 ppm wt H2O to produce 0.1% melting and 1600 ppm wt H2O for 1% melting, along an adiabat with a potential temperature of 1327 °C. Melting can occur at these conditions within the mantle source of ocean island basalts, which are estimated to contain up to 900 ppm wt H2O. If adiabatic temperatures are 200 °C higher within such plume related sources, then melt fractions of over 1% can be reached at 180 km depth. In addition, a model for the distribution of H2O between peridotite mineral phases as a function of depth and at H2O-undersaturated conditions is constructed. The model indicates that for a fixed mantle composition containing 150 ppm wt H2O, the olivine H2O content will increase with depth solely due to changes in inter-phase partitioning and modal proportions of minerals. The change in the olivine H2O concentration with depth corresponds to proposed changes in the dominant olivine slip system for deformation by dislocation creep, that might provide an explanation for the reduction in seismic anisotropy observed at depths &amp;gt;200 km.","container-title":"Earth and Planetary Science Letters","DOI":"10.1016/j.epsl.2014.05.006","ISSN":"0012-821X","journalAbbreviation":"Earth and Planetary Science Letters","note":"00000","page":"1-13","source":"ScienceDirect","title":"The distribution of H2O between silicate melt and nominally anhydrous peridotite and the onset of hydrous melting in the deep upper mantle","volume":"400","author":[{"family":"Novella","given":"Davide"},{"family":"Frost","given":"Daniel J."},{"family":"Hauri","given":"Erik H."},{"family":"Bureau","given":"Helene"},{"family":"Raepsaet","given":"Caroline"},{"family":"Roberge","given":"Mathilde"}],"issued":{"date-parts":[["2014",8,15]]}}},{"id":3408,"uris":["http://zotero.org/users/88665/items/AHF2RTV3"],"uri":["http://zotero.org/users/88665/items/AHF2RTV3"],"itemData":{"id":3408,"type":"article-journal","abstract":"To extend our knowledge of partitioning of hydrogen between nominally anhydrous mantle minerals and basaltic melts to higher pressures, we conducted 8 experiments at 3–5 GPa and 1350–1440 °C on a modified mid-ocean ridge basalt (MORB) + 2 wt.% H2O. H contents in olivine, orthopyroxene, clinopyroxene, and garnet were measured by counting 16O1H ions with low-blank SIMS, and total H2O concentrations in coexisting glasses were measured by FTIR, SIMS, and electron microprobe. The glasses have water contents ranging from 4.1 to 8.9 wt.%. Eleven measured pyroxenes have H2O concentrations ranging from 430 to 1430 ppm, two garnets have concentrations of 73 and 260 ppm, and one olivine has a concentration of 29 ppm. Mineral/melt hydrogen partition coefficients are as follows: DHcpx/melt ranges from 0.014–0.021, DHopx/melt ranges from 0.009–0.019, DHgt/melt ranges from 0.001–0.0033, and DHol/melt has a value of 0.0006. Mineral/mineral hydrogen partitioning data are as follows: DHcpx/opxranges from 1.2–2, DHcpx/gt has values of 5.5 and 14, and a single DHcpx/ol has a value of 27. DHpyx/melt correlates with the concentration of Al2O3 in pyroxene and with the concentration of Al on tetrahedral sites. Combining the mineral/melt hydrogen partitioning data from this study, and estimates of mineral modes and compositions along the solidus, we estimate that DHperid/melt increases from 0.006 at 1 GPa up to 0.01 near the garnet lherzolite/spinel lherzolite transition, owing to the maximum in Al2O3 concentration in pyroxenes. With increasing pressure DHperid/melt for garnet lherzolite diminishes to 0.005 at 5 GPa, as pyroxenes become less aluminous and less abundant. As a result, incipient hydrous melts beneath oceanic ridges with bulk mantle H2O contents of 50–200 ppm will have solidus partial melts with H2O contents between 0.5 and 3.8 wt.%, while oceanic island mantle with 300–1000 ppm will have solidus partial melts with H2O content between 3 and 20 wt.%.","container-title":"Volatiles and Volatile-Bearing Melts in the Earth's Interior","DOI":"10.1016/j.chemgeo.2008.12.006","ISSN":"0009-2541","issue":"1–2","journalAbbreviation":"Chemical Geology","note":"00105","page":"42-56","title":"Hydrogen partitioning between nominally anhydrous upper mantle minerals and melt between 3 and 5 GPa and applications to hydrous peridotite partial melting","volume":"262","author":[{"family":"Tenner","given":"Travis J."},{"family":"Hirschmann","given":"Marc M."},{"family":"Withers","given":"Anthony C."},{"family":"Hervig","given":"Richard L."}],"issued":{"date-parts":[["2009",5,15]]}}}],"schema":"https://github.com/citation-style-language/schema/raw/master/csl-citation.json"} </w:instrText>
      </w:r>
      <w:r w:rsidR="00AD32BA">
        <w:fldChar w:fldCharType="separate"/>
      </w:r>
      <w:r w:rsidR="00636367">
        <w:t>(Tenner et al., 2009; Novella et al., 2014)</w:t>
      </w:r>
      <w:r w:rsidR="00AD32BA">
        <w:fldChar w:fldCharType="end"/>
      </w:r>
      <w:r w:rsidR="00AD32BA">
        <w:t xml:space="preserve">. </w:t>
      </w:r>
      <w:r w:rsidR="00B626A2">
        <w:t>For regions of unextended ‘off-craton” mantle our</w:t>
      </w:r>
      <w:r w:rsidR="00B626A2" w:rsidRPr="00457F2A">
        <w:t xml:space="preserve"> </w:t>
      </w:r>
      <w:r w:rsidR="00AD32BA" w:rsidRPr="00457F2A">
        <w:t>calculations predict that</w:t>
      </w:r>
      <w:r w:rsidR="00424BE4">
        <w:t>,</w:t>
      </w:r>
      <w:r w:rsidR="00AD32BA" w:rsidRPr="00457F2A">
        <w:t xml:space="preserve"> </w:t>
      </w:r>
      <w:r w:rsidR="00A71ED4">
        <w:t xml:space="preserve">as garnet is </w:t>
      </w:r>
      <w:r w:rsidR="00F4388E">
        <w:t xml:space="preserve">gradually </w:t>
      </w:r>
      <w:r w:rsidR="00A71ED4">
        <w:t>replaced by spinel</w:t>
      </w:r>
      <w:r w:rsidR="00AD32BA">
        <w:t xml:space="preserve"> </w:t>
      </w:r>
      <w:r w:rsidR="00B626A2">
        <w:t>(i.e. decreasing depth)</w:t>
      </w:r>
      <w:r w:rsidR="00424BE4">
        <w:t>,</w:t>
      </w:r>
      <w:r w:rsidR="00B626A2">
        <w:t xml:space="preserve"> </w:t>
      </w:r>
      <w:r w:rsidR="00AD32BA">
        <w:t xml:space="preserve">there should be a large decrease in the </w:t>
      </w:r>
      <w:r w:rsidR="00AD32BA" w:rsidRPr="00CB30EF">
        <w:t>H</w:t>
      </w:r>
      <w:r w:rsidR="00AD32BA" w:rsidRPr="00CB30EF">
        <w:rPr>
          <w:vertAlign w:val="subscript"/>
        </w:rPr>
        <w:t>2</w:t>
      </w:r>
      <w:r w:rsidR="00AD32BA" w:rsidRPr="00CB30EF">
        <w:t>O</w:t>
      </w:r>
      <w:r w:rsidR="00AD32BA">
        <w:t xml:space="preserve"> contents of </w:t>
      </w:r>
      <w:r w:rsidR="00A71ED4">
        <w:t xml:space="preserve">co-existing mantle </w:t>
      </w:r>
      <w:r w:rsidR="00AD32BA">
        <w:t xml:space="preserve">clinopyroxenes (650 to 275 </w:t>
      </w:r>
      <w:r w:rsidR="00C5757D">
        <w:t>ppmw</w:t>
      </w:r>
      <w:r w:rsidR="00AD32BA">
        <w:t xml:space="preserve">; </w:t>
      </w:r>
      <w:r w:rsidR="00AD32BA" w:rsidRPr="00457F2A">
        <w:rPr>
          <w:b/>
        </w:rPr>
        <w:t xml:space="preserve">Figure </w:t>
      </w:r>
      <w:r w:rsidR="00AD32BA">
        <w:rPr>
          <w:b/>
        </w:rPr>
        <w:t>6</w:t>
      </w:r>
      <w:r w:rsidR="00A71ED4">
        <w:rPr>
          <w:b/>
        </w:rPr>
        <w:t>a</w:t>
      </w:r>
      <w:r w:rsidR="00AD32BA">
        <w:t xml:space="preserve">). </w:t>
      </w:r>
      <w:r w:rsidR="00F4388E">
        <w:t>T</w:t>
      </w:r>
      <w:r w:rsidR="00AD32BA">
        <w:t xml:space="preserve">he </w:t>
      </w:r>
      <w:r w:rsidR="00AD32BA" w:rsidRPr="00CB30EF">
        <w:t>H</w:t>
      </w:r>
      <w:r w:rsidR="00AD32BA" w:rsidRPr="00CB30EF">
        <w:rPr>
          <w:vertAlign w:val="subscript"/>
        </w:rPr>
        <w:t>2</w:t>
      </w:r>
      <w:r w:rsidR="00AD32BA" w:rsidRPr="00CB30EF">
        <w:t>O</w:t>
      </w:r>
      <w:r w:rsidR="00AD32BA">
        <w:t xml:space="preserve"> contents of clinopyroxenes from </w:t>
      </w:r>
      <w:r w:rsidR="005A5A6C">
        <w:t>a spinel-</w:t>
      </w:r>
      <w:r w:rsidR="00AD32BA">
        <w:t xml:space="preserve">garnet peridotite at Pali Aike </w:t>
      </w:r>
      <w:r w:rsidR="005A5A6C">
        <w:t xml:space="preserve">(LT6) </w:t>
      </w:r>
      <w:r w:rsidR="00AD32BA">
        <w:t xml:space="preserve">are higher than those predicted by our model </w:t>
      </w:r>
      <w:r w:rsidR="00F4388E">
        <w:t xml:space="preserve">but </w:t>
      </w:r>
      <w:r w:rsidR="00AD32BA">
        <w:t xml:space="preserve">can be readily explained by the additional preferential </w:t>
      </w:r>
      <w:r w:rsidR="00F4388E">
        <w:t xml:space="preserve">sub-solidus </w:t>
      </w:r>
      <w:r w:rsidR="00AD32BA">
        <w:t xml:space="preserve">partitioning of </w:t>
      </w:r>
      <w:r w:rsidR="00F4388E" w:rsidRPr="00CB30EF">
        <w:t>H</w:t>
      </w:r>
      <w:r w:rsidR="00F4388E" w:rsidRPr="00CB30EF">
        <w:rPr>
          <w:vertAlign w:val="subscript"/>
        </w:rPr>
        <w:t>2</w:t>
      </w:r>
      <w:r w:rsidR="00F4388E" w:rsidRPr="00CB30EF">
        <w:t>O</w:t>
      </w:r>
      <w:r w:rsidR="00AD32BA">
        <w:t xml:space="preserve"> into clinopyroxene </w:t>
      </w:r>
      <w:r w:rsidR="0094629A">
        <w:t xml:space="preserve">or more rapid diffusion than Al </w:t>
      </w:r>
      <w:r w:rsidR="00AD32BA">
        <w:t xml:space="preserve">(see above). </w:t>
      </w:r>
    </w:p>
    <w:p w14:paraId="4205418B" w14:textId="41533AA0" w:rsidR="00FA44A7" w:rsidRDefault="00FA44A7" w:rsidP="00C20C0B">
      <w:pPr>
        <w:widowControl w:val="0"/>
        <w:autoSpaceDE w:val="0"/>
        <w:autoSpaceDN w:val="0"/>
        <w:adjustRightInd w:val="0"/>
        <w:spacing w:line="480" w:lineRule="auto"/>
        <w:ind w:firstLine="360"/>
        <w:jc w:val="both"/>
      </w:pPr>
      <w:r>
        <w:t xml:space="preserve">We observed less </w:t>
      </w:r>
      <w:r w:rsidR="00F4388E">
        <w:t>variability of</w:t>
      </w:r>
      <w:r>
        <w:t xml:space="preserve"> F than </w:t>
      </w:r>
      <w:r w:rsidR="00F4388E" w:rsidRPr="00CB30EF">
        <w:t>H</w:t>
      </w:r>
      <w:r w:rsidR="00F4388E" w:rsidRPr="00CB30EF">
        <w:rPr>
          <w:vertAlign w:val="subscript"/>
        </w:rPr>
        <w:t>2</w:t>
      </w:r>
      <w:r w:rsidR="00F4388E" w:rsidRPr="00CB30EF">
        <w:t>O</w:t>
      </w:r>
      <w:r>
        <w:t xml:space="preserve"> </w:t>
      </w:r>
      <w:r w:rsidR="00E14F16">
        <w:t>in pyroxenes</w:t>
      </w:r>
      <w:r w:rsidR="00702208">
        <w:t xml:space="preserve"> </w:t>
      </w:r>
      <w:r w:rsidR="00E14F16">
        <w:t xml:space="preserve">from </w:t>
      </w:r>
      <w:r w:rsidR="00702208">
        <w:t>garnet</w:t>
      </w:r>
      <w:r w:rsidR="00F56D33">
        <w:t>-</w:t>
      </w:r>
      <w:r w:rsidR="00702208">
        <w:t xml:space="preserve"> and spinel</w:t>
      </w:r>
      <w:r w:rsidR="00F56D33">
        <w:t>-</w:t>
      </w:r>
      <w:r w:rsidR="00702208">
        <w:t xml:space="preserve">bearing </w:t>
      </w:r>
      <w:r w:rsidR="00702208">
        <w:lastRenderedPageBreak/>
        <w:t>peridotites</w:t>
      </w:r>
      <w:r w:rsidR="00F4388E">
        <w:t xml:space="preserve">. This </w:t>
      </w:r>
      <w:r>
        <w:t xml:space="preserve">may reflect the </w:t>
      </w:r>
      <w:r w:rsidR="00AD32BA">
        <w:t>much smaller control of the stable aluminous phase on the partitioning of F (and Ti) than Al and H</w:t>
      </w:r>
      <w:r>
        <w:t xml:space="preserve">. We likewise believe that the </w:t>
      </w:r>
      <w:r w:rsidR="001D17E0">
        <w:t xml:space="preserve">very </w:t>
      </w:r>
      <w:r>
        <w:t xml:space="preserve">high Ti and F contents of Ti-Al augites in the clinopyroxenites primarily reflect </w:t>
      </w:r>
      <w:r w:rsidR="00C6783D">
        <w:t xml:space="preserve">their crystallisation from </w:t>
      </w:r>
      <w:r w:rsidR="00C11483">
        <w:t xml:space="preserve">small-fraction </w:t>
      </w:r>
      <w:r w:rsidR="00C6783D">
        <w:t xml:space="preserve">melts </w:t>
      </w:r>
      <w:r w:rsidR="00C11483">
        <w:t xml:space="preserve">(alkali basalts) </w:t>
      </w:r>
      <w:r w:rsidR="00C6783D">
        <w:t>percolating through channels in the lithospheric mantle</w:t>
      </w:r>
      <w:r>
        <w:t xml:space="preserve"> rather than </w:t>
      </w:r>
      <w:r w:rsidR="001D17E0">
        <w:t xml:space="preserve">extreme </w:t>
      </w:r>
      <w:r>
        <w:t xml:space="preserve">partitioning effects </w:t>
      </w:r>
      <w:r w:rsidR="00702208">
        <w:t>at</w:t>
      </w:r>
      <w:r>
        <w:t xml:space="preserve"> very low sub-solidus equilibration temperatures. </w:t>
      </w:r>
      <w:r w:rsidR="009E0198">
        <w:t xml:space="preserve">Unlike H and F, the partitioning of Li between NVFMMs is believed to be independent of </w:t>
      </w:r>
      <w:r w:rsidR="009E0198" w:rsidRPr="009B315C">
        <w:rPr>
          <w:i/>
        </w:rPr>
        <w:t>P</w:t>
      </w:r>
      <w:r w:rsidR="009E0198">
        <w:t xml:space="preserve">, </w:t>
      </w:r>
      <w:r w:rsidR="009E0198" w:rsidRPr="009B315C">
        <w:rPr>
          <w:i/>
        </w:rPr>
        <w:t>T</w:t>
      </w:r>
      <w:r w:rsidR="009E0198">
        <w:t xml:space="preserve"> and bulk chemistry and more closely linked to the composition of percolating metasomatic melts</w:t>
      </w:r>
      <w:r w:rsidR="009945DC">
        <w:t xml:space="preserve">, making it </w:t>
      </w:r>
      <w:r w:rsidR="00AF2606">
        <w:t>a suitable trace of metasomatic processes</w:t>
      </w:r>
      <w:r w:rsidR="009E0198">
        <w:t xml:space="preserve"> </w:t>
      </w:r>
      <w:r w:rsidR="009E0198">
        <w:fldChar w:fldCharType="begin"/>
      </w:r>
      <w:r w:rsidR="008E0CCC">
        <w:instrText xml:space="preserve"> ADDIN ZOTERO_ITEM CSL_CITATION {"citationID":"1Le5EULx","properties":{"formattedCitation":"(Seitz and Woodland, 2000)","plainCitation":"(Seitz and Woodland, 2000)","noteIndex":0},"citationItems":[{"id":4215,"uris":["http://zotero.org/users/88665/items/PV6X89EY"],"uri":["http://zotero.org/users/88665/items/PV6X89EY"],"itemData":{"id":4215,"type":"article-journal","abstract":"Lithium concentrations in orthopyroxene, clinopyroxene, olivine, garnet or spinel from equilibrated spinel peridotite, garnet peridotite and garnet pyroxenite xenoliths and from metasomatised peridotites and pyroxenites were measured using the ion-microprobe (SIMS). With respect to changes in physical and chemical parameters, we present new data on lithium contents in mantle minerals and its partitioning behaviour in (1) equilibrated and (2) metasomatised samples. Lithium is preferentially incorporated into olivine, ranging between 1 and 2 ppm in equilibrated unmetasomatised peridotites. Pyroxenes from peridotitic xenoliths have Li concentrations on the order of several hundred ppb up to 1.3 ppm, while pyroxenes from pyroxenites have somewhat higher abundances (1–3 ppm with a maximum of 19 ppm). The following partitioning relationships have been established: ol&gt;cpx≥opx</w:instrText>
      </w:r>
      <w:r w:rsidR="008E0CCC">
        <w:rPr>
          <w:rFonts w:ascii="Cambria Math" w:hAnsi="Cambria Math" w:cs="Cambria Math"/>
        </w:rPr>
        <w:instrText>≫</w:instrText>
      </w:r>
      <w:r w:rsidR="008E0CCC">
        <w:instrText xml:space="preserve">grt or sp for garnet and spinel peridotites, respectively, and cpx≥opx&gt;grt for garnet pyroxenites. The intercrystalline partitioning of Li is independent of T, P and bulk composition (for ultramafic to mafic compositions), making Li a suitable tracer element for chemical processes such as metasomatism. We estimate a bulk Li content of 1.0–1.5 ppm for fertile to moderately depleted lithospheric mantle. Low Li abundances in mantle peridotites and pyroxenites emphasise its incompatibility during partial melting and fractional crystallisation. However, elevated Li concentrations are present in some pyroxenites, presumably due to complete crystallisation of trapped partial melts. Metasomatised samples from peridotite massifs (Pyrenees and Ivrea Zone) and mantle nodules from two Victorian volcanic fields (Australia) clearly show enrichment of Li in both olivine and clinopyroxene, whereby the distribution of Li between olivine and clinopyroxene has generally not achieved equilibrium. Disequilibrium is manifested by preferential Li enrichment in either olivine or clinopyroxene depending on the type of metasomatic agent involved (carbonatite vs. mafic silicate melt). Differences in absolute Li abundances and in its partitioning behaviour allow the identification not only of metasomatic overprints, but also of magmatic processes such as partial melting, crystal fractionation and accumulation. The sensitivity of Li as such a chemical tracer gives an additional criterium for recognising cryptic metasomatism.","container-title":"Chemical Geology","DOI":"10.1016/S0009-2541(99)00184-9","ISSN":"0009-2541","issue":"1","journalAbbreviation":"Chemical Geology","page":"47-64","source":"ScienceDirect","title":"The distribution of lithium in peridotitic and pyroxenitic mantle lithologies — an indicator of magmatic and metasomatic processes","volume":"166","author":[{"family":"Seitz","given":"Hans-Michael"},{"family":"Woodland","given":"Alan B"}],"issued":{"date-parts":[["2000",5,1]]}}}],"schema":"https://github.com/citation-style-language/schema/raw/master/csl-citation.json"} </w:instrText>
      </w:r>
      <w:r w:rsidR="009E0198">
        <w:fldChar w:fldCharType="separate"/>
      </w:r>
      <w:r w:rsidR="00636367">
        <w:t>(Seitz and Woodland, 2000)</w:t>
      </w:r>
      <w:r w:rsidR="009E0198">
        <w:fldChar w:fldCharType="end"/>
      </w:r>
      <w:r w:rsidR="009E0198">
        <w:t xml:space="preserve">. </w:t>
      </w:r>
      <w:r w:rsidR="00702208">
        <w:t xml:space="preserve">We </w:t>
      </w:r>
      <w:r w:rsidR="004F72CD">
        <w:t xml:space="preserve">therefore </w:t>
      </w:r>
      <w:r w:rsidR="00702208">
        <w:t>conclude that sub-solidus re-equilibration is a</w:t>
      </w:r>
      <w:r w:rsidR="00E14F16">
        <w:t>n important</w:t>
      </w:r>
      <w:r w:rsidR="00702208">
        <w:t xml:space="preserve"> second order effect </w:t>
      </w:r>
      <w:r w:rsidR="004F72CD">
        <w:t>which</w:t>
      </w:r>
      <w:r w:rsidR="00E213A1">
        <w:t xml:space="preserve"> </w:t>
      </w:r>
      <w:r w:rsidR="00702208">
        <w:t>increases concentrations of both F and H (together with the LREEs and Ti) in mantle clinopyroxene relative to co-existing orthopyroxene</w:t>
      </w:r>
      <w:r w:rsidR="00E213A1">
        <w:t xml:space="preserve"> following metasomatism</w:t>
      </w:r>
      <w:r w:rsidR="00702208">
        <w:t>.</w:t>
      </w:r>
    </w:p>
    <w:p w14:paraId="35237A12" w14:textId="77777777" w:rsidR="001A4EF8" w:rsidRPr="00664206" w:rsidRDefault="001A4EF8" w:rsidP="00C20C0B">
      <w:pPr>
        <w:spacing w:line="480" w:lineRule="auto"/>
        <w:jc w:val="both"/>
        <w:rPr>
          <w:b/>
        </w:rPr>
      </w:pPr>
    </w:p>
    <w:p w14:paraId="184EED48" w14:textId="4AC3CAF5" w:rsidR="0056634E" w:rsidRPr="005E1F7A" w:rsidRDefault="00651363" w:rsidP="00C20C0B">
      <w:pPr>
        <w:pStyle w:val="Heading2"/>
        <w:numPr>
          <w:ilvl w:val="0"/>
          <w:numId w:val="25"/>
        </w:numPr>
        <w:spacing w:line="480" w:lineRule="auto"/>
        <w:ind w:left="360"/>
      </w:pPr>
      <w:r w:rsidRPr="00767B0C">
        <w:t xml:space="preserve">Implications for </w:t>
      </w:r>
      <w:r w:rsidR="008F65A4">
        <w:t xml:space="preserve">the </w:t>
      </w:r>
      <w:r w:rsidR="0056634E" w:rsidRPr="008E6AAF">
        <w:t>volatile</w:t>
      </w:r>
      <w:r w:rsidR="008F65A4">
        <w:t xml:space="preserve"> contents of</w:t>
      </w:r>
      <w:r w:rsidR="0056634E" w:rsidRPr="008E6AAF">
        <w:t xml:space="preserve"> </w:t>
      </w:r>
      <w:r w:rsidR="00C94697" w:rsidRPr="001A3548">
        <w:rPr>
          <w:szCs w:val="24"/>
        </w:rPr>
        <w:t xml:space="preserve">nominally-volatile free </w:t>
      </w:r>
      <w:r w:rsidR="00EB2C7F">
        <w:rPr>
          <w:szCs w:val="24"/>
        </w:rPr>
        <w:t xml:space="preserve">phases in global </w:t>
      </w:r>
      <w:r w:rsidR="00C94697" w:rsidRPr="001A3548">
        <w:rPr>
          <w:szCs w:val="24"/>
        </w:rPr>
        <w:t xml:space="preserve">mantle </w:t>
      </w:r>
      <w:r w:rsidR="00EB2C7F">
        <w:rPr>
          <w:szCs w:val="24"/>
        </w:rPr>
        <w:t>peridotites</w:t>
      </w:r>
    </w:p>
    <w:p w14:paraId="63E2E91B" w14:textId="20002891" w:rsidR="00664206" w:rsidRPr="00F01EA3" w:rsidRDefault="00334C3C" w:rsidP="00C20C0B">
      <w:pPr>
        <w:spacing w:line="480" w:lineRule="auto"/>
        <w:jc w:val="both"/>
        <w:rPr>
          <w:bCs/>
        </w:rPr>
      </w:pPr>
      <w:r w:rsidRPr="00F01EA3">
        <w:t>T</w:t>
      </w:r>
      <w:r w:rsidRPr="00F01EA3">
        <w:rPr>
          <w:bCs/>
        </w:rPr>
        <w:t xml:space="preserve">he large compositional variation of </w:t>
      </w:r>
      <w:r w:rsidR="00F94CAE" w:rsidRPr="00F01EA3">
        <w:rPr>
          <w:bCs/>
        </w:rPr>
        <w:t xml:space="preserve">NVFMMs in </w:t>
      </w:r>
      <w:r w:rsidR="007A050B" w:rsidRPr="00F01EA3">
        <w:rPr>
          <w:bCs/>
        </w:rPr>
        <w:t>the peri</w:t>
      </w:r>
      <w:r w:rsidR="00F94CAE" w:rsidRPr="00F01EA3">
        <w:rPr>
          <w:bCs/>
        </w:rPr>
        <w:t>dotite and pyroxenite xenoliths analysed in</w:t>
      </w:r>
      <w:r w:rsidRPr="00F01EA3">
        <w:t xml:space="preserve"> our study </w:t>
      </w:r>
      <w:r w:rsidRPr="00F01EA3">
        <w:rPr>
          <w:bCs/>
        </w:rPr>
        <w:t>provides a strong framework from which to evaluate the variability of H and F</w:t>
      </w:r>
      <w:r w:rsidRPr="00F01EA3" w:rsidDel="0047290E">
        <w:rPr>
          <w:bCs/>
        </w:rPr>
        <w:t xml:space="preserve"> </w:t>
      </w:r>
      <w:r w:rsidRPr="00F01EA3">
        <w:rPr>
          <w:bCs/>
        </w:rPr>
        <w:t xml:space="preserve">in </w:t>
      </w:r>
      <w:r w:rsidR="00C93A52" w:rsidRPr="00F01EA3">
        <w:rPr>
          <w:bCs/>
        </w:rPr>
        <w:t xml:space="preserve">published </w:t>
      </w:r>
      <w:r w:rsidRPr="00F01EA3">
        <w:rPr>
          <w:bCs/>
        </w:rPr>
        <w:t>datasets</w:t>
      </w:r>
      <w:r w:rsidR="00DD5D17" w:rsidRPr="00F01EA3">
        <w:rPr>
          <w:bCs/>
        </w:rPr>
        <w:t xml:space="preserve"> of global mantle</w:t>
      </w:r>
      <w:r w:rsidRPr="00F01EA3">
        <w:rPr>
          <w:bCs/>
        </w:rPr>
        <w:t xml:space="preserve">. </w:t>
      </w:r>
    </w:p>
    <w:p w14:paraId="1FEC8946" w14:textId="77777777" w:rsidR="00664206" w:rsidRPr="00664206" w:rsidRDefault="00664206" w:rsidP="00C20C0B">
      <w:pPr>
        <w:spacing w:line="480" w:lineRule="auto"/>
        <w:jc w:val="both"/>
        <w:rPr>
          <w:bCs/>
        </w:rPr>
      </w:pPr>
    </w:p>
    <w:p w14:paraId="18E8661E" w14:textId="6D9D0DE5" w:rsidR="00664206" w:rsidRPr="00767B0C" w:rsidRDefault="005D0400" w:rsidP="00C20C0B">
      <w:pPr>
        <w:pStyle w:val="Heading3"/>
        <w:spacing w:line="480" w:lineRule="auto"/>
      </w:pPr>
      <w:r>
        <w:rPr>
          <w:sz w:val="24"/>
          <w:szCs w:val="24"/>
        </w:rPr>
        <w:t>8</w:t>
      </w:r>
      <w:r w:rsidR="00756F06" w:rsidRPr="001A3548">
        <w:rPr>
          <w:sz w:val="24"/>
          <w:szCs w:val="24"/>
        </w:rPr>
        <w:t xml:space="preserve">.1 </w:t>
      </w:r>
      <w:r w:rsidR="00664206" w:rsidRPr="009B315C">
        <w:rPr>
          <w:sz w:val="24"/>
          <w:szCs w:val="24"/>
        </w:rPr>
        <w:t xml:space="preserve">Variability of </w:t>
      </w:r>
      <w:r w:rsidR="00F01EA3" w:rsidRPr="00442DC8">
        <w:t>H</w:t>
      </w:r>
      <w:r w:rsidR="00F01EA3" w:rsidRPr="00442DC8">
        <w:rPr>
          <w:vertAlign w:val="subscript"/>
        </w:rPr>
        <w:t>2</w:t>
      </w:r>
      <w:r w:rsidR="00F01EA3" w:rsidRPr="00442DC8">
        <w:t>O</w:t>
      </w:r>
      <w:r w:rsidR="00664206" w:rsidRPr="009B315C">
        <w:rPr>
          <w:sz w:val="24"/>
          <w:szCs w:val="24"/>
        </w:rPr>
        <w:t xml:space="preserve"> in </w:t>
      </w:r>
      <w:r w:rsidR="00664206" w:rsidRPr="001A3548">
        <w:rPr>
          <w:sz w:val="24"/>
          <w:szCs w:val="24"/>
        </w:rPr>
        <w:t xml:space="preserve">global nominally-volatile free mantle minerals </w:t>
      </w:r>
    </w:p>
    <w:p w14:paraId="7943145D" w14:textId="3C92AD21" w:rsidR="00182525" w:rsidRDefault="00334C3C" w:rsidP="00C20C0B">
      <w:pPr>
        <w:pStyle w:val="ListParagraph"/>
        <w:spacing w:line="480" w:lineRule="auto"/>
        <w:ind w:left="0"/>
        <w:jc w:val="both"/>
      </w:pPr>
      <w:r w:rsidRPr="00335D8C">
        <w:rPr>
          <w:rFonts w:ascii="Times New Roman" w:hAnsi="Times New Roman" w:cs="Times New Roman"/>
          <w:bCs/>
          <w:sz w:val="24"/>
          <w:szCs w:val="24"/>
        </w:rPr>
        <w:t xml:space="preserve">The </w:t>
      </w:r>
      <w:r w:rsidR="00C15D2D" w:rsidRPr="00335D8C">
        <w:rPr>
          <w:rFonts w:ascii="Times New Roman" w:hAnsi="Times New Roman" w:cs="Times New Roman"/>
          <w:sz w:val="24"/>
          <w:szCs w:val="24"/>
        </w:rPr>
        <w:t>H</w:t>
      </w:r>
      <w:r w:rsidR="001D5C88" w:rsidRPr="00335D8C">
        <w:rPr>
          <w:rFonts w:ascii="Times New Roman" w:hAnsi="Times New Roman" w:cs="Times New Roman"/>
          <w:sz w:val="24"/>
          <w:szCs w:val="24"/>
          <w:vertAlign w:val="subscript"/>
        </w:rPr>
        <w:t>2</w:t>
      </w:r>
      <w:r w:rsidR="001D5C88" w:rsidRPr="00335D8C">
        <w:rPr>
          <w:rFonts w:ascii="Times New Roman" w:hAnsi="Times New Roman" w:cs="Times New Roman"/>
          <w:sz w:val="24"/>
          <w:szCs w:val="24"/>
        </w:rPr>
        <w:t>O</w:t>
      </w:r>
      <w:r w:rsidR="00C15D2D" w:rsidRPr="00335D8C">
        <w:rPr>
          <w:rFonts w:ascii="Times New Roman" w:hAnsi="Times New Roman" w:cs="Times New Roman"/>
          <w:sz w:val="24"/>
          <w:szCs w:val="24"/>
        </w:rPr>
        <w:t xml:space="preserve"> concentrations </w:t>
      </w:r>
      <w:r w:rsidRPr="00335D8C">
        <w:rPr>
          <w:rFonts w:ascii="Times New Roman" w:hAnsi="Times New Roman" w:cs="Times New Roman"/>
          <w:sz w:val="24"/>
          <w:szCs w:val="24"/>
        </w:rPr>
        <w:t xml:space="preserve">that we have determined </w:t>
      </w:r>
      <w:r w:rsidR="00C15D2D" w:rsidRPr="00335D8C">
        <w:rPr>
          <w:rFonts w:ascii="Times New Roman" w:hAnsi="Times New Roman" w:cs="Times New Roman"/>
          <w:sz w:val="24"/>
          <w:szCs w:val="24"/>
        </w:rPr>
        <w:t xml:space="preserve">for </w:t>
      </w:r>
      <w:r w:rsidR="007A050B" w:rsidRPr="00335D8C">
        <w:rPr>
          <w:rFonts w:ascii="Times New Roman" w:hAnsi="Times New Roman" w:cs="Times New Roman"/>
          <w:bCs/>
          <w:sz w:val="24"/>
          <w:szCs w:val="24"/>
        </w:rPr>
        <w:t>NVFMMs</w:t>
      </w:r>
      <w:r w:rsidRPr="00335D8C">
        <w:rPr>
          <w:rFonts w:ascii="Times New Roman" w:hAnsi="Times New Roman" w:cs="Times New Roman"/>
          <w:sz w:val="24"/>
          <w:szCs w:val="24"/>
        </w:rPr>
        <w:t xml:space="preserve"> </w:t>
      </w:r>
      <w:r w:rsidR="00C15D2D" w:rsidRPr="00335D8C">
        <w:rPr>
          <w:rFonts w:ascii="Times New Roman" w:hAnsi="Times New Roman" w:cs="Times New Roman"/>
          <w:sz w:val="24"/>
          <w:szCs w:val="24"/>
        </w:rPr>
        <w:t>in xenoliths from southern Patago</w:t>
      </w:r>
      <w:r w:rsidR="0035762C" w:rsidRPr="00335D8C">
        <w:rPr>
          <w:rFonts w:ascii="Times New Roman" w:hAnsi="Times New Roman" w:cs="Times New Roman"/>
          <w:sz w:val="24"/>
          <w:szCs w:val="24"/>
        </w:rPr>
        <w:t>nia and the Antarctic Peninsula</w:t>
      </w:r>
      <w:r w:rsidR="00C15D2D" w:rsidRPr="00335D8C">
        <w:rPr>
          <w:rFonts w:ascii="Times New Roman" w:hAnsi="Times New Roman" w:cs="Times New Roman"/>
          <w:sz w:val="24"/>
          <w:szCs w:val="24"/>
        </w:rPr>
        <w:t xml:space="preserve"> fall within the range </w:t>
      </w:r>
      <w:r w:rsidR="00245812" w:rsidRPr="00335D8C">
        <w:rPr>
          <w:rFonts w:ascii="Times New Roman" w:hAnsi="Times New Roman" w:cs="Times New Roman"/>
          <w:sz w:val="24"/>
          <w:szCs w:val="24"/>
        </w:rPr>
        <w:t xml:space="preserve">previously </w:t>
      </w:r>
      <w:r w:rsidR="00C15D2D" w:rsidRPr="00335D8C">
        <w:rPr>
          <w:rFonts w:ascii="Times New Roman" w:hAnsi="Times New Roman" w:cs="Times New Roman"/>
          <w:sz w:val="24"/>
          <w:szCs w:val="24"/>
        </w:rPr>
        <w:t>measured for global subcontinental mantle</w:t>
      </w:r>
      <w:r w:rsidR="00EB2C7F">
        <w:rPr>
          <w:rFonts w:ascii="Times New Roman" w:hAnsi="Times New Roman" w:cs="Times New Roman"/>
          <w:sz w:val="24"/>
          <w:szCs w:val="24"/>
        </w:rPr>
        <w:t xml:space="preserve"> peridotites</w:t>
      </w:r>
      <w:r w:rsidR="00100A57" w:rsidRPr="00335D8C">
        <w:rPr>
          <w:rFonts w:ascii="Times New Roman" w:hAnsi="Times New Roman" w:cs="Times New Roman"/>
          <w:sz w:val="24"/>
          <w:szCs w:val="24"/>
        </w:rPr>
        <w:t xml:space="preserve">, </w:t>
      </w:r>
      <w:r w:rsidR="00424BE4">
        <w:rPr>
          <w:rFonts w:ascii="Times New Roman" w:hAnsi="Times New Roman" w:cs="Times New Roman"/>
          <w:sz w:val="24"/>
          <w:szCs w:val="24"/>
        </w:rPr>
        <w:t>in which</w:t>
      </w:r>
      <w:r w:rsidR="00100A57" w:rsidRPr="00335D8C">
        <w:rPr>
          <w:rFonts w:ascii="Times New Roman" w:hAnsi="Times New Roman" w:cs="Times New Roman"/>
          <w:sz w:val="24"/>
          <w:szCs w:val="24"/>
        </w:rPr>
        <w:t xml:space="preserve"> they</w:t>
      </w:r>
      <w:r w:rsidR="00C15D2D" w:rsidRPr="00335D8C">
        <w:rPr>
          <w:rFonts w:ascii="Times New Roman" w:hAnsi="Times New Roman" w:cs="Times New Roman"/>
          <w:sz w:val="24"/>
          <w:szCs w:val="24"/>
        </w:rPr>
        <w:t xml:space="preserve"> reach up to 79 </w:t>
      </w:r>
      <w:r w:rsidR="00C5757D">
        <w:rPr>
          <w:rFonts w:ascii="Times New Roman" w:hAnsi="Times New Roman" w:cs="Times New Roman"/>
          <w:sz w:val="24"/>
          <w:szCs w:val="24"/>
        </w:rPr>
        <w:t>ppmw</w:t>
      </w:r>
      <w:r w:rsidR="00C15D2D" w:rsidRPr="00335D8C">
        <w:rPr>
          <w:rFonts w:ascii="Times New Roman" w:hAnsi="Times New Roman" w:cs="Times New Roman"/>
          <w:sz w:val="24"/>
          <w:szCs w:val="24"/>
        </w:rPr>
        <w:t xml:space="preserve"> in olivine, 460 </w:t>
      </w:r>
      <w:r w:rsidR="00C5757D">
        <w:rPr>
          <w:rFonts w:ascii="Times New Roman" w:hAnsi="Times New Roman" w:cs="Times New Roman"/>
          <w:sz w:val="24"/>
          <w:szCs w:val="24"/>
        </w:rPr>
        <w:t>ppmw</w:t>
      </w:r>
      <w:r w:rsidR="00C15D2D" w:rsidRPr="00335D8C">
        <w:rPr>
          <w:rFonts w:ascii="Times New Roman" w:hAnsi="Times New Roman" w:cs="Times New Roman"/>
          <w:sz w:val="24"/>
          <w:szCs w:val="24"/>
        </w:rPr>
        <w:t xml:space="preserve"> in orthopyroxene and 957 </w:t>
      </w:r>
      <w:r w:rsidR="00C5757D">
        <w:rPr>
          <w:rFonts w:ascii="Times New Roman" w:hAnsi="Times New Roman" w:cs="Times New Roman"/>
          <w:sz w:val="24"/>
          <w:szCs w:val="24"/>
        </w:rPr>
        <w:t>ppmw</w:t>
      </w:r>
      <w:r w:rsidR="00C15D2D" w:rsidRPr="00335D8C">
        <w:rPr>
          <w:rFonts w:ascii="Times New Roman" w:hAnsi="Times New Roman" w:cs="Times New Roman"/>
          <w:sz w:val="24"/>
          <w:szCs w:val="24"/>
        </w:rPr>
        <w:t xml:space="preserve"> in clinopyroxene </w:t>
      </w:r>
      <w:r w:rsidR="00C15D2D" w:rsidRPr="00812FBF">
        <w:rPr>
          <w:rFonts w:ascii="Times New Roman" w:hAnsi="Times New Roman" w:cs="Times New Roman"/>
          <w:sz w:val="24"/>
          <w:szCs w:val="24"/>
        </w:rPr>
        <w:fldChar w:fldCharType="begin"/>
      </w:r>
      <w:r w:rsidR="00A17546">
        <w:rPr>
          <w:rFonts w:ascii="Times New Roman" w:hAnsi="Times New Roman" w:cs="Times New Roman"/>
          <w:sz w:val="24"/>
          <w:szCs w:val="24"/>
        </w:rPr>
        <w:instrText xml:space="preserve"> ADDIN ZOTERO_ITEM CSL_CITATION {"citationID":"eh6m0PEm","properties":{"formattedCitation":"(Karato and Jung, 1998; Li et al., 2008; Peslier, 2010; Mosenfelder and Rossman, 2013b; Warren and Hauri, 2014; Denis et al., 2015; Demouchy and Bolfan-Casanova, 2016; Marshall et al., 2018)","plainCitation":"(Karato and Jung, 1998; Li et al., 2008; Peslier, 2010; Mosenfelder and Rossman, 2013b; Warren and Hauri, 2014; Denis et al., 2015; Demouchy and Bolfan-Casanova, 2016; Marshall et al., 2018)","noteIndex":0},"citationItems":[{"id":3149,"uris":["http://zotero.org/users/88665/items/2K3XPCEM"],"uri":["http://zotero.org/users/88665/items/2K3XPCEM"],"itemData":{"id":3149,"type":"article-journal","container-title":"Lithos","DOI":"10.1016/j.lithos.2015.11.012","ISSN":"00244937","language":"en","note":"00011","page":"402-425","source":"CrossRef","title":"Distribution and transport of hydrogen in the lithospheric mantle: A review","title-short":"Distribution and transport of hydrogen in the lithospheric mantle","volume":"240-243","author":[{"family":"Demouchy","given":"Sylvie"},{"family":"Bolfan-Casanova","given":"Nathalie"}],"issued":{"date-parts":[["2016",1]]}}},{"id":"4YmRUp4L/DUhTTm1g","uris":["http://zotero.org/users/2552499/items/SGGHATNB"],"uri":["http://zotero.org/users/2552499/items/SGGHATNB"],"itemData":{"id":1540,"type":"article-journal","title":"Water content and hydrogen behaviour during metasomatism in the uppermost mantle beneath Ray Pic volcano (Massif Central, France)","container-title":"Lithos","page":"256-274","volume":"236-237","journalAbbreviation":"Lithos","author":[{"family":"Denis","given":"Carole M.M."},{"family":"Alard","given":"Olivier"},{"family":"Demouchy","given":"Sylvie"}],"issued":{"date-parts":[["2015"]]}}},{"id":"4YmRUp4L/LthRCln0","uris":["http://zotero.org/users/2552499/items/6XZ7BWF9"],"uri":["http://zotero.org/users/2552499/items/6XZ7BWF9"],"itemData":{"id":1668,"type":"article-journal","title":"Water, partial melting and the origin of the seismic low velocity and high attenuation zone in the upper mantle","container-title":"Earth and Planetary Science Letters","page":"193-207","volume":"157","issue":"3-4","journalAbbreviation":"Earth and Planetary Science Letters","author":[{"family":"Karato","given":"Shun-Ichiro"},{"family":"Jung","given":"Haemyeong"}],"issued":{"date-parts":[["1998"]]}}},{"id":3909,"uris":["http://zotero.org/users/88665/items/WVDR67VD"],"uri":["http://zotero.org/users/88665/items/WVDR67VD"],"itemData":{"id":3909,"type":"article-journal","abstract":"Nominally anhydrous minerals (e.g., olivine, clinopyroxene, and orthopyroxene) in peridotite xenoliths collected from the Colorado Plateau and southern Basin and Range in western North America were systematically analyzed by Fourier transform infrared spectroscopy for water contents. Measured water contents range from 2 to 45 ppm for olivine, from 53 to 402 ppm for orthopyroxene, and from 171 to 957 ppm for clinopyroxene. The Colorado Plateau has the highest water contents (up to 45 ppm H2O in olivine, 402 ppm H2O in orthopyroxene, and 957 ppm H2O in clinopyroxene), while San Carlos in the southern Basin and Range has the lowest water contents (up to 4 ppm H2O in olivine, 82 ppm H2O in orthopyroxene, and 178 ppm H2O in clinopyroxene). With the exception of San Carlos, the olivine and pyroxenes from all other localities (Dish Hill, Grand Canyon, and Navajo) have water contents close to or higher than that inferred for the fertile asthenospheric mantle. We interpret the high water contents measured here to have been introduced into the base of the lithospheric mantle by rehydration associated with the subduction of the Farallon plate beneath North America during the early Cenozoic. Application of an updated flow law for dislocation creep of wet olivine to lithospheric mantle conditions beneath the Colorado Plateau predicts that for a given background shear stress, hydration alone can result in approximately 1 order of magnitude drop in the effective viscosity at the base of the lithosphere. If viscosity alone is used to distinguish the lithosphere from underlying asthenosphere, this suggests that hydration could have resulted in more than 10 km of lithospheric thinning. Viscosity reduction and lithospheric thinning of even larger extents (up to </w:instrText>
      </w:r>
      <w:r w:rsidR="00A17546">
        <w:rPr>
          <w:rFonts w:ascii="Cambria Math" w:hAnsi="Cambria Math" w:cs="Cambria Math"/>
          <w:sz w:val="24"/>
          <w:szCs w:val="24"/>
        </w:rPr>
        <w:instrText>∼</w:instrText>
      </w:r>
      <w:r w:rsidR="00A17546">
        <w:rPr>
          <w:rFonts w:ascii="Times New Roman" w:hAnsi="Times New Roman" w:cs="Times New Roman"/>
          <w:sz w:val="24"/>
          <w:szCs w:val="24"/>
        </w:rPr>
        <w:instrText xml:space="preserve">100 km) are predicted when thicker lithosphere (such as Archean cratons) and larger water contents (up to water-saturated conditions) are considered. If our interpretations are correct, the implications of our study go beyond western North America and hint at a possible way of recycling continental mantle, including cratonic mantle, back into the convecting mantle.","container-title":"Journal of Geophysical Research: Solid Earth","DOI":"10.1029/2007JB005540","ISSN":"2156-2202","issue":"B9","language":"en","source":"Wiley Online Library","title":"Water contents in mantle xenoliths from the Colorado Plateau and vicinity: Implications for the mantle rheology and hydration-induced thinning of continental lithosphere","title-short":"Water contents in mantle xenoliths from the Colorado Plateau and vicinity","URL":"https://agupubs.onlinelibrary.wiley.com/doi/abs/10.1029/2007JB005540","volume":"113","author":[{"family":"Li","given":"Zheng-Xue Anser"},{"family":"Lee","given":"Cin-Ty A."},{"family":"Peslier","given":"Anne H."},{"family":"Lenardic","given":"Adrian"},{"family":"Mackwell","given":"Stephen J."}],"issued":{"date-parts":[["2008",9,1]]}}},{"id":3877,"uris":["http://zotero.org/users/88665/items/HEUW7XSU"],"uri":["http://zotero.org/users/88665/items/HEUW7XSU"],"itemData":{"id":3877,"type":"article-journal","abstract":"In magmatic settings, water behaves as an incompatible species and should be depleted during melting and enriched during metasomatism. Previous studies have identified correlations between nominally anhydrous mineral (NAM) water content ([H2O]) and indices of metasomatism or melt extraction, seemingly confirming this behavior in the mantle. However in detail, these correlations are ambiguous and do not reflect robust controls on NAM [H2O]. We measured orthopyroxene (opx) and clinopyroxene (cpx) [H2O] in variably hydrated and metasomatized peridotite xenoliths from the Navajo volcanic field (NVF) that sample the Colorado Plateau subcontinental lithospheric mantle (SCLM), an endmember of SCLM hydration and metasomatism. These xenoliths span a wide range of pyroxene [H2O] (opx from 50 to 588 ppm wt. H2O; cpx from 38 to 581 ppm wt. H2O), but NAM [H2O] does not correlate with either indices of melt depletion or metasomatism. Growth of hydrous minerals suggests higher water activity than in anhydrous peridotites, and therefore hydrous-mineral-bearing xenoliths and anhydrous xenoliths should have different NAM [H2O] and water activities. However, when the two groups are compared no significant differences can be found in either NAM [H2O] or water activity. We propose that the high diffusivity of hydrogen in the mantle allows for equilibration of water activity in the mantle over sub-kilometer length scales over geologic time. Such diffusive equilibration reduces water activity variability and results in the blurring and destruction of correlations between NAM [H2O] and indices of metasomatism or melt extraction. As a result of diffusive equilibration of water, there is a large difference in the variability of concentration between NAM [H2O] (spanning </w:instrText>
      </w:r>
      <w:r w:rsidR="00A17546">
        <w:rPr>
          <w:rFonts w:ascii="Cambria Math" w:hAnsi="Cambria Math" w:cs="Cambria Math"/>
          <w:sz w:val="24"/>
          <w:szCs w:val="24"/>
        </w:rPr>
        <w:instrText>∼</w:instrText>
      </w:r>
      <w:r w:rsidR="00A17546">
        <w:rPr>
          <w:rFonts w:ascii="Times New Roman" w:hAnsi="Times New Roman" w:cs="Times New Roman"/>
          <w:sz w:val="24"/>
          <w:szCs w:val="24"/>
        </w:rPr>
        <w:instrText xml:space="preserve">2 orders of magnitude) and similarly incompatible elements such as Ce in the same peridotites (spanning </w:instrText>
      </w:r>
      <w:r w:rsidR="00A17546">
        <w:rPr>
          <w:rFonts w:ascii="Cambria Math" w:hAnsi="Cambria Math" w:cs="Cambria Math"/>
          <w:sz w:val="24"/>
          <w:szCs w:val="24"/>
        </w:rPr>
        <w:instrText>∼</w:instrText>
      </w:r>
      <w:r w:rsidR="00A17546">
        <w:rPr>
          <w:rFonts w:ascii="Times New Roman" w:hAnsi="Times New Roman" w:cs="Times New Roman"/>
          <w:sz w:val="24"/>
          <w:szCs w:val="24"/>
        </w:rPr>
        <w:instrText xml:space="preserve">4 orders of magnitude). This difference in behavior explains why H2O/Ce ratios in mantle peridotites are highly variable relative to those of basalts.","container-title":"Earth and Planetary Science Letters","DOI":"10.1016/j.epsl.2018.07.033","ISSN":"0012-821X","journalAbbreviation":"Earth and Planetary Science Letters","page":"219-229","source":"ScienceDirect","title":"On the (mis)behavior of water in the mantle: Controls on nominally anhydrous mineral water content in mantle peridotites","title-short":"On the (mis)behavior of water in the mantle","volume":"499","author":[{"family":"Marshall","given":"Edward W."},{"family":"Lassiter","given":"John C."},{"family":"Barnes","given":"Jaime D."}],"issued":{"date-parts":[["2018",10,1]]}}},{"id":2452,"uris":["http://zotero.org/users/88665/items/2VRPE7NT"],"uri":["http://zotero.org/users/88665/items/2VRPE7NT"],"itemData":{"id":2452,"type":"article-journal","abstract":"Studies of coexisting, nominally anhydrous minerals in mantle samples show that clinopyroxene is an especially important host for hydrogen. Recent experimental studies have also shown that clinopyroxene may contain significant amounts of fluorine, which has implications for the F budget of the mantle. More accurate quantification of H and F is therefore a desirable goal.\nWe measured H in 13 natural clinopyroxenes using Fourier transform infrared (FTIR) spectroscopy. 16O1H/30Si and 19F/30Si were also measured in the samples using secondary ion mass spectrometry (SIMS). H data were compared between the two techniques and F was calculated with reference to F-bearing silicate glass standards. Four of the clinopyroxenes are used as standards for SIMS calibration in multiple laboratories, and three have been measured previously using hydrogen manometry and/or elastic recoil detection analysis. Compared to clinopyroxenes in previous surveys comparing FTIR and SIMS, the 13 samples cover a broader range in chemistry and band positions in the O-H vibrational spectrum. They also all lack detectable amphibole lamellae, which are otherwise commonly present in this mineral group. In contrast to orthopyroxene, the SIMS and FTIR data for clinopyroxene show significantly better correlations (r2 = 0.96–0.98) when the frequency-dependent IR calibration of Libowitzky and Rossman (1997) is applied, as opposed to the Bell et al. (1995) calibration (r2 = 0.92–93). We derive a frequency-dependent molar absorption coefficient with parameters different from those of Libowitzky and Rossman’s calibration, which was established using data on stoichiometric hydrous phases and gives poor agreement with the manometrically determined value for PMR-53. Comparison of data for PMR-53 to our SIMS calibrations for orthopyroxene and olivine suggests that the matrix effect among these phases is less than 20% relative. Fluorine concentrations vary depending on geological context, with the highest concentrations (up to 214 ppm) found in diopsides from crustal metamorphic environments. Mantle samples follow similar geographic trends as olivines and orthopyroxenes, with higher F in xenocrysts from Kilbourne Hole (46 ppm) and South African kimberlites (up to 29 ppm) compared to the Colorado Plateau (8 ppm). On the basis of chemical correlations, we propose two different incorporation mechanisms for F: (1) coupled subsititution with Al3+ and/or Fe3+ in tetrahedral sites; and (2) coupled substitution with monovalent cations (Na and K) in the M2 site. The second substitution is more relevant to mantle augites than crustal diopsides. Our measured F concentrations are much lower than those in some clinopyroxenes synthesized in recent high P-T studies. Nevertheless, our data support suggestions that the F budget of the mantle can be entirely accommodated by incorporation in nominally anhydrous/fluorine-free minerals.","container-title":"American Mineralogist","DOI":"10.2138/am.2013.4413","ISSN":"0003-004X,","issue":"5-6","journalAbbreviation":"American Mineralogist","language":"en","note":"00034","page":"1042-1054","source":"ammin.geoscienceworld.org","title":"Analysis of hydrogen and fluorine in pyroxenes: II. Clinopyroxene","title-short":"Analysis of hydrogen and fluorine in pyroxenes","volume":"98","author":[{"family":"Mosenfelder","given":"Jed L."},{"family":"Rossman","given":"George R."}],"issued":{"date-parts":[["2013",1,5]]}}},{"id":"4YmRUp4L/gG2I5kuz","uris":["http://zotero.org/users/2552499/items/HVT2VGD8"],"uri":["http://zotero.org/users/2552499/items/HVT2VGD8"],"itemData":{"id":1807,"type":"article-journal","title":"A review of water contents of nominally anhydrous natural minerals in the mantles of Earth, Mars and the Moon","container-title":"Journal of Volcanology and Geothermal Research","page":"239-258","volume":"197","issue":"1-4","journalAbbreviation":"Journal of Volcanology and Geothermal Research","author":[{"family":"Peslier","given":"Anne H."}],"issued":{"date-parts":[["2010"]]}}},{"id":2911,"uris":["http://zotero.org/users/88665/items/2QV77GNQ"],"uri":["http://zotero.org/users/88665/items/2QV77GNQ"],"itemData":{"id":2911,"type":"article-journal","abstract":"The concentration and distribution of volatiles in the Earth's mantle influence properties such as melting temperature, conductivity, and viscosity. To constrain upper mantle water content, concentrations of H2O, P, and F were measured in olivine, orthopyroxene, and clinopyroxene in mantle peridotites by secondary ion mass spectrometry. Analyzed peridotites are xenoliths (Pali Aike, Spitsbergen, Samoa), orogenic peridotites (Josephine Peridotite), and abyssal peridotites (Gakkel Ridge, Southwest Indian Ridge, Tonga Trench). The comparison of fresh and altered peridotites demonstrates that low to moderate levels of alteration do not affect H2O concentrations, in agreement with mineral diffusion data. Olivines have diffusively lost water during emplacement, as demonstrated by disequilibrium between olivine and coexisting pyroxenes. In contrast, clinopyroxene and orthopyroxene preserve their high-temperature water contents, and their partitioning agrees with published experiments and other xenoliths. Hence, olivine water concentrations can be determined from pyroxene concentrations using mineral-mineral partition coefficients. Clinopyroxenes have 60–670 ppm H2O, while orthopyroxenes have 10–300 ppm, which gives calculated olivine concentrations of 8–34 ppm. The highest olivine water concentration translates to an effective viscosity of 6 × 1019 Pa s at 1250°C and ~15 km depth, compared to a dry effective viscosity of 2.5 × 1021 Pa s. Bulk rock water concentrations, calculated using mineral modes, are 20–220 ppm and correlate with peridotite indices of melt depletion. However, trace element melt modeling indicates that peridotites have too much water relative to their rare earth element concentrations, which may be explained by late-stage melt addition, during which only hydrogen diffuses fast enough for reequilibration.","container-title":"Journal of Geophysical Research: Solid Earth","DOI":"10.1002/2013JB010328","ISSN":"2169-9356","issue":"3","journalAbbreviation":"Journal of Geophysical Research: Solid Earth","language":"en","note":"00032","page":"2013JB010328","source":"Wiley Online Library","title":"Pyroxenes as tracers of mantle water variations","volume":"119","author":[{"family":"Warren","given":"Jessica M."},{"family":"Hauri","given":"Erik H."}],"issued":{"date-parts":[["2014",3,1]]}}}],"schema":"https://github.com/citation-style-language/schema/raw/master/csl-citation.json"} </w:instrText>
      </w:r>
      <w:r w:rsidR="00C15D2D" w:rsidRPr="00812FBF">
        <w:rPr>
          <w:rFonts w:ascii="Times New Roman" w:hAnsi="Times New Roman" w:cs="Times New Roman"/>
          <w:sz w:val="24"/>
          <w:szCs w:val="24"/>
        </w:rPr>
        <w:fldChar w:fldCharType="separate"/>
      </w:r>
      <w:r w:rsidR="00636367">
        <w:rPr>
          <w:rFonts w:ascii="Times New Roman" w:hAnsi="Times New Roman" w:cs="Times New Roman"/>
          <w:sz w:val="24"/>
          <w:szCs w:val="24"/>
        </w:rPr>
        <w:t xml:space="preserve">(Karato and Jung, 1998; Li et al., 2008; Peslier, </w:t>
      </w:r>
      <w:r w:rsidR="00636367">
        <w:rPr>
          <w:rFonts w:ascii="Times New Roman" w:hAnsi="Times New Roman" w:cs="Times New Roman"/>
          <w:sz w:val="24"/>
          <w:szCs w:val="24"/>
        </w:rPr>
        <w:lastRenderedPageBreak/>
        <w:t>2010; Mosenfelder and Rossman, 2013b; Warren and Hauri, 2014; Denis et al., 2015; Demouchy and Bolfan-Casanova, 2016; Marshall et al., 2018)</w:t>
      </w:r>
      <w:r w:rsidR="00C15D2D" w:rsidRPr="00812FBF">
        <w:rPr>
          <w:rFonts w:ascii="Times New Roman" w:hAnsi="Times New Roman" w:cs="Times New Roman"/>
          <w:sz w:val="24"/>
          <w:szCs w:val="24"/>
        </w:rPr>
        <w:fldChar w:fldCharType="end"/>
      </w:r>
      <w:r w:rsidR="00C15D2D" w:rsidRPr="00335D8C">
        <w:rPr>
          <w:rFonts w:ascii="Times New Roman" w:hAnsi="Times New Roman" w:cs="Times New Roman"/>
          <w:sz w:val="24"/>
          <w:szCs w:val="24"/>
        </w:rPr>
        <w:t xml:space="preserve">. </w:t>
      </w:r>
      <w:r w:rsidR="00183E23" w:rsidRPr="00195AA8">
        <w:rPr>
          <w:rFonts w:ascii="Times New Roman" w:hAnsi="Times New Roman" w:cs="Times New Roman"/>
          <w:bCs/>
          <w:sz w:val="24"/>
          <w:szCs w:val="24"/>
        </w:rPr>
        <w:t xml:space="preserve">Because of </w:t>
      </w:r>
      <w:r w:rsidR="00100A57" w:rsidRPr="00195AA8">
        <w:rPr>
          <w:rFonts w:ascii="Times New Roman" w:hAnsi="Times New Roman" w:cs="Times New Roman"/>
          <w:bCs/>
          <w:sz w:val="24"/>
          <w:szCs w:val="24"/>
        </w:rPr>
        <w:t xml:space="preserve">the widely recognised </w:t>
      </w:r>
      <w:r w:rsidR="00B6661C" w:rsidRPr="00195AA8">
        <w:rPr>
          <w:rFonts w:ascii="Times New Roman" w:hAnsi="Times New Roman" w:cs="Times New Roman"/>
          <w:bCs/>
          <w:sz w:val="24"/>
          <w:szCs w:val="24"/>
        </w:rPr>
        <w:t xml:space="preserve">diffusive loss of </w:t>
      </w:r>
      <w:r w:rsidR="00F01EA3" w:rsidRPr="00195AA8">
        <w:rPr>
          <w:rFonts w:ascii="Times New Roman" w:hAnsi="Times New Roman" w:cs="Times New Roman"/>
          <w:sz w:val="24"/>
          <w:szCs w:val="24"/>
        </w:rPr>
        <w:t>H</w:t>
      </w:r>
      <w:r w:rsidR="00F01EA3" w:rsidRPr="00195AA8">
        <w:rPr>
          <w:rFonts w:ascii="Times New Roman" w:hAnsi="Times New Roman" w:cs="Times New Roman"/>
          <w:sz w:val="24"/>
          <w:szCs w:val="24"/>
          <w:vertAlign w:val="subscript"/>
        </w:rPr>
        <w:t>2</w:t>
      </w:r>
      <w:r w:rsidR="00F01EA3" w:rsidRPr="00195AA8">
        <w:rPr>
          <w:rFonts w:ascii="Times New Roman" w:hAnsi="Times New Roman" w:cs="Times New Roman"/>
          <w:sz w:val="24"/>
          <w:szCs w:val="24"/>
        </w:rPr>
        <w:t>O</w:t>
      </w:r>
      <w:r w:rsidR="00B6661C" w:rsidRPr="00195AA8">
        <w:rPr>
          <w:rFonts w:ascii="Times New Roman" w:hAnsi="Times New Roman" w:cs="Times New Roman"/>
          <w:bCs/>
          <w:sz w:val="24"/>
          <w:szCs w:val="24"/>
        </w:rPr>
        <w:t xml:space="preserve"> </w:t>
      </w:r>
      <w:r w:rsidR="006736E5" w:rsidRPr="00195AA8">
        <w:rPr>
          <w:rFonts w:ascii="Times New Roman" w:hAnsi="Times New Roman" w:cs="Times New Roman"/>
          <w:bCs/>
          <w:sz w:val="24"/>
          <w:szCs w:val="24"/>
        </w:rPr>
        <w:t>experienced by</w:t>
      </w:r>
      <w:r w:rsidR="00B6661C" w:rsidRPr="00195AA8">
        <w:rPr>
          <w:rFonts w:ascii="Times New Roman" w:hAnsi="Times New Roman" w:cs="Times New Roman"/>
          <w:bCs/>
          <w:sz w:val="24"/>
          <w:szCs w:val="24"/>
        </w:rPr>
        <w:t xml:space="preserve"> olivine</w:t>
      </w:r>
      <w:r w:rsidR="006736E5" w:rsidRPr="00195AA8">
        <w:rPr>
          <w:rFonts w:ascii="Times New Roman" w:hAnsi="Times New Roman" w:cs="Times New Roman"/>
          <w:bCs/>
          <w:sz w:val="24"/>
          <w:szCs w:val="24"/>
        </w:rPr>
        <w:t xml:space="preserve"> in mantle xenoliths</w:t>
      </w:r>
      <w:r w:rsidR="00100A57" w:rsidRPr="00195AA8">
        <w:rPr>
          <w:rFonts w:ascii="Times New Roman" w:hAnsi="Times New Roman" w:cs="Times New Roman"/>
          <w:bCs/>
          <w:sz w:val="24"/>
          <w:szCs w:val="24"/>
        </w:rPr>
        <w:t>,</w:t>
      </w:r>
      <w:r w:rsidR="00183E23" w:rsidRPr="00195AA8">
        <w:rPr>
          <w:rFonts w:ascii="Times New Roman" w:hAnsi="Times New Roman" w:cs="Times New Roman"/>
          <w:bCs/>
          <w:sz w:val="24"/>
          <w:szCs w:val="24"/>
        </w:rPr>
        <w:t xml:space="preserve"> the </w:t>
      </w:r>
      <w:r w:rsidR="006736E5" w:rsidRPr="00195AA8">
        <w:rPr>
          <w:rFonts w:ascii="Times New Roman" w:hAnsi="Times New Roman" w:cs="Times New Roman"/>
          <w:bCs/>
          <w:sz w:val="24"/>
          <w:szCs w:val="24"/>
        </w:rPr>
        <w:t xml:space="preserve">behaviour of </w:t>
      </w:r>
      <w:r w:rsidR="00F01EA3" w:rsidRPr="00195AA8">
        <w:rPr>
          <w:rFonts w:ascii="Times New Roman" w:hAnsi="Times New Roman" w:cs="Times New Roman"/>
          <w:sz w:val="24"/>
          <w:szCs w:val="24"/>
        </w:rPr>
        <w:t>H</w:t>
      </w:r>
      <w:r w:rsidR="00F01EA3" w:rsidRPr="00195AA8">
        <w:rPr>
          <w:rFonts w:ascii="Times New Roman" w:hAnsi="Times New Roman" w:cs="Times New Roman"/>
          <w:sz w:val="24"/>
          <w:szCs w:val="24"/>
          <w:vertAlign w:val="subscript"/>
        </w:rPr>
        <w:t>2</w:t>
      </w:r>
      <w:r w:rsidR="00F01EA3" w:rsidRPr="00195AA8">
        <w:rPr>
          <w:rFonts w:ascii="Times New Roman" w:hAnsi="Times New Roman" w:cs="Times New Roman"/>
          <w:sz w:val="24"/>
          <w:szCs w:val="24"/>
        </w:rPr>
        <w:t>O</w:t>
      </w:r>
      <w:r w:rsidR="00F01EA3" w:rsidRPr="00195AA8" w:rsidDel="00F01EA3">
        <w:rPr>
          <w:rFonts w:ascii="Times New Roman" w:hAnsi="Times New Roman" w:cs="Times New Roman"/>
          <w:bCs/>
          <w:sz w:val="24"/>
          <w:szCs w:val="24"/>
        </w:rPr>
        <w:t xml:space="preserve"> </w:t>
      </w:r>
      <w:r w:rsidR="007A5609" w:rsidRPr="00195AA8">
        <w:rPr>
          <w:rFonts w:ascii="Times New Roman" w:hAnsi="Times New Roman" w:cs="Times New Roman"/>
          <w:bCs/>
          <w:sz w:val="24"/>
          <w:szCs w:val="24"/>
        </w:rPr>
        <w:t>is</w:t>
      </w:r>
      <w:r w:rsidR="00183E23" w:rsidRPr="00195AA8">
        <w:rPr>
          <w:rFonts w:ascii="Times New Roman" w:hAnsi="Times New Roman" w:cs="Times New Roman"/>
          <w:bCs/>
          <w:sz w:val="24"/>
          <w:szCs w:val="24"/>
        </w:rPr>
        <w:t xml:space="preserve"> mo</w:t>
      </w:r>
      <w:r w:rsidR="006736E5" w:rsidRPr="00195AA8">
        <w:rPr>
          <w:rFonts w:ascii="Times New Roman" w:hAnsi="Times New Roman" w:cs="Times New Roman"/>
          <w:bCs/>
          <w:sz w:val="24"/>
          <w:szCs w:val="24"/>
        </w:rPr>
        <w:t>re</w:t>
      </w:r>
      <w:r w:rsidR="00183E23" w:rsidRPr="00195AA8">
        <w:rPr>
          <w:rFonts w:ascii="Times New Roman" w:hAnsi="Times New Roman" w:cs="Times New Roman"/>
          <w:bCs/>
          <w:sz w:val="24"/>
          <w:szCs w:val="24"/>
        </w:rPr>
        <w:t xml:space="preserve"> </w:t>
      </w:r>
      <w:r w:rsidR="006736E5" w:rsidRPr="00195AA8">
        <w:rPr>
          <w:rFonts w:ascii="Times New Roman" w:hAnsi="Times New Roman" w:cs="Times New Roman"/>
          <w:bCs/>
          <w:sz w:val="24"/>
          <w:szCs w:val="24"/>
        </w:rPr>
        <w:t>accurately</w:t>
      </w:r>
      <w:r w:rsidR="00183E23" w:rsidRPr="00195AA8">
        <w:rPr>
          <w:rFonts w:ascii="Times New Roman" w:hAnsi="Times New Roman" w:cs="Times New Roman"/>
          <w:bCs/>
          <w:sz w:val="24"/>
          <w:szCs w:val="24"/>
        </w:rPr>
        <w:t xml:space="preserve"> displayed by </w:t>
      </w:r>
      <w:r w:rsidR="00B6661C" w:rsidRPr="00195AA8">
        <w:rPr>
          <w:rFonts w:ascii="Times New Roman" w:hAnsi="Times New Roman" w:cs="Times New Roman"/>
          <w:bCs/>
          <w:sz w:val="24"/>
          <w:szCs w:val="24"/>
        </w:rPr>
        <w:t>pyroxenes</w:t>
      </w:r>
      <w:r w:rsidR="00183E23" w:rsidRPr="00195AA8">
        <w:rPr>
          <w:rFonts w:ascii="Times New Roman" w:hAnsi="Times New Roman" w:cs="Times New Roman"/>
          <w:bCs/>
          <w:sz w:val="24"/>
          <w:szCs w:val="24"/>
        </w:rPr>
        <w:t xml:space="preserve">. </w:t>
      </w:r>
      <w:r w:rsidR="00182525" w:rsidRPr="00195AA8">
        <w:rPr>
          <w:rFonts w:ascii="Times New Roman" w:hAnsi="Times New Roman" w:cs="Times New Roman"/>
          <w:sz w:val="24"/>
          <w:szCs w:val="24"/>
        </w:rPr>
        <w:t>O</w:t>
      </w:r>
      <w:r w:rsidR="00825414" w:rsidRPr="00195AA8">
        <w:rPr>
          <w:rFonts w:ascii="Times New Roman" w:hAnsi="Times New Roman" w:cs="Times New Roman"/>
          <w:sz w:val="24"/>
          <w:szCs w:val="24"/>
        </w:rPr>
        <w:t xml:space="preserve">ur compilation of </w:t>
      </w:r>
      <w:r w:rsidR="007A5609" w:rsidRPr="00195AA8">
        <w:rPr>
          <w:rFonts w:ascii="Times New Roman" w:hAnsi="Times New Roman" w:cs="Times New Roman"/>
          <w:sz w:val="24"/>
          <w:szCs w:val="24"/>
        </w:rPr>
        <w:t xml:space="preserve">clinopyroxenes from global </w:t>
      </w:r>
      <w:r w:rsidR="00825414" w:rsidRPr="00195AA8">
        <w:rPr>
          <w:rFonts w:ascii="Times New Roman" w:hAnsi="Times New Roman" w:cs="Times New Roman"/>
          <w:sz w:val="24"/>
          <w:szCs w:val="24"/>
        </w:rPr>
        <w:t xml:space="preserve">mantle </w:t>
      </w:r>
      <w:r w:rsidR="007A5609" w:rsidRPr="00195AA8">
        <w:rPr>
          <w:rFonts w:ascii="Times New Roman" w:hAnsi="Times New Roman" w:cs="Times New Roman"/>
          <w:sz w:val="24"/>
          <w:szCs w:val="24"/>
        </w:rPr>
        <w:t>xenolith suites</w:t>
      </w:r>
      <w:r w:rsidR="007A5609" w:rsidRPr="00195AA8">
        <w:rPr>
          <w:rFonts w:ascii="Times New Roman" w:hAnsi="Times New Roman" w:cs="Times New Roman"/>
          <w:b/>
          <w:sz w:val="24"/>
          <w:szCs w:val="24"/>
        </w:rPr>
        <w:t xml:space="preserve"> </w:t>
      </w:r>
      <w:r w:rsidR="00183E23" w:rsidRPr="00195AA8">
        <w:rPr>
          <w:rFonts w:ascii="Times New Roman" w:hAnsi="Times New Roman" w:cs="Times New Roman"/>
          <w:sz w:val="24"/>
          <w:szCs w:val="24"/>
        </w:rPr>
        <w:t xml:space="preserve">shows that </w:t>
      </w:r>
      <w:r w:rsidR="00BA7992" w:rsidRPr="00195AA8">
        <w:rPr>
          <w:rFonts w:ascii="Times New Roman" w:hAnsi="Times New Roman" w:cs="Times New Roman"/>
          <w:sz w:val="24"/>
          <w:szCs w:val="24"/>
        </w:rPr>
        <w:t xml:space="preserve">they exhibit </w:t>
      </w:r>
      <w:r w:rsidR="00183E23" w:rsidRPr="00195AA8">
        <w:rPr>
          <w:rFonts w:ascii="Times New Roman" w:hAnsi="Times New Roman" w:cs="Times New Roman"/>
          <w:sz w:val="24"/>
          <w:szCs w:val="24"/>
        </w:rPr>
        <w:t xml:space="preserve">large variations </w:t>
      </w:r>
      <w:r w:rsidR="00835CED" w:rsidRPr="00195AA8">
        <w:rPr>
          <w:rFonts w:ascii="Times New Roman" w:hAnsi="Times New Roman" w:cs="Times New Roman"/>
          <w:sz w:val="24"/>
          <w:szCs w:val="24"/>
        </w:rPr>
        <w:t xml:space="preserve">in both </w:t>
      </w:r>
      <w:r w:rsidR="00BA7992" w:rsidRPr="00195AA8">
        <w:rPr>
          <w:rFonts w:ascii="Times New Roman" w:hAnsi="Times New Roman" w:cs="Times New Roman"/>
          <w:sz w:val="24"/>
          <w:szCs w:val="24"/>
          <w:vertAlign w:val="superscript"/>
        </w:rPr>
        <w:t>[IV]</w:t>
      </w:r>
      <w:r w:rsidR="00BA7992" w:rsidRPr="00195AA8">
        <w:rPr>
          <w:rFonts w:ascii="Times New Roman" w:hAnsi="Times New Roman" w:cs="Times New Roman"/>
          <w:sz w:val="24"/>
          <w:szCs w:val="24"/>
        </w:rPr>
        <w:t>Al</w:t>
      </w:r>
      <w:r w:rsidR="00BA7992" w:rsidRPr="00195AA8">
        <w:rPr>
          <w:rFonts w:ascii="Times New Roman" w:hAnsi="Times New Roman" w:cs="Times New Roman"/>
          <w:sz w:val="24"/>
          <w:szCs w:val="24"/>
          <w:vertAlign w:val="superscript"/>
        </w:rPr>
        <w:t>3+</w:t>
      </w:r>
      <w:r w:rsidR="00BA7992" w:rsidRPr="00195AA8">
        <w:rPr>
          <w:rFonts w:ascii="Times New Roman" w:hAnsi="Times New Roman" w:cs="Times New Roman"/>
          <w:bCs/>
          <w:sz w:val="24"/>
          <w:szCs w:val="24"/>
        </w:rPr>
        <w:t xml:space="preserve"> and </w:t>
      </w:r>
      <w:r w:rsidR="00BA7992" w:rsidRPr="00195AA8">
        <w:rPr>
          <w:rFonts w:ascii="Times New Roman" w:hAnsi="Times New Roman" w:cs="Times New Roman"/>
          <w:sz w:val="24"/>
          <w:szCs w:val="24"/>
        </w:rPr>
        <w:t>H</w:t>
      </w:r>
      <w:r w:rsidR="00BA7992" w:rsidRPr="00195AA8">
        <w:rPr>
          <w:rFonts w:ascii="Times New Roman" w:hAnsi="Times New Roman" w:cs="Times New Roman"/>
          <w:sz w:val="24"/>
          <w:szCs w:val="24"/>
          <w:vertAlign w:val="subscript"/>
        </w:rPr>
        <w:t>2</w:t>
      </w:r>
      <w:r w:rsidR="00BA7992" w:rsidRPr="00195AA8">
        <w:rPr>
          <w:rFonts w:ascii="Times New Roman" w:hAnsi="Times New Roman" w:cs="Times New Roman"/>
          <w:sz w:val="24"/>
          <w:szCs w:val="24"/>
        </w:rPr>
        <w:t>O</w:t>
      </w:r>
      <w:r w:rsidR="00BA7992" w:rsidRPr="00195AA8">
        <w:rPr>
          <w:rFonts w:ascii="Times New Roman" w:hAnsi="Times New Roman" w:cs="Times New Roman"/>
          <w:bCs/>
          <w:sz w:val="24"/>
          <w:szCs w:val="24"/>
        </w:rPr>
        <w:t xml:space="preserve"> </w:t>
      </w:r>
      <w:r w:rsidR="00100A57" w:rsidRPr="00195AA8">
        <w:rPr>
          <w:rFonts w:ascii="Times New Roman" w:hAnsi="Times New Roman" w:cs="Times New Roman"/>
          <w:sz w:val="24"/>
          <w:szCs w:val="24"/>
        </w:rPr>
        <w:t>content</w:t>
      </w:r>
      <w:r w:rsidR="007A5609" w:rsidRPr="00195AA8">
        <w:rPr>
          <w:rFonts w:ascii="Times New Roman" w:hAnsi="Times New Roman" w:cs="Times New Roman"/>
          <w:sz w:val="24"/>
          <w:szCs w:val="24"/>
        </w:rPr>
        <w:t>s</w:t>
      </w:r>
      <w:r w:rsidR="00183E23" w:rsidRPr="00195AA8">
        <w:rPr>
          <w:rFonts w:ascii="Times New Roman" w:hAnsi="Times New Roman" w:cs="Times New Roman"/>
          <w:sz w:val="24"/>
          <w:szCs w:val="24"/>
        </w:rPr>
        <w:t xml:space="preserve"> </w:t>
      </w:r>
      <w:r w:rsidR="007A5609" w:rsidRPr="00195AA8">
        <w:rPr>
          <w:rFonts w:ascii="Times New Roman" w:hAnsi="Times New Roman" w:cs="Times New Roman"/>
          <w:sz w:val="24"/>
          <w:szCs w:val="24"/>
        </w:rPr>
        <w:t>(</w:t>
      </w:r>
      <w:r w:rsidR="007A5609" w:rsidRPr="00195AA8">
        <w:rPr>
          <w:rFonts w:ascii="Times New Roman" w:hAnsi="Times New Roman" w:cs="Times New Roman"/>
          <w:b/>
          <w:sz w:val="24"/>
          <w:szCs w:val="24"/>
        </w:rPr>
        <w:t xml:space="preserve">Figure </w:t>
      </w:r>
      <w:r w:rsidR="0044633B" w:rsidRPr="00195AA8">
        <w:rPr>
          <w:rFonts w:ascii="Times New Roman" w:hAnsi="Times New Roman" w:cs="Times New Roman"/>
          <w:b/>
          <w:sz w:val="24"/>
          <w:szCs w:val="24"/>
        </w:rPr>
        <w:t>6</w:t>
      </w:r>
      <w:r w:rsidR="00A71ED4" w:rsidRPr="00195AA8">
        <w:rPr>
          <w:rFonts w:ascii="Times New Roman" w:hAnsi="Times New Roman" w:cs="Times New Roman"/>
          <w:b/>
          <w:sz w:val="24"/>
          <w:szCs w:val="24"/>
        </w:rPr>
        <w:t>b</w:t>
      </w:r>
      <w:r w:rsidR="007A5609" w:rsidRPr="00195AA8">
        <w:rPr>
          <w:rFonts w:ascii="Times New Roman" w:hAnsi="Times New Roman" w:cs="Times New Roman"/>
          <w:b/>
          <w:sz w:val="24"/>
          <w:szCs w:val="24"/>
        </w:rPr>
        <w:t>)</w:t>
      </w:r>
      <w:r w:rsidR="00417DD4" w:rsidRPr="00195AA8">
        <w:rPr>
          <w:rFonts w:ascii="Times New Roman" w:hAnsi="Times New Roman" w:cs="Times New Roman"/>
          <w:sz w:val="24"/>
          <w:szCs w:val="24"/>
        </w:rPr>
        <w:t xml:space="preserve">. </w:t>
      </w:r>
      <w:r w:rsidR="008F65A4" w:rsidRPr="00195AA8">
        <w:rPr>
          <w:rFonts w:ascii="Times New Roman" w:hAnsi="Times New Roman" w:cs="Times New Roman"/>
          <w:sz w:val="24"/>
          <w:szCs w:val="24"/>
        </w:rPr>
        <w:t xml:space="preserve">Nevertheless, it </w:t>
      </w:r>
      <w:r w:rsidR="00183E23" w:rsidRPr="00195AA8">
        <w:rPr>
          <w:rFonts w:ascii="Times New Roman" w:hAnsi="Times New Roman" w:cs="Times New Roman"/>
          <w:sz w:val="24"/>
          <w:szCs w:val="24"/>
        </w:rPr>
        <w:t xml:space="preserve">is apparent from </w:t>
      </w:r>
      <w:r w:rsidR="000E6BEE" w:rsidRPr="00195AA8">
        <w:rPr>
          <w:rFonts w:ascii="Times New Roman" w:hAnsi="Times New Roman" w:cs="Times New Roman"/>
          <w:b/>
          <w:sz w:val="24"/>
          <w:szCs w:val="24"/>
        </w:rPr>
        <w:t xml:space="preserve">Figure </w:t>
      </w:r>
      <w:r w:rsidR="0044633B" w:rsidRPr="00195AA8">
        <w:rPr>
          <w:rFonts w:ascii="Times New Roman" w:hAnsi="Times New Roman" w:cs="Times New Roman"/>
          <w:b/>
          <w:sz w:val="24"/>
          <w:szCs w:val="24"/>
        </w:rPr>
        <w:t>6</w:t>
      </w:r>
      <w:r w:rsidR="00A71ED4" w:rsidRPr="00195AA8">
        <w:rPr>
          <w:rFonts w:ascii="Times New Roman" w:hAnsi="Times New Roman" w:cs="Times New Roman"/>
          <w:b/>
          <w:sz w:val="24"/>
          <w:szCs w:val="24"/>
        </w:rPr>
        <w:t>b</w:t>
      </w:r>
      <w:r w:rsidR="007A5609" w:rsidRPr="00195AA8">
        <w:rPr>
          <w:rFonts w:ascii="Times New Roman" w:hAnsi="Times New Roman" w:cs="Times New Roman"/>
          <w:sz w:val="24"/>
          <w:szCs w:val="24"/>
        </w:rPr>
        <w:t xml:space="preserve"> </w:t>
      </w:r>
      <w:r w:rsidR="00183E23" w:rsidRPr="00195AA8">
        <w:rPr>
          <w:rFonts w:ascii="Times New Roman" w:hAnsi="Times New Roman" w:cs="Times New Roman"/>
          <w:sz w:val="24"/>
          <w:szCs w:val="24"/>
        </w:rPr>
        <w:t xml:space="preserve">that </w:t>
      </w:r>
      <w:r w:rsidR="006736E5" w:rsidRPr="00195AA8">
        <w:rPr>
          <w:rFonts w:ascii="Times New Roman" w:hAnsi="Times New Roman" w:cs="Times New Roman"/>
          <w:sz w:val="24"/>
          <w:szCs w:val="24"/>
        </w:rPr>
        <w:t xml:space="preserve">when clinopyroxenes are grouped according to </w:t>
      </w:r>
      <w:r w:rsidR="000E6BEE" w:rsidRPr="00195AA8">
        <w:rPr>
          <w:rFonts w:ascii="Times New Roman" w:hAnsi="Times New Roman" w:cs="Times New Roman"/>
          <w:sz w:val="24"/>
          <w:szCs w:val="24"/>
        </w:rPr>
        <w:t>tectonic setting</w:t>
      </w:r>
      <w:r w:rsidR="006736E5" w:rsidRPr="00195AA8">
        <w:rPr>
          <w:rFonts w:ascii="Times New Roman" w:hAnsi="Times New Roman" w:cs="Times New Roman"/>
          <w:sz w:val="24"/>
          <w:szCs w:val="24"/>
        </w:rPr>
        <w:t xml:space="preserve">, </w:t>
      </w:r>
      <w:r w:rsidR="000E6BEE" w:rsidRPr="00195AA8">
        <w:rPr>
          <w:rFonts w:ascii="Times New Roman" w:hAnsi="Times New Roman" w:cs="Times New Roman"/>
          <w:sz w:val="24"/>
          <w:szCs w:val="24"/>
        </w:rPr>
        <w:t xml:space="preserve">distinct </w:t>
      </w:r>
      <w:r w:rsidR="00183E23" w:rsidRPr="00195AA8">
        <w:rPr>
          <w:rFonts w:ascii="Times New Roman" w:hAnsi="Times New Roman" w:cs="Times New Roman"/>
          <w:sz w:val="24"/>
          <w:szCs w:val="24"/>
        </w:rPr>
        <w:t>broad positive correlation</w:t>
      </w:r>
      <w:r w:rsidR="000E6BEE" w:rsidRPr="00195AA8">
        <w:rPr>
          <w:rFonts w:ascii="Times New Roman" w:hAnsi="Times New Roman" w:cs="Times New Roman"/>
          <w:sz w:val="24"/>
          <w:szCs w:val="24"/>
        </w:rPr>
        <w:t>s</w:t>
      </w:r>
      <w:r w:rsidR="00183E23" w:rsidRPr="00195AA8">
        <w:rPr>
          <w:rFonts w:ascii="Times New Roman" w:hAnsi="Times New Roman" w:cs="Times New Roman"/>
          <w:sz w:val="24"/>
          <w:szCs w:val="24"/>
        </w:rPr>
        <w:t xml:space="preserve"> between </w:t>
      </w:r>
      <w:r w:rsidR="00100A57" w:rsidRPr="00195AA8">
        <w:rPr>
          <w:rFonts w:ascii="Times New Roman" w:hAnsi="Times New Roman" w:cs="Times New Roman"/>
          <w:sz w:val="24"/>
          <w:szCs w:val="24"/>
          <w:vertAlign w:val="superscript"/>
        </w:rPr>
        <w:t>[IV]</w:t>
      </w:r>
      <w:r w:rsidR="00100A57" w:rsidRPr="00195AA8">
        <w:rPr>
          <w:rFonts w:ascii="Times New Roman" w:hAnsi="Times New Roman" w:cs="Times New Roman"/>
          <w:sz w:val="24"/>
          <w:szCs w:val="24"/>
        </w:rPr>
        <w:t>Al</w:t>
      </w:r>
      <w:r w:rsidR="00100A57" w:rsidRPr="00195AA8">
        <w:rPr>
          <w:rFonts w:ascii="Times New Roman" w:hAnsi="Times New Roman" w:cs="Times New Roman"/>
          <w:sz w:val="24"/>
          <w:szCs w:val="24"/>
          <w:vertAlign w:val="superscript"/>
        </w:rPr>
        <w:t>3+</w:t>
      </w:r>
      <w:r w:rsidR="00183E23" w:rsidRPr="00195AA8">
        <w:rPr>
          <w:rFonts w:ascii="Times New Roman" w:hAnsi="Times New Roman" w:cs="Times New Roman"/>
          <w:bCs/>
          <w:sz w:val="24"/>
          <w:szCs w:val="24"/>
        </w:rPr>
        <w:t xml:space="preserve"> and </w:t>
      </w:r>
      <w:r w:rsidR="00BA7992" w:rsidRPr="00195AA8">
        <w:rPr>
          <w:rFonts w:ascii="Times New Roman" w:hAnsi="Times New Roman" w:cs="Times New Roman"/>
          <w:sz w:val="24"/>
          <w:szCs w:val="24"/>
        </w:rPr>
        <w:t>H</w:t>
      </w:r>
      <w:r w:rsidR="00BA7992" w:rsidRPr="00195AA8">
        <w:rPr>
          <w:rFonts w:ascii="Times New Roman" w:hAnsi="Times New Roman" w:cs="Times New Roman"/>
          <w:sz w:val="24"/>
          <w:szCs w:val="24"/>
          <w:vertAlign w:val="subscript"/>
        </w:rPr>
        <w:t>2</w:t>
      </w:r>
      <w:r w:rsidR="00BA7992" w:rsidRPr="00195AA8">
        <w:rPr>
          <w:rFonts w:ascii="Times New Roman" w:hAnsi="Times New Roman" w:cs="Times New Roman"/>
          <w:sz w:val="24"/>
          <w:szCs w:val="24"/>
        </w:rPr>
        <w:t>O</w:t>
      </w:r>
      <w:r w:rsidR="006736E5" w:rsidRPr="00195AA8">
        <w:rPr>
          <w:rFonts w:ascii="Times New Roman" w:hAnsi="Times New Roman" w:cs="Times New Roman"/>
          <w:bCs/>
          <w:sz w:val="24"/>
          <w:szCs w:val="24"/>
        </w:rPr>
        <w:t xml:space="preserve"> emerge</w:t>
      </w:r>
      <w:r w:rsidR="00183E23" w:rsidRPr="00195AA8">
        <w:rPr>
          <w:rFonts w:ascii="Times New Roman" w:hAnsi="Times New Roman" w:cs="Times New Roman"/>
          <w:sz w:val="24"/>
          <w:szCs w:val="24"/>
        </w:rPr>
        <w:t>.</w:t>
      </w:r>
      <w:r w:rsidR="00183E23" w:rsidRPr="00812FBF">
        <w:rPr>
          <w:rFonts w:ascii="Times New Roman" w:hAnsi="Times New Roman" w:cs="Times New Roman"/>
        </w:rPr>
        <w:t xml:space="preserve"> </w:t>
      </w:r>
      <w:r w:rsidR="00182525" w:rsidRPr="00195AA8">
        <w:rPr>
          <w:rFonts w:ascii="Times New Roman" w:hAnsi="Times New Roman" w:cs="Times New Roman"/>
          <w:sz w:val="24"/>
          <w:szCs w:val="24"/>
        </w:rPr>
        <w:t xml:space="preserve">This is because to a first order, </w:t>
      </w:r>
      <w:r w:rsidR="002C5FC7" w:rsidRPr="00AF2606">
        <w:rPr>
          <w:rFonts w:ascii="Times New Roman" w:hAnsi="Times New Roman" w:cs="Times New Roman"/>
          <w:sz w:val="24"/>
          <w:szCs w:val="24"/>
        </w:rPr>
        <w:t>lithospheric</w:t>
      </w:r>
      <w:r w:rsidR="002C5FC7" w:rsidRPr="009D37AD">
        <w:rPr>
          <w:rFonts w:ascii="Times New Roman" w:hAnsi="Times New Roman" w:cs="Times New Roman"/>
          <w:sz w:val="24"/>
          <w:szCs w:val="24"/>
        </w:rPr>
        <w:t xml:space="preserve"> thickness </w:t>
      </w:r>
      <w:r w:rsidR="00182525" w:rsidRPr="009D37AD">
        <w:rPr>
          <w:rFonts w:ascii="Times New Roman" w:hAnsi="Times New Roman" w:cs="Times New Roman"/>
          <w:sz w:val="24"/>
          <w:szCs w:val="24"/>
        </w:rPr>
        <w:t xml:space="preserve">controls the composition </w:t>
      </w:r>
      <w:r w:rsidR="00AF2606">
        <w:rPr>
          <w:rFonts w:ascii="Times New Roman" w:hAnsi="Times New Roman" w:cs="Times New Roman"/>
          <w:sz w:val="24"/>
          <w:szCs w:val="24"/>
        </w:rPr>
        <w:t xml:space="preserve">of </w:t>
      </w:r>
      <w:r w:rsidR="00182525" w:rsidRPr="009D37AD">
        <w:rPr>
          <w:rFonts w:ascii="Times New Roman" w:hAnsi="Times New Roman" w:cs="Times New Roman"/>
          <w:sz w:val="24"/>
          <w:szCs w:val="24"/>
        </w:rPr>
        <w:t>percolating metasomatic melts</w:t>
      </w:r>
      <w:r w:rsidR="009433C4">
        <w:rPr>
          <w:rFonts w:ascii="Times New Roman" w:hAnsi="Times New Roman" w:cs="Times New Roman"/>
          <w:sz w:val="24"/>
          <w:szCs w:val="24"/>
        </w:rPr>
        <w:t xml:space="preserve"> from w</w:t>
      </w:r>
      <w:r w:rsidR="00245ECD">
        <w:rPr>
          <w:rFonts w:ascii="Times New Roman" w:hAnsi="Times New Roman" w:cs="Times New Roman"/>
          <w:sz w:val="24"/>
          <w:szCs w:val="24"/>
        </w:rPr>
        <w:t>hich</w:t>
      </w:r>
      <w:r w:rsidR="009433C4">
        <w:rPr>
          <w:rFonts w:ascii="Times New Roman" w:hAnsi="Times New Roman" w:cs="Times New Roman"/>
          <w:sz w:val="24"/>
          <w:szCs w:val="24"/>
        </w:rPr>
        <w:t xml:space="preserve"> these crystallise</w:t>
      </w:r>
      <w:r w:rsidR="005D3670">
        <w:rPr>
          <w:rFonts w:ascii="Times New Roman" w:hAnsi="Times New Roman" w:cs="Times New Roman"/>
          <w:sz w:val="24"/>
          <w:szCs w:val="24"/>
        </w:rPr>
        <w:t xml:space="preserve"> </w:t>
      </w:r>
      <w:r w:rsidR="005D3670">
        <w:rPr>
          <w:rFonts w:ascii="Times New Roman" w:hAnsi="Times New Roman" w:cs="Times New Roman"/>
          <w:sz w:val="24"/>
          <w:szCs w:val="24"/>
        </w:rPr>
        <w:fldChar w:fldCharType="begin"/>
      </w:r>
      <w:r w:rsidR="005D3670">
        <w:rPr>
          <w:rFonts w:ascii="Times New Roman" w:hAnsi="Times New Roman" w:cs="Times New Roman"/>
          <w:sz w:val="24"/>
          <w:szCs w:val="24"/>
        </w:rPr>
        <w:instrText xml:space="preserve"> ADDIN ZOTERO_ITEM CSL_CITATION {"citationID":"1NPS1LBS","properties":{"formattedCitation":"(McKenzie, 1989)","plainCitation":"(McKenzie, 1989)","noteIndex":0},"citationItems":[{"id":2592,"uris":["http://zotero.org/users/88665/items/GQSF7ZJ2"],"uri":["http://zotero.org/users/88665/items/GQSF7ZJ2"],"itemData":{"id":2592,"type":"article-journal","container-title":"Earth and Planetary Science Letters","DOI":"10.1016/0012-821X(89)90167-2","ISSN":"0012821X","issue":"1-2","page":"53-72","source":"CrossRef","title":"Some remarks on the movement of small melt fractions in the mantle","volume":"95","author":[{"family":"McKenzie","given":"Dan"}],"issued":{"date-parts":[["1989",10]]}}}],"schema":"https://github.com/citation-style-language/schema/raw/master/csl-citation.json"} </w:instrText>
      </w:r>
      <w:r w:rsidR="005D3670">
        <w:rPr>
          <w:rFonts w:ascii="Times New Roman" w:hAnsi="Times New Roman" w:cs="Times New Roman"/>
          <w:sz w:val="24"/>
          <w:szCs w:val="24"/>
        </w:rPr>
        <w:fldChar w:fldCharType="separate"/>
      </w:r>
      <w:r w:rsidR="005D3670" w:rsidRPr="005D3670">
        <w:rPr>
          <w:rFonts w:ascii="Times New Roman" w:hAnsi="Times New Roman" w:cs="Times New Roman"/>
          <w:sz w:val="24"/>
        </w:rPr>
        <w:t>(McKenzie, 1989)</w:t>
      </w:r>
      <w:r w:rsidR="005D3670">
        <w:rPr>
          <w:rFonts w:ascii="Times New Roman" w:hAnsi="Times New Roman" w:cs="Times New Roman"/>
          <w:sz w:val="24"/>
          <w:szCs w:val="24"/>
        </w:rPr>
        <w:fldChar w:fldCharType="end"/>
      </w:r>
      <w:r w:rsidR="00182525" w:rsidRPr="009D37AD">
        <w:rPr>
          <w:rFonts w:ascii="Times New Roman" w:hAnsi="Times New Roman" w:cs="Times New Roman"/>
          <w:sz w:val="24"/>
          <w:szCs w:val="24"/>
        </w:rPr>
        <w:t>. F</w:t>
      </w:r>
      <w:r w:rsidR="00752835" w:rsidRPr="009D37AD">
        <w:rPr>
          <w:rFonts w:ascii="Times New Roman" w:hAnsi="Times New Roman" w:cs="Times New Roman"/>
          <w:sz w:val="24"/>
          <w:szCs w:val="24"/>
        </w:rPr>
        <w:t xml:space="preserve">or </w:t>
      </w:r>
      <w:r w:rsidR="00BA7992">
        <w:rPr>
          <w:rFonts w:ascii="Times New Roman" w:hAnsi="Times New Roman" w:cs="Times New Roman"/>
          <w:sz w:val="24"/>
          <w:szCs w:val="24"/>
        </w:rPr>
        <w:t>“</w:t>
      </w:r>
      <w:r w:rsidR="0007033A" w:rsidRPr="009D37AD">
        <w:rPr>
          <w:rFonts w:ascii="Times New Roman" w:hAnsi="Times New Roman" w:cs="Times New Roman"/>
          <w:sz w:val="24"/>
          <w:szCs w:val="24"/>
        </w:rPr>
        <w:t>off-craton</w:t>
      </w:r>
      <w:r w:rsidR="00BA7992">
        <w:rPr>
          <w:rFonts w:ascii="Times New Roman" w:hAnsi="Times New Roman" w:cs="Times New Roman"/>
          <w:sz w:val="24"/>
          <w:szCs w:val="24"/>
        </w:rPr>
        <w:t>”</w:t>
      </w:r>
      <w:r w:rsidR="0007033A" w:rsidRPr="009D37AD">
        <w:rPr>
          <w:rFonts w:ascii="Times New Roman" w:hAnsi="Times New Roman" w:cs="Times New Roman"/>
          <w:sz w:val="24"/>
          <w:szCs w:val="24"/>
        </w:rPr>
        <w:t xml:space="preserve"> </w:t>
      </w:r>
      <w:r w:rsidR="00721633" w:rsidRPr="009D37AD">
        <w:rPr>
          <w:rFonts w:ascii="Times New Roman" w:hAnsi="Times New Roman" w:cs="Times New Roman"/>
          <w:sz w:val="24"/>
          <w:szCs w:val="24"/>
        </w:rPr>
        <w:t>lithosphere</w:t>
      </w:r>
      <w:r w:rsidR="00424BE4">
        <w:rPr>
          <w:rFonts w:ascii="Times New Roman" w:hAnsi="Times New Roman" w:cs="Times New Roman"/>
          <w:sz w:val="24"/>
          <w:szCs w:val="24"/>
        </w:rPr>
        <w:t>,</w:t>
      </w:r>
      <w:r w:rsidR="00721633" w:rsidRPr="009D37AD">
        <w:rPr>
          <w:rFonts w:ascii="Times New Roman" w:hAnsi="Times New Roman" w:cs="Times New Roman"/>
          <w:sz w:val="24"/>
          <w:szCs w:val="24"/>
        </w:rPr>
        <w:t xml:space="preserve"> </w:t>
      </w:r>
      <w:r w:rsidR="00506D71" w:rsidRPr="009D37AD">
        <w:rPr>
          <w:rFonts w:ascii="Times New Roman" w:hAnsi="Times New Roman" w:cs="Times New Roman"/>
          <w:sz w:val="24"/>
          <w:szCs w:val="24"/>
        </w:rPr>
        <w:t>the percolating metasomatic melts will resemble nephelinites and basanites</w:t>
      </w:r>
      <w:r w:rsidR="00182525" w:rsidRPr="009D37AD">
        <w:rPr>
          <w:rFonts w:ascii="Times New Roman" w:hAnsi="Times New Roman" w:cs="Times New Roman"/>
          <w:sz w:val="24"/>
          <w:szCs w:val="24"/>
        </w:rPr>
        <w:t xml:space="preserve"> and </w:t>
      </w:r>
      <w:r w:rsidR="00506D71" w:rsidRPr="009D37AD">
        <w:rPr>
          <w:rFonts w:ascii="Times New Roman" w:hAnsi="Times New Roman" w:cs="Times New Roman"/>
          <w:sz w:val="24"/>
          <w:szCs w:val="24"/>
        </w:rPr>
        <w:t xml:space="preserve">contain </w:t>
      </w:r>
      <w:r w:rsidR="009433C4">
        <w:rPr>
          <w:rFonts w:ascii="Times New Roman" w:hAnsi="Times New Roman" w:cs="Times New Roman"/>
          <w:sz w:val="24"/>
          <w:szCs w:val="24"/>
        </w:rPr>
        <w:t>1.5</w:t>
      </w:r>
      <w:r w:rsidR="009433C4" w:rsidRPr="009D37AD">
        <w:rPr>
          <w:rFonts w:ascii="Times New Roman" w:hAnsi="Times New Roman" w:cs="Times New Roman"/>
          <w:sz w:val="24"/>
          <w:szCs w:val="24"/>
        </w:rPr>
        <w:t xml:space="preserve"> </w:t>
      </w:r>
      <w:r w:rsidR="00B34BB3" w:rsidRPr="009D37AD">
        <w:rPr>
          <w:rFonts w:ascii="Times New Roman" w:hAnsi="Times New Roman" w:cs="Times New Roman"/>
          <w:sz w:val="24"/>
          <w:szCs w:val="24"/>
        </w:rPr>
        <w:t xml:space="preserve">to </w:t>
      </w:r>
      <w:r w:rsidR="00506D71" w:rsidRPr="009D37AD">
        <w:rPr>
          <w:rFonts w:ascii="Times New Roman" w:hAnsi="Times New Roman" w:cs="Times New Roman"/>
          <w:sz w:val="24"/>
          <w:szCs w:val="24"/>
        </w:rPr>
        <w:t xml:space="preserve">3 </w:t>
      </w:r>
      <w:r w:rsidR="009A266F">
        <w:rPr>
          <w:rFonts w:ascii="Times New Roman" w:hAnsi="Times New Roman" w:cs="Times New Roman"/>
          <w:sz w:val="24"/>
          <w:szCs w:val="24"/>
        </w:rPr>
        <w:t>wt.%</w:t>
      </w:r>
      <w:r w:rsidR="00506D71" w:rsidRPr="009D37AD">
        <w:rPr>
          <w:rFonts w:ascii="Times New Roman" w:hAnsi="Times New Roman" w:cs="Times New Roman"/>
          <w:sz w:val="24"/>
          <w:szCs w:val="24"/>
        </w:rPr>
        <w:t xml:space="preserve"> H</w:t>
      </w:r>
      <w:r w:rsidR="00506D71" w:rsidRPr="009D37AD">
        <w:rPr>
          <w:rFonts w:ascii="Times New Roman" w:hAnsi="Times New Roman" w:cs="Times New Roman"/>
          <w:sz w:val="24"/>
          <w:szCs w:val="24"/>
          <w:vertAlign w:val="subscript"/>
        </w:rPr>
        <w:t>2</w:t>
      </w:r>
      <w:r w:rsidR="00506D71" w:rsidRPr="009D37AD">
        <w:rPr>
          <w:rFonts w:ascii="Times New Roman" w:hAnsi="Times New Roman" w:cs="Times New Roman"/>
          <w:sz w:val="24"/>
          <w:szCs w:val="24"/>
        </w:rPr>
        <w:t>O</w:t>
      </w:r>
      <w:r w:rsidR="00E6437A" w:rsidRPr="009D37AD">
        <w:rPr>
          <w:rFonts w:ascii="Times New Roman" w:hAnsi="Times New Roman" w:cs="Times New Roman"/>
          <w:sz w:val="24"/>
          <w:szCs w:val="24"/>
        </w:rPr>
        <w:t xml:space="preserve"> and 10-11 </w:t>
      </w:r>
      <w:r w:rsidR="009A266F">
        <w:rPr>
          <w:rFonts w:ascii="Times New Roman" w:hAnsi="Times New Roman" w:cs="Times New Roman"/>
          <w:sz w:val="24"/>
          <w:szCs w:val="24"/>
        </w:rPr>
        <w:t>wt.%</w:t>
      </w:r>
      <w:r w:rsidR="00E6437A" w:rsidRPr="009D37AD">
        <w:rPr>
          <w:rFonts w:ascii="Times New Roman" w:hAnsi="Times New Roman" w:cs="Times New Roman"/>
          <w:sz w:val="24"/>
          <w:szCs w:val="24"/>
        </w:rPr>
        <w:t xml:space="preserve"> Al</w:t>
      </w:r>
      <w:r w:rsidR="00E6437A" w:rsidRPr="009D37AD">
        <w:rPr>
          <w:rFonts w:ascii="Times New Roman" w:hAnsi="Times New Roman" w:cs="Times New Roman"/>
          <w:sz w:val="24"/>
          <w:szCs w:val="24"/>
          <w:vertAlign w:val="subscript"/>
        </w:rPr>
        <w:t>2</w:t>
      </w:r>
      <w:r w:rsidR="00E6437A" w:rsidRPr="009D37AD">
        <w:rPr>
          <w:rFonts w:ascii="Times New Roman" w:hAnsi="Times New Roman" w:cs="Times New Roman"/>
          <w:sz w:val="24"/>
          <w:szCs w:val="24"/>
        </w:rPr>
        <w:t>O</w:t>
      </w:r>
      <w:r w:rsidR="00E6437A" w:rsidRPr="009D37AD">
        <w:rPr>
          <w:rFonts w:ascii="Times New Roman" w:hAnsi="Times New Roman" w:cs="Times New Roman"/>
          <w:sz w:val="24"/>
          <w:szCs w:val="24"/>
          <w:vertAlign w:val="subscript"/>
        </w:rPr>
        <w:t>3</w:t>
      </w:r>
      <w:r w:rsidR="00E4643C">
        <w:rPr>
          <w:rFonts w:ascii="Times New Roman" w:hAnsi="Times New Roman" w:cs="Times New Roman"/>
          <w:sz w:val="24"/>
          <w:szCs w:val="24"/>
        </w:rPr>
        <w:t xml:space="preserve"> </w:t>
      </w:r>
      <w:r w:rsidR="00E4643C">
        <w:rPr>
          <w:rFonts w:ascii="Times New Roman" w:hAnsi="Times New Roman" w:cs="Times New Roman"/>
          <w:sz w:val="24"/>
          <w:szCs w:val="24"/>
        </w:rPr>
        <w:fldChar w:fldCharType="begin"/>
      </w:r>
      <w:r w:rsidR="008E0CCC">
        <w:rPr>
          <w:rFonts w:ascii="Times New Roman" w:hAnsi="Times New Roman" w:cs="Times New Roman"/>
          <w:sz w:val="24"/>
          <w:szCs w:val="24"/>
        </w:rPr>
        <w:instrText xml:space="preserve"> ADDIN ZOTERO_ITEM CSL_CITATION {"citationID":"fssywHoR","properties":{"formattedCitation":"(Dixon et al., 1997; Green et al., 2010)","plainCitation":"(Dixon et al., 1997; Green et al., 2010)","noteIndex":0},"citationItems":[{"id":4174,"uris":["http://zotero.org/users/88665/items/K8W5ATR6"],"uri":["http://zotero.org/users/88665/items/K8W5ATR6"],"itemData":{"id":4174,"type":"article-journal","abstract":"Abstract.  The North Arch volcanic field is a submarine suite of alkali basaltic to nephelinitic lavas of the seafloor north of Oahu at water depths of 3900–438","container-title":"Journal of Petrology","DOI":"10.1093/petroj/38.7.911","ISSN":"0022-3530","issue":"7","journalAbbreviation":"J Petrology","language":"en","page":"911-939","source":"academic.oup.com","title":"Volatiles in alkalic basalts form the North Arch Volcanic Field, Hawaii: Extensive degassing of deep submarine-erupted alkalic series lavas","title-short":"Volatiles in Alkalic Basalts form the North Arch Volcanic Field, Hawaii","volume":"38","author":[{"family":"Dixon","given":"Jacqueline E."},{"family":"Clague","given":"David A."},{"family":"Wallace","given":"Paul"},{"family":"Poreda","given":"Robert"}],"issued":{"date-parts":[["1997",7,1]]}}},{"id":4308,"uris":["http://zotero.org/users/88665/items/QA8GFX8F"],"uri":["http://zotero.org/users/88665/items/QA8GFX8F"],"itemData":{"id":4308,"type":"article-journal","abstract":"The Earth has distinctive convective behaviour, described by the plate tectonics model, in which lateral motion of the oceanic lithosphere of basaltic crust and peridotitic uppermost mantle is decoupled from the underlying mechanically weaker upper mantle (asthenosphere). The reason for differentiation at the lithosphere–asthenosphere boundary is currently being debated with relevant observations from geophysics (including seismology) and geochemistry (including experimental petrology). Water is thought to have an important effect on mantle rheology, either by weakening the crystal structure of olivine and pyroxenes by dilute solid solution1, or by causing low-temperature partial melting2. Here we present a novel experimental approach to clarify the role of water in the uppermost mantle at pressures up to 6 GPa, equivalent to a depth of 190 km. We found that for lherzolite in which a water-rich vapour is present, the temperature at which a silicate melt first appears (the vapour-saturated solidus) increases from a minimum of 970 °C at 1.5 GPa to 1,350 °C at 6 GPa. We have measured the water content in lherzolite to be approximately 180 parts per million, retained in nominally anhydrous minerals at 2.5 and 4 GPa at temperatures above and below the vapour-saturated solidus. The hydrous mineral pargasite is the main water-storage site in the uppermost mantle, and the instability of pargasite at pressures greater than 3 GPa (equivalent to more than about 90 km depth) causes a sharp drop in both the water-storage capacity and the solidus temperature of fertile upper-mantle lherzolite. The presence of interstitial melt in mantle with more than 180 parts per million of water at pressures greater than 3 GPa alters mantle rheology and defines the lithosphere–asthenosphere boundary. Modern asthenospheric mantle acting as the source for mid-oceanic ridge basalts has a water content of 50–200 parts per million (refs 3–5). We show that this matches the water content of residual nominally anhydrous minerals after incipient melting of lherzolite at the vapour-saturated solidus at high pressure.","container-title":"Nature","DOI":"10.1038/nature09369","ISSN":"1476-4687","issue":"7314","language":"en","page":"448-451","source":"www.nature.com","title":"Water and its influence on the lithosphere–asthenosphere boundary","volume":"467","author":[{"family":"Green","given":"David H."},{"family":"Hibberson","given":"William O."},{"family":"Kovács","given":"István"},{"family":"Rosenthal","given":"Anja"}],"issued":{"date-parts":[["2010",9]]}}}],"schema":"https://github.com/citation-style-language/schema/raw/master/csl-citation.json"} </w:instrText>
      </w:r>
      <w:r w:rsidR="00E4643C">
        <w:rPr>
          <w:rFonts w:ascii="Times New Roman" w:hAnsi="Times New Roman" w:cs="Times New Roman"/>
          <w:sz w:val="24"/>
          <w:szCs w:val="24"/>
        </w:rPr>
        <w:fldChar w:fldCharType="separate"/>
      </w:r>
      <w:r w:rsidR="00E4643C">
        <w:rPr>
          <w:rFonts w:ascii="Times New Roman" w:hAnsi="Times New Roman" w:cs="Times New Roman"/>
          <w:noProof/>
          <w:sz w:val="24"/>
          <w:szCs w:val="24"/>
        </w:rPr>
        <w:t>(Dixon et al., 1997; Green et al., 2010)</w:t>
      </w:r>
      <w:r w:rsidR="00E4643C">
        <w:rPr>
          <w:rFonts w:ascii="Times New Roman" w:hAnsi="Times New Roman" w:cs="Times New Roman"/>
          <w:sz w:val="24"/>
          <w:szCs w:val="24"/>
        </w:rPr>
        <w:fldChar w:fldCharType="end"/>
      </w:r>
      <w:r w:rsidR="00182525" w:rsidRPr="009D37AD">
        <w:rPr>
          <w:rFonts w:ascii="Times New Roman" w:hAnsi="Times New Roman" w:cs="Times New Roman"/>
          <w:sz w:val="24"/>
          <w:szCs w:val="24"/>
        </w:rPr>
        <w:t>. At</w:t>
      </w:r>
      <w:r w:rsidR="00506D71" w:rsidRPr="009D37AD">
        <w:rPr>
          <w:rFonts w:ascii="Times New Roman" w:hAnsi="Times New Roman" w:cs="Times New Roman"/>
          <w:sz w:val="24"/>
          <w:szCs w:val="24"/>
        </w:rPr>
        <w:t xml:space="preserve"> </w:t>
      </w:r>
      <w:r w:rsidR="00A71ED4" w:rsidRPr="009D37AD">
        <w:rPr>
          <w:rFonts w:ascii="Times New Roman" w:hAnsi="Times New Roman" w:cs="Times New Roman"/>
          <w:sz w:val="24"/>
          <w:szCs w:val="24"/>
        </w:rPr>
        <w:t xml:space="preserve">the garnet-spinel transition zone, </w:t>
      </w:r>
      <w:r w:rsidR="005359ED" w:rsidRPr="009D37AD">
        <w:rPr>
          <w:rFonts w:ascii="Times New Roman" w:hAnsi="Times New Roman" w:cs="Times New Roman"/>
          <w:sz w:val="24"/>
          <w:szCs w:val="24"/>
        </w:rPr>
        <w:t xml:space="preserve">our calculations show that </w:t>
      </w:r>
      <w:r w:rsidR="00182525" w:rsidRPr="009D37AD">
        <w:rPr>
          <w:rFonts w:ascii="Times New Roman" w:hAnsi="Times New Roman" w:cs="Times New Roman"/>
          <w:sz w:val="24"/>
          <w:szCs w:val="24"/>
        </w:rPr>
        <w:t xml:space="preserve">these </w:t>
      </w:r>
      <w:r w:rsidR="009433C4">
        <w:rPr>
          <w:rFonts w:ascii="Times New Roman" w:hAnsi="Times New Roman" w:cs="Times New Roman"/>
          <w:sz w:val="24"/>
          <w:szCs w:val="24"/>
        </w:rPr>
        <w:t xml:space="preserve">melts </w:t>
      </w:r>
      <w:r w:rsidR="00182525" w:rsidRPr="009D37AD">
        <w:rPr>
          <w:rFonts w:ascii="Times New Roman" w:hAnsi="Times New Roman" w:cs="Times New Roman"/>
          <w:sz w:val="24"/>
          <w:szCs w:val="24"/>
        </w:rPr>
        <w:t xml:space="preserve">will </w:t>
      </w:r>
      <w:r w:rsidR="00506D71" w:rsidRPr="009D37AD">
        <w:rPr>
          <w:rFonts w:ascii="Times New Roman" w:hAnsi="Times New Roman" w:cs="Times New Roman"/>
          <w:sz w:val="24"/>
          <w:szCs w:val="24"/>
        </w:rPr>
        <w:t xml:space="preserve">be in equilibrium with clinopyroxenes </w:t>
      </w:r>
      <w:r w:rsidR="00BA7992">
        <w:rPr>
          <w:rFonts w:ascii="Times New Roman" w:hAnsi="Times New Roman" w:cs="Times New Roman"/>
          <w:sz w:val="24"/>
          <w:szCs w:val="24"/>
        </w:rPr>
        <w:t>that have</w:t>
      </w:r>
      <w:r w:rsidR="00506D71" w:rsidRPr="009D37AD">
        <w:rPr>
          <w:rFonts w:ascii="Times New Roman" w:hAnsi="Times New Roman" w:cs="Times New Roman"/>
          <w:sz w:val="24"/>
          <w:szCs w:val="24"/>
        </w:rPr>
        <w:t xml:space="preserve"> </w:t>
      </w:r>
      <w:r w:rsidR="00752835" w:rsidRPr="009D37AD">
        <w:rPr>
          <w:rFonts w:ascii="Times New Roman" w:hAnsi="Times New Roman" w:cs="Times New Roman"/>
          <w:sz w:val="24"/>
          <w:szCs w:val="24"/>
        </w:rPr>
        <w:t xml:space="preserve">up to </w:t>
      </w:r>
      <w:r w:rsidR="00145B59" w:rsidRPr="009D37AD">
        <w:rPr>
          <w:rFonts w:ascii="Times New Roman" w:hAnsi="Times New Roman" w:cs="Times New Roman"/>
          <w:sz w:val="24"/>
          <w:szCs w:val="24"/>
        </w:rPr>
        <w:t>~</w:t>
      </w:r>
      <w:r w:rsidR="00752835" w:rsidRPr="009D37AD">
        <w:rPr>
          <w:rFonts w:ascii="Times New Roman" w:hAnsi="Times New Roman" w:cs="Times New Roman"/>
          <w:sz w:val="24"/>
          <w:szCs w:val="24"/>
        </w:rPr>
        <w:t xml:space="preserve">650 </w:t>
      </w:r>
      <w:r w:rsidR="00C5757D">
        <w:rPr>
          <w:rFonts w:ascii="Times New Roman" w:hAnsi="Times New Roman" w:cs="Times New Roman"/>
          <w:sz w:val="24"/>
          <w:szCs w:val="24"/>
        </w:rPr>
        <w:t>ppmw</w:t>
      </w:r>
      <w:r w:rsidR="00752835" w:rsidRPr="009D37AD">
        <w:rPr>
          <w:rFonts w:ascii="Times New Roman" w:hAnsi="Times New Roman" w:cs="Times New Roman"/>
          <w:sz w:val="24"/>
          <w:szCs w:val="24"/>
        </w:rPr>
        <w:t xml:space="preserve"> </w:t>
      </w:r>
      <w:r w:rsidR="00B626A2" w:rsidRPr="00B626A2">
        <w:rPr>
          <w:rFonts w:ascii="Times New Roman" w:hAnsi="Times New Roman" w:cs="Times New Roman"/>
          <w:sz w:val="24"/>
          <w:szCs w:val="24"/>
        </w:rPr>
        <w:t>H</w:t>
      </w:r>
      <w:r w:rsidR="00B626A2" w:rsidRPr="00B626A2">
        <w:rPr>
          <w:rFonts w:ascii="Times New Roman" w:hAnsi="Times New Roman" w:cs="Times New Roman"/>
          <w:sz w:val="24"/>
          <w:szCs w:val="24"/>
          <w:vertAlign w:val="subscript"/>
        </w:rPr>
        <w:t>2</w:t>
      </w:r>
      <w:r w:rsidR="00B626A2" w:rsidRPr="00B626A2">
        <w:rPr>
          <w:rFonts w:ascii="Times New Roman" w:hAnsi="Times New Roman" w:cs="Times New Roman"/>
          <w:sz w:val="24"/>
          <w:szCs w:val="24"/>
        </w:rPr>
        <w:t>O</w:t>
      </w:r>
      <w:r w:rsidR="00B626A2">
        <w:rPr>
          <w:rFonts w:ascii="Times New Roman" w:hAnsi="Times New Roman" w:cs="Times New Roman"/>
          <w:sz w:val="24"/>
          <w:szCs w:val="24"/>
        </w:rPr>
        <w:t xml:space="preserve"> </w:t>
      </w:r>
      <w:r w:rsidR="00B626A2" w:rsidRPr="009D37AD">
        <w:rPr>
          <w:rFonts w:ascii="Times New Roman" w:hAnsi="Times New Roman" w:cs="Times New Roman"/>
          <w:sz w:val="24"/>
          <w:szCs w:val="24"/>
        </w:rPr>
        <w:t>(</w:t>
      </w:r>
      <w:r w:rsidR="00B626A2" w:rsidRPr="009D37AD">
        <w:rPr>
          <w:rFonts w:ascii="Times New Roman" w:hAnsi="Times New Roman" w:cs="Times New Roman"/>
          <w:b/>
          <w:sz w:val="24"/>
          <w:szCs w:val="24"/>
        </w:rPr>
        <w:t>Figure 6</w:t>
      </w:r>
      <w:r w:rsidR="00B626A2">
        <w:rPr>
          <w:rFonts w:ascii="Times New Roman" w:hAnsi="Times New Roman" w:cs="Times New Roman"/>
          <w:b/>
          <w:sz w:val="24"/>
          <w:szCs w:val="24"/>
        </w:rPr>
        <w:t>a</w:t>
      </w:r>
      <w:r w:rsidR="00B626A2" w:rsidRPr="009D37AD">
        <w:rPr>
          <w:rFonts w:ascii="Times New Roman" w:hAnsi="Times New Roman" w:cs="Times New Roman"/>
          <w:sz w:val="24"/>
          <w:szCs w:val="24"/>
        </w:rPr>
        <w:t>)</w:t>
      </w:r>
      <w:r w:rsidR="00797DD8" w:rsidRPr="009D37AD">
        <w:rPr>
          <w:rFonts w:ascii="Times New Roman" w:hAnsi="Times New Roman" w:cs="Times New Roman"/>
          <w:sz w:val="24"/>
          <w:szCs w:val="24"/>
        </w:rPr>
        <w:t xml:space="preserve">. </w:t>
      </w:r>
      <w:r w:rsidR="00721633" w:rsidRPr="009D37AD">
        <w:rPr>
          <w:rFonts w:ascii="Times New Roman" w:hAnsi="Times New Roman" w:cs="Times New Roman"/>
          <w:sz w:val="24"/>
          <w:szCs w:val="24"/>
        </w:rPr>
        <w:t xml:space="preserve">These </w:t>
      </w:r>
      <w:r w:rsidR="009F002C" w:rsidRPr="009D37AD">
        <w:rPr>
          <w:rFonts w:ascii="Times New Roman" w:hAnsi="Times New Roman" w:cs="Times New Roman"/>
          <w:sz w:val="24"/>
          <w:szCs w:val="24"/>
        </w:rPr>
        <w:t>H</w:t>
      </w:r>
      <w:r w:rsidR="009F002C" w:rsidRPr="009D37AD">
        <w:rPr>
          <w:rFonts w:ascii="Times New Roman" w:hAnsi="Times New Roman" w:cs="Times New Roman"/>
          <w:sz w:val="24"/>
          <w:szCs w:val="24"/>
          <w:vertAlign w:val="subscript"/>
        </w:rPr>
        <w:t>2</w:t>
      </w:r>
      <w:r w:rsidR="009F002C" w:rsidRPr="009D37AD">
        <w:rPr>
          <w:rFonts w:ascii="Times New Roman" w:hAnsi="Times New Roman" w:cs="Times New Roman"/>
          <w:sz w:val="24"/>
          <w:szCs w:val="24"/>
        </w:rPr>
        <w:t>O</w:t>
      </w:r>
      <w:r w:rsidR="009F002C" w:rsidRPr="009D37AD" w:rsidDel="009F002C">
        <w:rPr>
          <w:rFonts w:ascii="Times New Roman" w:hAnsi="Times New Roman" w:cs="Times New Roman"/>
          <w:sz w:val="24"/>
          <w:szCs w:val="24"/>
        </w:rPr>
        <w:t xml:space="preserve"> </w:t>
      </w:r>
      <w:r w:rsidR="009F002C">
        <w:rPr>
          <w:rFonts w:ascii="Times New Roman" w:hAnsi="Times New Roman" w:cs="Times New Roman"/>
          <w:sz w:val="24"/>
          <w:szCs w:val="24"/>
        </w:rPr>
        <w:t>contents fall within the range</w:t>
      </w:r>
      <w:r w:rsidR="00721633" w:rsidRPr="009D37AD">
        <w:rPr>
          <w:rFonts w:ascii="Times New Roman" w:hAnsi="Times New Roman" w:cs="Times New Roman"/>
          <w:sz w:val="24"/>
          <w:szCs w:val="24"/>
        </w:rPr>
        <w:t xml:space="preserve"> </w:t>
      </w:r>
      <w:r w:rsidR="006654DA" w:rsidRPr="009D37AD">
        <w:rPr>
          <w:rFonts w:ascii="Times New Roman" w:hAnsi="Times New Roman" w:cs="Times New Roman"/>
          <w:sz w:val="24"/>
          <w:szCs w:val="24"/>
        </w:rPr>
        <w:t xml:space="preserve">predicted </w:t>
      </w:r>
      <w:r w:rsidR="009F002C">
        <w:rPr>
          <w:rFonts w:ascii="Times New Roman" w:hAnsi="Times New Roman" w:cs="Times New Roman"/>
          <w:sz w:val="24"/>
          <w:szCs w:val="24"/>
        </w:rPr>
        <w:t>for clinopyroxene</w:t>
      </w:r>
      <w:r w:rsidR="009F002C" w:rsidRPr="009D37AD">
        <w:rPr>
          <w:rFonts w:ascii="Times New Roman" w:hAnsi="Times New Roman" w:cs="Times New Roman"/>
          <w:sz w:val="24"/>
          <w:szCs w:val="24"/>
        </w:rPr>
        <w:t xml:space="preserve"> </w:t>
      </w:r>
      <w:r w:rsidR="009F002C">
        <w:rPr>
          <w:rFonts w:ascii="Times New Roman" w:hAnsi="Times New Roman" w:cs="Times New Roman"/>
          <w:sz w:val="24"/>
          <w:szCs w:val="24"/>
        </w:rPr>
        <w:t xml:space="preserve">(330-1100 </w:t>
      </w:r>
      <w:r w:rsidR="00C5757D">
        <w:rPr>
          <w:rFonts w:ascii="Times New Roman" w:hAnsi="Times New Roman" w:cs="Times New Roman"/>
          <w:sz w:val="24"/>
          <w:szCs w:val="24"/>
        </w:rPr>
        <w:t>ppmw</w:t>
      </w:r>
      <w:r w:rsidR="009F002C">
        <w:rPr>
          <w:rFonts w:ascii="Times New Roman" w:hAnsi="Times New Roman" w:cs="Times New Roman"/>
          <w:sz w:val="24"/>
          <w:szCs w:val="24"/>
        </w:rPr>
        <w:t xml:space="preserve">) </w:t>
      </w:r>
      <w:r w:rsidR="005359ED">
        <w:rPr>
          <w:rFonts w:ascii="Times New Roman" w:hAnsi="Times New Roman" w:cs="Times New Roman"/>
          <w:sz w:val="24"/>
          <w:szCs w:val="24"/>
        </w:rPr>
        <w:t>in equilibrium with</w:t>
      </w:r>
      <w:r w:rsidR="006654DA" w:rsidRPr="009D37AD">
        <w:rPr>
          <w:rFonts w:ascii="Times New Roman" w:hAnsi="Times New Roman" w:cs="Times New Roman"/>
          <w:sz w:val="24"/>
          <w:szCs w:val="24"/>
        </w:rPr>
        <w:t xml:space="preserve"> </w:t>
      </w:r>
      <w:r w:rsidR="00721633" w:rsidRPr="009D37AD">
        <w:rPr>
          <w:rFonts w:ascii="Times New Roman" w:hAnsi="Times New Roman" w:cs="Times New Roman"/>
          <w:sz w:val="24"/>
          <w:szCs w:val="24"/>
        </w:rPr>
        <w:t>more volatile-rich kimberlites</w:t>
      </w:r>
      <w:r w:rsidR="0006167D" w:rsidRPr="009D37AD">
        <w:rPr>
          <w:rFonts w:ascii="Times New Roman" w:hAnsi="Times New Roman" w:cs="Times New Roman"/>
          <w:sz w:val="24"/>
          <w:szCs w:val="24"/>
        </w:rPr>
        <w:t xml:space="preserve"> </w:t>
      </w:r>
      <w:r w:rsidR="002E7DF0" w:rsidRPr="009D37AD">
        <w:rPr>
          <w:rFonts w:ascii="Times New Roman" w:hAnsi="Times New Roman" w:cs="Times New Roman"/>
          <w:sz w:val="24"/>
          <w:szCs w:val="24"/>
        </w:rPr>
        <w:t xml:space="preserve">(7 </w:t>
      </w:r>
      <w:r w:rsidR="009A266F">
        <w:rPr>
          <w:rFonts w:ascii="Times New Roman" w:hAnsi="Times New Roman" w:cs="Times New Roman"/>
          <w:sz w:val="24"/>
          <w:szCs w:val="24"/>
        </w:rPr>
        <w:t>wt.%</w:t>
      </w:r>
      <w:r w:rsidR="002E7DF0" w:rsidRPr="009D37AD">
        <w:rPr>
          <w:rFonts w:ascii="Times New Roman" w:hAnsi="Times New Roman" w:cs="Times New Roman"/>
          <w:sz w:val="24"/>
          <w:szCs w:val="24"/>
        </w:rPr>
        <w:t xml:space="preserve"> H</w:t>
      </w:r>
      <w:r w:rsidR="002E7DF0" w:rsidRPr="009D37AD">
        <w:rPr>
          <w:rFonts w:ascii="Times New Roman" w:hAnsi="Times New Roman" w:cs="Times New Roman"/>
          <w:sz w:val="24"/>
          <w:szCs w:val="24"/>
          <w:vertAlign w:val="subscript"/>
        </w:rPr>
        <w:t>2</w:t>
      </w:r>
      <w:r w:rsidR="002E7DF0" w:rsidRPr="009D37AD">
        <w:rPr>
          <w:rFonts w:ascii="Times New Roman" w:hAnsi="Times New Roman" w:cs="Times New Roman"/>
          <w:sz w:val="24"/>
          <w:szCs w:val="24"/>
        </w:rPr>
        <w:t xml:space="preserve">O and 2 </w:t>
      </w:r>
      <w:r w:rsidR="009A266F">
        <w:rPr>
          <w:rFonts w:ascii="Times New Roman" w:hAnsi="Times New Roman" w:cs="Times New Roman"/>
          <w:sz w:val="24"/>
          <w:szCs w:val="24"/>
        </w:rPr>
        <w:t>wt.%</w:t>
      </w:r>
      <w:r w:rsidR="002E7DF0" w:rsidRPr="009D37AD">
        <w:rPr>
          <w:rFonts w:ascii="Times New Roman" w:hAnsi="Times New Roman" w:cs="Times New Roman"/>
          <w:sz w:val="24"/>
          <w:szCs w:val="24"/>
        </w:rPr>
        <w:t xml:space="preserve"> Al</w:t>
      </w:r>
      <w:r w:rsidR="002E7DF0" w:rsidRPr="009D37AD">
        <w:rPr>
          <w:rFonts w:ascii="Times New Roman" w:hAnsi="Times New Roman" w:cs="Times New Roman"/>
          <w:sz w:val="24"/>
          <w:szCs w:val="24"/>
          <w:vertAlign w:val="subscript"/>
        </w:rPr>
        <w:t>2</w:t>
      </w:r>
      <w:r w:rsidR="002E7DF0" w:rsidRPr="009D37AD">
        <w:rPr>
          <w:rFonts w:ascii="Times New Roman" w:hAnsi="Times New Roman" w:cs="Times New Roman"/>
          <w:sz w:val="24"/>
          <w:szCs w:val="24"/>
        </w:rPr>
        <w:t>O</w:t>
      </w:r>
      <w:r w:rsidR="002E7DF0" w:rsidRPr="009D37AD">
        <w:rPr>
          <w:rFonts w:ascii="Times New Roman" w:hAnsi="Times New Roman" w:cs="Times New Roman"/>
          <w:sz w:val="24"/>
          <w:szCs w:val="24"/>
          <w:vertAlign w:val="subscript"/>
        </w:rPr>
        <w:t>3</w:t>
      </w:r>
      <w:r w:rsidR="002E7DF0" w:rsidRPr="009D37AD">
        <w:rPr>
          <w:rFonts w:ascii="Times New Roman" w:hAnsi="Times New Roman" w:cs="Times New Roman"/>
          <w:sz w:val="24"/>
          <w:szCs w:val="24"/>
        </w:rPr>
        <w:t>)</w:t>
      </w:r>
      <w:r w:rsidR="002E7DF0" w:rsidRPr="009D37AD">
        <w:rPr>
          <w:rFonts w:ascii="Times New Roman" w:hAnsi="Times New Roman" w:cs="Times New Roman"/>
          <w:sz w:val="24"/>
          <w:szCs w:val="24"/>
          <w:vertAlign w:val="subscript"/>
        </w:rPr>
        <w:t xml:space="preserve"> </w:t>
      </w:r>
      <w:r w:rsidR="006654DA" w:rsidRPr="009D37AD">
        <w:rPr>
          <w:rFonts w:ascii="Times New Roman" w:hAnsi="Times New Roman" w:cs="Times New Roman"/>
          <w:sz w:val="24"/>
          <w:szCs w:val="24"/>
        </w:rPr>
        <w:t xml:space="preserve">that infiltrate </w:t>
      </w:r>
      <w:r w:rsidR="005359ED">
        <w:rPr>
          <w:rFonts w:ascii="Times New Roman" w:hAnsi="Times New Roman" w:cs="Times New Roman"/>
          <w:sz w:val="24"/>
          <w:szCs w:val="24"/>
        </w:rPr>
        <w:t xml:space="preserve">much </w:t>
      </w:r>
      <w:r w:rsidR="006654DA" w:rsidRPr="009D37AD">
        <w:rPr>
          <w:rFonts w:ascii="Times New Roman" w:hAnsi="Times New Roman" w:cs="Times New Roman"/>
          <w:sz w:val="24"/>
          <w:szCs w:val="24"/>
        </w:rPr>
        <w:t xml:space="preserve">thicker </w:t>
      </w:r>
      <w:r w:rsidR="005359ED">
        <w:rPr>
          <w:rFonts w:ascii="Times New Roman" w:hAnsi="Times New Roman" w:cs="Times New Roman"/>
          <w:sz w:val="24"/>
          <w:szCs w:val="24"/>
        </w:rPr>
        <w:t xml:space="preserve">sub-cratonic </w:t>
      </w:r>
      <w:r w:rsidR="006654DA" w:rsidRPr="009D37AD">
        <w:rPr>
          <w:rFonts w:ascii="Times New Roman" w:hAnsi="Times New Roman" w:cs="Times New Roman"/>
          <w:sz w:val="24"/>
          <w:szCs w:val="24"/>
        </w:rPr>
        <w:t>lithosphere</w:t>
      </w:r>
      <w:r w:rsidR="002E7DF0" w:rsidRPr="009D37AD">
        <w:rPr>
          <w:rFonts w:ascii="Times New Roman" w:hAnsi="Times New Roman" w:cs="Times New Roman"/>
          <w:sz w:val="24"/>
          <w:szCs w:val="24"/>
        </w:rPr>
        <w:t xml:space="preserve">. </w:t>
      </w:r>
      <w:r w:rsidR="005359ED">
        <w:rPr>
          <w:rFonts w:ascii="Times New Roman" w:hAnsi="Times New Roman" w:cs="Times New Roman"/>
          <w:sz w:val="24"/>
          <w:szCs w:val="24"/>
        </w:rPr>
        <w:t xml:space="preserve">These findings </w:t>
      </w:r>
      <w:r w:rsidR="002E7DF0" w:rsidRPr="009D37AD">
        <w:rPr>
          <w:rFonts w:ascii="Times New Roman" w:hAnsi="Times New Roman" w:cs="Times New Roman"/>
          <w:sz w:val="24"/>
          <w:szCs w:val="24"/>
        </w:rPr>
        <w:t>are</w:t>
      </w:r>
      <w:r w:rsidR="006654DA" w:rsidRPr="009D37AD">
        <w:rPr>
          <w:rFonts w:ascii="Times New Roman" w:hAnsi="Times New Roman" w:cs="Times New Roman"/>
          <w:sz w:val="24"/>
          <w:szCs w:val="24"/>
        </w:rPr>
        <w:t xml:space="preserve"> </w:t>
      </w:r>
      <w:r w:rsidR="0006167D" w:rsidRPr="009D37AD">
        <w:rPr>
          <w:rFonts w:ascii="Times New Roman" w:hAnsi="Times New Roman" w:cs="Times New Roman"/>
          <w:sz w:val="24"/>
          <w:szCs w:val="24"/>
        </w:rPr>
        <w:t xml:space="preserve">consistent with the </w:t>
      </w:r>
      <w:r w:rsidR="00DB5262" w:rsidRPr="009D37AD">
        <w:rPr>
          <w:rFonts w:ascii="Times New Roman" w:hAnsi="Times New Roman" w:cs="Times New Roman"/>
          <w:sz w:val="24"/>
          <w:szCs w:val="24"/>
        </w:rPr>
        <w:t xml:space="preserve">similar </w:t>
      </w:r>
      <w:r w:rsidR="002E7DF0" w:rsidRPr="009D37AD">
        <w:rPr>
          <w:rFonts w:ascii="Times New Roman" w:hAnsi="Times New Roman" w:cs="Times New Roman"/>
          <w:sz w:val="24"/>
          <w:szCs w:val="24"/>
        </w:rPr>
        <w:t xml:space="preserve">maximum </w:t>
      </w:r>
      <w:r w:rsidR="0006167D" w:rsidRPr="009D37AD">
        <w:rPr>
          <w:rFonts w:ascii="Times New Roman" w:hAnsi="Times New Roman" w:cs="Times New Roman"/>
          <w:sz w:val="24"/>
          <w:szCs w:val="24"/>
        </w:rPr>
        <w:t>H</w:t>
      </w:r>
      <w:r w:rsidR="0006167D" w:rsidRPr="009D37AD">
        <w:rPr>
          <w:rFonts w:ascii="Times New Roman" w:hAnsi="Times New Roman" w:cs="Times New Roman"/>
          <w:sz w:val="24"/>
          <w:szCs w:val="24"/>
          <w:vertAlign w:val="subscript"/>
        </w:rPr>
        <w:t>2</w:t>
      </w:r>
      <w:r w:rsidR="0006167D" w:rsidRPr="009D37AD">
        <w:rPr>
          <w:rFonts w:ascii="Times New Roman" w:hAnsi="Times New Roman" w:cs="Times New Roman"/>
          <w:sz w:val="24"/>
          <w:szCs w:val="24"/>
        </w:rPr>
        <w:t xml:space="preserve">O </w:t>
      </w:r>
      <w:r w:rsidR="0094629A">
        <w:rPr>
          <w:rFonts w:ascii="Times New Roman" w:hAnsi="Times New Roman" w:cs="Times New Roman"/>
          <w:sz w:val="24"/>
          <w:szCs w:val="24"/>
        </w:rPr>
        <w:t>but variable Al</w:t>
      </w:r>
      <w:r w:rsidR="0094629A" w:rsidRPr="00AA3EF8">
        <w:rPr>
          <w:rFonts w:ascii="Times New Roman" w:hAnsi="Times New Roman" w:cs="Times New Roman"/>
          <w:sz w:val="24"/>
          <w:szCs w:val="24"/>
          <w:vertAlign w:val="subscript"/>
        </w:rPr>
        <w:t>2</w:t>
      </w:r>
      <w:r w:rsidR="0094629A">
        <w:rPr>
          <w:rFonts w:ascii="Times New Roman" w:hAnsi="Times New Roman" w:cs="Times New Roman"/>
          <w:sz w:val="24"/>
          <w:szCs w:val="24"/>
        </w:rPr>
        <w:t>O</w:t>
      </w:r>
      <w:r w:rsidR="0094629A" w:rsidRPr="00AA3EF8">
        <w:rPr>
          <w:rFonts w:ascii="Times New Roman" w:hAnsi="Times New Roman" w:cs="Times New Roman"/>
          <w:sz w:val="24"/>
          <w:szCs w:val="24"/>
          <w:vertAlign w:val="subscript"/>
        </w:rPr>
        <w:t>3</w:t>
      </w:r>
      <w:r w:rsidR="0094629A">
        <w:rPr>
          <w:rFonts w:ascii="Times New Roman" w:hAnsi="Times New Roman" w:cs="Times New Roman"/>
          <w:sz w:val="24"/>
          <w:szCs w:val="24"/>
        </w:rPr>
        <w:t xml:space="preserve"> </w:t>
      </w:r>
      <w:r w:rsidR="0006167D" w:rsidRPr="009D37AD">
        <w:rPr>
          <w:rFonts w:ascii="Times New Roman" w:hAnsi="Times New Roman" w:cs="Times New Roman"/>
          <w:sz w:val="24"/>
          <w:szCs w:val="24"/>
        </w:rPr>
        <w:t xml:space="preserve">contents observed in clinopyroxenes from </w:t>
      </w:r>
      <w:r w:rsidR="002E7DF0" w:rsidRPr="009D37AD">
        <w:rPr>
          <w:rFonts w:ascii="Times New Roman" w:hAnsi="Times New Roman" w:cs="Times New Roman"/>
          <w:sz w:val="24"/>
          <w:szCs w:val="24"/>
        </w:rPr>
        <w:t xml:space="preserve">both </w:t>
      </w:r>
      <w:r w:rsidR="00BA7992">
        <w:rPr>
          <w:rFonts w:ascii="Times New Roman" w:hAnsi="Times New Roman" w:cs="Times New Roman"/>
          <w:sz w:val="24"/>
          <w:szCs w:val="24"/>
        </w:rPr>
        <w:t>“</w:t>
      </w:r>
      <w:r w:rsidR="0006167D" w:rsidRPr="009D37AD">
        <w:rPr>
          <w:rFonts w:ascii="Times New Roman" w:hAnsi="Times New Roman" w:cs="Times New Roman"/>
          <w:sz w:val="24"/>
          <w:szCs w:val="24"/>
        </w:rPr>
        <w:t>on-</w:t>
      </w:r>
      <w:r w:rsidR="00BA7992">
        <w:rPr>
          <w:rFonts w:ascii="Times New Roman" w:hAnsi="Times New Roman" w:cs="Times New Roman"/>
          <w:sz w:val="24"/>
          <w:szCs w:val="24"/>
        </w:rPr>
        <w:t>“</w:t>
      </w:r>
      <w:r w:rsidR="0006167D" w:rsidRPr="009D37AD">
        <w:rPr>
          <w:rFonts w:ascii="Times New Roman" w:hAnsi="Times New Roman" w:cs="Times New Roman"/>
          <w:sz w:val="24"/>
          <w:szCs w:val="24"/>
        </w:rPr>
        <w:t xml:space="preserve"> and </w:t>
      </w:r>
      <w:r w:rsidR="00BA7992">
        <w:rPr>
          <w:rFonts w:ascii="Times New Roman" w:hAnsi="Times New Roman" w:cs="Times New Roman"/>
          <w:sz w:val="24"/>
          <w:szCs w:val="24"/>
        </w:rPr>
        <w:t>“</w:t>
      </w:r>
      <w:r w:rsidR="0006167D" w:rsidRPr="009D37AD">
        <w:rPr>
          <w:rFonts w:ascii="Times New Roman" w:hAnsi="Times New Roman" w:cs="Times New Roman"/>
          <w:sz w:val="24"/>
          <w:szCs w:val="24"/>
        </w:rPr>
        <w:t>off-craton</w:t>
      </w:r>
      <w:r w:rsidR="00BA7992">
        <w:rPr>
          <w:rFonts w:ascii="Times New Roman" w:hAnsi="Times New Roman" w:cs="Times New Roman"/>
          <w:sz w:val="24"/>
          <w:szCs w:val="24"/>
        </w:rPr>
        <w:t>”</w:t>
      </w:r>
      <w:r w:rsidR="0006167D" w:rsidRPr="009D37AD">
        <w:rPr>
          <w:rFonts w:ascii="Times New Roman" w:hAnsi="Times New Roman" w:cs="Times New Roman"/>
          <w:sz w:val="24"/>
          <w:szCs w:val="24"/>
        </w:rPr>
        <w:t xml:space="preserve"> settings (</w:t>
      </w:r>
      <w:r w:rsidR="0006167D" w:rsidRPr="009D37AD">
        <w:rPr>
          <w:rFonts w:ascii="Times New Roman" w:hAnsi="Times New Roman" w:cs="Times New Roman"/>
          <w:b/>
          <w:sz w:val="24"/>
          <w:szCs w:val="24"/>
        </w:rPr>
        <w:t xml:space="preserve">Figure </w:t>
      </w:r>
      <w:r w:rsidR="0044633B" w:rsidRPr="009D37AD">
        <w:rPr>
          <w:rFonts w:ascii="Times New Roman" w:hAnsi="Times New Roman" w:cs="Times New Roman"/>
          <w:b/>
          <w:sz w:val="24"/>
          <w:szCs w:val="24"/>
        </w:rPr>
        <w:t>6</w:t>
      </w:r>
      <w:r w:rsidR="005359ED">
        <w:rPr>
          <w:rFonts w:ascii="Times New Roman" w:hAnsi="Times New Roman" w:cs="Times New Roman"/>
          <w:b/>
          <w:sz w:val="24"/>
          <w:szCs w:val="24"/>
        </w:rPr>
        <w:t>b</w:t>
      </w:r>
      <w:r w:rsidR="0006167D" w:rsidRPr="009D37AD">
        <w:rPr>
          <w:rFonts w:ascii="Times New Roman" w:hAnsi="Times New Roman" w:cs="Times New Roman"/>
          <w:sz w:val="24"/>
          <w:szCs w:val="24"/>
        </w:rPr>
        <w:t>).</w:t>
      </w:r>
      <w:r w:rsidR="00721633" w:rsidRPr="00B34BB3">
        <w:t xml:space="preserve"> </w:t>
      </w:r>
    </w:p>
    <w:p w14:paraId="7E2C92CC" w14:textId="487D7C8B" w:rsidR="00B36F50" w:rsidRDefault="00B36F50" w:rsidP="00C20C0B">
      <w:pPr>
        <w:spacing w:line="480" w:lineRule="auto"/>
        <w:jc w:val="both"/>
      </w:pPr>
    </w:p>
    <w:p w14:paraId="5CFBE5BE" w14:textId="3DF87626" w:rsidR="00817FFE" w:rsidRPr="009B315C" w:rsidRDefault="005D0400" w:rsidP="00C20C0B">
      <w:pPr>
        <w:pStyle w:val="Heading3"/>
        <w:spacing w:line="480" w:lineRule="auto"/>
        <w:rPr>
          <w:b w:val="0"/>
          <w:bCs w:val="0"/>
          <w:kern w:val="36"/>
        </w:rPr>
      </w:pPr>
      <w:r w:rsidRPr="00812FBF">
        <w:t>8</w:t>
      </w:r>
      <w:r w:rsidR="001A3548" w:rsidRPr="00812FBF">
        <w:rPr>
          <w:sz w:val="24"/>
          <w:szCs w:val="24"/>
        </w:rPr>
        <w:t>.2</w:t>
      </w:r>
      <w:r w:rsidR="00664206" w:rsidRPr="00812FBF">
        <w:rPr>
          <w:sz w:val="24"/>
          <w:szCs w:val="24"/>
        </w:rPr>
        <w:t xml:space="preserve"> Variability of F in global </w:t>
      </w:r>
      <w:r w:rsidR="00817FFE" w:rsidRPr="00812FBF">
        <w:rPr>
          <w:sz w:val="24"/>
          <w:szCs w:val="24"/>
        </w:rPr>
        <w:t>nominally-volatile free mantle minerals</w:t>
      </w:r>
      <w:r w:rsidR="00817FFE" w:rsidRPr="001A3548">
        <w:rPr>
          <w:sz w:val="24"/>
          <w:szCs w:val="24"/>
        </w:rPr>
        <w:t xml:space="preserve"> </w:t>
      </w:r>
    </w:p>
    <w:p w14:paraId="58AB11A1" w14:textId="57B04D79" w:rsidR="0085342C" w:rsidRPr="009D37AD" w:rsidRDefault="00C15D2D" w:rsidP="00C20C0B">
      <w:pPr>
        <w:spacing w:line="480" w:lineRule="auto"/>
        <w:jc w:val="both"/>
        <w:rPr>
          <w:rFonts w:eastAsiaTheme="minorHAnsi"/>
        </w:rPr>
      </w:pPr>
      <w:r w:rsidRPr="009B315C">
        <w:rPr>
          <w:rFonts w:eastAsiaTheme="minorHAnsi"/>
        </w:rPr>
        <w:t xml:space="preserve">Although the published database for F in mantle minerals is small, the concentrations we have determined in olivine </w:t>
      </w:r>
      <w:r w:rsidR="00920055">
        <w:rPr>
          <w:rFonts w:eastAsiaTheme="minorHAnsi"/>
        </w:rPr>
        <w:t>(</w:t>
      </w:r>
      <w:r w:rsidR="00C5757D">
        <w:rPr>
          <w:rFonts w:eastAsiaTheme="minorHAnsi"/>
        </w:rPr>
        <w:t xml:space="preserve">up </w:t>
      </w:r>
      <w:r w:rsidR="00920055">
        <w:rPr>
          <w:rFonts w:eastAsiaTheme="minorHAnsi"/>
        </w:rPr>
        <w:t xml:space="preserve">to 16 </w:t>
      </w:r>
      <w:r w:rsidR="00C5757D">
        <w:rPr>
          <w:rFonts w:eastAsiaTheme="minorHAnsi"/>
        </w:rPr>
        <w:t>ppmw</w:t>
      </w:r>
      <w:r w:rsidR="00920055">
        <w:rPr>
          <w:rFonts w:eastAsiaTheme="minorHAnsi"/>
        </w:rPr>
        <w:t xml:space="preserve">) </w:t>
      </w:r>
      <w:r w:rsidRPr="009B315C">
        <w:rPr>
          <w:rFonts w:eastAsiaTheme="minorHAnsi"/>
        </w:rPr>
        <w:t xml:space="preserve">are similar to those reported for basalt-hosted, </w:t>
      </w:r>
      <w:r w:rsidR="00DD4E52">
        <w:rPr>
          <w:rFonts w:eastAsiaTheme="minorHAnsi"/>
        </w:rPr>
        <w:t>“</w:t>
      </w:r>
      <w:r w:rsidRPr="009B315C">
        <w:rPr>
          <w:rFonts w:eastAsiaTheme="minorHAnsi"/>
        </w:rPr>
        <w:t>off-craton</w:t>
      </w:r>
      <w:r w:rsidR="00DD4E52">
        <w:rPr>
          <w:rFonts w:eastAsiaTheme="minorHAnsi"/>
        </w:rPr>
        <w:t>”</w:t>
      </w:r>
      <w:r w:rsidRPr="009B315C">
        <w:rPr>
          <w:rFonts w:eastAsiaTheme="minorHAnsi"/>
        </w:rPr>
        <w:t xml:space="preserve">, spinel-bearing peridotites from Lanzarote, Eifel and </w:t>
      </w:r>
      <w:r w:rsidR="00AF4BDC">
        <w:rPr>
          <w:rFonts w:eastAsiaTheme="minorHAnsi"/>
        </w:rPr>
        <w:t>SW USA</w:t>
      </w:r>
      <w:r w:rsidRPr="009B315C">
        <w:rPr>
          <w:rFonts w:eastAsiaTheme="minorHAnsi"/>
        </w:rPr>
        <w:t xml:space="preserve"> </w:t>
      </w:r>
      <w:r w:rsidR="00920055">
        <w:rPr>
          <w:rFonts w:eastAsiaTheme="minorHAnsi"/>
        </w:rPr>
        <w:t>(1 to 17</w:t>
      </w:r>
      <w:r w:rsidRPr="009B315C">
        <w:rPr>
          <w:rFonts w:eastAsiaTheme="minorHAnsi"/>
        </w:rPr>
        <w:t xml:space="preserve"> </w:t>
      </w:r>
      <w:r w:rsidR="00C5757D">
        <w:rPr>
          <w:rFonts w:eastAsiaTheme="minorHAnsi"/>
        </w:rPr>
        <w:t>ppmw</w:t>
      </w:r>
      <w:r w:rsidRPr="009B315C">
        <w:rPr>
          <w:rFonts w:eastAsiaTheme="minorHAnsi"/>
        </w:rPr>
        <w:t xml:space="preserve">) </w:t>
      </w:r>
      <w:r w:rsidR="0072273F">
        <w:t>but</w:t>
      </w:r>
      <w:r w:rsidRPr="009B315C">
        <w:rPr>
          <w:rFonts w:eastAsiaTheme="minorHAnsi"/>
        </w:rPr>
        <w:t xml:space="preserve"> </w:t>
      </w:r>
      <w:r w:rsidRPr="009B315C">
        <w:rPr>
          <w:rFonts w:eastAsiaTheme="minorHAnsi"/>
        </w:rPr>
        <w:lastRenderedPageBreak/>
        <w:t xml:space="preserve">lower than </w:t>
      </w:r>
      <w:r w:rsidR="00DD4E52">
        <w:rPr>
          <w:rFonts w:eastAsiaTheme="minorHAnsi"/>
        </w:rPr>
        <w:t xml:space="preserve">for </w:t>
      </w:r>
      <w:r w:rsidR="00435404">
        <w:rPr>
          <w:rFonts w:eastAsiaTheme="minorHAnsi"/>
        </w:rPr>
        <w:t>lamprophyre and kimberlite</w:t>
      </w:r>
      <w:r w:rsidR="00920055">
        <w:rPr>
          <w:rFonts w:eastAsiaTheme="minorHAnsi"/>
        </w:rPr>
        <w:t xml:space="preserve"> </w:t>
      </w:r>
      <w:r w:rsidR="00DD4E52">
        <w:rPr>
          <w:rFonts w:eastAsiaTheme="minorHAnsi"/>
        </w:rPr>
        <w:t>hosted</w:t>
      </w:r>
      <w:r w:rsidR="00DD4E52" w:rsidRPr="009B315C">
        <w:rPr>
          <w:rFonts w:eastAsiaTheme="minorHAnsi"/>
        </w:rPr>
        <w:t xml:space="preserve"> garnet peridotites </w:t>
      </w:r>
      <w:r w:rsidRPr="009B315C">
        <w:rPr>
          <w:rFonts w:eastAsiaTheme="minorHAnsi"/>
        </w:rPr>
        <w:t xml:space="preserve">from </w:t>
      </w:r>
      <w:r w:rsidR="00920055">
        <w:rPr>
          <w:rFonts w:eastAsiaTheme="minorHAnsi"/>
        </w:rPr>
        <w:t xml:space="preserve">the Colorado Plateau (SW USA) and </w:t>
      </w:r>
      <w:r w:rsidRPr="009B315C">
        <w:rPr>
          <w:rFonts w:eastAsiaTheme="minorHAnsi"/>
        </w:rPr>
        <w:t xml:space="preserve">the Kaapvaal Craton of </w:t>
      </w:r>
      <w:r w:rsidRPr="009B315C">
        <w:rPr>
          <w:rFonts w:eastAsiaTheme="minorHAnsi"/>
          <w:b/>
        </w:rPr>
        <w:t>s</w:t>
      </w:r>
      <w:r w:rsidRPr="009B315C">
        <w:rPr>
          <w:rFonts w:eastAsiaTheme="minorHAnsi"/>
        </w:rPr>
        <w:t xml:space="preserve">outhern Africa (~ 30 to 50 </w:t>
      </w:r>
      <w:r w:rsidR="00C5757D">
        <w:rPr>
          <w:rFonts w:eastAsiaTheme="minorHAnsi"/>
        </w:rPr>
        <w:t>ppmw</w:t>
      </w:r>
      <w:r w:rsidRPr="009B315C">
        <w:rPr>
          <w:rFonts w:eastAsiaTheme="minorHAnsi"/>
        </w:rPr>
        <w:t xml:space="preserve">; Beyer et al. </w:t>
      </w:r>
      <w:r w:rsidRPr="009B315C">
        <w:rPr>
          <w:rFonts w:eastAsiaTheme="minorHAnsi"/>
        </w:rPr>
        <w:fldChar w:fldCharType="begin"/>
      </w:r>
      <w:r w:rsidR="008E0CCC">
        <w:rPr>
          <w:rFonts w:eastAsiaTheme="minorHAnsi"/>
        </w:rPr>
        <w:instrText xml:space="preserve"> ADDIN ZOTERO_ITEM CSL_CITATION {"citationID":"YYj1EzKV","properties":{"formattedCitation":"(2012)","plainCitation":"(2012)","noteIndex":0},"citationItems":[{"id":2470,"uris":["http://zotero.org/users/88665/items/NUVEKN4E"],"uri":["http://zotero.org/users/88665/items/NUVEKN4E"],"itemData":{"id":2470,"type":"article-journal","abstract":"We present new experimentally determined partition coefficients for fluorine (F) between nominally fluorine-free minerals and corresponding basaltic melts in the systems CaO–MgO–Al2O3–SiO2+F, Na2O–CaO–MgO–Al2O3–SiO2+F, and in natural compositions at pressures up to 2.5 GPa and temperatures between 1285 °C and 1445 °C. Fluorine is incompatible in olivine with F partition coefficients D F o l / m e l t varying between 0.0007 and 0.0033, whereas the F in orthopyroxene is more compatible with D F o p x / m e l t between 0.031 and 0.037. These findings agree well with new analyses of F in natural olivines and orthopyroxene from spinel peridotites and oceanic basalts, and indicate that F is less incompatible in olivine and orthopyroxene than hydrogen (DF/DH</w:instrText>
      </w:r>
      <w:r w:rsidR="008E0CCC">
        <w:rPr>
          <w:rFonts w:ascii="Cambria Math" w:eastAsiaTheme="minorHAnsi" w:hAnsi="Cambria Math" w:cs="Cambria Math"/>
        </w:rPr>
        <w:instrText>∼</w:instrText>
      </w:r>
      <w:r w:rsidR="008E0CCC">
        <w:rPr>
          <w:rFonts w:eastAsiaTheme="minorHAnsi"/>
        </w:rPr>
        <w:instrText>3.3 for olivine, DF/DH</w:instrText>
      </w:r>
      <w:r w:rsidR="008E0CCC">
        <w:rPr>
          <w:rFonts w:ascii="Cambria Math" w:eastAsiaTheme="minorHAnsi" w:hAnsi="Cambria Math" w:cs="Cambria Math"/>
        </w:rPr>
        <w:instrText>∼</w:instrText>
      </w:r>
      <w:r w:rsidR="008E0CCC">
        <w:rPr>
          <w:rFonts w:eastAsiaTheme="minorHAnsi"/>
        </w:rPr>
        <w:instrText xml:space="preserve">2.4 for orthopyroxene). Based on high-resolution TEM images of one of the samples, we argue that the F incorporation into the olivine structure is mass balanced via oxygen defects. Furthermore, we present some analyses of Cl in olivine and orthopyroxene from spinel peridotites and basalts.\n\nHence, fluorine, and to a lesser extend chlorine, may be effectively stored in nominally halogen-free mantle minerals such as olivine and orthopyroxene. Considering their high modal proportion in the upper mantle, both phases are the major hosts for F in the Earth's mantle, and must be taken into account when calculating the Earth's budget of halogens or global cycles of halogens in the deeper Earth. Other F-bearing minerals such as amphibole or phosphates are not needed to balance the F concentrations between crust and mantle.\n\nApplying our new partition coefficients to primitive olivine hosted melt inclusion data from mid-ocean ridge basalt (MORB), we calculate a concentration of 6–15 μg/g F for the depleted MORB mantle source. Our results also show that typical spinel lherzolites from the subcontinental lithosphere show virtually identical concentrations of about 12 μg/g. However, using the partition coefficients on primary melt inclusions from ocean island basalts (OIB), suggest slightly higher fluorine contents between 8 and 31 μg/g for OIB mantle sources.","container-title":"Earth and Planetary Science Letters","DOI":"10.1016/j.epsl.2012.05.003","ISSN":"0012-821X","journalAbbreviation":"Earth and Planetary Science Letters","note":"00006","page":"1-9","source":"ScienceDirect","title":"Fluorine in nominally fluorine-free mantle minerals: Experimental partitioning of F between olivine, orthopyroxene and silicate melts with implications for magmatic processes","title-short":"Fluorine in nominally fluorine-free mantle minerals","volume":"337–338","author":[{"family":"Beyer","given":"C."},{"family":"Klemme","given":"S."},{"family":"Wiedenbeck","given":"M."},{"family":"Stracke","given":"A."},{"family":"Vollmer","given":"C."}],"issued":{"date-parts":[["2012",7,1]]}},"suppress-author":true}],"schema":"https://github.com/citation-style-language/schema/raw/master/csl-citation.json"} </w:instrText>
      </w:r>
      <w:r w:rsidRPr="009B315C">
        <w:rPr>
          <w:rFonts w:eastAsiaTheme="minorHAnsi"/>
        </w:rPr>
        <w:fldChar w:fldCharType="separate"/>
      </w:r>
      <w:r w:rsidR="00636367">
        <w:rPr>
          <w:rFonts w:eastAsiaTheme="minorHAnsi"/>
          <w:noProof/>
        </w:rPr>
        <w:t>(2012)</w:t>
      </w:r>
      <w:r w:rsidRPr="009B315C">
        <w:rPr>
          <w:rFonts w:eastAsiaTheme="minorHAnsi"/>
        </w:rPr>
        <w:fldChar w:fldCharType="end"/>
      </w:r>
      <w:r w:rsidRPr="009B315C">
        <w:rPr>
          <w:rFonts w:eastAsiaTheme="minorHAnsi"/>
        </w:rPr>
        <w:t xml:space="preserve">; Mosenfelder &amp; Rossman  </w:t>
      </w:r>
      <w:r w:rsidRPr="009B315C">
        <w:rPr>
          <w:rFonts w:eastAsiaTheme="minorHAnsi"/>
        </w:rPr>
        <w:fldChar w:fldCharType="begin"/>
      </w:r>
      <w:r w:rsidR="004F07C0">
        <w:rPr>
          <w:rFonts w:eastAsiaTheme="minorHAnsi"/>
        </w:rPr>
        <w:instrText xml:space="preserve"> ADDIN ZOTERO_ITEM CSL_CITATION {"citationID":"NIS8yAtj","properties":{"formattedCitation":"(2013a)","plainCitation":"(2013a)","noteIndex":0},"citationItems":[{"id":2455,"uris":["http://zotero.org/users/88665/items/8R6URUTK"],"uri":["http://zotero.org/users/88665/items/8R6URUTK"],"itemData":{"id":2455,"type":"article-journal","abstract":"Pyroxenes have the capacity to incorporate both hydrogen and fluorine in their structures, and accurate measurement of these volatile elements can be used to constrain geophysical and petrologic processes in planetary bodies. For example, pyroxenes may be used to constrain the volatile contents of melts from which they crystallized. However, the experimental determination of H and F in pyroxenes is difficult, particularly at the relatively low levels present in natural samples. Here we evaluate methods for determining both H and F in orthopyroxene.\nWe measured trace concentrations of H (~40–400 ppm H2O) and F (&lt;1–17 ppm) in a suite of nine orthopyroxenes from varying geological environments, using secondary ion mass spectrometry (SIMS). The SIMS data for H (measured as 16O1H, referenced to 30Si and 18O) are cross calibrated against Fourier transform infrared (FTIR) spectra, in turn calibrated against either manometry (Bell et al. 1995) or the frequency-dependent molar absorption coefficient derived by Libowitzky and Rossman (1997). Despite the fact that our samples exhibit a wide range of IR band structures, with varying percentages of absorbance split among low (2600–3350 cm−1) and high (3350–3700 cm−1) wavenumber bands, the SIMS data are fit with the same precision and virtually the same regression slope regardless of which IR calibration is used. We also confirm previous suggestions that the matrix effect for SIMS analyses between orthopyroxene and olivine is small (≤20%). Anomalously high yields of 16O1H in some analyses can be attributed to the presence of amphibole lamellae, and these analyses must be filtered out with different criteria than for olivine due to differences in the geometrical relationship of host to inclusion. For F, our derived values are highly dependent on analytical uncertainties related to the use of silicate glasses as standards. Regardless of the accuracy of our calibration, we see systematic differences in F concentrations in orthopyroxenes and olivines depending on their geological context. Samples derived from crustal environments and from Colorado Plateau minette diatremes have very low F (≤3 ppm), while higher contents can be found in megacrysts from South African kimberlites (up to 17 ppm in orthopyroxene and 47 ppm in olivine) and in xenocrysts from the Rio Grande Rift (Kilbourne Hole, 7–9 ppm in orthopyroxene).","container-title":"American Mineralogist","DOI":"10.2138/am.2013.4291","ISSN":"0003-004X,","issue":"5-6","journalAbbreviation":"American Mineralogist","language":"en","note":"00001","page":"1026-1041","source":"ammin.geoscienceworld.org","title":"Analysis of hydrogen and fluorine in pyroxenes: I. Orthopyroxene","title-short":"Analysis of hydrogen and fluorine in pyroxenes","volume":"98","author":[{"family":"Mosenfelder","given":"Jed L."},{"family":"Rossman","given":"George R."}],"issued":{"date-parts":[["2013",1,5]]}},"suppress-author":true}],"schema":"https://github.com/citation-style-language/schema/raw/master/csl-citation.json"} </w:instrText>
      </w:r>
      <w:r w:rsidRPr="009B315C">
        <w:rPr>
          <w:rFonts w:eastAsiaTheme="minorHAnsi"/>
        </w:rPr>
        <w:fldChar w:fldCharType="separate"/>
      </w:r>
      <w:r w:rsidR="00636367">
        <w:rPr>
          <w:rFonts w:eastAsiaTheme="minorHAnsi"/>
        </w:rPr>
        <w:t>(2013a)</w:t>
      </w:r>
      <w:r w:rsidRPr="009B315C">
        <w:rPr>
          <w:rFonts w:eastAsiaTheme="minorHAnsi"/>
        </w:rPr>
        <w:fldChar w:fldCharType="end"/>
      </w:r>
      <w:r w:rsidR="00920055">
        <w:rPr>
          <w:rFonts w:eastAsiaTheme="minorHAnsi"/>
        </w:rPr>
        <w:t>; Urann et al., 2017</w:t>
      </w:r>
      <w:r w:rsidRPr="009B315C">
        <w:rPr>
          <w:rFonts w:eastAsiaTheme="minorHAnsi"/>
        </w:rPr>
        <w:t>)</w:t>
      </w:r>
      <w:r w:rsidR="00D43A30">
        <w:rPr>
          <w:rFonts w:eastAsiaTheme="minorHAnsi"/>
        </w:rPr>
        <w:t>)</w:t>
      </w:r>
      <w:r w:rsidRPr="009B315C">
        <w:rPr>
          <w:rFonts w:eastAsiaTheme="minorHAnsi"/>
        </w:rPr>
        <w:t>.</w:t>
      </w:r>
      <w:r w:rsidRPr="009B315C" w:rsidDel="00CB2F7E">
        <w:rPr>
          <w:rFonts w:eastAsiaTheme="minorHAnsi"/>
        </w:rPr>
        <w:t xml:space="preserve"> </w:t>
      </w:r>
    </w:p>
    <w:p w14:paraId="28C73686" w14:textId="0AC73432" w:rsidR="00B9748D" w:rsidRPr="009B315C" w:rsidRDefault="00943906" w:rsidP="00C20C0B">
      <w:pPr>
        <w:tabs>
          <w:tab w:val="left" w:pos="360"/>
        </w:tabs>
        <w:spacing w:line="480" w:lineRule="auto"/>
        <w:jc w:val="both"/>
        <w:rPr>
          <w:rFonts w:eastAsiaTheme="minorHAnsi"/>
        </w:rPr>
      </w:pPr>
      <w:r w:rsidRPr="00E11346">
        <w:tab/>
      </w:r>
      <w:r w:rsidR="00F55866">
        <w:t xml:space="preserve">A significant finding from our </w:t>
      </w:r>
      <w:r w:rsidR="00F61071">
        <w:t>study</w:t>
      </w:r>
      <w:r w:rsidR="00893E8E">
        <w:t xml:space="preserve"> is that</w:t>
      </w:r>
      <w:r w:rsidR="00893E8E" w:rsidRPr="009B315C">
        <w:rPr>
          <w:rFonts w:eastAsiaTheme="minorHAnsi"/>
        </w:rPr>
        <w:t xml:space="preserve"> </w:t>
      </w:r>
      <w:r w:rsidR="00893E8E">
        <w:rPr>
          <w:rFonts w:eastAsiaTheme="minorHAnsi"/>
        </w:rPr>
        <w:t xml:space="preserve">the F contents of </w:t>
      </w:r>
      <w:r w:rsidR="007B5596">
        <w:rPr>
          <w:rFonts w:eastAsiaTheme="minorHAnsi"/>
        </w:rPr>
        <w:t>clino</w:t>
      </w:r>
      <w:r w:rsidR="00893E8E" w:rsidRPr="009B315C">
        <w:rPr>
          <w:rFonts w:eastAsiaTheme="minorHAnsi"/>
        </w:rPr>
        <w:t xml:space="preserve">pyroxenes </w:t>
      </w:r>
      <w:r w:rsidR="007B5596">
        <w:rPr>
          <w:rFonts w:eastAsiaTheme="minorHAnsi"/>
          <w:bCs/>
        </w:rPr>
        <w:t xml:space="preserve">(up to 154 </w:t>
      </w:r>
      <w:r w:rsidR="00C5757D">
        <w:rPr>
          <w:rFonts w:eastAsiaTheme="minorHAnsi"/>
          <w:bCs/>
        </w:rPr>
        <w:t>ppmw</w:t>
      </w:r>
      <w:r w:rsidR="007B5596">
        <w:rPr>
          <w:rFonts w:eastAsiaTheme="minorHAnsi"/>
          <w:bCs/>
        </w:rPr>
        <w:t xml:space="preserve">) </w:t>
      </w:r>
      <w:r w:rsidR="00893E8E">
        <w:rPr>
          <w:rFonts w:eastAsiaTheme="minorHAnsi"/>
        </w:rPr>
        <w:t xml:space="preserve">in </w:t>
      </w:r>
      <w:r w:rsidR="00061292" w:rsidRPr="009B315C">
        <w:rPr>
          <w:rFonts w:eastAsiaTheme="minorHAnsi"/>
        </w:rPr>
        <w:t>peridotites</w:t>
      </w:r>
      <w:r w:rsidR="0071584B">
        <w:rPr>
          <w:rFonts w:eastAsiaTheme="minorHAnsi"/>
        </w:rPr>
        <w:t xml:space="preserve"> and pyroxenites</w:t>
      </w:r>
      <w:r w:rsidR="00061292" w:rsidRPr="009B315C">
        <w:rPr>
          <w:rFonts w:eastAsiaTheme="minorHAnsi"/>
        </w:rPr>
        <w:t xml:space="preserve"> </w:t>
      </w:r>
      <w:r w:rsidRPr="009B315C">
        <w:rPr>
          <w:rFonts w:eastAsiaTheme="minorHAnsi"/>
        </w:rPr>
        <w:t xml:space="preserve">from </w:t>
      </w:r>
      <w:r w:rsidRPr="009B315C">
        <w:rPr>
          <w:rFonts w:eastAsiaTheme="minorHAnsi"/>
          <w:bCs/>
        </w:rPr>
        <w:t xml:space="preserve">the Antarctic Peninsula </w:t>
      </w:r>
      <w:r w:rsidR="00893E8E">
        <w:rPr>
          <w:rFonts w:eastAsiaTheme="minorHAnsi"/>
          <w:bCs/>
        </w:rPr>
        <w:t>are much higher than</w:t>
      </w:r>
      <w:r w:rsidR="00061292" w:rsidRPr="009B315C">
        <w:rPr>
          <w:rFonts w:eastAsiaTheme="minorHAnsi"/>
          <w:bCs/>
        </w:rPr>
        <w:t xml:space="preserve"> </w:t>
      </w:r>
      <w:r w:rsidR="00893E8E">
        <w:rPr>
          <w:rFonts w:eastAsiaTheme="minorHAnsi"/>
          <w:bCs/>
        </w:rPr>
        <w:t xml:space="preserve">has been </w:t>
      </w:r>
      <w:r w:rsidR="00061292" w:rsidRPr="009B315C">
        <w:rPr>
          <w:rFonts w:eastAsiaTheme="minorHAnsi"/>
          <w:bCs/>
        </w:rPr>
        <w:t>reported in previous studies</w:t>
      </w:r>
      <w:r w:rsidR="0071584B">
        <w:rPr>
          <w:rFonts w:eastAsiaTheme="minorHAnsi"/>
          <w:bCs/>
        </w:rPr>
        <w:t xml:space="preserve"> (</w:t>
      </w:r>
      <w:r w:rsidR="00893E8E">
        <w:rPr>
          <w:rFonts w:eastAsiaTheme="minorHAnsi"/>
          <w:bCs/>
        </w:rPr>
        <w:t>up to</w:t>
      </w:r>
      <w:r w:rsidR="0071584B">
        <w:rPr>
          <w:rFonts w:eastAsiaTheme="minorHAnsi"/>
          <w:bCs/>
        </w:rPr>
        <w:t xml:space="preserve"> </w:t>
      </w:r>
      <w:r w:rsidR="00772CDD">
        <w:rPr>
          <w:rFonts w:eastAsiaTheme="minorHAnsi"/>
          <w:bCs/>
        </w:rPr>
        <w:t xml:space="preserve">120 </w:t>
      </w:r>
      <w:r w:rsidR="00C5757D">
        <w:rPr>
          <w:rFonts w:eastAsiaTheme="minorHAnsi"/>
          <w:bCs/>
        </w:rPr>
        <w:t>ppmw</w:t>
      </w:r>
      <w:r w:rsidR="00061292" w:rsidRPr="009B315C">
        <w:rPr>
          <w:rFonts w:eastAsiaTheme="minorHAnsi"/>
          <w:bCs/>
        </w:rPr>
        <w:t xml:space="preserve"> </w:t>
      </w:r>
      <w:r w:rsidR="00061292" w:rsidRPr="009B315C">
        <w:rPr>
          <w:rFonts w:eastAsiaTheme="minorHAnsi"/>
          <w:bCs/>
        </w:rPr>
        <w:fldChar w:fldCharType="begin"/>
      </w:r>
      <w:r w:rsidR="004F07C0">
        <w:rPr>
          <w:rFonts w:eastAsiaTheme="minorHAnsi"/>
          <w:b/>
        </w:rPr>
        <w:instrText xml:space="preserve"> ADDIN ZOTERO_ITEM CSL_CITATION {"citationID":"60zZGWac","properties":{"formattedCitation":"(Mosenfelder and Rossman, 2013b; Warren and Hauri, 2014; Kumamoto et al., 2017; Urann et al., 2017)","plainCitation":"(Mosenfelder and Rossman, 2013b; Warren and Hauri, 2014; Kumamoto et al., 2017; Urann et al., 2017)","noteIndex":0},"citationItems":[{"id":2452,"uris":["http://zotero.org/users/88665/items/2VRPE7NT"],"uri":["http://zotero.org/users/88665/items/2VRPE7NT"],"itemData":{"id":2452,"type":"article-journal","abstract":"Studies of coexisting, nominally anhydrous minerals in mantle samples show that clinopyroxene is an especially important host for hydrogen. Recent experimental studies have also shown that clinopyroxene may contain significant amounts of fluorine, which has implications for the F budget of the mantle. More accurate quantification of H and F is therefore a desirable goal.\nWe measured H in 13 natural clinopyroxenes using Fourier transform infrared (FTIR) spectroscopy. 16O1H/30Si and 19F/30Si were also measured in the samples using secondary ion mass spectrometry (SIMS). H data were compared between the two techniques and F was calculated with reference to F-bearing silicate glass standards. Four of the clinopyroxenes are used as standards for SIMS calibration in multiple laboratories, and three have been measured previously using hydrogen manometry and/or elastic recoil detection analysis. Compared to clinopyroxenes in previous surveys comparing FTIR and SIMS, the 13 samples cover a broader range in chemistry and band positions in the O-H vibrational spectrum. They also all lack detectable amphibole lamellae, which are otherwise commonly present in this mineral group. In contrast to orthopyroxene, the SIMS and FTIR data for clinopyroxene show significantly better correlations (r2 = 0.96–0.98) when the frequency-dependent IR calibration of Libowitzky and Rossman (1997) is applied, as opposed to the Bell et al. (1995) calibration (r2 = 0.92–93). We derive a frequency-dependent molar absorption coefficient with parameters different from those of Libowitzky and Rossman’s calibration, which was established using data on stoichiometric hydrous phases and gives poor agreement with the manometrically determined value for PMR-53. Comparison of data for PMR-53 to our SIMS calibrations for orthopyroxene and olivine suggests that the matrix effect among these phases is less than 20% relative. Fluorine concentrations vary depending on geological context, with the highest concentrations (up to 214 ppm) found in diopsides from crustal metamorphic environments. Mantle samples follow similar geographic trends as olivines and orthopyroxenes, with higher F in xenocrysts from Kilbourne Hole (46 ppm) and South African kimberlites (up to 29 ppm) compared to the Colorado Plateau (8 ppm). On the basis of chemical correlations, we propose two different incorporation mechanisms for F: (1) coupled subsititution with Al3+ and/or Fe3+ in tetrahedral sites; and (2) coupled substitution with monovalent cations (Na and K) in the M2 site. The second substitution is more relevant to mantle augites than crustal diopsides. Our measured F concentrations are much lower than those in some clinopyroxenes synthesized in recent high P-T studies. Nevertheless, our data support suggestions that the F budget of the mantle can be entirely accommodated by incorporation in nominally anhydrous/fluorine-free minerals.","container-title":"American Mineralogist","DOI":"10.2138/am.2013.4413","ISSN":"0003-004X,","issue":"5-6","journalAbbreviation":"American Mineralogist","language":"en","note":"00034","page":"1042-1054","source":"ammin.geoscienceworld.org","title":"Analysis of hydrogen and fluorine in pyroxenes: II. Clinopyroxene","title-short":"Analysis of hydrogen and fluorine in pyroxenes","volume":"98","author":[{"family":"Mosenfelder","given":"Jed L."},{"family":"Rossman","given":"George R."}],"issued":{"date-parts":[["2013",1,5]]}}},{"id":2911,"uris":["http://zotero.org/users/88665/items/2QV77GNQ"],"uri":["http://zotero.org/users/88665/items/2QV77GNQ"],"itemData":{"id":2911,"type":"article-journal","abstract":"The concentration and distribution of volatiles in the Earth's mantle influence properties such as melting temperature, conductivity, and viscosity. To constrain upper mantle water content, concentrations of H2O, P, and F were measured in olivine, orthopyroxene, and clinopyroxene in mantle peridotites by secondary ion mass spectrometry. Analyzed peridotites are xenoliths (Pali Aike, Spitsbergen, Samoa), orogenic peridotites (Josephine Peridotite), and abyssal peridotites (Gakkel Ridge, Southwest Indian Ridge, Tonga Trench). The comparison of fresh and altered peridotites demonstrates that low to moderate levels of alteration do not affect H2O concentrations, in agreement with mineral diffusion data. Olivines have diffusively lost water during emplacement, as demonstrated by disequilibrium between olivine and coexisting pyroxenes. In contrast, clinopyroxene and orthopyroxene preserve their high-temperature water contents, and their partitioning agrees with published experiments and other xenoliths. Hence, olivine water concentrations can be determined from pyroxene concentrations using mineral-mineral partition coefficients. Clinopyroxenes have 60–670 ppm H2O, while orthopyroxenes have 10–300 ppm, which gives calculated olivine concentrations of 8–34 ppm. The highest olivine water concentration translates to an effective viscosity of 6 × 1019 Pa s at 1250°C and ~15 km depth, compared to a dry effective viscosity of 2.5 × 1021 Pa s. Bulk rock water concentrations, calculated using mineral modes, are 20–220 ppm and correlate with peridotite indices of melt depletion. However, trace element melt modeling indicates that peridotites have too much water relative to their rare earth element concentrations, which may be explained by late-stage melt addition, during which only hydrogen diffuses fast enough for reequilibration.","container-title":"Journal of Geophysical Research: Solid Earth","DOI":"10.1002/2013JB010328","ISSN":"2169-9356","issue":"3","journalAbbreviation":"Journal of Geophysical Research: Solid Earth","language":"en","note":"00032","page":"2013JB010328","source":"Wiley Online Library","title":"Pyroxenes as tracers of mantle water variations","volume":"119","author":[{"family":"Warren","given":"Jessica M."},{"family":"Hauri","given":"Erik H."}],"issued":{"date-parts":[["2014",3,1]]}}},{"id":3782,"uris":["http://zotero.org/users/88665/items/4NREKIMK"],"uri":["http://zotero.org/users/88665/items/4NREKIMK"],"itemData":{"id":3782,"type":"article-journal","container-title":"American Mineralogist","DOI":"10.2138/am-2017-5863","ISSN":"0003-004X","issue":"3","journalAbbreviation":"American Mineralogist","language":"en","page":"537-547","source":"pubs.geoscienceworld.org","title":"New SIMS reference materials for measuring water in upper mantle minerals","volume":"102","author":[{"family":"Kumamoto","given":"Kathryn M."},{"family":"Warren","given":"Jessica M."},{"family":"Hauri","given":"Erik H."}],"issued":{"date-parts":[["2017",3,1]]}}},{"id":4058,"uris":["http://zotero.org/users/88665/items/U92MUH99"],"uri":["http://zotero.org/users/88665/items/U92MUH99"],"itemData":{"id":4058,"type":"article-journal","abstract":"The fluorine (F) and chlorine (Cl) contents of arc magmas have been used to track the composition of subducted components, and the F and Cl contents of MORB have been used to estimate the halogen content of depleted MORB mantle (DMM). Yet, the F and Cl budget of the Earth’s upper mantle and their distribution in peridotite minerals remain to be constrained. Here, we developed a method to measure low concentrations of halogens (≥0.4 µg/g F and ≥0.3 µg/g Cl) in minerals by secondary ion mass spectroscopy. We present a comprehensive study of F and Cl in co-existing natural olivine, orthopyroxene, clinopyroxene, and amphibole in seventeen samples from different tectonic settings. We support the hypothesis that F in olivine is controlled by melt polymerization, and that F in pyroxene is controlled by their Na and Al contents, with some effect of melt polymerization. We infer that Cl compatibility ranks as follows: amphibole &gt; clinopyroxene &gt; olivine ~ orthopyroxene, while F compatibility ranks as follows: amphibole &gt; clinopyroxene &gt; orthopyroxene ≥ olivine, depending on the tectonic context. In addition, we show that F, Cl, Be and B are correlated in pyroxenes and amphibole. F and Cl variations suggest that interaction with slab melts and fluids can significantly alter the halogen content of mantle minerals. In particular, F in oceanic peridotites is mostly hosted in pyroxenes, and proportionally increases in olivine in subduction-related peridotites. The mantle wedge is likely enriched in F compared to un-metasomatized mantle, while Cl is always low (&lt;1 µg/g) in all tectonic settings studied here. The bulk anhydrous peridotite mantle contains 1.4–31 µg/g F and 0.14–0.38 µg/g Cl. The bulk F content of oceanic-like peridotites (2.1–9.4 µg/g) is lower than DMM estimates, consistent with F-rich eclogite in the source of MORB. Furthermore, the bulk Cl budget of all anhydrous peridotites studied here is lower than previous DMM estimates. Our results indicate that nearly all MORB may be somewhat contaminated by seawater-rich material and that the Cl content of DMM could be overestimated. With this study, we demonstrate that the halogen contents of natural peridotite minerals are a unique tool to understand the cycling of halogens, from ridge settings to subduction zones.","container-title":"Contributions to Mineralogy and Petrology","DOI":"10.1007/s00410-017-1368-7","ISSN":"0010-7999, 1432-0967","issue":"7","journalAbbreviation":"Contributions to Mineralogy and Petrology","language":"en","page":"51","source":"link.springer.com","title":"Fluorine and chlorine in mantle minerals and the halogen budget of the Earth’s mantle","volume":"172","author":[{"family":"Urann","given":"B. M."},{"family":"Roux","given":"V. Le"},{"family":"Hammond","given":"K."},{"family":"Marschall","given":"H. R."},{"family":"Lee","given":"C.-T. A."},{"family":"Monteleone","given":"B. D."}],"issued":{"date-parts":[["2017",7,1]]}}}],"schema":"https://github.com/citation-style-language/schema/raw/master/csl-citation.json"} </w:instrText>
      </w:r>
      <w:r w:rsidR="00061292" w:rsidRPr="009B315C">
        <w:rPr>
          <w:rFonts w:eastAsiaTheme="minorHAnsi"/>
          <w:bCs/>
        </w:rPr>
        <w:fldChar w:fldCharType="separate"/>
      </w:r>
      <w:r w:rsidR="00772CDD" w:rsidRPr="00320CB3">
        <w:rPr>
          <w:rFonts w:eastAsiaTheme="minorHAnsi"/>
        </w:rPr>
        <w:t>(Mosenfelder and Rossman, 2013b; Warren and Hauri, 2014; Kumamoto et al., 2017; Urann et al., 2017)</w:t>
      </w:r>
      <w:r w:rsidR="00061292" w:rsidRPr="009B315C">
        <w:rPr>
          <w:rFonts w:eastAsiaTheme="minorHAnsi"/>
          <w:bCs/>
        </w:rPr>
        <w:fldChar w:fldCharType="end"/>
      </w:r>
      <w:r w:rsidR="00061292" w:rsidRPr="009B315C">
        <w:rPr>
          <w:rFonts w:eastAsiaTheme="minorHAnsi"/>
          <w:bCs/>
        </w:rPr>
        <w:t xml:space="preserve"> (</w:t>
      </w:r>
      <w:r w:rsidR="00061292" w:rsidRPr="009B315C">
        <w:rPr>
          <w:rFonts w:eastAsiaTheme="minorHAnsi"/>
          <w:b/>
          <w:bCs/>
          <w:color w:val="000000" w:themeColor="text1"/>
        </w:rPr>
        <w:t xml:space="preserve">Figure </w:t>
      </w:r>
      <w:r w:rsidR="0044633B">
        <w:rPr>
          <w:rFonts w:eastAsiaTheme="minorHAnsi"/>
          <w:b/>
          <w:bCs/>
          <w:color w:val="000000" w:themeColor="text1"/>
        </w:rPr>
        <w:t>2</w:t>
      </w:r>
      <w:r w:rsidR="0044633B" w:rsidRPr="009B315C">
        <w:rPr>
          <w:rFonts w:eastAsiaTheme="minorHAnsi"/>
          <w:b/>
          <w:bCs/>
          <w:color w:val="000000" w:themeColor="text1"/>
        </w:rPr>
        <w:t xml:space="preserve">b </w:t>
      </w:r>
      <w:r w:rsidR="0013287E" w:rsidRPr="009B315C">
        <w:rPr>
          <w:rFonts w:eastAsiaTheme="minorHAnsi"/>
          <w:b/>
          <w:bCs/>
          <w:color w:val="000000" w:themeColor="text1"/>
        </w:rPr>
        <w:t xml:space="preserve">&amp; Figure </w:t>
      </w:r>
      <w:r w:rsidR="0044633B">
        <w:rPr>
          <w:rFonts w:eastAsiaTheme="minorHAnsi"/>
          <w:b/>
          <w:bCs/>
          <w:color w:val="000000" w:themeColor="text1"/>
        </w:rPr>
        <w:t>7</w:t>
      </w:r>
      <w:r w:rsidR="00061292" w:rsidRPr="009B315C">
        <w:rPr>
          <w:rFonts w:eastAsiaTheme="minorHAnsi"/>
          <w:bCs/>
        </w:rPr>
        <w:t>).</w:t>
      </w:r>
      <w:r w:rsidRPr="009B315C">
        <w:rPr>
          <w:rFonts w:eastAsiaTheme="minorHAnsi"/>
          <w:bCs/>
        </w:rPr>
        <w:t xml:space="preserve"> </w:t>
      </w:r>
      <w:r w:rsidR="00B46636" w:rsidRPr="009B315C">
        <w:rPr>
          <w:rFonts w:eastAsiaTheme="minorHAnsi"/>
          <w:bCs/>
        </w:rPr>
        <w:t>The</w:t>
      </w:r>
      <w:r w:rsidR="00C12D87" w:rsidRPr="009B315C">
        <w:rPr>
          <w:rFonts w:eastAsiaTheme="minorHAnsi"/>
        </w:rPr>
        <w:t xml:space="preserve"> </w:t>
      </w:r>
      <w:r w:rsidR="00C40761" w:rsidRPr="009B315C">
        <w:rPr>
          <w:rFonts w:eastAsiaTheme="minorHAnsi"/>
        </w:rPr>
        <w:t xml:space="preserve">relatively </w:t>
      </w:r>
      <w:r w:rsidR="00C12D87" w:rsidRPr="009B315C">
        <w:rPr>
          <w:rFonts w:eastAsiaTheme="minorHAnsi"/>
        </w:rPr>
        <w:t xml:space="preserve">large range in F contents that we have </w:t>
      </w:r>
      <w:r w:rsidR="004910D4">
        <w:rPr>
          <w:rFonts w:eastAsiaTheme="minorHAnsi"/>
        </w:rPr>
        <w:t>observed</w:t>
      </w:r>
      <w:r w:rsidR="00DD61AB">
        <w:rPr>
          <w:rFonts w:eastAsiaTheme="minorHAnsi"/>
        </w:rPr>
        <w:t xml:space="preserve"> </w:t>
      </w:r>
      <w:r w:rsidR="00CC0134">
        <w:rPr>
          <w:rFonts w:eastAsiaTheme="minorHAnsi"/>
        </w:rPr>
        <w:t xml:space="preserve">in </w:t>
      </w:r>
      <w:r w:rsidR="007B5596">
        <w:rPr>
          <w:rFonts w:eastAsiaTheme="minorHAnsi"/>
        </w:rPr>
        <w:t>mantle clinopyroxenes</w:t>
      </w:r>
      <w:r w:rsidR="00CC0134">
        <w:rPr>
          <w:rFonts w:eastAsiaTheme="minorHAnsi"/>
        </w:rPr>
        <w:t xml:space="preserve"> </w:t>
      </w:r>
      <w:r w:rsidR="00F85DDB">
        <w:rPr>
          <w:rFonts w:eastAsiaTheme="minorHAnsi"/>
        </w:rPr>
        <w:t xml:space="preserve">(5 to 154 </w:t>
      </w:r>
      <w:r w:rsidR="00C5757D">
        <w:rPr>
          <w:rFonts w:eastAsiaTheme="minorHAnsi"/>
        </w:rPr>
        <w:t>ppmw</w:t>
      </w:r>
      <w:r w:rsidR="00F85DDB">
        <w:rPr>
          <w:rFonts w:eastAsiaTheme="minorHAnsi"/>
        </w:rPr>
        <w:t xml:space="preserve">) </w:t>
      </w:r>
      <w:r w:rsidR="000A6564" w:rsidRPr="009B315C">
        <w:rPr>
          <w:rFonts w:eastAsiaTheme="minorHAnsi"/>
        </w:rPr>
        <w:t>is</w:t>
      </w:r>
      <w:r w:rsidR="00C12D87" w:rsidRPr="009B315C">
        <w:rPr>
          <w:rFonts w:eastAsiaTheme="minorHAnsi"/>
        </w:rPr>
        <w:t xml:space="preserve"> because </w:t>
      </w:r>
      <w:r w:rsidR="00697AD3">
        <w:rPr>
          <w:rFonts w:eastAsiaTheme="minorHAnsi"/>
        </w:rPr>
        <w:t xml:space="preserve">the partitioning of </w:t>
      </w:r>
      <w:r w:rsidR="00C12D87" w:rsidRPr="009B315C">
        <w:rPr>
          <w:rFonts w:eastAsiaTheme="minorHAnsi"/>
        </w:rPr>
        <w:t xml:space="preserve">F </w:t>
      </w:r>
      <w:r w:rsidR="00F85DDB">
        <w:rPr>
          <w:rFonts w:eastAsiaTheme="minorHAnsi"/>
        </w:rPr>
        <w:t>appears to be</w:t>
      </w:r>
      <w:r w:rsidR="00F85DDB" w:rsidRPr="009B315C">
        <w:rPr>
          <w:rFonts w:eastAsiaTheme="minorHAnsi"/>
        </w:rPr>
        <w:t xml:space="preserve"> </w:t>
      </w:r>
      <w:r w:rsidR="00C12D87" w:rsidRPr="009B315C">
        <w:rPr>
          <w:rFonts w:eastAsiaTheme="minorHAnsi"/>
        </w:rPr>
        <w:t>closely coupled with Ti</w:t>
      </w:r>
      <w:r w:rsidR="000A6564" w:rsidRPr="009B315C">
        <w:rPr>
          <w:rFonts w:eastAsiaTheme="minorHAnsi"/>
        </w:rPr>
        <w:t xml:space="preserve"> </w:t>
      </w:r>
      <w:r w:rsidR="00DD61AB">
        <w:rPr>
          <w:rFonts w:eastAsiaTheme="minorHAnsi"/>
        </w:rPr>
        <w:t>(</w:t>
      </w:r>
      <w:r w:rsidR="00DD61AB" w:rsidRPr="009B315C">
        <w:rPr>
          <w:rFonts w:eastAsiaTheme="minorHAnsi"/>
          <w:b/>
        </w:rPr>
        <w:t xml:space="preserve">Figure </w:t>
      </w:r>
      <w:r w:rsidR="0044633B">
        <w:rPr>
          <w:rFonts w:eastAsiaTheme="minorHAnsi"/>
          <w:b/>
        </w:rPr>
        <w:t>3</w:t>
      </w:r>
      <w:r w:rsidR="00DD61AB">
        <w:rPr>
          <w:rFonts w:eastAsiaTheme="minorHAnsi"/>
        </w:rPr>
        <w:t xml:space="preserve">) </w:t>
      </w:r>
      <w:r w:rsidR="0006668F" w:rsidRPr="009B315C">
        <w:rPr>
          <w:rFonts w:eastAsiaTheme="minorHAnsi"/>
        </w:rPr>
        <w:t xml:space="preserve">and </w:t>
      </w:r>
      <w:r w:rsidR="001831A2">
        <w:rPr>
          <w:rFonts w:eastAsiaTheme="minorHAnsi"/>
        </w:rPr>
        <w:t>t</w:t>
      </w:r>
      <w:r w:rsidR="004910D4">
        <w:rPr>
          <w:rFonts w:eastAsiaTheme="minorHAnsi"/>
        </w:rPr>
        <w:t>he clinopyroxenes</w:t>
      </w:r>
      <w:r w:rsidR="001831A2">
        <w:rPr>
          <w:rFonts w:eastAsiaTheme="minorHAnsi"/>
        </w:rPr>
        <w:t xml:space="preserve"> in </w:t>
      </w:r>
      <w:r w:rsidR="000A6564" w:rsidRPr="009B315C">
        <w:rPr>
          <w:rFonts w:eastAsiaTheme="minorHAnsi"/>
        </w:rPr>
        <w:t>o</w:t>
      </w:r>
      <w:r w:rsidR="00C12D87" w:rsidRPr="009B315C">
        <w:rPr>
          <w:rFonts w:eastAsiaTheme="minorHAnsi"/>
        </w:rPr>
        <w:t xml:space="preserve">ur sample </w:t>
      </w:r>
      <w:r w:rsidR="00035BC7" w:rsidRPr="009B315C">
        <w:rPr>
          <w:rFonts w:eastAsiaTheme="minorHAnsi"/>
        </w:rPr>
        <w:t xml:space="preserve">set </w:t>
      </w:r>
      <w:r w:rsidR="00FF02B5">
        <w:rPr>
          <w:rFonts w:eastAsiaTheme="minorHAnsi"/>
        </w:rPr>
        <w:t xml:space="preserve">have a large range in </w:t>
      </w:r>
      <w:r w:rsidR="00FF02B5" w:rsidRPr="009B315C">
        <w:rPr>
          <w:rFonts w:eastAsiaTheme="minorHAnsi"/>
        </w:rPr>
        <w:t>TiO</w:t>
      </w:r>
      <w:r w:rsidR="00FF02B5" w:rsidRPr="009B315C">
        <w:rPr>
          <w:rFonts w:eastAsiaTheme="minorHAnsi"/>
          <w:vertAlign w:val="subscript"/>
        </w:rPr>
        <w:t>2</w:t>
      </w:r>
      <w:r w:rsidR="00FF02B5">
        <w:rPr>
          <w:rFonts w:eastAsiaTheme="minorHAnsi"/>
          <w:vertAlign w:val="subscript"/>
        </w:rPr>
        <w:t xml:space="preserve"> </w:t>
      </w:r>
      <w:r w:rsidR="00FF02B5">
        <w:rPr>
          <w:rFonts w:eastAsiaTheme="minorHAnsi"/>
        </w:rPr>
        <w:t>contents (0</w:t>
      </w:r>
      <w:r w:rsidR="00856C66">
        <w:rPr>
          <w:rFonts w:eastAsiaTheme="minorHAnsi"/>
        </w:rPr>
        <w:t>.03</w:t>
      </w:r>
      <w:r w:rsidR="00FF02B5">
        <w:rPr>
          <w:rFonts w:eastAsiaTheme="minorHAnsi"/>
        </w:rPr>
        <w:t xml:space="preserve"> to 1.75 </w:t>
      </w:r>
      <w:r w:rsidR="009A266F">
        <w:rPr>
          <w:rFonts w:eastAsiaTheme="minorHAnsi"/>
        </w:rPr>
        <w:t>wt.%</w:t>
      </w:r>
      <w:r w:rsidR="00FF02B5">
        <w:rPr>
          <w:rFonts w:eastAsiaTheme="minorHAnsi"/>
        </w:rPr>
        <w:t xml:space="preserve">). </w:t>
      </w:r>
      <w:r w:rsidR="001E756A">
        <w:rPr>
          <w:rFonts w:eastAsiaTheme="minorHAnsi"/>
        </w:rPr>
        <w:t xml:space="preserve">These </w:t>
      </w:r>
      <w:r w:rsidR="00F61071">
        <w:rPr>
          <w:rFonts w:eastAsiaTheme="minorHAnsi"/>
        </w:rPr>
        <w:t>TiO</w:t>
      </w:r>
      <w:r w:rsidR="00F61071" w:rsidRPr="009D37AD">
        <w:rPr>
          <w:rFonts w:eastAsiaTheme="minorHAnsi"/>
          <w:vertAlign w:val="subscript"/>
        </w:rPr>
        <w:t>2</w:t>
      </w:r>
      <w:r w:rsidR="00F61071">
        <w:rPr>
          <w:rFonts w:eastAsiaTheme="minorHAnsi"/>
        </w:rPr>
        <w:t xml:space="preserve"> contents </w:t>
      </w:r>
      <w:r w:rsidR="001E756A">
        <w:rPr>
          <w:rFonts w:eastAsiaTheme="minorHAnsi"/>
        </w:rPr>
        <w:t>cover</w:t>
      </w:r>
      <w:r w:rsidR="007170CA" w:rsidRPr="009B315C">
        <w:rPr>
          <w:rFonts w:eastAsiaTheme="minorHAnsi"/>
        </w:rPr>
        <w:t xml:space="preserve"> </w:t>
      </w:r>
      <w:r w:rsidR="00C12D87" w:rsidRPr="009B315C">
        <w:rPr>
          <w:rFonts w:eastAsiaTheme="minorHAnsi"/>
        </w:rPr>
        <w:t xml:space="preserve">almost the whole range found in </w:t>
      </w:r>
      <w:r w:rsidR="000A6564" w:rsidRPr="009B315C">
        <w:rPr>
          <w:rFonts w:eastAsiaTheme="minorHAnsi"/>
        </w:rPr>
        <w:t>mantle</w:t>
      </w:r>
      <w:r w:rsidR="00FF02B5">
        <w:rPr>
          <w:rFonts w:eastAsiaTheme="minorHAnsi"/>
        </w:rPr>
        <w:t xml:space="preserve"> </w:t>
      </w:r>
      <w:r w:rsidR="001E756A">
        <w:rPr>
          <w:rFonts w:eastAsiaTheme="minorHAnsi"/>
        </w:rPr>
        <w:t xml:space="preserve">clinopyroxenes </w:t>
      </w:r>
      <w:r w:rsidR="00283FEE">
        <w:rPr>
          <w:rFonts w:eastAsiaTheme="minorHAnsi"/>
        </w:rPr>
        <w:t>(</w:t>
      </w:r>
      <w:r w:rsidR="00283FEE" w:rsidRPr="00784762">
        <w:rPr>
          <w:rFonts w:eastAsiaTheme="minorHAnsi"/>
          <w:b/>
        </w:rPr>
        <w:t>Supplementary</w:t>
      </w:r>
      <w:r w:rsidR="00283FEE" w:rsidRPr="00784762">
        <w:rPr>
          <w:rFonts w:eastAsiaTheme="minorHAnsi"/>
        </w:rPr>
        <w:t xml:space="preserve"> </w:t>
      </w:r>
      <w:r w:rsidR="00283FEE" w:rsidRPr="00784762">
        <w:rPr>
          <w:rFonts w:eastAsiaTheme="minorHAnsi"/>
          <w:b/>
        </w:rPr>
        <w:t xml:space="preserve">Figure </w:t>
      </w:r>
      <w:r w:rsidR="00283FEE">
        <w:rPr>
          <w:rFonts w:eastAsiaTheme="minorHAnsi"/>
          <w:b/>
        </w:rPr>
        <w:t xml:space="preserve">8) </w:t>
      </w:r>
      <w:r w:rsidR="00FF02B5">
        <w:rPr>
          <w:rFonts w:eastAsiaTheme="minorHAnsi"/>
        </w:rPr>
        <w:t>and contrast with</w:t>
      </w:r>
      <w:r w:rsidR="0006668F" w:rsidRPr="009B315C">
        <w:rPr>
          <w:rFonts w:eastAsiaTheme="minorHAnsi"/>
        </w:rPr>
        <w:t xml:space="preserve"> </w:t>
      </w:r>
      <w:r w:rsidR="001E756A">
        <w:rPr>
          <w:rFonts w:eastAsiaTheme="minorHAnsi"/>
        </w:rPr>
        <w:t xml:space="preserve">those of </w:t>
      </w:r>
      <w:r w:rsidR="0006668F" w:rsidRPr="009B315C">
        <w:rPr>
          <w:rFonts w:eastAsiaTheme="minorHAnsi"/>
        </w:rPr>
        <w:t xml:space="preserve">previous </w:t>
      </w:r>
      <w:r w:rsidR="00F85DDB">
        <w:rPr>
          <w:rFonts w:eastAsiaTheme="minorHAnsi"/>
        </w:rPr>
        <w:t xml:space="preserve">halogen </w:t>
      </w:r>
      <w:r w:rsidR="0006668F" w:rsidRPr="009B315C">
        <w:rPr>
          <w:rFonts w:eastAsiaTheme="minorHAnsi"/>
        </w:rPr>
        <w:t xml:space="preserve">studies </w:t>
      </w:r>
      <w:r w:rsidR="00FF02B5">
        <w:rPr>
          <w:rFonts w:eastAsiaTheme="minorHAnsi"/>
        </w:rPr>
        <w:t xml:space="preserve">that </w:t>
      </w:r>
      <w:r w:rsidR="0006668F" w:rsidRPr="009B315C">
        <w:rPr>
          <w:rFonts w:eastAsiaTheme="minorHAnsi"/>
        </w:rPr>
        <w:t xml:space="preserve">have </w:t>
      </w:r>
      <w:r w:rsidR="00C12D87" w:rsidRPr="009B315C">
        <w:rPr>
          <w:rFonts w:eastAsiaTheme="minorHAnsi"/>
        </w:rPr>
        <w:t>a</w:t>
      </w:r>
      <w:r w:rsidR="00C15D2D" w:rsidRPr="009B315C">
        <w:rPr>
          <w:rFonts w:eastAsiaTheme="minorHAnsi"/>
        </w:rPr>
        <w:t xml:space="preserve"> </w:t>
      </w:r>
      <w:r w:rsidR="000F13C0" w:rsidRPr="009B315C">
        <w:rPr>
          <w:rFonts w:eastAsiaTheme="minorHAnsi"/>
        </w:rPr>
        <w:t xml:space="preserve">more </w:t>
      </w:r>
      <w:r w:rsidR="00CC02A2" w:rsidRPr="009B315C">
        <w:rPr>
          <w:rFonts w:eastAsiaTheme="minorHAnsi"/>
        </w:rPr>
        <w:t xml:space="preserve">restricted </w:t>
      </w:r>
      <w:r w:rsidR="00C12D87" w:rsidRPr="009B315C">
        <w:rPr>
          <w:rFonts w:eastAsiaTheme="minorHAnsi"/>
        </w:rPr>
        <w:t>range</w:t>
      </w:r>
      <w:r w:rsidR="00C40761" w:rsidRPr="009B315C">
        <w:rPr>
          <w:rFonts w:eastAsiaTheme="minorHAnsi"/>
        </w:rPr>
        <w:t xml:space="preserve"> of TiO</w:t>
      </w:r>
      <w:r w:rsidR="00C40761" w:rsidRPr="009B315C">
        <w:rPr>
          <w:rFonts w:eastAsiaTheme="minorHAnsi"/>
          <w:vertAlign w:val="subscript"/>
        </w:rPr>
        <w:t>2</w:t>
      </w:r>
      <w:r w:rsidR="00CC02A2" w:rsidRPr="009B315C">
        <w:rPr>
          <w:rFonts w:eastAsiaTheme="minorHAnsi"/>
        </w:rPr>
        <w:t xml:space="preserve"> </w:t>
      </w:r>
      <w:r w:rsidR="00987CCB" w:rsidRPr="009B315C">
        <w:rPr>
          <w:rFonts w:eastAsiaTheme="minorHAnsi"/>
        </w:rPr>
        <w:t xml:space="preserve">(&lt; 0.8 </w:t>
      </w:r>
      <w:r w:rsidR="009A266F">
        <w:rPr>
          <w:rFonts w:eastAsiaTheme="minorHAnsi"/>
        </w:rPr>
        <w:t>wt.%</w:t>
      </w:r>
      <w:r w:rsidR="00F85DDB">
        <w:rPr>
          <w:rFonts w:eastAsiaTheme="minorHAnsi"/>
        </w:rPr>
        <w:t xml:space="preserve">; </w:t>
      </w:r>
      <w:r w:rsidR="00F85DDB" w:rsidRPr="00F85DDB">
        <w:rPr>
          <w:rFonts w:eastAsiaTheme="minorHAnsi"/>
        </w:rPr>
        <w:t xml:space="preserve">Mosenfelder and Rossman, 2013a; </w:t>
      </w:r>
      <w:r w:rsidR="00772CDD">
        <w:rPr>
          <w:rFonts w:eastAsiaTheme="minorHAnsi"/>
        </w:rPr>
        <w:t xml:space="preserve">Warren and Hauri, 2014; </w:t>
      </w:r>
      <w:r w:rsidR="00772CDD" w:rsidRPr="00772CDD">
        <w:rPr>
          <w:rFonts w:eastAsiaTheme="minorHAnsi"/>
        </w:rPr>
        <w:t>Kumamoto et al., 2017</w:t>
      </w:r>
      <w:r w:rsidR="00772CDD">
        <w:rPr>
          <w:rFonts w:eastAsiaTheme="minorHAnsi"/>
        </w:rPr>
        <w:t xml:space="preserve">; </w:t>
      </w:r>
      <w:r w:rsidR="00F85DDB" w:rsidRPr="00F85DDB">
        <w:rPr>
          <w:rFonts w:eastAsiaTheme="minorHAnsi"/>
        </w:rPr>
        <w:t>Urann et al</w:t>
      </w:r>
      <w:r w:rsidR="00F85DDB">
        <w:rPr>
          <w:rFonts w:eastAsiaTheme="minorHAnsi"/>
        </w:rPr>
        <w:t>., 2017</w:t>
      </w:r>
      <w:r w:rsidR="00283FEE">
        <w:rPr>
          <w:rFonts w:eastAsiaTheme="minorHAnsi"/>
        </w:rPr>
        <w:t>)</w:t>
      </w:r>
      <w:r w:rsidR="004777D2" w:rsidRPr="009B315C">
        <w:rPr>
          <w:rFonts w:eastAsiaTheme="minorHAnsi"/>
        </w:rPr>
        <w:t>.</w:t>
      </w:r>
      <w:r w:rsidR="003D4B2D" w:rsidRPr="009B315C">
        <w:rPr>
          <w:rFonts w:eastAsiaTheme="minorHAnsi"/>
        </w:rPr>
        <w:t xml:space="preserve"> </w:t>
      </w:r>
      <w:r w:rsidR="00987CCB" w:rsidRPr="009B315C">
        <w:rPr>
          <w:rFonts w:eastAsiaTheme="minorHAnsi"/>
        </w:rPr>
        <w:t xml:space="preserve"> </w:t>
      </w:r>
    </w:p>
    <w:p w14:paraId="167DF910" w14:textId="172A11D2" w:rsidR="007772C2" w:rsidRPr="00757B9B" w:rsidRDefault="009306E9" w:rsidP="00C20C0B">
      <w:pPr>
        <w:tabs>
          <w:tab w:val="left" w:pos="360"/>
        </w:tabs>
        <w:spacing w:line="480" w:lineRule="auto"/>
        <w:ind w:firstLine="360"/>
        <w:jc w:val="both"/>
      </w:pPr>
      <w:r w:rsidRPr="0087786D">
        <w:rPr>
          <w:bCs/>
        </w:rPr>
        <w:t>Because F is less incompatible th</w:t>
      </w:r>
      <w:r w:rsidRPr="00757B9B">
        <w:rPr>
          <w:bCs/>
        </w:rPr>
        <w:t>an H during mantle melting</w:t>
      </w:r>
      <w:r w:rsidR="00A101BB" w:rsidRPr="00757B9B">
        <w:rPr>
          <w:bCs/>
        </w:rPr>
        <w:t>,</w:t>
      </w:r>
      <w:r w:rsidR="000D2734" w:rsidRPr="00757B9B">
        <w:rPr>
          <w:bCs/>
        </w:rPr>
        <w:t xml:space="preserve"> </w:t>
      </w:r>
      <w:r w:rsidRPr="00757B9B">
        <w:rPr>
          <w:bCs/>
        </w:rPr>
        <w:t xml:space="preserve">and Ti </w:t>
      </w:r>
      <w:r w:rsidR="005925C0">
        <w:rPr>
          <w:bCs/>
        </w:rPr>
        <w:t xml:space="preserve">partitioning into clinopyroxene </w:t>
      </w:r>
      <w:r w:rsidRPr="00757B9B">
        <w:rPr>
          <w:bCs/>
        </w:rPr>
        <w:t>is less influenced by the presence of garnet than Al</w:t>
      </w:r>
      <w:r w:rsidR="005925C0">
        <w:rPr>
          <w:bCs/>
        </w:rPr>
        <w:t xml:space="preserve"> </w:t>
      </w:r>
      <w:r w:rsidR="005925C0" w:rsidRPr="00757B9B">
        <w:rPr>
          <w:bCs/>
        </w:rPr>
        <w:t>(Hauri et al., 2006)</w:t>
      </w:r>
      <w:r w:rsidR="00A101BB" w:rsidRPr="00757B9B">
        <w:rPr>
          <w:bCs/>
        </w:rPr>
        <w:t>,</w:t>
      </w:r>
      <w:r w:rsidRPr="00757B9B">
        <w:rPr>
          <w:bCs/>
        </w:rPr>
        <w:t xml:space="preserve"> the variations in </w:t>
      </w:r>
      <w:r w:rsidR="0006668F" w:rsidRPr="00757B9B">
        <w:rPr>
          <w:bCs/>
        </w:rPr>
        <w:t>F/</w:t>
      </w:r>
      <w:r w:rsidR="00084C42" w:rsidRPr="00757B9B">
        <w:rPr>
          <w:bCs/>
        </w:rPr>
        <w:t>Ti</w:t>
      </w:r>
      <w:r w:rsidRPr="00757B9B">
        <w:rPr>
          <w:bCs/>
        </w:rPr>
        <w:t xml:space="preserve"> </w:t>
      </w:r>
      <w:r w:rsidR="00084C42" w:rsidRPr="00757B9B">
        <w:rPr>
          <w:bCs/>
        </w:rPr>
        <w:t xml:space="preserve">ratios </w:t>
      </w:r>
      <w:r w:rsidRPr="00757B9B">
        <w:rPr>
          <w:bCs/>
        </w:rPr>
        <w:t xml:space="preserve">of metasomatic melts </w:t>
      </w:r>
      <w:r w:rsidR="00084C42" w:rsidRPr="00757B9B">
        <w:rPr>
          <w:bCs/>
        </w:rPr>
        <w:t>formed in</w:t>
      </w:r>
      <w:r w:rsidRPr="00757B9B">
        <w:rPr>
          <w:bCs/>
        </w:rPr>
        <w:t xml:space="preserve"> different tectonic settings </w:t>
      </w:r>
      <w:r w:rsidR="003F7CEF">
        <w:rPr>
          <w:bCs/>
        </w:rPr>
        <w:t>exhibit</w:t>
      </w:r>
      <w:r w:rsidR="003F7CEF" w:rsidRPr="00757B9B">
        <w:rPr>
          <w:bCs/>
        </w:rPr>
        <w:t xml:space="preserve"> </w:t>
      </w:r>
      <w:r w:rsidRPr="00757B9B">
        <w:rPr>
          <w:bCs/>
        </w:rPr>
        <w:t xml:space="preserve">less </w:t>
      </w:r>
      <w:r w:rsidR="003F7CEF">
        <w:rPr>
          <w:bCs/>
        </w:rPr>
        <w:t>variability</w:t>
      </w:r>
      <w:r w:rsidR="003F7CEF" w:rsidRPr="00757B9B">
        <w:rPr>
          <w:bCs/>
        </w:rPr>
        <w:t xml:space="preserve"> </w:t>
      </w:r>
      <w:r w:rsidR="0006668F" w:rsidRPr="00757B9B">
        <w:rPr>
          <w:bCs/>
        </w:rPr>
        <w:t>than H/Al</w:t>
      </w:r>
      <w:r w:rsidRPr="00757B9B">
        <w:rPr>
          <w:bCs/>
        </w:rPr>
        <w:t xml:space="preserve"> (c.f. </w:t>
      </w:r>
      <w:r w:rsidR="00964BC0" w:rsidRPr="009B315C">
        <w:rPr>
          <w:b/>
          <w:bCs/>
          <w:color w:val="000000" w:themeColor="text1"/>
        </w:rPr>
        <w:t>Figure</w:t>
      </w:r>
      <w:r w:rsidR="00A229E0">
        <w:rPr>
          <w:b/>
          <w:bCs/>
          <w:color w:val="000000" w:themeColor="text1"/>
        </w:rPr>
        <w:t>s</w:t>
      </w:r>
      <w:r w:rsidR="00964BC0" w:rsidRPr="009B315C">
        <w:rPr>
          <w:b/>
          <w:bCs/>
          <w:color w:val="000000" w:themeColor="text1"/>
        </w:rPr>
        <w:t xml:space="preserve"> </w:t>
      </w:r>
      <w:r w:rsidR="00982BB1">
        <w:rPr>
          <w:b/>
          <w:bCs/>
          <w:color w:val="000000" w:themeColor="text1"/>
        </w:rPr>
        <w:t xml:space="preserve">6 </w:t>
      </w:r>
      <w:r w:rsidR="00A229E0">
        <w:rPr>
          <w:b/>
          <w:bCs/>
          <w:color w:val="000000" w:themeColor="text1"/>
        </w:rPr>
        <w:t xml:space="preserve">&amp; </w:t>
      </w:r>
      <w:r w:rsidR="00982BB1">
        <w:rPr>
          <w:b/>
          <w:bCs/>
          <w:color w:val="000000" w:themeColor="text1"/>
        </w:rPr>
        <w:t>7</w:t>
      </w:r>
      <w:r w:rsidRPr="00757B9B">
        <w:rPr>
          <w:bCs/>
        </w:rPr>
        <w:t xml:space="preserve">). </w:t>
      </w:r>
      <w:r w:rsidR="004910D4">
        <w:rPr>
          <w:color w:val="000000" w:themeColor="text1"/>
        </w:rPr>
        <w:t>O</w:t>
      </w:r>
      <w:r w:rsidR="0006668F" w:rsidRPr="00757B9B">
        <w:t xml:space="preserve">n </w:t>
      </w:r>
      <w:r w:rsidR="004910D4">
        <w:t xml:space="preserve">a </w:t>
      </w:r>
      <w:r w:rsidR="0006668F" w:rsidRPr="00757B9B">
        <w:t xml:space="preserve">plot of Ti versus F </w:t>
      </w:r>
      <w:r w:rsidR="00BB6D40" w:rsidRPr="00757B9B">
        <w:t>t</w:t>
      </w:r>
      <w:r w:rsidR="00A11CFE" w:rsidRPr="00757B9B">
        <w:t xml:space="preserve">he </w:t>
      </w:r>
      <w:r w:rsidR="005422A7">
        <w:t xml:space="preserve">published </w:t>
      </w:r>
      <w:r w:rsidR="00A11CFE" w:rsidRPr="00757B9B">
        <w:t xml:space="preserve">datasets for </w:t>
      </w:r>
      <w:r w:rsidR="008935EF" w:rsidRPr="00757B9B">
        <w:t xml:space="preserve">clinopyroxenes </w:t>
      </w:r>
      <w:r w:rsidR="003F7CEF">
        <w:t>found in</w:t>
      </w:r>
      <w:r w:rsidR="008935EF" w:rsidRPr="00757B9B">
        <w:t xml:space="preserve"> </w:t>
      </w:r>
      <w:r w:rsidR="00457450" w:rsidRPr="00757B9B">
        <w:t>both garnet</w:t>
      </w:r>
      <w:r w:rsidR="00C0649D" w:rsidRPr="00757B9B">
        <w:t>-</w:t>
      </w:r>
      <w:r w:rsidR="00457450" w:rsidRPr="00757B9B">
        <w:t xml:space="preserve"> and spinel</w:t>
      </w:r>
      <w:r w:rsidR="00C0649D" w:rsidRPr="00757B9B">
        <w:t>-</w:t>
      </w:r>
      <w:r w:rsidR="00781435" w:rsidRPr="00757B9B">
        <w:t xml:space="preserve">bearing </w:t>
      </w:r>
      <w:r w:rsidR="00457450" w:rsidRPr="00757B9B">
        <w:t xml:space="preserve">peridotites </w:t>
      </w:r>
      <w:r w:rsidR="00A11CFE" w:rsidRPr="00757B9B">
        <w:t xml:space="preserve">from </w:t>
      </w:r>
      <w:r w:rsidR="0094629A">
        <w:t>“on-“</w:t>
      </w:r>
      <w:r w:rsidR="00425820" w:rsidRPr="00757B9B">
        <w:t xml:space="preserve"> and </w:t>
      </w:r>
      <w:r w:rsidR="0094629A">
        <w:t>“</w:t>
      </w:r>
      <w:r w:rsidR="00425820" w:rsidRPr="00757B9B">
        <w:t>off-craton</w:t>
      </w:r>
      <w:r w:rsidR="0094629A">
        <w:t>”</w:t>
      </w:r>
      <w:r w:rsidR="00425820" w:rsidRPr="00757B9B">
        <w:t xml:space="preserve"> mantle </w:t>
      </w:r>
      <w:r w:rsidR="00744C69" w:rsidRPr="00757B9B">
        <w:t>(</w:t>
      </w:r>
      <w:r w:rsidR="00D242FE" w:rsidRPr="00757B9B">
        <w:t>Mossenfelder &amp; Rossman, 2013; Urann et al., 2017</w:t>
      </w:r>
      <w:r w:rsidR="00A11CFE" w:rsidRPr="00757B9B">
        <w:t xml:space="preserve">) </w:t>
      </w:r>
      <w:r w:rsidR="004777D2" w:rsidRPr="00757B9B">
        <w:t>are clustered</w:t>
      </w:r>
      <w:r w:rsidR="003D4B2D" w:rsidRPr="00757B9B">
        <w:t xml:space="preserve">, </w:t>
      </w:r>
      <w:r w:rsidR="004910D4">
        <w:t xml:space="preserve">but plot </w:t>
      </w:r>
      <w:r w:rsidR="005522CD">
        <w:t xml:space="preserve">parallel </w:t>
      </w:r>
      <w:r w:rsidR="004910D4">
        <w:t>to</w:t>
      </w:r>
      <w:r w:rsidR="00A11CFE" w:rsidRPr="00757B9B">
        <w:t xml:space="preserve"> the regression line </w:t>
      </w:r>
      <w:r w:rsidR="003F7CEF">
        <w:t>that fits</w:t>
      </w:r>
      <w:r w:rsidR="003F7CEF" w:rsidRPr="00757B9B">
        <w:t xml:space="preserve"> </w:t>
      </w:r>
      <w:r w:rsidR="008935EF" w:rsidRPr="00757B9B">
        <w:t>our new data from</w:t>
      </w:r>
      <w:r w:rsidR="007772C2" w:rsidRPr="00757B9B">
        <w:t xml:space="preserve"> </w:t>
      </w:r>
      <w:r w:rsidR="003D4B2D" w:rsidRPr="00757B9B">
        <w:t xml:space="preserve">the </w:t>
      </w:r>
      <w:r w:rsidR="00A11CFE" w:rsidRPr="00757B9B">
        <w:t xml:space="preserve">Antarctic Peninsula and </w:t>
      </w:r>
      <w:r w:rsidR="00BB6D40" w:rsidRPr="00757B9B">
        <w:t>s</w:t>
      </w:r>
      <w:r w:rsidR="00E90E9D" w:rsidRPr="00757B9B">
        <w:t>outhern</w:t>
      </w:r>
      <w:r w:rsidR="00A11CFE" w:rsidRPr="00757B9B">
        <w:t xml:space="preserve"> Patagonia</w:t>
      </w:r>
      <w:r w:rsidR="00630ACF" w:rsidRPr="00757B9B">
        <w:t xml:space="preserve"> (</w:t>
      </w:r>
      <w:r w:rsidR="00630ACF" w:rsidRPr="009B315C">
        <w:rPr>
          <w:b/>
        </w:rPr>
        <w:t xml:space="preserve">Figure </w:t>
      </w:r>
      <w:r w:rsidR="00982BB1">
        <w:rPr>
          <w:b/>
        </w:rPr>
        <w:t>7</w:t>
      </w:r>
      <w:r w:rsidR="00630ACF" w:rsidRPr="00757B9B">
        <w:t>)</w:t>
      </w:r>
      <w:r w:rsidR="00A11CFE" w:rsidRPr="00757B9B">
        <w:t xml:space="preserve">. </w:t>
      </w:r>
      <w:r w:rsidR="007A5609">
        <w:t xml:space="preserve">We note that </w:t>
      </w:r>
      <w:r w:rsidR="003505A0">
        <w:t xml:space="preserve">on </w:t>
      </w:r>
      <w:r w:rsidR="003505A0" w:rsidRPr="00195AA8">
        <w:rPr>
          <w:b/>
        </w:rPr>
        <w:t>Figure 7</w:t>
      </w:r>
      <w:r w:rsidR="003505A0">
        <w:rPr>
          <w:b/>
        </w:rPr>
        <w:t xml:space="preserve"> </w:t>
      </w:r>
      <w:r w:rsidR="00781435" w:rsidRPr="00757B9B">
        <w:t xml:space="preserve">clinopyroxenes from </w:t>
      </w:r>
      <w:r w:rsidR="003505A0" w:rsidRPr="00757B9B">
        <w:t xml:space="preserve">abyssal peridotites </w:t>
      </w:r>
      <w:r w:rsidR="003505A0">
        <w:t xml:space="preserve">sampled from the </w:t>
      </w:r>
      <w:r w:rsidR="00EA18A9">
        <w:t>Southwest Indian Ridge (</w:t>
      </w:r>
      <w:r w:rsidR="00630ACF" w:rsidRPr="00757B9B">
        <w:t>SWIR</w:t>
      </w:r>
      <w:r w:rsidR="00EA18A9">
        <w:t>)</w:t>
      </w:r>
      <w:r w:rsidR="00630ACF" w:rsidRPr="00757B9B">
        <w:t xml:space="preserve"> </w:t>
      </w:r>
      <w:r w:rsidR="00D12348" w:rsidRPr="00757B9B">
        <w:t xml:space="preserve">(Warren &amp; Hauri, 2014) </w:t>
      </w:r>
      <w:r w:rsidR="003505A0">
        <w:t xml:space="preserve">have slightly lower F contents at a given Ti content </w:t>
      </w:r>
      <w:r w:rsidR="00425820" w:rsidRPr="00757B9B">
        <w:t>but</w:t>
      </w:r>
      <w:r w:rsidR="001E6FDF">
        <w:t>,</w:t>
      </w:r>
      <w:r w:rsidR="00630ACF" w:rsidRPr="00757B9B">
        <w:t xml:space="preserve"> </w:t>
      </w:r>
      <w:r w:rsidR="001E6FDF">
        <w:t xml:space="preserve">overall, </w:t>
      </w:r>
      <w:r w:rsidR="00630ACF" w:rsidRPr="00757B9B">
        <w:t>the</w:t>
      </w:r>
      <w:r w:rsidR="00425820" w:rsidRPr="00757B9B">
        <w:t>se</w:t>
      </w:r>
      <w:r w:rsidR="00630ACF" w:rsidRPr="00757B9B">
        <w:t xml:space="preserve"> </w:t>
      </w:r>
      <w:r w:rsidR="001E6FDF">
        <w:t xml:space="preserve">exhibit a </w:t>
      </w:r>
      <w:r w:rsidR="0009206A" w:rsidRPr="00757B9B">
        <w:t>broadl</w:t>
      </w:r>
      <w:r w:rsidR="001E6FDF">
        <w:t>y</w:t>
      </w:r>
      <w:r w:rsidR="00630ACF" w:rsidRPr="00757B9B">
        <w:t xml:space="preserve"> </w:t>
      </w:r>
      <w:r w:rsidR="00956046">
        <w:t xml:space="preserve">similar correlation </w:t>
      </w:r>
      <w:r w:rsidR="003505A0">
        <w:t>to samples of “off-craton” mantle analysed in this study</w:t>
      </w:r>
      <w:r w:rsidR="00630ACF" w:rsidRPr="00757B9B">
        <w:t xml:space="preserve">. </w:t>
      </w:r>
      <w:r w:rsidR="00D75ED0" w:rsidRPr="00757B9B">
        <w:t xml:space="preserve">The </w:t>
      </w:r>
      <w:r w:rsidR="00233DAD" w:rsidRPr="00757B9B">
        <w:t>relatively high</w:t>
      </w:r>
      <w:r w:rsidR="00781435" w:rsidRPr="00757B9B">
        <w:t xml:space="preserve"> F </w:t>
      </w:r>
      <w:r w:rsidR="00380CD0" w:rsidRPr="00757B9B">
        <w:t xml:space="preserve">but low Ti </w:t>
      </w:r>
      <w:r w:rsidR="00781435" w:rsidRPr="00757B9B">
        <w:t xml:space="preserve">contents </w:t>
      </w:r>
      <w:r w:rsidR="00380CD0" w:rsidRPr="00757B9B">
        <w:lastRenderedPageBreak/>
        <w:t>of</w:t>
      </w:r>
      <w:r w:rsidR="00D6466B" w:rsidRPr="00757B9B">
        <w:t xml:space="preserve"> </w:t>
      </w:r>
      <w:r w:rsidR="00D75ED0" w:rsidRPr="00757B9B">
        <w:t xml:space="preserve">mantle clinopyroxenes from Kamchatka </w:t>
      </w:r>
      <w:r w:rsidR="00E85148" w:rsidRPr="00757B9B">
        <w:t xml:space="preserve">(Benard et al., 2014) </w:t>
      </w:r>
      <w:r w:rsidR="00F04588">
        <w:t>in</w:t>
      </w:r>
      <w:r w:rsidR="0009206A" w:rsidRPr="00757B9B">
        <w:t xml:space="preserve"> </w:t>
      </w:r>
      <w:r w:rsidR="0009206A" w:rsidRPr="009B315C">
        <w:rPr>
          <w:b/>
          <w:color w:val="000000" w:themeColor="text1"/>
        </w:rPr>
        <w:t xml:space="preserve">Figure </w:t>
      </w:r>
      <w:r w:rsidR="00982BB1">
        <w:rPr>
          <w:b/>
          <w:color w:val="000000" w:themeColor="text1"/>
        </w:rPr>
        <w:t>7</w:t>
      </w:r>
      <w:r w:rsidR="00982BB1" w:rsidRPr="009B315C">
        <w:rPr>
          <w:color w:val="000000" w:themeColor="text1"/>
        </w:rPr>
        <w:t xml:space="preserve"> </w:t>
      </w:r>
      <w:r w:rsidR="00D12348" w:rsidRPr="00757B9B">
        <w:t>may reflect</w:t>
      </w:r>
      <w:r w:rsidR="00630ACF" w:rsidRPr="00757B9B">
        <w:t xml:space="preserve"> </w:t>
      </w:r>
      <w:r w:rsidR="00F04588">
        <w:t>high</w:t>
      </w:r>
      <w:r w:rsidR="0006668F" w:rsidRPr="00757B9B">
        <w:t xml:space="preserve"> </w:t>
      </w:r>
      <w:r w:rsidR="00630ACF" w:rsidRPr="00757B9B">
        <w:t>mobility of F in subduction zone environments.</w:t>
      </w:r>
      <w:r w:rsidR="004777D2" w:rsidRPr="00757B9B">
        <w:t xml:space="preserve"> </w:t>
      </w:r>
      <w:r w:rsidR="00956046">
        <w:t xml:space="preserve">More data </w:t>
      </w:r>
      <w:r w:rsidR="00F04588">
        <w:t>are</w:t>
      </w:r>
      <w:r w:rsidR="00956046">
        <w:t xml:space="preserve"> required to firmly establish this.</w:t>
      </w:r>
    </w:p>
    <w:p w14:paraId="5CCB9BA9" w14:textId="2451F97A" w:rsidR="004A07D9" w:rsidRPr="00850FC9" w:rsidRDefault="004A07D9" w:rsidP="00C20C0B">
      <w:pPr>
        <w:tabs>
          <w:tab w:val="left" w:pos="360"/>
        </w:tabs>
        <w:spacing w:line="480" w:lineRule="auto"/>
        <w:ind w:firstLine="360"/>
        <w:jc w:val="both"/>
        <w:rPr>
          <w:bCs/>
        </w:rPr>
      </w:pPr>
      <w:r w:rsidRPr="00757B9B">
        <w:t>The concentrations of F in ma</w:t>
      </w:r>
      <w:r w:rsidRPr="00661AE1">
        <w:t>ntle olivines and pyroxenes</w:t>
      </w:r>
      <w:r w:rsidRPr="00661AE1" w:rsidDel="00AC09D2">
        <w:t xml:space="preserve"> </w:t>
      </w:r>
      <w:r w:rsidRPr="00661AE1">
        <w:t xml:space="preserve">determined in this and previous studies </w:t>
      </w:r>
      <w:r w:rsidR="00956046" w:rsidRPr="00956046">
        <w:t>(Beyer et al., 2012; Mosenfelder and Rossman, 2013a, 2013b; Warren and Hauri, 2014</w:t>
      </w:r>
      <w:r w:rsidR="00956046">
        <w:t>;</w:t>
      </w:r>
      <w:r w:rsidR="00956046" w:rsidRPr="00956046">
        <w:t xml:space="preserve"> </w:t>
      </w:r>
      <w:r w:rsidR="007B2895" w:rsidRPr="007B2895">
        <w:t>Kumamoto et al., 2017</w:t>
      </w:r>
      <w:r w:rsidR="007B2895">
        <w:t xml:space="preserve">; </w:t>
      </w:r>
      <w:r w:rsidR="00956046" w:rsidRPr="00956046">
        <w:t>Urann et al. 2017)</w:t>
      </w:r>
      <w:r w:rsidR="00956046">
        <w:t xml:space="preserve"> </w:t>
      </w:r>
      <w:r w:rsidRPr="00661AE1">
        <w:t xml:space="preserve">are one or two orders of magnitude less than the storage capacities shown by experiments (5100 </w:t>
      </w:r>
      <w:r w:rsidR="00C5757D">
        <w:t>ppmw</w:t>
      </w:r>
      <w:r w:rsidRPr="00661AE1">
        <w:t xml:space="preserve"> in olivine and 670 </w:t>
      </w:r>
      <w:r w:rsidR="00C5757D">
        <w:t>ppmw</w:t>
      </w:r>
      <w:r w:rsidRPr="00661AE1">
        <w:t xml:space="preserve"> in orthopyroxene; </w:t>
      </w:r>
      <w:r w:rsidRPr="00C44395">
        <w:fldChar w:fldCharType="begin"/>
      </w:r>
      <w:r w:rsidR="008E0CCC">
        <w:instrText xml:space="preserve"> ADDIN ZOTERO_ITEM CSL_CITATION {"citationID":"JIOcBE4j","properties":{"formattedCitation":"(Dalou et al., 2012; Gr\\uc0\\u252{}tzner et al., 2017)","plainCitation":"(Dalou et al., 2012; Grützner et al., 2017)","noteIndex":0},"citationItems":[{"id":2488,"uris":["http://zotero.org/users/88665/items/CU9XWXTR"],"uri":["http://zotero.org/users/88665/items/CU9XWXTR"],"itemData":{"id":2488,"type":"article-journal","abstract":"We experimentally determined F and Cl partition coefficients together with that of 19 trace elements (including REE, U-Th, HFSE and LILE) between basaltic melt and lherzolite minerals: olivine, orthopyroxene, clinopyroxene, plagioclase and garnet. Under conditions from 8 to 25 kbars and from 1,265 to 1,430°C, compatibilities of F and Cl are globally ordered as D Cpx/melt &gt; D Opx/melt &gt; D Grt/melt &gt; D Ol/melt &gt; D Plag/melt, and D F mineral/melt is larger than D Cl mineral/melt . Four other major results were brought to light. (1) Chlorine partition coefficients positively correlate with the jadeite component in orthopyroxene, and increase of the CaTs component promotes Cl incorporation in clinopyroxene. (2) Variations of fluorine partition coefficients correlate strongly with melt viscosity. (3) F and Cl partition coefficients correlate with the Young’s modulus (E 0) of pyroxene octahedral sites (M sites) and with Raman vibrational modes of pyroxenes. This demonstrates a fundamental interaction between the M site of pyroxenes and the incorporation of F and Cl. (4) We also determined the parameters of the lattice-strain model applied to 3+ cation trace elements for the two M sites in orthopyroxene and clinopyroxene: D 0 M 1, D 0 M 2, r 0 M1 , r 0 M2 , E 0 M1 and E 0 M2 .","container-title":"Contributions to Mineralogy and Petrology","DOI":"10.1007/s00410-011-0688-2","ISSN":"0010-7999, 1432-0967","issue":"4","journalAbbreviation":"Contributions to Mineralogy and Petrology","language":"en","note":"00012","page":"591-609","source":"link.springer.com","title":"Experimental determination of F and Cl partitioning between lherzolite and basaltic melt","volume":"163","author":[{"family":"Dalou","given":"Célia"},{"family":"Koga","given":"Kenneth T."},{"family":"Shimizu","given":"Nobumichi"},{"family":"Boulon","given":"Julien"},{"family":"Devidal","given":"Jean-Luc"}],"issued":{"date-parts":[["2012",4,1]]}}},{"id":4059,"uris":["http://zotero.org/users/88665/items/Q8696UGP"],"uri":["http://zotero.org/users/88665/items/Q8696UGP"],"itemData":{"id":4059,"type":"article-journal","abstract":"We present new experimental results on the fluorine storage capacity of olivine and orthopyroxene in the Earth’s mantle. Experiments were performed in the system MgO-SiO2+MgF2 at temperatures between 1350°C and 1700°C and pressures up to 17GPa. Electron microprobe measurements show that fluorine concentrations in olivine reach up to 5100µg/g. The storage capacity of fluorine in olivine shows only a small pressure dependence but a strong temperature dependence with a positive correlation between increasing temperature and fluorine storage capacity. Fluorine concentrations found in enstatite are one order of magnitude smaller and reach up to 670µg/g. Our data show that concentrations of fluorine in fluorine-saturated olivine are in the same range as water concentrations in olivine. Nevertheless, fluorine and water solubility in olivine show opposing behavior with increasing pressure and temperature. The fluorine solubility in olivine increases with increasing temperature but is not much affected by pressure. In contrast, water solubility in olivine has previously been shown to decrease with increasing temperature and increase with increasing pressure. Our experiments show that nominally fluorine-free minerals like forsterite and enstatite are capable of storing the entire fluorine budget of the upper mantle, without the need to invoke accessory phases such as apatite or amphibole.","container-title":"Geochimica et Cosmochimica Acta","DOI":"10.1016/j.gca.2017.03.043","ISSN":"0016-7037","journalAbbreviation":"Geochimica et Cosmochimica Acta","page":"160-170","source":"ScienceDirect","title":"The storage capacity of fluorine in olivine and pyroxene under upper mantle conditions","volume":"208","author":[{"family":"Grützner","given":"Tobias"},{"family":"Kohn","given":"Simon C."},{"family":"Bromiley","given":"David W."},{"family":"Rohrbach","given":"Arno"},{"family":"Berndt","given":"Jasper"},{"family":"Klemme","given":"Stephan"}],"issued":{"date-parts":[["2017",7,1]]}}}],"schema":"https://github.com/citation-style-language/schema/raw/master/csl-citation.json"} </w:instrText>
      </w:r>
      <w:r w:rsidRPr="00C44395">
        <w:fldChar w:fldCharType="separate"/>
      </w:r>
      <w:r w:rsidR="00636367" w:rsidRPr="00636367">
        <w:t>(Dalou et al., 2012; Grützner et al., 2017)</w:t>
      </w:r>
      <w:r w:rsidRPr="00C44395">
        <w:fldChar w:fldCharType="end"/>
      </w:r>
      <w:r w:rsidR="0094629A">
        <w:t>.</w:t>
      </w:r>
      <w:r w:rsidRPr="00661AE1">
        <w:t xml:space="preserve"> This </w:t>
      </w:r>
      <w:r w:rsidR="003505A0">
        <w:t xml:space="preserve">large </w:t>
      </w:r>
      <w:r w:rsidRPr="00661AE1">
        <w:t>discrepancy most likely arises because the experiments</w:t>
      </w:r>
      <w:r>
        <w:t>:</w:t>
      </w:r>
      <w:r w:rsidR="0025096D" w:rsidRPr="0025096D">
        <w:t xml:space="preserve"> </w:t>
      </w:r>
      <w:r w:rsidR="0025096D">
        <w:t>(i)</w:t>
      </w:r>
      <w:r w:rsidRPr="00661AE1">
        <w:t xml:space="preserve"> </w:t>
      </w:r>
      <w:r w:rsidR="0025096D" w:rsidRPr="00661AE1">
        <w:t>involve</w:t>
      </w:r>
      <w:r w:rsidR="0025096D" w:rsidDel="0025096D">
        <w:t xml:space="preserve"> </w:t>
      </w:r>
      <w:r w:rsidRPr="00661AE1">
        <w:t xml:space="preserve">pure olivine and </w:t>
      </w:r>
      <w:r>
        <w:t>ortho</w:t>
      </w:r>
      <w:r w:rsidRPr="00661AE1">
        <w:t>pyroxene</w:t>
      </w:r>
      <w:r>
        <w:t xml:space="preserve"> and lack clinopyroxene</w:t>
      </w:r>
      <w:r w:rsidR="000F1EDB">
        <w:t>;</w:t>
      </w:r>
      <w:r w:rsidRPr="00661AE1">
        <w:t xml:space="preserve"> </w:t>
      </w:r>
      <w:r>
        <w:t xml:space="preserve">(ii) </w:t>
      </w:r>
      <w:r w:rsidR="0025096D" w:rsidRPr="00661AE1">
        <w:t xml:space="preserve">equilibrated </w:t>
      </w:r>
      <w:r w:rsidR="0025096D">
        <w:t xml:space="preserve">at </w:t>
      </w:r>
      <w:r w:rsidRPr="00661AE1">
        <w:t xml:space="preserve">much higher temperatures (1350-1700 </w:t>
      </w:r>
      <w:r w:rsidRPr="00661AE1">
        <w:rPr>
          <w:vertAlign w:val="superscript"/>
        </w:rPr>
        <w:t>o</w:t>
      </w:r>
      <w:r w:rsidRPr="00661AE1">
        <w:t xml:space="preserve">C) than </w:t>
      </w:r>
      <w:r w:rsidR="00F04588">
        <w:t>those of</w:t>
      </w:r>
      <w:r w:rsidRPr="00661AE1">
        <w:t xml:space="preserve"> lithospheric mantle</w:t>
      </w:r>
      <w:r w:rsidR="000F1EDB">
        <w:t>; and (iii) involved doped starting materials</w:t>
      </w:r>
      <w:r w:rsidRPr="00661AE1">
        <w:t xml:space="preserve">. These experimental findings should therefore be treated with caution when calculating the capacity of </w:t>
      </w:r>
      <w:r w:rsidR="00F04588">
        <w:t xml:space="preserve">NVFMMs </w:t>
      </w:r>
      <w:r>
        <w:t xml:space="preserve">in the mantle </w:t>
      </w:r>
      <w:r w:rsidRPr="00661AE1">
        <w:t xml:space="preserve">to store Earth’s halogens budget </w:t>
      </w:r>
      <w:r w:rsidRPr="00C44395">
        <w:fldChar w:fldCharType="begin"/>
      </w:r>
      <w:r w:rsidR="008E0CCC">
        <w:instrText xml:space="preserve"> ADDIN ZOTERO_ITEM CSL_CITATION {"citationID":"QldUgpOU","properties":{"formattedCitation":"(Dalou et al., 2012; Gr\\uc0\\u252{}tzner et al., 2017)","plainCitation":"(Dalou et al., 2012; Grützner et al., 2017)","noteIndex":0},"citationItems":[{"id":2488,"uris":["http://zotero.org/users/88665/items/CU9XWXTR"],"uri":["http://zotero.org/users/88665/items/CU9XWXTR"],"itemData":{"id":2488,"type":"article-journal","abstract":"We experimentally determined F and Cl partition coefficients together with that of 19 trace elements (including REE, U-Th, HFSE and LILE) between basaltic melt and lherzolite minerals: olivine, orthopyroxene, clinopyroxene, plagioclase and garnet. Under conditions from 8 to 25 kbars and from 1,265 to 1,430°C, compatibilities of F and Cl are globally ordered as D Cpx/melt &gt; D Opx/melt &gt; D Grt/melt &gt; D Ol/melt &gt; D Plag/melt, and D F mineral/melt is larger than D Cl mineral/melt . Four other major results were brought to light. (1) Chlorine partition coefficients positively correlate with the jadeite component in orthopyroxene, and increase of the CaTs component promotes Cl incorporation in clinopyroxene. (2) Variations of fluorine partition coefficients correlate strongly with melt viscosity. (3) F and Cl partition coefficients correlate with the Young’s modulus (E 0) of pyroxene octahedral sites (M sites) and with Raman vibrational modes of pyroxenes. This demonstrates a fundamental interaction between the M site of pyroxenes and the incorporation of F and Cl. (4) We also determined the parameters of the lattice-strain model applied to 3+ cation trace elements for the two M sites in orthopyroxene and clinopyroxene: D 0 M 1, D 0 M 2, r 0 M1 , r 0 M2 , E 0 M1 and E 0 M2 .","container-title":"Contributions to Mineralogy and Petrology","DOI":"10.1007/s00410-011-0688-2","ISSN":"0010-7999, 1432-0967","issue":"4","journalAbbreviation":"Contributions to Mineralogy and Petrology","language":"en","note":"00012","page":"591-609","source":"link.springer.com","title":"Experimental determination of F and Cl partitioning between lherzolite and basaltic melt","volume":"163","author":[{"family":"Dalou","given":"Célia"},{"family":"Koga","given":"Kenneth T."},{"family":"Shimizu","given":"Nobumichi"},{"family":"Boulon","given":"Julien"},{"family":"Devidal","given":"Jean-Luc"}],"issued":{"date-parts":[["2012",4,1]]}}},{"id":4059,"uris":["http://zotero.org/users/88665/items/Q8696UGP"],"uri":["http://zotero.org/users/88665/items/Q8696UGP"],"itemData":{"id":4059,"type":"article-journal","abstract":"We present new experimental results on the fluorine storage capacity of olivine and orthopyroxene in the Earth’s mantle. Experiments were performed in the system MgO-SiO2+MgF2 at temperatures between 1350°C and 1700°C and pressures up to 17GPa. Electron microprobe measurements show that fluorine concentrations in olivine reach up to 5100µg/g. The storage capacity of fluorine in olivine shows only a small pressure dependence but a strong temperature dependence with a positive correlation between increasing temperature and fluorine storage capacity. Fluorine concentrations found in enstatite are one order of magnitude smaller and reach up to 670µg/g. Our data show that concentrations of fluorine in fluorine-saturated olivine are in the same range as water concentrations in olivine. Nevertheless, fluorine and water solubility in olivine show opposing behavior with increasing pressure and temperature. The fluorine solubility in olivine increases with increasing temperature but is not much affected by pressure. In contrast, water solubility in olivine has previously been shown to decrease with increasing temperature and increase with increasing pressure. Our experiments show that nominally fluorine-free minerals like forsterite and enstatite are capable of storing the entire fluorine budget of the upper mantle, without the need to invoke accessory phases such as apatite or amphibole.","container-title":"Geochimica et Cosmochimica Acta","DOI":"10.1016/j.gca.2017.03.043","ISSN":"0016-7037","journalAbbreviation":"Geochimica et Cosmochimica Acta","page":"160-170","source":"ScienceDirect","title":"The storage capacity of fluorine in olivine and pyroxene under upper mantle conditions","volume":"208","author":[{"family":"Grützner","given":"Tobias"},{"family":"Kohn","given":"Simon C."},{"family":"Bromiley","given":"David W."},{"family":"Rohrbach","given":"Arno"},{"family":"Berndt","given":"Jasper"},{"family":"Klemme","given":"Stephan"}],"issued":{"date-parts":[["2017",7,1]]}}}],"schema":"https://github.com/citation-style-language/schema/raw/master/csl-citation.json"} </w:instrText>
      </w:r>
      <w:r w:rsidRPr="00C44395">
        <w:fldChar w:fldCharType="separate"/>
      </w:r>
      <w:r w:rsidR="00636367" w:rsidRPr="00636367">
        <w:t>(Dalou et al., 2012; Grützner et al., 2017)</w:t>
      </w:r>
      <w:r w:rsidRPr="00C44395">
        <w:fldChar w:fldCharType="end"/>
      </w:r>
      <w:r w:rsidRPr="00661AE1">
        <w:t>.</w:t>
      </w:r>
    </w:p>
    <w:p w14:paraId="04027C57" w14:textId="4356C6D5" w:rsidR="00EF27B7" w:rsidRPr="00DC4D0D" w:rsidRDefault="00BA5CDD" w:rsidP="00C20C0B">
      <w:pPr>
        <w:pStyle w:val="Heading2"/>
        <w:tabs>
          <w:tab w:val="left" w:pos="360"/>
        </w:tabs>
        <w:spacing w:before="0" w:beforeAutospacing="0" w:after="0" w:afterAutospacing="0" w:line="480" w:lineRule="auto"/>
        <w:ind w:left="360"/>
      </w:pPr>
      <w:r w:rsidRPr="00D8304E">
        <w:t xml:space="preserve"> </w:t>
      </w:r>
    </w:p>
    <w:p w14:paraId="13DDEC33" w14:textId="7DAC85DC" w:rsidR="00776CF1" w:rsidRPr="009B315C" w:rsidRDefault="005D0400" w:rsidP="00C20C0B">
      <w:pPr>
        <w:pStyle w:val="Heading2"/>
        <w:spacing w:line="480" w:lineRule="auto"/>
      </w:pPr>
      <w:r>
        <w:t>9</w:t>
      </w:r>
      <w:r w:rsidR="00CB091B">
        <w:t xml:space="preserve">. </w:t>
      </w:r>
      <w:r w:rsidR="007C2C4D">
        <w:t xml:space="preserve">Storage of </w:t>
      </w:r>
      <w:r w:rsidR="00776CF1" w:rsidRPr="00C81BB4">
        <w:t>H</w:t>
      </w:r>
      <w:r w:rsidR="00E46E8A" w:rsidRPr="00195AA8">
        <w:rPr>
          <w:vertAlign w:val="subscript"/>
        </w:rPr>
        <w:t>2</w:t>
      </w:r>
      <w:r w:rsidR="00E46E8A">
        <w:t>O</w:t>
      </w:r>
      <w:r w:rsidR="00CB091B">
        <w:t>, F</w:t>
      </w:r>
      <w:r w:rsidR="00776CF1" w:rsidRPr="00C81BB4">
        <w:t xml:space="preserve"> and </w:t>
      </w:r>
      <w:r w:rsidR="00CB091B">
        <w:t>Li</w:t>
      </w:r>
      <w:r w:rsidR="00776CF1" w:rsidRPr="00C81BB4">
        <w:t xml:space="preserve"> </w:t>
      </w:r>
      <w:r w:rsidR="005A00EC">
        <w:t xml:space="preserve">contents </w:t>
      </w:r>
      <w:r w:rsidR="007C2C4D">
        <w:t xml:space="preserve">in </w:t>
      </w:r>
      <w:r w:rsidR="00776CF1" w:rsidRPr="00322024">
        <w:t>‘off craton’ mantle</w:t>
      </w:r>
      <w:r w:rsidR="009B315C">
        <w:t xml:space="preserve"> peridotites and pyroxenites</w:t>
      </w:r>
    </w:p>
    <w:p w14:paraId="6A7A5C80" w14:textId="26A46932" w:rsidR="00325983" w:rsidRDefault="00A31101" w:rsidP="00C20C0B">
      <w:pPr>
        <w:spacing w:line="480" w:lineRule="auto"/>
        <w:jc w:val="both"/>
      </w:pPr>
      <w:r w:rsidRPr="00661AE1">
        <w:t>B</w:t>
      </w:r>
      <w:r w:rsidR="00A8135D" w:rsidRPr="00661AE1">
        <w:t>ulk water</w:t>
      </w:r>
      <w:r w:rsidR="00CB091B">
        <w:t>,</w:t>
      </w:r>
      <w:r w:rsidR="00A8135D" w:rsidRPr="00661AE1">
        <w:t xml:space="preserve"> fluorine </w:t>
      </w:r>
      <w:r w:rsidR="00CB091B">
        <w:t xml:space="preserve">and lithium </w:t>
      </w:r>
      <w:r w:rsidR="00A8135D" w:rsidRPr="00661AE1">
        <w:t xml:space="preserve">contents </w:t>
      </w:r>
      <w:r w:rsidR="00943123">
        <w:t>of</w:t>
      </w:r>
      <w:r w:rsidR="00A8135D" w:rsidRPr="00661AE1">
        <w:t xml:space="preserve"> individual mantle xenoliths from </w:t>
      </w:r>
      <w:r w:rsidR="00501F8D" w:rsidRPr="00661AE1">
        <w:t>s</w:t>
      </w:r>
      <w:r w:rsidR="00E90E9D" w:rsidRPr="00661AE1">
        <w:t>outhern</w:t>
      </w:r>
      <w:r w:rsidR="00B45112" w:rsidRPr="00661AE1">
        <w:t xml:space="preserve"> Patagonia</w:t>
      </w:r>
      <w:r w:rsidR="00802799">
        <w:t xml:space="preserve"> (Pali Aike)</w:t>
      </w:r>
      <w:r w:rsidR="00A8135D" w:rsidRPr="00661AE1">
        <w:t xml:space="preserve"> and the Antarctic Peninsula </w:t>
      </w:r>
      <w:r w:rsidR="003C0E99" w:rsidRPr="00661AE1">
        <w:t xml:space="preserve">were calculated </w:t>
      </w:r>
      <w:r w:rsidR="00A8135D" w:rsidRPr="00661AE1">
        <w:t xml:space="preserve">by </w:t>
      </w:r>
      <w:r w:rsidR="00B841EF">
        <w:t>mass balance</w:t>
      </w:r>
      <w:r w:rsidR="00943123">
        <w:t>,</w:t>
      </w:r>
      <w:r w:rsidR="00B841EF">
        <w:t xml:space="preserve"> using </w:t>
      </w:r>
      <w:r w:rsidR="00A8135D" w:rsidRPr="00661AE1">
        <w:t xml:space="preserve">average concentrations of </w:t>
      </w:r>
      <w:r w:rsidR="00CB091B">
        <w:t>these elements</w:t>
      </w:r>
      <w:r w:rsidR="00A8135D" w:rsidRPr="00661AE1">
        <w:t xml:space="preserve"> in </w:t>
      </w:r>
      <w:r w:rsidR="008E18FA" w:rsidRPr="00661AE1">
        <w:t>olivines and pyroxenes</w:t>
      </w:r>
      <w:r w:rsidR="00A8135D" w:rsidRPr="00661AE1">
        <w:t xml:space="preserve"> </w:t>
      </w:r>
      <w:r w:rsidR="00B91A6B">
        <w:t xml:space="preserve">together </w:t>
      </w:r>
      <w:r w:rsidR="00A8135D" w:rsidRPr="00661AE1">
        <w:t>with the</w:t>
      </w:r>
      <w:r w:rsidR="002D0269">
        <w:t>ir respective</w:t>
      </w:r>
      <w:r w:rsidR="00A8135D" w:rsidRPr="00661AE1">
        <w:t xml:space="preserve"> modal abundance</w:t>
      </w:r>
      <w:r w:rsidR="002D0269">
        <w:t>s</w:t>
      </w:r>
      <w:r w:rsidR="00B841EF">
        <w:t xml:space="preserve"> </w:t>
      </w:r>
      <w:r w:rsidR="00A8135D" w:rsidRPr="00661AE1">
        <w:t>(</w:t>
      </w:r>
      <w:r w:rsidR="00A8135D" w:rsidRPr="009B315C">
        <w:rPr>
          <w:b/>
          <w:color w:val="000000" w:themeColor="text1"/>
        </w:rPr>
        <w:t>Table</w:t>
      </w:r>
      <w:r w:rsidR="001A7D55" w:rsidRPr="009B315C">
        <w:rPr>
          <w:b/>
          <w:color w:val="000000" w:themeColor="text1"/>
        </w:rPr>
        <w:t xml:space="preserve"> 3</w:t>
      </w:r>
      <w:r w:rsidR="00AF4F53">
        <w:rPr>
          <w:b/>
          <w:color w:val="000000" w:themeColor="text1"/>
        </w:rPr>
        <w:t xml:space="preserve"> &amp; Figure 8</w:t>
      </w:r>
      <w:r w:rsidR="00A8135D" w:rsidRPr="00661AE1">
        <w:t xml:space="preserve">). In order to overcome the problems </w:t>
      </w:r>
      <w:r w:rsidR="002D0269">
        <w:t xml:space="preserve">associated </w:t>
      </w:r>
      <w:r w:rsidR="00A8135D" w:rsidRPr="00661AE1">
        <w:t xml:space="preserve">with </w:t>
      </w:r>
      <w:r w:rsidR="007A5609">
        <w:t xml:space="preserve">the </w:t>
      </w:r>
      <w:r w:rsidR="002D0269">
        <w:t xml:space="preserve">diffusive </w:t>
      </w:r>
      <w:r w:rsidR="00A8135D" w:rsidRPr="00661AE1">
        <w:t xml:space="preserve">loss </w:t>
      </w:r>
      <w:r w:rsidR="002D0269">
        <w:t xml:space="preserve">of H </w:t>
      </w:r>
      <w:r w:rsidR="00B91A6B">
        <w:t xml:space="preserve">from olivine </w:t>
      </w:r>
      <w:r w:rsidR="00A8135D" w:rsidRPr="00661AE1">
        <w:t xml:space="preserve">described above, primary water contents were calculated </w:t>
      </w:r>
      <w:r w:rsidR="008E18FA" w:rsidRPr="00661AE1">
        <w:t>assum</w:t>
      </w:r>
      <w:r w:rsidR="00A8135D" w:rsidRPr="00661AE1">
        <w:t xml:space="preserve">ing </w:t>
      </w:r>
      <m:oMath>
        <m:sSubSup>
          <m:sSubSupPr>
            <m:ctrlPr>
              <w:rPr>
                <w:rFonts w:ascii="Cambria Math" w:hAnsi="Cambria Math"/>
                <w:i/>
              </w:rPr>
            </m:ctrlPr>
          </m:sSubSupPr>
          <m:e>
            <m:r>
              <m:rPr>
                <m:nor/>
              </m:rPr>
              <w:rPr>
                <w:rFonts w:ascii="Cambria Math" w:hAnsi="Cambria Math"/>
                <w:i/>
              </w:rPr>
              <m:t>D</m:t>
            </m:r>
          </m:e>
          <m:sub>
            <m:r>
              <m:rPr>
                <m:nor/>
              </m:rPr>
              <w:rPr>
                <w:rFonts w:ascii="Cambria Math" w:hAnsi="Cambria Math"/>
                <w:i/>
              </w:rPr>
              <m:t>H</m:t>
            </m:r>
            <m:r>
              <m:rPr>
                <m:nor/>
              </m:rPr>
              <w:rPr>
                <w:rFonts w:ascii="Cambria Math" w:hAnsi="Cambria Math"/>
                <w:i/>
                <w:vertAlign w:val="subscript"/>
              </w:rPr>
              <m:t>2</m:t>
            </m:r>
            <m:r>
              <m:rPr>
                <m:nor/>
              </m:rPr>
              <w:rPr>
                <w:rFonts w:ascii="Cambria Math" w:hAnsi="Cambria Math"/>
                <w:i/>
              </w:rPr>
              <m:t>O</m:t>
            </m:r>
          </m:sub>
          <m:sup>
            <m:r>
              <m:rPr>
                <m:nor/>
              </m:rPr>
              <w:rPr>
                <w:rFonts w:ascii="Cambria Math" w:hAnsi="Cambria Math"/>
              </w:rPr>
              <m:t xml:space="preserve"> </m:t>
            </m:r>
            <m:r>
              <m:rPr>
                <m:nor/>
              </m:rPr>
              <w:rPr>
                <w:rFonts w:ascii="Cambria Math" w:hAnsi="Cambria Math"/>
                <w:i/>
              </w:rPr>
              <m:t>Ol-Opx</m:t>
            </m:r>
          </m:sup>
        </m:sSubSup>
      </m:oMath>
      <w:r w:rsidR="00A8135D" w:rsidRPr="00661AE1">
        <w:t xml:space="preserve"> of 0.11</w:t>
      </w:r>
      <w:r w:rsidR="00EF27B7" w:rsidRPr="00661AE1">
        <w:t xml:space="preserve"> </w:t>
      </w:r>
      <w:r w:rsidR="00EF27B7" w:rsidRPr="00C44395">
        <w:fldChar w:fldCharType="begin"/>
      </w:r>
      <w:r w:rsidR="008E0CCC">
        <w:instrText xml:space="preserve"> ADDIN ZOTERO_ITEM CSL_CITATION {"citationID":"RvUOCdxk","properties":{"formattedCitation":"(Warren and Hauri, 2014)","plainCitation":"(Warren and Hauri, 2014)","noteIndex":0},"citationItems":[{"id":2911,"uris":["http://zotero.org/users/88665/items/2QV77GNQ"],"uri":["http://zotero.org/users/88665/items/2QV77GNQ"],"itemData":{"id":2911,"type":"article-journal","abstract":"The concentration and distribution of volatiles in the Earth's mantle influence properties such as melting temperature, conductivity, and viscosity. To constrain upper mantle water content, concentrations of H2O, P, and F were measured in olivine, orthopyroxene, and clinopyroxene in mantle peridotites by secondary ion mass spectrometry. Analyzed peridotites are xenoliths (Pali Aike, Spitsbergen, Samoa), orogenic peridotites (Josephine Peridotite), and abyssal peridotites (Gakkel Ridge, Southwest Indian Ridge, Tonga Trench). The comparison of fresh and altered peridotites demonstrates that low to moderate levels of alteration do not affect H2O concentrations, in agreement with mineral diffusion data. Olivines have diffusively lost water during emplacement, as demonstrated by disequilibrium between olivine and coexisting pyroxenes. In contrast, clinopyroxene and orthopyroxene preserve their high-temperature water contents, and their partitioning agrees with published experiments and other xenoliths. Hence, olivine water concentrations can be determined from pyroxene concentrations using mineral-mineral partition coefficients. Clinopyroxenes have 60–670 ppm H2O, while orthopyroxenes have 10–300 ppm, which gives calculated olivine concentrations of 8–34 ppm. The highest olivine water concentration translates to an effective viscosity of 6 × 1019 Pa s at 1250°C and ~15 km depth, compared to a dry effective viscosity of 2.5 × 1021 Pa s. Bulk rock water concentrations, calculated using mineral modes, are 20–220 ppm and correlate with peridotite indices of melt depletion. However, trace element melt modeling indicates that peridotites have too much water relative to their rare earth element concentrations, which may be explained by late-stage melt addition, during which only hydrogen diffuses fast enough for reequilibration.","container-title":"Journal of Geophysical Research: Solid Earth","DOI":"10.1002/2013JB010328","ISSN":"2169-9356","issue":"3","journalAbbreviation":"Journal of Geophysical Research: Solid Earth","language":"en","note":"00032","page":"2013JB010328","source":"Wiley Online Library","title":"Pyroxenes as tracers of mantle water variations","volume":"119","author":[{"family":"Warren","given":"Jessica M."},{"family":"Hauri","given":"Erik H."}],"issued":{"date-parts":[["2014",3,1]]}}}],"schema":"https://github.com/citation-style-language/schema/raw/master/csl-citation.json"} </w:instrText>
      </w:r>
      <w:r w:rsidR="00EF27B7" w:rsidRPr="00C44395">
        <w:fldChar w:fldCharType="separate"/>
      </w:r>
      <w:r w:rsidR="00636367">
        <w:t>(Warren and Hauri, 2014)</w:t>
      </w:r>
      <w:r w:rsidR="00EF27B7" w:rsidRPr="00C44395">
        <w:fldChar w:fldCharType="end"/>
      </w:r>
      <w:r w:rsidR="00EF27B7" w:rsidRPr="00661AE1">
        <w:t xml:space="preserve">. We also assumed that garnet and spinel are volatile free, and did not </w:t>
      </w:r>
      <w:r w:rsidR="0025096D">
        <w:t xml:space="preserve">initially </w:t>
      </w:r>
      <w:r w:rsidR="00EF27B7" w:rsidRPr="00661AE1">
        <w:t>include hydrous phases</w:t>
      </w:r>
      <w:r w:rsidR="003C5EEF">
        <w:t>.</w:t>
      </w:r>
      <w:r w:rsidR="007A5609">
        <w:t xml:space="preserve"> </w:t>
      </w:r>
    </w:p>
    <w:p w14:paraId="64EF0CD1" w14:textId="72DC582B" w:rsidR="0083364C" w:rsidRDefault="001B4A1B" w:rsidP="00C20C0B">
      <w:pPr>
        <w:spacing w:line="480" w:lineRule="auto"/>
        <w:ind w:firstLine="360"/>
        <w:jc w:val="both"/>
      </w:pPr>
      <w:r>
        <w:t>The b</w:t>
      </w:r>
      <w:r w:rsidRPr="00661AE1">
        <w:t xml:space="preserve">ulk </w:t>
      </w:r>
      <w:r w:rsidRPr="009B315C">
        <w:rPr>
          <w:color w:val="000000" w:themeColor="text1"/>
        </w:rPr>
        <w:t>H</w:t>
      </w:r>
      <w:r w:rsidR="00956046" w:rsidRPr="009D37AD">
        <w:rPr>
          <w:color w:val="000000" w:themeColor="text1"/>
          <w:vertAlign w:val="subscript"/>
        </w:rPr>
        <w:t>2</w:t>
      </w:r>
      <w:r w:rsidR="00956046">
        <w:rPr>
          <w:color w:val="000000" w:themeColor="text1"/>
        </w:rPr>
        <w:t>O</w:t>
      </w:r>
      <w:r>
        <w:t xml:space="preserve"> </w:t>
      </w:r>
      <w:r w:rsidRPr="00661AE1">
        <w:t>contents</w:t>
      </w:r>
      <w:r w:rsidR="00BC5697">
        <w:t xml:space="preserve"> </w:t>
      </w:r>
      <w:r>
        <w:t xml:space="preserve">of </w:t>
      </w:r>
      <w:r w:rsidR="006D70FF">
        <w:t xml:space="preserve">mantle peridotites from </w:t>
      </w:r>
      <w:r w:rsidR="00BC5697">
        <w:t xml:space="preserve">the </w:t>
      </w:r>
      <w:r w:rsidR="00325983">
        <w:t>Antarctic Peninsula and southern Patagonia</w:t>
      </w:r>
      <w:r w:rsidR="00E52AA3" w:rsidRPr="00661AE1">
        <w:t xml:space="preserve"> </w:t>
      </w:r>
      <w:r w:rsidR="00095A9C" w:rsidRPr="00661AE1">
        <w:t xml:space="preserve">vary from </w:t>
      </w:r>
      <w:r w:rsidR="00BC5697">
        <w:t xml:space="preserve">50 </w:t>
      </w:r>
      <w:r w:rsidR="00C5757D">
        <w:t>ppmw</w:t>
      </w:r>
      <w:r w:rsidR="00BC5697">
        <w:t xml:space="preserve"> in the harzburgites</w:t>
      </w:r>
      <w:r w:rsidR="00C71F34" w:rsidRPr="00661AE1">
        <w:t xml:space="preserve"> to 1</w:t>
      </w:r>
      <w:r w:rsidR="00BC5697">
        <w:t>3</w:t>
      </w:r>
      <w:r w:rsidR="00C71F34" w:rsidRPr="00661AE1">
        <w:t xml:space="preserve">0 </w:t>
      </w:r>
      <w:r w:rsidR="00C5757D">
        <w:t>ppmw</w:t>
      </w:r>
      <w:r w:rsidR="00943123">
        <w:t xml:space="preserve"> </w:t>
      </w:r>
      <w:r w:rsidR="00350FBF">
        <w:t>in the lherzolites</w:t>
      </w:r>
      <w:r w:rsidR="00956046">
        <w:t>,</w:t>
      </w:r>
      <w:r w:rsidR="00BC5697">
        <w:t xml:space="preserve"> </w:t>
      </w:r>
      <w:r w:rsidR="00943123">
        <w:t>and</w:t>
      </w:r>
      <w:r w:rsidR="00A31101" w:rsidRPr="00661AE1">
        <w:t xml:space="preserve"> </w:t>
      </w:r>
      <w:r w:rsidR="00F04588">
        <w:t xml:space="preserve">are similar to </w:t>
      </w:r>
      <w:r w:rsidR="00C71F34" w:rsidRPr="00661AE1">
        <w:t xml:space="preserve">the </w:t>
      </w:r>
      <w:r w:rsidR="00350FBF">
        <w:t xml:space="preserve">broad </w:t>
      </w:r>
      <w:r w:rsidR="00C71F34" w:rsidRPr="00661AE1">
        <w:t>range previously suggested for continental mantle</w:t>
      </w:r>
      <w:r w:rsidR="00861FE1" w:rsidRPr="00661AE1">
        <w:t xml:space="preserve"> (200 ±100 </w:t>
      </w:r>
      <w:r w:rsidR="00C5757D">
        <w:t>ppmw</w:t>
      </w:r>
      <w:r w:rsidR="00861FE1" w:rsidRPr="00661AE1">
        <w:t xml:space="preserve">; </w:t>
      </w:r>
      <w:r w:rsidR="00861FE1" w:rsidRPr="00C44395">
        <w:lastRenderedPageBreak/>
        <w:fldChar w:fldCharType="begin"/>
      </w:r>
      <w:r w:rsidR="008E0CCC">
        <w:instrText xml:space="preserve"> ADDIN ZOTERO_ITEM CSL_CITATION {"citationID":"UJS5bbE8","properties":{"formattedCitation":"(Demouchy and Bolfan-Casanova, 2016; Schaffer et al., 2018)","plainCitation":"(Demouchy and Bolfan-Casanova, 2016; Schaffer et al., 2018)","noteIndex":0},"citationItems":[{"id":3149,"uris":["http://zotero.org/users/88665/items/2K3XPCEM"],"uri":["http://zotero.org/users/88665/items/2K3XPCEM"],"itemData":{"id":3149,"type":"article-journal","container-title":"Lithos","DOI":"10.1016/j.lithos.2015.11.012","ISSN":"00244937","language":"en","note":"00011","page":"402-425","source":"CrossRef","title":"Distribution and transport of hydrogen in the lithospheric mantle: A review","title-short":"Distribution and transport of hydrogen in the lithospheric mantle","volume":"240-243","author":[{"family":"Demouchy","given":"Sylvie"},{"family":"Bolfan-Casanova","given":"Nathalie"}],"issued":{"date-parts":[["2016",1]]}}},{"id":3924,"uris":["http://zotero.org/users/88665/items/7AP93DLJ"],"uri":["http://zotero.org/users/88665/items/7AP93DLJ"],"itemData":{"id":3924,"type":"article-journal","abstract":"The distribution of water in the upper mantle plays a crucial role in the Earth's deep water cycle, magmatism, and plate tectonics. To better constrain how these large-scale geochemical systems operate, peridotite and pyroxenite mantle xenoliths from Kilbourne Hole (KH) and Rio Puerco (RP) along the Rio Grande Rift (NM, USA) were analyzed for water, and major and trace element contents. These xenoliths sample a lithosphere whose composition was influenced by subduction and rifting, and can be used to examine the effects of melting, metasomatism, and sub-solidus equilibration on the behavior of water. The first result is that in KH xenoliths, olivines underwent negligible H loss during xenolith ascent, i.e. preserved their mantle water contents. These olivine water contents are used to calculate mantle viscosities of 0.5-184 1021 Pa.s. These viscosity values are more than 40 times higher than those of the asthenosphere and show that KH peridotites represent samples from the lithosphere. The preservation of olivine water contents is exceptional for off-cratonic xenoliths, and the KH peridotites provide the first estimate of the average concentration of water in Phanerozoic continental mantle lithosphere at 81 ±30 ppm H2O. The mantle lithosphere beneath the Rio Grande rift is nevertheless heterogeneous with water contents ranging from &lt;0.5 to 120 ppm H2O in peridotites and from 227 to 400 ppm H2O in pyroxenites. A composite KH xenolith of a harzburgite cross-cut by a clinopyroxenite vein shows this heterogeneity at the cm scale. The second contribution of this study stems from the majority of the KH peridotites and two of the RP peridotites having major and trace elements that can be explained by partial melting without any need to invoke metasomatic processes. This allows to show that, prior to modelling the water content variation of each peridotite mineral during melting, a correction for sub-solidus equilibration has to be applied to the water contents of the minerals. Sub-solidus equilibration also provides an explanation for the discrepancy between the clinopyroxene/orthopyroxene ratio of water contents in natural peridotites worldwide and in laboratory experiments on water partitioning in peridotite minerals. Finally, the cryptically metasomatized peridotites, rare at KH and abundant at RP, as well as the pyroxenites, permit to decipher the origin and water contents of the metasomatic melts that affected the continental lithosphere beneath the Rio Grande Rift. Trace element modelling of the metasomatized KH and RP peridotites are consistent with metasomatism via melts that are of subduction origin. Melts in equilibrium with peridotites contain more water at RP (</w:instrText>
      </w:r>
      <w:r w:rsidR="008E0CCC">
        <w:rPr>
          <w:rFonts w:ascii="Cambria Math" w:hAnsi="Cambria Math" w:cs="Cambria Math"/>
        </w:rPr>
        <w:instrText>∼</w:instrText>
      </w:r>
      <w:r w:rsidR="008E0CCC">
        <w:instrText>1 wt % H2O) than at KH (</w:instrText>
      </w:r>
      <w:r w:rsidR="008E0CCC">
        <w:rPr>
          <w:rFonts w:ascii="Cambria Math" w:hAnsi="Cambria Math" w:cs="Cambria Math"/>
        </w:rPr>
        <w:instrText>∼</w:instrText>
      </w:r>
      <w:r w:rsidR="008E0CCC">
        <w:instrText xml:space="preserve">0.5 wt % H2O), although this did not result in a more water-rich mantle lithosphere at RP. Rio Puerco lies within the northern Rio Grande rift, proposed to have been affected by a flat slab subduction, which may explain the more hydrous and extensive metasomatism compared to the south, where KH is located.","container-title":"Geochimica et Cosmochimica Acta","DOI":"10.1016/j.gca.2018.10.005","ISSN":"0016-7037","journalAbbreviation":".10.1016/j.gca.2018.10.005","page":"10.1016/j.gca.2018.10.005","source":"ScienceDirect","title":"Effects of melting, subduction-related metasomatism, and sub-solidus equilibration on the distribution of water contents in the mantle beneath the Rio Grande Rift","author":[{"family":"Schaffer","given":"Lillian A."},{"family":"Peslier","given":"Anne H."},{"family":"Brandon","given":"Alan D."},{"family":"Bizimis","given":"Michael"},{"family":"Gibler","given":"Robert"},{"family":"Norman","given":"Marc"},{"family":"Harvey","given":"Jason"}],"issued":{"date-parts":[["2018",10,13]]}}}],"schema":"https://github.com/citation-style-language/schema/raw/master/csl-citation.json"} </w:instrText>
      </w:r>
      <w:r w:rsidR="00861FE1" w:rsidRPr="00C44395">
        <w:fldChar w:fldCharType="separate"/>
      </w:r>
      <w:r w:rsidR="00636367">
        <w:t>(Demouchy and Bolfan-Casanova, 2016; Schaffer et al., 2018)</w:t>
      </w:r>
      <w:r w:rsidR="00861FE1" w:rsidRPr="00C44395">
        <w:fldChar w:fldCharType="end"/>
      </w:r>
      <w:r w:rsidR="006015F0">
        <w:t>.</w:t>
      </w:r>
      <w:r w:rsidR="00861FE1" w:rsidRPr="00661AE1">
        <w:t xml:space="preserve"> </w:t>
      </w:r>
      <w:r w:rsidR="00956046">
        <w:t>These</w:t>
      </w:r>
      <w:r w:rsidR="00210B53" w:rsidRPr="00661AE1">
        <w:t xml:space="preserve"> </w:t>
      </w:r>
      <w:r w:rsidR="00A31101" w:rsidRPr="00661AE1">
        <w:t xml:space="preserve">bulk water </w:t>
      </w:r>
      <w:r w:rsidR="00210B53" w:rsidRPr="00661AE1">
        <w:t xml:space="preserve">estimates are </w:t>
      </w:r>
      <w:r w:rsidR="00A31101" w:rsidRPr="00661AE1">
        <w:t xml:space="preserve">also </w:t>
      </w:r>
      <w:r w:rsidR="006432D9">
        <w:t xml:space="preserve">comparable </w:t>
      </w:r>
      <w:r w:rsidR="00E76733">
        <w:t>to</w:t>
      </w:r>
      <w:r w:rsidR="00210B53" w:rsidRPr="00661AE1">
        <w:t xml:space="preserve"> the range of </w:t>
      </w:r>
      <w:r w:rsidR="00AF4F53">
        <w:t xml:space="preserve">the </w:t>
      </w:r>
      <w:r w:rsidR="00861FE1" w:rsidRPr="00661AE1">
        <w:t>MORB</w:t>
      </w:r>
      <w:r w:rsidR="00534ED5">
        <w:t>-depleted</w:t>
      </w:r>
      <w:r w:rsidR="00534ED5" w:rsidRPr="00661AE1">
        <w:t xml:space="preserve"> mantle </w:t>
      </w:r>
      <w:r w:rsidR="00861FE1" w:rsidRPr="00661AE1">
        <w:t>source</w:t>
      </w:r>
      <w:r w:rsidR="00E70690">
        <w:t xml:space="preserve"> </w:t>
      </w:r>
      <w:r w:rsidR="00861FE1" w:rsidRPr="00661AE1">
        <w:t xml:space="preserve">(50 - 200 </w:t>
      </w:r>
      <w:r w:rsidR="00C5757D">
        <w:t>ppmw</w:t>
      </w:r>
      <w:r w:rsidR="00861FE1" w:rsidRPr="00661AE1">
        <w:t xml:space="preserve"> H</w:t>
      </w:r>
      <w:r w:rsidR="00861FE1" w:rsidRPr="00661AE1">
        <w:rPr>
          <w:vertAlign w:val="subscript"/>
        </w:rPr>
        <w:t>2</w:t>
      </w:r>
      <w:r w:rsidR="00861FE1" w:rsidRPr="00661AE1">
        <w:t xml:space="preserve">O; </w:t>
      </w:r>
      <w:r w:rsidR="00861FE1" w:rsidRPr="00C44395">
        <w:fldChar w:fldCharType="begin"/>
      </w:r>
      <w:r w:rsidR="00A17546">
        <w:instrText xml:space="preserve"> ADDIN ZOTERO_ITEM CSL_CITATION {"citationID":"JclqC3eZ","properties":{"formattedCitation":"(Hirschmann, 2006; Shimizu et al., 2016)","plainCitation":"(Hirschmann, 2006; Shimizu et al., 2016)","noteIndex":0},"citationItems":[{"id":"4YmRUp4L/Cvkx5E56","uris":["http://zotero.org/users/2552499/items/4ZM6AMWP"],"uri":["http://zotero.org/users/2552499/items/4ZM6AMWP"],"itemData":{"id":1415,"type":"article-journal","title":"Water, Melting, and the Deep Earth H2o Cycle","container-title":"Annual Review of Earth and Planetary Sciences","page":"629-653","volume":"34","issue":"1","source":"Annual Reviews","abstract":"AbstractHydrous melting driven by changes in H2O storage capacity may occur in a variety of settings in the mantle, including in oceanic basalt sources and in deeper regions above and below the transition zone. The 50–200 ppm H2O in the upper mantle likely derives from a blend of sources that may include residues of hydrous partial melting, either in the deep mantle and/or beneath arcs or oceanic islands. Relative to the large storage capacity in the transition zone, low storage capacities above and below may lead to hydrous melting for material upwelling through 410 km or downwelling through 670 km. The apparently very low storage capacity of the lower mantle (&lt;20 ppm H2O) may force melting even if downwelling rocks have normal upper mantle H2O (50–200 ppm) concentrations. Very low storage capacity in the lower mantle, if verified experimentally, presents a challenge to the view that the H2O-rich sources of oceanic island basalts reside in the lower mantle.","DOI":"10.1146/annurev.earth.34.031405.125211","author":[{"family":"Hirschmann","given":"Marc M."}],"issued":{"date-parts":[["2006"]]}}},{"id":3354,"uris":["http://zotero.org/users/88665/items/7I6UDN48"],"uri":["http://zotero.org/users/88665/items/7I6UDN48"],"itemData":{"id":3354,"type":"article-journal","abstract":"Abstract\nWe report major, trace, and volatile element (CO2, H2O, F, Cl, S) contents and Sr, Nd, and Pb isotopes of mid-ocean ridge basalt (MORB) glasses from the Northern East Pacific Rise (NEPR) off-axis seamounts, the Quebrada-Discovery-GoFar (QDG) transform fault system, and the Macquarie Island. The incompatible trace element (ITE) contents of the samples range from highly depleted (DMORB, Th/La </w:instrText>
      </w:r>
      <w:r w:rsidR="00A17546">
        <w:rPr>
          <w:rFonts w:ascii="Cambria Math" w:hAnsi="Cambria Math" w:cs="Cambria Math"/>
        </w:rPr>
        <w:instrText>⩽</w:instrText>
      </w:r>
      <w:r w:rsidR="00A17546">
        <w:instrText xml:space="preserve"> 0.035) to enriched (EMORB, Th/La </w:instrText>
      </w:r>
      <w:r w:rsidR="00A17546">
        <w:rPr>
          <w:rFonts w:ascii="Cambria Math" w:hAnsi="Cambria Math" w:cs="Cambria Math"/>
        </w:rPr>
        <w:instrText>⩾</w:instrText>
      </w:r>
      <w:r w:rsidR="00A17546">
        <w:instrText xml:space="preserve"> 0.07), and the isotopic composition spans the entire range observed in EPR MORB. Our data suggest that at the time of melt generation, the source that generated the EMORB was essentially peridotitic, and that the composition of NMORB might not represent melting of a single upper mantle source (DMM), but rather mixing of melts from a two-component mantle (depleted and enriched DMM or D-DMM and E-DMM, respectively). After filtering the volatile element data for secondary processes (degassing, sulfide saturation, assimilation of seawater-derived component, and fractional crystallization), we use the volatiles to ITE ratios of our samples and a two-component mantle melting-mixing model to estimate the volatile content of the D-DMM (CO2 = 22 ppm, H2O = 59 ppm, F = 8 ppm, Cl = 0.4 ppm, and S = 100 ppm) and the E-DMM (CO2 = 990 ppm, H2O = 660 ppm, F = 31 ppm, Cl = 22 ppm, and S = 165 ppm). Our two-component mantle melting-mixing model reproduces the kernel density estimates (KDE) of Th/La and 143Nd/144Nd ratios for our samples and for EPR axial MORB compiled from the literature. This model suggests that: (1) 78% of the Pacific upper mantle is highly depleted (D-DMM) while 22% is enriched (E-DMM) in volatile and refractory ITE, (2) the melts produced during variable degrees of melting of the E-DMM controls most of the MORB geochemical variation, and (3) a fraction (</w:instrText>
      </w:r>
      <w:r w:rsidR="00A17546">
        <w:rPr>
          <w:rFonts w:ascii="Cambria Math" w:hAnsi="Cambria Math" w:cs="Cambria Math"/>
        </w:rPr>
        <w:instrText>∼</w:instrText>
      </w:r>
      <w:r w:rsidR="00A17546">
        <w:instrText xml:space="preserve">65% to 80%) of the low degree EMORB melts (produced by </w:instrText>
      </w:r>
      <w:r w:rsidR="00A17546">
        <w:rPr>
          <w:rFonts w:ascii="Cambria Math" w:hAnsi="Cambria Math" w:cs="Cambria Math"/>
        </w:rPr>
        <w:instrText>∼</w:instrText>
      </w:r>
      <w:r w:rsidR="00A17546">
        <w:instrText xml:space="preserve">1.3% melting) may escape melt aggregation by freezing at the base of the oceanic lithosphere, significantly enriching it in volatile and trace element contents. Our results are consistent with previously proposed geodynamical processes acting at mid-ocean ridges and with the generation of the E-DMM. Our observations indicate that the D-DMM and E-DMM have (1) a relatively constant CO2/Cl ratio of </w:instrText>
      </w:r>
      <w:r w:rsidR="00A17546">
        <w:rPr>
          <w:rFonts w:ascii="Cambria Math" w:hAnsi="Cambria Math" w:cs="Cambria Math"/>
        </w:rPr>
        <w:instrText>∼</w:instrText>
      </w:r>
      <w:r w:rsidR="00A17546">
        <w:instrText xml:space="preserve">57 ± 8, and (2) volatile and ITE element abundance patterns that can be related by a simple melting event, supporting the hypothesis that the E-DMM is a recycled oceanic lithosphere mantle metasomatized by low degree melts. Our calculation and model give rise to a Pacific upper mantle with volatile content of CO2 = 235 ppm, H2O = 191 ppm, F = 13 ppm, Cl = 5 ppm, and S = 114 ppm.","container-title":"Geochimica et Cosmochimica Acta","DOI":"10.1016/j.gca.2015.10.033","ISSN":"0016-7037","journalAbbreviation":"Geochimica et Cosmochimica Acta","note":"00002","page":"44-80","title":"Two-component mantle melting-mixing model for the generation of mid-ocean ridge basalts: Implications for the volatile content of the Pacific upper mantle","volume":"176","author":[{"family":"Shimizu","given":"Kei"},{"family":"Saal","given":"Alberto E."},{"family":"Myers","given":"Corinne E."},{"family":"Nagle","given":"Ashley N."},{"family":"Hauri","given":"Erik H."},{"family":"Forsyth","given":"Donald W."},{"family":"Kamenetsky","given":"Vadim S."},{"family":"Niu","given":"Yaoling"}],"issued":{"date-parts":[["2016",3,1]]}}}],"schema":"https://github.com/citation-style-language/schema/raw/master/csl-citation.json"} </w:instrText>
      </w:r>
      <w:r w:rsidR="00861FE1" w:rsidRPr="00C44395">
        <w:fldChar w:fldCharType="separate"/>
      </w:r>
      <w:r w:rsidR="00636367">
        <w:t>(Hirschmann, 2006; Shimizu et al., 2016)</w:t>
      </w:r>
      <w:r w:rsidR="00861FE1" w:rsidRPr="00C44395">
        <w:fldChar w:fldCharType="end"/>
      </w:r>
      <w:r w:rsidR="00AF4F53" w:rsidRPr="00AF4F53">
        <w:rPr>
          <w:b/>
        </w:rPr>
        <w:t xml:space="preserve"> </w:t>
      </w:r>
      <w:r w:rsidR="008F44C2">
        <w:t xml:space="preserve">and oceanic lithosphere </w:t>
      </w:r>
      <w:r w:rsidR="0006668F">
        <w:t>(</w:t>
      </w:r>
      <w:r w:rsidR="00984A30" w:rsidRPr="00661AE1">
        <w:t xml:space="preserve">18 to </w:t>
      </w:r>
      <w:r w:rsidR="00B1077E">
        <w:t>105</w:t>
      </w:r>
      <w:r w:rsidR="00B1077E" w:rsidRPr="00661AE1">
        <w:t xml:space="preserve"> </w:t>
      </w:r>
      <w:r w:rsidR="00C5757D">
        <w:t>ppmw</w:t>
      </w:r>
      <w:r w:rsidR="0006668F">
        <w:t>;</w:t>
      </w:r>
      <w:r w:rsidR="000220E3" w:rsidRPr="000220E3">
        <w:t xml:space="preserve"> Warren &amp; Hauri, 2014</w:t>
      </w:r>
      <w:r w:rsidR="000220E3">
        <w:t xml:space="preserve">; </w:t>
      </w:r>
      <w:r w:rsidR="000220E3" w:rsidRPr="000220E3">
        <w:t>Peslier and Bizimis, 2015)</w:t>
      </w:r>
      <w:r w:rsidR="003A0A95" w:rsidRPr="00661AE1">
        <w:t xml:space="preserve">. </w:t>
      </w:r>
      <w:r w:rsidR="005F754F" w:rsidRPr="00661AE1">
        <w:t xml:space="preserve">Bulk fluorine contents </w:t>
      </w:r>
      <w:r w:rsidR="008E18FA" w:rsidRPr="00661AE1">
        <w:t xml:space="preserve">in </w:t>
      </w:r>
      <w:r w:rsidR="000355B1">
        <w:t xml:space="preserve">the </w:t>
      </w:r>
      <w:r w:rsidR="003D5A98">
        <w:t>“</w:t>
      </w:r>
      <w:r w:rsidR="003652D7">
        <w:t>off-craton</w:t>
      </w:r>
      <w:r w:rsidR="003D5A98">
        <w:t>”</w:t>
      </w:r>
      <w:r w:rsidR="003652D7">
        <w:t xml:space="preserve"> </w:t>
      </w:r>
      <w:r w:rsidR="000355B1">
        <w:t>spinel- and garnet-bearing peridotites</w:t>
      </w:r>
      <w:r w:rsidR="0006668F">
        <w:t xml:space="preserve"> from </w:t>
      </w:r>
      <w:r w:rsidR="007535E5" w:rsidRPr="00661AE1">
        <w:t>southern Patagonia and the Antarctic Peninsula</w:t>
      </w:r>
      <w:r w:rsidR="007535E5">
        <w:t xml:space="preserve"> </w:t>
      </w:r>
      <w:r w:rsidR="0006668F" w:rsidRPr="00661AE1">
        <w:t xml:space="preserve">range from </w:t>
      </w:r>
      <w:r w:rsidR="0006668F">
        <w:t>3</w:t>
      </w:r>
      <w:r w:rsidR="0006668F" w:rsidRPr="00661AE1">
        <w:t xml:space="preserve"> to 4</w:t>
      </w:r>
      <w:r w:rsidR="0006668F">
        <w:t>6</w:t>
      </w:r>
      <w:r w:rsidR="0006668F" w:rsidRPr="00661AE1">
        <w:t xml:space="preserve"> </w:t>
      </w:r>
      <w:r w:rsidR="00C5757D">
        <w:t>ppmw</w:t>
      </w:r>
      <w:r w:rsidR="0006668F">
        <w:t xml:space="preserve"> </w:t>
      </w:r>
      <w:r w:rsidR="007535E5">
        <w:t>(</w:t>
      </w:r>
      <w:r w:rsidR="007535E5" w:rsidRPr="00481337">
        <w:rPr>
          <w:b/>
        </w:rPr>
        <w:t>Table 3</w:t>
      </w:r>
      <w:r w:rsidR="007535E5">
        <w:rPr>
          <w:b/>
        </w:rPr>
        <w:t xml:space="preserve">) </w:t>
      </w:r>
      <w:r w:rsidR="00943123">
        <w:t xml:space="preserve">and </w:t>
      </w:r>
      <w:r w:rsidR="000355B1">
        <w:t xml:space="preserve">extend to </w:t>
      </w:r>
      <w:r w:rsidR="003C0E99" w:rsidRPr="00661AE1">
        <w:t xml:space="preserve">higher </w:t>
      </w:r>
      <w:r w:rsidR="000355B1">
        <w:t xml:space="preserve">concentrations </w:t>
      </w:r>
      <w:r w:rsidR="003C0E99" w:rsidRPr="00661AE1">
        <w:t>than</w:t>
      </w:r>
      <w:r w:rsidR="003945C6" w:rsidRPr="00661AE1">
        <w:t xml:space="preserve"> </w:t>
      </w:r>
      <w:r w:rsidR="00356913" w:rsidRPr="009B315C">
        <w:t>abyssal peridotites</w:t>
      </w:r>
      <w:r w:rsidR="00356913">
        <w:t xml:space="preserve"> (&lt;</w:t>
      </w:r>
      <w:r w:rsidR="00063477">
        <w:t>11</w:t>
      </w:r>
      <w:r w:rsidR="00356913">
        <w:t xml:space="preserve"> </w:t>
      </w:r>
      <w:r w:rsidR="00C5757D">
        <w:t>ppmw</w:t>
      </w:r>
      <w:r w:rsidR="00063477">
        <w:t>, Warren &amp; Hauri, 2014</w:t>
      </w:r>
      <w:r w:rsidR="00356913">
        <w:t>)</w:t>
      </w:r>
      <w:r w:rsidR="00B91A6B">
        <w:t>,</w:t>
      </w:r>
      <w:r w:rsidR="00356913">
        <w:t xml:space="preserve"> </w:t>
      </w:r>
      <w:r w:rsidR="003945C6" w:rsidRPr="00661AE1">
        <w:t>MORB source mantle (</w:t>
      </w:r>
      <w:r w:rsidR="00063477">
        <w:t xml:space="preserve">11 </w:t>
      </w:r>
      <w:r w:rsidR="00063477" w:rsidRPr="00661AE1">
        <w:t>±</w:t>
      </w:r>
      <w:r w:rsidR="00063477">
        <w:t xml:space="preserve"> 5</w:t>
      </w:r>
      <w:r w:rsidR="003945C6" w:rsidRPr="00661AE1">
        <w:t xml:space="preserve"> </w:t>
      </w:r>
      <w:r w:rsidR="00C5757D">
        <w:t>ppmw</w:t>
      </w:r>
      <w:r w:rsidR="00412552">
        <w:t>; Salters and Stracke, 2004</w:t>
      </w:r>
      <w:r w:rsidR="00B35C23" w:rsidRPr="00661AE1">
        <w:t xml:space="preserve">) and </w:t>
      </w:r>
      <w:r w:rsidR="003945C6" w:rsidRPr="00661AE1">
        <w:t>Bulk Silicate Earth (24 ± 10</w:t>
      </w:r>
      <w:r w:rsidR="006A1F93">
        <w:t xml:space="preserve"> ppmw</w:t>
      </w:r>
      <w:r w:rsidR="00B35C23" w:rsidRPr="00661AE1">
        <w:t>;</w:t>
      </w:r>
      <w:r w:rsidR="00D16CF3" w:rsidRPr="00D16CF3">
        <w:t xml:space="preserve"> Lyubetskaya and Korenaga, 2007)</w:t>
      </w:r>
      <w:r w:rsidR="003945C6" w:rsidRPr="00661AE1">
        <w:t xml:space="preserve">. </w:t>
      </w:r>
      <w:r w:rsidR="0083364C">
        <w:t xml:space="preserve"> </w:t>
      </w:r>
    </w:p>
    <w:p w14:paraId="1F64B2F6" w14:textId="6B67BF14" w:rsidR="00686D26" w:rsidRDefault="00686D26" w:rsidP="00C20C0B">
      <w:pPr>
        <w:spacing w:line="480" w:lineRule="auto"/>
        <w:ind w:firstLine="360"/>
        <w:jc w:val="both"/>
      </w:pPr>
      <w:r>
        <w:t xml:space="preserve">Because of the strong partitioning of volatiles into mantle clinopyroxene, bulk volatile contents are highest in the </w:t>
      </w:r>
      <w:r w:rsidRPr="00661AE1">
        <w:t>Antarctic Peninsula</w:t>
      </w:r>
      <w:r>
        <w:t xml:space="preserve"> pyroxenites</w:t>
      </w:r>
      <w:r w:rsidRPr="00661AE1">
        <w:t xml:space="preserve"> </w:t>
      </w:r>
      <w:r>
        <w:t xml:space="preserve">(200 – 317 </w:t>
      </w:r>
      <w:r w:rsidR="00C5757D">
        <w:t>ppmw</w:t>
      </w:r>
      <w:r>
        <w:t xml:space="preserve"> </w:t>
      </w:r>
      <w:r w:rsidR="00956046" w:rsidRPr="009B315C">
        <w:rPr>
          <w:color w:val="000000" w:themeColor="text1"/>
        </w:rPr>
        <w:t>H</w:t>
      </w:r>
      <w:r w:rsidR="00956046" w:rsidRPr="00E27D19">
        <w:rPr>
          <w:color w:val="000000" w:themeColor="text1"/>
          <w:vertAlign w:val="subscript"/>
        </w:rPr>
        <w:t>2</w:t>
      </w:r>
      <w:r w:rsidR="00956046">
        <w:rPr>
          <w:color w:val="000000" w:themeColor="text1"/>
        </w:rPr>
        <w:t>O</w:t>
      </w:r>
      <w:r>
        <w:t xml:space="preserve">, </w:t>
      </w:r>
      <w:r w:rsidR="003505A0">
        <w:t>40</w:t>
      </w:r>
      <w:r>
        <w:t>-</w:t>
      </w:r>
      <w:r w:rsidR="003505A0">
        <w:t xml:space="preserve">126 </w:t>
      </w:r>
      <w:r w:rsidR="00C5757D">
        <w:t>ppmw</w:t>
      </w:r>
      <w:r>
        <w:t xml:space="preserve"> F; </w:t>
      </w:r>
      <w:r w:rsidRPr="00481337">
        <w:rPr>
          <w:b/>
        </w:rPr>
        <w:t>Table 3</w:t>
      </w:r>
      <w:r>
        <w:rPr>
          <w:b/>
        </w:rPr>
        <w:t xml:space="preserve"> &amp; Figure 8a</w:t>
      </w:r>
      <w:r w:rsidR="00DD6BE7">
        <w:rPr>
          <w:b/>
        </w:rPr>
        <w:t xml:space="preserve"> </w:t>
      </w:r>
      <w:r>
        <w:rPr>
          <w:b/>
        </w:rPr>
        <w:t>&amp;</w:t>
      </w:r>
      <w:r w:rsidR="00DD6BE7">
        <w:rPr>
          <w:b/>
        </w:rPr>
        <w:t xml:space="preserve"> </w:t>
      </w:r>
      <w:r>
        <w:rPr>
          <w:b/>
        </w:rPr>
        <w:t>b</w:t>
      </w:r>
      <w:r>
        <w:t xml:space="preserve">). These relatively high bulk-rock </w:t>
      </w:r>
      <w:r w:rsidR="00956046" w:rsidRPr="009B315C">
        <w:rPr>
          <w:color w:val="000000" w:themeColor="text1"/>
        </w:rPr>
        <w:t>H</w:t>
      </w:r>
      <w:r w:rsidR="00956046" w:rsidRPr="00E27D19">
        <w:rPr>
          <w:color w:val="000000" w:themeColor="text1"/>
          <w:vertAlign w:val="subscript"/>
        </w:rPr>
        <w:t>2</w:t>
      </w:r>
      <w:r w:rsidR="00956046">
        <w:rPr>
          <w:color w:val="000000" w:themeColor="text1"/>
        </w:rPr>
        <w:t>O</w:t>
      </w:r>
      <w:r>
        <w:t xml:space="preserve"> estimates are </w:t>
      </w:r>
      <w:r w:rsidR="00956046">
        <w:t>consistent with</w:t>
      </w:r>
      <w:r>
        <w:t xml:space="preserve"> those of </w:t>
      </w:r>
      <w:r w:rsidR="003D5A98">
        <w:t>“</w:t>
      </w:r>
      <w:r w:rsidR="00F02D1F">
        <w:t>off-craton</w:t>
      </w:r>
      <w:r w:rsidR="003D5A98">
        <w:t>”</w:t>
      </w:r>
      <w:r w:rsidR="00F02D1F">
        <w:t xml:space="preserve"> </w:t>
      </w:r>
      <w:r>
        <w:t>spinel pyroxenites from the Rio Grande Rift in the SW U</w:t>
      </w:r>
      <w:r w:rsidR="00F02D1F">
        <w:t>SA (Kilbourne Hole &amp; Rio Puerco</w:t>
      </w:r>
      <w:r>
        <w:t>)</w:t>
      </w:r>
      <w:r w:rsidR="00F02D1F">
        <w:t xml:space="preserve"> and East China</w:t>
      </w:r>
      <w:r>
        <w:t xml:space="preserve"> </w:t>
      </w:r>
      <w:r w:rsidR="00F02D1F">
        <w:t xml:space="preserve">together with </w:t>
      </w:r>
      <w:r>
        <w:t>garnet pyroxenites from Hawaii (</w:t>
      </w:r>
      <w:r w:rsidR="00F02D1F">
        <w:t>Sc</w:t>
      </w:r>
      <w:r w:rsidR="00F02D1F" w:rsidRPr="009B315C">
        <w:t>h</w:t>
      </w:r>
      <w:r w:rsidR="00F02D1F">
        <w:t>a</w:t>
      </w:r>
      <w:r w:rsidR="00F02D1F" w:rsidRPr="009B315C">
        <w:t>ffer et al., 2018</w:t>
      </w:r>
      <w:r w:rsidR="00F02D1F">
        <w:t xml:space="preserve">; </w:t>
      </w:r>
      <w:r>
        <w:t>Bizimis &amp; Peslier, 2015</w:t>
      </w:r>
      <w:r w:rsidR="00F02D1F">
        <w:t xml:space="preserve">; </w:t>
      </w:r>
      <w:r w:rsidR="00F02D1F" w:rsidRPr="00812FBF">
        <w:fldChar w:fldCharType="begin"/>
      </w:r>
      <w:r w:rsidR="008E0CCC">
        <w:instrText xml:space="preserve"> ADDIN ZOTERO_ITEM CSL_CITATION {"citationID":"SkUxkquZ","properties":{"formattedCitation":"(Hao et al., 2018)","plainCitation":"(Hao et al., 2018)","noteIndex":0},"citationItems":[{"id":4210,"uris":["http://zotero.org/users/88665/items/ST28ZT8U"],"uri":["http://zotero.org/users/88665/items/ST28ZT8U"],"itemData":{"id":4210,"type":"article-journal","abstract":"Mantle pyroxenite xenoliths were collected from Hannuoba, East China, and investigated for their H2O content and trace element contents, with particular regard to the H2O/Ce ratio. The pyroxenites were divided into three groups: Cr-pyroxenites, Al-pyroxenites, and garnet pyroxenites. The H2O contents and H2O/Ce ratios of the pyroxenites in this study showed much wider ranges than those previously reported for the whole rock pyroxenites. The Cr-pyroxenites had an H2O content ranging from 23 to 339 ppm and an H2O/Ce ratio between 32 and 212; the Al-pyroxenites had an H2O content ranging from 42 to 106 ppm and an H2O/Ce ratio between 1 and 22, and the garnet pyroxenites had an H2O content ranging from 37 to 69 ppm and an H2O/Ce ratio between 5 and 54. These systematic variations in the H2O contents and H2O/Ce ratios for the Hannuoba pyroxenites are associated with their origins. Both the H2O content and H2O/Ce ratio of the Al-pyroxenites were low compared to those of Hawaiian pyroxenite, enriched mantle, and depleted MORB mantle sources. The high H2O content and H2O/Ce ratio of the melt equilibrated with the Cr-pyroxenites indicate that a water-rich component was involved in its formation. Their large variations in the H2O contents and H2O/Ce ratios may indicate that pyroxenites are essential enriched components in the sources of continental basalts.","container-title":"Journal of Geophysical Research: Solid Earth","DOI":"10.1029/2018JB015854","ISSN":"2169-9356","issue":"7","language":"en","page":"5628-5643","source":"Wiley Online Library","title":"Variations in the H2O Content and H2O/Ce Ratio of Mantle Pyroxenites: Implications for Enriched Components in the Mantle","title-short":"Variations in the H2O Content and H2O/Ce Ratio of Mantle Pyroxenites","volume":"123","author":[{"family":"Hao","given":"Yan-Tao"},{"family":"Li","given":"Pei"},{"family":"Coltorti","given":"Massimo"},{"family":"Xia","given":"Qun-Ke"}],"issued":{"date-parts":[["2018"]]}}}],"schema":"https://github.com/citation-style-language/schema/raw/master/csl-citation.json"} </w:instrText>
      </w:r>
      <w:r w:rsidR="00F02D1F" w:rsidRPr="00812FBF">
        <w:fldChar w:fldCharType="separate"/>
      </w:r>
      <w:r w:rsidR="00636367">
        <w:t>(Hao et al., 2018)</w:t>
      </w:r>
      <w:r w:rsidR="00F02D1F" w:rsidRPr="00812FBF">
        <w:fldChar w:fldCharType="end"/>
      </w:r>
      <w:r>
        <w:t xml:space="preserve">. </w:t>
      </w:r>
      <w:r w:rsidRPr="009B315C">
        <w:rPr>
          <w:b/>
        </w:rPr>
        <w:t xml:space="preserve">Figure </w:t>
      </w:r>
      <w:r>
        <w:rPr>
          <w:b/>
        </w:rPr>
        <w:t>8</w:t>
      </w:r>
      <w:r w:rsidRPr="009B315C">
        <w:rPr>
          <w:b/>
        </w:rPr>
        <w:t>a</w:t>
      </w:r>
      <w:r>
        <w:t>)</w:t>
      </w:r>
      <w:r w:rsidR="00F02D1F">
        <w:t xml:space="preserve">. </w:t>
      </w:r>
      <w:r>
        <w:t>While very few published bulk F data exist for mantle pyroxenites</w:t>
      </w:r>
      <w:r w:rsidR="00351207">
        <w:t>,</w:t>
      </w:r>
      <w:r>
        <w:t xml:space="preserve"> we note that those forming veins at the SWIR have much lower concentrations of F (12-18 </w:t>
      </w:r>
      <w:r w:rsidR="00C5757D">
        <w:t>ppmw</w:t>
      </w:r>
      <w:r>
        <w:t xml:space="preserve">; Warren &amp; Hauri, 2014) than pyroxenites from </w:t>
      </w:r>
      <w:r w:rsidR="00956046">
        <w:t xml:space="preserve">the </w:t>
      </w:r>
      <w:r>
        <w:t>Antarctic</w:t>
      </w:r>
      <w:r w:rsidR="00956046">
        <w:t xml:space="preserve"> Peninsul</w:t>
      </w:r>
      <w:r>
        <w:t>a (</w:t>
      </w:r>
      <w:r w:rsidRPr="009B315C">
        <w:rPr>
          <w:b/>
        </w:rPr>
        <w:t xml:space="preserve">Figure </w:t>
      </w:r>
      <w:r>
        <w:rPr>
          <w:b/>
        </w:rPr>
        <w:t>8b</w:t>
      </w:r>
      <w:r>
        <w:t xml:space="preserve">). Our </w:t>
      </w:r>
      <w:r w:rsidRPr="009B315C">
        <w:t xml:space="preserve">estimates for </w:t>
      </w:r>
      <w:r w:rsidR="003D5A98">
        <w:t xml:space="preserve">Li in </w:t>
      </w:r>
      <w:r>
        <w:t xml:space="preserve">Antarctic Peninsula clinopyroxenites </w:t>
      </w:r>
      <w:r w:rsidR="003D5A98">
        <w:t xml:space="preserve">are low </w:t>
      </w:r>
      <w:r>
        <w:t>(</w:t>
      </w:r>
      <w:r w:rsidR="003505A0">
        <w:t>&lt;</w:t>
      </w:r>
      <w:r>
        <w:t>1.</w:t>
      </w:r>
      <w:r w:rsidR="003505A0">
        <w:t xml:space="preserve">7 </w:t>
      </w:r>
      <w:r w:rsidR="00C5757D">
        <w:t>ppmw</w:t>
      </w:r>
      <w:r>
        <w:t xml:space="preserve">) </w:t>
      </w:r>
      <w:r w:rsidR="003D5A98">
        <w:t>but</w:t>
      </w:r>
      <w:r>
        <w:t xml:space="preserve"> similar to those previously estimated for </w:t>
      </w:r>
      <w:r w:rsidR="003D5A98">
        <w:t xml:space="preserve">“off-craton” </w:t>
      </w:r>
      <w:r>
        <w:t xml:space="preserve">garnet websterites from the Chyulu Hills, Kenya </w:t>
      </w:r>
      <w:r>
        <w:fldChar w:fldCharType="begin"/>
      </w:r>
      <w:r w:rsidR="008E0CCC">
        <w:instrText xml:space="preserve"> ADDIN ZOTERO_ITEM CSL_CITATION {"citationID":"7BSxm1Ub","properties":{"formattedCitation":"(Seitz and Woodland, 2000)","plainCitation":"(Seitz and Woodland, 2000)","noteIndex":0},"citationItems":[{"id":4215,"uris":["http://zotero.org/users/88665/items/PV6X89EY"],"uri":["http://zotero.org/users/88665/items/PV6X89EY"],"itemData":{"id":4215,"type":"article-journal","abstract":"Lithium concentrations in orthopyroxene, clinopyroxene, olivine, garnet or spinel from equilibrated spinel peridotite, garnet peridotite and garnet pyroxenite xenoliths and from metasomatised peridotites and pyroxenites were measured using the ion-microprobe (SIMS). With respect to changes in physical and chemical parameters, we present new data on lithium contents in mantle minerals and its partitioning behaviour in (1) equilibrated and (2) metasomatised samples. Lithium is preferentially incorporated into olivine, ranging between 1 and 2 ppm in equilibrated unmetasomatised peridotites. Pyroxenes from peridotitic xenoliths have Li concentrations on the order of several hundred ppb up to 1.3 ppm, while pyroxenes from pyroxenites have somewhat higher abundances (1–3 ppm with a maximum of 19 ppm). The following partitioning relationships have been established: ol&gt;cpx≥opx</w:instrText>
      </w:r>
      <w:r w:rsidR="008E0CCC">
        <w:rPr>
          <w:rFonts w:ascii="Cambria Math" w:hAnsi="Cambria Math" w:cs="Cambria Math"/>
        </w:rPr>
        <w:instrText>≫</w:instrText>
      </w:r>
      <w:r w:rsidR="008E0CCC">
        <w:instrText xml:space="preserve">grt or sp for garnet and spinel peridotites, respectively, and cpx≥opx&gt;grt for garnet pyroxenites. The intercrystalline partitioning of Li is independent of T, P and bulk composition (for ultramafic to mafic compositions), making Li a suitable tracer element for chemical processes such as metasomatism. We estimate a bulk Li content of 1.0–1.5 ppm for fertile to moderately depleted lithospheric mantle. Low Li abundances in mantle peridotites and pyroxenites emphasise its incompatibility during partial melting and fractional crystallisation. However, elevated Li concentrations are present in some pyroxenites, presumably due to complete crystallisation of trapped partial melts. Metasomatised samples from peridotite massifs (Pyrenees and Ivrea Zone) and mantle nodules from two Victorian volcanic fields (Australia) clearly show enrichment of Li in both olivine and clinopyroxene, whereby the distribution of Li between olivine and clinopyroxene has generally not achieved equilibrium. Disequilibrium is manifested by preferential Li enrichment in either olivine or clinopyroxene depending on the type of metasomatic agent involved (carbonatite vs. mafic silicate melt). Differences in absolute Li abundances and in its partitioning behaviour allow the identification not only of metasomatic overprints, but also of magmatic processes such as partial melting, crystal fractionation and accumulation. The sensitivity of Li as such a chemical tracer gives an additional criterium for recognising cryptic metasomatism.","container-title":"Chemical Geology","DOI":"10.1016/S0009-2541(99)00184-9","ISSN":"0009-2541","issue":"1","journalAbbreviation":"Chemical Geology","page":"47-64","source":"ScienceDirect","title":"The distribution of lithium in peridotitic and pyroxenitic mantle lithologies — an indicator of magmatic and metasomatic processes","volume":"166","author":[{"family":"Seitz","given":"Hans-Michael"},{"family":"Woodland","given":"Alan B"}],"issued":{"date-parts":[["2000",5,1]]}}}],"schema":"https://github.com/citation-style-language/schema/raw/master/csl-citation.json"} </w:instrText>
      </w:r>
      <w:r>
        <w:fldChar w:fldCharType="separate"/>
      </w:r>
      <w:r w:rsidR="00636367">
        <w:t>(Seitz and Woodland, 2000)</w:t>
      </w:r>
      <w:r>
        <w:fldChar w:fldCharType="end"/>
      </w:r>
      <w:r>
        <w:t>.</w:t>
      </w:r>
    </w:p>
    <w:p w14:paraId="7E3824AE" w14:textId="77777777" w:rsidR="005D0400" w:rsidRDefault="005D0400" w:rsidP="00C20C0B">
      <w:pPr>
        <w:spacing w:line="480" w:lineRule="auto"/>
        <w:jc w:val="both"/>
      </w:pPr>
    </w:p>
    <w:p w14:paraId="06F86690" w14:textId="74730836" w:rsidR="005D0400" w:rsidRPr="009D37AD" w:rsidRDefault="00667591" w:rsidP="00C20C0B">
      <w:pPr>
        <w:pStyle w:val="Heading2"/>
        <w:numPr>
          <w:ilvl w:val="0"/>
          <w:numId w:val="26"/>
        </w:numPr>
        <w:spacing w:line="480" w:lineRule="auto"/>
        <w:ind w:left="360"/>
      </w:pPr>
      <w:r>
        <w:t>Mantle p</w:t>
      </w:r>
      <w:r w:rsidR="005D0400" w:rsidRPr="009D37AD">
        <w:rPr>
          <w:rFonts w:eastAsiaTheme="minorHAnsi"/>
          <w:lang w:eastAsia="en-US"/>
        </w:rPr>
        <w:t>yroxenites</w:t>
      </w:r>
      <w:r w:rsidR="005D0400">
        <w:t xml:space="preserve"> as major sources of </w:t>
      </w:r>
      <w:r w:rsidR="00EA65DE">
        <w:t xml:space="preserve">intraplate </w:t>
      </w:r>
      <w:r w:rsidR="005D0400">
        <w:t xml:space="preserve">volcanic </w:t>
      </w:r>
      <w:r w:rsidR="00EA65DE">
        <w:t xml:space="preserve">emissions of </w:t>
      </w:r>
      <w:r w:rsidR="005D0400">
        <w:t>H and F</w:t>
      </w:r>
      <w:r w:rsidR="009D7892">
        <w:t>?</w:t>
      </w:r>
    </w:p>
    <w:p w14:paraId="5175214A" w14:textId="647DA91D" w:rsidR="004F53A7" w:rsidRPr="00661AE1" w:rsidRDefault="004F53A7" w:rsidP="00C20C0B">
      <w:pPr>
        <w:spacing w:line="480" w:lineRule="auto"/>
        <w:ind w:firstLine="360"/>
        <w:jc w:val="both"/>
      </w:pPr>
      <w:r w:rsidRPr="00661AE1">
        <w:t>Pyroxenites occur in substantial amounts in mantle xenolith suites entrained by magmas of the alkali basalt-basanite-nephelinite-lamprophyre series in regions of continental extension</w:t>
      </w:r>
      <w:r>
        <w:t xml:space="preserve"> (e.g. Rio Grande, Baikal and East African rifts</w:t>
      </w:r>
      <w:r w:rsidR="008815A3">
        <w:t xml:space="preserve">; </w:t>
      </w:r>
      <w:r w:rsidR="008815A3" w:rsidRPr="00195AA8">
        <w:rPr>
          <w:b/>
        </w:rPr>
        <w:t>Figure 9</w:t>
      </w:r>
      <w:r>
        <w:t>)</w:t>
      </w:r>
      <w:r w:rsidRPr="00661AE1">
        <w:t xml:space="preserve">, continental margins (e.g. Antarctica </w:t>
      </w:r>
      <w:r w:rsidRPr="00661AE1">
        <w:lastRenderedPageBreak/>
        <w:t>and the Kamchatka arc)</w:t>
      </w:r>
      <w:r>
        <w:t>, oceanic settings (e.g. Hawaii)</w:t>
      </w:r>
      <w:r w:rsidRPr="00661AE1">
        <w:t xml:space="preserve"> and also in orogenic peridotite massifs </w:t>
      </w:r>
      <w:r w:rsidRPr="00C44395">
        <w:fldChar w:fldCharType="begin"/>
      </w:r>
      <w:r w:rsidR="00AF3D78">
        <w:instrText xml:space="preserve"> ADDIN ZOTERO_ITEM CSL_CITATION {"citationID":"LgFWWSYM","properties":{"formattedCitation":"(Menzies, 1983; Wilshire et al., 1988; Bodinier et al., 2008; Ashchepkov et al., 2011; Peslier and Bizimis, 2015; Schaffer et al., 2018)","plainCitation":"(Menzies, 1983; Wilshire et al., 1988; Bodinier et al., 2008; Ashchepkov et al., 2011; Peslier and Bizimis, 2015; Schaffer et al., 2018)","noteIndex":0},"citationItems":[{"id":3967,"uris":["http://zotero.org/users/88665/items/J3LRH42W"],"uri":["http://zotero.org/users/88665/items/J3LRH42W"],"itemData":{"id":3967,"type":"article-journal","abstract":"Lherzolite and harzburgite xenoliths preserve a complex history of depletion (Cr, Cu, Ni, etc.), but subsequent mantle enrichment (&amp;lt;500 m.y.) involving upward migration of LIL-enriched fluids from the garnet stability field accounts for the LREE enrichment in the majority of these inclusions. More recent (&amp;lt;&amp;lt;200 m.y.) metasomatic events are evident in the replacement of the original mineralogy by amphibole + or - mica + or - apatite, either as veins or interstitial phases. Migration and infiltration of fluids carrying K, REE, P, Th, U, etc. and volatile components (CO2, H2O, etc.) radically alter these xenoliths. Disruption and entrainment of these veined xenoliths may explain the ubiquitous association of megacryst suites in alkaline magmas. Pyroxenite xenoliths represent precipitates from basanitic silicate melts or CO2 (+ or -H2O)-rich carbonatitic fluids.-R.A.H.","archive":"Scopus","container-title":"Continental Basalts and Mantle Xenoliths, eds Hawkesworth C.J. &amp; Norry M.J., publ. Shiva, Nantwich","page":"92-110","source":"Scopus","title":"Mantle ultramafic xenoliths in alkaline magmas: evidence for mantle heterogeneity modified by magmatic activity.","title-short":"Mantle ultramafic xenoliths in alkaline magmas","author":[{"family":"Menzies","given":"M.A."}],"issued":{"date-parts":[["1983"]]}}},{"id":3965,"uris":["http://zotero.org/users/88665/items/YD46HR7J"],"uri":["http://zotero.org/users/88665/items/YD46HR7J"],"itemData":{"id":3965,"type":"book","abstract":"Mafic and ultramafic xenoliths in the Western United States are present in volcanic rocks ranging from lamprophyric to dacitic in composition and are found in every major tectonic province from the Coast Ranges in California to the Great Plains. Xenoliths from 68 localities are described here. Xenoliths in volcanic rocks in the Western United States are placed here in eight main groups: (1) accidental inclusions of crustal sedimentary, igneous, and metamorphic rocks; (2) gabbroids; (3) metagabbroids; (4) spinel peridotite, pyroxenite, and phlogopite-rich rocks of the Cr-diopside group; (5) spinel peridotite, pyroxenite, and amphibole-, and mica-rich rocks of the Al-augite group; (6) spinel peridotite and pyroxenite of the bottle-green pyroxene group; (7) spinel peridotite and pyroxenite of the feldspathic ultramafic group; and (8) peridotite and pyroxenite of the garnetiferous ultramafic group. Relative abundances of groups 2 through 8 vary from locality to\nlocality, but in general peridotite of group 4 is dominant, and all other types, including pyroxenites of group 4, are very subordinate in abundance.","collection-number":"1443","collection-title":"Professional Paper","ISBN":"10.3133/pp1443","number-of-pages":"179","publisher":"United States Geological Survey","source":"NASA ADS","title":"Mafic and ultramafic xenoliths from volcanic rocks of the western United States","author":[{"family":"Wilshire","given":"H. G."},{"family":"Meyer","given":"C. E."},{"family":"Nakata","given":"J. K."},{"family":"Calk","given":"L. C."},{"family":"Shervais","given":"J. W."},{"family":"Nielson","given":"J. E."},{"family":"Schwarzman","given":"E. C."}],"issued":{"date-parts":[["1988"]]}}},{"id":3943,"uris":["http://zotero.org/users/88665/items/I8HUKTLV"],"uri":["http://zotero.org/users/88665/items/I8HUKTLV"],"itemData":{"id":3943,"type":"article-journal","abstract":"Abstract.  The Ronda orogenic peridotite (southern Spain) contains a variety of pyroxene-rich rocks ranging from high-pressure garnet granulites and pyroxenites","container-title":"Journal of Petrology","DOI":"10.1093/petrology/egn014","ISSN":"0022-3530","issue":"5","journalAbbreviation":"Journal of Petrology","language":"en","page":"999-1025","source":"academic.oup.com","title":"Origin of pyroxenite–peridotite veined mantle by refertilization reactions: Evidence from the Ronda peridotite (Southern Spain)","title-short":"Origin of Pyroxenite–Peridotite Veined Mantle by Refertilization Reactions","volume":"49","author":[{"family":"Bodinier","given":"Jean-Louis"},{"family":"Garrido","given":"Carlos J."},{"family":"Chanefo","given":"Ingrid"},{"family":"Bruguier","given":"Olivier"},{"family":"Gervilla","given":"Fernando"}],"issued":{"date-parts":[["2008",5,1]]}}},{"id":3938,"uris":["http://zotero.org/users/88665/items/P8FC696E"],"uri":["http://zotero.org/users/88665/items/P8FC696E"],"itemData":{"id":3938,"type":"article-journal","abstract":"Picrite basalt tuffs and lavas from the Miocene basalt plateau of Vitim (Trans Baikal, Russia) contain abundant megacrysts and varied pyroxenite and mantle lherzolite xenoliths (spinel facies and upper part of the garnet-facies) and crustal cumulates. Black pyroxenites and megacrysts show decreasing temperatures from 1350 to 900°C, and range from high-T dark green websterites and clinopyroxenites, to low-T black megacrystalline garnet clinopyroxenites and phlogopite–ilmenite-bearing varieties. Garnet-bearing Cr-diopside veins and zoned veins with mica and rare amphiboles cross-cut peridotite xenoliths. Veins consisting of almost pure amphibole are more common in spinel lherzolite xenoliths. P–T calculations for pyroxenites yield pressure intervals at 3.3–2.3, 2.2–2.0, 1.9–1.5 and 1.3–1.0GPa, probably corresponding to the locations of dense magmatic vein networks in mantle. Major and trace elements for clinopyroxenes from the black megacrystalline series can be modeled by fractional crystallization of a picrite-basalt melt. In contrast, green high-temperature pyroxenites and black giant-grained garnet pyroxenites with lower LREE-enrichment and variable LILE and HFSE concentrations probably result from AFC processes and mixing with partial melts derived from older pyroxenites and peridotites. Gray low-Cr garnet clinopyroxenites with highly fractionated and inflected trace element patterns may have been formed by remelting of metasomatic veins within peridotites. Multistage melting of metasomatic assemblages with selective removal of clinopyroxene in vein contacts produce the REE patterns with low MREE concentrations and usually with elevated HFSE contents. Cr-diopside veins were most probably formed by partial melting of phlogopite- and/or amphibole-bearing lherzolites. The trace element and Sr–Nd isotopic features of the megacrystalline pyroxenites suggest that they crystallized from magma volumes that evolved in separate systems during formation of pre-eruption vein networks and magma chambers, which together formed the feeding system for the host basalts.","container-title":"Journal of Asian Earth Sciences","DOI":"10.1016/j.jseaes.2011.03.004","ISSN":"1367-9120","issue":"1","journalAbbreviation":"Journal of Asian Earth Sciences","page":"14-37","source":"ScienceDirect","title":"Pyroxenites and megacrysts from Vitim picrite-basalts (Russia): Polybaric fractionation of rising melts in the mantle?","title-short":"Pyroxenites and megacrysts from Vitim picrite-basalts (Russia)","volume":"42","author":[{"family":"Ashchepkov","given":"I. V."},{"family":"André","given":"L."},{"family":"Downes","given":"H."},{"family":"Belyatsky","given":"B. A."}],"issued":{"date-parts":[["2011",7,10]]}}},{"id":3647,"uris":["http://zotero.org/users/88665/items/VA7UGYMZ"],"uri":["http://zotero.org/users/88665/items/VA7UGYMZ"],"itemData":{"id":3647,"type":"article-journal","abstract":"The distribution of water concentrations in the oceanic upper mantle has drastic influence on its melting, rheology, and electrical and thermal conductivities and yet is primarily known indirectly from analyses of OIB and MORB. Here, actual mantle samples, eight peridotite xenoliths from Salt Lake Crater (SLC) and one from Pali in Oahu in Hawaii were analyzed by FTIR. Water contents of orthopyroxene, clinopyroxene, and the highest measured in olivine are 116–222, 246–442, and 10–26 ppm weight H2O, respectively. Although pyroxene water contents correlate with indices of partial melting, they are too high to be explained by simple melting modeling. Mantle-melt interaction modeling reproduces best the SLC data. These peridotites represent depleted oceanic mantle older than the Pacific lithosphere that has been refertilized by nephelinite melts containing &lt;5 weight % H2O. Metasomatism in the Hawaiian peridotites resulted in an apparent decoupling of water and LREE that can be reconciled via assimilation and fractional crystallization. Calculated bulk-rock water contents for SLC (50–96 ppm H2O) are on the low side of that of the MORB source (50–200 ppm H2O). Preceding metasomatism, the SLC peridotites must have been even drier, with a water content similar to that of the Pali peridotite (45 ppm H2O), a relatively unmetasomatized fragment of the Pacific lithosphere. Moreover, our data show that the oceanic mantle lithosphere above plumes is not necessarily enriched in water. Calculated viscosities using olivine water contents allow to estimate the depth of the lithosphere-asthenosphere boundary beneath Hawaii at </w:instrText>
      </w:r>
      <w:r w:rsidR="00AF3D78">
        <w:rPr>
          <w:rFonts w:ascii="Cambria Math" w:hAnsi="Cambria Math" w:cs="Cambria Math"/>
        </w:rPr>
        <w:instrText>∼</w:instrText>
      </w:r>
      <w:r w:rsidR="00AF3D78">
        <w:instrText>90 km.","container-title":"Geochemistry, Geophysics, Geosystems","DOI":"10.1002/2015GC005780","ISSN":"1525-2027","issue":"4","journalAbbreviation":"Geochemistry, Geophysics, Geosystems","language":"en","page":"1211-1232","source":"Wiley Online Library","title":"Water in Hawaiian peridotite minerals: A case for a dry metasomatized oceanic mantle lithosphere","title-short":"Water in Hawaiian peridotite minerals","volume":"16","author":[{"family":"Peslier","given":"Anne H."},{"family":"Bizimis","given":"Michael"}],"issued":{"date-parts":[["2015",4,1]]}}},{"id":3924,"uris":["http://zotero.org/users/88665/items/7AP93DLJ"],"uri":["http://zotero.org/users/88665/items/7AP93DLJ"],"itemData":{"id":3924,"type":"article-journal","abstract":"The distribution of water in the upper mantle plays a crucial role in the Earth's deep water cycle, magmatism, and plate tectonics. To better constrain how these large-scale geochemical systems operate, peridotite and pyroxenite mantle xenoliths from Kilbourne Hole (KH) and Rio Puerco (RP) along the Rio Grande Rift (NM, USA) were analyzed for water, and major and trace element contents. These xenoliths sample a lithosphere whose composition was influenced by subduction and rifting, and can be used to examine the effects of melting, metasomatism, and sub-solidus equilibration on the behavior of water. The first result is that in KH xenoliths, olivines underwent negligible H loss during xenolith ascent, i.e. preserved their mantle water contents. These olivine water contents are used to calculate mantle viscosities of 0.5-184 1021 Pa.s. These viscosity values are more than 40 times higher than those of the asthenosphere and show that KH peridotites represent samples from the lithosphere. The preservation of olivine water contents is exceptional for off-cratonic xenoliths, and the KH peridotites provide the first estimate of the average concentration of water in Phanerozoic continental mantle lithosphere at 81 ±30 ppm H2O. The mantle lithosphere beneath the Rio Grande rift is nevertheless heterogeneous with water contents ranging from &lt;0.5 to 120 ppm H2O in peridotites and from 227 to 400 ppm H2O in pyroxenites. A composite KH xenolith of a harzburgite cross-cut by a clinopyroxenite vein shows this heterogeneity at the cm scale. The second contribution of this study stems from the majority of the KH peridotites and two of the RP peridotites having major and trace elements that can be explained by partial melting without any need to invoke metasomatic processes. This allows to show that, prior to modelling the water content variation of each peridotite mineral during melting, a correction for sub-solidus equilibration has to be applied to the water contents of the minerals. Sub-solidus equilibration also provides an explanation for the discrepancy between the clinopyroxene/orthopyroxene ratio of water contents in natural peridotites worldwide and in laboratory experiments on water partitioning in peridotite minerals. Finally, the cryptically metasomatized peridotites, rare at KH and abundant at RP, as well as the pyroxenites, permit to decipher the origin and water contents of the metasomatic melts that affected the continental lithosphere beneath the Rio Grande Rift. Trace element modelling of the metasomatized KH and RP peridotites are consistent with metasomatism via melts that are of subduction origin. Melts in equilibrium with peridotites contain more water at RP (</w:instrText>
      </w:r>
      <w:r w:rsidR="00AF3D78">
        <w:rPr>
          <w:rFonts w:ascii="Cambria Math" w:hAnsi="Cambria Math" w:cs="Cambria Math"/>
        </w:rPr>
        <w:instrText>∼</w:instrText>
      </w:r>
      <w:r w:rsidR="00AF3D78">
        <w:instrText>1 wt % H2O) than at KH (</w:instrText>
      </w:r>
      <w:r w:rsidR="00AF3D78">
        <w:rPr>
          <w:rFonts w:ascii="Cambria Math" w:hAnsi="Cambria Math" w:cs="Cambria Math"/>
        </w:rPr>
        <w:instrText>∼</w:instrText>
      </w:r>
      <w:r w:rsidR="00AF3D78">
        <w:instrText xml:space="preserve">0.5 wt % H2O), although this did not result in a more water-rich mantle lithosphere at RP. Rio Puerco lies within the northern Rio Grande rift, proposed to have been affected by a flat slab subduction, which may explain the more hydrous and extensive metasomatism compared to the south, where KH is located.","container-title":"Geochimica et Cosmochimica Acta","DOI":"10.1016/j.gca.2018.10.005","ISSN":"0016-7037","journalAbbreviation":".10.1016/j.gca.2018.10.005","page":"10.1016/j.gca.2018.10.005","source":"ScienceDirect","title":"Effects of melting, subduction-related metasomatism, and sub-solidus equilibration on the distribution of water contents in the mantle beneath the Rio Grande Rift","author":[{"family":"Schaffer","given":"Lillian A."},{"family":"Peslier","given":"Anne H."},{"family":"Brandon","given":"Alan D."},{"family":"Bizimis","given":"Michael"},{"family":"Gibler","given":"Robert"},{"family":"Norman","given":"Marc"},{"family":"Harvey","given":"Jason"}],"issued":{"date-parts":[["2018",10,13]]}}}],"schema":"https://github.com/citation-style-language/schema/raw/master/csl-citation.json"} </w:instrText>
      </w:r>
      <w:r w:rsidRPr="00C44395">
        <w:fldChar w:fldCharType="separate"/>
      </w:r>
      <w:r w:rsidR="008B4F6D">
        <w:t>(Menzies, 1983; Wilshire et al., 1988; Bodinier et al., 2008; Ashchepkov et al., 2011; Peslier and Bizimis, 2015; Schaffer et al., 2018)</w:t>
      </w:r>
      <w:r w:rsidRPr="00C44395">
        <w:fldChar w:fldCharType="end"/>
      </w:r>
      <w:r w:rsidRPr="00661AE1">
        <w:t>. The</w:t>
      </w:r>
      <w:r w:rsidR="00956046">
        <w:t xml:space="preserve">y </w:t>
      </w:r>
      <w:r w:rsidR="008815A3">
        <w:t>occur</w:t>
      </w:r>
      <w:r w:rsidRPr="00661AE1">
        <w:t xml:space="preserve"> over a large depth interval in </w:t>
      </w:r>
      <w:r w:rsidR="008815A3">
        <w:t>“</w:t>
      </w:r>
      <w:r w:rsidRPr="00661AE1">
        <w:t>off-craton</w:t>
      </w:r>
      <w:r w:rsidR="008815A3">
        <w:t>”</w:t>
      </w:r>
      <w:r w:rsidRPr="00661AE1">
        <w:t xml:space="preserve"> lithospheric mantle and have been interpreted </w:t>
      </w:r>
      <w:r w:rsidR="00956046">
        <w:t>as</w:t>
      </w:r>
      <w:r w:rsidR="00956046" w:rsidRPr="00661AE1">
        <w:t xml:space="preserve"> ‘metasomatic cumulates’ </w:t>
      </w:r>
      <w:r w:rsidR="00956046">
        <w:t>that formed during</w:t>
      </w:r>
      <w:r w:rsidRPr="00661AE1">
        <w:t xml:space="preserve"> percolative fractional crystallisation </w:t>
      </w:r>
      <w:r w:rsidRPr="00C44395">
        <w:fldChar w:fldCharType="begin"/>
      </w:r>
      <w:r w:rsidR="008E0CCC">
        <w:instrText xml:space="preserve"> ADDIN ZOTERO_ITEM CSL_CITATION {"citationID":"yzYQm1cM","properties":{"formattedCitation":"(Harte et al., 1993)","plainCitation":"(Harte et al., 1993)","noteIndex":0},"citationItems":[{"id":2867,"uris":["http://zotero.org/users/88665/items/7QN9ZDQ3"],"uri":["http://zotero.org/users/88665/items/7QN9ZDQ3"],"itemData":{"id":2867,"type":"article-journal","abstract":"Consideration of theoretical, experimental and natural rock data show that basic-ultrabasic melt will disperse along mineral grain edges in olivine-rich mantle rock and thereby form a connected three-dimensional network throughout the rock even when present in only small (less than 1%) volumes. The viscosity of such melts will also allow small (less than 1-5%) volumes to move on appropriate geological timescales as a result of gravity-driven compaction. These features mean that small volume basic-ultrabasic melts are capable of infiltrating and metasomatizing mantle peridotites. Modally metasomatized mantle xenoliths are commonly closely associated with an array of dyke-like and vein injection phenomena. Textural, structural and modal characteristics of a wide array of mantle dykes, veins and metasomatic rocks suggest that such rocks have certain features in common with cumulates, and might usefully be distinguished as dyke cumulates and metasomatic infill cumulates. They represent partial crystal precipitates from melt flowing along channelways or pervasively through peridotite, and their bulk rock compositions provide poor guides to actual mantle melt compositions. The crystallization of the minerals in dykes/veins/metasomites causes differentiation of the melt by crystal fractionation processes, but at the same time the melt may maintain equilibrium with host rock phases (e.g. olivine) and chromatographic column or percolation effects will control the range of transport of different chemical components by the melt. These combined processes are referred to as percolative fractional crystallization. Data on the actual trace element compositions of melt in equilibrium with the minerals of mantle dykes/veins/metasomites are calculated from trace element analyses of the minerals by using partition coefficients. For a wide variety of metasomatic suites, the calculated melt compositions show a progression of trace element abundances from ones similar to primitive asthenospheric OIB-like compositions towards more incompatible element enriched compositions. Thus they support the hypothesis that fractional crystallization and percolative fractional crystallization processes operating upon initial primitive asthenospheric melts may yield melt compositions matching those necessary for wide varieties of mantle metasomatism. The differentiation of the melts and evolution of the metasomatic rocks proceed together. No evidence for the involvement of volatile-rich fluids distinct from melts has been found. The trace element compositions of many kimberlitic and lamproitic melts may also arise by processes of percolative fractional crystallization of initially primitive melts with OIB-like trace element compositions, as a result of flow through mantle peridotite.","container-title":"Philosophical Transactions of the Royal Society of London A: Mathematical, Physical and Engineering Sciences","DOI":"10.1098/rsta.1993.0001","ISSN":"0962-8428","issue":"1663","language":"en","note":"00113 \nConsideration of theoretical, experimental and natural rock data show that basic-ultrabasic melt will disperse along mineral grain edges in olivine-rich mantle rock and thereby form a connected three-dimensional network throughout the rock even when present in only small (less than 1%) volumes. The viscosity of such melts will also allow small (less than 1-5%) volumes to move on appropriate geological timescales as a result of gravity-driven compaction. These features mean that small volume basic-ultrabasic melts are capable of infiltrating and metasomatizing mantle peridotites. Modally metasomatized mantle xenoliths are commonly closely associated with an array of dyke-like and vein injection phenomena. Textural, structural and modal characteristics of a wide array of mantle dykes, veins and metasomatic rocks suggest that such rocks have certain features in common with cumulates, and might usefully be distinguished as dyke cumulates and metasomatic infill cumulates. They represent partial crystal precipitates from melt flowing along channelways or pervasively through peridotite, and their bulk rock compositions provide poor guides to actual mantle melt compositions. The crystallization of the minerals in dykes/veins/metasomites causes differentiation of the melt by crystal fractionation processes, but at the same time the melt may maintain equilibrium with host rock phases (e.g. olivine) and chromatographic column or percolation effects will control the range of transport of different chemical components by the melt. These combined processes are referred to as percolative fractional crystallization. Data on the actual trace element compositions of melt in equilibrium with the minerals of mantle dykes/veins/metasomites are calculated from trace element analyses of the minerals by using partition coefficients. For a wide variety of metasomatic suites, the calculated melt compositions show a progression of trace element abundances from ones similar to primitive asthenospheric OIB-like compositions towards more incompatible element enriched compositions. Thus they support the hypothesis that fractional crystallization and percolative fractional crystallization processes operating upon initial primitive asthenospheric melts may yield melt compositions matching those necessary for wide varieties of mantle metasomatism. The differentiation of the melts and evolution of the metasomatic rocks proceed together. No evidence for the involvement of volatile-rich fluids distinct from melts has been found. The trace element compositions of many kimberlitic and lamproitic melts may also arise by processes of percolative fractional crystallization of initially primitive melts with OIB-like trace element compositions, as a result of flow through mantle peridotite.","page":"1-21","source":"rsta.royalsocietypublishing.org","title":"Melt geometry, movement and crystallization, in relation to mantle dykes, veins and metasomatism","volume":"342","author":[{"family":"Harte","given":"B."},{"family":"Hunter","given":"R. H."},{"family":"Kinny","given":"P. D."}],"issued":{"date-parts":[["1993",1,15]]}}}],"schema":"https://github.com/citation-style-language/schema/raw/master/csl-citation.json"} </w:instrText>
      </w:r>
      <w:r w:rsidRPr="00C44395">
        <w:fldChar w:fldCharType="separate"/>
      </w:r>
      <w:r w:rsidR="00636367">
        <w:t>(Harte et al., 1993)</w:t>
      </w:r>
      <w:r w:rsidRPr="00C44395">
        <w:fldChar w:fldCharType="end"/>
      </w:r>
      <w:r w:rsidRPr="00661AE1">
        <w:t xml:space="preserve">. </w:t>
      </w:r>
      <w:r w:rsidR="001E6FDF">
        <w:t xml:space="preserve">Mantle </w:t>
      </w:r>
      <w:r w:rsidRPr="00661AE1">
        <w:t xml:space="preserve">xenoliths and exposures in orogenic peridotite massifs (e.g. Lherz, Ronda) </w:t>
      </w:r>
      <w:r w:rsidR="001E6FDF" w:rsidRPr="00195AA8">
        <w:t>indicate that the proportion of pyroxenites in the</w:t>
      </w:r>
      <w:r w:rsidR="001E6FDF">
        <w:t xml:space="preserve"> lithospheric mantle is sub-ordinate to peridotites but </w:t>
      </w:r>
      <w:r w:rsidRPr="00661AE1">
        <w:t xml:space="preserve">that </w:t>
      </w:r>
      <w:r>
        <w:t>the</w:t>
      </w:r>
      <w:r w:rsidR="001E6FDF">
        <w:t xml:space="preserve">y </w:t>
      </w:r>
      <w:r w:rsidRPr="00661AE1">
        <w:t>form pervasive networks</w:t>
      </w:r>
      <w:r>
        <w:t xml:space="preserve"> </w:t>
      </w:r>
      <w:r w:rsidRPr="004E4764">
        <w:fldChar w:fldCharType="begin"/>
      </w:r>
      <w:r w:rsidR="008E0CCC">
        <w:instrText xml:space="preserve"> ADDIN ZOTERO_ITEM CSL_CITATION {"citationID":"LpVLJlFO","properties":{"formattedCitation":"(Harte et al., 1993; Bodinier et al., 2008)","plainCitation":"(Harte et al., 1993; Bodinier et al., 2008)","noteIndex":0},"citationItems":[{"id":3943,"uris":["http://zotero.org/users/88665/items/I8HUKTLV"],"uri":["http://zotero.org/users/88665/items/I8HUKTLV"],"itemData":{"id":3943,"type":"article-journal","abstract":"Abstract.  The Ronda orogenic peridotite (southern Spain) contains a variety of pyroxene-rich rocks ranging from high-pressure garnet granulites and pyroxenites","container-title":"Journal of Petrology","DOI":"10.1093/petrology/egn014","ISSN":"0022-3530","issue":"5","journalAbbreviation":"Journal of Petrology","language":"en","page":"999-1025","source":"academic.oup.com","title":"Origin of pyroxenite–peridotite veined mantle by refertilization reactions: Evidence from the Ronda peridotite (Southern Spain)","title-short":"Origin of Pyroxenite–Peridotite Veined Mantle by Refertilization Reactions","volume":"49","author":[{"family":"Bodinier","given":"Jean-Louis"},{"family":"Garrido","given":"Carlos J."},{"family":"Chanefo","given":"Ingrid"},{"family":"Bruguier","given":"Olivier"},{"family":"Gervilla","given":"Fernando"}],"issued":{"date-parts":[["2008",5,1]]}}},{"id":2867,"uris":["http://zotero.org/users/88665/items/7QN9ZDQ3"],"uri":["http://zotero.org/users/88665/items/7QN9ZDQ3"],"itemData":{"id":2867,"type":"article-journal","abstract":"Consideration of theoretical, experimental and natural rock data show that basic-ultrabasic melt will disperse along mineral grain edges in olivine-rich mantle rock and thereby form a connected three-dimensional network throughout the rock even when present in only small (less than 1%) volumes. The viscosity of such melts will also allow small (less than 1-5%) volumes to move on appropriate geological timescales as a result of gravity-driven compaction. These features mean that small volume basic-ultrabasic melts are capable of infiltrating and metasomatizing mantle peridotites. Modally metasomatized mantle xenoliths are commonly closely associated with an array of dyke-like and vein injection phenomena. Textural, structural and modal characteristics of a wide array of mantle dykes, veins and metasomatic rocks suggest that such rocks have certain features in common with cumulates, and might usefully be distinguished as dyke cumulates and metasomatic infill cumulates. They represent partial crystal precipitates from melt flowing along channelways or pervasively through peridotite, and their bulk rock compositions provide poor guides to actual mantle melt compositions. The crystallization of the minerals in dykes/veins/metasomites causes differentiation of the melt by crystal fractionation processes, but at the same time the melt may maintain equilibrium with host rock phases (e.g. olivine) and chromatographic column or percolation effects will control the range of transport of different chemical components by the melt. These combined processes are referred to as percolative fractional crystallization. Data on the actual trace element compositions of melt in equilibrium with the minerals of mantle dykes/veins/metasomites are calculated from trace element analyses of the minerals by using partition coefficients. For a wide variety of metasomatic suites, the calculated melt compositions show a progression of trace element abundances from ones similar to primitive asthenospheric OIB-like compositions towards more incompatible element enriched compositions. Thus they support the hypothesis that fractional crystallization and percolative fractional crystallization processes operating upon initial primitive asthenospheric melts may yield melt compositions matching those necessary for wide varieties of mantle metasomatism. The differentiation of the melts and evolution of the metasomatic rocks proceed together. No evidence for the involvement of volatile-rich fluids distinct from melts has been found. The trace element compositions of many kimberlitic and lamproitic melts may also arise by processes of percolative fractional crystallization of initially primitive melts with OIB-like trace element compositions, as a result of flow through mantle peridotite.","container-title":"Philosophical Transactions of the Royal Society of London A: Mathematical, Physical and Engineering Sciences","DOI":"10.1098/rsta.1993.0001","ISSN":"0962-8428","issue":"1663","language":"en","note":"00113 \nConsideration of theoretical, experimental and natural rock data show that basic-ultrabasic melt will disperse along mineral grain edges in olivine-rich mantle rock and thereby form a connected three-dimensional network throughout the rock even when present in only small (less than 1%) volumes. The viscosity of such melts will also allow small (less than 1-5%) volumes to move on appropriate geological timescales as a result of gravity-driven compaction. These features mean that small volume basic-ultrabasic melts are capable of infiltrating and metasomatizing mantle peridotites. Modally metasomatized mantle xenoliths are commonly closely associated with an array of dyke-like and vein injection phenomena. Textural, structural and modal characteristics of a wide array of mantle dykes, veins and metasomatic rocks suggest that such rocks have certain features in common with cumulates, and might usefully be distinguished as dyke cumulates and metasomatic infill cumulates. They represent partial crystal precipitates from melt flowing along channelways or pervasively through peridotite, and their bulk rock compositions provide poor guides to actual mantle melt compositions. The crystallization of the minerals in dykes/veins/metasomites causes differentiation of the melt by crystal fractionation processes, but at the same time the melt may maintain equilibrium with host rock phases (e.g. olivine) and chromatographic column or percolation effects will control the range of transport of different chemical components by the melt. These combined processes are referred to as percolative fractional crystallization. Data on the actual trace element compositions of melt in equilibrium with the minerals of mantle dykes/veins/metasomites are calculated from trace element analyses of the minerals by using partition coefficients. For a wide variety of metasomatic suites, the calculated melt compositions show a progression of trace element abundances from ones similar to primitive asthenospheric OIB-like compositions towards more incompatible element enriched compositions. Thus they support the hypothesis that fractional crystallization and percolative fractional crystallization processes operating upon initial primitive asthenospheric melts may yield melt compositions matching those necessary for wide varieties of mantle metasomatism. The differentiation of the melts and evolution of the metasomatic rocks proceed together. No evidence for the involvement of volatile-rich fluids distinct from melts has been found. The trace element compositions of many kimberlitic and lamproitic melts may also arise by processes of percolative fractional crystallization of initially primitive melts with OIB-like trace element compositions, as a result of flow through mantle peridotite.","page":"1-21","source":"rsta.royalsocietypublishing.org","title":"Melt geometry, movement and crystallization, in relation to mantle dykes, veins and metasomatism","volume":"342","author":[{"family":"Harte","given":"B."},{"family":"Hunter","given":"R. H."},{"family":"Kinny","given":"P. D."}],"issued":{"date-parts":[["1993",1,15]]}}}],"schema":"https://github.com/citation-style-language/schema/raw/master/csl-citation.json"} </w:instrText>
      </w:r>
      <w:r w:rsidRPr="004E4764">
        <w:fldChar w:fldCharType="separate"/>
      </w:r>
      <w:r w:rsidR="00636367">
        <w:t>(Harte et al., 1993; Bodinier et al., 2008)</w:t>
      </w:r>
      <w:r w:rsidRPr="004E4764">
        <w:fldChar w:fldCharType="end"/>
      </w:r>
      <w:r>
        <w:t>. The</w:t>
      </w:r>
      <w:r w:rsidR="00B81149">
        <w:t xml:space="preserve">se pyroxenites typically </w:t>
      </w:r>
      <w:r w:rsidR="008815A3">
        <w:t>consist</w:t>
      </w:r>
      <w:r w:rsidR="00B81149">
        <w:t xml:space="preserve"> of </w:t>
      </w:r>
      <w:r w:rsidR="00956046">
        <w:t>Ti-Al augites</w:t>
      </w:r>
      <w:r w:rsidR="001E59BA">
        <w:t xml:space="preserve">, </w:t>
      </w:r>
      <w:r w:rsidR="00B60ECD">
        <w:t xml:space="preserve">whose </w:t>
      </w:r>
      <w:r w:rsidR="00956046">
        <w:t xml:space="preserve">major and trace element compositions </w:t>
      </w:r>
      <w:r w:rsidR="00B60ECD">
        <w:t xml:space="preserve">vary </w:t>
      </w:r>
      <w:r w:rsidR="001E59BA">
        <w:t>according to</w:t>
      </w:r>
      <w:r w:rsidR="00B60ECD">
        <w:t xml:space="preserve"> the nature and origin </w:t>
      </w:r>
      <w:r>
        <w:t>of the infiltrating melts</w:t>
      </w:r>
      <w:r w:rsidR="00B60ECD">
        <w:t>. The main governing controls</w:t>
      </w:r>
      <w:r w:rsidR="00CF47ED">
        <w:t xml:space="preserve"> </w:t>
      </w:r>
      <w:r w:rsidR="00B60ECD">
        <w:t>of the compositions of the</w:t>
      </w:r>
      <w:r w:rsidR="00216A67">
        <w:t>se melts</w:t>
      </w:r>
      <w:r w:rsidR="00B60ECD">
        <w:t xml:space="preserve"> are</w:t>
      </w:r>
      <w:r w:rsidR="00CF47ED">
        <w:t>:</w:t>
      </w:r>
      <w:r>
        <w:t xml:space="preserve"> (i) the </w:t>
      </w:r>
      <w:r w:rsidRPr="009226F3">
        <w:rPr>
          <w:i/>
        </w:rPr>
        <w:t>P</w:t>
      </w:r>
      <w:r>
        <w:t xml:space="preserve"> and </w:t>
      </w:r>
      <w:r w:rsidRPr="009226F3">
        <w:rPr>
          <w:i/>
        </w:rPr>
        <w:t>T</w:t>
      </w:r>
      <w:r>
        <w:t xml:space="preserve"> of melting in the underlying </w:t>
      </w:r>
      <w:r w:rsidR="00CF47ED">
        <w:t xml:space="preserve">convecting </w:t>
      </w:r>
      <w:r>
        <w:t>mantle</w:t>
      </w:r>
      <w:r w:rsidR="008815A3">
        <w:t xml:space="preserve"> source region</w:t>
      </w:r>
      <w:r w:rsidR="00CF47ED">
        <w:t>;</w:t>
      </w:r>
      <w:r>
        <w:t xml:space="preserve"> and (ii) crystallisation of other </w:t>
      </w:r>
      <w:r w:rsidR="00CF47ED">
        <w:t xml:space="preserve">mantle </w:t>
      </w:r>
      <w:r>
        <w:t xml:space="preserve">phases, such as olivine, orthopyroxene, garnet, spinel, phlogopite and amphibole. </w:t>
      </w:r>
      <w:r w:rsidR="00667591">
        <w:t>T</w:t>
      </w:r>
      <w:r w:rsidRPr="00C326CE">
        <w:t>he high bulk-rock volatile contents of pyroxenites from the Antarctic Peninsula (</w:t>
      </w:r>
      <w:r>
        <w:t>H</w:t>
      </w:r>
      <w:r w:rsidR="00BD056B" w:rsidRPr="009D37AD">
        <w:rPr>
          <w:vertAlign w:val="subscript"/>
        </w:rPr>
        <w:t>2</w:t>
      </w:r>
      <w:r w:rsidR="00BD056B">
        <w:t>O</w:t>
      </w:r>
      <w:r>
        <w:t>=2</w:t>
      </w:r>
      <w:r w:rsidR="00BD056B">
        <w:t>00-317</w:t>
      </w:r>
      <w:r>
        <w:t xml:space="preserve"> </w:t>
      </w:r>
      <w:r w:rsidR="00C5757D">
        <w:t>ppmw</w:t>
      </w:r>
      <w:r>
        <w:t>, F=</w:t>
      </w:r>
      <w:r w:rsidR="003505A0">
        <w:t>40</w:t>
      </w:r>
      <w:r w:rsidR="00667591">
        <w:t>-</w:t>
      </w:r>
      <w:r w:rsidR="003505A0">
        <w:t xml:space="preserve">126 </w:t>
      </w:r>
      <w:r w:rsidR="00C5757D">
        <w:t>ppmw</w:t>
      </w:r>
      <w:r w:rsidR="006A1F93">
        <w:t>;</w:t>
      </w:r>
      <w:r>
        <w:t xml:space="preserve"> </w:t>
      </w:r>
      <w:r w:rsidRPr="00C326CE">
        <w:t>this study)</w:t>
      </w:r>
      <w:r>
        <w:t>,</w:t>
      </w:r>
      <w:r w:rsidRPr="00C326CE">
        <w:t xml:space="preserve"> Kilbourne Hole in the southern Rio Grande Rift (</w:t>
      </w:r>
      <w:r w:rsidR="007F6A5D">
        <w:t>H</w:t>
      </w:r>
      <w:r w:rsidR="007F6A5D" w:rsidRPr="00457F2A">
        <w:rPr>
          <w:vertAlign w:val="subscript"/>
        </w:rPr>
        <w:t>2</w:t>
      </w:r>
      <w:r w:rsidR="007F6A5D">
        <w:t>O</w:t>
      </w:r>
      <w:r w:rsidR="007F6A5D" w:rsidRPr="00C326CE" w:rsidDel="007F6A5D">
        <w:t xml:space="preserve"> </w:t>
      </w:r>
      <w:r w:rsidRPr="00C326CE">
        <w:t xml:space="preserve">= 200-350 </w:t>
      </w:r>
      <w:r w:rsidR="00C5757D">
        <w:t>ppmw</w:t>
      </w:r>
      <w:r w:rsidRPr="00C326CE">
        <w:t xml:space="preserve">; </w:t>
      </w:r>
      <w:r w:rsidRPr="00853E0B">
        <w:fldChar w:fldCharType="begin"/>
      </w:r>
      <w:r w:rsidR="008E0CCC">
        <w:instrText xml:space="preserve"> ADDIN ZOTERO_ITEM CSL_CITATION {"citationID":"bOH03ixz","properties":{"formattedCitation":"(Schaffer et al., 2018)","plainCitation":"(Schaffer et al., 2018)","noteIndex":0},"citationItems":[{"id":3924,"uris":["http://zotero.org/users/88665/items/7AP93DLJ"],"uri":["http://zotero.org/users/88665/items/7AP93DLJ"],"itemData":{"id":3924,"type":"article-journal","abstract":"The distribution of water in the upper mantle plays a crucial role in the Earth's deep water cycle, magmatism, and plate tectonics. To better constrain how these large-scale geochemical systems operate, peridotite and pyroxenite mantle xenoliths from Kilbourne Hole (KH) and Rio Puerco (RP) along the Rio Grande Rift (NM, USA) were analyzed for water, and major and trace element contents. These xenoliths sample a lithosphere whose composition was influenced by subduction and rifting, and can be used to examine the effects of melting, metasomatism, and sub-solidus equilibration on the behavior of water. The first result is that in KH xenoliths, olivines underwent negligible H loss during xenolith ascent, i.e. preserved their mantle water contents. These olivine water contents are used to calculate mantle viscosities of 0.5-184 1021 Pa.s. These viscosity values are more than 40 times higher than those of the asthenosphere and show that KH peridotites represent samples from the lithosphere. The preservation of olivine water contents is exceptional for off-cratonic xenoliths, and the KH peridotites provide the first estimate of the average concentration of water in Phanerozoic continental mantle lithosphere at 81 ±30 ppm H2O. The mantle lithosphere beneath the Rio Grande rift is nevertheless heterogeneous with water contents ranging from &lt;0.5 to 120 ppm H2O in peridotites and from 227 to 400 ppm H2O in pyroxenites. A composite KH xenolith of a harzburgite cross-cut by a clinopyroxenite vein shows this heterogeneity at the cm scale. The second contribution of this study stems from the majority of the KH peridotites and two of the RP peridotites having major and trace elements that can be explained by partial melting without any need to invoke metasomatic processes. This allows to show that, prior to modelling the water content variation of each peridotite mineral during melting, a correction for sub-solidus equilibration has to be applied to the water contents of the minerals. Sub-solidus equilibration also provides an explanation for the discrepancy between the clinopyroxene/orthopyroxene ratio of water contents in natural peridotites worldwide and in laboratory experiments on water partitioning in peridotite minerals. Finally, the cryptically metasomatized peridotites, rare at KH and abundant at RP, as well as the pyroxenites, permit to decipher the origin and water contents of the metasomatic melts that affected the continental lithosphere beneath the Rio Grande Rift. Trace element modelling of the metasomatized KH and RP peridotites are consistent with metasomatism via melts that are of subduction origin. Melts in equilibrium with peridotites contain more water at RP (</w:instrText>
      </w:r>
      <w:r w:rsidR="008E0CCC">
        <w:rPr>
          <w:rFonts w:ascii="Cambria Math" w:hAnsi="Cambria Math" w:cs="Cambria Math"/>
        </w:rPr>
        <w:instrText>∼</w:instrText>
      </w:r>
      <w:r w:rsidR="008E0CCC">
        <w:instrText>1 wt % H2O) than at KH (</w:instrText>
      </w:r>
      <w:r w:rsidR="008E0CCC">
        <w:rPr>
          <w:rFonts w:ascii="Cambria Math" w:hAnsi="Cambria Math" w:cs="Cambria Math"/>
        </w:rPr>
        <w:instrText>∼</w:instrText>
      </w:r>
      <w:r w:rsidR="008E0CCC">
        <w:instrText xml:space="preserve">0.5 wt % H2O), although this did not result in a more water-rich mantle lithosphere at RP. Rio Puerco lies within the northern Rio Grande rift, proposed to have been affected by a flat slab subduction, which may explain the more hydrous and extensive metasomatism compared to the south, where KH is located.","container-title":"Geochimica et Cosmochimica Acta","DOI":"10.1016/j.gca.2018.10.005","ISSN":"0016-7037","journalAbbreviation":".10.1016/j.gca.2018.10.005","page":"10.1016/j.gca.2018.10.005","source":"ScienceDirect","title":"Effects of melting, subduction-related metasomatism, and sub-solidus equilibration on the distribution of water contents in the mantle beneath the Rio Grande Rift","author":[{"family":"Schaffer","given":"Lillian A."},{"family":"Peslier","given":"Anne H."},{"family":"Brandon","given":"Alan D."},{"family":"Bizimis","given":"Michael"},{"family":"Gibler","given":"Robert"},{"family":"Norman","given":"Marc"},{"family":"Harvey","given":"Jason"}],"issued":{"date-parts":[["2018",10,13]]}}}],"schema":"https://github.com/citation-style-language/schema/raw/master/csl-citation.json"} </w:instrText>
      </w:r>
      <w:r w:rsidRPr="00853E0B">
        <w:fldChar w:fldCharType="separate"/>
      </w:r>
      <w:r w:rsidR="00636367">
        <w:t>(Schaffer et al., 2018)</w:t>
      </w:r>
      <w:r w:rsidRPr="00853E0B">
        <w:fldChar w:fldCharType="end"/>
      </w:r>
      <w:r>
        <w:t xml:space="preserve">, Salt Lake Crater, </w:t>
      </w:r>
      <w:r w:rsidRPr="00BF7DA8">
        <w:t>Oahu, Hawaii</w:t>
      </w:r>
      <w:r w:rsidR="00BF7DA8">
        <w:t xml:space="preserve"> (206 – 462 </w:t>
      </w:r>
      <w:r w:rsidR="00C5757D">
        <w:t>ppmw</w:t>
      </w:r>
      <w:r w:rsidR="00BF7DA8">
        <w:t xml:space="preserve">; </w:t>
      </w:r>
      <w:r>
        <w:fldChar w:fldCharType="begin"/>
      </w:r>
      <w:r w:rsidR="008E0CCC">
        <w:instrText xml:space="preserve"> ADDIN ZOTERO_ITEM CSL_CITATION {"citationID":"CMMHzmve","properties":{"formattedCitation":"(Bizimis and Peslier, 2015)","plainCitation":"(Bizimis and Peslier, 2015)","noteIndex":0},"citationItems":[{"id":3162,"uris":["http://zotero.org/users/88665/items/2VGDK5GX"],"uri":["http://zotero.org/users/88665/items/2VGDK5GX"],"itemData":{"id":3162,"type":"article-journal","abstract":"Mapping the compositional variability of the Earth's mantle is fundamental for understanding mantle dynamics, crustal recycling and melt generation. The geochemistry of intraplate oceanic basalts in particular points to a heterogeneous convecting mantle, often explained by variable proportions of fertile (pyroxenite, eclogite) and depleted (peridotitic) domains. A key parameter necessary to constrain the Earth's deep processes is water because it influences melting and affects the physical properties of the Earth's mantle. However, there are only a few direct water determinations on samples of the oceanic mantle. Here we report water concentrations by FTIR on garnet pyroxenite xenoliths from Salt Lake Crater vent, Oahu, Hawaii, in order to constrain the role of lithological variability in the distribution of water in the upper oceanic mantle. The clinopyroxenes have 260 to 576 ppm H2O and the orthopyroxenes about half these amounts. Curiously, garnets have water concentrations below detection limits (&amp;lt; 0.5 ppm H2O). Calculated melts in equilibrium with the pyroxenes have, on average, 2.3 ± 0.4 wt.% H2O and 243 ± 83 H2O/Ce. These H2O concentrations are similar to estimates for the H2O concentration of primary magmas of the rejuvenated Hawaiian stage volcanism, and 3 to 5 times higher than primary magmas of the shield stage. This supports earlier conclusions where the pyroxenites are interpreted as high pressure cumulates from alkali magmas similar to the rejuvenated stage magmas within the Pacific lithosphere. The reconstructed bulk pyroxenites have 211 to 467 ppm H2O, similar to estimates for the source of Hawaiian magmas and two to four times higher than estimates for the depleted MORB source (~ 100 ppm H2O). Despite their high water concentrations, however, the bulk pyroxenites have much lower H2O/Ce ratios than the MORB source (35–115 vs. 150–210, respectively) or Hawaiian magma sources (&amp;gt; 160). The discrepancy between the low H2O/Ce ratios in the bulk pyroxenites and high H2O/Ce in the equilibrium melts is consistent with experimental data that predicts 4 to 5 times higher partition coefficient for Ce than H in these pyroxenes. Therefore, the process of high-pressure crystallization in the oceanic lithosphere will create pyroxene-rich lithologies which are paradoxically, both “wet” (i.e., high H2O concentrations) and “dry” (low H2O/Ce ratios) compared to the source of their parental melts. Phlogopite is present as a trace phase in these rocks (&amp;lt; 0.4% modal) with relatively minor contribution on the bulk water contents. The coupled high H2O, low H2O/Ce ratios of the pyroxenites are similar to the inferred source of several Enriched Mantle (EM)-type Ocean Island Basalts (OIB), like the Samoa, Pitcairn, Society, and Kergulen hot spots, as well as the EM-1 type Koolau endmember of the Hawaiian magmas. We suggest that recycling of pyroxenite-bearing oceanic lithosphere can explain the relatively high H2O and low H2O/Ce ratios of some EM-type OIB. Our data suggests a link between lithological variability and heterogeneous water distribution in the upper mantle.","container-title":"Chemical Geology","DOI":"10.1016/j.chemgeo.2015.01.008","ISSN":"0009-2541","journalAbbreviation":"Chemical Geology","note":"00019","page":"61-75","source":"ScienceDirect","title":"Water in Hawaiian garnet pyroxenites: Implications for water heterogeneity in the mantle","title-short":"Water in Hawaiian garnet pyroxenites","volume":"397","author":[{"family":"Bizimis","given":"Michael"},{"family":"Peslier","given":"Anne H."}],"issued":{"date-parts":[["2015",3,18]]}}}],"schema":"https://github.com/citation-style-language/schema/raw/master/csl-citation.json"} </w:instrText>
      </w:r>
      <w:r>
        <w:fldChar w:fldCharType="separate"/>
      </w:r>
      <w:r w:rsidR="00636367">
        <w:t>(Bizimis and Peslier, 2015)</w:t>
      </w:r>
      <w:r>
        <w:fldChar w:fldCharType="end"/>
      </w:r>
      <w:r>
        <w:t xml:space="preserve"> and the SWIR (</w:t>
      </w:r>
      <w:r w:rsidR="007F6A5D">
        <w:t>H</w:t>
      </w:r>
      <w:r w:rsidR="007F6A5D" w:rsidRPr="00457F2A">
        <w:rPr>
          <w:vertAlign w:val="subscript"/>
        </w:rPr>
        <w:t>2</w:t>
      </w:r>
      <w:r w:rsidR="007F6A5D">
        <w:t>O</w:t>
      </w:r>
      <w:r w:rsidR="007F6A5D" w:rsidDel="007F6A5D">
        <w:t xml:space="preserve"> </w:t>
      </w:r>
      <w:r>
        <w:t>= 36-220</w:t>
      </w:r>
      <w:r w:rsidR="00CF47ED">
        <w:t xml:space="preserve"> </w:t>
      </w:r>
      <w:r w:rsidR="00C5757D">
        <w:t>ppmw</w:t>
      </w:r>
      <w:r>
        <w:t>; Warren &amp; Hauri, 2014)</w:t>
      </w:r>
      <w:r w:rsidR="00667591">
        <w:t xml:space="preserve"> imply that they formed prior to significant fractionation of </w:t>
      </w:r>
      <w:r w:rsidR="001E6FDF">
        <w:t xml:space="preserve">volatile-bearing phases, such as </w:t>
      </w:r>
      <w:r w:rsidR="00667591">
        <w:t>phlogopite or amphibole</w:t>
      </w:r>
      <w:r>
        <w:t>.</w:t>
      </w:r>
    </w:p>
    <w:p w14:paraId="20236487" w14:textId="510E7AA9" w:rsidR="00161531" w:rsidRDefault="00A37673" w:rsidP="00C20C0B">
      <w:pPr>
        <w:widowControl w:val="0"/>
        <w:autoSpaceDE w:val="0"/>
        <w:autoSpaceDN w:val="0"/>
        <w:adjustRightInd w:val="0"/>
        <w:spacing w:line="480" w:lineRule="auto"/>
        <w:ind w:left="-90" w:firstLine="450"/>
        <w:jc w:val="both"/>
      </w:pPr>
      <w:r>
        <w:t>M</w:t>
      </w:r>
      <w:r w:rsidR="004F53A7">
        <w:t xml:space="preserve">ajor </w:t>
      </w:r>
      <w:r>
        <w:t>extension</w:t>
      </w:r>
      <w:r w:rsidR="004F53A7">
        <w:t xml:space="preserve"> and heating events</w:t>
      </w:r>
      <w:r w:rsidR="00FE6F29">
        <w:t>, such as those associated with the formation of Large Igneous Provinces,</w:t>
      </w:r>
      <w:r>
        <w:t xml:space="preserve"> preferentially </w:t>
      </w:r>
      <w:r w:rsidRPr="00661AE1">
        <w:t xml:space="preserve">exploit pre-existing </w:t>
      </w:r>
      <w:r w:rsidR="00351207">
        <w:t xml:space="preserve">lithospheric </w:t>
      </w:r>
      <w:r w:rsidRPr="00661AE1">
        <w:t>thinspots or weak zones</w:t>
      </w:r>
      <w:r w:rsidR="00E46E8A">
        <w:t xml:space="preserve"> (</w:t>
      </w:r>
      <w:r w:rsidR="00E46E8A" w:rsidRPr="00195AA8">
        <w:rPr>
          <w:b/>
        </w:rPr>
        <w:t>Figure 9</w:t>
      </w:r>
      <w:r w:rsidR="00E46E8A">
        <w:t>)</w:t>
      </w:r>
      <w:r w:rsidR="00A51A60">
        <w:t>; these are typically</w:t>
      </w:r>
      <w:r w:rsidRPr="00661AE1">
        <w:t xml:space="preserve"> </w:t>
      </w:r>
      <w:r w:rsidR="00A51A60">
        <w:t xml:space="preserve">located at the junction </w:t>
      </w:r>
      <w:r>
        <w:t xml:space="preserve">of </w:t>
      </w:r>
      <w:r w:rsidR="00224F99">
        <w:t>“</w:t>
      </w:r>
      <w:r w:rsidR="00A51A60">
        <w:t>cratonic</w:t>
      </w:r>
      <w:r w:rsidR="00224F99">
        <w:t>”</w:t>
      </w:r>
      <w:r w:rsidR="00A51A60">
        <w:t xml:space="preserve"> and </w:t>
      </w:r>
      <w:r w:rsidR="00224F99">
        <w:t>“</w:t>
      </w:r>
      <w:r w:rsidR="00A51A60">
        <w:t>off-craton</w:t>
      </w:r>
      <w:r w:rsidR="00224F99">
        <w:t>”</w:t>
      </w:r>
      <w:r w:rsidR="00A51A60">
        <w:t xml:space="preserve"> continental lithosphere </w:t>
      </w:r>
      <w:r w:rsidRPr="004E4764">
        <w:fldChar w:fldCharType="begin"/>
      </w:r>
      <w:r w:rsidR="008E0CCC">
        <w:instrText xml:space="preserve"> ADDIN ZOTERO_ITEM CSL_CITATION {"citationID":"TdVVEMmt","properties":{"formattedCitation":"(Thompson and Gibson, 1991; Thompson and Gibson, 1994)","plainCitation":"(Thompson and Gibson, 1991; Thompson and Gibson, 1994)","noteIndex":0},"citationItems":[{"id":3959,"uris":["http://zotero.org/users/88665/items/H4HQUFM7"],"uri":["http://zotero.org/users/88665/items/H4HQUFM7"],"itemData":{"id":3959,"type":"article-journal","abstract":"Studies of magmatism associated with continental rifting have traditionally focused only on volcanism within the downfaulted axial zone and along its immediate flanks. Teleseismic travel-time delay studies during the last decade have confirmed the results of earlier gravity surveys of rifted areas, showing that thinning at the base of the continental lithosphere occurs throughout a zone up to about 10 times wider than the physiographic expression of the rift. It is, therefore, logical to consider rifting-related magmatism on the same scale. Potential sources of mafic magmas in rift zones are the thinned subcontinental lithospheric mantle (SCLM), the convecting mantle beneath the continental plate and mixtures of the two. Detailed elemental and radiogenic isotope geochemical studies show that, during the initial extension of continental rifts, the associated mafic magmatism tends to be: (1) relatively sodic and from predominantly convecting mantle sources at the rift axis; (2) relatively potassic and from predominantly lithospheric mantle sources at the margins of the thinned-plate zone. This underlying geochemical pattern is obscured in many instances by such processes as crustal contamination and magma mixing within open-system reservoirs. The mafic ultrapotassic component that provides a distinctive input to SCLM-source magmas appears to be largely fusible at temperatures well below the dry solidus of SCLM; so that, in some cases, prolonged magmatism at a site causes removal of most or all of the potassic lithosphere-source melt (as mafic ultrapotassic magmas or as a contribution to mixed-source melts) without destruction of that lithosphere segment as a geophysically defined unit. Such a zone of refractory lithosphere permits subsequent, recognisable, convecting mantle source melts to penetrate it and reach the surface. These principles are illustrated by discussion of the Neogene-Quaternary magmatism of the Rio Grande, East African, Rhine and Baikal rifts, in the context of the most recent published models of their geophysical structures to depths &gt; 200 km. Teleseismic and gravity studies identify lithospheric thinning beneath the Rio Grande, East African and Baikal rifts across zones 700–800 km wide. The failure of the southern Rhine graben to show a similar deep seismic structure may be a result of efficient buoyant migration of low-viscosity mafic alkalic melt out of the underlying mantle during the 7 Ma period since magmatism ceased, causing seismically defined asthenosphere to revert to lithosphere. A 700 km geochemical traverse across the Rio Grande rift at ~ 37°N, focusing on Oligocene-Miocene magmatism minimally affected by post-genesis processes, shows a clear symmetrical pattern of relatively sodic volcanics at the rift axis and mafic, ultrapotassic magmatism on its outer flanks. The geochemistry of these contrasting magma types is consistent with the view that they originated predominantly within the convecting mantle and SCLM, respectively. The same geochemical pattern is detectable in the volcanism within the equatorial segment of the East African rift system but it is complicated in two zones: east of the Gregory rift and southwest of Lake Kivu, by the effects of previous Cretaceous-Palaeogene magmatism. Limited, published, appropriate, geochemical data show that regional compositional variation in the volcanics associated with the Baikal rift appear to fit the pattern proposed here as a general model for rifting-related magmatism.","container-title":"Tectonophysics","DOI":"10.1016/0040-1951(94)90219-4","ISSN":"0040-1951","issue":"1","journalAbbreviation":"Tectonophysics","page":"41-68","source":"ScienceDirect","title":"Magmatic expression of lithospheric thinning across continental rifts","volume":"233","author":[{"family":"Thompson","given":"R. N."},{"family":"Gibson","given":"S. A."}],"issued":{"date-parts":[["1994",5,15]]}}},{"id":3961,"uris":["http://zotero.org/users/88665/items/ZGT6B67N"],"uri":["http://zotero.org/users/88665/items/ZGT6B67N"],"itemData":{"id":3961,"type":"article-journal","abstract":"Skip to Next Section\nThe magmatism occurring when a hot convective mantle plume is sited beneath a lithospheric plate may be more complex if the latter is continental, rather than oceanic, because of the characteristic local physical inhomogeneity of continents. Thus, the surface volcanic expression of the plume (hotspot) may be displaced from immediately above its rising stem, if the continent has been previously locally thinned nearby. The magmatism of the British Tertiary Igneous Province and Parana basin, South America, appears to fit this model, and it may also explain why the Miocene Columbia River basalts of the NW United States overlie an Early Tertiary sedimentary basin.","container-title":"Journal of the Geological Society","DOI":"10.1144/gsjgs.148.6.0973","ISSN":"0016-7649, 2041-479X","issue":"6","language":"en","page":"973-977","source":"jgs.lyellcollection.org","title":"Subcontinental mantle plumes, hotspots and pre-existing thinspots","volume":"148","author":[{"family":"Thompson","given":"R. N."},{"family":"Gibson","given":"Sally A."}],"issued":{"date-parts":[["1991",11,1]]}}}],"schema":"https://github.com/citation-style-language/schema/raw/master/csl-citation.json"} </w:instrText>
      </w:r>
      <w:r w:rsidRPr="004E4764">
        <w:fldChar w:fldCharType="separate"/>
      </w:r>
      <w:r w:rsidR="00636367">
        <w:t>(Thompson and Gibson, 1991; Thompson and Gibson, 1994)</w:t>
      </w:r>
      <w:r w:rsidRPr="004E4764">
        <w:fldChar w:fldCharType="end"/>
      </w:r>
      <w:r w:rsidR="00A51A60">
        <w:t>. A</w:t>
      </w:r>
      <w:r w:rsidR="004F53A7" w:rsidRPr="0006668F">
        <w:t xml:space="preserve">ccording to Cogley (1984) a </w:t>
      </w:r>
      <w:r w:rsidR="00A51A60">
        <w:t xml:space="preserve">total </w:t>
      </w:r>
      <w:r w:rsidR="004F53A7" w:rsidRPr="0006668F">
        <w:t>surface area of 39 x 10</w:t>
      </w:r>
      <w:r w:rsidR="004F53A7" w:rsidRPr="009D37AD">
        <w:rPr>
          <w:vertAlign w:val="superscript"/>
        </w:rPr>
        <w:t>6</w:t>
      </w:r>
      <w:r w:rsidR="004F53A7" w:rsidRPr="0006668F">
        <w:t xml:space="preserve"> km</w:t>
      </w:r>
      <w:r w:rsidR="004F53A7" w:rsidRPr="009226F3">
        <w:rPr>
          <w:vertAlign w:val="superscript"/>
        </w:rPr>
        <w:t>2</w:t>
      </w:r>
      <w:r w:rsidR="004F53A7" w:rsidRPr="0006668F">
        <w:t xml:space="preserve"> of </w:t>
      </w:r>
      <w:r w:rsidR="005B1030">
        <w:t xml:space="preserve">Earth’s </w:t>
      </w:r>
      <w:r w:rsidR="004F53A7" w:rsidRPr="0006668F">
        <w:t>continental lithosphere has been dynamically thinned.</w:t>
      </w:r>
      <w:r w:rsidR="004F53A7" w:rsidRPr="00661AE1">
        <w:t xml:space="preserve"> </w:t>
      </w:r>
      <w:r w:rsidR="008B4F6D">
        <w:t>M</w:t>
      </w:r>
      <w:r w:rsidR="00412552">
        <w:t xml:space="preserve">etasomatised </w:t>
      </w:r>
      <w:r>
        <w:t xml:space="preserve">lithospheric mantle will be particularly susceptible to melting during these </w:t>
      </w:r>
      <w:r w:rsidR="008B4F6D">
        <w:t xml:space="preserve">major </w:t>
      </w:r>
      <w:r>
        <w:t>events and r</w:t>
      </w:r>
      <w:r w:rsidR="004F53A7" w:rsidRPr="00661AE1">
        <w:t xml:space="preserve">e-mobilisation of volatiles is likely to </w:t>
      </w:r>
      <w:r w:rsidR="004F53A7">
        <w:t xml:space="preserve">have </w:t>
      </w:r>
      <w:r w:rsidR="004F53A7" w:rsidRPr="00661AE1">
        <w:t>be</w:t>
      </w:r>
      <w:r w:rsidR="004F53A7">
        <w:t xml:space="preserve">en </w:t>
      </w:r>
      <w:r w:rsidR="004F53A7">
        <w:lastRenderedPageBreak/>
        <w:t>significant over the course of geological time</w:t>
      </w:r>
      <w:r>
        <w:t xml:space="preserve">, </w:t>
      </w:r>
      <w:r w:rsidR="00224F99">
        <w:t xml:space="preserve">and </w:t>
      </w:r>
      <w:r>
        <w:t>especially</w:t>
      </w:r>
      <w:r w:rsidR="004F53A7" w:rsidRPr="00661AE1">
        <w:t xml:space="preserve"> extensive in</w:t>
      </w:r>
      <w:r w:rsidR="004F53A7">
        <w:t xml:space="preserve"> </w:t>
      </w:r>
      <w:r w:rsidR="00224F99">
        <w:t>“</w:t>
      </w:r>
      <w:r w:rsidR="004F53A7">
        <w:t>off-craton</w:t>
      </w:r>
      <w:r w:rsidR="00224F99">
        <w:t>”</w:t>
      </w:r>
      <w:r w:rsidR="004F53A7">
        <w:t xml:space="preserve"> mantle </w:t>
      </w:r>
      <w:r w:rsidR="004F53A7">
        <w:fldChar w:fldCharType="begin"/>
      </w:r>
      <w:r w:rsidR="008E0CCC">
        <w:instrText xml:space="preserve"> ADDIN ZOTERO_ITEM CSL_CITATION {"citationID":"CMb0JPIu","properties":{"formattedCitation":"(Gibson et al., 1993; Thompson and Gibson, 1994; Gibson et al., 1995; Gibson et al., 2006)","plainCitation":"(Gibson et al., 1993; Thompson and Gibson, 1994; Gibson et al., 1995; Gibson et al., 2006)","noteIndex":0},"citationItems":[{"id":1015,"uris":["http://zotero.org/users/88665/items/9G5QRWP8"],"uri":["http://zotero.org/users/88665/items/9G5QRWP8"],"itemData":{"id":1015,"type":"article-journal","abstract":"We have determined high-precision 40Ar/39Ar ages for alkaline igneous rocks from the western margin of the Early-Cretaceous Paraná–Etendeka large igneous province (Paraguay). These show that small-fraction melt generation occurred beneath the region in two phases; at 145 Ma and 127.5 Ma, i.e. before and at the end of the 139–127.5 Ma Paraná–Etendeka flood-basalt eruptions. Previously published 40Ar/39Ar ages for alkaline igneous rocks on the proto-Atlantic coastal margins range from 134 to 128 Ma and indicate that small-fraction melt generation in the east of the province was either synchronous or slightly later than the main pulse of tholeiitic volcanism (between 134 and 132 Ma). Our new 40Ar/39Ar phlogopite ages confirm that: (i) the earliest melts associated with the initial impact of the Tristan plume were generated in the west of the Paraná–Etendeka large igneous province and (ii) igneous activity was long lived and immediately predates continental break-up.\n\nThe Early-Cretaceous Paraguayan alkaline magmas are silica-undersaturated, enriched in incompatible-trace elements, have very-low initial εNd values and probably represent melts of phlogopite-bearing, carbonate-metasomatised peridotite in the subcontinental lithospheric mantle. Our simple one-dimensional, conductive-heating models suggest that the early-phase (145 Ma) alkaline magmas were emplaced on the margins of the Rio de La Plata craton at the time of sublithospheric impact of the proto-Tristan plume. The late phase (127.5 Ma) of Paraguayan alkaline magmatism is concentrated in an intra-cratonic rift zone and melt generation appears to have been triggered by lithospheric extension, perhaps facilitated by conductive heating and thermal weakening associated with the upwelling Tristan plume.\n\nThe location and timing of both alkaline and tholeiitic melt generation in the Paraná–Etendeka province appear to have been significantly influenced by the non-uniform composition and thickness of the South American and south-west African lithosphere. The long duration of Paraná–Etendeka magmatism (17 Myr) relative to other Phanerozoic large igneous provinces (e.g. Siberia, Karoo, and Deccan) may be an artefact of the limited available high-precision age data for CFB-related alkaline igneous rocks.","container-title":"Earth and Planetary Science Letters","DOI":"10.1016/j.epsl.2006.08.004","ISSN":"0012-821X","issue":"1-2","journalAbbreviation":"Earth and Planetary Science Letters","page":"1-17","source":"ScienceDirect","title":"Timescales and mechanisms of plume–lithosphere interactions: 40Ar/39Ar geochronology and geochemistry of alkaline igneous rocks from the Paraná–Etendeka Large Igneous Province","title-short":"Timescales and mechanisms of plume–lithosphere interactions","volume":"251","author":[{"family":"Gibson","given":"S.A."},{"family":"Thompson","given":"R.N."},{"family":"Day","given":"J.A."}],"issued":{"date-parts":[["2006",11,15]]}}},{"id":1024,"uris":["http://zotero.org/users/88665/items/2DRR6TKU"],"uri":["http://zotero.org/users/88665/items/2DRR6TKU"],"itemData":{"id":1024,"type":"article-journal","abstract":"The role of mantle plumes in the genesis of continental flood-basalts (CFB) remains controversial, primarily due to our limited knowledge of the composition of the subcontinental lithospheric mantle (SCLM). In this study we use the widespread Cretaceous mafic potassic magmatic rocks, emplaced around the margins of the Paranásedimentary basin, to probe large-scale compositional variations of the SCLM beneath southern Brazil and Paraguay. On the basis of Ti contents, together with major-, trace-element and isotopic ratios, these mafic potassic rocks may be subdivided into high-Ti and low-Ti groups. The former have relatively high average TiO2 (4.64), CaO/Al2O3 (1.74) and 143Nd/144Ndi (0.51232), together with low La/Nb (1.1) and 87Sr/86Sri (0.7050). The latter are characterised by much lower average TiO2 (1.77), CaO/Al2O3 (0.72) and 143Nd/144Ndi (0.51182), together with higher La/Nb (2.01) and 87Sr86Sri (0.7068). These high-Ti and low-Ti groups are spatially separate and their distribution correlates with tectonic setting; the low-Ti magmas are associated with cratonic regions, whereas the high-Ti magmas are in Proterozoic mobile belts.\n\nThe distribution of the subgroups of mafic potassic magmatic rocks correlates closely with the geochemical provinciality of the Early Cretaceous high-Ti and low-Ti Paranáflood-basalts. This is the first reported occurrence of extensive low-Ti mafic potassic magmatism associated both spatially and temporally with the low-Ti region of a major CFB province. Our study further reveals similar relationships between tectonic setting and the geochemical provinciality of mafic potassic magmas and continental flood-basalts across Gondwana. We use the bulk-rock compositions and radiogenic isotopic ratios of both the high-Ti and low-Ti mafic potassic magmatic rocks as end members in models of CFB genesis. Mixing calculations involving Sr and Nd isotopic ratios indicate that the flood-basalts may contain up to 50% of mafic potassic lithosphere-derived melts. Overall, the results of our geochemical modelling agree with geophysical arguments that the convecting asthenosphere is the predominant source of CFB magmas.","container-title":"Earth and Planetary Science Letters","DOI":"10.1016/0012-821X(95)00179-G","ISSN":"0012-821X","issue":"3-4","journalAbbreviation":"Earth and Planetary Science Letters","note":"00143","page":"149-165","source":"ScienceDirect","title":"High-Ti and low-Ti mafic potassic magmas: Key to plume-lithosphere interactions and continental flood-basalt genesis","title-short":"High-Ti and low-Ti mafic potassic magmas","volume":"136","author":[{"family":"Gibson","given":"S.A."},{"family":"Thompson","given":"R.N."},{"family":"Dickin","given":"A.P."},{"family":"Leonardos","given":"O.H."}],"issued":{"date-parts":[["1995",12]]}}},{"id":3025,"uris":["http://zotero.org/users/88665/items/7WQCW559"],"uri":["http://zotero.org/users/88665/items/7WQCW559"],"itemData":{"id":3025,"type":"article-journal","abstract":"Recent theoretical studies of rift tectonics have concluded that their observed geophysical features, require that (1) extension affects a much wider zone of the underlying lithospheric mantle than the crust; (2) early extension involves a comparatively wide zone that narrows with time. The Neogene evolution of the segment of the Rio Grande rift between the Great Plains and Colorado Plateau shows this theoretical pattern clearly. The width of the crustal extension zone narrowed from ˜170 km in the Oligo-Miocene to ˜50 km in the Pliocene. In contrast, both gravity and teleseismic studies indicate that the current width of the zone of thinned lithospheric mantle (β = 2−3) beneath the rift is ˜750 km.To assess the contributions of lithosphere- and asthenosphere-derived melts to the magmatism\nassociated with the early phase of development of the Rio Grande rift, we have undertaken a 670-km geochemical traverse of Oligo-Miocene volcanism between latitudes 36 and 38°N. Our section is centered on the present-day axis of the rift in the Espanola Basin. It extends from the Navajo volcanic field, Arizona, to Two Buttes, SE Colorado, and intersects hypabyssal intrusions on the rift shoulders at Dulce, west of the rift, and Spanish Peaks to the east. We have sampled a diverse range of magma types that vary in composition from ultrapotassic to Hy- and Ne-normative basalts. A geochemical profile along this traverse shows a spatially symmetrical variation in element and oxide ratios, such as Na2O/K2O and Ba/Nb, and also in Sr and Nd isotope ratios. On the rift flanks and shoulders Oligo-Miocene volcanism was dominated by K-rich mafic magmatism, whereas at the rift axis tholeiitic and alkalic basalts with whole-rock compositions similar to those of ocean-island basalts (OIB) were erupted. This symmetrical geochemical variation broadly parallels the corresponding teleseismic lithosphere thickness profile and is a mirror image of the gravity profile.We interpret the OIB-type magmas at the rift axis as predominantly asthenosphere-derived melts. These suggest that mantle upwelling, and melting by decompression, were occurring during the early development of the Rio Grande rift The symmetrical variation of incompatible elements and isotope ratios in rocks about the rift axis suggests that the sources of the K-rich mafic magmas on the stable flanks and shoulders of the rift are not directly related to the subduction of the Farallon plate: an asymmetric process. Instead, we propose that the K-rich mafic magmas on the flanks and shoulders of the Rio Grande rift are derived from the melting of a metasomatized layer in the lithospheric mantle during extension.","container-title":"Journal of Petrology","DOI":"10.1093/petrology/34.1.187","issue":"1","journalAbbreviation":"Journal of Petrology","note":"00083","page":"187-228","title":"Ultrapotassic magmas along the flanks of the Oligo-Miocene Rio Grande Rift, USA: Monitors of the zone of lithospheric mantle extension and thinning beneath a continental rift","volume":"34","author":[{"family":"Gibson","given":"S.A."},{"family":"Thompson","given":"R. N."},{"family":"Leat","given":"P. T."},{"family":"Morrison","given":"M. A."},{"family":"Hendry","given":"G. L."},{"family":"Dickin","given":"A. P."},{"family":"Mitchell","given":"J. G."}],"issued":{"date-parts":[["1993",2,1]]}}},{"id":3959,"uris":["http://zotero.org/users/88665/items/H4HQUFM7"],"uri":["http://zotero.org/users/88665/items/H4HQUFM7"],"itemData":{"id":3959,"type":"article-journal","abstract":"Studies of magmatism associated with continental rifting have traditionally focused only on volcanism within the downfaulted axial zone and along its immediate flanks. Teleseismic travel-time delay studies during the last decade have confirmed the results of earlier gravity surveys of rifted areas, showing that thinning at the base of the continental lithosphere occurs throughout a zone up to about 10 times wider than the physiographic expression of the rift. It is, therefore, logical to consider rifting-related magmatism on the same scale. Potential sources of mafic magmas in rift zones are the thinned subcontinental lithospheric mantle (SCLM), the convecting mantle beneath the continental plate and mixtures of the two. Detailed elemental and radiogenic isotope geochemical studies show that, during the initial extension of continental rifts, the associated mafic magmatism tends to be: (1) relatively sodic and from predominantly convecting mantle sources at the rift axis; (2) relatively potassic and from predominantly lithospheric mantle sources at the margins of the thinned-plate zone. This underlying geochemical pattern is obscured in many instances by such processes as crustal contamination and magma mixing within open-system reservoirs. The mafic ultrapotassic component that provides a distinctive input to SCLM-source magmas appears to be largely fusible at temperatures well below the dry solidus of SCLM; so that, in some cases, prolonged magmatism at a site causes removal of most or all of the potassic lithosphere-source melt (as mafic ultrapotassic magmas or as a contribution to mixed-source melts) without destruction of that lithosphere segment as a geophysically defined unit. Such a zone of refractory lithosphere permits subsequent, recognisable, convecting mantle source melts to penetrate it and reach the surface. These principles are illustrated by discussion of the Neogene-Quaternary magmatism of the Rio Grande, East African, Rhine and Baikal rifts, in the context of the most recent published models of their geophysical structures to depths &gt; 200 km. Teleseismic and gravity studies identify lithospheric thinning beneath the Rio Grande, East African and Baikal rifts across zones 700–800 km wide. The failure of the southern Rhine graben to show a similar deep seismic structure may be a result of efficient buoyant migration of low-viscosity mafic alkalic melt out of the underlying mantle during the 7 Ma period since magmatism ceased, causing seismically defined asthenosphere to revert to lithosphere. A 700 km geochemical traverse across the Rio Grande rift at ~ 37°N, focusing on Oligocene-Miocene magmatism minimally affected by post-genesis processes, shows a clear symmetrical pattern of relatively sodic volcanics at the rift axis and mafic, ultrapotassic magmatism on its outer flanks. The geochemistry of these contrasting magma types is consistent with the view that they originated predominantly within the convecting mantle and SCLM, respectively. The same geochemical pattern is detectable in the volcanism within the equatorial segment of the East African rift system but it is complicated in two zones: east of the Gregory rift and southwest of Lake Kivu, by the effects of previous Cretaceous-Palaeogene magmatism. Limited, published, appropriate, geochemical data show that regional compositional variation in the volcanics associated with the Baikal rift appear to fit the pattern proposed here as a general model for rifting-related magmatism.","container-title":"Tectonophysics","DOI":"10.1016/0040-1951(94)90219-4","ISSN":"0040-1951","issue":"1","journalAbbreviation":"Tectonophysics","page":"41-68","source":"ScienceDirect","title":"Magmatic expression of lithospheric thinning across continental rifts","volume":"233","author":[{"family":"Thompson","given":"R. N."},{"family":"Gibson","given":"S. A."}],"issued":{"date-parts":[["1994",5,15]]}}}],"schema":"https://github.com/citation-style-language/schema/raw/master/csl-citation.json"} </w:instrText>
      </w:r>
      <w:r w:rsidR="004F53A7">
        <w:fldChar w:fldCharType="separate"/>
      </w:r>
      <w:r w:rsidR="00636367">
        <w:t>(Gibson et al., 1993; Thompson and Gibson, 1994; Gibson et al., 1995; Gibson et al., 2006)</w:t>
      </w:r>
      <w:r w:rsidR="004F53A7">
        <w:fldChar w:fldCharType="end"/>
      </w:r>
      <w:r w:rsidR="00023D18">
        <w:t>.</w:t>
      </w:r>
      <w:r w:rsidR="004F53A7">
        <w:t xml:space="preserve"> </w:t>
      </w:r>
      <w:r w:rsidR="00B526BC">
        <w:t xml:space="preserve"> </w:t>
      </w:r>
    </w:p>
    <w:p w14:paraId="5CCD45DC" w14:textId="04E0BDB4" w:rsidR="009D37AD" w:rsidRDefault="007E7F20" w:rsidP="00C20C0B">
      <w:pPr>
        <w:widowControl w:val="0"/>
        <w:autoSpaceDE w:val="0"/>
        <w:autoSpaceDN w:val="0"/>
        <w:adjustRightInd w:val="0"/>
        <w:spacing w:line="480" w:lineRule="auto"/>
        <w:ind w:left="-90" w:firstLine="450"/>
        <w:jc w:val="both"/>
      </w:pPr>
      <w:r>
        <w:t>As we have shown above, the</w:t>
      </w:r>
      <w:r w:rsidR="00B526BC">
        <w:t xml:space="preserve"> </w:t>
      </w:r>
      <w:r>
        <w:t>concentrations of H</w:t>
      </w:r>
      <w:r w:rsidRPr="009226F3">
        <w:rPr>
          <w:vertAlign w:val="subscript"/>
        </w:rPr>
        <w:t>2</w:t>
      </w:r>
      <w:r>
        <w:t>O and F</w:t>
      </w:r>
      <w:r w:rsidR="00B526BC">
        <w:t xml:space="preserve"> </w:t>
      </w:r>
      <w:r>
        <w:t>in</w:t>
      </w:r>
      <w:r w:rsidR="00B526BC">
        <w:t xml:space="preserve"> pyroxenite veins </w:t>
      </w:r>
      <w:r w:rsidR="006432D9">
        <w:t xml:space="preserve">are </w:t>
      </w:r>
      <w:r>
        <w:t>much</w:t>
      </w:r>
      <w:r w:rsidR="00B526BC">
        <w:t xml:space="preserve"> greater than </w:t>
      </w:r>
      <w:r>
        <w:t>for peridotite</w:t>
      </w:r>
      <w:r w:rsidR="003505A0">
        <w:t xml:space="preserve"> but t</w:t>
      </w:r>
      <w:r>
        <w:t xml:space="preserve">he </w:t>
      </w:r>
      <w:r w:rsidR="003505A0">
        <w:t xml:space="preserve">precise </w:t>
      </w:r>
      <w:r>
        <w:t xml:space="preserve">concentrations </w:t>
      </w:r>
      <w:r w:rsidR="003505A0">
        <w:t xml:space="preserve">of </w:t>
      </w:r>
      <w:r w:rsidR="006432D9">
        <w:t xml:space="preserve">magmas </w:t>
      </w:r>
      <w:r>
        <w:t xml:space="preserve">derived from these different source </w:t>
      </w:r>
      <w:r w:rsidR="003505A0">
        <w:t xml:space="preserve">lithologies </w:t>
      </w:r>
      <w:r>
        <w:t xml:space="preserve">will </w:t>
      </w:r>
      <w:r w:rsidR="003505A0">
        <w:t xml:space="preserve">also </w:t>
      </w:r>
      <w:r>
        <w:t xml:space="preserve">be a function of the amount of melting. </w:t>
      </w:r>
      <w:r w:rsidR="00605FAF">
        <w:t>P</w:t>
      </w:r>
      <w:r w:rsidR="004F53A7">
        <w:t>yroxenite</w:t>
      </w:r>
      <w:r w:rsidR="003505A0">
        <w:t>s are believed to contribute to the generation of low-degree alkaline mantle melts</w:t>
      </w:r>
      <w:r w:rsidR="004F53A7">
        <w:t xml:space="preserve"> </w:t>
      </w:r>
      <w:r w:rsidR="003505A0">
        <w:t xml:space="preserve">that form </w:t>
      </w:r>
      <w:r w:rsidR="004F53A7">
        <w:t xml:space="preserve">during small amounts of extension </w:t>
      </w:r>
      <w:r w:rsidR="003505A0">
        <w:t xml:space="preserve">or heating </w:t>
      </w:r>
      <w:r w:rsidR="004F53A7">
        <w:t xml:space="preserve">of </w:t>
      </w:r>
      <w:r>
        <w:t>“</w:t>
      </w:r>
      <w:r w:rsidR="004F53A7">
        <w:t>off-craton</w:t>
      </w:r>
      <w:r>
        <w:t>”</w:t>
      </w:r>
      <w:r w:rsidR="004F53A7">
        <w:t xml:space="preserve"> lithosphere</w:t>
      </w:r>
      <w:r w:rsidR="003505A0">
        <w:t xml:space="preserve"> (</w:t>
      </w:r>
      <w:r w:rsidR="003505A0" w:rsidRPr="00195AA8">
        <w:rPr>
          <w:b/>
        </w:rPr>
        <w:t>Figure 9</w:t>
      </w:r>
      <w:r w:rsidR="003505A0">
        <w:t xml:space="preserve">). Examples of these are found in the Western Branch of the East African Rift. We note that </w:t>
      </w:r>
      <w:r w:rsidR="008E0CCC">
        <w:t xml:space="preserve">at Nyamuragira volcano, </w:t>
      </w:r>
      <w:r w:rsidR="00BC383A">
        <w:t xml:space="preserve">high-MgO (13.5 </w:t>
      </w:r>
      <w:r w:rsidR="009A266F">
        <w:t>wt.%</w:t>
      </w:r>
      <w:r w:rsidR="00BC383A">
        <w:t>) glassy melt inclusions trapped within olivine</w:t>
      </w:r>
      <w:r w:rsidR="008E0CCC">
        <w:t>,</w:t>
      </w:r>
      <w:r w:rsidR="00BC383A">
        <w:t xml:space="preserve"> as well as </w:t>
      </w:r>
      <w:r w:rsidR="008E0CCC">
        <w:t>the gas compositions of volcanic plume</w:t>
      </w:r>
      <w:r w:rsidR="00BC383A">
        <w:t>s above and downstream of the</w:t>
      </w:r>
      <w:r w:rsidR="008E0CCC">
        <w:t xml:space="preserve"> vent,</w:t>
      </w:r>
      <w:r w:rsidR="00BC383A">
        <w:t xml:space="preserve"> </w:t>
      </w:r>
      <w:r w:rsidR="00E91CFE">
        <w:t>have</w:t>
      </w:r>
      <w:r w:rsidR="004F53A7">
        <w:t xml:space="preserve"> high levels of F (795 </w:t>
      </w:r>
      <w:r w:rsidR="00C5757D">
        <w:t>ppmw</w:t>
      </w:r>
      <w:r w:rsidR="004F53A7">
        <w:t>) and TiO</w:t>
      </w:r>
      <w:r w:rsidR="004F53A7" w:rsidRPr="009226F3">
        <w:rPr>
          <w:vertAlign w:val="subscript"/>
        </w:rPr>
        <w:t>2</w:t>
      </w:r>
      <w:r w:rsidR="004F53A7">
        <w:t xml:space="preserve"> (3.36 </w:t>
      </w:r>
      <w:r w:rsidR="009A266F">
        <w:t>wt.%</w:t>
      </w:r>
      <w:r w:rsidR="00E91CFE">
        <w:t>;</w:t>
      </w:r>
      <w:r w:rsidR="004F53A7">
        <w:t xml:space="preserve"> </w:t>
      </w:r>
      <w:r w:rsidR="004F53A7">
        <w:fldChar w:fldCharType="begin"/>
      </w:r>
      <w:r w:rsidR="008E0CCC">
        <w:instrText xml:space="preserve"> ADDIN ZOTERO_ITEM CSL_CITATION {"citationID":"dprJVNyn","properties":{"formattedCitation":"(Head et al., 2011; Cuoco et al., 2013)","plainCitation":"(Head et al., 2011; Cuoco et al., 2013)","noteIndex":0},"citationItems":[{"id":2937,"uris":["http://zotero.org/users/88665/items/WDXHQ4K8"],"uri":["http://zotero.org/users/88665/items/WDXHQ4K8"],"itemData":{"id":2937,"type":"article-journal","abstract":"On January 2, 2010 the Nyamuragira volcano erupted lava fountains extending up to 300 m vertically along an ~1.5 km segment of its southern flank cascading ash and gas on nearby villages and cities along the western side of the rift valley. Because rain water is the only available potable water resource within this region, volcanic impacts on drinking water constitutes a major potential hazard to public health within the region. During the 2010 eruption, concerns were expressed by local inhabitants about water quality and feelings of physical discomfort (e.g. nausea, bloating, indigestion, etc.) after consuming rain water collected after the eruption began. We present the elemental and ionic chemistry of drinking water samples collected within the region on the third day of the eruption (January 5, 2010). We identify a significant impact on water quality associated with the eruption including lower pH (i.e. acidification) and increases in acidic halogens (e.g. F(-) and Cl(-)), major ions (e.g. SO(4)(2-), NH(4)(+), Na(+), Ca(2+)), potentially toxic metals (e.g. Al(3+), Mn(2+), Cd(2+), Pb(2+), Hf(4+)), and particulate load. In many cases, the water's composition significantly exceeds World Health Organization (WHO) drinking water standards. The degree of pollution depends upon: (1) ash plume direction and (2) ash plume density. The potential negative health impacts are a function of the water's pH, which regulates the elements and their chemical form that are released into drinking water.","container-title":"Journal of Hazardous Materials","DOI":"10.1016/j.jhazmat.2012.10.055","ISSN":"1873-3336","journalAbbreviation":"Journal of Hazardous Materials","language":"eng","note":"00012 \nPMID: 23177273","page":"570-581","source":"PubMed","title":"Impact of volcanic plume emissions on rain water chemistry during the January 2010 Nyamuragira eruptive event: implications for essential potable water resources","title-short":"Impact of volcanic plume emissions on rain water chemistry during the January 2010 Nyamuragira eruptive event","volume":"244-245","author":[{"family":"Cuoco","given":"Emilio"},{"family":"Tedesco","given":"Dario"},{"family":"Poreda","given":"Robert J."},{"family":"Williams","given":"Jeremy C."},{"family":"De Francesco","given":"Stefano"},{"family":"Balagizi","given":"Charles"},{"family":"Darrah","given":"Thomas H."}],"issued":{"date-parts":[["2013",1,15]]}}},{"id":2562,"uris":["http://zotero.org/users/88665/items/4H36VNP7"],"uri":["http://zotero.org/users/88665/items/4H36VNP7"],"itemData":{"id":2562,"type":"article-journal","container-title":"Geochemistry Geophysics Geosystems","DOI":"10.1029/2011GC003699","note":"00020","page":"10.1029/2011GC003699","title":"Insight into volatile behavior at Nyamuragira Volcano (D.R. Congo, Africa) through olivine-hosted melt inclusions","author":[{"family":"Head","given":"E."},{"family":"Shaw","given":"A."},{"family":"Wallace","given":"P."},{"family":"Sims","given":"Ken"},{"family":"Carn","given":"S."}],"issued":{"date-parts":[["2011",10,4]]}}}],"schema":"https://github.com/citation-style-language/schema/raw/master/csl-citation.json"} </w:instrText>
      </w:r>
      <w:r w:rsidR="004F53A7">
        <w:fldChar w:fldCharType="separate"/>
      </w:r>
      <w:r w:rsidR="00636367">
        <w:t>(Head et al., 2011; Cuoco et al., 2013)</w:t>
      </w:r>
      <w:r w:rsidR="004F53A7">
        <w:fldChar w:fldCharType="end"/>
      </w:r>
      <w:r w:rsidR="004F53A7">
        <w:t xml:space="preserve">. </w:t>
      </w:r>
      <w:r w:rsidR="003505A0">
        <w:t xml:space="preserve">Much greater </w:t>
      </w:r>
      <w:r w:rsidR="00D6394A">
        <w:t>amounts of melting are involved i</w:t>
      </w:r>
      <w:r w:rsidR="00B0094E">
        <w:t xml:space="preserve">n </w:t>
      </w:r>
      <w:r w:rsidR="00D6394A">
        <w:t xml:space="preserve">the formation of </w:t>
      </w:r>
      <w:r w:rsidR="00B0094E">
        <w:t>flood basalt successions</w:t>
      </w:r>
      <w:r w:rsidR="003505A0">
        <w:t xml:space="preserve"> that typically volumetrically dominate magmas erupted in Large Igneous Provinces</w:t>
      </w:r>
      <w:r w:rsidR="00D6394A">
        <w:t xml:space="preserve">. </w:t>
      </w:r>
      <w:r w:rsidR="003505A0">
        <w:t>The s</w:t>
      </w:r>
      <w:r w:rsidR="00F4345D">
        <w:t>o-called “High-</w:t>
      </w:r>
      <w:r w:rsidR="00D6394A">
        <w:t xml:space="preserve">Ti” </w:t>
      </w:r>
      <w:r w:rsidR="00DA4976">
        <w:t xml:space="preserve">flood </w:t>
      </w:r>
      <w:r w:rsidR="00D6394A">
        <w:t>basalts are thought to have a greater contribution of lithospheric mantle melts</w:t>
      </w:r>
      <w:r w:rsidR="00DA4976">
        <w:t xml:space="preserve"> than their “Low-Ti” counterparts (Gibson et al., 1995)</w:t>
      </w:r>
      <w:r w:rsidR="00D6394A">
        <w:t xml:space="preserve">. Several studies have shown that </w:t>
      </w:r>
      <w:r w:rsidR="00EB4F9C">
        <w:t xml:space="preserve">olivine-hosted </w:t>
      </w:r>
      <w:r w:rsidR="004F53A7">
        <w:t xml:space="preserve">melt inclusions </w:t>
      </w:r>
      <w:r w:rsidR="00D6394A">
        <w:t xml:space="preserve">in these </w:t>
      </w:r>
      <w:r w:rsidR="00006538">
        <w:t>“High-</w:t>
      </w:r>
      <w:r w:rsidR="00D6394A">
        <w:t xml:space="preserve">Ti” basalts have </w:t>
      </w:r>
      <w:r w:rsidR="004F53A7">
        <w:t xml:space="preserve">relatively high </w:t>
      </w:r>
      <w:r>
        <w:t>H</w:t>
      </w:r>
      <w:r w:rsidRPr="009226F3">
        <w:rPr>
          <w:vertAlign w:val="subscript"/>
        </w:rPr>
        <w:t>2</w:t>
      </w:r>
      <w:r>
        <w:t xml:space="preserve">O and F </w:t>
      </w:r>
      <w:r w:rsidR="004F53A7">
        <w:t>concentrations</w:t>
      </w:r>
      <w:r w:rsidR="00B0094E">
        <w:t xml:space="preserve"> </w:t>
      </w:r>
      <w:r w:rsidR="00AF4F53">
        <w:t>(</w:t>
      </w:r>
      <w:r w:rsidR="00AF4F53" w:rsidRPr="00195AA8">
        <w:rPr>
          <w:b/>
        </w:rPr>
        <w:t>Figure 9</w:t>
      </w:r>
      <w:r w:rsidR="00AF4F53">
        <w:t>)</w:t>
      </w:r>
      <w:r w:rsidR="004F53A7">
        <w:t xml:space="preserve">, such as those </w:t>
      </w:r>
      <w:r w:rsidR="00F84104">
        <w:t>from</w:t>
      </w:r>
      <w:r w:rsidR="004F53A7">
        <w:t xml:space="preserve"> the Columbia River (4.2 </w:t>
      </w:r>
      <w:r w:rsidR="009A266F">
        <w:t>wt.%</w:t>
      </w:r>
      <w:r w:rsidR="004F53A7">
        <w:t xml:space="preserve"> H</w:t>
      </w:r>
      <w:r w:rsidR="004F53A7" w:rsidRPr="009226F3">
        <w:rPr>
          <w:vertAlign w:val="subscript"/>
        </w:rPr>
        <w:t>2</w:t>
      </w:r>
      <w:r w:rsidR="004F53A7">
        <w:t>O</w:t>
      </w:r>
      <w:r>
        <w:t xml:space="preserve"> and 0.26 </w:t>
      </w:r>
      <w:r w:rsidR="009A266F">
        <w:t>wt.%</w:t>
      </w:r>
      <w:r>
        <w:t xml:space="preserve"> F</w:t>
      </w:r>
      <w:r w:rsidR="004F53A7">
        <w:t xml:space="preserve">; </w:t>
      </w:r>
      <w:r w:rsidR="004F53A7">
        <w:fldChar w:fldCharType="begin"/>
      </w:r>
      <w:r w:rsidR="008E0CCC">
        <w:instrText xml:space="preserve"> ADDIN ZOTERO_ITEM CSL_CITATION {"citationID":"p5TXi5T5","properties":{"formattedCitation":"(Thordarson and Self, 1996; Cabato et al., 2015)","plainCitation":"(Thordarson and Self, 1996; Cabato et al., 2015)","noteIndex":0},"citationItems":[{"id":3520,"uris":["http://zotero.org/users/88665/items/R498EHS4"],"uri":["http://zotero.org/users/88665/items/R498EHS4"],"itemData":{"id":3520,"type":"article-journal","abstract":"The volatile budgets and elemental compositions of primary magmas and their sources can be estimated through study of olivine-hosted melt inclusions in basaltic lavas, thereby providing insights about melting processes in the mantle. We report data on melt inclusions in 58 host-olivine crystals from seven basalt samples from the Columbia River Basalt (CRB) group in eastern Oregon and Washington, which have been analyzed for their major-oxide, trace-element and volatile (H2O, S, F, and Cl) concentrations to constrain the origin of this large igneous province. A wide range in H2O concentrations has been discovered, with the highest amount of 4.2 wt.% found in olivine grains from a lava flow in the Malheur Gorge area, which erupted several million years after the hypothesized initial impingement of the Yellowstone Hotspot against the lithosphere of the North American Plate. This H2O concentration and others in our Columbia River–Oregon Plateau sample suite are significantly higher than those observed in lavas from hotspots such as Hawaii (~ 0.8–0.9 wt.%) or in Mid-Ocean Ridge Basalts (MORBs) (~ 0.2 wt.%), and are comparable to those measured for the lavas in the Snake River Plain–Yellowstone volcanic corridor and in some island and continental arcs.\n\nLavas considered to be of plume origin from the Picture Gorge basalts in the main-eruptive-stage of the CRB show H2O concentrations of up to 2.4 wt.%, also significantly higher than values published previously for any plume-related volcanism. The highest H2O concentrations have been found most often in the least differentiated melt inclusions, indicating that these volatiles are not the result of differentiation at shallow levels in the crust. The enrichment of Ba relative to Th in many of the melt inclusions may indicate that volatiles in the CRB-OPB large igneous province have a subduction zone origin, which underscores the importance of flux melting in the generation of at least some of Earth’s large igneous provinces.","container-title":"Chemical Geology","DOI":"10.1016/j.chemgeo.2014.11.015","ISSN":"0009-2541","journalAbbreviation":"Chemical Geology","note":"00005","page":"59-73","source":"ScienceDirect","title":"Volatile concentrations in olivine-hosted melt inclusions from the Columbia River flood basalts and associated lavas of the Oregon Plateau: Implications for magma genesis","title-short":"Volatile concentrations in olivine-hosted melt inclusions from the Columbia River flood basalts and associated lavas of the Oregon Plateau","volume":"392","author":[{"family":"Cabato","given":"Joan A."},{"family":"Stefano","given":"Christopher J."},{"family":"Mukasa","given":"Samuel B."}],"issued":{"date-parts":[["2015",1,21]]}}},{"id":2965,"uris":["http://zotero.org/users/88665/items/XH8QQ5XK"],"uri":["http://zotero.org/users/88665/items/XH8QQ5XK"],"itemData":{"id":2965,"type":"article-journal","abstract":"In this study we attempt to quantify the amount of S, Cl and F released by the 1300 km3 Roza member (~ 14.7 Ma) of the Columbia River Basalt Group, which was produced by a moderate-size flood basalt eruption in the mid-Miocene. Our results are the first indication of the potential atmospheric SO2 yield from a flood basalt eruption, and indicate the mechanism by which flood basalt eruptions may have seriously affected the environment. Glass inclusions in phenocrysts and quenched glass in products from various stages of the eruption were analyzed for concentrations of S, Cl and F and major elements. Glass inclusions contain 1965 ± 110 ppm S, 295 ± 65 ppm Cl and 1310 ± 110 ppm F. Groundmass glass of Roza dike selvages contains considerably lower concentrations: 1110 ± 90 ppm S, 245 ± 30 ppm Cl and 1020 ± 25 ppm F. Scoria clasts from near vent deposits contain 665 ± 75 ppm S, 175 ± 5 ppm Cl and 950 ± 20 ppm F, and the groundmass glass of lava selvages contains 520 ± 30 ppm S, 190 ± 30 ppm Cl and 890 ± 55 ppm F. In crystalline lava, the concentrations are 195 ppm S, 100 ppm Cl and 830 ppm F. Volatile element concentrations in these samples represent the progress of degassing through the eruption and can be used to estimate the potential amount of the volatiles S, Cl and F released by the magma into the atmosphere, as well as to evaluate the amount liberated by various phases of the eruption. The total amount of volatiles released by the Roza eruption is estimated to have been ~ 12,420 Mt SO2, ~ 710 Mt HCl and ~ 1780 Mt HF. The Roza magma liberated ~ 9620 Mt SO2 (77% of the total volatile mass released), ~ 400 Mt HCl (56%) and ~ 1450 Mt HF (81%) at the vents and lofted by the eruption columns to altitudes of 7–13 km. Degassing of the lava is estimated to have released an additional ~ 2810 Mt SO2, ~ 310 Mt HCl and ~ 330 Mt HF.\n\nThe Roza eruption is likely to have lasted for ~ 10 years, indicating an annual H2SO4-mass loading of ~ 1800 Mt. Thus, the atmospheric perturbations associated with the Roza eruption may have been of the magnitude predicted for a severe “nuclear” or “volcanic” winter, but lasting up to a decade or more.","container-title":"Journal of Volcanology and Geothermal Research","DOI":"10.1016/S0377-0273(96)00054-6","ISSN":"0377-0273","issue":"1–2","journalAbbreviation":"Journal of Volcanology and Geothermal Research","note":"00108","page":"49-73","source":"ScienceDirect","title":"Sulfur, chlorine and fluorine degassing and atmospheric loading by the Roza eruption, Columbia River Basalt Group, Washington, USA","volume":"74","author":[{"family":"Thordarson","given":"Th."},{"family":"Self","given":"S."}],"issued":{"date-parts":[["1996",11]]}}}],"schema":"https://github.com/citation-style-language/schema/raw/master/csl-citation.json"} </w:instrText>
      </w:r>
      <w:r w:rsidR="004F53A7">
        <w:fldChar w:fldCharType="separate"/>
      </w:r>
      <w:r w:rsidR="00636367">
        <w:t>(Thordarson and Self, 1996; Cabato et al., 2015)</w:t>
      </w:r>
      <w:r w:rsidR="004F53A7">
        <w:fldChar w:fldCharType="end"/>
      </w:r>
      <w:r w:rsidR="004F53A7">
        <w:t xml:space="preserve">) and Tarim (4.82 </w:t>
      </w:r>
      <w:r w:rsidR="009A266F">
        <w:t>wt.%</w:t>
      </w:r>
      <w:r w:rsidR="004F53A7">
        <w:t xml:space="preserve"> H</w:t>
      </w:r>
      <w:r w:rsidR="004F53A7" w:rsidRPr="009226F3">
        <w:rPr>
          <w:vertAlign w:val="subscript"/>
        </w:rPr>
        <w:t>2</w:t>
      </w:r>
      <w:r w:rsidR="004F53A7">
        <w:t xml:space="preserve">O; </w:t>
      </w:r>
      <w:r w:rsidR="004F53A7">
        <w:fldChar w:fldCharType="begin"/>
      </w:r>
      <w:r w:rsidR="008E0CCC">
        <w:instrText xml:space="preserve"> ADDIN ZOTERO_ITEM CSL_CITATION {"citationID":"2yjSJwDz","properties":{"formattedCitation":"(Xia et al., 2016)","plainCitation":"(Xia et al., 2016)","noteIndex":0},"citationItems":[{"id":4154,"uris":["http://zotero.org/users/88665/items/BJ4Y29QK"],"uri":["http://zotero.org/users/88665/items/BJ4Y29QK"],"itemData":{"id":4154,"type":"article-journal","abstract":"High water content in primitive continental flood basalts","container-title":"Scientific Reports","DOI":"10.1038/srep25416","ISSN":"2045-2322","language":"En","page":"25416","source":"www.nature.com","title":"High water content in primitive continental flood basalts","volume":"6","author":[{"family":"Xia","given":"Qun-Ke"},{"family":"Bi","given":"Yao"},{"family":"Li","given":"Pei"},{"family":"Tian","given":"Wei"},{"family":"Wei","given":"Xun"},{"family":"Chen","given":"Han-Lin"}],"issued":{"date-parts":[["2016",5,4]]}}}],"schema":"https://github.com/citation-style-language/schema/raw/master/csl-citation.json"} </w:instrText>
      </w:r>
      <w:r w:rsidR="004F53A7">
        <w:fldChar w:fldCharType="separate"/>
      </w:r>
      <w:r w:rsidR="00636367">
        <w:t>(Xia et al., 2016)</w:t>
      </w:r>
      <w:r w:rsidR="004F53A7">
        <w:fldChar w:fldCharType="end"/>
      </w:r>
      <w:r w:rsidR="004F53A7">
        <w:t xml:space="preserve">. In contrast “Low-Ti” flood basalts, including those from the Paraná-Etendeka CFB in NW Namibia, have relatively low F contents (190-450 </w:t>
      </w:r>
      <w:r w:rsidR="00C5757D">
        <w:t>ppmw</w:t>
      </w:r>
      <w:r w:rsidR="004F53A7">
        <w:t xml:space="preserve"> </w:t>
      </w:r>
      <w:r w:rsidR="004F53A7">
        <w:fldChar w:fldCharType="begin"/>
      </w:r>
      <w:r w:rsidR="008E0CCC">
        <w:instrText xml:space="preserve"> ADDIN ZOTERO_ITEM CSL_CITATION {"citationID":"FLXYk1KP","properties":{"formattedCitation":"(Marks et al., 2014)","plainCitation":"(Marks et al., 2014)","noteIndex":0},"citationItems":[{"id":2292,"uris":["http://zotero.org/users/88665/items/ZM2SW936"],"uri":["http://zotero.org/users/88665/items/ZM2SW936"],"itemData":{"id":2292,"type":"article-journal","abstract":"Large Igneous Provinces (LIPs) have been proposed to trigger mass-extinction events by the release of large quantities of volcanic gases which results in major climatic perturbations causing worldwide ecological stress and collapse. A prerequisite for understanding the proposed link between LIP volcanism and biological crisis is reliable information about the total gas emissions during these events. In this paper we present the first estimations of total F, Cl and S emissions from the Paraná–Etendeka LIP in the South Atlantic. Data from this province are of special interest because it is among the world's largest LIPs but is not associated with a mass extinction event. We have determined pre-eruption concentrations of F, Cl and S by in situ analysis of melt inclusions preserved in olivine phenocrysts from basaltic dikes in the Etendeka province of NW Namibia. The melt inclusions have Mg-rich basaltic bulk compositions with about 8 to 18 wt.% MgO, overlapping the compositional range of the host rocks. A major feature of the melt inclusions is their wide variation in major and minor element concentrations, including F, Cl and S. This is attributed to trapping of variably-mixed melt fractions during crystallization of olivine in the roots of the dike system. Fluorine concentrations vary from about 190 to 450 μg/g, Cl from &lt;10 to 125 μg/g and S from &lt;30 to 1100 μg/g. All inclusions were re-homogenized in heating experiments and the lowest concentrations may be due to partial leakage of S and halogens. Therefore, the maximum values are considered best estimates of the true melt concentrations.\nThese melt inclusion data are combined with the volume of extruded magma in the province (2.2 to 2.35×106 km32.35×106 km3) and with published degassing efficiencies to calculate total emissions from the Paraná–Etendeka LIP of 600–1200 Gt fluorine, 70–470 Gt chlorine and 3100–5400 Gt sulfur. The estimated sulfur emissions are similar to those from the similar-sized Deccan and Siberian LIPs, both of which are related to mass extinctions, but the Paraná–Etendeka LIP produced much lower emission of halogens. This may help explaining the smaller ecological impact of the Paraná–Etendeka magmatism. These results support the proposal that massive halogen emissions related to LIP volcanism may be an important factor for extinction scenarios because of global destruction of the ozone layer.","container-title":"Earth and Planetary Science Letters","DOI":"10.1016/j.epsl.2014.01.057","ISSN":"0012-821X","journalAbbreviation":"Earth and Planetary Science Letters","page":"39-49","source":"ScienceDirect","title":"F, Cl, and S concentrations in olivine-hosted melt inclusions from mafic dikes in NW Namibia and implications for the environmental impact of the Paraná–Etendeka Large Igneous Province","volume":"392","author":[{"family":"Marks","given":"Linda"},{"family":"Keiding","given":"Jakob"},{"family":"Wenzel","given":"Thomas"},{"family":"Trumbull","given":"Robert B."},{"family":"Veksler","given":"Ilya"},{"family":"Wiedenbeck","given":"Michael"},{"family":"Markl","given":"Gregor"}],"issued":{"date-parts":[["2014",4,15]]}}}],"schema":"https://github.com/citation-style-language/schema/raw/master/csl-citation.json"} </w:instrText>
      </w:r>
      <w:r w:rsidR="004F53A7">
        <w:fldChar w:fldCharType="separate"/>
      </w:r>
      <w:r w:rsidR="00636367">
        <w:t>(Marks et al., 2014)</w:t>
      </w:r>
      <w:r w:rsidR="004F53A7">
        <w:fldChar w:fldCharType="end"/>
      </w:r>
      <w:r w:rsidR="004F53A7">
        <w:t xml:space="preserve">. </w:t>
      </w:r>
      <w:r>
        <w:t>While exsolution of H</w:t>
      </w:r>
      <w:r w:rsidRPr="009226F3">
        <w:rPr>
          <w:vertAlign w:val="subscript"/>
        </w:rPr>
        <w:t>2</w:t>
      </w:r>
      <w:r>
        <w:t>O and F will take place at shallow pressures in the continental crust t</w:t>
      </w:r>
      <w:r w:rsidR="004A791B">
        <w:t xml:space="preserve">hese differences in the </w:t>
      </w:r>
      <w:r>
        <w:t>H</w:t>
      </w:r>
      <w:r w:rsidRPr="009226F3">
        <w:rPr>
          <w:vertAlign w:val="subscript"/>
        </w:rPr>
        <w:t>2</w:t>
      </w:r>
      <w:r>
        <w:t xml:space="preserve">O and F </w:t>
      </w:r>
      <w:r w:rsidR="004A791B">
        <w:t xml:space="preserve">contents of flood basalts cannot be accounted for solely </w:t>
      </w:r>
      <w:r w:rsidR="00240A2E">
        <w:t>by crustal processing. W</w:t>
      </w:r>
      <w:r w:rsidR="004A791B">
        <w:t xml:space="preserve">e suggest that they are controlled by melt contributions from </w:t>
      </w:r>
      <w:r w:rsidR="0059659D">
        <w:t>pyroxenite veins in the lithospheric mantle.</w:t>
      </w:r>
      <w:r w:rsidR="004F53A7">
        <w:t xml:space="preserve"> </w:t>
      </w:r>
      <w:r w:rsidR="00696BF9">
        <w:t>We suspect that pyroxenites may be important in the source of “High-Ti” flood basalts, but m</w:t>
      </w:r>
      <w:r w:rsidR="00241CAA">
        <w:t xml:space="preserve">ore volatile element data is required to </w:t>
      </w:r>
      <w:r w:rsidR="00B04F92">
        <w:t xml:space="preserve">robustly </w:t>
      </w:r>
      <w:r w:rsidR="00241CAA">
        <w:t xml:space="preserve">model the relative contributions of melts derived from pyroxenite and </w:t>
      </w:r>
      <w:r w:rsidR="00241CAA">
        <w:lastRenderedPageBreak/>
        <w:t xml:space="preserve">peridotite sources to flood basalts and </w:t>
      </w:r>
      <w:r w:rsidR="00B04F92">
        <w:t xml:space="preserve">the extent to which these different source lithologies might affect the amount of </w:t>
      </w:r>
      <w:r w:rsidR="00241CAA">
        <w:t>outgassing</w:t>
      </w:r>
      <w:r w:rsidR="00B04F92">
        <w:t xml:space="preserve"> of H</w:t>
      </w:r>
      <w:r w:rsidR="00B04F92" w:rsidRPr="00195AA8">
        <w:rPr>
          <w:vertAlign w:val="subscript"/>
        </w:rPr>
        <w:t>2</w:t>
      </w:r>
      <w:r w:rsidR="00B04F92">
        <w:t>O, CO</w:t>
      </w:r>
      <w:r w:rsidR="00B04F92" w:rsidRPr="00195AA8">
        <w:rPr>
          <w:vertAlign w:val="subscript"/>
        </w:rPr>
        <w:t>2</w:t>
      </w:r>
      <w:r w:rsidR="00B04F92">
        <w:t>, S, F and Cl during the formation of Large Igneous Provinces</w:t>
      </w:r>
      <w:r w:rsidR="00241CAA">
        <w:t xml:space="preserve">. </w:t>
      </w:r>
      <w:r w:rsidR="00241CAA" w:rsidDel="00241CAA">
        <w:rPr>
          <w:rStyle w:val="CommentReference"/>
          <w:rFonts w:asciiTheme="minorHAnsi" w:eastAsiaTheme="minorHAnsi" w:hAnsiTheme="minorHAnsi" w:cstheme="minorBidi"/>
          <w:lang w:eastAsia="en-US"/>
        </w:rPr>
        <w:t xml:space="preserve"> </w:t>
      </w:r>
    </w:p>
    <w:p w14:paraId="256E58B8" w14:textId="77777777" w:rsidR="004F53A7" w:rsidRDefault="004F53A7" w:rsidP="00C20C0B">
      <w:pPr>
        <w:widowControl w:val="0"/>
        <w:autoSpaceDE w:val="0"/>
        <w:autoSpaceDN w:val="0"/>
        <w:adjustRightInd w:val="0"/>
        <w:spacing w:line="480" w:lineRule="auto"/>
        <w:ind w:left="-90" w:firstLine="900"/>
        <w:jc w:val="both"/>
      </w:pPr>
    </w:p>
    <w:p w14:paraId="276AEDD8" w14:textId="46C632C8" w:rsidR="00391BD0" w:rsidRPr="009B315C" w:rsidRDefault="0021360C" w:rsidP="00C20C0B">
      <w:pPr>
        <w:pStyle w:val="Heading2"/>
        <w:spacing w:line="480" w:lineRule="auto"/>
      </w:pPr>
      <w:r>
        <w:t>1</w:t>
      </w:r>
      <w:r w:rsidR="00184131">
        <w:t>1</w:t>
      </w:r>
      <w:r w:rsidR="005623FE" w:rsidRPr="00661AE1">
        <w:t>.</w:t>
      </w:r>
      <w:r w:rsidR="00391BD0" w:rsidRPr="009B315C">
        <w:t xml:space="preserve"> </w:t>
      </w:r>
      <w:r w:rsidR="00977036" w:rsidRPr="00661AE1">
        <w:t>Conclusions</w:t>
      </w:r>
    </w:p>
    <w:p w14:paraId="0934134D" w14:textId="3CDA44A2" w:rsidR="00747C19" w:rsidRDefault="00EF4F4F" w:rsidP="00C20C0B">
      <w:pPr>
        <w:spacing w:line="480" w:lineRule="auto"/>
        <w:jc w:val="both"/>
      </w:pPr>
      <w:r>
        <w:t xml:space="preserve">Our systematic study of mantle </w:t>
      </w:r>
      <w:r w:rsidR="002F6938">
        <w:t xml:space="preserve">peridotite and pyroxenite xenoliths from southern Patagonia and the Antarctic Peninsula </w:t>
      </w:r>
      <w:r w:rsidR="00C5198E">
        <w:t xml:space="preserve">provides </w:t>
      </w:r>
      <w:r w:rsidR="00061E7C">
        <w:t xml:space="preserve">quantitative </w:t>
      </w:r>
      <w:r>
        <w:t xml:space="preserve">constraints on the capability of </w:t>
      </w:r>
      <w:r w:rsidR="002F6938">
        <w:t>the lithospheric mantle in “off-craton” settings</w:t>
      </w:r>
      <w:r>
        <w:t xml:space="preserve"> to act as both a “sink” and “source” for volatiles. </w:t>
      </w:r>
      <w:r w:rsidR="002F6938">
        <w:t>We show from o</w:t>
      </w:r>
      <w:r w:rsidR="002F6938" w:rsidRPr="00661AE1">
        <w:t xml:space="preserve">ur new SIMS analyses of nominally volatile-free phases </w:t>
      </w:r>
      <w:r w:rsidR="002F6938">
        <w:t>that c</w:t>
      </w:r>
      <w:r>
        <w:t xml:space="preserve">ritical to </w:t>
      </w:r>
      <w:r w:rsidR="002F6938">
        <w:t>capacity of this major Earth reservoir to host volatiles</w:t>
      </w:r>
      <w:r>
        <w:t xml:space="preserve"> is the amount and composition of clinopyroxene</w:t>
      </w:r>
      <w:r w:rsidR="002F6938">
        <w:t xml:space="preserve">. </w:t>
      </w:r>
      <w:r w:rsidR="005B5C6E" w:rsidRPr="00661AE1">
        <w:t xml:space="preserve">While we report the highest observed concentrations of F in mantle pyroxenes </w:t>
      </w:r>
      <w:r w:rsidR="005B5C6E">
        <w:t>publish</w:t>
      </w:r>
      <w:r w:rsidR="005B5C6E" w:rsidRPr="00661AE1">
        <w:t>ed to date</w:t>
      </w:r>
      <w:r w:rsidR="00546EA2">
        <w:t xml:space="preserve"> </w:t>
      </w:r>
      <w:r w:rsidR="00546EA2" w:rsidRPr="00661AE1">
        <w:t>(15</w:t>
      </w:r>
      <w:r w:rsidR="00546EA2">
        <w:t>4</w:t>
      </w:r>
      <w:r w:rsidR="00546EA2" w:rsidRPr="00661AE1">
        <w:t xml:space="preserve"> </w:t>
      </w:r>
      <w:r w:rsidR="00C5757D">
        <w:t>ppmw</w:t>
      </w:r>
      <w:r w:rsidR="00546EA2" w:rsidRPr="00661AE1">
        <w:t>)</w:t>
      </w:r>
      <w:r w:rsidR="005B5C6E" w:rsidRPr="00661AE1">
        <w:t xml:space="preserve"> </w:t>
      </w:r>
      <w:r w:rsidR="005B5C6E">
        <w:t xml:space="preserve">the same grains have very low concentrations of </w:t>
      </w:r>
      <w:r w:rsidR="005B5C6E" w:rsidRPr="00661AE1">
        <w:t>Li</w:t>
      </w:r>
      <w:r w:rsidR="005B5C6E">
        <w:t>,</w:t>
      </w:r>
      <w:r w:rsidR="005B5C6E" w:rsidRPr="00661AE1">
        <w:t xml:space="preserve"> Cl, B</w:t>
      </w:r>
      <w:r w:rsidR="00C20C0B">
        <w:t>.</w:t>
      </w:r>
      <w:r w:rsidR="008D7FEB">
        <w:t xml:space="preserve"> </w:t>
      </w:r>
    </w:p>
    <w:p w14:paraId="669211DE" w14:textId="35E53778" w:rsidR="00985885" w:rsidRDefault="00F84104" w:rsidP="00C20C0B">
      <w:pPr>
        <w:spacing w:line="480" w:lineRule="auto"/>
        <w:ind w:firstLine="450"/>
        <w:jc w:val="both"/>
        <w:outlineLvl w:val="0"/>
      </w:pPr>
      <w:r>
        <w:t>T</w:t>
      </w:r>
      <w:r w:rsidR="00E11346" w:rsidRPr="00661AE1">
        <w:t xml:space="preserve">he </w:t>
      </w:r>
      <w:r>
        <w:t xml:space="preserve">exceptionally </w:t>
      </w:r>
      <w:r w:rsidR="00E11346">
        <w:t xml:space="preserve">large </w:t>
      </w:r>
      <w:r w:rsidR="00E11346" w:rsidRPr="00661AE1">
        <w:t xml:space="preserve">compositional range of mantle </w:t>
      </w:r>
      <w:r w:rsidR="00E11346">
        <w:t>clino</w:t>
      </w:r>
      <w:r w:rsidR="00E11346" w:rsidRPr="00661AE1">
        <w:t>pyroxenes</w:t>
      </w:r>
      <w:r>
        <w:t xml:space="preserve"> analysed in our study </w:t>
      </w:r>
      <w:r w:rsidR="00E11346">
        <w:t>has enabled us to show that F</w:t>
      </w:r>
      <w:r w:rsidR="00E11346" w:rsidRPr="00743A21">
        <w:rPr>
          <w:vertAlign w:val="superscript"/>
        </w:rPr>
        <w:t>-</w:t>
      </w:r>
      <w:r w:rsidR="00E11346" w:rsidRPr="00661AE1">
        <w:t xml:space="preserve"> </w:t>
      </w:r>
      <w:r w:rsidR="00E11346">
        <w:t>undergoes coupled substitutions with cations in the M1 (</w:t>
      </w:r>
      <w:r w:rsidR="00E11346" w:rsidRPr="00661AE1">
        <w:t>Ti, Fe</w:t>
      </w:r>
      <w:r w:rsidR="00E11346" w:rsidRPr="001642EF">
        <w:rPr>
          <w:vertAlign w:val="superscript"/>
        </w:rPr>
        <w:t>3+</w:t>
      </w:r>
      <w:r w:rsidR="00E11346" w:rsidRPr="00661AE1">
        <w:t xml:space="preserve"> and Al</w:t>
      </w:r>
      <w:r w:rsidR="00E11346" w:rsidRPr="001642EF">
        <w:rPr>
          <w:vertAlign w:val="superscript"/>
        </w:rPr>
        <w:t>3+</w:t>
      </w:r>
      <w:r w:rsidR="00E11346">
        <w:t xml:space="preserve">) </w:t>
      </w:r>
      <w:r w:rsidR="00E11346" w:rsidRPr="00661AE1">
        <w:t xml:space="preserve">and </w:t>
      </w:r>
      <w:r w:rsidR="00E11346">
        <w:t>M2 sites (Ca</w:t>
      </w:r>
      <w:r w:rsidR="00E11346" w:rsidRPr="00743A21">
        <w:rPr>
          <w:vertAlign w:val="superscript"/>
        </w:rPr>
        <w:t>2+</w:t>
      </w:r>
      <w:r w:rsidR="00E11346" w:rsidRPr="00743A21">
        <w:t>, Tb, Dy and Ho</w:t>
      </w:r>
      <w:r w:rsidR="00E11346" w:rsidRPr="00661AE1">
        <w:t>).</w:t>
      </w:r>
      <w:r w:rsidR="00E11346">
        <w:t xml:space="preserve"> </w:t>
      </w:r>
      <w:r w:rsidR="00546EA2">
        <w:t>These s</w:t>
      </w:r>
      <w:r w:rsidR="00E11346">
        <w:t>ubstitutions</w:t>
      </w:r>
      <w:r w:rsidR="00E11346" w:rsidRPr="00DC72C2">
        <w:t xml:space="preserve"> </w:t>
      </w:r>
      <w:r w:rsidR="00E11346">
        <w:t xml:space="preserve">are temperature dependent and preferentially occur in clinopyroxene </w:t>
      </w:r>
      <w:r w:rsidR="00546EA2">
        <w:t>because</w:t>
      </w:r>
      <w:r w:rsidR="00E11346">
        <w:t xml:space="preserve"> the M1 and M2 sites are larger than</w:t>
      </w:r>
      <w:r w:rsidR="00E11346" w:rsidRPr="00DC72C2">
        <w:t xml:space="preserve"> </w:t>
      </w:r>
      <w:r w:rsidR="00E11346">
        <w:t xml:space="preserve">in </w:t>
      </w:r>
      <w:r w:rsidR="00E11346" w:rsidRPr="00DC72C2">
        <w:t>orthopyroxene and olivine</w:t>
      </w:r>
      <w:r w:rsidR="00E11346">
        <w:t>.</w:t>
      </w:r>
      <w:r w:rsidR="00985885">
        <w:t xml:space="preserve"> The substitution of H in the clinopyroxene structure is decoupled from F and </w:t>
      </w:r>
      <w:r w:rsidR="00DF19B3">
        <w:t>suggests that there may be</w:t>
      </w:r>
      <w:r w:rsidR="00985885">
        <w:t xml:space="preserve"> a coupled substitution with Al</w:t>
      </w:r>
      <w:r w:rsidR="00985885" w:rsidRPr="00457F2A">
        <w:rPr>
          <w:vertAlign w:val="superscript"/>
        </w:rPr>
        <w:t>3+</w:t>
      </w:r>
      <w:r w:rsidR="00985885">
        <w:t xml:space="preserve"> for Si</w:t>
      </w:r>
      <w:r w:rsidR="00985885" w:rsidRPr="009D37AD">
        <w:rPr>
          <w:vertAlign w:val="superscript"/>
        </w:rPr>
        <w:t>4+</w:t>
      </w:r>
      <w:r w:rsidR="00985885">
        <w:rPr>
          <w:vertAlign w:val="superscript"/>
        </w:rPr>
        <w:t xml:space="preserve"> </w:t>
      </w:r>
      <w:r w:rsidR="00985885" w:rsidRPr="009D37AD">
        <w:t>in the tetrahedral site</w:t>
      </w:r>
      <w:r w:rsidR="00985885">
        <w:t xml:space="preserve">. </w:t>
      </w:r>
      <w:r w:rsidR="00DF19B3">
        <w:t>F</w:t>
      </w:r>
      <w:r w:rsidR="00DF19B3" w:rsidRPr="00DF19B3">
        <w:t>urther work is needed to “show” this definitively (e.g. Raman and nuclear magnetic resonance (NMR) spectroscopy)</w:t>
      </w:r>
      <w:r w:rsidR="00DF19B3">
        <w:t>.</w:t>
      </w:r>
    </w:p>
    <w:p w14:paraId="04A21D0A" w14:textId="1C87D511" w:rsidR="0079514B" w:rsidRDefault="009C0E3B" w:rsidP="00C20C0B">
      <w:pPr>
        <w:spacing w:line="480" w:lineRule="auto"/>
        <w:ind w:firstLine="360"/>
        <w:jc w:val="both"/>
        <w:outlineLvl w:val="0"/>
      </w:pPr>
      <w:r>
        <w:t>W</w:t>
      </w:r>
      <w:r w:rsidRPr="00661AE1">
        <w:t xml:space="preserve">e </w:t>
      </w:r>
      <w:r w:rsidR="0078633F">
        <w:t>quantify</w:t>
      </w:r>
      <w:r w:rsidR="0078633F" w:rsidRPr="00661AE1">
        <w:t xml:space="preserve"> </w:t>
      </w:r>
      <w:r w:rsidRPr="00661AE1">
        <w:t xml:space="preserve">for the first time </w:t>
      </w:r>
      <w:r w:rsidR="006D2E04">
        <w:t xml:space="preserve">the </w:t>
      </w:r>
      <w:r w:rsidR="00E11346">
        <w:t xml:space="preserve">relationship </w:t>
      </w:r>
      <w:r w:rsidR="006D2E04">
        <w:t xml:space="preserve">between </w:t>
      </w:r>
      <w:r w:rsidR="00D82D0B">
        <w:t xml:space="preserve">temperature and </w:t>
      </w:r>
      <w:r w:rsidR="006D2E04">
        <w:t>the</w:t>
      </w:r>
      <w:r w:rsidR="00C14441">
        <w:t xml:space="preserve"> partitioning of </w:t>
      </w:r>
      <w:r w:rsidR="00EF134D">
        <w:t>H</w:t>
      </w:r>
      <w:r w:rsidR="00EF134D" w:rsidRPr="009226F3">
        <w:rPr>
          <w:vertAlign w:val="subscript"/>
        </w:rPr>
        <w:t>2</w:t>
      </w:r>
      <w:r w:rsidR="00EF134D">
        <w:t>O</w:t>
      </w:r>
      <w:r w:rsidR="00C14441">
        <w:t xml:space="preserve"> and F</w:t>
      </w:r>
      <w:r w:rsidR="00985885">
        <w:t xml:space="preserve"> </w:t>
      </w:r>
      <w:r w:rsidR="00C14441">
        <w:t>between clino</w:t>
      </w:r>
      <w:r w:rsidR="00EF134D">
        <w:t xml:space="preserve">pyroxene </w:t>
      </w:r>
      <w:r w:rsidR="00C14441">
        <w:t xml:space="preserve">and orthopyroxene </w:t>
      </w:r>
      <w:r>
        <w:t xml:space="preserve">in </w:t>
      </w:r>
      <w:r w:rsidR="00C67C64">
        <w:t xml:space="preserve">the </w:t>
      </w:r>
      <w:r>
        <w:t>mantle</w:t>
      </w:r>
      <w:r w:rsidR="00C14441">
        <w:t xml:space="preserve">. </w:t>
      </w:r>
      <w:r w:rsidR="006D2E04">
        <w:t xml:space="preserve">We show </w:t>
      </w:r>
      <w:r w:rsidR="00C67C64">
        <w:t xml:space="preserve">that </w:t>
      </w:r>
      <m:oMath>
        <m:sSubSup>
          <m:sSubSupPr>
            <m:ctrlPr>
              <w:rPr>
                <w:rFonts w:ascii="Cambria Math" w:hAnsi="Cambria Math"/>
                <w:i/>
              </w:rPr>
            </m:ctrlPr>
          </m:sSubSupPr>
          <m:e>
            <m:r>
              <m:rPr>
                <m:nor/>
              </m:rPr>
              <w:rPr>
                <w:rFonts w:ascii="Cambria Math" w:hAnsi="Cambria Math"/>
                <w:i/>
              </w:rPr>
              <m:t>D</m:t>
            </m:r>
          </m:e>
          <m:sub>
            <m:r>
              <m:rPr>
                <m:nor/>
              </m:rPr>
              <w:rPr>
                <w:rFonts w:ascii="Cambria Math" w:hAnsi="Cambria Math"/>
                <w:i/>
              </w:rPr>
              <m:t>H</m:t>
            </m:r>
            <m:r>
              <m:rPr>
                <m:nor/>
              </m:rPr>
              <w:rPr>
                <w:rFonts w:ascii="Cambria Math" w:hAnsi="Cambria Math"/>
                <w:i/>
                <w:vertAlign w:val="subscript"/>
              </w:rPr>
              <m:t>2</m:t>
            </m:r>
            <m:r>
              <m:rPr>
                <m:nor/>
              </m:rPr>
              <w:rPr>
                <w:rFonts w:ascii="Cambria Math" w:hAnsi="Cambria Math"/>
                <w:i/>
              </w:rPr>
              <m:t>O</m:t>
            </m:r>
          </m:sub>
          <m:sup>
            <m:r>
              <m:rPr>
                <m:nor/>
              </m:rPr>
              <w:rPr>
                <w:rFonts w:ascii="Cambria Math" w:hAnsi="Cambria Math"/>
              </w:rPr>
              <m:t xml:space="preserve"> </m:t>
            </m:r>
            <m:r>
              <m:rPr>
                <m:nor/>
              </m:rPr>
              <w:rPr>
                <w:rFonts w:ascii="Cambria Math" w:hAnsi="Cambria Math"/>
                <w:i/>
              </w:rPr>
              <m:t>Cpx-Opx</m:t>
            </m:r>
          </m:sup>
        </m:sSubSup>
      </m:oMath>
      <w:r w:rsidR="00C67C64">
        <w:t xml:space="preserve"> and </w:t>
      </w:r>
      <m:oMath>
        <m:sSubSup>
          <m:sSubSupPr>
            <m:ctrlPr>
              <w:rPr>
                <w:rFonts w:ascii="Cambria Math" w:hAnsi="Cambria Math"/>
                <w:i/>
              </w:rPr>
            </m:ctrlPr>
          </m:sSubSupPr>
          <m:e>
            <m:r>
              <m:rPr>
                <m:nor/>
              </m:rPr>
              <w:rPr>
                <w:rFonts w:ascii="Cambria Math" w:hAnsi="Cambria Math"/>
                <w:i/>
              </w:rPr>
              <m:t>D</m:t>
            </m:r>
          </m:e>
          <m:sub>
            <m:r>
              <m:rPr>
                <m:nor/>
              </m:rPr>
              <w:rPr>
                <w:rFonts w:ascii="Cambria Math" w:hAnsi="Cambria Math"/>
                <w:i/>
              </w:rPr>
              <m:t>F</m:t>
            </m:r>
          </m:sub>
          <m:sup>
            <m:r>
              <m:rPr>
                <m:nor/>
              </m:rPr>
              <w:rPr>
                <w:rFonts w:ascii="Cambria Math" w:hAnsi="Cambria Math"/>
              </w:rPr>
              <m:t xml:space="preserve"> </m:t>
            </m:r>
            <m:r>
              <m:rPr>
                <m:nor/>
              </m:rPr>
              <w:rPr>
                <w:rFonts w:ascii="Cambria Math" w:hAnsi="Cambria Math"/>
                <w:i/>
              </w:rPr>
              <m:t>Cpx-Opx</m:t>
            </m:r>
          </m:sup>
        </m:sSubSup>
      </m:oMath>
      <w:r w:rsidR="00C67C64">
        <w:t xml:space="preserve"> values for these elements show an inverse relationship with temperature and </w:t>
      </w:r>
      <w:r w:rsidR="003E58B3">
        <w:t xml:space="preserve">between 1300 and 1000 </w:t>
      </w:r>
      <w:r w:rsidR="003E58B3" w:rsidRPr="00743A21">
        <w:rPr>
          <w:vertAlign w:val="superscript"/>
        </w:rPr>
        <w:t>o</w:t>
      </w:r>
      <w:r w:rsidR="003E58B3">
        <w:t xml:space="preserve">C </w:t>
      </w:r>
      <w:r w:rsidR="00051560">
        <w:t xml:space="preserve">vary </w:t>
      </w:r>
      <w:r w:rsidR="00C14441">
        <w:t xml:space="preserve">by a factor of </w:t>
      </w:r>
      <w:r w:rsidR="003505A0">
        <w:t xml:space="preserve">up to </w:t>
      </w:r>
      <w:r w:rsidR="006D2E04">
        <w:t>1.5</w:t>
      </w:r>
      <w:r>
        <w:t xml:space="preserve">. </w:t>
      </w:r>
      <w:r w:rsidR="0056640C">
        <w:t xml:space="preserve">Although sub-solidus re-equilibration </w:t>
      </w:r>
      <w:r w:rsidR="00C67C64">
        <w:lastRenderedPageBreak/>
        <w:t xml:space="preserve">plays an </w:t>
      </w:r>
      <w:r w:rsidR="0056640C">
        <w:t xml:space="preserve">important </w:t>
      </w:r>
      <w:r w:rsidR="00C67C64">
        <w:t xml:space="preserve">role </w:t>
      </w:r>
      <w:r w:rsidR="0056640C">
        <w:t xml:space="preserve">in concentrating </w:t>
      </w:r>
      <w:r w:rsidR="00EF134D">
        <w:t>H</w:t>
      </w:r>
      <w:r w:rsidR="00EF134D" w:rsidRPr="009226F3">
        <w:rPr>
          <w:vertAlign w:val="subscript"/>
        </w:rPr>
        <w:t>2</w:t>
      </w:r>
      <w:r w:rsidR="00EF134D">
        <w:t>O</w:t>
      </w:r>
      <w:r w:rsidR="00C67C64">
        <w:t xml:space="preserve"> and F </w:t>
      </w:r>
      <w:r w:rsidR="0056640C">
        <w:t xml:space="preserve">in clinopyroxene, the first order control </w:t>
      </w:r>
      <w:r w:rsidR="00C67C64">
        <w:t xml:space="preserve">on the contents of these and other volatile elements </w:t>
      </w:r>
      <w:r w:rsidR="0056640C">
        <w:t xml:space="preserve">is metasomatism. </w:t>
      </w:r>
      <w:r w:rsidR="00962811">
        <w:t>W</w:t>
      </w:r>
      <w:r w:rsidR="00016601">
        <w:t xml:space="preserve">e show that </w:t>
      </w:r>
      <w:r w:rsidR="00C67C64">
        <w:t>although</w:t>
      </w:r>
      <w:r w:rsidR="00985885">
        <w:t xml:space="preserve"> diopsides crystallised in </w:t>
      </w:r>
      <w:r w:rsidR="003E58B3">
        <w:t>“</w:t>
      </w:r>
      <w:r w:rsidR="00985885">
        <w:t>off-craton</w:t>
      </w:r>
      <w:r w:rsidR="003E58B3">
        <w:t>”</w:t>
      </w:r>
      <w:r w:rsidR="00985885">
        <w:t xml:space="preserve"> settings form from </w:t>
      </w:r>
      <w:r w:rsidR="0028730E">
        <w:t xml:space="preserve">metasomatic </w:t>
      </w:r>
      <w:r w:rsidR="00985885">
        <w:t>melts with lower volatile contents tha</w:t>
      </w:r>
      <w:r w:rsidR="008C614C">
        <w:t>n</w:t>
      </w:r>
      <w:r w:rsidR="00985885">
        <w:t xml:space="preserve"> those beneath cratons, the</w:t>
      </w:r>
      <w:r w:rsidR="00557FE5">
        <w:t xml:space="preserve"> former</w:t>
      </w:r>
      <w:r w:rsidR="00985885">
        <w:t xml:space="preserve"> </w:t>
      </w:r>
      <w:r w:rsidR="00557FE5">
        <w:t xml:space="preserve">often </w:t>
      </w:r>
      <w:r w:rsidR="00985885">
        <w:t xml:space="preserve">have similar </w:t>
      </w:r>
      <w:r w:rsidR="00557FE5">
        <w:t xml:space="preserve">or </w:t>
      </w:r>
      <w:r w:rsidR="00275ECB">
        <w:t>high</w:t>
      </w:r>
      <w:r w:rsidR="00557FE5">
        <w:t>er</w:t>
      </w:r>
      <w:r w:rsidR="00275ECB">
        <w:t xml:space="preserve"> </w:t>
      </w:r>
      <w:r w:rsidR="00EF134D">
        <w:t>H</w:t>
      </w:r>
      <w:r w:rsidR="00EF134D" w:rsidRPr="009226F3">
        <w:rPr>
          <w:vertAlign w:val="subscript"/>
        </w:rPr>
        <w:t>2</w:t>
      </w:r>
      <w:r w:rsidR="00EF134D">
        <w:t>O</w:t>
      </w:r>
      <w:r w:rsidR="00985885">
        <w:t xml:space="preserve"> contents</w:t>
      </w:r>
      <w:r w:rsidR="008C614C">
        <w:t xml:space="preserve"> (</w:t>
      </w:r>
      <w:r w:rsidR="00557FE5">
        <w:t xml:space="preserve">500-1000 </w:t>
      </w:r>
      <w:r w:rsidR="00C5757D">
        <w:t>ppmw</w:t>
      </w:r>
      <w:r w:rsidR="00557FE5">
        <w:t>)</w:t>
      </w:r>
      <w:r w:rsidR="00985885">
        <w:t xml:space="preserve">. This reflects the </w:t>
      </w:r>
      <w:r w:rsidR="00557FE5">
        <w:t xml:space="preserve">coupled </w:t>
      </w:r>
      <w:r w:rsidR="00275ECB">
        <w:t>substitution of Al</w:t>
      </w:r>
      <w:r w:rsidR="00EF134D" w:rsidRPr="00812FBF">
        <w:rPr>
          <w:vertAlign w:val="superscript"/>
        </w:rPr>
        <w:t>3+</w:t>
      </w:r>
      <w:r w:rsidR="008C614C">
        <w:t xml:space="preserve"> </w:t>
      </w:r>
      <w:r w:rsidR="00557FE5">
        <w:t>and H</w:t>
      </w:r>
      <w:r w:rsidR="00EF134D" w:rsidRPr="00812FBF">
        <w:rPr>
          <w:vertAlign w:val="superscript"/>
        </w:rPr>
        <w:t>+</w:t>
      </w:r>
      <w:r w:rsidR="00557FE5">
        <w:t xml:space="preserve"> </w:t>
      </w:r>
      <w:r w:rsidR="00C67C64">
        <w:t>for Si</w:t>
      </w:r>
      <w:r w:rsidR="00EF134D" w:rsidRPr="00812FBF">
        <w:rPr>
          <w:vertAlign w:val="superscript"/>
        </w:rPr>
        <w:t>4+</w:t>
      </w:r>
      <w:r w:rsidR="00C67C64">
        <w:t xml:space="preserve"> </w:t>
      </w:r>
      <w:r w:rsidR="008C614C">
        <w:t xml:space="preserve">in the clinopyroxene lattice, which </w:t>
      </w:r>
      <w:r w:rsidR="00C67C64">
        <w:t xml:space="preserve">experiments show </w:t>
      </w:r>
      <w:r w:rsidR="008C614C">
        <w:t>peaks at the garnet-spinel transition</w:t>
      </w:r>
      <w:r w:rsidR="00557FE5">
        <w:t xml:space="preserve"> zone</w:t>
      </w:r>
      <w:r w:rsidR="006432D9">
        <w:t>, i.e. a depth of approximately 60 to 80 km</w:t>
      </w:r>
      <w:r w:rsidR="00275ECB">
        <w:t xml:space="preserve">. </w:t>
      </w:r>
    </w:p>
    <w:p w14:paraId="07B535B6" w14:textId="168551CC" w:rsidR="007C2C4D" w:rsidRDefault="007C2C4D" w:rsidP="00C20C0B">
      <w:pPr>
        <w:spacing w:line="480" w:lineRule="auto"/>
        <w:ind w:firstLine="360"/>
        <w:jc w:val="both"/>
        <w:outlineLvl w:val="0"/>
      </w:pPr>
      <w:r>
        <w:t>The out-flux of volatiles from the mantle to the atmosphere via volcanic eruptions and gas emissions in continental rift zones and Large Igneous Provinces (</w:t>
      </w:r>
      <w:r w:rsidRPr="00195AA8">
        <w:rPr>
          <w:b/>
        </w:rPr>
        <w:t>Figure 9</w:t>
      </w:r>
      <w:r>
        <w:t xml:space="preserve">) will be significantly controlled </w:t>
      </w:r>
      <w:r w:rsidR="003B2DDB">
        <w:t xml:space="preserve">both </w:t>
      </w:r>
      <w:r>
        <w:t>by</w:t>
      </w:r>
      <w:r w:rsidR="003B2DDB">
        <w:t>: (i)</w:t>
      </w:r>
      <w:r>
        <w:t xml:space="preserve"> </w:t>
      </w:r>
      <w:r w:rsidR="003B2DDB" w:rsidRPr="003B2DDB">
        <w:t>shallow</w:t>
      </w:r>
      <w:r w:rsidR="003B2DDB">
        <w:t>-level</w:t>
      </w:r>
      <w:r w:rsidR="003B2DDB" w:rsidRPr="003B2DDB">
        <w:t xml:space="preserve"> decompression degassing and progressive l</w:t>
      </w:r>
      <w:r w:rsidR="003B2DDB">
        <w:t>oss of volatiles at the surface</w:t>
      </w:r>
      <w:r w:rsidR="00396BF1">
        <w:t xml:space="preserve"> (e.g. </w:t>
      </w:r>
      <w:r w:rsidR="004F07C0">
        <w:fldChar w:fldCharType="begin"/>
      </w:r>
      <w:r w:rsidR="004F07C0">
        <w:instrText xml:space="preserve"> ADDIN ZOTERO_ITEM CSL_CITATION {"citationID":"Zq6507JL","properties":{"formattedCitation":"(Mather et al., 2012)","plainCitation":"(Mather et al., 2012)","noteIndex":0},"citationItems":[{"id":2983,"uris":["http://zotero.org/users/88665/items/ZP2H4X2V"],"uri":["http://zotero.org/users/88665/items/ZP2H4X2V"],"itemData":{"id":2983,"type":"article-journal","abstract":"Volcanic plume samples taken in 2008 and 2009 from the Halema`uma`u eruption at Kīlauea provide new insights into Kīlauea’s degassing behaviour. The Cl, F and S gas systematics are consistent with syn-eruptive East Rift Zone measurements suggesting that the new Halema`uma`u activity is fed by a convecting magma reservoir shallower than the main summit storage area. Comparison with degassing models suggests that plume halogen and S composition is controlled by very shallow (&amp;lt;3 m depth) decompression degassing and progressive loss of volatiles at the surface. Compared to most other global volcanoes, Kīlauea’s gases are depleted in Cl with respect to S. Similarly, our Br/S and I/S ratio measurements in Halema`uma`u’s plume are lower than those measured at arc volcanoes, consistent with contributions from the subducting slab accounting for a significant proportion of the heavier halogens in arc emissions. Analyses of Hg in Halema`uma`u’s plume were inconclusive but suggest a flux of at least 0.6 kg day−1 from this new vent, predominantly (&amp;gt;77%) as gaseous elemental mercury at the point of emission. Sulphate is an important aerosol component (modal particle diameter </w:instrText>
      </w:r>
      <w:r w:rsidR="004F07C0">
        <w:rPr>
          <w:rFonts w:ascii="Cambria Math" w:hAnsi="Cambria Math" w:cs="Cambria Math"/>
        </w:rPr>
        <w:instrText>∼</w:instrText>
      </w:r>
      <w:r w:rsidR="004F07C0">
        <w:instrText xml:space="preserve">0.44 μm). Aerosol halide ion concentrations are low compared to other systems, consistent with the lower proportion of gaseous hydrogen halides. Plume concentrations of many metallic elements (Rb, Cs, Be, B, Cr, Ni, Cu, Mo, Cd, W, Re, Ge, As, In, Sn, Sb, Te, Tl, Pb, Mg, Sr, Sc, Ti, V, Mn, Fe, Co, Y, Zr, Hf, Ta, Al, P, Ga, Th, U, La, Ce, Pr, Nd, Sm, Eu, Gd, Tb, Dy, Er, Tm) are elevated above background air. There is considerable variability in metal to SO2 ratios but our ratios (generally at the lower end of the range previously measured at Kīlauea) support assertions that Kīlauea’s emissions are metal-poor compared to other volcanic settings. Our aerosol Re and Cd measurements are complementary to degassing trends observed in Hawaiian rock suites although measured aerosol metal/S ratios are about an order of magnitude lower than those calculated from degassing trends determined from glass chemistry. Plume enrichment factors with respect to Hawaiian lavas are in broad agreement with those from previous studies allowing similar element classification schemes to be followed (i.e., lithophile elements having lower volatility and chalcophile elements having higher volatility). The proportion of metal associated with the largest particle size mode collected (&amp;gt;2.5 μm) and that bound to silicate is significantly higher for lithophiles than chalcophiles. Many metals show higher solubility in pH 7 buffer solution than deionised water suggesting that acidity is not the sole driver in terms of solubility. Nonetheless, many metals are largely water soluble when compared with the other sequential leachates suggesting that they are delivered to the environment in a bioavailable form. Preliminary analyses of environmental samples show that concentrations of metals are elevated in rainwater affected by the volcanic plume and even more so in fog. However, metal levels in grass samples showed no clear enrichment downwind of the active vents.","container-title":"Geochimica et Cosmochimica Acta","DOI":"10.1016/j.gca.2011.11.029","ISSN":"0016-7037","journalAbbreviation":"Geochimica et Cosmochimica Acta","note":"00000","page":"292-323","source":"ScienceDirect","title":"Halogens and trace metal emissions from the ongoing 2008 summit eruption of Kīlauea volcano, Hawai`i","volume":"83","author":[{"family":"Mather","given":"T. A."},{"family":"Witt","given":"M. L. I."},{"family":"Pyle","given":"D. M."},{"family":"Quayle","given":"B. M."},{"family":"Aiuppa","given":"A."},{"family":"Bagnato","given":"E."},{"family":"Martin","given":"R. S."},{"family":"Sims","given":"K. W. W."},{"family":"Edmonds","given":"M."},{"family":"Sutton","given":"A. J."},{"family":"Ilyinskaya","given":"E."}],"issued":{"date-parts":[["2012",4,15]]}}}],"schema":"https://github.com/citation-style-language/schema/raw/master/csl-citation.json"} </w:instrText>
      </w:r>
      <w:r w:rsidR="004F07C0">
        <w:fldChar w:fldCharType="separate"/>
      </w:r>
      <w:r w:rsidR="004F07C0" w:rsidRPr="004F07C0">
        <w:t>(Mather et al., 2012)</w:t>
      </w:r>
      <w:r w:rsidR="004F07C0">
        <w:fldChar w:fldCharType="end"/>
      </w:r>
      <w:r w:rsidR="003B2DDB">
        <w:t xml:space="preserve">; and (ii) </w:t>
      </w:r>
      <w:r>
        <w:t xml:space="preserve">the nature and style of melting both in the convecting and lithospheric mantle. </w:t>
      </w:r>
      <w:r w:rsidR="0028730E">
        <w:t>Because of the</w:t>
      </w:r>
      <w:r>
        <w:t>ir</w:t>
      </w:r>
      <w:r w:rsidR="0028730E">
        <w:t xml:space="preserve"> high modal abundance of clinopyroxene</w:t>
      </w:r>
      <w:r>
        <w:t>,</w:t>
      </w:r>
      <w:r w:rsidR="0028730E">
        <w:t xml:space="preserve"> pyroxenites have higher bulk contents of </w:t>
      </w:r>
      <w:r w:rsidR="00DD6BE7">
        <w:t>H</w:t>
      </w:r>
      <w:r w:rsidR="00DD6BE7" w:rsidRPr="009226F3">
        <w:rPr>
          <w:vertAlign w:val="subscript"/>
        </w:rPr>
        <w:t>2</w:t>
      </w:r>
      <w:r w:rsidR="00DD6BE7">
        <w:t>O</w:t>
      </w:r>
      <w:r w:rsidR="0028730E">
        <w:t xml:space="preserve"> and F than peridotites. The pyroxenites typically form concurrent with major heating or extension of</w:t>
      </w:r>
      <w:r w:rsidR="00226CCE">
        <w:t xml:space="preserve"> </w:t>
      </w:r>
      <w:r w:rsidR="003E58B3">
        <w:t>“</w:t>
      </w:r>
      <w:r w:rsidR="004756B9">
        <w:t>off-craton</w:t>
      </w:r>
      <w:r w:rsidR="003E58B3">
        <w:t>”</w:t>
      </w:r>
      <w:r w:rsidR="00226CCE">
        <w:t xml:space="preserve"> lithosphere </w:t>
      </w:r>
      <w:r w:rsidR="00702B38">
        <w:t>(e.g. continental rift zones)</w:t>
      </w:r>
      <w:r w:rsidR="0028730E">
        <w:t>, as a consequence of channellised flow</w:t>
      </w:r>
      <w:r w:rsidR="00CE708A">
        <w:t xml:space="preserve"> in a peridotite matrix</w:t>
      </w:r>
      <w:r w:rsidR="0028730E">
        <w:t>. The</w:t>
      </w:r>
      <w:r w:rsidR="00CE708A">
        <w:t xml:space="preserve"> pyroxenites</w:t>
      </w:r>
      <w:r w:rsidR="0028730E">
        <w:t xml:space="preserve"> are</w:t>
      </w:r>
      <w:r>
        <w:t>, however,</w:t>
      </w:r>
      <w:r w:rsidR="0028730E">
        <w:t xml:space="preserve"> themselves susceptible to remobilisation during continued heating and extension </w:t>
      </w:r>
      <w:r w:rsidR="00C67C64">
        <w:t xml:space="preserve">of the lithosphere </w:t>
      </w:r>
      <w:r w:rsidR="0028730E">
        <w:t xml:space="preserve">and </w:t>
      </w:r>
      <w:r>
        <w:t>potentially</w:t>
      </w:r>
      <w:r w:rsidR="00C67C64">
        <w:t xml:space="preserve"> </w:t>
      </w:r>
      <w:r w:rsidR="0028730E">
        <w:t xml:space="preserve">may be </w:t>
      </w:r>
      <w:r>
        <w:t xml:space="preserve">a significant source of </w:t>
      </w:r>
      <w:r w:rsidR="0028730E">
        <w:t>H</w:t>
      </w:r>
      <w:r w:rsidR="00702B38">
        <w:t xml:space="preserve"> </w:t>
      </w:r>
      <w:r w:rsidR="00280153">
        <w:t>and</w:t>
      </w:r>
      <w:r w:rsidR="00702B38">
        <w:t xml:space="preserve"> </w:t>
      </w:r>
      <w:r w:rsidR="0028730E">
        <w:t xml:space="preserve">F in alkaline magmas and </w:t>
      </w:r>
      <w:r w:rsidR="00CE708A">
        <w:t>some “high-Ti”</w:t>
      </w:r>
      <w:r w:rsidR="0028730E">
        <w:t xml:space="preserve"> tholeiitic basalts found in continental rift zones and Large Igneous Provinces</w:t>
      </w:r>
      <w:r w:rsidR="00702B38">
        <w:t>.</w:t>
      </w:r>
      <w:r w:rsidR="004B2266">
        <w:t xml:space="preserve"> </w:t>
      </w:r>
    </w:p>
    <w:p w14:paraId="591E3E7D" w14:textId="2205BB54" w:rsidR="008B4F6D" w:rsidRDefault="00D92C9F" w:rsidP="00C20C0B">
      <w:pPr>
        <w:spacing w:line="480" w:lineRule="auto"/>
        <w:ind w:firstLine="360"/>
        <w:jc w:val="both"/>
        <w:outlineLvl w:val="0"/>
      </w:pPr>
      <w:r>
        <w:t xml:space="preserve">Our analyses confirm that </w:t>
      </w:r>
      <w:r w:rsidR="003E58B3">
        <w:t>“</w:t>
      </w:r>
      <w:r>
        <w:t>off-craton</w:t>
      </w:r>
      <w:r w:rsidR="003E58B3">
        <w:t>”</w:t>
      </w:r>
      <w:r>
        <w:t xml:space="preserve"> peridotite</w:t>
      </w:r>
      <w:r w:rsidR="006069E5">
        <w:t xml:space="preserve">s only store small quantities of Cl </w:t>
      </w:r>
      <w:r w:rsidR="003D5A98">
        <w:t>(Urann et al. 2017</w:t>
      </w:r>
      <w:r w:rsidR="00EF134D">
        <w:t>) and we show</w:t>
      </w:r>
      <w:r w:rsidR="006069E5">
        <w:t>,</w:t>
      </w:r>
      <w:r w:rsidR="00EF134D">
        <w:t xml:space="preserve"> for the first time</w:t>
      </w:r>
      <w:r w:rsidR="006069E5">
        <w:t>,</w:t>
      </w:r>
      <w:r w:rsidR="00EF134D">
        <w:t xml:space="preserve"> that this is also the case for pyroxenites. </w:t>
      </w:r>
      <w:r w:rsidR="0049771D">
        <w:t xml:space="preserve">This is important because </w:t>
      </w:r>
      <w:r w:rsidR="00C958DF">
        <w:t>recent work</w:t>
      </w:r>
      <w:r w:rsidR="0049771D">
        <w:t xml:space="preserve"> has suggested that Cl </w:t>
      </w:r>
      <w:r w:rsidR="00C958DF">
        <w:t xml:space="preserve">sourced from the subcontinental lithospheric mantle, and outgassed during the eruption of flood basalts, </w:t>
      </w:r>
      <w:r w:rsidR="0049771D">
        <w:t>may be responsible for major mass extinction events</w:t>
      </w:r>
      <w:r w:rsidR="006C190F">
        <w:t xml:space="preserve"> (Broadley et al., 2018)</w:t>
      </w:r>
      <w:r w:rsidR="0049771D">
        <w:t xml:space="preserve">. </w:t>
      </w:r>
      <w:r w:rsidR="003505A0">
        <w:t xml:space="preserve">Such an </w:t>
      </w:r>
      <w:r w:rsidR="003D5A98">
        <w:t xml:space="preserve">interpretation </w:t>
      </w:r>
      <w:r w:rsidR="00F13EAA">
        <w:t xml:space="preserve">for the Siberian Traps </w:t>
      </w:r>
      <w:r w:rsidR="003D5A98">
        <w:t xml:space="preserve">is </w:t>
      </w:r>
      <w:r w:rsidR="006C190F">
        <w:t xml:space="preserve">problematic because: (i) </w:t>
      </w:r>
      <w:r w:rsidR="00811EF5">
        <w:t xml:space="preserve">the xenoliths </w:t>
      </w:r>
      <w:r w:rsidR="00F13EAA">
        <w:t xml:space="preserve">that they studied </w:t>
      </w:r>
      <w:r w:rsidR="00811EF5">
        <w:t xml:space="preserve">are derived from cratonic lithosphere, which as we have discussed above is an unlikely major melt source of flood </w:t>
      </w:r>
      <w:r w:rsidR="00811EF5">
        <w:lastRenderedPageBreak/>
        <w:t>basalts</w:t>
      </w:r>
      <w:r w:rsidR="006C190F">
        <w:t xml:space="preserve">; and (ii) </w:t>
      </w:r>
      <w:r w:rsidR="00811EF5">
        <w:t>it is based on high bulk Cl contents of kimberlite-hosted mantle xenoliths (289 ±</w:t>
      </w:r>
      <w:r w:rsidR="00811EF5" w:rsidRPr="00016154">
        <w:t xml:space="preserve"> 118 </w:t>
      </w:r>
      <w:r w:rsidR="00C5757D">
        <w:t>ppmw</w:t>
      </w:r>
      <w:r w:rsidR="00811EF5">
        <w:t xml:space="preserve">), acquired by step heating. While the high Cl is thought to be released from fluid inclusions the effects of diffusive interaction and grain-boundary quenching of the host kimberlite magma on bulk Cl contents are, however, poorly constrained. </w:t>
      </w:r>
      <w:r w:rsidR="00F13EAA">
        <w:t xml:space="preserve">We note that the findings of the study by Broadley et al. (2018) contrast with those of Burgess et al. </w:t>
      </w:r>
      <w:r w:rsidR="00F13EAA">
        <w:fldChar w:fldCharType="begin"/>
      </w:r>
      <w:r w:rsidR="00F13EAA">
        <w:instrText xml:space="preserve"> ADDIN ZOTERO_ITEM CSL_CITATION {"citationID":"fX7XrxZl","properties":{"formattedCitation":"(2017)","plainCitation":"(2017)","noteIndex":0},"citationItems":[{"id":3919,"uris":["http://zotero.org/users/88665/items/TXGZQLXT"],"uri":["http://zotero.org/users/88665/items/TXGZQLXT"],"itemData":{"id":3919,"type":"article-journal","abstract":"Although the mass end-Permian extinction is linked to large igneous provinces, its trigger remains unclear. Here, the authors propose that the abrupt change from flood lavas to sills resulted in the heating of sediments and led to the release of large-scale greenhouse gases to drive the end-Permian extinction.","container-title":"Nature Communications","DOI":"10.1038/s41467-017-00083-9","ISSN":"2041-1723","issue":"1","language":"en","page":"164","source":"www.nature.com","title":"Initial pulse of Siberian Traps sills as the trigger of the end-Permian mass extinction","volume":"8","author":[{"family":"Burgess","given":"S. D."},{"family":"Muirhead","given":"J. D."},{"family":"Bowring","given":"S. A."}],"issued":{"date-parts":[["2017",7,31]]}},"suppress-author":true}],"schema":"https://github.com/citation-style-language/schema/raw/master/csl-citation.json"} </w:instrText>
      </w:r>
      <w:r w:rsidR="00F13EAA">
        <w:fldChar w:fldCharType="separate"/>
      </w:r>
      <w:r w:rsidR="00F13EAA" w:rsidRPr="00F13EAA">
        <w:t>(2017)</w:t>
      </w:r>
      <w:r w:rsidR="00F13EAA">
        <w:fldChar w:fldCharType="end"/>
      </w:r>
      <w:r w:rsidR="00F13EAA">
        <w:t xml:space="preserve"> who proposed that the extreme flux of volatiles </w:t>
      </w:r>
      <w:r w:rsidR="00F13EAA" w:rsidRPr="00F13EAA">
        <w:t>released by the Siberian Traps were likely due to sills emplaced into the Tunguska basin, composed of evaporites, clastics, carbonates, and hydrocarbon-bearing lithologies</w:t>
      </w:r>
      <w:r w:rsidR="00F13EAA">
        <w:t>.</w:t>
      </w:r>
      <w:r w:rsidR="00F13EAA" w:rsidRPr="00F13EAA">
        <w:t xml:space="preserve"> </w:t>
      </w:r>
      <w:r w:rsidR="00811EF5">
        <w:t xml:space="preserve">More work is </w:t>
      </w:r>
      <w:r w:rsidR="00F13EAA">
        <w:t xml:space="preserve">clearly </w:t>
      </w:r>
      <w:r w:rsidR="00811EF5">
        <w:t xml:space="preserve">required to establish the extent to which volatiles </w:t>
      </w:r>
      <w:r w:rsidR="00F13EAA">
        <w:t xml:space="preserve">such as Cl </w:t>
      </w:r>
      <w:r w:rsidR="00811EF5">
        <w:t>are trapped as fluid inclusions or</w:t>
      </w:r>
      <w:r w:rsidR="006069E5">
        <w:t>,</w:t>
      </w:r>
      <w:r w:rsidR="00811EF5">
        <w:t xml:space="preserve"> </w:t>
      </w:r>
      <w:r w:rsidR="006069E5">
        <w:t>as we have shown here for H</w:t>
      </w:r>
      <w:r w:rsidR="006069E5" w:rsidRPr="009226F3">
        <w:rPr>
          <w:vertAlign w:val="subscript"/>
        </w:rPr>
        <w:t>2</w:t>
      </w:r>
      <w:r w:rsidR="006069E5">
        <w:t xml:space="preserve">O, F and Li, </w:t>
      </w:r>
      <w:r w:rsidR="00811EF5">
        <w:t xml:space="preserve">systematically contained in the crystal lattice of nominally volatile-free </w:t>
      </w:r>
      <w:r w:rsidR="006069E5">
        <w:t xml:space="preserve">mantle </w:t>
      </w:r>
      <w:r w:rsidR="00811EF5">
        <w:t xml:space="preserve">phases </w:t>
      </w:r>
    </w:p>
    <w:p w14:paraId="30D47515" w14:textId="41DD378E" w:rsidR="00C21BD9" w:rsidRPr="00661AE1" w:rsidRDefault="006069E5" w:rsidP="00C20C0B">
      <w:pPr>
        <w:spacing w:line="480" w:lineRule="auto"/>
        <w:ind w:firstLine="360"/>
        <w:jc w:val="both"/>
        <w:outlineLvl w:val="0"/>
      </w:pPr>
      <w:r>
        <w:t xml:space="preserve">It is clear from our findings that </w:t>
      </w:r>
      <w:r w:rsidR="006B0AFD">
        <w:t>shallow “off-craton” sub-continental mantle</w:t>
      </w:r>
      <w:r w:rsidR="006B0AFD" w:rsidDel="006B0AFD">
        <w:t xml:space="preserve"> </w:t>
      </w:r>
      <w:r>
        <w:t>act</w:t>
      </w:r>
      <w:r w:rsidR="006B0AFD">
        <w:t>s</w:t>
      </w:r>
      <w:r>
        <w:t xml:space="preserve"> as both a</w:t>
      </w:r>
      <w:r w:rsidR="006B0AFD">
        <w:t xml:space="preserve"> significant</w:t>
      </w:r>
      <w:r>
        <w:t xml:space="preserve"> “sink” and “store” for </w:t>
      </w:r>
      <w:r w:rsidR="00D511D3">
        <w:t xml:space="preserve">deep-sourced </w:t>
      </w:r>
      <w:r w:rsidR="00D511D3" w:rsidRPr="00CB30EF">
        <w:t>H</w:t>
      </w:r>
      <w:r w:rsidR="00D511D3" w:rsidRPr="00CB30EF">
        <w:rPr>
          <w:vertAlign w:val="subscript"/>
        </w:rPr>
        <w:t>2</w:t>
      </w:r>
      <w:r w:rsidR="00D511D3" w:rsidRPr="00CB30EF">
        <w:t>O</w:t>
      </w:r>
      <w:r w:rsidR="00D511D3">
        <w:t xml:space="preserve"> and F</w:t>
      </w:r>
      <w:r w:rsidR="006B0AFD">
        <w:t xml:space="preserve"> (but not Cl, Li and B).</w:t>
      </w:r>
      <w:r>
        <w:t xml:space="preserve"> </w:t>
      </w:r>
      <w:r w:rsidR="006B0AFD">
        <w:t>Far fewer quantitative constraints exist re</w:t>
      </w:r>
      <w:r w:rsidR="00D511D3">
        <w:t xml:space="preserve"> </w:t>
      </w:r>
      <w:r w:rsidR="006B0AFD">
        <w:t xml:space="preserve">the behaviour of S, He and </w:t>
      </w:r>
      <w:r w:rsidR="006B0AFD" w:rsidRPr="00CA554A">
        <w:t>CO</w:t>
      </w:r>
      <w:r w:rsidR="006B0AFD" w:rsidRPr="00CA554A">
        <w:rPr>
          <w:vertAlign w:val="subscript"/>
        </w:rPr>
        <w:t>2</w:t>
      </w:r>
      <w:r w:rsidR="006B0AFD">
        <w:t xml:space="preserve"> in this reservoir. While we suggest that “off-craton” sub-continental mantle plays a key role in modulating the flux of volatiles to Earth’s surface, t</w:t>
      </w:r>
      <w:r w:rsidR="00C21BD9">
        <w:t>he</w:t>
      </w:r>
      <w:r w:rsidR="006B0AFD">
        <w:t>ir</w:t>
      </w:r>
      <w:r w:rsidR="00C21BD9">
        <w:t xml:space="preserve"> ultimate </w:t>
      </w:r>
      <w:r w:rsidR="006B0AFD">
        <w:t xml:space="preserve">atmospheric </w:t>
      </w:r>
      <w:r w:rsidR="00C21BD9">
        <w:t>impact will depend on crustal processing together with the eruption style and latitude of volcanism.</w:t>
      </w:r>
    </w:p>
    <w:p w14:paraId="5C94830B" w14:textId="77E735A0" w:rsidR="00386602" w:rsidRPr="00661AE1" w:rsidRDefault="00386602" w:rsidP="00C20C0B">
      <w:pPr>
        <w:spacing w:line="480" w:lineRule="auto"/>
        <w:jc w:val="both"/>
        <w:outlineLvl w:val="0"/>
      </w:pPr>
    </w:p>
    <w:p w14:paraId="68937322" w14:textId="77777777" w:rsidR="005623FE" w:rsidRPr="004E4764" w:rsidRDefault="005623FE" w:rsidP="00C20C0B">
      <w:pPr>
        <w:spacing w:line="480" w:lineRule="auto"/>
        <w:ind w:firstLine="720"/>
        <w:jc w:val="both"/>
      </w:pPr>
    </w:p>
    <w:p w14:paraId="72EEB83E" w14:textId="77777777" w:rsidR="00D724B3" w:rsidRPr="00AD729C" w:rsidRDefault="00D724B3" w:rsidP="00C20C0B">
      <w:pPr>
        <w:pStyle w:val="Heading2"/>
        <w:spacing w:line="480" w:lineRule="auto"/>
      </w:pPr>
      <w:r w:rsidRPr="00C44395">
        <w:t>Acknowledgements</w:t>
      </w:r>
    </w:p>
    <w:p w14:paraId="7731DA4F" w14:textId="798E89B8" w:rsidR="001821B8" w:rsidRPr="009B315C" w:rsidRDefault="00EB17ED" w:rsidP="00C20C0B">
      <w:pPr>
        <w:pStyle w:val="Heading2"/>
        <w:spacing w:line="480" w:lineRule="auto"/>
        <w:jc w:val="both"/>
        <w:rPr>
          <w:b w:val="0"/>
        </w:rPr>
      </w:pPr>
      <w:r w:rsidRPr="00661AE1">
        <w:rPr>
          <w:b w:val="0"/>
        </w:rPr>
        <w:t xml:space="preserve">We </w:t>
      </w:r>
      <w:r w:rsidR="00A21A91">
        <w:rPr>
          <w:b w:val="0"/>
        </w:rPr>
        <w:t>thank</w:t>
      </w:r>
      <w:r w:rsidRPr="00661AE1">
        <w:rPr>
          <w:b w:val="0"/>
        </w:rPr>
        <w:t xml:space="preserve"> the British Antarctic Survey (Cambridge</w:t>
      </w:r>
      <w:r w:rsidR="00DE27E1">
        <w:rPr>
          <w:b w:val="0"/>
        </w:rPr>
        <w:t>, UK</w:t>
      </w:r>
      <w:r w:rsidRPr="00661AE1">
        <w:rPr>
          <w:b w:val="0"/>
        </w:rPr>
        <w:t>) and Natural History Museum (London</w:t>
      </w:r>
      <w:r w:rsidR="00DE27E1">
        <w:rPr>
          <w:b w:val="0"/>
        </w:rPr>
        <w:t>, UK</w:t>
      </w:r>
      <w:r w:rsidRPr="00661AE1">
        <w:rPr>
          <w:b w:val="0"/>
        </w:rPr>
        <w:t xml:space="preserve">) for allowing access to their collections of mantle xenoliths from the Antarctic Peninsula and </w:t>
      </w:r>
      <w:r w:rsidR="00E90E9D" w:rsidRPr="00661AE1">
        <w:rPr>
          <w:b w:val="0"/>
        </w:rPr>
        <w:t>southern</w:t>
      </w:r>
      <w:r w:rsidRPr="00661AE1">
        <w:rPr>
          <w:b w:val="0"/>
        </w:rPr>
        <w:t xml:space="preserve"> Patagonia, respectively. </w:t>
      </w:r>
      <w:r w:rsidR="00E357C6" w:rsidRPr="00F74A68">
        <w:rPr>
          <w:b w:val="0"/>
        </w:rPr>
        <w:t xml:space="preserve">Iris Buisman </w:t>
      </w:r>
      <w:r w:rsidR="00A21A91">
        <w:rPr>
          <w:b w:val="0"/>
        </w:rPr>
        <w:t>provided</w:t>
      </w:r>
      <w:r w:rsidR="00A21A91" w:rsidRPr="00F74A68">
        <w:rPr>
          <w:b w:val="0"/>
        </w:rPr>
        <w:t xml:space="preserve"> </w:t>
      </w:r>
      <w:r w:rsidR="00E357C6" w:rsidRPr="00F74A68">
        <w:rPr>
          <w:b w:val="0"/>
        </w:rPr>
        <w:t>assistance with electron microprobe analyses in the Dep</w:t>
      </w:r>
      <w:r w:rsidR="00C51DAA">
        <w:rPr>
          <w:b w:val="0"/>
        </w:rPr>
        <w:t>ar</w:t>
      </w:r>
      <w:r w:rsidR="00E357C6" w:rsidRPr="00F74A68">
        <w:rPr>
          <w:b w:val="0"/>
        </w:rPr>
        <w:t>t</w:t>
      </w:r>
      <w:r w:rsidR="00C51DAA">
        <w:rPr>
          <w:b w:val="0"/>
        </w:rPr>
        <w:t>ment</w:t>
      </w:r>
      <w:r w:rsidR="00E357C6" w:rsidRPr="00F74A68">
        <w:rPr>
          <w:b w:val="0"/>
        </w:rPr>
        <w:t xml:space="preserve"> of Earth Sciences at the University of Cambridge. </w:t>
      </w:r>
      <w:r w:rsidR="002B4EE6">
        <w:rPr>
          <w:b w:val="0"/>
        </w:rPr>
        <w:t>A</w:t>
      </w:r>
      <w:r w:rsidR="00A21A91" w:rsidRPr="00F74A68">
        <w:rPr>
          <w:b w:val="0"/>
        </w:rPr>
        <w:t xml:space="preserve">nalysis </w:t>
      </w:r>
      <w:r w:rsidR="00E357C6" w:rsidRPr="00F74A68">
        <w:rPr>
          <w:b w:val="0"/>
        </w:rPr>
        <w:t xml:space="preserve">of volatiles </w:t>
      </w:r>
      <w:r w:rsidR="00E357C6" w:rsidRPr="00661AE1">
        <w:rPr>
          <w:b w:val="0"/>
        </w:rPr>
        <w:t xml:space="preserve">in mantle phases </w:t>
      </w:r>
      <w:r w:rsidR="00E357C6" w:rsidRPr="00F74A68">
        <w:rPr>
          <w:b w:val="0"/>
        </w:rPr>
        <w:t xml:space="preserve">was </w:t>
      </w:r>
      <w:r w:rsidR="00A21A91" w:rsidRPr="00F74A68">
        <w:rPr>
          <w:b w:val="0"/>
        </w:rPr>
        <w:t xml:space="preserve">undertaken </w:t>
      </w:r>
      <w:r w:rsidR="00A21A91">
        <w:rPr>
          <w:b w:val="0"/>
        </w:rPr>
        <w:t>at the</w:t>
      </w:r>
      <w:r w:rsidR="00E357C6" w:rsidRPr="00F74A68">
        <w:rPr>
          <w:b w:val="0"/>
        </w:rPr>
        <w:t xml:space="preserve"> University of Edinburgh </w:t>
      </w:r>
      <w:r w:rsidR="00F73222">
        <w:rPr>
          <w:b w:val="0"/>
        </w:rPr>
        <w:t>I</w:t>
      </w:r>
      <w:r w:rsidR="00F73222" w:rsidRPr="00F74A68">
        <w:rPr>
          <w:b w:val="0"/>
        </w:rPr>
        <w:t xml:space="preserve">on </w:t>
      </w:r>
      <w:r w:rsidR="00F73222">
        <w:rPr>
          <w:b w:val="0"/>
        </w:rPr>
        <w:lastRenderedPageBreak/>
        <w:t>M</w:t>
      </w:r>
      <w:r w:rsidR="00F73222" w:rsidRPr="00F74A68">
        <w:rPr>
          <w:b w:val="0"/>
        </w:rPr>
        <w:t xml:space="preserve">icroprobe </w:t>
      </w:r>
      <w:r w:rsidR="00F73222">
        <w:rPr>
          <w:b w:val="0"/>
        </w:rPr>
        <w:t>F</w:t>
      </w:r>
      <w:r w:rsidR="00F73222" w:rsidRPr="00F74A68">
        <w:rPr>
          <w:b w:val="0"/>
        </w:rPr>
        <w:t xml:space="preserve">acility </w:t>
      </w:r>
      <w:r w:rsidR="00F27573">
        <w:rPr>
          <w:b w:val="0"/>
        </w:rPr>
        <w:t>(</w:t>
      </w:r>
      <w:r w:rsidR="00F27573" w:rsidRPr="00F27573">
        <w:rPr>
          <w:b w:val="0"/>
        </w:rPr>
        <w:t>IMF533/0514</w:t>
      </w:r>
      <w:r w:rsidR="00F27573">
        <w:rPr>
          <w:b w:val="0"/>
        </w:rPr>
        <w:t>)</w:t>
      </w:r>
      <w:r w:rsidR="00E357C6" w:rsidRPr="00F74A68">
        <w:rPr>
          <w:b w:val="0"/>
        </w:rPr>
        <w:t xml:space="preserve"> with technical support from CJ de Hoog.</w:t>
      </w:r>
      <w:r w:rsidR="00E357C6">
        <w:rPr>
          <w:b w:val="0"/>
        </w:rPr>
        <w:t xml:space="preserve"> We thank M</w:t>
      </w:r>
      <w:r w:rsidR="00642DE8">
        <w:rPr>
          <w:b w:val="0"/>
        </w:rPr>
        <w:t>.</w:t>
      </w:r>
      <w:r w:rsidR="00D511D3">
        <w:rPr>
          <w:b w:val="0"/>
        </w:rPr>
        <w:t>A.</w:t>
      </w:r>
      <w:r w:rsidR="00E357C6">
        <w:rPr>
          <w:b w:val="0"/>
        </w:rPr>
        <w:t xml:space="preserve"> Carpenter</w:t>
      </w:r>
      <w:r w:rsidR="00642DE8">
        <w:rPr>
          <w:b w:val="0"/>
        </w:rPr>
        <w:t xml:space="preserve">, </w:t>
      </w:r>
      <w:r w:rsidR="00E357C6">
        <w:rPr>
          <w:b w:val="0"/>
        </w:rPr>
        <w:t>T</w:t>
      </w:r>
      <w:r w:rsidR="00642DE8">
        <w:rPr>
          <w:b w:val="0"/>
        </w:rPr>
        <w:t>.</w:t>
      </w:r>
      <w:r w:rsidR="00D511D3">
        <w:rPr>
          <w:b w:val="0"/>
        </w:rPr>
        <w:t>B.</w:t>
      </w:r>
      <w:r w:rsidR="00642DE8">
        <w:rPr>
          <w:b w:val="0"/>
        </w:rPr>
        <w:t xml:space="preserve"> </w:t>
      </w:r>
      <w:r w:rsidR="00E357C6">
        <w:rPr>
          <w:b w:val="0"/>
        </w:rPr>
        <w:t>Holland</w:t>
      </w:r>
      <w:r w:rsidR="00642DE8">
        <w:rPr>
          <w:b w:val="0"/>
        </w:rPr>
        <w:t>,</w:t>
      </w:r>
      <w:r w:rsidR="00E357C6">
        <w:rPr>
          <w:b w:val="0"/>
        </w:rPr>
        <w:t xml:space="preserve"> </w:t>
      </w:r>
      <w:r w:rsidR="00642DE8">
        <w:rPr>
          <w:b w:val="0"/>
        </w:rPr>
        <w:t>C.</w:t>
      </w:r>
      <w:r w:rsidR="00D511D3">
        <w:rPr>
          <w:b w:val="0"/>
        </w:rPr>
        <w:t>G</w:t>
      </w:r>
      <w:r w:rsidR="00642DE8">
        <w:rPr>
          <w:b w:val="0"/>
        </w:rPr>
        <w:t>. Jackson and J</w:t>
      </w:r>
      <w:r w:rsidR="00D511D3">
        <w:rPr>
          <w:b w:val="0"/>
        </w:rPr>
        <w:t>.C</w:t>
      </w:r>
      <w:r w:rsidR="00642DE8">
        <w:rPr>
          <w:b w:val="0"/>
        </w:rPr>
        <w:t xml:space="preserve"> Crosby for stimulating discussions on the capability of mantle minerals to sequester volatiles</w:t>
      </w:r>
      <w:r w:rsidR="00E357C6">
        <w:rPr>
          <w:b w:val="0"/>
        </w:rPr>
        <w:t xml:space="preserve">. </w:t>
      </w:r>
      <w:r w:rsidR="00BC63DD">
        <w:rPr>
          <w:b w:val="0"/>
        </w:rPr>
        <w:t xml:space="preserve">We are also grateful to B. Urann and two anonymous reviewers for their constructive comments on an earlier draft of the manuscript. </w:t>
      </w:r>
      <w:r w:rsidR="005E29C9">
        <w:rPr>
          <w:b w:val="0"/>
        </w:rPr>
        <w:t>MRes and PhD R</w:t>
      </w:r>
      <w:r w:rsidR="005E29C9" w:rsidRPr="009B315C">
        <w:rPr>
          <w:b w:val="0"/>
        </w:rPr>
        <w:t xml:space="preserve">esearch </w:t>
      </w:r>
      <w:r w:rsidR="00F673A9" w:rsidRPr="009B315C">
        <w:rPr>
          <w:b w:val="0"/>
        </w:rPr>
        <w:t xml:space="preserve">at the University of Cambridge on </w:t>
      </w:r>
      <w:r w:rsidR="00C7768B">
        <w:rPr>
          <w:b w:val="0"/>
        </w:rPr>
        <w:t xml:space="preserve">mantle </w:t>
      </w:r>
      <w:r w:rsidR="00F673A9" w:rsidRPr="009B315C">
        <w:rPr>
          <w:b w:val="0"/>
        </w:rPr>
        <w:t xml:space="preserve">xenoliths </w:t>
      </w:r>
      <w:r w:rsidR="00C7768B">
        <w:rPr>
          <w:b w:val="0"/>
        </w:rPr>
        <w:t xml:space="preserve">from the Antarctic Peninsula </w:t>
      </w:r>
      <w:r w:rsidR="005E29C9">
        <w:rPr>
          <w:b w:val="0"/>
        </w:rPr>
        <w:t xml:space="preserve">was undertaken by AJ Ross </w:t>
      </w:r>
      <w:r w:rsidR="00C7768B">
        <w:rPr>
          <w:b w:val="0"/>
        </w:rPr>
        <w:t xml:space="preserve">and </w:t>
      </w:r>
      <w:r w:rsidR="005E29C9" w:rsidRPr="009B315C">
        <w:rPr>
          <w:b w:val="0"/>
        </w:rPr>
        <w:t>L. Gibson</w:t>
      </w:r>
      <w:r w:rsidR="005E29C9">
        <w:rPr>
          <w:b w:val="0"/>
        </w:rPr>
        <w:t xml:space="preserve"> (</w:t>
      </w:r>
      <w:r w:rsidR="005E29C9" w:rsidRPr="009B315C">
        <w:rPr>
          <w:b w:val="0"/>
        </w:rPr>
        <w:t>NERC grant</w:t>
      </w:r>
      <w:r w:rsidR="005E29C9">
        <w:rPr>
          <w:b w:val="0"/>
        </w:rPr>
        <w:t xml:space="preserve"> </w:t>
      </w:r>
      <w:r w:rsidR="005E29C9" w:rsidRPr="0031685E">
        <w:rPr>
          <w:b w:val="0"/>
        </w:rPr>
        <w:t>NE/G523404/1</w:t>
      </w:r>
      <w:r w:rsidR="005E29C9">
        <w:rPr>
          <w:b w:val="0"/>
        </w:rPr>
        <w:t xml:space="preserve">) and on </w:t>
      </w:r>
      <w:r w:rsidR="006432D9">
        <w:rPr>
          <w:b w:val="0"/>
        </w:rPr>
        <w:t xml:space="preserve">southern </w:t>
      </w:r>
      <w:r w:rsidR="00C7768B">
        <w:rPr>
          <w:b w:val="0"/>
        </w:rPr>
        <w:t xml:space="preserve">Patagonia </w:t>
      </w:r>
      <w:r w:rsidR="005E29C9">
        <w:rPr>
          <w:b w:val="0"/>
        </w:rPr>
        <w:t xml:space="preserve">and the Antarctic Peninsula </w:t>
      </w:r>
      <w:r w:rsidR="00F673A9" w:rsidRPr="009B315C">
        <w:rPr>
          <w:b w:val="0"/>
        </w:rPr>
        <w:t>by E. Rooks</w:t>
      </w:r>
      <w:r w:rsidR="005E29C9">
        <w:rPr>
          <w:b w:val="0"/>
        </w:rPr>
        <w:t xml:space="preserve"> (</w:t>
      </w:r>
      <w:r w:rsidR="005E29C9" w:rsidRPr="009B315C">
        <w:rPr>
          <w:b w:val="0"/>
        </w:rPr>
        <w:t xml:space="preserve">NERC grant </w:t>
      </w:r>
      <w:r w:rsidR="005E29C9" w:rsidRPr="0031685E">
        <w:rPr>
          <w:b w:val="0"/>
        </w:rPr>
        <w:t>NE/K500884/1</w:t>
      </w:r>
      <w:r w:rsidR="005E29C9">
        <w:rPr>
          <w:b w:val="0"/>
        </w:rPr>
        <w:t>).</w:t>
      </w:r>
    </w:p>
    <w:p w14:paraId="4B1F0E45" w14:textId="77777777" w:rsidR="00D724B3" w:rsidRPr="009B315C" w:rsidRDefault="00D724B3" w:rsidP="00C20C0B">
      <w:pPr>
        <w:pStyle w:val="Heading2"/>
        <w:spacing w:line="480" w:lineRule="auto"/>
        <w:rPr>
          <w:rFonts w:ascii="Latin Modern Roman 12" w:hAnsi="Latin Modern Roman 12"/>
        </w:rPr>
      </w:pPr>
    </w:p>
    <w:p w14:paraId="492C09E7" w14:textId="1D7984E9" w:rsidR="00E8341C" w:rsidRPr="001A5112" w:rsidRDefault="00D724B3" w:rsidP="00C20C0B">
      <w:pPr>
        <w:pStyle w:val="Heading2"/>
        <w:spacing w:line="480" w:lineRule="auto"/>
      </w:pPr>
      <w:r w:rsidRPr="000050A1">
        <w:rPr>
          <w:bCs w:val="0"/>
        </w:rPr>
        <w:t>References</w:t>
      </w:r>
    </w:p>
    <w:p w14:paraId="2101693B" w14:textId="77777777" w:rsidR="00A17546" w:rsidRDefault="00636367" w:rsidP="00A17546">
      <w:pPr>
        <w:pStyle w:val="Bibliography"/>
      </w:pPr>
      <w:r w:rsidRPr="00F5136D">
        <w:fldChar w:fldCharType="begin"/>
      </w:r>
      <w:r w:rsidR="00A17546">
        <w:instrText xml:space="preserve"> ADDIN ZOTERO_BIBL {"uncited":[],"omitted":[],"custom":[]} CSL_BIBLIOGRAPHY </w:instrText>
      </w:r>
      <w:r w:rsidRPr="00F5136D">
        <w:fldChar w:fldCharType="separate"/>
      </w:r>
      <w:r w:rsidR="00A17546">
        <w:t xml:space="preserve">Alemayehu M., Zhang H.-F. and Seitz H.-M. (2017) Constraining late stage melt-peridotite interaction in the lithospheric mantle of southern Ethiopia: evidence from lithium elemental and isotopic compositions. </w:t>
      </w:r>
      <w:r w:rsidR="00A17546">
        <w:rPr>
          <w:i/>
          <w:iCs/>
        </w:rPr>
        <w:t>Mineralogy and Petrology</w:t>
      </w:r>
      <w:r w:rsidR="00A17546">
        <w:t xml:space="preserve"> </w:t>
      </w:r>
      <w:r w:rsidR="00A17546">
        <w:rPr>
          <w:b/>
          <w:bCs/>
        </w:rPr>
        <w:t>111</w:t>
      </w:r>
      <w:r w:rsidR="00A17546">
        <w:t>, 777–792.</w:t>
      </w:r>
    </w:p>
    <w:p w14:paraId="4E2EC02B" w14:textId="77777777" w:rsidR="00A17546" w:rsidRDefault="00A17546" w:rsidP="00A17546">
      <w:pPr>
        <w:pStyle w:val="Bibliography"/>
      </w:pPr>
      <w:r>
        <w:t xml:space="preserve">Arai S. (1994) Characterization of spinel peridotites by olivine-spinel compositional relationships: Review and interpretation. </w:t>
      </w:r>
      <w:r>
        <w:rPr>
          <w:i/>
          <w:iCs/>
        </w:rPr>
        <w:t>Chemical Geology</w:t>
      </w:r>
      <w:r>
        <w:t xml:space="preserve"> </w:t>
      </w:r>
      <w:r>
        <w:rPr>
          <w:b/>
          <w:bCs/>
        </w:rPr>
        <w:t>113</w:t>
      </w:r>
      <w:r>
        <w:t>, 191–204.</w:t>
      </w:r>
    </w:p>
    <w:p w14:paraId="728F1340" w14:textId="77777777" w:rsidR="00A17546" w:rsidRDefault="00A17546" w:rsidP="00A17546">
      <w:pPr>
        <w:pStyle w:val="Bibliography"/>
      </w:pPr>
      <w:r>
        <w:t xml:space="preserve">Ashchepkov I. V., André L., Downes H. and Belyatsky B. A. (2011) Pyroxenites and megacrysts from Vitim picrite-basalts (Russia): Polybaric fractionation of rising melts in the mantle? </w:t>
      </w:r>
      <w:r>
        <w:rPr>
          <w:i/>
          <w:iCs/>
        </w:rPr>
        <w:t>Journal of Asian Earth Sciences</w:t>
      </w:r>
      <w:r>
        <w:t xml:space="preserve"> </w:t>
      </w:r>
      <w:r>
        <w:rPr>
          <w:b/>
          <w:bCs/>
        </w:rPr>
        <w:t>42</w:t>
      </w:r>
      <w:r>
        <w:t>, 14–37.</w:t>
      </w:r>
    </w:p>
    <w:p w14:paraId="75E27216" w14:textId="77777777" w:rsidR="00A17546" w:rsidRDefault="00A17546" w:rsidP="00A17546">
      <w:pPr>
        <w:pStyle w:val="Bibliography"/>
      </w:pPr>
      <w:r>
        <w:t xml:space="preserve">Aubaud C. (2004) Hydrogen partition coefficients between nominally anhydrous minerals and basaltic melts. </w:t>
      </w:r>
      <w:r>
        <w:rPr>
          <w:i/>
          <w:iCs/>
        </w:rPr>
        <w:t>Geophysical Research Letters</w:t>
      </w:r>
      <w:r>
        <w:t xml:space="preserve"> </w:t>
      </w:r>
      <w:r>
        <w:rPr>
          <w:b/>
          <w:bCs/>
        </w:rPr>
        <w:t>31</w:t>
      </w:r>
      <w:r>
        <w:t>, L20611–L20611.</w:t>
      </w:r>
    </w:p>
    <w:p w14:paraId="0B3FAF4E" w14:textId="77777777" w:rsidR="00A17546" w:rsidRDefault="00A17546" w:rsidP="00A17546">
      <w:pPr>
        <w:pStyle w:val="Bibliography"/>
      </w:pPr>
      <w:r>
        <w:t xml:space="preserve">Aulbach S., Rudnick R. L. and McDonough W. F. (2008) Li-Sr-Nd isotope signatures of the plume and cratonic lithospheric mantle beneath the margin of the rifted Tanzanian craton (Labait). </w:t>
      </w:r>
      <w:r>
        <w:rPr>
          <w:i/>
          <w:iCs/>
        </w:rPr>
        <w:t>Contrib. Mineral. Petrol.</w:t>
      </w:r>
      <w:r>
        <w:t xml:space="preserve"> </w:t>
      </w:r>
      <w:r>
        <w:rPr>
          <w:b/>
          <w:bCs/>
        </w:rPr>
        <w:t>155</w:t>
      </w:r>
      <w:r>
        <w:t>, 79–92.</w:t>
      </w:r>
    </w:p>
    <w:p w14:paraId="2534F9D0" w14:textId="77777777" w:rsidR="00A17546" w:rsidRDefault="00A17546" w:rsidP="00A17546">
      <w:pPr>
        <w:pStyle w:val="Bibliography"/>
      </w:pPr>
      <w:r>
        <w:t xml:space="preserve">Bell D. R., Grégoire M., Grove T. L., Chatterjee N., Carlson R. W. and Buseck P. R. (2005) Silica and volatile-element metasomatism of Archean mantle: a xenolith-scale example from the Kaapvaal Craton. </w:t>
      </w:r>
      <w:r>
        <w:rPr>
          <w:i/>
          <w:iCs/>
        </w:rPr>
        <w:t>Contributions to Mineralogy and Petrology</w:t>
      </w:r>
      <w:r>
        <w:t xml:space="preserve"> </w:t>
      </w:r>
      <w:r>
        <w:rPr>
          <w:b/>
          <w:bCs/>
        </w:rPr>
        <w:t>150</w:t>
      </w:r>
      <w:r>
        <w:t>, 251–267.</w:t>
      </w:r>
    </w:p>
    <w:p w14:paraId="7C60560F" w14:textId="77777777" w:rsidR="00A17546" w:rsidRDefault="00A17546" w:rsidP="00A17546">
      <w:pPr>
        <w:pStyle w:val="Bibliography"/>
      </w:pPr>
      <w:r>
        <w:t xml:space="preserve">Bell D. R. and Lhinger P. D. (2000) The isotopic composition of hydrogen in nominally anhydrous mantle minerals. </w:t>
      </w:r>
      <w:r>
        <w:rPr>
          <w:i/>
          <w:iCs/>
        </w:rPr>
        <w:t>Geochimica et Cosmochimica Acta</w:t>
      </w:r>
      <w:r>
        <w:t xml:space="preserve"> </w:t>
      </w:r>
      <w:r>
        <w:rPr>
          <w:b/>
          <w:bCs/>
        </w:rPr>
        <w:t>64</w:t>
      </w:r>
      <w:r>
        <w:t>, 2109–2118.</w:t>
      </w:r>
    </w:p>
    <w:p w14:paraId="16D271D1" w14:textId="77777777" w:rsidR="00A17546" w:rsidRDefault="00A17546" w:rsidP="00A17546">
      <w:pPr>
        <w:pStyle w:val="Bibliography"/>
      </w:pPr>
      <w:r>
        <w:lastRenderedPageBreak/>
        <w:t xml:space="preserve">Bell D. R., Lhinger P. D. and Rossman G. R. (1995) Quantitative analysis of trace OH in garnet and pyroxenes. </w:t>
      </w:r>
      <w:r>
        <w:rPr>
          <w:i/>
          <w:iCs/>
        </w:rPr>
        <w:t>American Mineralogist</w:t>
      </w:r>
      <w:r>
        <w:t xml:space="preserve"> </w:t>
      </w:r>
      <w:r>
        <w:rPr>
          <w:b/>
          <w:bCs/>
        </w:rPr>
        <w:t>80</w:t>
      </w:r>
      <w:r>
        <w:t>, 465–474.</w:t>
      </w:r>
    </w:p>
    <w:p w14:paraId="226515DA" w14:textId="77777777" w:rsidR="00A17546" w:rsidRDefault="00A17546" w:rsidP="00A17546">
      <w:pPr>
        <w:pStyle w:val="Bibliography"/>
      </w:pPr>
      <w:r>
        <w:t xml:space="preserve">Bénard A., Koga K. T., Shimizu N., Kendrick M. A., Ionov D. A., Nebel O. and Arculus R. J. (2017) Chlorine and fluorine partition coefficients and abundances in sub-arc mantle xenoliths (Kamchatka, Russia): Implications for melt generation and volatile recycling processes in subduction zones. </w:t>
      </w:r>
      <w:r>
        <w:rPr>
          <w:i/>
          <w:iCs/>
        </w:rPr>
        <w:t>Geochimica et Cosmochimica Acta</w:t>
      </w:r>
      <w:r>
        <w:t xml:space="preserve"> </w:t>
      </w:r>
      <w:r>
        <w:rPr>
          <w:b/>
          <w:bCs/>
        </w:rPr>
        <w:t>199</w:t>
      </w:r>
      <w:r>
        <w:t>, 324–350.</w:t>
      </w:r>
    </w:p>
    <w:p w14:paraId="1B040525" w14:textId="77777777" w:rsidR="00A17546" w:rsidRDefault="00A17546" w:rsidP="00A17546">
      <w:pPr>
        <w:pStyle w:val="Bibliography"/>
      </w:pPr>
      <w:r>
        <w:t xml:space="preserve">Beyer C., Klemme S., Grützner T., Ireland T. R., Magee C. W. and Frost D. J. (2016) Fluorine partitioning between eclogitic garnet, clinopyroxene, and melt at upper mantle conditions. </w:t>
      </w:r>
      <w:r>
        <w:rPr>
          <w:i/>
          <w:iCs/>
        </w:rPr>
        <w:t>Chemical Geology</w:t>
      </w:r>
      <w:r>
        <w:t xml:space="preserve"> </w:t>
      </w:r>
      <w:r>
        <w:rPr>
          <w:b/>
          <w:bCs/>
        </w:rPr>
        <w:t>437</w:t>
      </w:r>
      <w:r>
        <w:t>, 88–97.</w:t>
      </w:r>
    </w:p>
    <w:p w14:paraId="044611B8" w14:textId="77777777" w:rsidR="00A17546" w:rsidRDefault="00A17546" w:rsidP="00A17546">
      <w:pPr>
        <w:pStyle w:val="Bibliography"/>
      </w:pPr>
      <w:r>
        <w:t xml:space="preserve">Beyer C., Klemme S., Wiedenbeck M., Stracke A. and Vollmer C. (2012) Fluorine in nominally fluorine-free mantle minerals: Experimental partitioning of F between olivine, orthopyroxene and silicate melts with implications for magmatic processes. </w:t>
      </w:r>
      <w:r>
        <w:rPr>
          <w:i/>
          <w:iCs/>
        </w:rPr>
        <w:t>Earth and Planetary Science Letters</w:t>
      </w:r>
      <w:r>
        <w:t xml:space="preserve"> </w:t>
      </w:r>
      <w:r>
        <w:rPr>
          <w:b/>
          <w:bCs/>
        </w:rPr>
        <w:t>337–338</w:t>
      </w:r>
      <w:r>
        <w:t>, 1–9.</w:t>
      </w:r>
    </w:p>
    <w:p w14:paraId="0F2278F1" w14:textId="77777777" w:rsidR="00A17546" w:rsidRDefault="00A17546" w:rsidP="00A17546">
      <w:pPr>
        <w:pStyle w:val="Bibliography"/>
      </w:pPr>
      <w:r>
        <w:t xml:space="preserve">Bizimis M. and Peslier A. H. (2015) Water in Hawaiian garnet pyroxenites: Implications for water heterogeneity in the mantle. </w:t>
      </w:r>
      <w:r>
        <w:rPr>
          <w:i/>
          <w:iCs/>
        </w:rPr>
        <w:t>Chemical Geology</w:t>
      </w:r>
      <w:r>
        <w:t xml:space="preserve"> </w:t>
      </w:r>
      <w:r>
        <w:rPr>
          <w:b/>
          <w:bCs/>
        </w:rPr>
        <w:t>397</w:t>
      </w:r>
      <w:r>
        <w:t>, 61–75.</w:t>
      </w:r>
    </w:p>
    <w:p w14:paraId="388678C3" w14:textId="77777777" w:rsidR="00A17546" w:rsidRDefault="00A17546" w:rsidP="00A17546">
      <w:pPr>
        <w:pStyle w:val="Bibliography"/>
      </w:pPr>
      <w:r>
        <w:t xml:space="preserve">Blake S., Self S., Sharma K. and Sephton S. (2010) Sulfur release from the Columbia River Basalts and other flood lava eruptions constrained by a model of sulfide saturation. </w:t>
      </w:r>
      <w:r>
        <w:rPr>
          <w:i/>
          <w:iCs/>
        </w:rPr>
        <w:t>Earth and Planetary Science Letters</w:t>
      </w:r>
      <w:r>
        <w:t xml:space="preserve"> </w:t>
      </w:r>
      <w:r>
        <w:rPr>
          <w:b/>
          <w:bCs/>
        </w:rPr>
        <w:t>299</w:t>
      </w:r>
      <w:r>
        <w:t>, 328–338.</w:t>
      </w:r>
    </w:p>
    <w:p w14:paraId="19D3A80F" w14:textId="77777777" w:rsidR="00A17546" w:rsidRDefault="00A17546" w:rsidP="00A17546">
      <w:pPr>
        <w:pStyle w:val="Bibliography"/>
      </w:pPr>
      <w:r>
        <w:t xml:space="preserve">Bodinier J.-L., Garrido C. J., Chanefo I., Bruguier O. and Gervilla F. (2008) Origin of pyroxenite–peridotite veined mantle by refertilization reactions: Evidence from the Ronda peridotite (Southern Spain). </w:t>
      </w:r>
      <w:r>
        <w:rPr>
          <w:i/>
          <w:iCs/>
        </w:rPr>
        <w:t>Journal of Petrology</w:t>
      </w:r>
      <w:r>
        <w:t xml:space="preserve"> </w:t>
      </w:r>
      <w:r>
        <w:rPr>
          <w:b/>
          <w:bCs/>
        </w:rPr>
        <w:t>49</w:t>
      </w:r>
      <w:r>
        <w:t>, 999–1025.</w:t>
      </w:r>
    </w:p>
    <w:p w14:paraId="67E30B68" w14:textId="77777777" w:rsidR="00A17546" w:rsidRDefault="00A17546" w:rsidP="00A17546">
      <w:pPr>
        <w:pStyle w:val="Bibliography"/>
      </w:pPr>
      <w:r>
        <w:t xml:space="preserve">Bonadiman C., Hao Y., Coltorti M., Dallai L., Faccini B., Huang Y. and Xia Q. (2009) Water contents of pyroxenes in intraplate lithospheric mantle. </w:t>
      </w:r>
      <w:r>
        <w:rPr>
          <w:i/>
          <w:iCs/>
        </w:rPr>
        <w:t>European Journal of Mineralogy</w:t>
      </w:r>
      <w:r>
        <w:t xml:space="preserve"> </w:t>
      </w:r>
      <w:r>
        <w:rPr>
          <w:b/>
          <w:bCs/>
        </w:rPr>
        <w:t>21</w:t>
      </w:r>
      <w:r>
        <w:t>, 637–647.</w:t>
      </w:r>
    </w:p>
    <w:p w14:paraId="0C398B52" w14:textId="77777777" w:rsidR="00A17546" w:rsidRDefault="00A17546" w:rsidP="00A17546">
      <w:pPr>
        <w:pStyle w:val="Bibliography"/>
      </w:pPr>
      <w:r>
        <w:t xml:space="preserve">Burgess S. D., Muirhead J. D. and Bowring S. A. (2017) Initial pulse of Siberian Traps sills as the trigger of the end-Permian mass extinction. </w:t>
      </w:r>
      <w:r>
        <w:rPr>
          <w:i/>
          <w:iCs/>
        </w:rPr>
        <w:t>Nature Communications</w:t>
      </w:r>
      <w:r>
        <w:t xml:space="preserve"> </w:t>
      </w:r>
      <w:r>
        <w:rPr>
          <w:b/>
          <w:bCs/>
        </w:rPr>
        <w:t>8</w:t>
      </w:r>
      <w:r>
        <w:t>, 164.</w:t>
      </w:r>
    </w:p>
    <w:p w14:paraId="16A289E8" w14:textId="77777777" w:rsidR="00A17546" w:rsidRDefault="00A17546" w:rsidP="00A17546">
      <w:pPr>
        <w:pStyle w:val="Bibliography"/>
      </w:pPr>
      <w:r>
        <w:t xml:space="preserve">Cabato J. A., Stefano C. J. and Mukasa S. B. (2015) Volatile concentrations in olivine-hosted melt inclusions from the Columbia River flood basalts and associated lavas of the Oregon Plateau: Implications for magma genesis. </w:t>
      </w:r>
      <w:r>
        <w:rPr>
          <w:i/>
          <w:iCs/>
        </w:rPr>
        <w:t>Chemical Geology</w:t>
      </w:r>
      <w:r>
        <w:t xml:space="preserve"> </w:t>
      </w:r>
      <w:r>
        <w:rPr>
          <w:b/>
          <w:bCs/>
        </w:rPr>
        <w:t>392</w:t>
      </w:r>
      <w:r>
        <w:t>, 59–73.</w:t>
      </w:r>
    </w:p>
    <w:p w14:paraId="749136D6" w14:textId="77777777" w:rsidR="00A17546" w:rsidRDefault="00A17546" w:rsidP="00A17546">
      <w:pPr>
        <w:pStyle w:val="Bibliography"/>
      </w:pPr>
      <w:r>
        <w:t xml:space="preserve">Callegaro S., Baker D. R., Min A. D., Marzoli A., Geraki K., Bertrand H., Viti C. and Nestola F. (2014) Microanalyses link sulfur from Large Igneous Provinces and Mesozoic mass extinctions. </w:t>
      </w:r>
      <w:r>
        <w:rPr>
          <w:i/>
          <w:iCs/>
        </w:rPr>
        <w:t>Geology</w:t>
      </w:r>
      <w:r>
        <w:t xml:space="preserve"> </w:t>
      </w:r>
      <w:r>
        <w:rPr>
          <w:b/>
          <w:bCs/>
        </w:rPr>
        <w:t>42</w:t>
      </w:r>
      <w:r>
        <w:t>, 895–898.</w:t>
      </w:r>
    </w:p>
    <w:p w14:paraId="01F19A5F" w14:textId="77777777" w:rsidR="00A17546" w:rsidRDefault="00A17546" w:rsidP="00A17546">
      <w:pPr>
        <w:pStyle w:val="Bibliography"/>
      </w:pPr>
      <w:r>
        <w:t xml:space="preserve">Cuoco E., Tedesco D., Poreda R. J., Williams J. C., De Francesco S., Balagizi C. and Darrah T. H. (2013) Impact of volcanic plume emissions on rain water chemistry during the January 2010 Nyamuragira eruptive event: implications for essential potable water resources. </w:t>
      </w:r>
      <w:r>
        <w:rPr>
          <w:i/>
          <w:iCs/>
        </w:rPr>
        <w:t>Journal of Hazardous Materials</w:t>
      </w:r>
      <w:r>
        <w:t xml:space="preserve"> </w:t>
      </w:r>
      <w:r>
        <w:rPr>
          <w:b/>
          <w:bCs/>
        </w:rPr>
        <w:t>244–245</w:t>
      </w:r>
      <w:r>
        <w:t>, 570–581.</w:t>
      </w:r>
    </w:p>
    <w:p w14:paraId="2CBBCDE8" w14:textId="77777777" w:rsidR="00A17546" w:rsidRDefault="00A17546" w:rsidP="00A17546">
      <w:pPr>
        <w:pStyle w:val="Bibliography"/>
      </w:pPr>
      <w:r>
        <w:lastRenderedPageBreak/>
        <w:t xml:space="preserve">Dalou C., Koga K. T., Shimizu N., Boulon J. and Devidal J.-L. (2012) Experimental determination of F and Cl partitioning between lherzolite and basaltic melt. </w:t>
      </w:r>
      <w:r>
        <w:rPr>
          <w:i/>
          <w:iCs/>
        </w:rPr>
        <w:t>Contributions to Mineralogy and Petrology</w:t>
      </w:r>
      <w:r>
        <w:t xml:space="preserve"> </w:t>
      </w:r>
      <w:r>
        <w:rPr>
          <w:b/>
          <w:bCs/>
        </w:rPr>
        <w:t>163</w:t>
      </w:r>
      <w:r>
        <w:t>, 591–609.</w:t>
      </w:r>
    </w:p>
    <w:p w14:paraId="3BD71B3F" w14:textId="77777777" w:rsidR="00A17546" w:rsidRDefault="00A17546" w:rsidP="00A17546">
      <w:pPr>
        <w:pStyle w:val="Bibliography"/>
      </w:pPr>
      <w:r>
        <w:t xml:space="preserve">Dalou C., Koga K. T., Voyer M. L. and Shimizu N. (2014) Contrasting partition behavior of F and Cl during hydrous mantle melting: implications for Cl/F signature in arc magmas. </w:t>
      </w:r>
      <w:r>
        <w:rPr>
          <w:i/>
          <w:iCs/>
        </w:rPr>
        <w:t>Progress in Earth and Planetary Science</w:t>
      </w:r>
      <w:r>
        <w:t xml:space="preserve"> </w:t>
      </w:r>
      <w:r>
        <w:rPr>
          <w:b/>
          <w:bCs/>
        </w:rPr>
        <w:t>1</w:t>
      </w:r>
      <w:r>
        <w:t>, 1–26.</w:t>
      </w:r>
    </w:p>
    <w:p w14:paraId="463D01D3" w14:textId="77777777" w:rsidR="00A17546" w:rsidRDefault="00A17546" w:rsidP="00A17546">
      <w:pPr>
        <w:pStyle w:val="Bibliography"/>
      </w:pPr>
      <w:r>
        <w:t xml:space="preserve">Dasgupta R. and Hirschmann M. M. (2010) The deep carbon cycle and melting in Earth’s interior. </w:t>
      </w:r>
      <w:r>
        <w:rPr>
          <w:i/>
          <w:iCs/>
        </w:rPr>
        <w:t>Earth Planet. Sci. Lett.</w:t>
      </w:r>
      <w:r>
        <w:t xml:space="preserve"> </w:t>
      </w:r>
      <w:r>
        <w:rPr>
          <w:b/>
          <w:bCs/>
        </w:rPr>
        <w:t>298</w:t>
      </w:r>
      <w:r>
        <w:t>, 1–13.</w:t>
      </w:r>
    </w:p>
    <w:p w14:paraId="2D7BCF80" w14:textId="77777777" w:rsidR="00A17546" w:rsidRDefault="00A17546" w:rsidP="00A17546">
      <w:pPr>
        <w:pStyle w:val="Bibliography"/>
      </w:pPr>
      <w:r>
        <w:t xml:space="preserve">De Hoog J. C. M., Gall L. and Cornell D. H. (2010) Trace-element geochemistry of mantle olivine and application to mantle petrogenesis and geothermobarometry. </w:t>
      </w:r>
      <w:r>
        <w:rPr>
          <w:i/>
          <w:iCs/>
        </w:rPr>
        <w:t>Chemical Geology</w:t>
      </w:r>
      <w:r>
        <w:t xml:space="preserve"> </w:t>
      </w:r>
      <w:r>
        <w:rPr>
          <w:b/>
          <w:bCs/>
        </w:rPr>
        <w:t>270</w:t>
      </w:r>
      <w:r>
        <w:t>, 196–215.</w:t>
      </w:r>
    </w:p>
    <w:p w14:paraId="01D41ECC" w14:textId="77777777" w:rsidR="00A17546" w:rsidRDefault="00A17546" w:rsidP="00A17546">
      <w:pPr>
        <w:pStyle w:val="Bibliography"/>
      </w:pPr>
      <w:r>
        <w:t xml:space="preserve">Demouchy S. and Bolfan-Casanova N. (2016) Distribution and transport of hydrogen in the lithospheric mantle: A review. </w:t>
      </w:r>
      <w:r>
        <w:rPr>
          <w:i/>
          <w:iCs/>
        </w:rPr>
        <w:t>Lithos</w:t>
      </w:r>
      <w:r>
        <w:t xml:space="preserve"> </w:t>
      </w:r>
      <w:r>
        <w:rPr>
          <w:b/>
          <w:bCs/>
        </w:rPr>
        <w:t>240–243</w:t>
      </w:r>
      <w:r>
        <w:t>, 402–425.</w:t>
      </w:r>
    </w:p>
    <w:p w14:paraId="41AE1B8D" w14:textId="77777777" w:rsidR="00A17546" w:rsidRDefault="00A17546" w:rsidP="00A17546">
      <w:pPr>
        <w:pStyle w:val="Bibliography"/>
      </w:pPr>
      <w:r>
        <w:t xml:space="preserve">Demouchy S., Ishikawa A., Tommasi A., Alard O. and Keshav S. (2015) Characterization of hydration in the mantle lithosphere: Peridotite xenoliths from the Ontong Java Plateau as an example. </w:t>
      </w:r>
      <w:r>
        <w:rPr>
          <w:i/>
          <w:iCs/>
        </w:rPr>
        <w:t>Lithos</w:t>
      </w:r>
      <w:r>
        <w:t xml:space="preserve"> </w:t>
      </w:r>
      <w:r>
        <w:rPr>
          <w:b/>
          <w:bCs/>
        </w:rPr>
        <w:t>212–215</w:t>
      </w:r>
      <w:r>
        <w:t>, 189–201.</w:t>
      </w:r>
    </w:p>
    <w:p w14:paraId="4F63C6D7" w14:textId="77777777" w:rsidR="00A17546" w:rsidRDefault="00A17546" w:rsidP="00A17546">
      <w:pPr>
        <w:pStyle w:val="Bibliography"/>
      </w:pPr>
      <w:r>
        <w:t xml:space="preserve">Demouchy S., Jacobsen S. D., Gaillard F. and Stern C. R. (2006) Rapid magma ascent recorded by water diffusion profiles in mantle olivine. </w:t>
      </w:r>
      <w:r>
        <w:rPr>
          <w:i/>
          <w:iCs/>
        </w:rPr>
        <w:t>Geology</w:t>
      </w:r>
      <w:r>
        <w:t xml:space="preserve"> </w:t>
      </w:r>
      <w:r>
        <w:rPr>
          <w:b/>
          <w:bCs/>
        </w:rPr>
        <w:t>34</w:t>
      </w:r>
      <w:r>
        <w:t>, 429–432.</w:t>
      </w:r>
    </w:p>
    <w:p w14:paraId="41D0160C" w14:textId="77777777" w:rsidR="00A17546" w:rsidRDefault="00A17546" w:rsidP="00A17546">
      <w:pPr>
        <w:pStyle w:val="Bibliography"/>
      </w:pPr>
      <w:r>
        <w:t xml:space="preserve">Demouchy S., Shcheka S., Denis C. M. M. and Thoraval C. (2017) Subsolidus hydrogen partitioning between nominally anhydrous minerals in garnet-bearing peridotite. </w:t>
      </w:r>
      <w:r>
        <w:rPr>
          <w:i/>
          <w:iCs/>
        </w:rPr>
        <w:t>American Mineralogist</w:t>
      </w:r>
      <w:r>
        <w:t xml:space="preserve"> </w:t>
      </w:r>
      <w:r>
        <w:rPr>
          <w:b/>
          <w:bCs/>
        </w:rPr>
        <w:t>102</w:t>
      </w:r>
      <w:r>
        <w:t>, 1822–1831.</w:t>
      </w:r>
    </w:p>
    <w:p w14:paraId="66EAB26F" w14:textId="77777777" w:rsidR="00A17546" w:rsidRDefault="00A17546" w:rsidP="00A17546">
      <w:pPr>
        <w:pStyle w:val="Bibliography"/>
      </w:pPr>
      <w:r>
        <w:t xml:space="preserve">Demouchy S., Tommasi A., Ionov D., Higgie K. and Carlson R. W. (2019) Microstructures, Water Contents, and Seismic Properties of the Mantle Lithosphere Beneath the Northern Limit of the Hangay Dome, Mongolia. </w:t>
      </w:r>
      <w:r>
        <w:rPr>
          <w:i/>
          <w:iCs/>
        </w:rPr>
        <w:t>Geochemistry, Geophysics, Geosystems</w:t>
      </w:r>
      <w:r>
        <w:t xml:space="preserve"> </w:t>
      </w:r>
      <w:r>
        <w:rPr>
          <w:b/>
          <w:bCs/>
        </w:rPr>
        <w:t>20</w:t>
      </w:r>
      <w:r>
        <w:t>, 183–207.</w:t>
      </w:r>
    </w:p>
    <w:p w14:paraId="54CC31A0" w14:textId="77777777" w:rsidR="00A17546" w:rsidRDefault="00A17546" w:rsidP="00A17546">
      <w:pPr>
        <w:pStyle w:val="Bibliography"/>
      </w:pPr>
      <w:r>
        <w:t xml:space="preserve">Denis C. M. M., Alard O. and Demouchy S. (2015) Water content and hydrogen behaviour during metasomatism in the uppermost mantle beneath Ray Pic volcano (Massif Central, France). </w:t>
      </w:r>
      <w:r>
        <w:rPr>
          <w:i/>
          <w:iCs/>
        </w:rPr>
        <w:t>Lithos</w:t>
      </w:r>
      <w:r>
        <w:t xml:space="preserve"> </w:t>
      </w:r>
      <w:r>
        <w:rPr>
          <w:b/>
          <w:bCs/>
        </w:rPr>
        <w:t>236–237</w:t>
      </w:r>
      <w:r>
        <w:t>, 256–274.</w:t>
      </w:r>
    </w:p>
    <w:p w14:paraId="3898B725" w14:textId="77777777" w:rsidR="00A17546" w:rsidRDefault="00A17546" w:rsidP="00A17546">
      <w:pPr>
        <w:pStyle w:val="Bibliography"/>
      </w:pPr>
      <w:r>
        <w:t xml:space="preserve">Dixon J. E., Clague D. A., Wallace P. and Poreda R. (1997) Volatiles in alkalic basalts form the North Arch Volcanic Field, Hawaii: Extensive degassing of deep submarine-erupted alkalic series lavas. </w:t>
      </w:r>
      <w:r>
        <w:rPr>
          <w:i/>
          <w:iCs/>
        </w:rPr>
        <w:t>J Petrology</w:t>
      </w:r>
      <w:r>
        <w:t xml:space="preserve"> </w:t>
      </w:r>
      <w:r>
        <w:rPr>
          <w:b/>
          <w:bCs/>
        </w:rPr>
        <w:t>38</w:t>
      </w:r>
      <w:r>
        <w:t>, 911–939.</w:t>
      </w:r>
    </w:p>
    <w:p w14:paraId="55B6CF1F" w14:textId="77777777" w:rsidR="00A17546" w:rsidRDefault="00A17546" w:rsidP="00A17546">
      <w:pPr>
        <w:pStyle w:val="Bibliography"/>
      </w:pPr>
      <w:r>
        <w:t xml:space="preserve">D’Orazio M., Agostini S., Mazzarini F., Innocenti F., Manetti P., Haller M. J. and Lahsen A. (2000) The Pali Aike Volcanic Field, Patagonia: slab-window magmatism near the tip of South America. </w:t>
      </w:r>
      <w:r>
        <w:rPr>
          <w:i/>
          <w:iCs/>
        </w:rPr>
        <w:t>Tectonophysics</w:t>
      </w:r>
      <w:r>
        <w:t xml:space="preserve"> </w:t>
      </w:r>
      <w:r>
        <w:rPr>
          <w:b/>
          <w:bCs/>
        </w:rPr>
        <w:t>321</w:t>
      </w:r>
      <w:r>
        <w:t>, 407–427.</w:t>
      </w:r>
    </w:p>
    <w:p w14:paraId="6134B971" w14:textId="77777777" w:rsidR="00A17546" w:rsidRDefault="00A17546" w:rsidP="00A17546">
      <w:pPr>
        <w:pStyle w:val="Bibliography"/>
      </w:pPr>
      <w:r>
        <w:t xml:space="preserve">Doucet L. S., Peslier A. H., Ionov D. A., Brandon A. D., Golovin A. V., Goncharov A. G. and Ashchepkov I. V. (2014) High water contents in the Siberian cratonic mantle linked to metasomatism: An FTIR study of Udachnaya peridotite xenoliths. </w:t>
      </w:r>
      <w:r>
        <w:rPr>
          <w:i/>
          <w:iCs/>
        </w:rPr>
        <w:t>Geochimica et Cosmochimica Acta</w:t>
      </w:r>
      <w:r>
        <w:t xml:space="preserve"> </w:t>
      </w:r>
      <w:r>
        <w:rPr>
          <w:b/>
          <w:bCs/>
        </w:rPr>
        <w:t>137</w:t>
      </w:r>
      <w:r>
        <w:t>, 159–187.</w:t>
      </w:r>
    </w:p>
    <w:p w14:paraId="3EBB1472" w14:textId="77777777" w:rsidR="00A17546" w:rsidRDefault="00A17546" w:rsidP="00A17546">
      <w:pPr>
        <w:pStyle w:val="Bibliography"/>
      </w:pPr>
      <w:r>
        <w:lastRenderedPageBreak/>
        <w:t xml:space="preserve">Falus G., Tommasi A., Ingrin J. and Szabó C. (2008) Deformation and seismic anisotropy of the lithospheric mantle in the southeastern Carpathians inferred from the study of mantle xenoliths. </w:t>
      </w:r>
      <w:r>
        <w:rPr>
          <w:i/>
          <w:iCs/>
        </w:rPr>
        <w:t>Earth and Planetary Science Letters</w:t>
      </w:r>
      <w:r>
        <w:t xml:space="preserve"> </w:t>
      </w:r>
      <w:r>
        <w:rPr>
          <w:b/>
          <w:bCs/>
        </w:rPr>
        <w:t>272</w:t>
      </w:r>
      <w:r>
        <w:t>, 50–64.</w:t>
      </w:r>
    </w:p>
    <w:p w14:paraId="2A0C1E93" w14:textId="77777777" w:rsidR="00A17546" w:rsidRDefault="00A17546" w:rsidP="00A17546">
      <w:pPr>
        <w:pStyle w:val="Bibliography"/>
      </w:pPr>
      <w:r>
        <w:t xml:space="preserve">Férot A. and Bolfan-Casanova N. (2012) Water storage capacity in olivine and pyroxene to 14GPa: Implications for the water content of the Earth’s upper mantle and nature of seismic discontinuities. </w:t>
      </w:r>
      <w:r>
        <w:rPr>
          <w:i/>
          <w:iCs/>
        </w:rPr>
        <w:t>Earth and Planetary Science Letters</w:t>
      </w:r>
      <w:r>
        <w:t xml:space="preserve"> </w:t>
      </w:r>
      <w:r>
        <w:rPr>
          <w:b/>
          <w:bCs/>
        </w:rPr>
        <w:t>349–350</w:t>
      </w:r>
      <w:r>
        <w:t>, 218–230.</w:t>
      </w:r>
    </w:p>
    <w:p w14:paraId="2DFDB9FB" w14:textId="77777777" w:rsidR="00A17546" w:rsidRDefault="00A17546" w:rsidP="00A17546">
      <w:pPr>
        <w:pStyle w:val="Bibliography"/>
      </w:pPr>
      <w:r>
        <w:t xml:space="preserve">Foley S. F. and Fischer T. P. (2017) An essential role for continental rifts and lithosphere in the deep carbon cycle. </w:t>
      </w:r>
      <w:r>
        <w:rPr>
          <w:i/>
          <w:iCs/>
        </w:rPr>
        <w:t>Nature Geoscience</w:t>
      </w:r>
      <w:r>
        <w:t xml:space="preserve"> </w:t>
      </w:r>
      <w:r>
        <w:rPr>
          <w:b/>
          <w:bCs/>
        </w:rPr>
        <w:t>10</w:t>
      </w:r>
      <w:r>
        <w:t>, 897–902.</w:t>
      </w:r>
    </w:p>
    <w:p w14:paraId="79D49E15" w14:textId="77777777" w:rsidR="00A17546" w:rsidRDefault="00A17546" w:rsidP="00A17546">
      <w:pPr>
        <w:pStyle w:val="Bibliography"/>
      </w:pPr>
      <w:r>
        <w:t xml:space="preserve">Gaetani G. A. and Grove T. L. (1997) Partitioning of moderately siderophile elements among olivine, silicate melt, and sulfide melt: Constraints on core formation in the Earth and Mars. </w:t>
      </w:r>
      <w:r>
        <w:rPr>
          <w:i/>
          <w:iCs/>
        </w:rPr>
        <w:t>Geochimica et Cosmochimica Acta</w:t>
      </w:r>
      <w:r>
        <w:t xml:space="preserve"> </w:t>
      </w:r>
      <w:r>
        <w:rPr>
          <w:b/>
          <w:bCs/>
        </w:rPr>
        <w:t>61</w:t>
      </w:r>
      <w:r>
        <w:t>, 1829–1846.</w:t>
      </w:r>
    </w:p>
    <w:p w14:paraId="6CC18BE7" w14:textId="77777777" w:rsidR="00A17546" w:rsidRDefault="00A17546" w:rsidP="00A17546">
      <w:pPr>
        <w:pStyle w:val="Bibliography"/>
      </w:pPr>
      <w:r>
        <w:t>Gibson L. C. (2012) Antarctic lithosphere architecture and evolution: Direct constraints from mantle xenoliths. PhD thesis, University of Cambridge, UK, 275 pp. Available at: http://nora.nerc.ac.uk/502361/.</w:t>
      </w:r>
    </w:p>
    <w:p w14:paraId="58211BEC" w14:textId="77777777" w:rsidR="00A17546" w:rsidRDefault="00A17546" w:rsidP="00A17546">
      <w:pPr>
        <w:pStyle w:val="Bibliography"/>
      </w:pPr>
      <w:r>
        <w:t xml:space="preserve">Gibson S. A., Thompson R. N. and Day J. A. (2006) Timescales and mechanisms of plume–lithosphere interactions: 40Ar/39Ar geochronology and geochemistry of alkaline igneous rocks from the Paraná–Etendeka Large Igneous Province. </w:t>
      </w:r>
      <w:r>
        <w:rPr>
          <w:i/>
          <w:iCs/>
        </w:rPr>
        <w:t>Earth and Planetary Science Letters</w:t>
      </w:r>
      <w:r>
        <w:t xml:space="preserve"> </w:t>
      </w:r>
      <w:r>
        <w:rPr>
          <w:b/>
          <w:bCs/>
        </w:rPr>
        <w:t>251</w:t>
      </w:r>
      <w:r>
        <w:t>, 1–17.</w:t>
      </w:r>
    </w:p>
    <w:p w14:paraId="09390215" w14:textId="77777777" w:rsidR="00A17546" w:rsidRDefault="00A17546" w:rsidP="00A17546">
      <w:pPr>
        <w:pStyle w:val="Bibliography"/>
      </w:pPr>
      <w:r>
        <w:t xml:space="preserve">Gibson S. A., Thompson R. N., Dickin A. P. and Leonardos O. H. (1995) High-Ti and low-Ti mafic potassic magmas: Key to plume-lithosphere interactions and continental flood-basalt genesis. </w:t>
      </w:r>
      <w:r>
        <w:rPr>
          <w:i/>
          <w:iCs/>
        </w:rPr>
        <w:t>Earth and Planetary Science Letters</w:t>
      </w:r>
      <w:r>
        <w:t xml:space="preserve"> </w:t>
      </w:r>
      <w:r>
        <w:rPr>
          <w:b/>
          <w:bCs/>
        </w:rPr>
        <w:t>136</w:t>
      </w:r>
      <w:r>
        <w:t>, 149–165.</w:t>
      </w:r>
    </w:p>
    <w:p w14:paraId="6B118ED5" w14:textId="77777777" w:rsidR="00A17546" w:rsidRDefault="00A17546" w:rsidP="00A17546">
      <w:pPr>
        <w:pStyle w:val="Bibliography"/>
      </w:pPr>
      <w:r>
        <w:t xml:space="preserve">Gibson S. A., Thompson R. N., Leat P. T., Morrison M. A., Hendry G. L., Dickin A. P. and Mitchell J. G. (1993) Ultrapotassic magmas along the flanks of the Oligo-Miocene Rio Grande Rift, USA: Monitors of the zone of lithospheric mantle extension and thinning beneath a continental rift. </w:t>
      </w:r>
      <w:r>
        <w:rPr>
          <w:i/>
          <w:iCs/>
        </w:rPr>
        <w:t>Journal of Petrology</w:t>
      </w:r>
      <w:r>
        <w:t xml:space="preserve"> </w:t>
      </w:r>
      <w:r>
        <w:rPr>
          <w:b/>
          <w:bCs/>
        </w:rPr>
        <w:t>34</w:t>
      </w:r>
      <w:r>
        <w:t>, 187–228.</w:t>
      </w:r>
    </w:p>
    <w:p w14:paraId="1BA16BDB" w14:textId="77777777" w:rsidR="00A17546" w:rsidRDefault="00A17546" w:rsidP="00A17546">
      <w:pPr>
        <w:pStyle w:val="Bibliography"/>
      </w:pPr>
      <w:r>
        <w:t xml:space="preserve">Grant K., Ingrin J., Lorand J. P. and Dumas P. (2007) Water partitioning between mantle minerals from peridotite xenoliths. </w:t>
      </w:r>
      <w:r>
        <w:rPr>
          <w:i/>
          <w:iCs/>
        </w:rPr>
        <w:t>Contributions to Mineralogy and Petrology</w:t>
      </w:r>
      <w:r>
        <w:t xml:space="preserve"> </w:t>
      </w:r>
      <w:r>
        <w:rPr>
          <w:b/>
          <w:bCs/>
        </w:rPr>
        <w:t>154</w:t>
      </w:r>
      <w:r>
        <w:t>, 15–34.</w:t>
      </w:r>
    </w:p>
    <w:p w14:paraId="1AB36862" w14:textId="77777777" w:rsidR="00A17546" w:rsidRDefault="00A17546" w:rsidP="00A17546">
      <w:pPr>
        <w:pStyle w:val="Bibliography"/>
      </w:pPr>
      <w:r>
        <w:t xml:space="preserve">Green D. H., Hibberson W. O., Kovács I. and Rosenthal A. (2010) Water and its influence on the lithosphere–asthenosphere boundary. </w:t>
      </w:r>
      <w:r>
        <w:rPr>
          <w:i/>
          <w:iCs/>
        </w:rPr>
        <w:t>Nature</w:t>
      </w:r>
      <w:r>
        <w:t xml:space="preserve"> </w:t>
      </w:r>
      <w:r>
        <w:rPr>
          <w:b/>
          <w:bCs/>
        </w:rPr>
        <w:t>467</w:t>
      </w:r>
      <w:r>
        <w:t>, 448–451.</w:t>
      </w:r>
    </w:p>
    <w:p w14:paraId="6FB83770" w14:textId="77777777" w:rsidR="00A17546" w:rsidRDefault="00A17546" w:rsidP="00A17546">
      <w:pPr>
        <w:pStyle w:val="Bibliography"/>
      </w:pPr>
      <w:r>
        <w:t xml:space="preserve">Grützner T., Kohn S. C., Bromiley D. W., Rohrbach A., Berndt J. and Klemme S. (2017) The storage capacity of fluorine in olivine and pyroxene under upper mantle conditions. </w:t>
      </w:r>
      <w:r>
        <w:rPr>
          <w:i/>
          <w:iCs/>
        </w:rPr>
        <w:t>Geochimica et Cosmochimica Acta</w:t>
      </w:r>
      <w:r>
        <w:t xml:space="preserve"> </w:t>
      </w:r>
      <w:r>
        <w:rPr>
          <w:b/>
          <w:bCs/>
        </w:rPr>
        <w:t>208</w:t>
      </w:r>
      <w:r>
        <w:t>, 160–170.</w:t>
      </w:r>
    </w:p>
    <w:p w14:paraId="0933BA9A" w14:textId="77777777" w:rsidR="00A17546" w:rsidRDefault="00A17546" w:rsidP="00A17546">
      <w:pPr>
        <w:pStyle w:val="Bibliography"/>
      </w:pPr>
      <w:r>
        <w:t xml:space="preserve">Gu X., Ingrin J., Deloule E., France L. and Xia Q. (2018) Metasomatism in the sub-continental lithospheric mantle beneath the south French Massif Central: Constraints from trace elements, Li and H in peridotite minerals. </w:t>
      </w:r>
      <w:r>
        <w:rPr>
          <w:i/>
          <w:iCs/>
        </w:rPr>
        <w:t>Chemical Geology</w:t>
      </w:r>
      <w:r>
        <w:t xml:space="preserve"> </w:t>
      </w:r>
      <w:r>
        <w:rPr>
          <w:b/>
          <w:bCs/>
        </w:rPr>
        <w:t>478</w:t>
      </w:r>
      <w:r>
        <w:t>, 2–17.</w:t>
      </w:r>
    </w:p>
    <w:p w14:paraId="208A639D" w14:textId="77777777" w:rsidR="00A17546" w:rsidRDefault="00A17546" w:rsidP="00A17546">
      <w:pPr>
        <w:pStyle w:val="Bibliography"/>
      </w:pPr>
      <w:r>
        <w:t xml:space="preserve">Hao Y.-T., Li P., Coltorti M. and Xia Q.-K. (2018) Variations in the H2O Content and H2O/Ce Ratio of Mantle Pyroxenites: Implications for Enriched Components in the Mantle. </w:t>
      </w:r>
      <w:r>
        <w:rPr>
          <w:i/>
          <w:iCs/>
        </w:rPr>
        <w:t>Journal of Geophysical Research: Solid Earth</w:t>
      </w:r>
      <w:r>
        <w:t xml:space="preserve"> </w:t>
      </w:r>
      <w:r>
        <w:rPr>
          <w:b/>
          <w:bCs/>
        </w:rPr>
        <w:t>123</w:t>
      </w:r>
      <w:r>
        <w:t>, 5628–5643.</w:t>
      </w:r>
    </w:p>
    <w:p w14:paraId="781C4451" w14:textId="77777777" w:rsidR="00A17546" w:rsidRDefault="00A17546" w:rsidP="00A17546">
      <w:pPr>
        <w:pStyle w:val="Bibliography"/>
      </w:pPr>
      <w:r>
        <w:lastRenderedPageBreak/>
        <w:t xml:space="preserve">Hao Y.-T., Xia Q.-K., Tian Z.-Z. and Liu J. (2016) Mantle metasomatism did not modify the initial H2O content in peridotite xenoliths from the Tianchang basalts of eastern China. </w:t>
      </w:r>
      <w:r>
        <w:rPr>
          <w:i/>
          <w:iCs/>
        </w:rPr>
        <w:t>Lithos</w:t>
      </w:r>
      <w:r>
        <w:t xml:space="preserve"> </w:t>
      </w:r>
      <w:r>
        <w:rPr>
          <w:b/>
          <w:bCs/>
        </w:rPr>
        <w:t>260</w:t>
      </w:r>
      <w:r>
        <w:t>, 315–327.</w:t>
      </w:r>
    </w:p>
    <w:p w14:paraId="6F75BFCC" w14:textId="77777777" w:rsidR="00A17546" w:rsidRDefault="00A17546" w:rsidP="00A17546">
      <w:pPr>
        <w:pStyle w:val="Bibliography"/>
      </w:pPr>
      <w:r>
        <w:t xml:space="preserve">Harte B., Hunter R. H. and Kinny P. D. (1993) Melt geometry, movement and crystallization, in relation to mantle dykes, veins and metasomatism. </w:t>
      </w:r>
      <w:r>
        <w:rPr>
          <w:i/>
          <w:iCs/>
        </w:rPr>
        <w:t>Philosophical Transactions of the Royal Society of London A: Mathematical, Physical and Engineering Sciences</w:t>
      </w:r>
      <w:r>
        <w:t xml:space="preserve"> </w:t>
      </w:r>
      <w:r>
        <w:rPr>
          <w:b/>
          <w:bCs/>
        </w:rPr>
        <w:t>342</w:t>
      </w:r>
      <w:r>
        <w:t>, 1–21.</w:t>
      </w:r>
    </w:p>
    <w:p w14:paraId="134BF65D" w14:textId="77777777" w:rsidR="00A17546" w:rsidRDefault="00A17546" w:rsidP="00A17546">
      <w:pPr>
        <w:pStyle w:val="Bibliography"/>
      </w:pPr>
      <w:r>
        <w:t xml:space="preserve">Hauri E., Gaetani G. and Green T. (2006) Partitioning of water during melting of the Earth’s upper mantle at H2O-undersaturated conditions. </w:t>
      </w:r>
      <w:r>
        <w:rPr>
          <w:i/>
          <w:iCs/>
        </w:rPr>
        <w:t>Earth and Planetary Science Letters</w:t>
      </w:r>
      <w:r>
        <w:t xml:space="preserve"> </w:t>
      </w:r>
      <w:r>
        <w:rPr>
          <w:b/>
          <w:bCs/>
        </w:rPr>
        <w:t>248</w:t>
      </w:r>
      <w:r>
        <w:t>, 715–734.</w:t>
      </w:r>
    </w:p>
    <w:p w14:paraId="64370DFF" w14:textId="77777777" w:rsidR="00A17546" w:rsidRDefault="00A17546" w:rsidP="00A17546">
      <w:pPr>
        <w:pStyle w:val="Bibliography"/>
      </w:pPr>
      <w:r>
        <w:t>Hauri E. H., Gaetani G. A. and Green T. H. (2006) Partitioning of water during melting of the Earth’s upper mantle at H</w:t>
      </w:r>
      <w:r>
        <w:rPr>
          <w:vertAlign w:val="subscript"/>
        </w:rPr>
        <w:t>2</w:t>
      </w:r>
      <w:r>
        <w:t xml:space="preserve">O-undersaturated conditions. </w:t>
      </w:r>
      <w:r>
        <w:rPr>
          <w:i/>
          <w:iCs/>
        </w:rPr>
        <w:t>Earth and Planetary Science Letters</w:t>
      </w:r>
      <w:r>
        <w:t xml:space="preserve"> </w:t>
      </w:r>
      <w:r>
        <w:rPr>
          <w:b/>
          <w:bCs/>
        </w:rPr>
        <w:t>248</w:t>
      </w:r>
      <w:r>
        <w:t>, 715–734.</w:t>
      </w:r>
    </w:p>
    <w:p w14:paraId="2F20E307" w14:textId="77777777" w:rsidR="00A17546" w:rsidRDefault="00A17546" w:rsidP="00A17546">
      <w:pPr>
        <w:pStyle w:val="Bibliography"/>
      </w:pPr>
      <w:r>
        <w:t xml:space="preserve">Head E., Shaw A., Wallace P., Sims K. and Carn S. (2011) Insight into volatile behavior at Nyamuragira Volcano (D.R. Congo, Africa) through olivine-hosted melt inclusions. </w:t>
      </w:r>
      <w:r>
        <w:rPr>
          <w:i/>
          <w:iCs/>
        </w:rPr>
        <w:t>Geochemistry Geophysics Geosystems</w:t>
      </w:r>
      <w:r>
        <w:t>, 10.1029/2011GC003699.</w:t>
      </w:r>
    </w:p>
    <w:p w14:paraId="1BB252E5" w14:textId="77777777" w:rsidR="00A17546" w:rsidRDefault="00A17546" w:rsidP="00A17546">
      <w:pPr>
        <w:pStyle w:val="Bibliography"/>
      </w:pPr>
      <w:r>
        <w:t xml:space="preserve">Hirschmann M. M. (2018) Comparative deep Earth volatile cycles: The case for C recycling from exosphere/mantle fractionation of major (H2O, C, N) volatiles and from H2O/Ce, CO2/Ba, and CO2/Nb exosphere ratios. </w:t>
      </w:r>
      <w:r>
        <w:rPr>
          <w:i/>
          <w:iCs/>
        </w:rPr>
        <w:t>Earth and Planetary Science Letters</w:t>
      </w:r>
      <w:r>
        <w:t xml:space="preserve"> </w:t>
      </w:r>
      <w:r>
        <w:rPr>
          <w:b/>
          <w:bCs/>
        </w:rPr>
        <w:t>502</w:t>
      </w:r>
      <w:r>
        <w:t>, 262–273.</w:t>
      </w:r>
    </w:p>
    <w:p w14:paraId="2322DC62" w14:textId="77777777" w:rsidR="00A17546" w:rsidRDefault="00A17546" w:rsidP="00A17546">
      <w:pPr>
        <w:pStyle w:val="Bibliography"/>
      </w:pPr>
      <w:r>
        <w:t xml:space="preserve">Hirschmann M. M. (2006) Water, Melting, and the Deep Earth H2o Cycle. </w:t>
      </w:r>
      <w:r>
        <w:rPr>
          <w:i/>
          <w:iCs/>
        </w:rPr>
        <w:t>Annual Review of Earth and Planetary Sciences</w:t>
      </w:r>
      <w:r>
        <w:t xml:space="preserve"> </w:t>
      </w:r>
      <w:r>
        <w:rPr>
          <w:b/>
          <w:bCs/>
        </w:rPr>
        <w:t>34</w:t>
      </w:r>
      <w:r>
        <w:t>, 629–653.</w:t>
      </w:r>
    </w:p>
    <w:p w14:paraId="0B6D5021" w14:textId="77777777" w:rsidR="00A17546" w:rsidRDefault="00A17546" w:rsidP="00A17546">
      <w:pPr>
        <w:pStyle w:val="Bibliography"/>
      </w:pPr>
      <w:r>
        <w:t xml:space="preserve">Hole M. J. (1988) Post-subduction alkaline volcanism along the Antarctic Peninsula. </w:t>
      </w:r>
      <w:r>
        <w:rPr>
          <w:i/>
          <w:iCs/>
        </w:rPr>
        <w:t>Journal of the Geological Society</w:t>
      </w:r>
      <w:r>
        <w:t xml:space="preserve"> </w:t>
      </w:r>
      <w:r>
        <w:rPr>
          <w:b/>
          <w:bCs/>
        </w:rPr>
        <w:t>145</w:t>
      </w:r>
      <w:r>
        <w:t>, 985–998.</w:t>
      </w:r>
    </w:p>
    <w:p w14:paraId="7BA7C220" w14:textId="77777777" w:rsidR="00A17546" w:rsidRDefault="00A17546" w:rsidP="00A17546">
      <w:pPr>
        <w:pStyle w:val="Bibliography"/>
      </w:pPr>
      <w:r>
        <w:t xml:space="preserve">Hui H., Peslier A. H., Rudnick R. L., Simonetti A. and Neal C. R. (2015) Plume-cratonic lithosphere interaction recorded by water and other trace elements in peridotite xenoliths from the Labait volcano, Tanzania. </w:t>
      </w:r>
      <w:r>
        <w:rPr>
          <w:i/>
          <w:iCs/>
        </w:rPr>
        <w:t>Geochemistry, Geophysics, Geosystems</w:t>
      </w:r>
      <w:r>
        <w:t xml:space="preserve"> </w:t>
      </w:r>
      <w:r>
        <w:rPr>
          <w:b/>
          <w:bCs/>
        </w:rPr>
        <w:t>16</w:t>
      </w:r>
      <w:r>
        <w:t>, 1687–1710.</w:t>
      </w:r>
    </w:p>
    <w:p w14:paraId="6DCF320B" w14:textId="77777777" w:rsidR="00A17546" w:rsidRDefault="00A17546" w:rsidP="00A17546">
      <w:pPr>
        <w:pStyle w:val="Bibliography"/>
      </w:pPr>
      <w:r>
        <w:t xml:space="preserve">Ionov D. A., Ashchepkov I., Stosch H.-G., Witt-Eickschen G. and Seck H. A. (1993) Garnet peridotite xenoliths from the Vitim Volcanic Field, Baikal Region: the nature of the garnet—spinel peridotite transition zone in the continental mantle. </w:t>
      </w:r>
      <w:r>
        <w:rPr>
          <w:i/>
          <w:iCs/>
        </w:rPr>
        <w:t>Journal of Petrology</w:t>
      </w:r>
      <w:r>
        <w:t xml:space="preserve"> </w:t>
      </w:r>
      <w:r>
        <w:rPr>
          <w:b/>
          <w:bCs/>
        </w:rPr>
        <w:t>34</w:t>
      </w:r>
      <w:r>
        <w:t>, 1141–1175.</w:t>
      </w:r>
    </w:p>
    <w:p w14:paraId="40BFC9E8" w14:textId="77777777" w:rsidR="00A17546" w:rsidRDefault="00A17546" w:rsidP="00A17546">
      <w:pPr>
        <w:pStyle w:val="Bibliography"/>
      </w:pPr>
      <w:r>
        <w:t xml:space="preserve">Ionov D. A., Doucet L. S., Pogge von Strandmann P. A. E., Golovin A. V. and Korsakov A. V. (2017) Links between deformation, chemical enrichments and Li-isotope compositions in the lithospheric mantle of the central Siberian craton. </w:t>
      </w:r>
      <w:r>
        <w:rPr>
          <w:i/>
          <w:iCs/>
        </w:rPr>
        <w:t>Chemical Geology</w:t>
      </w:r>
      <w:r>
        <w:t xml:space="preserve"> </w:t>
      </w:r>
      <w:r>
        <w:rPr>
          <w:b/>
          <w:bCs/>
        </w:rPr>
        <w:t>475</w:t>
      </w:r>
      <w:r>
        <w:t>, 105–121.</w:t>
      </w:r>
    </w:p>
    <w:p w14:paraId="18B19124" w14:textId="77777777" w:rsidR="00A17546" w:rsidRDefault="00A17546" w:rsidP="00A17546">
      <w:pPr>
        <w:pStyle w:val="Bibliography"/>
      </w:pPr>
      <w:r>
        <w:t>Jean M. M., Taylor L. A., Howarth G. H., Peslier A. H., Fedele L., Bodnar R. J., Guan Y., Doucet L. S., Ionov D. A., Logvinova A. M., Golovin A. V. and Sobolev N. V. (2016) Olivine inclusions in Siberian diamonds and mantle xenoliths: Contrasting water and tra</w:t>
      </w:r>
      <w:r>
        <w:lastRenderedPageBreak/>
        <w:t xml:space="preserve">ce-element contents. </w:t>
      </w:r>
      <w:r>
        <w:rPr>
          <w:i/>
          <w:iCs/>
        </w:rPr>
        <w:t>Lithos</w:t>
      </w:r>
      <w:r>
        <w:t xml:space="preserve"> </w:t>
      </w:r>
      <w:r>
        <w:rPr>
          <w:b/>
          <w:bCs/>
        </w:rPr>
        <w:t>265</w:t>
      </w:r>
      <w:r>
        <w:t>, 31–41.</w:t>
      </w:r>
    </w:p>
    <w:p w14:paraId="6F19CCF8" w14:textId="77777777" w:rsidR="00A17546" w:rsidRDefault="00A17546" w:rsidP="00A17546">
      <w:pPr>
        <w:pStyle w:val="Bibliography"/>
      </w:pPr>
      <w:r>
        <w:t xml:space="preserve">Joachim B., Pawley A., Lyon I. C., Marquardt (neé Hartmann) K., Henkel T., Clay P. L., Ruzié L., Burgess R. and Ballentine C. J. (2015) Experimental partitioning of F and Cl between olivine, orthopyroxene and silicate melt at Earth’s mantle conditions. </w:t>
      </w:r>
      <w:r>
        <w:rPr>
          <w:i/>
          <w:iCs/>
        </w:rPr>
        <w:t>Chemical Geology</w:t>
      </w:r>
      <w:r>
        <w:t xml:space="preserve"> </w:t>
      </w:r>
      <w:r>
        <w:rPr>
          <w:b/>
          <w:bCs/>
        </w:rPr>
        <w:t>416</w:t>
      </w:r>
      <w:r>
        <w:t>, 65–78.</w:t>
      </w:r>
    </w:p>
    <w:p w14:paraId="4BD93D74" w14:textId="77777777" w:rsidR="00A17546" w:rsidRDefault="00A17546" w:rsidP="00A17546">
      <w:pPr>
        <w:pStyle w:val="Bibliography"/>
      </w:pPr>
      <w:r>
        <w:t xml:space="preserve">Kaeser B., Kalt A. and Ludwig T. (2007) Li, Be, and B abundances in minerals of peridotite xenoliths from Marsabit (Kenya): Disequilibrium processes and implications for subduction zone signatures. </w:t>
      </w:r>
      <w:r>
        <w:rPr>
          <w:i/>
          <w:iCs/>
        </w:rPr>
        <w:t>Geochemistry, Geophysics, Geosystems</w:t>
      </w:r>
      <w:r>
        <w:t xml:space="preserve"> </w:t>
      </w:r>
      <w:r>
        <w:rPr>
          <w:b/>
          <w:bCs/>
        </w:rPr>
        <w:t>8</w:t>
      </w:r>
      <w:r>
        <w:t>, 10.1029/2006GC001555.</w:t>
      </w:r>
    </w:p>
    <w:p w14:paraId="6817729D" w14:textId="77777777" w:rsidR="00A17546" w:rsidRDefault="00A17546" w:rsidP="00A17546">
      <w:pPr>
        <w:pStyle w:val="Bibliography"/>
      </w:pPr>
      <w:r>
        <w:t xml:space="preserve">Kagoshima T., Sano Y., Takahata N., Maruoka T., Fischer T. P. and Hattori K. (2015) Sulphur geodynamic cycle. </w:t>
      </w:r>
      <w:r>
        <w:rPr>
          <w:i/>
          <w:iCs/>
        </w:rPr>
        <w:t>Scientific Reports</w:t>
      </w:r>
      <w:r>
        <w:t xml:space="preserve"> </w:t>
      </w:r>
      <w:r>
        <w:rPr>
          <w:b/>
          <w:bCs/>
        </w:rPr>
        <w:t>5</w:t>
      </w:r>
      <w:r>
        <w:t>, 8330.</w:t>
      </w:r>
    </w:p>
    <w:p w14:paraId="6694EB51" w14:textId="77777777" w:rsidR="00A17546" w:rsidRDefault="00A17546" w:rsidP="00A17546">
      <w:pPr>
        <w:pStyle w:val="Bibliography"/>
      </w:pPr>
      <w:r>
        <w:t xml:space="preserve">Karato S.-I. and Jung H. (1998) Water, partial melting and the origin of the seismic low velocity and high attenuation zone in the upper mantle. </w:t>
      </w:r>
      <w:r>
        <w:rPr>
          <w:i/>
          <w:iCs/>
        </w:rPr>
        <w:t>Earth and Planetary Science Letters</w:t>
      </w:r>
      <w:r>
        <w:t xml:space="preserve"> </w:t>
      </w:r>
      <w:r>
        <w:rPr>
          <w:b/>
          <w:bCs/>
        </w:rPr>
        <w:t>157</w:t>
      </w:r>
      <w:r>
        <w:t>, 193–207.</w:t>
      </w:r>
    </w:p>
    <w:p w14:paraId="7A146D0C" w14:textId="77777777" w:rsidR="00A17546" w:rsidRDefault="00A17546" w:rsidP="00A17546">
      <w:pPr>
        <w:pStyle w:val="Bibliography"/>
      </w:pPr>
      <w:r>
        <w:t xml:space="preserve">Kelemen P. B. and Manning C. E. (2015) Reevaluating carbon fluxes in subduction zones, what goes down, mostly comes up. </w:t>
      </w:r>
      <w:r>
        <w:rPr>
          <w:i/>
          <w:iCs/>
        </w:rPr>
        <w:t>PNAS</w:t>
      </w:r>
      <w:r>
        <w:t>, 10.1073/pnas.1507889112.</w:t>
      </w:r>
    </w:p>
    <w:p w14:paraId="7CA85167" w14:textId="77777777" w:rsidR="00A17546" w:rsidRDefault="00A17546" w:rsidP="00A17546">
      <w:pPr>
        <w:pStyle w:val="Bibliography"/>
      </w:pPr>
      <w:r>
        <w:t xml:space="preserve">Kempton P. D., Hawkesworth C. J., Lopez-Escobar L., Pearson D. G., Wright D. W. and Ware A. G. (1999a) Spinel ± garnet lherzolite xenoliths from Pali Aike, Part 2: trace element and isotopic evidence on the evolution of lithospheric mantle beneath southern Patagonia. In </w:t>
      </w:r>
      <w:r>
        <w:rPr>
          <w:i/>
          <w:iCs/>
        </w:rPr>
        <w:t>Gurney, J. J., Gurney, J. L., Pascoe, M. D. &amp; Richardson, S. H. (eds) Proceedings Volume of 7th International Kimberlite Conference, Cape Town</w:t>
      </w:r>
      <w:r>
        <w:t xml:space="preserve"> Red Roof Design, Cape Town. pp. 415–428.</w:t>
      </w:r>
    </w:p>
    <w:p w14:paraId="6047D9EC" w14:textId="77777777" w:rsidR="00A17546" w:rsidRDefault="00A17546" w:rsidP="00A17546">
      <w:pPr>
        <w:pStyle w:val="Bibliography"/>
      </w:pPr>
      <w:r>
        <w:t xml:space="preserve">Kempton P. D., Lopez-Escobar L., Hawkesworth C. J., Pearson D. G., Wright D. W. and Ware A. G. (1999b) Spinel ± garnet lherzolite xenoliths from Pali Aike, Part 1: Petrography, mineral chemistry and geothermobarometry. In </w:t>
      </w:r>
      <w:r>
        <w:rPr>
          <w:i/>
          <w:iCs/>
        </w:rPr>
        <w:t>Gurney, J. J., Gurney, J. L., Pascoe, M. D. &amp; Richardson, S. H. (eds) Proceedings Volume of 7th International Kimberlite Conference, Cape Town</w:t>
      </w:r>
      <w:r>
        <w:t xml:space="preserve"> Red Roof Design, Cape Town. pp. 403–414.</w:t>
      </w:r>
    </w:p>
    <w:p w14:paraId="3F80162A" w14:textId="77777777" w:rsidR="00A17546" w:rsidRDefault="00A17546" w:rsidP="00A17546">
      <w:pPr>
        <w:pStyle w:val="Bibliography"/>
      </w:pPr>
      <w:r>
        <w:t xml:space="preserve">Kilgore M. L., Peslier A. H., Brandon A. D. and Lamb W. M. (2018) Water and oxygen fugacity in the lithospheric mantle wedge beneath the Northern Canadian Cordillera (Alligator Lake). </w:t>
      </w:r>
      <w:r>
        <w:rPr>
          <w:i/>
          <w:iCs/>
        </w:rPr>
        <w:t>Geochemistry, Geophysics, Geosystems</w:t>
      </w:r>
      <w:r>
        <w:t>, 10.1029/2018GC007700.</w:t>
      </w:r>
    </w:p>
    <w:p w14:paraId="2FDF2486" w14:textId="77777777" w:rsidR="00A17546" w:rsidRDefault="00A17546" w:rsidP="00A17546">
      <w:pPr>
        <w:pStyle w:val="Bibliography"/>
      </w:pPr>
      <w:r>
        <w:t xml:space="preserve">Kjarsgaard B. A., Pearson D. G., Tappe S., Nowell G. M. and Dowall D. P. (2009) Geochemistry of hypabyssal kimberlites from Lac de Gras, Canada: Comparisons to a global database and applications to the parent magma problem. </w:t>
      </w:r>
      <w:r>
        <w:rPr>
          <w:i/>
          <w:iCs/>
        </w:rPr>
        <w:t>Lithos</w:t>
      </w:r>
      <w:r>
        <w:t xml:space="preserve"> </w:t>
      </w:r>
      <w:r>
        <w:rPr>
          <w:b/>
          <w:bCs/>
        </w:rPr>
        <w:t>112</w:t>
      </w:r>
      <w:r>
        <w:t>, 236–248.</w:t>
      </w:r>
    </w:p>
    <w:p w14:paraId="1E88E54D" w14:textId="77777777" w:rsidR="00A17546" w:rsidRDefault="00A17546" w:rsidP="00A17546">
      <w:pPr>
        <w:pStyle w:val="Bibliography"/>
      </w:pPr>
      <w:r>
        <w:t xml:space="preserve">Klemme, Ivanic T. J., Connolly J. A. D. and Harte B. (2009) Thermodynamic modelling of Cr-bearing garnets with implications for diamond inclusions and peridotite xenoliths. </w:t>
      </w:r>
      <w:r>
        <w:rPr>
          <w:i/>
          <w:iCs/>
        </w:rPr>
        <w:t>Lithos</w:t>
      </w:r>
      <w:r>
        <w:t xml:space="preserve"> </w:t>
      </w:r>
      <w:r>
        <w:rPr>
          <w:b/>
          <w:bCs/>
        </w:rPr>
        <w:t>112</w:t>
      </w:r>
      <w:r>
        <w:t>, 986–991.</w:t>
      </w:r>
    </w:p>
    <w:p w14:paraId="04D16C6E" w14:textId="77777777" w:rsidR="00A17546" w:rsidRDefault="00A17546" w:rsidP="00A17546">
      <w:pPr>
        <w:pStyle w:val="Bibliography"/>
      </w:pPr>
      <w:r>
        <w:t xml:space="preserve">Kohn S. C. (2006) The partitioning of water between nominally anhydrous minerals and silicate melts. </w:t>
      </w:r>
      <w:r>
        <w:rPr>
          <w:i/>
          <w:iCs/>
        </w:rPr>
        <w:t>Reviews in Mineralogy and Geochemistry</w:t>
      </w:r>
      <w:r>
        <w:t xml:space="preserve"> </w:t>
      </w:r>
      <w:r>
        <w:rPr>
          <w:b/>
          <w:bCs/>
        </w:rPr>
        <w:t>62</w:t>
      </w:r>
      <w:r>
        <w:t>, 231–241.</w:t>
      </w:r>
    </w:p>
    <w:p w14:paraId="713966F0" w14:textId="77777777" w:rsidR="00A17546" w:rsidRDefault="00A17546" w:rsidP="00A17546">
      <w:pPr>
        <w:pStyle w:val="Bibliography"/>
      </w:pPr>
      <w:r>
        <w:t>Kovács I., Green D. H., Rosenthal A., Hermann J., O’neill H. S. C., Hibberson W. O. and Udvardi B. (2012) A</w:t>
      </w:r>
      <w:r>
        <w:lastRenderedPageBreak/>
        <w:t xml:space="preserve">n Experimental Study of Water in Nominally Anhydrous Minerals in the Upper Mantle near the Water-saturated Solidus. </w:t>
      </w:r>
      <w:r>
        <w:rPr>
          <w:i/>
          <w:iCs/>
        </w:rPr>
        <w:t>J Petrology</w:t>
      </w:r>
      <w:r>
        <w:t xml:space="preserve"> </w:t>
      </w:r>
      <w:r>
        <w:rPr>
          <w:b/>
          <w:bCs/>
        </w:rPr>
        <w:t>53</w:t>
      </w:r>
      <w:r>
        <w:t>, 2067–2093.</w:t>
      </w:r>
    </w:p>
    <w:p w14:paraId="422F011E" w14:textId="77777777" w:rsidR="00A17546" w:rsidRDefault="00A17546" w:rsidP="00A17546">
      <w:pPr>
        <w:pStyle w:val="Bibliography"/>
      </w:pPr>
      <w:r>
        <w:t xml:space="preserve">Kumamoto K. M., Warren J. M. and Hauri E. H. (2017) New SIMS reference materials for measuring water in upper mantle minerals. </w:t>
      </w:r>
      <w:r>
        <w:rPr>
          <w:i/>
          <w:iCs/>
        </w:rPr>
        <w:t>American Mineralogist</w:t>
      </w:r>
      <w:r>
        <w:t xml:space="preserve"> </w:t>
      </w:r>
      <w:r>
        <w:rPr>
          <w:b/>
          <w:bCs/>
        </w:rPr>
        <w:t>102</w:t>
      </w:r>
      <w:r>
        <w:t>, 537–547.</w:t>
      </w:r>
    </w:p>
    <w:p w14:paraId="204AC686" w14:textId="77777777" w:rsidR="00A17546" w:rsidRDefault="00A17546" w:rsidP="00A17546">
      <w:pPr>
        <w:pStyle w:val="Bibliography"/>
      </w:pPr>
      <w:r>
        <w:t xml:space="preserve">Lazarov M., Woodland A. B. and Brey G. P. (2009) Thermal state and redox conditions of the Kaapvaal mantle: A study of xenoliths from the Finsch mine, South Africa. </w:t>
      </w:r>
      <w:r>
        <w:rPr>
          <w:i/>
          <w:iCs/>
        </w:rPr>
        <w:t>Lithos</w:t>
      </w:r>
      <w:r>
        <w:t xml:space="preserve"> </w:t>
      </w:r>
      <w:r>
        <w:rPr>
          <w:b/>
          <w:bCs/>
        </w:rPr>
        <w:t>112</w:t>
      </w:r>
      <w:r>
        <w:t>, 913–923.</w:t>
      </w:r>
    </w:p>
    <w:p w14:paraId="6FAEC85C" w14:textId="77777777" w:rsidR="00A17546" w:rsidRDefault="00A17546" w:rsidP="00A17546">
      <w:pPr>
        <w:pStyle w:val="Bibliography"/>
      </w:pPr>
      <w:r>
        <w:t xml:space="preserve">Le Maitre R. W. (2002) </w:t>
      </w:r>
      <w:r>
        <w:rPr>
          <w:i/>
          <w:iCs/>
        </w:rPr>
        <w:t>Igneous Rocks: A classification and glossary of terms. Recommendations of the International Union of Geological Sciences Subcommission on the Systematics of Igneous Rocks</w:t>
      </w:r>
      <w:r>
        <w:t>. 2nd ed., Cambridge University Press, Cambridge, New York, Melbourne.</w:t>
      </w:r>
    </w:p>
    <w:p w14:paraId="1F496EC7" w14:textId="77777777" w:rsidR="00A17546" w:rsidRDefault="00A17546" w:rsidP="00A17546">
      <w:pPr>
        <w:pStyle w:val="Bibliography"/>
      </w:pPr>
      <w:r>
        <w:t xml:space="preserve">Le Roux V., Dick H. J. B. and Shimizu N. (2014) Tracking flux melting and melt percolation in supra-subduction peridotites (Josephine ophiolite, USA). </w:t>
      </w:r>
      <w:r>
        <w:rPr>
          <w:i/>
          <w:iCs/>
        </w:rPr>
        <w:t>Contributions to Mineralogy and Petrology</w:t>
      </w:r>
      <w:r>
        <w:t xml:space="preserve"> </w:t>
      </w:r>
      <w:r>
        <w:rPr>
          <w:b/>
          <w:bCs/>
        </w:rPr>
        <w:t>168</w:t>
      </w:r>
      <w:r>
        <w:t>, 1064.</w:t>
      </w:r>
    </w:p>
    <w:p w14:paraId="5F2B9DC9" w14:textId="77777777" w:rsidR="00A17546" w:rsidRDefault="00A17546" w:rsidP="00A17546">
      <w:pPr>
        <w:pStyle w:val="Bibliography"/>
      </w:pPr>
      <w:r>
        <w:t xml:space="preserve">Lee C.-T. and Rudnick R. L. (1999) Compositionally stratified cratonic lithosphere: Petrology and geochemistry of peridotite xenoliths from the Labait tuff cone, Tanzania. In </w:t>
      </w:r>
      <w:r>
        <w:rPr>
          <w:i/>
          <w:iCs/>
        </w:rPr>
        <w:t>Gurney, J. J., Gurney, J. L., Pascoe, M. D. &amp; Richardson, S. H. (eds) Proceedings Volume of 7th International Kimberlite Conference, Cape Town</w:t>
      </w:r>
      <w:r>
        <w:t xml:space="preserve"> Cape Town. pp. 503–521.</w:t>
      </w:r>
    </w:p>
    <w:p w14:paraId="27510B87" w14:textId="77777777" w:rsidR="00A17546" w:rsidRDefault="00A17546" w:rsidP="00A17546">
      <w:pPr>
        <w:pStyle w:val="Bibliography"/>
      </w:pPr>
      <w:r>
        <w:t xml:space="preserve">Li P., Scott J. M., Liu J. and Xia Q. (2018) Lateral H2O variation in the Zealandia lithospheric mantle controls orogen width. </w:t>
      </w:r>
      <w:r>
        <w:rPr>
          <w:i/>
          <w:iCs/>
        </w:rPr>
        <w:t>Earth and Planetary Science Letters</w:t>
      </w:r>
      <w:r>
        <w:t xml:space="preserve"> </w:t>
      </w:r>
      <w:r>
        <w:rPr>
          <w:b/>
          <w:bCs/>
        </w:rPr>
        <w:t>502</w:t>
      </w:r>
      <w:r>
        <w:t>, 200–209.</w:t>
      </w:r>
    </w:p>
    <w:p w14:paraId="6B33F5E9" w14:textId="77777777" w:rsidR="00A17546" w:rsidRDefault="00A17546" w:rsidP="00A17546">
      <w:pPr>
        <w:pStyle w:val="Bibliography"/>
      </w:pPr>
      <w:r>
        <w:t xml:space="preserve">Li P., Xia Q.-K., Deloule E., Chen H., Gu X.-Y. and Feng M. (2015) Temporal variation of H2O content in the lithospheric mantle beneath the eastern North China Craton: Implications for the destruction of cratons. </w:t>
      </w:r>
      <w:r>
        <w:rPr>
          <w:i/>
          <w:iCs/>
        </w:rPr>
        <w:t>Gondwana Research</w:t>
      </w:r>
      <w:r>
        <w:t xml:space="preserve"> </w:t>
      </w:r>
      <w:r>
        <w:rPr>
          <w:b/>
          <w:bCs/>
        </w:rPr>
        <w:t>28</w:t>
      </w:r>
      <w:r>
        <w:t>, 276–287.</w:t>
      </w:r>
    </w:p>
    <w:p w14:paraId="436DCA81" w14:textId="77777777" w:rsidR="00A17546" w:rsidRDefault="00A17546" w:rsidP="00A17546">
      <w:pPr>
        <w:pStyle w:val="Bibliography"/>
      </w:pPr>
      <w:r>
        <w:t xml:space="preserve">Li Z.-X. A., Lee C.-T. A., Peslier A. H., Lenardic A. and Mackwell S. J. (2008) Water contents in mantle xenoliths from the Colorado Plateau and vicinity: Implications for the mantle rheology and hydration-induced thinning of continental lithosphere. </w:t>
      </w:r>
      <w:r>
        <w:rPr>
          <w:i/>
          <w:iCs/>
        </w:rPr>
        <w:t>Journal of Geophysical Research: Solid Earth</w:t>
      </w:r>
      <w:r>
        <w:t xml:space="preserve"> </w:t>
      </w:r>
      <w:r>
        <w:rPr>
          <w:b/>
          <w:bCs/>
        </w:rPr>
        <w:t>113</w:t>
      </w:r>
      <w:r>
        <w:t>. Available at: https://agupubs.onlinelibrary.wiley.com/doi/abs/10.1029/2007JB005540.</w:t>
      </w:r>
    </w:p>
    <w:p w14:paraId="65FE8F34" w14:textId="77777777" w:rsidR="00A17546" w:rsidRDefault="00A17546" w:rsidP="00A17546">
      <w:pPr>
        <w:pStyle w:val="Bibliography"/>
      </w:pPr>
      <w:r>
        <w:t xml:space="preserve">Liu X. and O’Neill H. S. C. (2004) The effect of Cr2O3 on the partial melting of spinel lherzolite in the system CaO–MgO–Al2O3–SiO2–Cr2O3 at 1·1 GPa. </w:t>
      </w:r>
      <w:r>
        <w:rPr>
          <w:i/>
          <w:iCs/>
        </w:rPr>
        <w:t>Journal of Petrology</w:t>
      </w:r>
      <w:r>
        <w:t xml:space="preserve"> </w:t>
      </w:r>
      <w:r>
        <w:rPr>
          <w:b/>
          <w:bCs/>
        </w:rPr>
        <w:t>45</w:t>
      </w:r>
      <w:r>
        <w:t>, 2261–2286.</w:t>
      </w:r>
    </w:p>
    <w:p w14:paraId="71C89DA5" w14:textId="77777777" w:rsidR="00A17546" w:rsidRDefault="00A17546" w:rsidP="00A17546">
      <w:pPr>
        <w:pStyle w:val="Bibliography"/>
      </w:pPr>
      <w:r>
        <w:t xml:space="preserve">Luffi P., Saleeby J. B., Lee C.-T. A. and Ducea M. N. (2009) Lithospheric mantle duplex beneath the central Mojave Desert revealed by xenoliths from Dish Hill, California. </w:t>
      </w:r>
      <w:r>
        <w:rPr>
          <w:i/>
          <w:iCs/>
        </w:rPr>
        <w:t>Journal of Geophysical Research: Solid Earth.</w:t>
      </w:r>
      <w:r>
        <w:t xml:space="preserve"> </w:t>
      </w:r>
      <w:r>
        <w:rPr>
          <w:b/>
          <w:bCs/>
        </w:rPr>
        <w:t>114</w:t>
      </w:r>
      <w:r>
        <w:t>, 10.1029/2008JB005906.</w:t>
      </w:r>
    </w:p>
    <w:p w14:paraId="3854C864" w14:textId="77777777" w:rsidR="00A17546" w:rsidRDefault="00A17546" w:rsidP="00A17546">
      <w:pPr>
        <w:pStyle w:val="Bibliography"/>
      </w:pPr>
      <w:r>
        <w:t xml:space="preserve">Lyubetskaya T. and Korenaga J. (2007) Chemical composition of Earth’s primitive mantle and its variance: 1. Method and results. </w:t>
      </w:r>
      <w:r>
        <w:rPr>
          <w:i/>
          <w:iCs/>
        </w:rPr>
        <w:t>J. Geophys. Res.</w:t>
      </w:r>
      <w:r>
        <w:t xml:space="preserve"> </w:t>
      </w:r>
      <w:r>
        <w:rPr>
          <w:b/>
          <w:bCs/>
        </w:rPr>
        <w:t>112</w:t>
      </w:r>
      <w:r>
        <w:t>, B03211.</w:t>
      </w:r>
    </w:p>
    <w:p w14:paraId="27986B23" w14:textId="77777777" w:rsidR="00A17546" w:rsidRDefault="00A17546" w:rsidP="00A17546">
      <w:pPr>
        <w:pStyle w:val="Bibliography"/>
      </w:pPr>
      <w:r>
        <w:t>Manning P. G. and Nickel E. H. (1969) A spectral study of the origin of colour and pleochroism of a ti</w:t>
      </w:r>
      <w:r>
        <w:lastRenderedPageBreak/>
        <w:t xml:space="preserve">tanaugite from Kaiserstuhl and of a riebeckite from Saint Peter’s Dome, Colorado. </w:t>
      </w:r>
      <w:r>
        <w:rPr>
          <w:i/>
          <w:iCs/>
        </w:rPr>
        <w:t>The Canadian Mineralogist</w:t>
      </w:r>
      <w:r>
        <w:t xml:space="preserve"> </w:t>
      </w:r>
      <w:r>
        <w:rPr>
          <w:b/>
          <w:bCs/>
        </w:rPr>
        <w:t>10</w:t>
      </w:r>
      <w:r>
        <w:t>, 71–83.</w:t>
      </w:r>
    </w:p>
    <w:p w14:paraId="1D52EA25" w14:textId="77777777" w:rsidR="00A17546" w:rsidRDefault="00A17546" w:rsidP="00A17546">
      <w:pPr>
        <w:pStyle w:val="Bibliography"/>
      </w:pPr>
      <w:r>
        <w:t xml:space="preserve">Marks L., Keiding J., Wenzel T., Trumbull R. B., Veksler I., Wiedenbeck M. and Markl G. (2014) F, Cl, and S concentrations in olivine-hosted melt inclusions from mafic dikes in NW Namibia and implications for the environmental impact of the Paraná–Etendeka Large Igneous Province. </w:t>
      </w:r>
      <w:r>
        <w:rPr>
          <w:i/>
          <w:iCs/>
        </w:rPr>
        <w:t>Earth and Planetary Science Letters</w:t>
      </w:r>
      <w:r>
        <w:t xml:space="preserve"> </w:t>
      </w:r>
      <w:r>
        <w:rPr>
          <w:b/>
          <w:bCs/>
        </w:rPr>
        <w:t>392</w:t>
      </w:r>
      <w:r>
        <w:t>, 39–49.</w:t>
      </w:r>
    </w:p>
    <w:p w14:paraId="10ED4B69" w14:textId="77777777" w:rsidR="00A17546" w:rsidRDefault="00A17546" w:rsidP="00A17546">
      <w:pPr>
        <w:pStyle w:val="Bibliography"/>
      </w:pPr>
      <w:r>
        <w:t xml:space="preserve">Marschall H. R., Wanless V. D., Shimizu N., Pogge von Strandmann P. A. E., Elliott T. and Monteleone B. D. (2017) The boron and lithium isotopic composition of mid-ocean ridge basalts and the mantle. </w:t>
      </w:r>
      <w:r>
        <w:rPr>
          <w:i/>
          <w:iCs/>
        </w:rPr>
        <w:t>Geochimica et Cosmochimica Acta</w:t>
      </w:r>
      <w:r>
        <w:t xml:space="preserve"> </w:t>
      </w:r>
      <w:r>
        <w:rPr>
          <w:b/>
          <w:bCs/>
        </w:rPr>
        <w:t>207</w:t>
      </w:r>
      <w:r>
        <w:t>, 102–138.</w:t>
      </w:r>
    </w:p>
    <w:p w14:paraId="7A72B6EF" w14:textId="77777777" w:rsidR="00A17546" w:rsidRDefault="00A17546" w:rsidP="00A17546">
      <w:pPr>
        <w:pStyle w:val="Bibliography"/>
      </w:pPr>
      <w:r>
        <w:t xml:space="preserve">Marshall E. W., Lassiter J. C. and Barnes J. D. (2018) On the (mis)behavior of water in the mantle: Controls on nominally anhydrous mineral water content in mantle peridotites. </w:t>
      </w:r>
      <w:r>
        <w:rPr>
          <w:i/>
          <w:iCs/>
        </w:rPr>
        <w:t>Earth and Planetary Science Letters</w:t>
      </w:r>
      <w:r>
        <w:t xml:space="preserve"> </w:t>
      </w:r>
      <w:r>
        <w:rPr>
          <w:b/>
          <w:bCs/>
        </w:rPr>
        <w:t>499</w:t>
      </w:r>
      <w:r>
        <w:t>, 219–229.</w:t>
      </w:r>
    </w:p>
    <w:p w14:paraId="1DE0ED15" w14:textId="77777777" w:rsidR="00A17546" w:rsidRDefault="00A17546" w:rsidP="00A17546">
      <w:pPr>
        <w:pStyle w:val="Bibliography"/>
      </w:pPr>
      <w:r>
        <w:t xml:space="preserve">Mather T. A., Witt M. L. I., Pyle D. M., Quayle B. M., Aiuppa A., Bagnato E., Martin R. S., Sims K. W. W., Edmonds M., Sutton A. J. and Ilyinskaya E. (2012) Halogens and trace metal emissions from the ongoing 2008 summit eruption of Kīlauea volcano, Hawai`i. </w:t>
      </w:r>
      <w:r>
        <w:rPr>
          <w:i/>
          <w:iCs/>
        </w:rPr>
        <w:t>Geochimica et Cosmochimica Acta</w:t>
      </w:r>
      <w:r>
        <w:t xml:space="preserve"> </w:t>
      </w:r>
      <w:r>
        <w:rPr>
          <w:b/>
          <w:bCs/>
        </w:rPr>
        <w:t>83</w:t>
      </w:r>
      <w:r>
        <w:t>, 292–323.</w:t>
      </w:r>
    </w:p>
    <w:p w14:paraId="58F3F4A7" w14:textId="77777777" w:rsidR="00A17546" w:rsidRDefault="00A17546" w:rsidP="00A17546">
      <w:pPr>
        <w:pStyle w:val="Bibliography"/>
      </w:pPr>
      <w:r>
        <w:t xml:space="preserve">McKenzie D. (1989) Some remarks on the movement of small melt fractions in the mantle. </w:t>
      </w:r>
      <w:r>
        <w:rPr>
          <w:i/>
          <w:iCs/>
        </w:rPr>
        <w:t>Earth and Planetary Science Letters</w:t>
      </w:r>
      <w:r>
        <w:t xml:space="preserve"> </w:t>
      </w:r>
      <w:r>
        <w:rPr>
          <w:b/>
          <w:bCs/>
        </w:rPr>
        <w:t>95</w:t>
      </w:r>
      <w:r>
        <w:t>, 53–72.</w:t>
      </w:r>
    </w:p>
    <w:p w14:paraId="21FD8316" w14:textId="77777777" w:rsidR="00A17546" w:rsidRDefault="00A17546" w:rsidP="00A17546">
      <w:pPr>
        <w:pStyle w:val="Bibliography"/>
      </w:pPr>
      <w:r>
        <w:t xml:space="preserve">Menzies M. A. (1983) Mantle ultramafic xenoliths in alkaline magmas: evidence for mantle heterogeneity modified by magmatic activity. </w:t>
      </w:r>
      <w:r>
        <w:rPr>
          <w:i/>
          <w:iCs/>
        </w:rPr>
        <w:t>Continental Basalts and Mantle Xenoliths, eds Hawkesworth C.J. &amp; Norry M.J., publ. Shiva, Nantwich</w:t>
      </w:r>
      <w:r>
        <w:t>, 92–110.</w:t>
      </w:r>
    </w:p>
    <w:p w14:paraId="159AA35C" w14:textId="77777777" w:rsidR="00A17546" w:rsidRDefault="00A17546" w:rsidP="00A17546">
      <w:pPr>
        <w:pStyle w:val="Bibliography"/>
      </w:pPr>
      <w:r>
        <w:t xml:space="preserve">Mierdel K., Keppler H., Smyth J. R. and Langenhorst F. (2007) Water solubility in aluminous orthopyroxene and the origin of Earth’s asthenosphere. </w:t>
      </w:r>
      <w:r>
        <w:rPr>
          <w:i/>
          <w:iCs/>
        </w:rPr>
        <w:t>Science</w:t>
      </w:r>
      <w:r>
        <w:t xml:space="preserve"> </w:t>
      </w:r>
      <w:r>
        <w:rPr>
          <w:b/>
          <w:bCs/>
        </w:rPr>
        <w:t>315</w:t>
      </w:r>
      <w:r>
        <w:t>, 364.</w:t>
      </w:r>
    </w:p>
    <w:p w14:paraId="6879B505" w14:textId="77777777" w:rsidR="00A17546" w:rsidRDefault="00A17546" w:rsidP="00A17546">
      <w:pPr>
        <w:pStyle w:val="Bibliography"/>
      </w:pPr>
      <w:r>
        <w:t xml:space="preserve">Mosenfelder J. L. and Rossman G. R. (2013a) Analysis of hydrogen and fluorine in pyroxenes: I. Orthopyroxene. </w:t>
      </w:r>
      <w:r>
        <w:rPr>
          <w:i/>
          <w:iCs/>
        </w:rPr>
        <w:t>American Mineralogist</w:t>
      </w:r>
      <w:r>
        <w:t xml:space="preserve"> </w:t>
      </w:r>
      <w:r>
        <w:rPr>
          <w:b/>
          <w:bCs/>
        </w:rPr>
        <w:t>98</w:t>
      </w:r>
      <w:r>
        <w:t>, 1026–1041.</w:t>
      </w:r>
    </w:p>
    <w:p w14:paraId="20226E4A" w14:textId="77777777" w:rsidR="00A17546" w:rsidRDefault="00A17546" w:rsidP="00A17546">
      <w:pPr>
        <w:pStyle w:val="Bibliography"/>
      </w:pPr>
      <w:r>
        <w:t xml:space="preserve">Mosenfelder J. L. and Rossman G. R. (2013b) Analysis of hydrogen and fluorine in pyroxenes: II. Clinopyroxene. </w:t>
      </w:r>
      <w:r>
        <w:rPr>
          <w:i/>
          <w:iCs/>
        </w:rPr>
        <w:t>American Mineralogist</w:t>
      </w:r>
      <w:r>
        <w:t xml:space="preserve"> </w:t>
      </w:r>
      <w:r>
        <w:rPr>
          <w:b/>
          <w:bCs/>
        </w:rPr>
        <w:t>98</w:t>
      </w:r>
      <w:r>
        <w:t>, 1042–1054.</w:t>
      </w:r>
    </w:p>
    <w:p w14:paraId="63EDCED1" w14:textId="77777777" w:rsidR="00A17546" w:rsidRDefault="00A17546" w:rsidP="00A17546">
      <w:pPr>
        <w:pStyle w:val="Bibliography"/>
      </w:pPr>
      <w:r>
        <w:t xml:space="preserve">Mundl A., Ntaflos T., Ackerman L., Bizimis M., Bjerg E. A. and Hauzenberger C. A. (2015) Mesoproterozoic and Paleoproterozoic subcontinental lithospheric mantle domains beneath southern Patagonia: Isotopic evidence for its connection to Africa and Antarctica. </w:t>
      </w:r>
      <w:r>
        <w:rPr>
          <w:i/>
          <w:iCs/>
        </w:rPr>
        <w:t>Geology</w:t>
      </w:r>
      <w:r>
        <w:t xml:space="preserve"> </w:t>
      </w:r>
      <w:r>
        <w:rPr>
          <w:b/>
          <w:bCs/>
        </w:rPr>
        <w:t>43</w:t>
      </w:r>
      <w:r>
        <w:t>, 39–42.</w:t>
      </w:r>
    </w:p>
    <w:p w14:paraId="35242223" w14:textId="77777777" w:rsidR="00A17546" w:rsidRDefault="00A17546" w:rsidP="00A17546">
      <w:pPr>
        <w:pStyle w:val="Bibliography"/>
      </w:pPr>
      <w:r>
        <w:t xml:space="preserve">Nickel K. G. and Green D. H. (1985) Empirical geothermobarometry for garnet peridotites and implications for the nature of the lithosphere, kimberlites and diamonds. </w:t>
      </w:r>
      <w:r>
        <w:rPr>
          <w:i/>
          <w:iCs/>
        </w:rPr>
        <w:t>Earth and Planetary Science Letters</w:t>
      </w:r>
      <w:r>
        <w:t xml:space="preserve"> </w:t>
      </w:r>
      <w:r>
        <w:rPr>
          <w:b/>
          <w:bCs/>
        </w:rPr>
        <w:t>73</w:t>
      </w:r>
      <w:r>
        <w:t>, 158–170.</w:t>
      </w:r>
    </w:p>
    <w:p w14:paraId="463E5602" w14:textId="77777777" w:rsidR="00A17546" w:rsidRDefault="00A17546" w:rsidP="00A17546">
      <w:pPr>
        <w:pStyle w:val="Bibliography"/>
      </w:pPr>
      <w:r>
        <w:t xml:space="preserve">Novella D., Frost D. J., Hauri E. H., Bureau H., Raepsaet C. and Roberge M. (2014) The distribution of H2O between silicate melt and nominally anhydrous peridotite and the onset of hydrous melting in the deep upper mantle. </w:t>
      </w:r>
      <w:r>
        <w:rPr>
          <w:i/>
          <w:iCs/>
        </w:rPr>
        <w:t>Earth and Planetary Science Letters</w:t>
      </w:r>
      <w:r>
        <w:t xml:space="preserve"> </w:t>
      </w:r>
      <w:r>
        <w:rPr>
          <w:b/>
          <w:bCs/>
        </w:rPr>
        <w:t>4</w:t>
      </w:r>
      <w:r>
        <w:rPr>
          <w:b/>
          <w:bCs/>
        </w:rPr>
        <w:lastRenderedPageBreak/>
        <w:t>00</w:t>
      </w:r>
      <w:r>
        <w:t>, 1–13.</w:t>
      </w:r>
    </w:p>
    <w:p w14:paraId="60765487" w14:textId="77777777" w:rsidR="00A17546" w:rsidRDefault="00A17546" w:rsidP="00A17546">
      <w:pPr>
        <w:pStyle w:val="Bibliography"/>
      </w:pPr>
      <w:r>
        <w:t xml:space="preserve">O’Leary J. A., Gaetani G. A. and Hauri E. H. (2010) The effect of tetrahedral Al3+ on the partitioning of water between clinopyroxene and silicate melt. </w:t>
      </w:r>
      <w:r>
        <w:rPr>
          <w:i/>
          <w:iCs/>
        </w:rPr>
        <w:t>Earth and Planetary Science Letters</w:t>
      </w:r>
      <w:r>
        <w:t xml:space="preserve"> </w:t>
      </w:r>
      <w:r>
        <w:rPr>
          <w:b/>
          <w:bCs/>
        </w:rPr>
        <w:t>297</w:t>
      </w:r>
      <w:r>
        <w:t>, 111–120.</w:t>
      </w:r>
    </w:p>
    <w:p w14:paraId="3695BC06" w14:textId="77777777" w:rsidR="00A17546" w:rsidRDefault="00A17546" w:rsidP="00A17546">
      <w:pPr>
        <w:pStyle w:val="Bibliography"/>
      </w:pPr>
      <w:r>
        <w:t xml:space="preserve">O’Neill H. St. C. (1981) The transition between spinel lherzolite and garnet lherzolite, and its use as a Geobarometer. </w:t>
      </w:r>
      <w:r>
        <w:rPr>
          <w:i/>
          <w:iCs/>
        </w:rPr>
        <w:t>Contributions to Mineralogy and Petrology</w:t>
      </w:r>
      <w:r>
        <w:t xml:space="preserve"> </w:t>
      </w:r>
      <w:r>
        <w:rPr>
          <w:b/>
          <w:bCs/>
        </w:rPr>
        <w:t>77</w:t>
      </w:r>
      <w:r>
        <w:t>, 185–194.</w:t>
      </w:r>
    </w:p>
    <w:p w14:paraId="295B0B1F" w14:textId="77777777" w:rsidR="00A17546" w:rsidRDefault="00A17546" w:rsidP="00A17546">
      <w:pPr>
        <w:pStyle w:val="Bibliography"/>
      </w:pPr>
      <w:r>
        <w:t xml:space="preserve">Palme H. and O’Neill H. St. C. (2007) Cosmochemical estimates of mantle composition. In </w:t>
      </w:r>
      <w:r>
        <w:rPr>
          <w:i/>
          <w:iCs/>
        </w:rPr>
        <w:t>Treatise on Geochemistry</w:t>
      </w:r>
      <w:r>
        <w:t xml:space="preserve"> (ed. K. K. Turekian). Pergamon, Oxford. pp. 1–38.</w:t>
      </w:r>
    </w:p>
    <w:p w14:paraId="24C66F0B" w14:textId="77777777" w:rsidR="00A17546" w:rsidRDefault="00A17546" w:rsidP="00A17546">
      <w:pPr>
        <w:pStyle w:val="Bibliography"/>
      </w:pPr>
      <w:r>
        <w:t xml:space="preserve">Pearson D. G., Canil D. and Shirey S. B. (2003) 2.05 - Mantle Samples Included in Volcanic Rocks: Xenoliths and Diamonds. In </w:t>
      </w:r>
      <w:r>
        <w:rPr>
          <w:i/>
          <w:iCs/>
        </w:rPr>
        <w:t>Treatise on Geochemistry</w:t>
      </w:r>
      <w:r>
        <w:t xml:space="preserve"> (eds. H. D. Holland and K. K. Turekian). Pergamon, Oxford. pp. 171–275. Available at: http://www.sciencedirect.com/science/article/pii/B0080437516020053 [Accessed August 2, 2019].</w:t>
      </w:r>
    </w:p>
    <w:p w14:paraId="6B9EB71C" w14:textId="77777777" w:rsidR="00A17546" w:rsidRDefault="00A17546" w:rsidP="00A17546">
      <w:pPr>
        <w:pStyle w:val="Bibliography"/>
      </w:pPr>
      <w:r>
        <w:t xml:space="preserve">Peslier A. H. (2010) A review of water contents of nominally anhydrous natural minerals in the mantles of Earth, Mars and the Moon. </w:t>
      </w:r>
      <w:r>
        <w:rPr>
          <w:i/>
          <w:iCs/>
        </w:rPr>
        <w:t>Journal of Volcanology and Geothermal Research</w:t>
      </w:r>
      <w:r>
        <w:t xml:space="preserve"> </w:t>
      </w:r>
      <w:r>
        <w:rPr>
          <w:b/>
          <w:bCs/>
        </w:rPr>
        <w:t>197</w:t>
      </w:r>
      <w:r>
        <w:t>, 239–258.</w:t>
      </w:r>
    </w:p>
    <w:p w14:paraId="42E39D44" w14:textId="77777777" w:rsidR="00A17546" w:rsidRDefault="00A17546" w:rsidP="00A17546">
      <w:pPr>
        <w:pStyle w:val="Bibliography"/>
      </w:pPr>
      <w:r>
        <w:t xml:space="preserve">Peslier A. H. and Bizimis M. (2015) Water in Hawaiian peridotite minerals: A case for a dry metasomatized oceanic mantle lithosphere. </w:t>
      </w:r>
      <w:r>
        <w:rPr>
          <w:i/>
          <w:iCs/>
        </w:rPr>
        <w:t>Geochemistry, Geophysics, Geosystems</w:t>
      </w:r>
      <w:r>
        <w:t xml:space="preserve"> </w:t>
      </w:r>
      <w:r>
        <w:rPr>
          <w:b/>
          <w:bCs/>
        </w:rPr>
        <w:t>16</w:t>
      </w:r>
      <w:r>
        <w:t>, 1211–1232.</w:t>
      </w:r>
    </w:p>
    <w:p w14:paraId="3115095A" w14:textId="77777777" w:rsidR="00A17546" w:rsidRDefault="00A17546" w:rsidP="00A17546">
      <w:pPr>
        <w:pStyle w:val="Bibliography"/>
      </w:pPr>
      <w:r>
        <w:t xml:space="preserve">Peslier A. H. and Luhr J. F. (2006) Hydrogen loss from olivines in mantle xenoliths from Simcoe (USA) and Mexico: Mafic alkalic magma ascent rates and water budget of the sub-continental lithosphere - ScienceDirect. </w:t>
      </w:r>
      <w:r>
        <w:rPr>
          <w:i/>
          <w:iCs/>
        </w:rPr>
        <w:t>Earth and Planetary Science Letters</w:t>
      </w:r>
      <w:r>
        <w:t xml:space="preserve"> </w:t>
      </w:r>
      <w:r>
        <w:rPr>
          <w:b/>
          <w:bCs/>
        </w:rPr>
        <w:t>242</w:t>
      </w:r>
      <w:r>
        <w:t>, 302–319.</w:t>
      </w:r>
    </w:p>
    <w:p w14:paraId="0F149EC2" w14:textId="77777777" w:rsidR="00A17546" w:rsidRDefault="00A17546" w:rsidP="00A17546">
      <w:pPr>
        <w:pStyle w:val="Bibliography"/>
      </w:pPr>
      <w:r>
        <w:t xml:space="preserve">Peslier A. H., Luhr J. F. and Post J. (2002) Low water contents in pyroxenes from spinel-peridotites of the oxidized, sub-arc mantle wedge. </w:t>
      </w:r>
      <w:r>
        <w:rPr>
          <w:i/>
          <w:iCs/>
        </w:rPr>
        <w:t>Earth and Planetary Science Letters</w:t>
      </w:r>
      <w:r>
        <w:t xml:space="preserve"> </w:t>
      </w:r>
      <w:r>
        <w:rPr>
          <w:b/>
          <w:bCs/>
        </w:rPr>
        <w:t>201</w:t>
      </w:r>
      <w:r>
        <w:t>, 69–86.</w:t>
      </w:r>
    </w:p>
    <w:p w14:paraId="251B42E2" w14:textId="77777777" w:rsidR="00A17546" w:rsidRDefault="00A17546" w:rsidP="00A17546">
      <w:pPr>
        <w:pStyle w:val="Bibliography"/>
      </w:pPr>
      <w:r>
        <w:t xml:space="preserve">Peslier A. H., Schönbächler M., Busemann H. and Karato S.-I. (2017) Water in the Earth’s interior: Distribution and origin. </w:t>
      </w:r>
      <w:r>
        <w:rPr>
          <w:i/>
          <w:iCs/>
        </w:rPr>
        <w:t>Space Science Reviews</w:t>
      </w:r>
      <w:r>
        <w:t xml:space="preserve"> </w:t>
      </w:r>
      <w:r>
        <w:rPr>
          <w:b/>
          <w:bCs/>
        </w:rPr>
        <w:t>212</w:t>
      </w:r>
      <w:r>
        <w:t>, 1–68.</w:t>
      </w:r>
    </w:p>
    <w:p w14:paraId="21E199BE" w14:textId="77777777" w:rsidR="00A17546" w:rsidRDefault="00A17546" w:rsidP="00A17546">
      <w:pPr>
        <w:pStyle w:val="Bibliography"/>
      </w:pPr>
      <w:r>
        <w:t xml:space="preserve">Peslier A. H., Woodland A. B., Bell D. R., Lazarov M. and Lapen T. J. (2012) Metasomatic control of water contents in the Kaapvaal cratonic mantle. </w:t>
      </w:r>
      <w:r>
        <w:rPr>
          <w:i/>
          <w:iCs/>
        </w:rPr>
        <w:t>Geochimica et Cosmochimica Acta</w:t>
      </w:r>
      <w:r>
        <w:t xml:space="preserve"> </w:t>
      </w:r>
      <w:r>
        <w:rPr>
          <w:b/>
          <w:bCs/>
        </w:rPr>
        <w:t>97</w:t>
      </w:r>
      <w:r>
        <w:t>, 213–246.</w:t>
      </w:r>
    </w:p>
    <w:p w14:paraId="66D3C5FE" w14:textId="77777777" w:rsidR="00A17546" w:rsidRDefault="00A17546" w:rsidP="00A17546">
      <w:pPr>
        <w:pStyle w:val="Bibliography"/>
      </w:pPr>
      <w:r>
        <w:t xml:space="preserve">Pogge von Strandmann P. A. E., Elliott T., Marschall H. R., Coath C., Lai Y.-J., Jeffcoate A. B. and Ionov D. A. (2011) Variations of Li and Mg isotope ratios in bulk chondrites and mantle xenoliths. </w:t>
      </w:r>
      <w:r>
        <w:rPr>
          <w:i/>
          <w:iCs/>
        </w:rPr>
        <w:t>Geochimica et Cosmochimica Acta</w:t>
      </w:r>
      <w:r>
        <w:t xml:space="preserve"> </w:t>
      </w:r>
      <w:r>
        <w:rPr>
          <w:b/>
          <w:bCs/>
        </w:rPr>
        <w:t>75</w:t>
      </w:r>
      <w:r>
        <w:t>, 5247–5268.</w:t>
      </w:r>
    </w:p>
    <w:p w14:paraId="655F9569" w14:textId="77777777" w:rsidR="00A17546" w:rsidRDefault="00A17546" w:rsidP="00A17546">
      <w:pPr>
        <w:pStyle w:val="Bibliography"/>
      </w:pPr>
      <w:r>
        <w:t xml:space="preserve">Priestley K. and McKenzie D. (2013) The relationship between shear wave velocity, temperature, attenuation and viscosity in the shallow part of the mantle. </w:t>
      </w:r>
      <w:r>
        <w:rPr>
          <w:i/>
          <w:iCs/>
        </w:rPr>
        <w:t>Earth Planet Sci. Letts.</w:t>
      </w:r>
      <w:r>
        <w:t xml:space="preserve"> </w:t>
      </w:r>
      <w:r>
        <w:rPr>
          <w:b/>
          <w:bCs/>
        </w:rPr>
        <w:t>381</w:t>
      </w:r>
      <w:r>
        <w:t>, 78–91.</w:t>
      </w:r>
    </w:p>
    <w:p w14:paraId="1EF3CBD1" w14:textId="77777777" w:rsidR="00A17546" w:rsidRDefault="00A17546" w:rsidP="00A17546">
      <w:pPr>
        <w:pStyle w:val="Bibliography"/>
      </w:pPr>
      <w:r>
        <w:t>Pyle D. M. and Mather T. A. (2009) Halogens in igneous processes an</w:t>
      </w:r>
      <w:r>
        <w:lastRenderedPageBreak/>
        <w:t xml:space="preserve">d their fluxes to the atmosphere and oceans from volcanic activity: A review. </w:t>
      </w:r>
      <w:r>
        <w:rPr>
          <w:i/>
          <w:iCs/>
        </w:rPr>
        <w:t>Chemical Geology</w:t>
      </w:r>
      <w:r>
        <w:t xml:space="preserve"> </w:t>
      </w:r>
      <w:r>
        <w:rPr>
          <w:b/>
          <w:bCs/>
        </w:rPr>
        <w:t>263</w:t>
      </w:r>
      <w:r>
        <w:t>, 110–121.</w:t>
      </w:r>
    </w:p>
    <w:p w14:paraId="09DECF45" w14:textId="77777777" w:rsidR="00A17546" w:rsidRDefault="00A17546" w:rsidP="00A17546">
      <w:pPr>
        <w:pStyle w:val="Bibliography"/>
      </w:pPr>
      <w:r>
        <w:t xml:space="preserve">Rauch M. and Keppler H. (2002) Water solubility in orthopyroxene. </w:t>
      </w:r>
      <w:r>
        <w:rPr>
          <w:i/>
          <w:iCs/>
        </w:rPr>
        <w:t>Contributions to Mineralogy and Petrology</w:t>
      </w:r>
      <w:r>
        <w:t xml:space="preserve"> </w:t>
      </w:r>
      <w:r>
        <w:rPr>
          <w:b/>
          <w:bCs/>
        </w:rPr>
        <w:t>143</w:t>
      </w:r>
      <w:r>
        <w:t>, 525–536.</w:t>
      </w:r>
    </w:p>
    <w:p w14:paraId="43C24256" w14:textId="77777777" w:rsidR="00A17546" w:rsidRDefault="00A17546" w:rsidP="00A17546">
      <w:pPr>
        <w:pStyle w:val="Bibliography"/>
      </w:pPr>
      <w:r>
        <w:t xml:space="preserve">Rooks E. (2016) </w:t>
      </w:r>
      <w:r>
        <w:rPr>
          <w:i/>
          <w:iCs/>
        </w:rPr>
        <w:t>The subcontinental lithospheric mantle evolution of the southern Gondwana margin</w:t>
      </w:r>
      <w:r>
        <w:t>., PhD thesis, University of Cambridge, UK, 200 pp.</w:t>
      </w:r>
    </w:p>
    <w:p w14:paraId="0E77C6E5" w14:textId="77777777" w:rsidR="00A17546" w:rsidRDefault="00A17546" w:rsidP="00A17546">
      <w:pPr>
        <w:pStyle w:val="Bibliography"/>
      </w:pPr>
      <w:r>
        <w:t xml:space="preserve">Rosenthal A. and Hauri E. H. (2015) Experimental determination of C, F, and H partitioning between mantle minerals and carbonated basalt, CO2/Ba and CO2/Nb systematics of partial melting, and the CO2 contents of basaltic source regions. </w:t>
      </w:r>
      <w:r>
        <w:rPr>
          <w:i/>
          <w:iCs/>
        </w:rPr>
        <w:t>Earth and Planetary Science Letters</w:t>
      </w:r>
      <w:r>
        <w:t xml:space="preserve"> </w:t>
      </w:r>
      <w:r>
        <w:rPr>
          <w:b/>
          <w:bCs/>
        </w:rPr>
        <w:t>412</w:t>
      </w:r>
      <w:r>
        <w:t>, 77–87.</w:t>
      </w:r>
    </w:p>
    <w:p w14:paraId="2415F704" w14:textId="77777777" w:rsidR="00A17546" w:rsidRDefault="00A17546" w:rsidP="00A17546">
      <w:pPr>
        <w:pStyle w:val="Bibliography"/>
      </w:pPr>
      <w:r>
        <w:t xml:space="preserve">Ross A. J. (2008) Compositional variability of the mantle beneath West Antarctica and its relationship to terrane tectonics: Evidence from mantle xenoliths. </w:t>
      </w:r>
      <w:r>
        <w:rPr>
          <w:i/>
          <w:iCs/>
        </w:rPr>
        <w:t>MRes thesis, University of Cambridge, UK</w:t>
      </w:r>
      <w:r>
        <w:t>, 150 pp.</w:t>
      </w:r>
    </w:p>
    <w:p w14:paraId="79B2144A" w14:textId="77777777" w:rsidR="00A17546" w:rsidRDefault="00A17546" w:rsidP="00A17546">
      <w:pPr>
        <w:pStyle w:val="Bibliography"/>
      </w:pPr>
      <w:r>
        <w:t xml:space="preserve">Rudnick R. L. and Ionov D. A. (2007) Lithium elemental and isotopic disequilibrium in minerals from peridotite xenoliths from far-east Russia: Product of recent melt/fluid–rock reaction. </w:t>
      </w:r>
      <w:r>
        <w:rPr>
          <w:i/>
          <w:iCs/>
        </w:rPr>
        <w:t>Earth and Planetary Science Letters</w:t>
      </w:r>
      <w:r>
        <w:t xml:space="preserve"> </w:t>
      </w:r>
      <w:r>
        <w:rPr>
          <w:b/>
          <w:bCs/>
        </w:rPr>
        <w:t>256</w:t>
      </w:r>
      <w:r>
        <w:t>, 278–293.</w:t>
      </w:r>
    </w:p>
    <w:p w14:paraId="3FC151CB" w14:textId="77777777" w:rsidR="00A17546" w:rsidRDefault="00A17546" w:rsidP="00A17546">
      <w:pPr>
        <w:pStyle w:val="Bibliography"/>
      </w:pPr>
      <w:r>
        <w:t xml:space="preserve">Salters V. J. M. and Stracke A. (2004) Composition of the depleted mantle. </w:t>
      </w:r>
      <w:r>
        <w:rPr>
          <w:i/>
          <w:iCs/>
        </w:rPr>
        <w:t>Geochem. Geophys. Geosyst.</w:t>
      </w:r>
      <w:r>
        <w:t xml:space="preserve"> </w:t>
      </w:r>
      <w:r>
        <w:rPr>
          <w:b/>
          <w:bCs/>
        </w:rPr>
        <w:t>5</w:t>
      </w:r>
      <w:r>
        <w:t>, 200410.1029/2003GC000597.</w:t>
      </w:r>
    </w:p>
    <w:p w14:paraId="766BBCC6" w14:textId="77777777" w:rsidR="00A17546" w:rsidRDefault="00A17546" w:rsidP="00A17546">
      <w:pPr>
        <w:pStyle w:val="Bibliography"/>
      </w:pPr>
      <w:r>
        <w:t xml:space="preserve">Satsukawa T., Godard M., Demouchy S., Michibayashi K. and Ildefonse B. (2017) Chemical interactions in the subduction factory: New insights from an in situ trace element and hydrogen study of the Ichinomegata and Oki-Dogo mantle xenoliths (Japan). </w:t>
      </w:r>
      <w:r>
        <w:rPr>
          <w:i/>
          <w:iCs/>
        </w:rPr>
        <w:t>Geochimica et Cosmochimica Acta</w:t>
      </w:r>
      <w:r>
        <w:t xml:space="preserve"> </w:t>
      </w:r>
      <w:r>
        <w:rPr>
          <w:b/>
          <w:bCs/>
        </w:rPr>
        <w:t>208</w:t>
      </w:r>
      <w:r>
        <w:t>, 234–267.</w:t>
      </w:r>
    </w:p>
    <w:p w14:paraId="1E35E494" w14:textId="77777777" w:rsidR="00A17546" w:rsidRDefault="00A17546" w:rsidP="00A17546">
      <w:pPr>
        <w:pStyle w:val="Bibliography"/>
      </w:pPr>
      <w:r>
        <w:t>Schaffer L. A., Peslier A. H., Brandon A. D., Bizimis M., Gibler R., Norman M. and Harvey J. (2018) Effects of melting, subduction-related metasomatism, and sub-solidus equilibration on the distribution of water contents in the mantle beneath the Rio Grande Rift. .</w:t>
      </w:r>
      <w:r>
        <w:rPr>
          <w:i/>
          <w:iCs/>
        </w:rPr>
        <w:t>10.1016/j.gca.2018.10.005</w:t>
      </w:r>
      <w:r>
        <w:t>, 10.1016/j.gca.2018.10.005.</w:t>
      </w:r>
    </w:p>
    <w:p w14:paraId="148EC3EE" w14:textId="77777777" w:rsidR="00A17546" w:rsidRDefault="00A17546" w:rsidP="00A17546">
      <w:pPr>
        <w:pStyle w:val="Bibliography"/>
      </w:pPr>
      <w:r>
        <w:t xml:space="preserve">Schilling M. E., Carlson R. W., Tassara A., Conceição R. V., Bertotto G. W., Vásquez M., Muñoz D., Jalowitzki T., Gervasoni F. and Morata D. (2017) The origin of Patagonia revealed by Re-Os systematics of mantle xenoliths. </w:t>
      </w:r>
      <w:r>
        <w:rPr>
          <w:i/>
          <w:iCs/>
        </w:rPr>
        <w:t>Precambrian Research</w:t>
      </w:r>
      <w:r>
        <w:t xml:space="preserve"> </w:t>
      </w:r>
      <w:r>
        <w:rPr>
          <w:b/>
          <w:bCs/>
        </w:rPr>
        <w:t>294</w:t>
      </w:r>
      <w:r>
        <w:t>, 15–32.</w:t>
      </w:r>
    </w:p>
    <w:p w14:paraId="43FF43D9" w14:textId="77777777" w:rsidR="00A17546" w:rsidRDefault="00A17546" w:rsidP="00A17546">
      <w:pPr>
        <w:pStyle w:val="Bibliography"/>
      </w:pPr>
      <w:r>
        <w:t xml:space="preserve">Seitz H.-M. and Woodland A. B. (2000) The distribution of lithium in peridotitic and pyroxenitic mantle lithologies — an indicator of magmatic and metasomatic processes. </w:t>
      </w:r>
      <w:r>
        <w:rPr>
          <w:i/>
          <w:iCs/>
        </w:rPr>
        <w:t>Chemical Geology</w:t>
      </w:r>
      <w:r>
        <w:t xml:space="preserve"> </w:t>
      </w:r>
      <w:r>
        <w:rPr>
          <w:b/>
          <w:bCs/>
        </w:rPr>
        <w:t>166</w:t>
      </w:r>
      <w:r>
        <w:t>, 47–64.</w:t>
      </w:r>
    </w:p>
    <w:p w14:paraId="32DAB320" w14:textId="77777777" w:rsidR="00A17546" w:rsidRDefault="00A17546" w:rsidP="00A17546">
      <w:pPr>
        <w:pStyle w:val="Bibliography"/>
      </w:pPr>
      <w:r>
        <w:t xml:space="preserve">Shimizu K., Saal A. E., Myers C. E., Nagle A. N., Hauri E. H., Forsyth D. W., Kamenetsky V. S. and Niu Y. (2016) Two-component mantle melting-mixing model for the generation of mid-ocean ridge basalts: Implications for the volatile content of the Pacific upper mantle. </w:t>
      </w:r>
      <w:r>
        <w:rPr>
          <w:i/>
          <w:iCs/>
        </w:rPr>
        <w:t>Geochimica et Cosmochimica Acta</w:t>
      </w:r>
      <w:r>
        <w:t xml:space="preserve"> </w:t>
      </w:r>
      <w:r>
        <w:rPr>
          <w:b/>
          <w:bCs/>
        </w:rPr>
        <w:t>176</w:t>
      </w:r>
      <w:r>
        <w:t>, 44–80.</w:t>
      </w:r>
    </w:p>
    <w:p w14:paraId="0B169D8F" w14:textId="77777777" w:rsidR="00A17546" w:rsidRDefault="00A17546" w:rsidP="00A17546">
      <w:pPr>
        <w:pStyle w:val="Bibliography"/>
      </w:pPr>
      <w:r>
        <w:t>Soustelle V., Tommasi A., Demouchy S. and Franz L. (2013) Melt-rock interactions, deformation, hydration and s</w:t>
      </w:r>
      <w:r>
        <w:lastRenderedPageBreak/>
        <w:t xml:space="preserve">eismic properties in the sub-arc lithospheric mantle inferred from xenoliths from seamounts near Lihir, Papua New Guinea. </w:t>
      </w:r>
      <w:r>
        <w:rPr>
          <w:i/>
          <w:iCs/>
        </w:rPr>
        <w:t>Tectonophysics</w:t>
      </w:r>
      <w:r>
        <w:t xml:space="preserve"> </w:t>
      </w:r>
      <w:r>
        <w:rPr>
          <w:b/>
          <w:bCs/>
        </w:rPr>
        <w:t>608</w:t>
      </w:r>
      <w:r>
        <w:t>, 330–345.</w:t>
      </w:r>
    </w:p>
    <w:p w14:paraId="7DA71CA2" w14:textId="77777777" w:rsidR="00A17546" w:rsidRDefault="00A17546" w:rsidP="00A17546">
      <w:pPr>
        <w:pStyle w:val="Bibliography"/>
      </w:pPr>
      <w:r>
        <w:t xml:space="preserve">Stern C. R., Kilian R., Olker B., Hauri E. H. and Kyser T. K. (1999) Evidence from mantle xenoliths for relatively thin (&lt;100 km) continental lithosphere below the Phanerozoic crust of southernmost South America. </w:t>
      </w:r>
      <w:r>
        <w:rPr>
          <w:i/>
          <w:iCs/>
        </w:rPr>
        <w:t>Lithos</w:t>
      </w:r>
      <w:r>
        <w:t xml:space="preserve"> </w:t>
      </w:r>
      <w:r>
        <w:rPr>
          <w:b/>
          <w:bCs/>
        </w:rPr>
        <w:t>48</w:t>
      </w:r>
      <w:r>
        <w:t>, 217–235.</w:t>
      </w:r>
    </w:p>
    <w:p w14:paraId="0F028112" w14:textId="77777777" w:rsidR="00A17546" w:rsidRDefault="00A17546" w:rsidP="00A17546">
      <w:pPr>
        <w:pStyle w:val="Bibliography"/>
      </w:pPr>
      <w:r>
        <w:t xml:space="preserve">Stern C. R., Saul S., Skewes M. and Futa, K. (1986) Garnet peridotite xenoliths from the Pali-Aike alkali basalts of southernmost South America. </w:t>
      </w:r>
      <w:r>
        <w:rPr>
          <w:i/>
          <w:iCs/>
        </w:rPr>
        <w:t>Ross, J. (ed.) Kimberlites and Related Rocks. Geological Society of Australia Special Publication</w:t>
      </w:r>
      <w:r>
        <w:t xml:space="preserve"> </w:t>
      </w:r>
      <w:r>
        <w:rPr>
          <w:b/>
          <w:bCs/>
        </w:rPr>
        <w:t>14</w:t>
      </w:r>
      <w:r>
        <w:t>, 736–744.</w:t>
      </w:r>
    </w:p>
    <w:p w14:paraId="6E1E39B9" w14:textId="77777777" w:rsidR="00A17546" w:rsidRDefault="00A17546" w:rsidP="00A17546">
      <w:pPr>
        <w:pStyle w:val="Bibliography"/>
      </w:pPr>
      <w:r>
        <w:t xml:space="preserve">Taylor W. R. (1998) An experimental test of some geothermometer and geobarometer formulations for upper mantle peridotites with application to the thermobarometry of fertile Iherzolite and garnet websterite. </w:t>
      </w:r>
      <w:r>
        <w:rPr>
          <w:i/>
          <w:iCs/>
        </w:rPr>
        <w:t>Neues Jahrbuch Fur Mineralogie Abhandlungen</w:t>
      </w:r>
      <w:r>
        <w:t xml:space="preserve"> </w:t>
      </w:r>
      <w:r>
        <w:rPr>
          <w:b/>
          <w:bCs/>
        </w:rPr>
        <w:t>172</w:t>
      </w:r>
      <w:r>
        <w:t>, 381– 408.</w:t>
      </w:r>
    </w:p>
    <w:p w14:paraId="1899522A" w14:textId="77777777" w:rsidR="00A17546" w:rsidRDefault="00A17546" w:rsidP="00A17546">
      <w:pPr>
        <w:pStyle w:val="Bibliography"/>
      </w:pPr>
      <w:r>
        <w:t xml:space="preserve">Tenner T. J., Hirschmann M. M., Withers A. C. and Hervig R. L. (2009) Hydrogen partitioning between nominally anhydrous upper mantle minerals and melt between 3 and 5 GPa and applications to hydrous peridotite partial melting. </w:t>
      </w:r>
      <w:r>
        <w:rPr>
          <w:i/>
          <w:iCs/>
        </w:rPr>
        <w:t>Chemical Geology</w:t>
      </w:r>
      <w:r>
        <w:t xml:space="preserve"> </w:t>
      </w:r>
      <w:r>
        <w:rPr>
          <w:b/>
          <w:bCs/>
        </w:rPr>
        <w:t>262</w:t>
      </w:r>
      <w:r>
        <w:t>, 42–56.</w:t>
      </w:r>
    </w:p>
    <w:p w14:paraId="4CF1D4B9" w14:textId="77777777" w:rsidR="00A17546" w:rsidRDefault="00A17546" w:rsidP="00A17546">
      <w:pPr>
        <w:pStyle w:val="Bibliography"/>
      </w:pPr>
      <w:r>
        <w:t xml:space="preserve">Thompson R. N. and Gibson S. A. (1994) Magmatic expression of lithospheric thinning across continental rifts. </w:t>
      </w:r>
      <w:r>
        <w:rPr>
          <w:i/>
          <w:iCs/>
        </w:rPr>
        <w:t>Tectonophysics</w:t>
      </w:r>
      <w:r>
        <w:t xml:space="preserve"> </w:t>
      </w:r>
      <w:r>
        <w:rPr>
          <w:b/>
          <w:bCs/>
        </w:rPr>
        <w:t>233</w:t>
      </w:r>
      <w:r>
        <w:t>, 41–68.</w:t>
      </w:r>
    </w:p>
    <w:p w14:paraId="747A9146" w14:textId="77777777" w:rsidR="00A17546" w:rsidRDefault="00A17546" w:rsidP="00A17546">
      <w:pPr>
        <w:pStyle w:val="Bibliography"/>
      </w:pPr>
      <w:r>
        <w:t xml:space="preserve">Thompson R. N. and Gibson S. A. (1991) Subcontinental mantle plumes, hotspots and pre-existing thinspots. </w:t>
      </w:r>
      <w:r>
        <w:rPr>
          <w:i/>
          <w:iCs/>
        </w:rPr>
        <w:t>Journal of the Geological Society</w:t>
      </w:r>
      <w:r>
        <w:t xml:space="preserve"> </w:t>
      </w:r>
      <w:r>
        <w:rPr>
          <w:b/>
          <w:bCs/>
        </w:rPr>
        <w:t>148</w:t>
      </w:r>
      <w:r>
        <w:t>, 973–977.</w:t>
      </w:r>
    </w:p>
    <w:p w14:paraId="1D2422FE" w14:textId="77777777" w:rsidR="00A17546" w:rsidRDefault="00A17546" w:rsidP="00A17546">
      <w:pPr>
        <w:pStyle w:val="Bibliography"/>
      </w:pPr>
      <w:r>
        <w:t xml:space="preserve">Thordarson Th. and Self S. (1996) Sulfur, chlorine and fluorine degassing and atmospheric loading by the Roza eruption, Columbia River Basalt Group, Washington, USA. </w:t>
      </w:r>
      <w:r>
        <w:rPr>
          <w:i/>
          <w:iCs/>
        </w:rPr>
        <w:t>Journal of Volcanology and Geothermal Research</w:t>
      </w:r>
      <w:r>
        <w:t xml:space="preserve"> </w:t>
      </w:r>
      <w:r>
        <w:rPr>
          <w:b/>
          <w:bCs/>
        </w:rPr>
        <w:t>74</w:t>
      </w:r>
      <w:r>
        <w:t>, 49–73.</w:t>
      </w:r>
    </w:p>
    <w:p w14:paraId="0E5F27CB" w14:textId="77777777" w:rsidR="00A17546" w:rsidRDefault="00A17546" w:rsidP="00A17546">
      <w:pPr>
        <w:pStyle w:val="Bibliography"/>
      </w:pPr>
      <w:r>
        <w:t xml:space="preserve">Torsvik T. H. and Cocks L. R. M. (2013) Gondwana from top to base in space and time. </w:t>
      </w:r>
      <w:r>
        <w:rPr>
          <w:i/>
          <w:iCs/>
        </w:rPr>
        <w:t>Gondwana Research</w:t>
      </w:r>
      <w:r>
        <w:t xml:space="preserve"> </w:t>
      </w:r>
      <w:r>
        <w:rPr>
          <w:b/>
          <w:bCs/>
        </w:rPr>
        <w:t>24</w:t>
      </w:r>
      <w:r>
        <w:t>, 999–1030.</w:t>
      </w:r>
    </w:p>
    <w:p w14:paraId="73864F17" w14:textId="77777777" w:rsidR="00A17546" w:rsidRDefault="00A17546" w:rsidP="00A17546">
      <w:pPr>
        <w:pStyle w:val="Bibliography"/>
      </w:pPr>
      <w:r>
        <w:t xml:space="preserve">Urann B. M., Roux V. L., Hammond K., Marschall H. R., Lee C.-T. A. and Monteleone B. D. (2017) Fluorine and chlorine in mantle minerals and the halogen budget of the Earth’s mantle. </w:t>
      </w:r>
      <w:r>
        <w:rPr>
          <w:i/>
          <w:iCs/>
        </w:rPr>
        <w:t>Contributions to Mineralogy and Petrology</w:t>
      </w:r>
      <w:r>
        <w:t xml:space="preserve"> </w:t>
      </w:r>
      <w:r>
        <w:rPr>
          <w:b/>
          <w:bCs/>
        </w:rPr>
        <w:t>172</w:t>
      </w:r>
      <w:r>
        <w:t>, 51.</w:t>
      </w:r>
    </w:p>
    <w:p w14:paraId="029515FA" w14:textId="77777777" w:rsidR="00A17546" w:rsidRDefault="00A17546" w:rsidP="00A17546">
      <w:pPr>
        <w:pStyle w:val="Bibliography"/>
      </w:pPr>
      <w:r>
        <w:t xml:space="preserve">Vaughan A. P. M., Eagles G. and Flowerdew M. J. (2012) Evidence for a two-phase Palmer Land event from crosscutting structural relationships and emplacement timing of the Lassiter Coast Intrusive Suite, Antarctic Peninsula: Implications for mid-Cretaceous Southern Ocean plate configuration. </w:t>
      </w:r>
      <w:r>
        <w:rPr>
          <w:i/>
          <w:iCs/>
        </w:rPr>
        <w:t>Tectonics</w:t>
      </w:r>
      <w:r>
        <w:t xml:space="preserve"> </w:t>
      </w:r>
      <w:r>
        <w:rPr>
          <w:b/>
          <w:bCs/>
        </w:rPr>
        <w:t>31</w:t>
      </w:r>
      <w:r>
        <w:t>, 1–19.</w:t>
      </w:r>
    </w:p>
    <w:p w14:paraId="2C78CB99" w14:textId="77777777" w:rsidR="00A17546" w:rsidRDefault="00A17546" w:rsidP="00A17546">
      <w:pPr>
        <w:pStyle w:val="Bibliography"/>
      </w:pPr>
      <w:r>
        <w:t xml:space="preserve">Warren J. M. and Hauri E. H. (2014) Pyroxenes as tracers of mantle water variations. </w:t>
      </w:r>
      <w:r>
        <w:rPr>
          <w:i/>
          <w:iCs/>
        </w:rPr>
        <w:t>Journal of Geophysical Research: Solid Earth</w:t>
      </w:r>
      <w:r>
        <w:t xml:space="preserve"> </w:t>
      </w:r>
      <w:r>
        <w:rPr>
          <w:b/>
          <w:bCs/>
        </w:rPr>
        <w:t>119</w:t>
      </w:r>
      <w:r>
        <w:t>, 2013JB010328.</w:t>
      </w:r>
    </w:p>
    <w:p w14:paraId="312773C4" w14:textId="77777777" w:rsidR="00A17546" w:rsidRDefault="00A17546" w:rsidP="00A17546">
      <w:pPr>
        <w:pStyle w:val="Bibliography"/>
      </w:pPr>
      <w:r>
        <w:t xml:space="preserve">Wilshire H. G., Meyer C. E., Nakata J. K., Calk L. C., Shervais J. W., Nielson J. E. and Schwarzman E. C. (1988) </w:t>
      </w:r>
      <w:r>
        <w:rPr>
          <w:i/>
          <w:iCs/>
        </w:rPr>
        <w:t>Mafic and ultramafic xenoliths from volcanic rocks of the western United States</w:t>
      </w:r>
      <w:r>
        <w:t>., United States Geological Survey.</w:t>
      </w:r>
    </w:p>
    <w:p w14:paraId="5191061C" w14:textId="77777777" w:rsidR="00A17546" w:rsidRDefault="00A17546" w:rsidP="00A17546">
      <w:pPr>
        <w:pStyle w:val="Bibliography"/>
      </w:pPr>
      <w:r>
        <w:t>Witt-Eickschen G. and O’Neill H.</w:t>
      </w:r>
      <w:r>
        <w:lastRenderedPageBreak/>
        <w:t xml:space="preserve"> St. C. (2005) The effect of temperature on the equilibrium distribution of trace elements between clinopyroxene, orthopyroxene, olivine and spinel in upper mantle peridotite. </w:t>
      </w:r>
      <w:r>
        <w:rPr>
          <w:i/>
          <w:iCs/>
        </w:rPr>
        <w:t>Chemical Geology</w:t>
      </w:r>
      <w:r>
        <w:t xml:space="preserve"> </w:t>
      </w:r>
      <w:r>
        <w:rPr>
          <w:b/>
          <w:bCs/>
        </w:rPr>
        <w:t>221</w:t>
      </w:r>
      <w:r>
        <w:t>, 65–101.</w:t>
      </w:r>
    </w:p>
    <w:p w14:paraId="43A44D31" w14:textId="77777777" w:rsidR="00A17546" w:rsidRDefault="00A17546" w:rsidP="00A17546">
      <w:pPr>
        <w:pStyle w:val="Bibliography"/>
      </w:pPr>
      <w:r>
        <w:t xml:space="preserve">Wood B. J. and Blundy J. D. (1997) A predictive model for rare earth element partitioning between clinopyroxene and anhydrous silicate melt. </w:t>
      </w:r>
      <w:r>
        <w:rPr>
          <w:i/>
          <w:iCs/>
        </w:rPr>
        <w:t>Contributions to Mineralogy and Petrology</w:t>
      </w:r>
      <w:r>
        <w:t xml:space="preserve"> </w:t>
      </w:r>
      <w:r>
        <w:rPr>
          <w:b/>
          <w:bCs/>
        </w:rPr>
        <w:t>129</w:t>
      </w:r>
      <w:r>
        <w:t>, 166–181.</w:t>
      </w:r>
    </w:p>
    <w:p w14:paraId="113235A8" w14:textId="77777777" w:rsidR="00A17546" w:rsidRDefault="00A17546" w:rsidP="00A17546">
      <w:pPr>
        <w:pStyle w:val="Bibliography"/>
      </w:pPr>
      <w:r>
        <w:t xml:space="preserve">Woodland A. B., Seitz H.-M. and Yaxley G. M. (2004) Varying behaviour of Li in metasomatised spinel peridotite xenoliths from western Victoria, Australia. </w:t>
      </w:r>
      <w:r>
        <w:rPr>
          <w:i/>
          <w:iCs/>
        </w:rPr>
        <w:t>Lithos</w:t>
      </w:r>
      <w:r>
        <w:t xml:space="preserve"> </w:t>
      </w:r>
      <w:r>
        <w:rPr>
          <w:b/>
          <w:bCs/>
        </w:rPr>
        <w:t>75</w:t>
      </w:r>
      <w:r>
        <w:t>, 55–66.</w:t>
      </w:r>
    </w:p>
    <w:p w14:paraId="4E41343D" w14:textId="77777777" w:rsidR="00A17546" w:rsidRDefault="00A17546" w:rsidP="00A17546">
      <w:pPr>
        <w:pStyle w:val="Bibliography"/>
      </w:pPr>
      <w:r>
        <w:t xml:space="preserve">Xia Q.-K., Bi Y., Li P., Tian W., Wei X. and Chen H.-L. (2016) High water content in primitive continental flood basalts. </w:t>
      </w:r>
      <w:r>
        <w:rPr>
          <w:i/>
          <w:iCs/>
        </w:rPr>
        <w:t>Scientific Reports</w:t>
      </w:r>
      <w:r>
        <w:t xml:space="preserve"> </w:t>
      </w:r>
      <w:r>
        <w:rPr>
          <w:b/>
          <w:bCs/>
        </w:rPr>
        <w:t>6</w:t>
      </w:r>
      <w:r>
        <w:t>, 25416.</w:t>
      </w:r>
    </w:p>
    <w:p w14:paraId="367DE991" w14:textId="77777777" w:rsidR="00A17546" w:rsidRDefault="00A17546" w:rsidP="00A17546">
      <w:pPr>
        <w:pStyle w:val="Bibliography"/>
      </w:pPr>
      <w:r>
        <w:t xml:space="preserve">Yang X.-Z., Xia Q.-K., Deloule E., Dallai L., Fan Q.-C. and Feng M. (2008) Water in minerals of the continental lithospheric mantle and overlying lower crust: A comparative study of peridotite and granulite xenoliths from the North China Craton. </w:t>
      </w:r>
      <w:r>
        <w:rPr>
          <w:i/>
          <w:iCs/>
        </w:rPr>
        <w:t>Chemical Geology</w:t>
      </w:r>
      <w:r>
        <w:t xml:space="preserve"> </w:t>
      </w:r>
      <w:r>
        <w:rPr>
          <w:b/>
          <w:bCs/>
        </w:rPr>
        <w:t>256</w:t>
      </w:r>
      <w:r>
        <w:t>, 33–45.</w:t>
      </w:r>
    </w:p>
    <w:p w14:paraId="17763E9D" w14:textId="77777777" w:rsidR="00A17546" w:rsidRDefault="00A17546" w:rsidP="00A17546">
      <w:pPr>
        <w:pStyle w:val="Bibliography"/>
      </w:pPr>
      <w:r>
        <w:t xml:space="preserve">Yu Y., Xu X.-S., Griffin W. L., O’Reilly S. Y. and Xia Q.-K. (2011) H2O contents and their modification in the Cenozoic subcontinental lithospheric mantle beneath the Cathaysia block, SE China. </w:t>
      </w:r>
      <w:r>
        <w:rPr>
          <w:i/>
          <w:iCs/>
        </w:rPr>
        <w:t>Lithos</w:t>
      </w:r>
      <w:r>
        <w:t xml:space="preserve"> </w:t>
      </w:r>
      <w:r>
        <w:rPr>
          <w:b/>
          <w:bCs/>
        </w:rPr>
        <w:t>126</w:t>
      </w:r>
      <w:r>
        <w:t>, 182–197.</w:t>
      </w:r>
    </w:p>
    <w:p w14:paraId="3984AE99" w14:textId="61A5BADC" w:rsidR="0026664E" w:rsidRPr="00B90D6A" w:rsidRDefault="00636367" w:rsidP="00C20C0B">
      <w:pPr>
        <w:spacing w:after="200" w:line="480" w:lineRule="auto"/>
        <w:rPr>
          <w:b/>
        </w:rPr>
      </w:pPr>
      <w:r w:rsidRPr="00F5136D">
        <w:rPr>
          <w:b/>
        </w:rPr>
        <w:fldChar w:fldCharType="end"/>
      </w:r>
      <w:r w:rsidR="0026664E" w:rsidRPr="00B90D6A">
        <w:rPr>
          <w:b/>
        </w:rPr>
        <w:br w:type="page"/>
      </w:r>
    </w:p>
    <w:p w14:paraId="13B8D26D" w14:textId="6A2BB73D" w:rsidR="00560B98" w:rsidRPr="00B90D6A" w:rsidRDefault="00560B98" w:rsidP="00C20C0B">
      <w:pPr>
        <w:pStyle w:val="Heading1"/>
        <w:spacing w:line="480" w:lineRule="auto"/>
      </w:pPr>
      <w:r w:rsidRPr="00B90D6A">
        <w:lastRenderedPageBreak/>
        <w:t>Table &amp; Figure captions</w:t>
      </w:r>
    </w:p>
    <w:p w14:paraId="1577E6A2" w14:textId="64DC0C26" w:rsidR="00141326" w:rsidRPr="00B90D6A" w:rsidRDefault="00141326" w:rsidP="00C20C0B">
      <w:pPr>
        <w:spacing w:line="480" w:lineRule="auto"/>
        <w:jc w:val="both"/>
        <w:rPr>
          <w:b/>
        </w:rPr>
      </w:pPr>
      <w:r w:rsidRPr="00B90D6A">
        <w:rPr>
          <w:b/>
        </w:rPr>
        <w:t xml:space="preserve">Table 1: </w:t>
      </w:r>
      <w:r w:rsidR="00E467AA" w:rsidRPr="00E467AA">
        <w:t xml:space="preserve">Summary of mineral chemistry and </w:t>
      </w:r>
      <w:r w:rsidRPr="00B90D6A">
        <w:rPr>
          <w:i/>
        </w:rPr>
        <w:t>PT</w:t>
      </w:r>
      <w:r w:rsidRPr="00B90D6A">
        <w:t xml:space="preserve"> estimates</w:t>
      </w:r>
      <w:r w:rsidR="00DB7143">
        <w:t xml:space="preserve"> for “off-craton” mantle peridotites from southern Patagonia (Pali Aike) and the Antarctic Peninsula analysed for volatiles</w:t>
      </w:r>
      <w:r w:rsidR="005216E5">
        <w:t xml:space="preserve"> in this study</w:t>
      </w:r>
      <w:r w:rsidR="00DB7143">
        <w:t>.</w:t>
      </w:r>
    </w:p>
    <w:p w14:paraId="3F5D7D8D" w14:textId="77777777" w:rsidR="00D64DF4" w:rsidRPr="00B90D6A" w:rsidRDefault="00D64DF4" w:rsidP="00C20C0B">
      <w:pPr>
        <w:spacing w:line="480" w:lineRule="auto"/>
        <w:jc w:val="both"/>
      </w:pPr>
    </w:p>
    <w:p w14:paraId="5314DD77" w14:textId="1961742D" w:rsidR="00D64DF4" w:rsidRPr="00B90D6A" w:rsidRDefault="00D64DF4" w:rsidP="00C20C0B">
      <w:pPr>
        <w:spacing w:line="480" w:lineRule="auto"/>
        <w:jc w:val="both"/>
      </w:pPr>
      <w:r w:rsidRPr="00B90D6A">
        <w:rPr>
          <w:b/>
        </w:rPr>
        <w:t xml:space="preserve">Table </w:t>
      </w:r>
      <w:r w:rsidR="00247519">
        <w:rPr>
          <w:b/>
        </w:rPr>
        <w:t>2</w:t>
      </w:r>
      <w:r w:rsidRPr="00B90D6A">
        <w:rPr>
          <w:b/>
        </w:rPr>
        <w:t>:</w:t>
      </w:r>
      <w:r w:rsidRPr="00B90D6A">
        <w:t xml:space="preserve"> Calculated bulk H</w:t>
      </w:r>
      <w:r w:rsidRPr="00B90D6A">
        <w:rPr>
          <w:vertAlign w:val="subscript"/>
        </w:rPr>
        <w:t>2</w:t>
      </w:r>
      <w:r w:rsidRPr="00B90D6A">
        <w:t>O and F contents of mantle xenoliths from Pali Aike and the Antarctic Peninsula. Na = not analysed</w:t>
      </w:r>
    </w:p>
    <w:p w14:paraId="1D11DA5F" w14:textId="77777777" w:rsidR="00542A9E" w:rsidRPr="00B90D6A" w:rsidRDefault="00542A9E" w:rsidP="00C20C0B">
      <w:pPr>
        <w:spacing w:line="480" w:lineRule="auto"/>
        <w:jc w:val="both"/>
        <w:rPr>
          <w:b/>
        </w:rPr>
      </w:pPr>
    </w:p>
    <w:p w14:paraId="5BA80400" w14:textId="350C8C74" w:rsidR="008542BB" w:rsidRPr="00B90D6A" w:rsidRDefault="008542BB" w:rsidP="00C20C0B">
      <w:pPr>
        <w:pStyle w:val="Heading1"/>
        <w:spacing w:line="480" w:lineRule="auto"/>
      </w:pPr>
      <w:r w:rsidRPr="00B90D6A">
        <w:t>Figure</w:t>
      </w:r>
      <w:r w:rsidR="003159E3" w:rsidRPr="00B90D6A">
        <w:t xml:space="preserve"> Captions</w:t>
      </w:r>
    </w:p>
    <w:p w14:paraId="192709C7" w14:textId="65C2ECAA" w:rsidR="009B10D9" w:rsidRPr="00195AA8" w:rsidRDefault="009B10D9" w:rsidP="00C20C0B">
      <w:pPr>
        <w:spacing w:line="480" w:lineRule="auto"/>
        <w:jc w:val="both"/>
      </w:pPr>
      <w:r w:rsidRPr="00B90D6A">
        <w:t xml:space="preserve">Figure 1. </w:t>
      </w:r>
      <w:r w:rsidR="0046321F" w:rsidRPr="00B90D6A">
        <w:t xml:space="preserve">(a) </w:t>
      </w:r>
      <w:r w:rsidR="00D60145" w:rsidRPr="00B90D6A">
        <w:t>Polar projection to show the</w:t>
      </w:r>
      <w:r w:rsidR="0046321F" w:rsidRPr="00B90D6A">
        <w:t xml:space="preserve"> locations </w:t>
      </w:r>
      <w:r w:rsidR="00D60145" w:rsidRPr="00B90D6A">
        <w:t xml:space="preserve">of mantle xenoliths analysed in this study (from the Antarctic Peninsula and Pali Aike) together </w:t>
      </w:r>
      <w:r w:rsidR="00BB5015" w:rsidRPr="00B90D6A">
        <w:t>with</w:t>
      </w:r>
      <w:r w:rsidR="0046321F" w:rsidRPr="00B90D6A">
        <w:t xml:space="preserve"> </w:t>
      </w:r>
      <w:r w:rsidR="00D60145" w:rsidRPr="00B90D6A">
        <w:t xml:space="preserve">other mantle xenolith locations for which </w:t>
      </w:r>
      <w:r w:rsidR="0046321F" w:rsidRPr="00B90D6A">
        <w:t xml:space="preserve">high-precision </w:t>
      </w:r>
      <w:r w:rsidR="00BB5015" w:rsidRPr="00B90D6A">
        <w:t xml:space="preserve">in-situ </w:t>
      </w:r>
      <w:r w:rsidR="0046321F" w:rsidRPr="00B90D6A">
        <w:t>analys</w:t>
      </w:r>
      <w:r w:rsidR="00BB5015" w:rsidRPr="00B90D6A">
        <w:t>e</w:t>
      </w:r>
      <w:r w:rsidR="0046321F" w:rsidRPr="00B90D6A">
        <w:t xml:space="preserve">s of volatiles </w:t>
      </w:r>
      <w:r w:rsidR="00BB5015" w:rsidRPr="00B90D6A">
        <w:t xml:space="preserve">in nominally-volatile free minerals </w:t>
      </w:r>
      <w:r w:rsidR="006D6435" w:rsidRPr="00B90D6A">
        <w:t xml:space="preserve">together with </w:t>
      </w:r>
      <w:r w:rsidR="00BB5015" w:rsidRPr="00B90D6A">
        <w:t xml:space="preserve">details of their </w:t>
      </w:r>
      <w:r w:rsidR="0046321F" w:rsidRPr="00B90D6A">
        <w:t xml:space="preserve">modal </w:t>
      </w:r>
      <w:r w:rsidR="00BB5015" w:rsidRPr="00B90D6A">
        <w:t>abundances</w:t>
      </w:r>
      <w:r w:rsidR="00D60145" w:rsidRPr="00B90D6A">
        <w:t xml:space="preserve"> have been published</w:t>
      </w:r>
      <w:r w:rsidR="0046321F" w:rsidRPr="00B90D6A">
        <w:t xml:space="preserve">. </w:t>
      </w:r>
      <w:r w:rsidR="00D60145" w:rsidRPr="00B90D6A">
        <w:t xml:space="preserve">Blue shaded regions show the locations of cratonic mantle, i.e. where the seismic lithosphere is greater than 160 km thick. </w:t>
      </w:r>
      <w:r w:rsidR="000F4958" w:rsidRPr="00B90D6A">
        <w:t xml:space="preserve">Lithospheric thickness contours are taken from </w:t>
      </w:r>
      <w:r w:rsidR="00D60145" w:rsidRPr="00B90D6A">
        <w:t xml:space="preserve">the dataset of </w:t>
      </w:r>
      <w:r w:rsidR="000F4958" w:rsidRPr="00195AA8">
        <w:t xml:space="preserve">Priestley &amp; McKenzie </w:t>
      </w:r>
      <w:r w:rsidR="00211DD2" w:rsidRPr="00195AA8">
        <w:fldChar w:fldCharType="begin"/>
      </w:r>
      <w:r w:rsidR="008E0CCC">
        <w:instrText xml:space="preserve"> ADDIN ZOTERO_ITEM CSL_CITATION {"citationID":"uln9SmVT","properties":{"formattedCitation":"(2013)","plainCitation":"(2013)","noteIndex":0},"citationItems":[{"id":2293,"uris":["http://zotero.org/users/88665/items/WRCMA9A8"],"uri":["http://zotero.org/users/88665/items/WRCMA9A8"],"itemData":{"id":2293,"type":"article-journal","container-title":"Earth and Planetary Science Letters","DOI":"10.1016/j.epsl.2013.08.022 (lithospheric thickness available from https://ds.iris.edu/ds/products/emc-cam2016/)","ISSN":"0012-821X","issue":"0","journalAbbreviation":"Earth Planet Sci. Letts.","page":"78-91","title":"The relationship between shear wave velocity, temperature, attenuation and viscosity in the shallow part of the mantle","volume":"381","author":[{"family":"Priestley","given":"Keith"},{"family":"McKenzie","given":"Dan"}],"issued":{"date-parts":[["2013",11,1]]}},"suppress-author":true}],"schema":"https://github.com/citation-style-language/schema/raw/master/csl-citation.json"} </w:instrText>
      </w:r>
      <w:r w:rsidR="00211DD2" w:rsidRPr="00195AA8">
        <w:fldChar w:fldCharType="separate"/>
      </w:r>
      <w:r w:rsidR="00636367" w:rsidRPr="00B90D6A">
        <w:rPr>
          <w:noProof/>
        </w:rPr>
        <w:t>(2013)</w:t>
      </w:r>
      <w:r w:rsidR="00211DD2" w:rsidRPr="00195AA8">
        <w:fldChar w:fldCharType="end"/>
      </w:r>
      <w:r w:rsidR="000F4958" w:rsidRPr="00195AA8">
        <w:t xml:space="preserve">. </w:t>
      </w:r>
      <w:r w:rsidR="0046321F" w:rsidRPr="00B90D6A">
        <w:t xml:space="preserve">(b) </w:t>
      </w:r>
      <w:r w:rsidRPr="00B90D6A">
        <w:t>Classification of mantle xenoliths from southern Patagonia (Pali Aike) and the Antarctic Peninsula analysed for volatiles by SIMS in this study</w:t>
      </w:r>
      <w:r w:rsidR="0046321F" w:rsidRPr="00B90D6A">
        <w:t xml:space="preserve"> according to the</w:t>
      </w:r>
      <w:r w:rsidRPr="00B90D6A">
        <w:t xml:space="preserve"> </w:t>
      </w:r>
      <w:r w:rsidRPr="00B90D6A">
        <w:rPr>
          <w:color w:val="000000" w:themeColor="text1"/>
        </w:rPr>
        <w:t xml:space="preserve">IUGS classification </w:t>
      </w:r>
      <w:r w:rsidRPr="00B90D6A">
        <w:t xml:space="preserve">nomenclature for peridotites and pyroxenites </w:t>
      </w:r>
      <w:r w:rsidRPr="004C4C89">
        <w:fldChar w:fldCharType="begin"/>
      </w:r>
      <w:r w:rsidR="008E0CCC">
        <w:instrText xml:space="preserve"> ADDIN ZOTERO_ITEM CSL_CITATION {"citationID":"QtubfFMp","properties":{"formattedCitation":"(Le Maitre, 2002)","plainCitation":"(Le Maitre, 2002)","noteIndex":0},"citationItems":[{"id":299,"uris":["http://zotero.org/users/88665/items/PBN98M3X"],"uri":["http://zotero.org/users/88665/items/PBN98M3X"],"itemData":{"id":299,"type":"book","edition":"2nd","event-place":"Cambridge, New York, Melbourne","number-of-pages":"236","publisher":"Cambridge University Press","publisher-place":"Cambridge, New York, Melbourne","title":"Igneous Rocks: A classification and glossary of terms. Recommendations of the International Union of Geological Sciences Subcommission on the Systematics of Igneous Rocks","author":[{"family":"Le Maitre","given":"R.W."}],"issued":{"date-parts":[["2002"]]}}}],"schema":"https://github.com/citation-style-language/schema/raw/master/csl-citation.json"} </w:instrText>
      </w:r>
      <w:r w:rsidRPr="004C4C89">
        <w:fldChar w:fldCharType="separate"/>
      </w:r>
      <w:r w:rsidR="00636367" w:rsidRPr="00B90D6A">
        <w:t>(Le Maitre, 2002)</w:t>
      </w:r>
      <w:r w:rsidRPr="004C4C89">
        <w:fldChar w:fldCharType="end"/>
      </w:r>
      <w:r w:rsidRPr="00B90D6A">
        <w:t>.</w:t>
      </w:r>
      <w:r w:rsidR="00C65946" w:rsidRPr="00B90D6A">
        <w:t xml:space="preserve"> Data sources for (a) are</w:t>
      </w:r>
      <w:r w:rsidR="00B363AB" w:rsidRPr="00B90D6A">
        <w:t>:</w:t>
      </w:r>
      <w:r w:rsidR="00C65946" w:rsidRPr="00B90D6A">
        <w:t xml:space="preserve"> </w:t>
      </w:r>
      <w:r w:rsidR="00B363AB" w:rsidRPr="00B90D6A">
        <w:rPr>
          <w:color w:val="000000" w:themeColor="text1"/>
        </w:rPr>
        <w:t xml:space="preserve">Alemayehu et al. </w:t>
      </w:r>
      <w:r w:rsidR="00B363AB" w:rsidRPr="004C4C89">
        <w:rPr>
          <w:color w:val="000000" w:themeColor="text1"/>
        </w:rPr>
        <w:fldChar w:fldCharType="begin"/>
      </w:r>
      <w:r w:rsidR="008E0CCC">
        <w:rPr>
          <w:color w:val="000000" w:themeColor="text1"/>
        </w:rPr>
        <w:instrText xml:space="preserve"> ADDIN ZOTERO_ITEM CSL_CITATION {"citationID":"de6N7J1z","properties":{"formattedCitation":"(2017)","plainCitation":"(2017)","noteIndex":0},"citationItems":[{"id":4258,"uris":["http://zotero.org/users/88665/items/7VIHASDF"],"uri":["http://zotero.org/users/88665/items/7VIHASDF"],"itemData":{"id":4258,"type":"article-journal","abstract":"Lithium (Li) elemental and isotopic compositions for mineral separates of coexisting olivine, orthopyroxene and clinopyroxene of mantle xenoliths from the Quaternary volcanic rocks of southern Ethiopian rift (Dillo and Megado) reveal the influence of late stage melt-peridotite interaction on the early depleted and variably metasomatized lithospheric mantle. Two types of lherzolites are reported (LREE-depleted La/Sm(N) = 0.11–0.37 × Cl and LREE-enriched, La/Sm(N) = 1.88–15.72 × Cl). The depleted lherzolites have variable range in Li concentration (olivine: 2.1–5.4 ppm; opx: 1.1–2.3 ppm; cpx: 1.0–1.8 ppm) and in Li isotopic composition (δ7Li in olivine: −9.4 to 1.5‰; in opx: −4.5 to 3.6‰; in cpx: −17.0 to 4.8‰), indicating strong disequilibrium in Li partitioning and Li isotope fractionation between samples. The enriched lherzolites have limited range in both Li abundances (olivine: 2.7–3.0 ppm; opx: 1.1–3.1 ppm; cpx: 1.1–2.3 ppm) and Li isotopic compositions (δ7Li in olivine: −1.3 to +1.3‰; in opx: −2.0 to +5.0‰; in cpx: −7.5 to +4.8‰), suggest that the earlier metasomatic event which lead to LREE enrichment could also homogenize the Li contents and its isotopes. The enriched harzburgite and clinopyroxenite minerals show limited variation in Li abundances and variable Li isotopic compositions. The Li enrichments of olivine and clinopyroxene correlate neither with the incompatible trace element enrichment nor with the Sr-Nd isotopic compositions of clinopyroxene. These observations indicate that the metasomatic events which are responsible for the LREE enrichment and for the Li addition are distinct, whereby the LREE-enrichment pre-dates the influx of Li. The presence of large Li isotopic disequilibria within and between minerals of depleted and enriched peridotites suggest that the lithospheric mantle beneath the southern Ethiopian rift has experienced recent melt-peridotite interaction. Thus, the Li data set reported in this study offer new additional evidence for the existence of late stage metasomatism, which probably occurred at shallow depth briefly before and/or during entrainment and ascent of mantle xenoliths to the surface.","container-title":"Mineralogy and Petrology","DOI":"10.1007/s00710-017-0499-x","ISSN":"1438-1168","issue":"5","journalAbbreviation":"Mineralogy and Petrology","language":"en","page":"777-792","source":"Springer Link","title":"Constraining late stage melt-peridotite interaction in the lithospheric mantle of southern Ethiopia: evidence from lithium elemental and isotopic compositions","title-short":"Constraining late stage melt-peridotite interaction in the lithospheric mantle of southern Ethiopia","volume":"111","author":[{"family":"Alemayehu","given":"Melesse"},{"family":"Zhang","given":"Hong-Fu"},{"family":"Seitz","given":"Hans-Michael"}],"issued":{"date-parts":[["2017",10,1]]}},"suppress-author":true}],"schema":"https://github.com/citation-style-language/schema/raw/master/csl-citation.json"} </w:instrText>
      </w:r>
      <w:r w:rsidR="00B363AB" w:rsidRPr="004C4C89">
        <w:rPr>
          <w:color w:val="000000" w:themeColor="text1"/>
        </w:rPr>
        <w:fldChar w:fldCharType="separate"/>
      </w:r>
      <w:r w:rsidR="00636367" w:rsidRPr="00B90D6A">
        <w:rPr>
          <w:noProof/>
          <w:color w:val="000000" w:themeColor="text1"/>
        </w:rPr>
        <w:t>(2017)</w:t>
      </w:r>
      <w:r w:rsidR="00B363AB" w:rsidRPr="004C4C89">
        <w:rPr>
          <w:color w:val="000000" w:themeColor="text1"/>
        </w:rPr>
        <w:fldChar w:fldCharType="end"/>
      </w:r>
      <w:r w:rsidR="00B363AB" w:rsidRPr="00B90D6A">
        <w:rPr>
          <w:color w:val="000000" w:themeColor="text1"/>
        </w:rPr>
        <w:t xml:space="preserve">; Aulbach et al </w:t>
      </w:r>
      <w:r w:rsidR="00B363AB" w:rsidRPr="00195AA8">
        <w:rPr>
          <w:color w:val="000000" w:themeColor="text1"/>
        </w:rPr>
        <w:fldChar w:fldCharType="begin"/>
      </w:r>
      <w:r w:rsidR="008E0CCC">
        <w:rPr>
          <w:color w:val="000000" w:themeColor="text1"/>
        </w:rPr>
        <w:instrText xml:space="preserve"> ADDIN ZOTERO_ITEM CSL_CITATION {"citationID":"zsxdQqJR","properties":{"formattedCitation":"(2008)","plainCitation":"(2008)","noteIndex":0},"citationItems":[{"id":200,"uris":["http://zotero.org/users/88665/items/FG98C7JN"],"uri":["http://zotero.org/users/88665/items/FG98C7JN"],"itemData":{"id":200,"type":"article-journal","abstract":"&lt;p&gt;Lithium concentrations and isotopic compositions of olivine and 87Sr/86Sr and 143Nd/144Nd of coexisting clinopyroxene from peridotite xenoliths from the Quaternary Labait volcano, Tanzania, document the influence of rift-related metasomatism on the ancient cratonic mantle. Olivines show negative correlations between Fo content and both δ7Li and Li concentrations. Olivines in iron-rich peridotites (Fo85-87) have high Li concentrations (3.2-4.8 ppm) and heavy δ7 Li (+5.2 to +6.6). In contrast, olivines in ancient, refractory peridotites have lower Li concentrations (</w:instrText>
      </w:r>
      <w:r w:rsidR="008E0CCC">
        <w:rPr>
          <w:rFonts w:ascii="Cambria Math" w:hAnsi="Cambria Math" w:cs="Cambria Math"/>
          <w:color w:val="000000" w:themeColor="text1"/>
        </w:rPr>
        <w:instrText>∼</w:instrText>
      </w:r>
      <w:r w:rsidR="008E0CCC">
        <w:rPr>
          <w:color w:val="000000" w:themeColor="text1"/>
        </w:rPr>
        <w:instrText xml:space="preserve">2 ppm) and relatively light δ7Li (+2.6 to +3.5). This reflects mixing between ancient, refractory cratonic lithosphere and asthenosphere-derived rift magmas. A uniquely fertile, deformed, high-temperature garnet lherzolite, interpreted to be from the base of the lithosphere, has a 87Sr/86Sr of 0.7029 and 143Nd/144Nd of 0.51286, similar to HIMU oceanic basalts. It provides the best estimate of the Sr-Nd isotope composition of the upwelling mantle (i.e., plume, sensu lato) underlying this portion of the East African Rift, and is slightly less radiogenic compared to previous estimates of the plume that were based on rift basalts. Although elevated δ7Li are not exclusive to HIMU source regions, the data collectively indicate that the plume beneath Labait has HIMU characteristics in Sr, Nd and Li isotope composition. © Springer-Verlag 2007.&lt;/p&gt;","container-title":"Contributions to Mineralogy and Petrology","issue":"1","journalAbbreviation":"Contrib. Mineral. Petrol.","page":"79-92","source":"Scopus","title":"Li-Sr-Nd isotope signatures of the plume and cratonic lithospheric mantle beneath the margin of the rifted Tanzanian craton (Labait)","volume":"155","author":[{"family":"Aulbach","given":"S."},{"family":"Rudnick","given":"R.L."},{"family":"McDonough","given":"W.F."}],"issued":{"date-parts":[["2008"]]}},"suppress-author":true}],"schema":"https://github.com/citation-style-language/schema/raw/master/csl-citation.json"} </w:instrText>
      </w:r>
      <w:r w:rsidR="00B363AB" w:rsidRPr="00195AA8">
        <w:rPr>
          <w:color w:val="000000" w:themeColor="text1"/>
        </w:rPr>
        <w:fldChar w:fldCharType="separate"/>
      </w:r>
      <w:r w:rsidR="00636367" w:rsidRPr="00B90D6A">
        <w:rPr>
          <w:noProof/>
          <w:color w:val="000000" w:themeColor="text1"/>
        </w:rPr>
        <w:t>(2008)</w:t>
      </w:r>
      <w:r w:rsidR="00B363AB" w:rsidRPr="00195AA8">
        <w:rPr>
          <w:color w:val="000000" w:themeColor="text1"/>
        </w:rPr>
        <w:fldChar w:fldCharType="end"/>
      </w:r>
      <w:r w:rsidR="00B363AB" w:rsidRPr="00B90D6A">
        <w:t xml:space="preserve">; </w:t>
      </w:r>
      <w:r w:rsidR="00C65946" w:rsidRPr="00B90D6A">
        <w:rPr>
          <w:color w:val="000000" w:themeColor="text1"/>
        </w:rPr>
        <w:t xml:space="preserve">Bizimis &amp; Peslier (2015); Demouchy et al. </w:t>
      </w:r>
      <w:r w:rsidR="00C65946" w:rsidRPr="004C4C89">
        <w:rPr>
          <w:color w:val="000000" w:themeColor="text1"/>
        </w:rPr>
        <w:fldChar w:fldCharType="begin"/>
      </w:r>
      <w:r w:rsidR="008E0CCC">
        <w:rPr>
          <w:color w:val="000000" w:themeColor="text1"/>
        </w:rPr>
        <w:instrText xml:space="preserve"> ADDIN ZOTERO_ITEM CSL_CITATION {"citationID":"8pU4b5hv","properties":{"formattedCitation":"(2015)","plainCitation":"(2015)","noteIndex":0},"citationItems":[{"id":2848,"uris":["http://zotero.org/users/88665/items/FMMPVZQR"],"uri":["http://zotero.org/users/88665/items/FMMPVZQR"],"itemData":{"id":2848,"type":"article-journal","abstract":"We report concentrations of hydrogen (H) in upper mantle minerals of peridotites (olivine and pyroxenes) transported by alnöitic lavas, which erupted on the southwestern border of the Ontong Java Plateau (Malaita, Solomon Islands, West Pacific). Unpolarized FTIR analyses show that olivine, orthopyroxene, and diopside contain 2–32 ppm, 162–362 ppm and 159–459 ppm wt H2O, respectively. In the studied lherzolites, garnets are anhydrous. The concentration of hydrogen within individual olivine and pyroxene grains is almost homogeneous, indicating no evidence of dehydration or hydration by ionic diffusion. In the lherzolite, the concentration of hydrogen in olivine tends to increase weakly with depth (based on geothermobarometry), consistent with the increase of water solubility with increasing water fugacity as a function of pressure, but concentrations remain well below water-saturation values determined experimentally. The highest concentration of H in olivine (32 ppm wt H2O) is, however, found in refractory spinel harzburgites, which equilibrated at depths of 85 km., while deeper specimens as the high-temperature spinel harzburgites, and some of the garnet lherzolites, contain less hydrogen in olivine. Olivines from pyroxene- or pargasite-rich peridotites have also lower hydrogen concentrations. We interpret the high hydrogen concentrations in olivine from the refractory spinel harzburgites as due to (1) simultaneous hydration and metasomatism of the lithospheric mantle by a water-rich silicate melt/fluid, during which hydrogen follows MREE and where spinel harzburgite have experienced ‘stealth’ metasomatism, and/or (2) to a late ‘fleeting’ hydrogen metasomatism, which would hydrate the rock after this first ‘stealth’ metasomatism event. In the second case, the composition of the ‘fleeting’ percolating fluid (small volume fraction of very evolved fluids, with high volatiles concentration and transient properties) is likely to be linked to the decrease of the plume activity and resulting in the downwelling of the lithosphere asthenosphere boundary. The difference in hydrogen concentration between harzburgites and lherzolites could be linked to variation in trace elements in olivine induced by the first ‘stealth’ metasomatism alone or associated to the late ‘fleeting’ hydrogen metasomatism, triggered by the lack of secondary crystallization of clinopyroxenes in the harzburgite. To conclude, H concentrations in upper mantle minerals may thus be correlated to metasomatic events, with the later yielding variation of the mineral assemblage and trace element composition that constitute the peridotites.","container-title":"Lithos","DOI":"10.1016/j.lithos.2014.11.005","ISSN":"0024-4937","journalAbbreviation":"Lithos","note":"00000","page":"189-201","source":"ScienceDirect","title":"Characterization of hydration in the mantle lithosphere: Peridotite xenoliths from the Ontong Java Plateau as an example","title-short":"Characterization of hydration in the mantle lithosphere","volume":"212–215","author":[{"family":"Demouchy","given":"Sylvie"},{"family":"Ishikawa","given":"Akira"},{"family":"Tommasi","given":"Andréa"},{"family":"Alard","given":"Olivier"},{"family":"Keshav","given":"Shantanu"}],"issued":{"date-parts":[["2015",1]]}},"suppress-author":true}],"schema":"https://github.com/citation-style-language/schema/raw/master/csl-citation.json"} </w:instrText>
      </w:r>
      <w:r w:rsidR="00C65946" w:rsidRPr="004C4C89">
        <w:rPr>
          <w:color w:val="000000" w:themeColor="text1"/>
        </w:rPr>
        <w:fldChar w:fldCharType="separate"/>
      </w:r>
      <w:r w:rsidR="00636367" w:rsidRPr="00B90D6A">
        <w:rPr>
          <w:color w:val="000000" w:themeColor="text1"/>
        </w:rPr>
        <w:t>(2015)</w:t>
      </w:r>
      <w:r w:rsidR="00C65946" w:rsidRPr="004C4C89">
        <w:rPr>
          <w:color w:val="000000" w:themeColor="text1"/>
        </w:rPr>
        <w:fldChar w:fldCharType="end"/>
      </w:r>
      <w:r w:rsidR="00C65946" w:rsidRPr="00B90D6A">
        <w:rPr>
          <w:color w:val="000000" w:themeColor="text1"/>
        </w:rPr>
        <w:t xml:space="preserve">; Demouchy et al. </w:t>
      </w:r>
      <w:r w:rsidR="00C65946" w:rsidRPr="004C4C89">
        <w:rPr>
          <w:color w:val="000000" w:themeColor="text1"/>
        </w:rPr>
        <w:fldChar w:fldCharType="begin"/>
      </w:r>
      <w:r w:rsidR="008E0CCC">
        <w:rPr>
          <w:color w:val="000000" w:themeColor="text1"/>
        </w:rPr>
        <w:instrText xml:space="preserve"> ADDIN ZOTERO_ITEM CSL_CITATION {"citationID":"gk0NlHsM","properties":{"formattedCitation":"(2019)","plainCitation":"(2019)","noteIndex":0},"citationItems":[{"id":4180,"uris":["http://zotero.org/users/88665/items/VHLLUXGE"],"uri":["http://zotero.org/users/88665/items/VHLLUXGE"],"itemData":{"id":4180,"type":"article-journal","abstract":"Abstract To constrain the deformation, thermal evolution, and seismic properties of the mantle lithosphere beneath the Hangay Dome, we have analyzed the microstructures, crystal preferred orientations (CPO), and hydrogen concentrations of olivine and pyroxenes of 50 mantle xenoliths carried up by Cenozoic basalts from Zala, Haer, and Shavaryn-Tsaram from Tariat, Mongolia. Most xenoliths are medium- to coarse-grained spinel-lherzolites, but four contain garnet + spinel. Coarse granular, highly annealed microstructures predominate. The microstructures are associated with well-developed CPO, typical of deformation under high temperature, moderate pressure, and dry conditions. The hydrogen concentrations in olivine, orthopyroxene, and clinopyroxene are low and range around 5, 75, and 147 ppm H2O wt, respectively. Together, microstructures and CPO indicate that ductile deformation was followed by static recrystallization, which has annealed the microstructures but preserved the CPO and, hence, the anisotropy of physical properties. Lack of correlation between annealing and equilibrium temperatures suggest that the annealing is due to a long quiescence episode since the last deformation episode. Here, there is not evidence that the formation of Hangay Dome is associated with recent deformation in the lithospheric mantle. Calculated seismic properties show moderate seismic anisotropy, with fast propagation of P waves and polarization of S waves parallel to the flow direction and low birefringence for S waves propagating obliquely to the flow plane. The results are consistent with weak P wave anomalies but not with the strong low S wave velocity anomalies predicted by some tomographic models or with the high conductivity inferred from magnetotelluric data for the lithospheric mantle beneath the Hangay Dome.","container-title":"Geochemistry, Geophysics, Geosystems","DOI":"10.1029/2018GC007931","ISSN":"1525-2027","issue":"1","journalAbbreviation":"Geochemistry, Geophysics, Geosystems","page":"183-207","source":"agupubs.onlinelibrary.wiley.com (Atypon)","title":"Microstructures, Water Contents, and Seismic Properties of the Mantle Lithosphere Beneath the Northern Limit of the Hangay Dome, Mongolia","volume":"20","author":[{"family":"Demouchy","given":"S."},{"family":"Tommasi","given":"A."},{"family":"Ionov","given":"D."},{"family":"Higgie","given":"K."},{"family":"Carlson","given":"R. W."}],"issued":{"date-parts":[["2019",1,1]]}},"suppress-author":true}],"schema":"https://github.com/citation-style-language/schema/raw/master/csl-citation.json"} </w:instrText>
      </w:r>
      <w:r w:rsidR="00C65946" w:rsidRPr="004C4C89">
        <w:rPr>
          <w:color w:val="000000" w:themeColor="text1"/>
        </w:rPr>
        <w:fldChar w:fldCharType="separate"/>
      </w:r>
      <w:r w:rsidR="00636367" w:rsidRPr="00B90D6A">
        <w:rPr>
          <w:color w:val="000000" w:themeColor="text1"/>
        </w:rPr>
        <w:t>(2019)</w:t>
      </w:r>
      <w:r w:rsidR="00C65946" w:rsidRPr="004C4C89">
        <w:rPr>
          <w:color w:val="000000" w:themeColor="text1"/>
        </w:rPr>
        <w:fldChar w:fldCharType="end"/>
      </w:r>
      <w:r w:rsidR="00C65946" w:rsidRPr="00B90D6A">
        <w:rPr>
          <w:color w:val="000000" w:themeColor="text1"/>
        </w:rPr>
        <w:t xml:space="preserve">; Denis et al. </w:t>
      </w:r>
      <w:r w:rsidR="00C65946" w:rsidRPr="004C4C89">
        <w:rPr>
          <w:color w:val="000000" w:themeColor="text1"/>
        </w:rPr>
        <w:fldChar w:fldCharType="begin"/>
      </w:r>
      <w:r w:rsidR="00A17546">
        <w:rPr>
          <w:color w:val="000000" w:themeColor="text1"/>
        </w:rPr>
        <w:instrText xml:space="preserve"> ADDIN ZOTERO_ITEM CSL_CITATION {"citationID":"66JkSKyV","properties":{"formattedCitation":"(2015)","plainCitation":"(2015)","noteIndex":0},"citationItems":[{"id":"4YmRUp4L/DUhTTm1g","uris":["http://zotero.org/users/2552499/items/SGGHATNB"],"uri":["http://zotero.org/users/2552499/items/SGGHATNB"],"itemData":{"id":"1X5vHweh/dDcBKEL3","type":"article-journal","title":"Water content and hydrogen behaviour during metasomatism in the uppermost mantle beneath Ray Pic volcano (Massif Central, France)","container-title":"Lithos","page":"256-274","volume":"236-237","journalAbbreviation":"Lithos","author":[{"family":"Denis","given":"Carole M.M."},{"family":"Alard","given":"Olivier"},{"family":"Demouchy","given":"Sylvie"}],"issued":{"date-parts":[["2015"]]}},"suppress-author":true}],"schema":"https://github.com/citation-style-language/schema/raw/master/csl-citation.json"} </w:instrText>
      </w:r>
      <w:r w:rsidR="00C65946" w:rsidRPr="004C4C89">
        <w:rPr>
          <w:color w:val="000000" w:themeColor="text1"/>
        </w:rPr>
        <w:fldChar w:fldCharType="separate"/>
      </w:r>
      <w:r w:rsidR="00636367" w:rsidRPr="00B90D6A">
        <w:rPr>
          <w:color w:val="000000" w:themeColor="text1"/>
        </w:rPr>
        <w:t>(2015)</w:t>
      </w:r>
      <w:r w:rsidR="00C65946" w:rsidRPr="004C4C89">
        <w:rPr>
          <w:color w:val="000000" w:themeColor="text1"/>
        </w:rPr>
        <w:fldChar w:fldCharType="end"/>
      </w:r>
      <w:r w:rsidR="00C65946" w:rsidRPr="00B90D6A">
        <w:rPr>
          <w:color w:val="000000" w:themeColor="text1"/>
        </w:rPr>
        <w:t xml:space="preserve">; Doucet et al. </w:t>
      </w:r>
      <w:r w:rsidR="00C65946" w:rsidRPr="004C4C89">
        <w:rPr>
          <w:color w:val="000000" w:themeColor="text1"/>
        </w:rPr>
        <w:fldChar w:fldCharType="begin"/>
      </w:r>
      <w:r w:rsidR="008E0CCC">
        <w:rPr>
          <w:color w:val="000000" w:themeColor="text1"/>
        </w:rPr>
        <w:instrText xml:space="preserve"> ADDIN ZOTERO_ITEM CSL_CITATION {"citationID":"sW32Md9T","properties":{"formattedCitation":"(2014)","plainCitation":"(2014)","noteIndex":0},"citationItems":[{"id":3656,"uris":["http://zotero.org/users/88665/items/T8YVPMIC"],"uri":["http://zotero.org/users/88665/items/T8YVPMIC"],"itemData":{"id":3656,"type":"article-journal","abstract":"The processes that control water distribution in nominally anhydrous minerals from peridotites are twofold. Melt depletion will remove water while metasomatism can potentially add water to these minerals. These processes can lead to a wide range of outcomes in water contents, which in turn could play a role in mantle rheology and long-term cratonic root stability. To examine these complexities, water concentrations in minerals from well-characterized peridotites from the Udachnaya kimberlite in the central Siberian craton were analyzed by FTIR. The peridotites span a complete top to bottom cross-section of typical cratonic lithospheric mantle (2–7GPa and 700–1400°C). Diffusion modeling of water content profiles across olivine grains shows that water loss during decompression is limited to the 100μm rims of olivines; the cores preserved their mantle water contents. Water contents range from 6 to 323ppm wt H2O in olivine, 28–301ppm H2O in orthopyroxene (opx), 100–272ppm H2O in clinopyroxene (cpx) and 0–23ppm H2O in garnet. Melting modeling cannot reproduce the high water contents of cratonic mantle peridotites and any potential partial melting trend must have been erased by later events. The water contents of minerals, however, are correlated with modal abundances of clinopyroxene and garnet, bulk rock FeO, TiO2 and SiO2 as well as with light and middle rare earth elements in clinopyroxene and garnet. These relationships are best interpreted as interaction of residual, melt-depleted peridotites with silicate melt, which produced modal and cryptic metasomatism. Importantly, the water enrichment in the Siberian cratonic mantle took place prior to kimberlite magmatism and eruption. Water addition by metasomatism occurred from pressures &gt;4GPa all the way to the base of the cratonic root below central Siberia, but was limited to shallower levels (&lt;5GPa) in the Kaapvaal cratonic lithosphere. The difference in olivine water contents at the deepest levels of the Kaapvaal (&lt;5ppm H2O) and Siberian (6–323ppm H2O) cratonic roots may be linked to oxygen fugacity and resulting fluid speciation or, alternatively, to reaction with different metasomatic agents. Calculated viscosities for the deepest Udachnaya samples are similar to those inferred for the asthenosphere. If these xenoliths are representative of the deep cratonic lithosphere, water is not as important a parameter as previously thought in the strength of cratonic lithosphere, otherwise the cratonic root beneath Udachnaya would have been delaminated. Alternatively, the metasomatic xenoliths may not be representative of the Siberian cratonic root and kimberlites preferentially sample cratonic mantle lithosphere material located near, and metasomatized by, melt conduits, which served as channels for upward migration of water-rich melts and fluids including kimberlites. In that case, the cratonic root overall still may have relatively low water contents, which in addition to its less metasomatized (more refractory) and thereby buoyant nature, still play a role in making it strong enough to resist delamination by the surrounding asthenosphere.","container-title":"Geochimica et Cosmochimica Acta","DOI":"10.1016/j.gca.2014.04.011","ISSN":"0016-7037","journalAbbreviation":"Geochimica et Cosmochimica Acta","page":"159-187","source":"ScienceDirect","title":"High water contents in the Siberian cratonic mantle linked to metasomatism: An FTIR study of Udachnaya peridotite xenoliths","title-short":"High water contents in the Siberian cratonic mantle linked to metasomatism","volume":"137","author":[{"family":"Doucet","given":"Luc S."},{"family":"Peslier","given":"Anne H."},{"family":"Ionov","given":"Dmitri A."},{"family":"Brandon","given":"Alan D."},{"family":"Golovin","given":"Alexander V."},{"family":"Goncharov","given":"Aleksey G."},{"family":"Ashchepkov","given":"Igor V."}],"issued":{"date-parts":[["2014",7,15]]}},"suppress-author":true}],"schema":"https://github.com/citation-style-language/schema/raw/master/csl-citation.json"} </w:instrText>
      </w:r>
      <w:r w:rsidR="00C65946" w:rsidRPr="004C4C89">
        <w:rPr>
          <w:color w:val="000000" w:themeColor="text1"/>
        </w:rPr>
        <w:fldChar w:fldCharType="separate"/>
      </w:r>
      <w:r w:rsidR="00636367" w:rsidRPr="00B90D6A">
        <w:rPr>
          <w:color w:val="000000" w:themeColor="text1"/>
        </w:rPr>
        <w:t>(2014)</w:t>
      </w:r>
      <w:r w:rsidR="00C65946" w:rsidRPr="004C4C89">
        <w:rPr>
          <w:color w:val="000000" w:themeColor="text1"/>
        </w:rPr>
        <w:fldChar w:fldCharType="end"/>
      </w:r>
      <w:r w:rsidR="00C65946" w:rsidRPr="00B90D6A">
        <w:rPr>
          <w:color w:val="000000" w:themeColor="text1"/>
        </w:rPr>
        <w:t xml:space="preserve">; Falus et al. </w:t>
      </w:r>
      <w:r w:rsidR="00C65946" w:rsidRPr="004C4C89">
        <w:rPr>
          <w:color w:val="000000" w:themeColor="text1"/>
        </w:rPr>
        <w:fldChar w:fldCharType="begin"/>
      </w:r>
      <w:r w:rsidR="008E0CCC">
        <w:rPr>
          <w:color w:val="000000" w:themeColor="text1"/>
        </w:rPr>
        <w:instrText xml:space="preserve"> ADDIN ZOTERO_ITEM CSL_CITATION {"citationID":"N3YVHjCR","properties":{"formattedCitation":"(2008)","plainCitation":"(2008)","noteIndex":0},"citationItems":[{"id":4176,"uris":["http://zotero.org/users/88665/items/T58MFY4R"],"uri":["http://zotero.org/users/88665/items/T58MFY4R"],"itemData":{"id":4176,"type":"article-journal","abstract":"Peridotite xenoliths with a broad range of textures provides evidence for consistent microstructural evolution in a vertical transect of the shallow lithospheric mantle (35–55 km depth) beneath the Persani Mountains, SE Carpathians, Romania, due to ongoing plate convergence in the Carpathian Arc nearby. The recrystallized grain size, crystal preferred orientations strength, and resulting seismic anisotropy vary continuously and display a strong correlation to equilibrium temperatures, suggesting a continuous change in deformation conditions with depth. The shallowmost xenoliths have microstructures typical of high stress deformation, marked by strong recrystallization to fine grain sizes, which results in weak crystal preferred orientations and anisotropy. The deepest xenoliths have coarse-grained porphyroclastic microstructures and strong crystal preferred orientations. Replacive orthopyroxene structures, consuming olivine, and high H2O concentrations in the pyroxenes are observed in some xenoliths indicating limited percolation of fluids or volatile-rich melts. Despite the high stress deformation and high H2O contents in some of the studied xenoliths, analysis of olivine crystallographic orientations indicates that [100] slip systems, rather than “wet” [001] accommodate most of the deformation in all samples. Seismic anisotropy estimated from the measured olivine and pyroxene crystal preferred orientations suggests that the strike-parallel fast SKS polarization directions and ~1 s delay times measured in the SE Carpathians are likely the consequence of convergence-driven belt-parallel flow in the lithospheric mantle.","container-title":"Earth and Planetary Science Letters","DOI":"10.1016/j.epsl.2008.04.035","ISSN":"0012-821X","issue":"1","journalAbbreviation":"Earth and Planetary Science Letters","page":"50-64","source":"ScienceDirect","title":"Deformation and seismic anisotropy of the lithospheric mantle in the southeastern Carpathians inferred from the study of mantle xenoliths","volume":"272","author":[{"family":"Falus","given":"György"},{"family":"Tommasi","given":"Andrea"},{"family":"Ingrin","given":"Jannick"},{"family":"Szabó","given":"Csaba"}],"issued":{"date-parts":[["2008",7,30]]}},"suppress-author":true}],"schema":"https://github.com/citation-style-language/schema/raw/master/csl-citation.json"} </w:instrText>
      </w:r>
      <w:r w:rsidR="00C65946" w:rsidRPr="004C4C89">
        <w:rPr>
          <w:color w:val="000000" w:themeColor="text1"/>
        </w:rPr>
        <w:fldChar w:fldCharType="separate"/>
      </w:r>
      <w:r w:rsidR="00636367" w:rsidRPr="00B90D6A">
        <w:rPr>
          <w:color w:val="000000" w:themeColor="text1"/>
        </w:rPr>
        <w:t>(2008)</w:t>
      </w:r>
      <w:r w:rsidR="00C65946" w:rsidRPr="004C4C89">
        <w:rPr>
          <w:color w:val="000000" w:themeColor="text1"/>
        </w:rPr>
        <w:fldChar w:fldCharType="end"/>
      </w:r>
      <w:r w:rsidR="00C65946" w:rsidRPr="00B90D6A">
        <w:rPr>
          <w:color w:val="000000" w:themeColor="text1"/>
        </w:rPr>
        <w:t xml:space="preserve">; Grant et al. </w:t>
      </w:r>
      <w:r w:rsidR="00C65946" w:rsidRPr="004C4C89">
        <w:rPr>
          <w:color w:val="000000" w:themeColor="text1"/>
        </w:rPr>
        <w:fldChar w:fldCharType="begin"/>
      </w:r>
      <w:r w:rsidR="008E0CCC">
        <w:rPr>
          <w:color w:val="000000" w:themeColor="text1"/>
        </w:rPr>
        <w:instrText xml:space="preserve"> ADDIN ZOTERO_ITEM CSL_CITATION {"citationID":"MUjrcqI2","properties":{"formattedCitation":"(2007)","plainCitation":"(2007)","noteIndex":0},"citationItems":[{"id":3720,"uris":["http://zotero.org/users/88665/items/BMAJKPQ9"],"uri":["http://zotero.org/users/88665/items/BMAJKPQ9"],"itemData":{"id":3720,"type":"article-journal","abstract":"The speciation and amount of water dissolved in nominally anhydrous silicates comprising eight different mantle xenoliths has been quantified using synchrotron micro-FTIR spectroscopy. Samples studied are from six geographic localities and represent a cross-section of the major upper mantle lithologies from a variety of tectonic settings. Clinopyroxene contains between 342 and 413 ppm H2O. Orthopyroxene, olivine and garnet contain 169–201, 3–54 and 0 to &lt;3 ppm H2O, respectively. Pyroxenes water contents and the distribution of water between ortho- and clinopyroxene is identical regardless of sample mineralogy (D water cpx/opx = 2.1 ± 0.1). The total water contents of each xenolith are remarkably similar (113 ± 14 ppm H2O). High-resolution spectroscopic traverses show that the concentration and speciation of hydrous defects dissolved in each phase are spatially homogeneous within individual crystals and identical in different crystals interspersed throughout the xenolith. These results suggest that the amount of water dissolved in the silicate phases is in partial equilibrium with the transporting melt. Other features indicate that xenoliths have also preserved OH signatures of equilibrium with the mantle source region: Hydroxyl stretching modes in clinopyroxene show that garnet lherzolites re-equilibrated under more reducing conditions than spinel lherzolites. The distribution of water between pyroxenes and olivine differs according to xenolith mineralogy. The distribution of water between clinopyroxene and olivine from garnet peridotites (D water cpx/oliv (gnt) = 22.2 ± 24.1) is a factor of four greater than mineral pairs from spinel-bearing xenoliths (D water cpx/oliv (sp) = 88.1 ± 47.8). Such an increase in olivine water contents at the spinel to garnet transition is likely a global phenomenon and this discontinuity could lead to a reduction of the upper mantle viscosity by 0.2–0.7 log units and a reduction of its electrical resistivity by a factor of 0.5–0.8 log units.","container-title":"Contributions to Mineralogy and Petrology","DOI":"10.1007/s00410-006-0177-1","ISSN":"0010-7999, 1432-0967","issue":"1","journalAbbreviation":"Contributions to Mineralogy and Petrology","language":"en","page":"15-34","source":"link.springer.com","title":"Water partitioning between mantle minerals from peridotite xenoliths","volume":"154","author":[{"family":"Grant","given":"Kevin"},{"family":"Ingrin","given":"Jannick"},{"family":"Lorand","given":"Jean Pierre"},{"family":"Dumas","given":"Paul"}],"issued":{"date-parts":[["2007",7,1]]}},"suppress-author":true}],"schema":"https://github.com/citation-style-language/schema/raw/master/csl-citation.json"} </w:instrText>
      </w:r>
      <w:r w:rsidR="00C65946" w:rsidRPr="004C4C89">
        <w:rPr>
          <w:color w:val="000000" w:themeColor="text1"/>
        </w:rPr>
        <w:fldChar w:fldCharType="separate"/>
      </w:r>
      <w:r w:rsidR="00636367" w:rsidRPr="00B90D6A">
        <w:rPr>
          <w:color w:val="000000" w:themeColor="text1"/>
        </w:rPr>
        <w:t>(2007)</w:t>
      </w:r>
      <w:r w:rsidR="00C65946" w:rsidRPr="004C4C89">
        <w:rPr>
          <w:color w:val="000000" w:themeColor="text1"/>
        </w:rPr>
        <w:fldChar w:fldCharType="end"/>
      </w:r>
      <w:r w:rsidR="00C65946" w:rsidRPr="00B90D6A">
        <w:rPr>
          <w:color w:val="000000" w:themeColor="text1"/>
        </w:rPr>
        <w:t xml:space="preserve">; Gu et al. </w:t>
      </w:r>
      <w:r w:rsidR="00C65946" w:rsidRPr="004C4C89">
        <w:rPr>
          <w:color w:val="000000" w:themeColor="text1"/>
        </w:rPr>
        <w:fldChar w:fldCharType="begin"/>
      </w:r>
      <w:r w:rsidR="008E0CCC">
        <w:rPr>
          <w:color w:val="000000" w:themeColor="text1"/>
        </w:rPr>
        <w:instrText xml:space="preserve"> ADDIN ZOTERO_ITEM CSL_CITATION {"citationID":"Tvvfz0gq","properties":{"formattedCitation":"(2018)","plainCitation":"(2018)","noteIndex":0},"citationItems":[{"id":3860,"uris":["http://zotero.org/users/88665/items/SZBYDTBQ"],"uri":["http://zotero.org/users/88665/items/SZBYDTBQ"],"itemData":{"id":3860,"type":"article-journal","abstract":"Mantle metasomatism by percolating melts/fluids can significantly modify the geochemical and mineralogical compositions of the sub-continental lithospheric mantle (SCLM). We present a detailed study of water contents and Li concentrations and isotopic compositions in mantle minerals from a suite of peridotite xenoliths entrained by a Cenozoic Strombolian volcano in the southern French Massif Central (FMC). Wide ranging clinopyroxene trace element distributions (e.g., (La/Yb)N from 0.25 to 22.21; Ti/Eu ratios from 453 to 4892) suggest that the SCLM has undergone metasomatism by carbonatitic melts/fluids or melts/fluids related to subducted materials. Two amphibole-bearing samples exhibit depletion of light rare earth elements (LREE; (La/Yb)N=0.26 and 0.30, respectively) in amphiboles, similar to that in co-existing clinopyroxenes; these samples indicate that amphiboles grew during a separate modally metasomatic event predating the cryptic metasomatism accounting for LREE enrichment and negative HFSE anomalies in other samples. Mineral Li concentrations are similar to those in the normal mantle, with inter-mineral Li partitioning nearly equilibrated and intragranular Li distributions nearly homogeneous. However, negative δ7Li values of pyroxenes in some samples (as low as −8.8‰ in clinopyroxene of sample MC38) can be attributed to diffusive exchange with a small-volume melt of moderate Li concentration and light Li isotopic composition, originally associated with a recycled component. Preservation of the currently observed large inter-mineral Li isotopic variations indicates that melt percolation occurred shortly before entrainment of the peridotite xenoliths by the host magma. Mineral water contents vary from 41 to 428ppm in clinopyroxenes and from 28 to 152ppm in orthopyroxenes, and their roughly negative co-variation with coexisting olivine Fo contents imply that partial melting was the main control over mineral water content variations in most samples. Varied water contents in LREE-enriched metasomatized samples indicate the involvement of metasomatic agents of different origins. The aqueous agent responsible for generation of amphiboles in two samples did not produce a notable increase in the water contents of coexisting nominally anhydrous minerals.","collection-title":"SI: Volatiles in Earth","container-title":"Chemical Geology","DOI":"10.1016/j.chemgeo.2017.08.006","ISSN":"0009-2541","journalAbbreviation":"Chemical Geology","page":"2-17","source":"ScienceDirect","title":"Metasomatism in the sub-continental lithospheric mantle beneath the south French Massif Central: Constraints from trace elements, Li and H in peridotite minerals","title-short":"Metasomatism in the sub-continental lithospheric mantle beneath the south French Massif Central","volume":"478","author":[{"family":"Gu","given":"Xiaoyan"},{"family":"Ingrin","given":"Jannick"},{"family":"Deloule","given":"Etienne"},{"family":"France","given":"Lydéric"},{"family":"Xia","given":"Qunke"}],"issued":{"date-parts":[["2018",2,5]]}},"suppress-author":true}],"schema":"https://github.com/citation-style-language/schema/raw/master/csl-citation.json"} </w:instrText>
      </w:r>
      <w:r w:rsidR="00C65946" w:rsidRPr="004C4C89">
        <w:rPr>
          <w:color w:val="000000" w:themeColor="text1"/>
        </w:rPr>
        <w:fldChar w:fldCharType="separate"/>
      </w:r>
      <w:r w:rsidR="00636367" w:rsidRPr="00B90D6A">
        <w:rPr>
          <w:color w:val="000000" w:themeColor="text1"/>
        </w:rPr>
        <w:t>(2018)</w:t>
      </w:r>
      <w:r w:rsidR="00C65946" w:rsidRPr="004C4C89">
        <w:rPr>
          <w:color w:val="000000" w:themeColor="text1"/>
        </w:rPr>
        <w:fldChar w:fldCharType="end"/>
      </w:r>
      <w:r w:rsidR="00C65946" w:rsidRPr="00B90D6A">
        <w:rPr>
          <w:color w:val="000000" w:themeColor="text1"/>
        </w:rPr>
        <w:t xml:space="preserve">; Hao et al. </w:t>
      </w:r>
      <w:r w:rsidR="00C65946" w:rsidRPr="004C4C89">
        <w:rPr>
          <w:color w:val="000000" w:themeColor="text1"/>
        </w:rPr>
        <w:fldChar w:fldCharType="begin"/>
      </w:r>
      <w:r w:rsidR="008E0CCC">
        <w:rPr>
          <w:color w:val="000000" w:themeColor="text1"/>
        </w:rPr>
        <w:instrText xml:space="preserve"> ADDIN ZOTERO_ITEM CSL_CITATION {"citationID":"APvu1wZE","properties":{"formattedCitation":"(2016)","plainCitation":"(2016)","noteIndex":0},"citationItems":[{"id":4169,"uris":["http://zotero.org/users/88665/items/5K8HIMUR"],"uri":["http://zotero.org/users/88665/items/5K8HIMUR"],"itemData":{"id":4169,"type":"article-journal","abstract":"Metasomatism induced by melts/fluids is ubiquitous in the lithospheric mantle and can potentially modify the initial water content of the mantle. However, the preservation of correlations between H2O content and partial melting indices (e.g., Yb content in clinopyroxene, Cr/(Cr+Al) in spinel) and the lack of correlations between H2O content and metasomatic indices (e.g., La/Yb in clinopyroxene) in peridotite xenoliths from several localities suggest that variations in the initial H2O content were controlled by partial melting processes rather than by subsequent metasomatic event(s) (Hao et al., 2014; Denis et al., 2015). However, the applied partition coefficients of H2O between peridotite and melt (Dperidotite/melt=0.1–0.3) in the partial melting models cast doubts on the reasonability of such explanations. Whether metasomatism always modifies the initial H2O content of the lithospheric mantle remained a topic of debate. In this paper, we measure major and trace element concentrations and H2O contents of minerals in the peridotite xenoliths hosted by the Tianchang Cenozoic basalts in eastern China by using electron microprobe, laser-ablation ICP-MS and Fourier transform infrared spectroscopy, respectively. The H2O contents (weight in ppm) of clinopyroxene, orthopyroxene and olivine are 70–280ppm, 35–140ppm and below detection limit (&lt;2ppm H2O), respectively. Although water diffusion during xenolith ascent cannot be excluded for olivine, pyroxenes largely retain the initial H2O content of the mantle source, as supported by (1) the correlation between H2O content and major element content of pyroxene, and (2) the equilibrium H2O partitioning between clinopyroxene and orthopyroxene. The calculated whole-rock H2O contents range from 14 to 93ppm (average 52±25ppm) assuming 0.1 for the H2O partition coefficient between olivine and clinopyroxene. Although no hydrous minerals are found, the enrichment in light rare earth elements and large ion lithophile elements of clinopyroxene indicates cryptic mantle metasomatism. However, variations between the H2O contents of the whole rocks and the metasomatic index (La/Yb ratio in clinopyroxene) are not correlated, suggesting that mantle metasomatism did not modify the initial H2O contents after the melting event. Instead, the H2O content correlates with the melting indices demonstrating that partial melting is the primary factor controlling the variations in the initial H2O contents. Notably, variations in whole rock H2O contents of the Tianchang peridotites can be modeled as a simple melting process of a MORB mantle source using the reported partition coefficients of H2O (Dperidotite/melt=0.005–0.03), providing a robust example suggesting that metasomatism does not always change the initial H2O content in the lithospheric mantle.","container-title":"Lithos","DOI":"10.1016/j.lithos.2016.06.003","ISSN":"0024-4937","journalAbbreviation":"Lithos","page":"315-327","source":"ScienceDirect","title":"Mantle metasomatism did not modify the initial H2O content in peridotite xenoliths from the Tianchang basalts of eastern China","volume":"260","author":[{"family":"Hao","given":"Yan-Tao"},{"family":"Xia","given":"Qun-Ke"},{"family":"Tian","given":"Zhen-Zhen"},{"family":"Liu","given":"Jia"}],"issued":{"date-parts":[["2016",9,1]]}},"suppress-author":true}],"schema":"https://github.com/citation-style-language/schema/raw/master/csl-citation.json"} </w:instrText>
      </w:r>
      <w:r w:rsidR="00C65946" w:rsidRPr="004C4C89">
        <w:rPr>
          <w:color w:val="000000" w:themeColor="text1"/>
        </w:rPr>
        <w:fldChar w:fldCharType="separate"/>
      </w:r>
      <w:r w:rsidR="00636367" w:rsidRPr="00B90D6A">
        <w:rPr>
          <w:color w:val="000000" w:themeColor="text1"/>
        </w:rPr>
        <w:t>(2016)</w:t>
      </w:r>
      <w:r w:rsidR="00C65946" w:rsidRPr="004C4C89">
        <w:rPr>
          <w:color w:val="000000" w:themeColor="text1"/>
        </w:rPr>
        <w:fldChar w:fldCharType="end"/>
      </w:r>
      <w:r w:rsidR="00C65946" w:rsidRPr="00B90D6A">
        <w:rPr>
          <w:color w:val="000000" w:themeColor="text1"/>
        </w:rPr>
        <w:t xml:space="preserve">; Hui et al. </w:t>
      </w:r>
      <w:r w:rsidR="00C65946" w:rsidRPr="004C4C89">
        <w:rPr>
          <w:color w:val="000000" w:themeColor="text1"/>
        </w:rPr>
        <w:fldChar w:fldCharType="begin"/>
      </w:r>
      <w:r w:rsidR="008E0CCC">
        <w:rPr>
          <w:color w:val="000000" w:themeColor="text1"/>
        </w:rPr>
        <w:instrText xml:space="preserve"> ADDIN ZOTERO_ITEM CSL_CITATION {"citationID":"xIWJSUej","properties":{"formattedCitation":"(2015)","plainCitation":"(2015)","noteIndex":0},"citationItems":[{"id":3689,"uris":["http://zotero.org/users/88665/items/ZNPYPLHA"],"uri":["http://zotero.org/users/88665/items/ZNPYPLHA"],"itemData":{"id":3689,"type":"article-journal","abstract":"Water and other trace element concentrations in olivine (1–39 ppm H2O), orthopyroxene (10–150 ppm H2O), and clinopyroxene (16–340 ppm H2O) of mantle xenoliths from the Labait volcano, located on the edge of the Tanzanian craton along the eastern branch of the East African Rift, record melting and subsequent refertilization by plume magmas in a stratified lithosphere. These water contents are at the lower end of the range observed in other cratonic mantle lithospheres. Despite correlations between water content and indices of melting in orthopyroxene from the shallow peridotites, and in both olivine and orthopyroxene from the deep peridotites, water concentrations are too high for the peridotites to be simple residues. Instead, the Labait water contents are best explained as reflecting interaction between residual peridotite with a melt having relatively low water content (&lt;1 wt.% H2O). Plume-derived melts are the likely source of water and other trace element enrichments in the Labait peridotites. Only garnet may have undergone addition of water from the host magma as evidenced by water content increasing toward the kelyphite rim in one otherwise homogeneous garnet. Based on modeling of the diffusion profile, magma ascent occurred at 4–28 m/s. In summary, plume-craton interaction appears to result in only moderate water enrichment of the lithosphere.","container-title":"Geochemistry, Geophysics, Geosystems","DOI":"10.1002/2015GC005779","ISSN":"1525-2027","issue":"6","journalAbbreviation":"Geochemistry, Geophysics, Geosystems","language":"en","page":"1687-1710","source":"Wiley Online Library","title":"Plume-cratonic lithosphere interaction recorded by water and other trace elements in peridotite xenoliths from the Labait volcano, Tanzania","volume":"16","author":[{"family":"Hui","given":"Hejiu"},{"family":"Peslier","given":"Anne H."},{"family":"Rudnick","given":"Roberta L."},{"family":"Simonetti","given":"Antonio"},{"family":"Neal","given":"Clive R."}],"issued":{"date-parts":[["2015",6,1]]}},"suppress-author":true}],"schema":"https://github.com/citation-style-language/schema/raw/master/csl-citation.json"} </w:instrText>
      </w:r>
      <w:r w:rsidR="00C65946" w:rsidRPr="004C4C89">
        <w:rPr>
          <w:color w:val="000000" w:themeColor="text1"/>
        </w:rPr>
        <w:fldChar w:fldCharType="separate"/>
      </w:r>
      <w:r w:rsidR="00636367" w:rsidRPr="00B90D6A">
        <w:rPr>
          <w:color w:val="000000" w:themeColor="text1"/>
        </w:rPr>
        <w:t>(2015)</w:t>
      </w:r>
      <w:r w:rsidR="00C65946" w:rsidRPr="004C4C89">
        <w:rPr>
          <w:color w:val="000000" w:themeColor="text1"/>
        </w:rPr>
        <w:fldChar w:fldCharType="end"/>
      </w:r>
      <w:r w:rsidR="00C65946" w:rsidRPr="00B90D6A">
        <w:rPr>
          <w:color w:val="000000" w:themeColor="text1"/>
        </w:rPr>
        <w:t xml:space="preserve">; </w:t>
      </w:r>
      <w:r w:rsidR="00B363AB" w:rsidRPr="00B90D6A">
        <w:rPr>
          <w:color w:val="000000" w:themeColor="text1"/>
        </w:rPr>
        <w:t xml:space="preserve">Ionov et al. </w:t>
      </w:r>
      <w:r w:rsidR="00B363AB" w:rsidRPr="004C4C89">
        <w:rPr>
          <w:color w:val="000000" w:themeColor="text1"/>
        </w:rPr>
        <w:fldChar w:fldCharType="begin"/>
      </w:r>
      <w:r w:rsidR="008E0CCC">
        <w:rPr>
          <w:color w:val="000000" w:themeColor="text1"/>
        </w:rPr>
        <w:instrText xml:space="preserve"> ADDIN ZOTERO_ITEM CSL_CITATION {"citationID":"XPeELYsC","properties":{"formattedCitation":"(2017)","plainCitation":"(2017)","noteIndex":0},"citationItems":[{"id":4226,"uris":["http://zotero.org/users/88665/items/UBWPDNZ3"],"uri":["http://zotero.org/users/88665/items/UBWPDNZ3"],"itemData":{"id":4226,"type":"article-journal","abstract":"We report the concentrations ([Li]) and isotopic compositions of Li in mineral separates and bulk rocks obtained by MC-ICPMS for 14 previously studied garnet and spinel peridotite xenoliths from the Udachnaya kimberlite in the central Siberian craton as well as major and trace element compositions for a new suite of 13 deformed garnet peridotites. The deformed Udachnaya peridotites occur at &gt;5GPa; they are metasomatized residues of melt extraction, which as a group experienced greater modal and chemical enrichments than coarse peridotites. We identify two sub-groups of the deformed peridotites: (a) mainly cryptically metasomatized (similar to coarse peridotites) with relatively low modal cpx (&lt;6%) and garnet (&lt;7%), low Ca and high Mg#, sinusoidal REE patterns in garnet, and chemically unequilibrated garnet and cpx; (b) modally metasomatized with more cpx and garnet, higher Ca, Fe and Ti, and equilibrated garnet and cpx. The chemical enrichments are not proportional to deformation degrees. The deformation in the lower lithosphere is caused by a combination of localized stress, heating and fluid ingress from the pathways of ascending proto-kimberlite melts, with metasomatic media evolving due to reactions with wall rocks. Mg-rich olivine in spinel and coarse garnet Udachnaya peridotites has 1.2–1.9ppm Li and δ7Li of 1.2–5.0‰, i.e. close to olivine in equilibrated fertile to depleted off-craton mantle peridotites from literature data, whereas olivine from the deformed peridotites has higher [Li] (2.4–7.5ppm) and a broader range of δ7Li (1.8–11.6‰), which we attribute to pre-eruption metasomatism. [Li] in opx is higher than in coexisting olivine while Δ7LiOl-Opx (δ7LiOl−δ7LiOpx) ranges from −6.6 to 7.8‰, indicating disequilibrium inter-mineral [Li] and Li-isotope partitioning. We relate these Li systematics to interaction of lithospheric peridotites with fluids or melts that are either precursors of kimberlite magmatism or products of their fractionation and/or reaction with host mantle. The melts rich in Na and carbonates infiltrated, heated and weakened wall-rock peridotites to facilitate their deformation as well as produce high [Li] and variable, but mainly high, δ7Li in olivine. The carbonate-rich melts preferentially reacted with the opx without achieving inter-mineral equilibrium because opx is consumed by such melts, and because of small volumes and uneven distribution of the metasomatic media, as well as short time spans between the melt infiltration and the capture of the wall-rock fragments by incoming portions of ascending kimberlite magma as xenoliths. Trapped interstitial liquid solidified as cryptic components responsible for high [Li] and the lack of δ7Li balance between olivine and opx, and bulk rocks. Unaltered δ26Mg values (0.20–0.26‰) measured in several olivine separates show no effects of the metasomatism on Mg-isotopes, apparently due to high Mg in the peridotites.","container-title":"Chemical Geology","DOI":"10.1016/j.chemgeo.2017.10.038","ISSN":"0009-2541","journalAbbreviation":"Chemical Geology","page":"105-121","source":"ScienceDirect","title":"Links between deformation, chemical enrichments and Li-isotope compositions in the lithospheric mantle of the central Siberian craton","volume":"475","author":[{"family":"Ionov","given":"Dmitri A."},{"family":"Doucet","given":"Luc S."},{"family":"Pogge von Strandmann","given":"Philip A. E."},{"family":"Golovin","given":"Alexander V."},{"family":"Korsakov","given":"Andrey V."}],"issued":{"date-parts":[["2017",12,25]]}},"suppress-author":true}],"schema":"https://github.com/citation-style-language/schema/raw/master/csl-citation.json"} </w:instrText>
      </w:r>
      <w:r w:rsidR="00B363AB" w:rsidRPr="004C4C89">
        <w:rPr>
          <w:color w:val="000000" w:themeColor="text1"/>
        </w:rPr>
        <w:fldChar w:fldCharType="separate"/>
      </w:r>
      <w:r w:rsidR="00636367" w:rsidRPr="00B90D6A">
        <w:rPr>
          <w:noProof/>
          <w:color w:val="000000" w:themeColor="text1"/>
        </w:rPr>
        <w:t>(2017)</w:t>
      </w:r>
      <w:r w:rsidR="00B363AB" w:rsidRPr="004C4C89">
        <w:rPr>
          <w:color w:val="000000" w:themeColor="text1"/>
        </w:rPr>
        <w:fldChar w:fldCharType="end"/>
      </w:r>
      <w:r w:rsidR="00B363AB" w:rsidRPr="00B90D6A">
        <w:rPr>
          <w:color w:val="000000" w:themeColor="text1"/>
        </w:rPr>
        <w:t xml:space="preserve">; Kaesar et al. </w:t>
      </w:r>
      <w:r w:rsidR="00B363AB" w:rsidRPr="00195AA8">
        <w:rPr>
          <w:color w:val="000000" w:themeColor="text1"/>
        </w:rPr>
        <w:fldChar w:fldCharType="begin"/>
      </w:r>
      <w:r w:rsidR="008E0CCC">
        <w:rPr>
          <w:color w:val="000000" w:themeColor="text1"/>
        </w:rPr>
        <w:instrText xml:space="preserve"> ADDIN ZOTERO_ITEM CSL_CITATION {"citationID":"u22bjWGW","properties":{"formattedCitation":"(2007)","plainCitation":"(2007)","noteIndex":0},"citationItems":[{"id":4253,"uris":["http://zotero.org/users/88665/items/DP62BK5Z"],"uri":["http://zotero.org/users/88665/items/DP62BK5Z"],"itemData":{"id":4253,"type":"article-journal","abstract":"The light elements Li, Be, and B have been analyzed in situ in minerals from three groups of peridotite xenoliths hosted in Quaternary basanites from the Marsabit volcanic field (northern Kenya). Group I and II are fertile lherzolites that experienced deformation, decompression, and cooling in the context of Mesozoic rifting (Group I), followed by heating, static recrystallization, and associated cryptic metasomatism (Group II) as a result of Tertiary-Quaternary rifting and magmatism. Group III xenoliths are spinel harzburgites and dunites that experienced strong cryptic and modal metasomatism. The Li-Be-B systematics in minerals of Group I and II are similar to unmetasomatized subcontinental lithospheric mantle. In contrast, Group III samples are characterized by significant enrichment in all light elements and disequilibrium partitioning between different phases. Light element concentrations levels are similar to that expected for mantle rocks metasomatized by melts and fluids released from subducting slabs, while light element/rare earth element ratios (especially Li/Yb) approach those of typical Island Arc basalts. However, detailed investigation of textures and chemical zoning shows that at least Li concentrations in primary minerals were modified (i.e., decoupled from Yb) during late-stage melting and/or fluid percolation related to Tertiary-Quaternary alkaline magmatism in Marsabit (formation of melt pockets consisting of silicate glass, clinopyroxene, olivine, and chromite), ultimately followed by xenolith entrapment and transport to the surface. Mass balance calculations show that the melt pockets formed at the expense of earlier metasomatic phases. During this process the melt pockets mostly preserved the B, Be, and rare earth element budget of the precursor phase assemblage, whereas Li was added. Elevated B/Be and low Ce/B of metasomatic phases prior to late melting could result from metasomatism by a slab fluid. However, similar characteristics are expected for evolved Si- and CO2-rich fluids derived from basanite melt-peridotite interaction, not related to any subduction zone process. The results of this study imply that the inference of a “slab signature” exclusively based on trace element data of metasomatized peridotite is ambiguous.","container-title":"Geochemistry, Geophysics, Geosystems","DOI":"10.1029/2006GC001555","ISSN":"1525-2027","issue":"9","language":"en","page":"10.1029/2006GC001555","source":"Wiley Online Library","title":"Li, Be, and B abundances in minerals of peridotite xenoliths from Marsabit (Kenya): Disequilibrium processes and implications for subduction zone signatures","title-short":"Li, Be, and B abundances in minerals of peridotite xenoliths from Marsabit (Kenya)","volume":"8","author":[{"family":"Kaeser","given":"Benjamin"},{"family":"Kalt","given":"Angelika"},{"family":"Ludwig","given":"Thomas"}],"issued":{"date-parts":[["2007"]]}},"suppress-author":true}],"schema":"https://github.com/citation-style-language/schema/raw/master/csl-citation.json"} </w:instrText>
      </w:r>
      <w:r w:rsidR="00B363AB" w:rsidRPr="00195AA8">
        <w:rPr>
          <w:color w:val="000000" w:themeColor="text1"/>
        </w:rPr>
        <w:fldChar w:fldCharType="separate"/>
      </w:r>
      <w:r w:rsidR="00636367" w:rsidRPr="00B90D6A">
        <w:rPr>
          <w:noProof/>
          <w:color w:val="000000" w:themeColor="text1"/>
        </w:rPr>
        <w:t>(2007)</w:t>
      </w:r>
      <w:r w:rsidR="00B363AB" w:rsidRPr="00195AA8">
        <w:rPr>
          <w:color w:val="000000" w:themeColor="text1"/>
        </w:rPr>
        <w:fldChar w:fldCharType="end"/>
      </w:r>
      <w:r w:rsidR="00B363AB" w:rsidRPr="00195AA8">
        <w:rPr>
          <w:color w:val="000000" w:themeColor="text1"/>
        </w:rPr>
        <w:t xml:space="preserve">; </w:t>
      </w:r>
      <w:r w:rsidR="00C65946" w:rsidRPr="00B90D6A">
        <w:rPr>
          <w:color w:val="000000" w:themeColor="text1"/>
        </w:rPr>
        <w:t xml:space="preserve">Kilgore et al. </w:t>
      </w:r>
      <w:r w:rsidR="00C65946" w:rsidRPr="004C4C89">
        <w:rPr>
          <w:color w:val="000000" w:themeColor="text1"/>
        </w:rPr>
        <w:fldChar w:fldCharType="begin"/>
      </w:r>
      <w:r w:rsidR="008E0CCC">
        <w:rPr>
          <w:color w:val="000000" w:themeColor="text1"/>
        </w:rPr>
        <w:instrText xml:space="preserve"> ADDIN ZOTERO_ITEM CSL_CITATION {"citationID":"tOvvvnBG","properties":{"formattedCitation":"(2018)","plainCitation":"(2018)","noteIndex":0},"citationItems":[{"id":3933,"uris":["http://zotero.org/users/88665/items/RAZ5ISZD"],"uri":["http://zotero.org/users/88665/items/RAZ5ISZD"],"itemData":{"id":3933,"type":"article-journal","abstract":"Assessing water contents of subduction zone mantle peridotites can gain insight into the compositions of slab-derived fluids/melts and the active margin water cycle. Here eight mantle xenoliths from Alligator Lake (northern Canadian Cordillera) are examined to address these issues. The harzburgites have less water, on average, but are more oxidized (ΔFMQ 0.1) than the lherzolites (ΔFMQ −1.0). The lherzolites have major and trace element compositions close to primitive mantle, while the harzburgite major element and heavy rare earth element compositions are indicative of higher degrees of melt depletion but with light rare earth element-enriched profiles. Correlations between lherzolite pyroxene water contents and bulk rock Ba/Nb and Ba/Yb ratios likely result from interaction with subduction related fluids. The trace element compositions of the harzburgite clinopyroxenes are successfully modeled by melting of a fertile mantle lithosphere and interaction with a carbonatite melt. Correlations between the harzburgite water contents and clinopyroxene Ca/Al ratios and Mg# are also consistent with the influence of carbonatite metasomatism. Metasomatism likely resulted from opening of a slab window beneath the region, detected as a low-velocity seismic anomaly, which heated and mobilized a heterogeneous mantle lithosphere veined with carbonatite. This study confirms that subduction zone mantle lithosphere is not necessarily more water-rich or more oxidized than oceanic lithosphere or other off-cratonic settings. Moreover, local oxidation is not necessarily related to the ingress of subduction zone fluids but can also be related to melting of a heterogeneous lithosphere following heating above a slab window.","container-title":"Geochemistry, Geophysics, Geosystems","DOI":"10.1029/2018GC007700","ISSN":"1525-2027","language":"en","page":"10.1029/2018GC007700","source":"Wiley Online Library","title":"Water and oxygen fugacity in the lithospheric mantle wedge beneath the Northern Canadian Cordillera (Alligator Lake)","author":[{"family":"Kilgore","given":"McKensie L."},{"family":"Peslier","given":"Anne H."},{"family":"Brandon","given":"Alan D."},{"family":"Lamb","given":"William M."}],"issued":{"date-parts":[["2018"]]}},"suppress-author":true}],"schema":"https://github.com/citation-style-language/schema/raw/master/csl-citation.json"} </w:instrText>
      </w:r>
      <w:r w:rsidR="00C65946" w:rsidRPr="004C4C89">
        <w:rPr>
          <w:color w:val="000000" w:themeColor="text1"/>
        </w:rPr>
        <w:fldChar w:fldCharType="separate"/>
      </w:r>
      <w:r w:rsidR="00636367" w:rsidRPr="00B90D6A">
        <w:rPr>
          <w:color w:val="000000" w:themeColor="text1"/>
        </w:rPr>
        <w:t>(2018)</w:t>
      </w:r>
      <w:r w:rsidR="00C65946" w:rsidRPr="004C4C89">
        <w:rPr>
          <w:color w:val="000000" w:themeColor="text1"/>
        </w:rPr>
        <w:fldChar w:fldCharType="end"/>
      </w:r>
      <w:r w:rsidR="00C65946" w:rsidRPr="00B90D6A">
        <w:rPr>
          <w:color w:val="000000" w:themeColor="text1"/>
        </w:rPr>
        <w:t xml:space="preserve">; Li et al. </w:t>
      </w:r>
      <w:r w:rsidR="00C65946" w:rsidRPr="004C4C89">
        <w:rPr>
          <w:color w:val="000000" w:themeColor="text1"/>
        </w:rPr>
        <w:fldChar w:fldCharType="begin"/>
      </w:r>
      <w:r w:rsidR="008E0CCC">
        <w:rPr>
          <w:color w:val="000000" w:themeColor="text1"/>
        </w:rPr>
        <w:instrText xml:space="preserve"> ADDIN ZOTERO_ITEM CSL_CITATION {"citationID":"n2TvIaRi","properties":{"formattedCitation":"(2008)","plainCitation":"(2008)","noteIndex":0},"citationItems":[{"id":3909,"uris":["http://zotero.org/users/88665/items/WVDR67VD"],"uri":["http://zotero.org/users/88665/items/WVDR67VD"],"itemData":{"id":3909,"type":"article-journal","abstract":"Nominally anhydrous minerals (e.g., olivine, clinopyroxene, and orthopyroxene) in peridotite xenoliths collected from the Colorado Plateau and southern Basin and Range in western North America were systematically analyzed by Fourier transform infrared spectroscopy for water contents. Measured water contents range from 2 to 45 ppm for olivine, from 53 to 402 ppm for orthopyroxene, and from 171 to 957 ppm for clinopyroxene. The Colorado Plateau has the highest water contents (up to 45 ppm H2O in olivine, 402 ppm H2O in orthopyroxene, and 957 ppm H2O in clinopyroxene), while San Carlos in the southern Basin and Range has the lowest water contents (up to 4 ppm H2O in olivine, 82 ppm H2O in orthopyroxene, and 178 ppm H2O in clinopyroxene). With the exception of San Carlos, the olivine and pyroxenes from all other localities (Dish Hill, Grand Canyon, and Navajo) have water contents close to or higher than that inferred for the fertile asthenospheric mantle. We interpret the high water contents measured here to have been introduced into the base of the lithospheric mantle by rehydration associated with the subduction of the Farallon plate beneath North America during the early Cenozoic. Application of an updated flow law for dislocation creep of wet olivine to lithospheric mantle conditions beneath the Colorado Plateau predicts that for a given background shear stress, hydration alone can result in approximately 1 order of magnitude drop in the effective viscosity at the base of the lithosphere. If viscosity alone is used to distinguish the lithosphere from underlying asthenosphere, this suggests that hydration could have resulted in more than 10 km of lithospheric thinning. Viscosity reduction and lithospheric thinning of even larger extents (up to </w:instrText>
      </w:r>
      <w:r w:rsidR="008E0CCC">
        <w:rPr>
          <w:rFonts w:ascii="Cambria Math" w:hAnsi="Cambria Math" w:cs="Cambria Math"/>
          <w:color w:val="000000" w:themeColor="text1"/>
        </w:rPr>
        <w:instrText>∼</w:instrText>
      </w:r>
      <w:r w:rsidR="008E0CCC">
        <w:rPr>
          <w:color w:val="000000" w:themeColor="text1"/>
        </w:rPr>
        <w:instrText xml:space="preserve">100 km) are predicted when thicker lithosphere (such as Archean cratons) and larger water contents (up to water-saturated conditions) are considered. If our interpretations are correct, the implications of our study go beyond western North America and hint at a possible way of recycling continental mantle, including cratonic mantle, back into the convecting mantle.","container-title":"Journal of Geophysical Research: Solid Earth","DOI":"10.1029/2007JB005540","ISSN":"2156-2202","issue":"B9","language":"en","source":"Wiley Online Library","title":"Water contents in mantle xenoliths from the Colorado Plateau and vicinity: Implications for the mantle rheology and hydration-induced thinning of continental lithosphere","title-short":"Water contents in mantle xenoliths from the Colorado Plateau and vicinity","URL":"https://agupubs.onlinelibrary.wiley.com/doi/abs/10.1029/2007JB005540","volume":"113","author":[{"family":"Li","given":"Zheng-Xue Anser"},{"family":"Lee","given":"Cin-Ty A."},{"family":"Peslier","given":"Anne H."},{"family":"Lenardic","given":"Adrian"},{"family":"Mackwell","given":"Stephen J."}],"issued":{"date-parts":[["2008",9,1]]}},"suppress-author":true}],"schema":"https://github.com/citation-style-language/schema/raw/master/csl-citation.json"} </w:instrText>
      </w:r>
      <w:r w:rsidR="00C65946" w:rsidRPr="004C4C89">
        <w:rPr>
          <w:color w:val="000000" w:themeColor="text1"/>
        </w:rPr>
        <w:fldChar w:fldCharType="separate"/>
      </w:r>
      <w:r w:rsidR="00636367" w:rsidRPr="00B90D6A">
        <w:rPr>
          <w:color w:val="000000" w:themeColor="text1"/>
        </w:rPr>
        <w:t>(2008)</w:t>
      </w:r>
      <w:r w:rsidR="00C65946" w:rsidRPr="004C4C89">
        <w:rPr>
          <w:color w:val="000000" w:themeColor="text1"/>
        </w:rPr>
        <w:fldChar w:fldCharType="end"/>
      </w:r>
      <w:r w:rsidR="00C65946" w:rsidRPr="00B90D6A">
        <w:rPr>
          <w:color w:val="000000" w:themeColor="text1"/>
        </w:rPr>
        <w:t xml:space="preserve">; Li et al. </w:t>
      </w:r>
      <w:r w:rsidR="00C65946" w:rsidRPr="004C4C89">
        <w:rPr>
          <w:color w:val="000000" w:themeColor="text1"/>
        </w:rPr>
        <w:fldChar w:fldCharType="begin"/>
      </w:r>
      <w:r w:rsidR="008E0CCC">
        <w:rPr>
          <w:color w:val="000000" w:themeColor="text1"/>
        </w:rPr>
        <w:instrText xml:space="preserve"> ADDIN ZOTERO_ITEM CSL_CITATION {"citationID":"VTeu78An","properties":{"formattedCitation":"(2015)","plainCitation":"(2015)","noteIndex":0},"citationItems":[{"id":3858,"uris":["http://zotero.org/users/88665/items/SEDPH2DE"],"uri":["http://zotero.org/users/88665/items/SEDPH2DE"],"itemData":{"id":3858,"type":"article-journal","abstract":"The water contents have been measured by Fourier transform infrared spectrometry (FTIR) on the minerals of peridotite xenoliths hosted by late Mesozoic basalts in three localities, Daxizhuang (74Ma), Junan (67Ma) and Qingdao (82Ma), of the eastern North China Craton (NCC). The water content (H2O by weight) of the Daxizhuang samples is from 103 to 311ppm for clinopyroxene (cpx), from 30 to 141ppm for orthopyroxene (opx) and from 21 to 66ppm for whole rocks. In contrast, the samples from Junan and Qingdao have high water content, from 466 to 746ppm for cpx, 187 to 346ppm for opx and 99 to 232ppm for whole rocks. These results, combined with previously reported data of lithospheric mantle samples of the eastern NCC at ~120Ma and &lt;40Ma, suggest a temporal variation of water content in the lithospheric mantle since the peak time (~120Ma) of the destruction of the NCC. At that time, the lithospheric mantle was hydrous (&gt;1000ppm); after its destruction was complete at the end of the Mesozoic, the water content of the lithospheric mantle was extremely low (&lt;50ppm); during the period of destruction, the lithospheric mantle had intermediate water content. The temporal variation is thought to be linked with the process of the craton destruction: (1) at the peak time of destruction, the hydrated lithospheric mantle creates a low-viscosity prerequisite for its own destruction; (2) during the destruction, the upwelling asthenosphere erodes the lowermost lithospheric mantle and heats the overlying lithospheric mantle continuously, resulting in lithospheric thinning and dewatering of the relict lithospheric mantle till to the cease of the destruction which is at least partly due to its low water content. The upwelling asthenosphere, however, cools at weak zones (e.g., deep faults) and transforms into newly accreted lithospheric mantle with higher water content than the dewatered relict mantle.","container-title":"Gondwana Research","DOI":"10.1016/j.gr.2014.03.012","ISSN":"1342-937X","issue":"1","journalAbbreviation":"Gondwana Research","page":"276-287","source":"ScienceDirect","title":"Temporal variation of H2O content in the lithospheric mantle beneath the eastern North China Craton: Implications for the destruction of cratons","title-short":"Temporal variation of H2O content in the lithospheric mantle beneath the eastern North China Craton","volume":"28","author":[{"family":"Li","given":"Pei"},{"family":"Xia","given":"Qun-Ke"},{"family":"Deloule","given":"Etienne"},{"family":"Chen","given":"Huan"},{"family":"Gu","given":"Xiao-Yan"},{"family":"Feng","given":"Min"}],"issued":{"date-parts":[["2015",8,1]]}},"suppress-author":true}],"schema":"https://github.com/citation-style-language/schema/raw/master/csl-citation.json"} </w:instrText>
      </w:r>
      <w:r w:rsidR="00C65946" w:rsidRPr="004C4C89">
        <w:rPr>
          <w:color w:val="000000" w:themeColor="text1"/>
        </w:rPr>
        <w:fldChar w:fldCharType="separate"/>
      </w:r>
      <w:r w:rsidR="00636367" w:rsidRPr="00B90D6A">
        <w:rPr>
          <w:color w:val="000000" w:themeColor="text1"/>
        </w:rPr>
        <w:t>(2015)</w:t>
      </w:r>
      <w:r w:rsidR="00C65946" w:rsidRPr="004C4C89">
        <w:rPr>
          <w:color w:val="000000" w:themeColor="text1"/>
        </w:rPr>
        <w:fldChar w:fldCharType="end"/>
      </w:r>
      <w:r w:rsidR="00C65946" w:rsidRPr="00B90D6A">
        <w:rPr>
          <w:color w:val="000000" w:themeColor="text1"/>
        </w:rPr>
        <w:t xml:space="preserve">; </w:t>
      </w:r>
      <w:r w:rsidR="00B363AB" w:rsidRPr="00B90D6A">
        <w:rPr>
          <w:color w:val="000000" w:themeColor="text1"/>
        </w:rPr>
        <w:t xml:space="preserve">Li et al. </w:t>
      </w:r>
      <w:r w:rsidR="00B363AB" w:rsidRPr="004C4C89">
        <w:rPr>
          <w:color w:val="000000" w:themeColor="text1"/>
        </w:rPr>
        <w:fldChar w:fldCharType="begin"/>
      </w:r>
      <w:r w:rsidR="008E0CCC">
        <w:rPr>
          <w:color w:val="000000" w:themeColor="text1"/>
        </w:rPr>
        <w:instrText xml:space="preserve"> ADDIN ZOTERO_ITEM CSL_CITATION {"citationID":"RWwDNV6a","properties":{"formattedCitation":"(2018)","plainCitation":"(2018)","noteIndex":0},"citationItems":[{"id":4245,"uris":["http://zotero.org/users/88665/items/3PP97I44"],"uri":["http://zotero.org/users/88665/items/3PP97I44"],"itemData":{"id":4245,"type":"article-journal","abstract":"Mantle xenoliths exhumed from beneath the South Island of New Zealand offer an opportunity to investigate the role of lithospheric mantle water in influencing deep lithosphere deformation and formation of the narrow Southern Alps mountain range during orogeny along the Australia–Pacific plate boundary. Fourier transform infrared spectrometry (FTIR) water measurements on clinopyroxene (cpx), orthopyroxene (opx) and olivine of peridotite xenoliths from seven localities across the Zealandia continent reveal a lateral variation of H2O within the Oligocene–Miocene lithospheric mantle. There is a “wet” domain beneath what is now the Southern Alps mountain range with average measured H2O concentrations of 610 ppm for cpx and 298 ppm for opx. In contrast, dominantly “dry” domains with average H2O concentrations of 110 ppm for cpx and 49 ppm for opx reside beneath East Otago, Chatham Island and Auckland Islands. Contrasting H2O concentrations within olivine (calculated to be 60 to 100 ppm for the wet domain versus &lt;10 ppm for the dry domains) indicate a lateral gradient in mantle effective viscosity of up to one order of magnitude beneath the Southern Alps and the surrounding regions. The narrow width of the Southern Alps orogen, </w:instrText>
      </w:r>
      <w:r w:rsidR="008E0CCC">
        <w:rPr>
          <w:rFonts w:ascii="Cambria Math" w:hAnsi="Cambria Math" w:cs="Cambria Math"/>
          <w:color w:val="000000" w:themeColor="text1"/>
        </w:rPr>
        <w:instrText>∼</w:instrText>
      </w:r>
      <w:r w:rsidR="008E0CCC">
        <w:rPr>
          <w:color w:val="000000" w:themeColor="text1"/>
        </w:rPr>
        <w:instrText xml:space="preserve">80 km, contrasts with most of its broad counterparts worldwide, such as the North American Cordillera where the mantle was hydrated and weakened by the subduction of the Farallon plate. However, those developed orogens were often complicated by subsequent tectonic overprinting. Our findings show that the pre-existing rheologically weak zone of the mantle lithosphere, most likely resulting from hydration by the subduction of the oceanic lithosphere attached to the Australian plate beneath the South Island of New Zealand at </w:instrText>
      </w:r>
      <w:r w:rsidR="008E0CCC">
        <w:rPr>
          <w:rFonts w:ascii="Cambria Math" w:hAnsi="Cambria Math" w:cs="Cambria Math"/>
          <w:color w:val="000000" w:themeColor="text1"/>
        </w:rPr>
        <w:instrText>∼</w:instrText>
      </w:r>
      <w:r w:rsidR="008E0CCC">
        <w:rPr>
          <w:color w:val="000000" w:themeColor="text1"/>
        </w:rPr>
        <w:instrText xml:space="preserve">25 Ma, affects the continental deformation at or near the surface and controls the width of the developing Southern Alps orogen.","container-title":"Earth and Planetary Science Letters","DOI":"10.1016/j.epsl.2018.09.004","ISSN":"0012-821X","journalAbbreviation":"Earth and Planetary Science Letters","page":"200-209","source":"ScienceDirect","title":"Lateral H2O variation in the Zealandia lithospheric mantle controls orogen width","volume":"502","author":[{"family":"Li","given":"Pei"},{"family":"Scott","given":"James M."},{"family":"Liu","given":"Jingao"},{"family":"Xia","given":"Qun-ke"}],"issued":{"date-parts":[["2018",11,15]]}},"suppress-author":true}],"schema":"https://github.com/citation-style-language/schema/raw/master/csl-citation.json"} </w:instrText>
      </w:r>
      <w:r w:rsidR="00B363AB" w:rsidRPr="004C4C89">
        <w:rPr>
          <w:color w:val="000000" w:themeColor="text1"/>
        </w:rPr>
        <w:fldChar w:fldCharType="separate"/>
      </w:r>
      <w:r w:rsidR="00636367" w:rsidRPr="00B90D6A">
        <w:rPr>
          <w:noProof/>
          <w:color w:val="000000" w:themeColor="text1"/>
        </w:rPr>
        <w:t>(2018)</w:t>
      </w:r>
      <w:r w:rsidR="00B363AB" w:rsidRPr="004C4C89">
        <w:rPr>
          <w:color w:val="000000" w:themeColor="text1"/>
        </w:rPr>
        <w:fldChar w:fldCharType="end"/>
      </w:r>
      <w:r w:rsidR="00B363AB" w:rsidRPr="00B90D6A">
        <w:rPr>
          <w:color w:val="000000" w:themeColor="text1"/>
        </w:rPr>
        <w:t xml:space="preserve">; </w:t>
      </w:r>
      <w:r w:rsidR="00C65946" w:rsidRPr="00B90D6A">
        <w:rPr>
          <w:color w:val="000000" w:themeColor="text1"/>
        </w:rPr>
        <w:t xml:space="preserve">Marshall et al. </w:t>
      </w:r>
      <w:r w:rsidR="00C65946" w:rsidRPr="004C4C89">
        <w:rPr>
          <w:color w:val="000000" w:themeColor="text1"/>
        </w:rPr>
        <w:fldChar w:fldCharType="begin"/>
      </w:r>
      <w:r w:rsidR="008E0CCC">
        <w:rPr>
          <w:color w:val="000000" w:themeColor="text1"/>
        </w:rPr>
        <w:instrText xml:space="preserve"> ADDIN ZOTERO_ITEM CSL_CITATION {"citationID":"Sbi2YKQ4","properties":{"formattedCitation":"(2018)","plainCitation":"(2018)","noteIndex":0},"citationItems":[{"id":3877,"uris":["http://zotero.org/users/88665/items/HEUW7XSU"],"uri":["http://zotero.org/users/88665/items/HEUW7XSU"],"itemData":{"id":3877,"type":"article-journal","abstract":"In magmatic settings, water behaves as an incompatible species and should be depleted during melting and enriched during metasomatism. Previous studies have identified correlations between nominally anhydrous mineral (NAM) water content ([H2O]) and indices of metasomatism or melt extraction, seemingly confirming this behavior in the mantle. However in detail, these correlations are ambiguous and do not reflect robust controls on NAM [H2O]. We measured orthopyroxene (opx) and clinopyroxene (cpx) [H2O] in variably hydrated and metasomatized peridotite xenoliths from the Navajo volcanic field (NVF) that sample the Colorado Plateau subcontinental lithospheric mantle (SCLM), an endmember of SCLM hydration and metasomatism. These xenoliths span a wide range of pyroxene [H2O] (opx from 50 to 588 ppm wt. H2O; cpx from 38 to 581 ppm wt. H2O), but NAM [H2O] does not correlate with either indices of melt depletion or metasomatism. Growth of hydrous minerals suggests higher water activity than in anhydrous peridotites, and therefore hydrous-mineral-bearing xenoliths and anhydrous xenoliths should have different NAM [H2O] and water activities. However, when the two groups are compared no significant differences can be found in either NAM [H2O] or water activity. We propose that the high diffusivity of hydrogen in the mantle allows for equilibration of water activity in the mantle over sub-kilometer length scales over geologic time. Such diffusive equilibration reduces water activity variability and results in the blurring and destruction of correlations between NAM [H2O] and indices of metasomatism or melt extraction. As a result of diffusive equilibration of water, there is a large difference in the variability of concentration between NAM [H2O] (spanning </w:instrText>
      </w:r>
      <w:r w:rsidR="008E0CCC">
        <w:rPr>
          <w:rFonts w:ascii="Cambria Math" w:hAnsi="Cambria Math" w:cs="Cambria Math"/>
          <w:color w:val="000000" w:themeColor="text1"/>
        </w:rPr>
        <w:instrText>∼</w:instrText>
      </w:r>
      <w:r w:rsidR="008E0CCC">
        <w:rPr>
          <w:color w:val="000000" w:themeColor="text1"/>
        </w:rPr>
        <w:instrText xml:space="preserve">2 orders of magnitude) and similarly incompatible elements such as Ce in the same peridotites (spanning </w:instrText>
      </w:r>
      <w:r w:rsidR="008E0CCC">
        <w:rPr>
          <w:rFonts w:ascii="Cambria Math" w:hAnsi="Cambria Math" w:cs="Cambria Math"/>
          <w:color w:val="000000" w:themeColor="text1"/>
        </w:rPr>
        <w:instrText>∼</w:instrText>
      </w:r>
      <w:r w:rsidR="008E0CCC">
        <w:rPr>
          <w:color w:val="000000" w:themeColor="text1"/>
        </w:rPr>
        <w:instrText xml:space="preserve">4 orders of magnitude). This difference in behavior explains why H2O/Ce ratios in mantle peridotites are highly variable relative to those of basalts.","container-title":"Earth and Planetary Science Letters","DOI":"10.1016/j.epsl.2018.07.033","ISSN":"0012-821X","journalAbbreviation":"Earth and Planetary Science Letters","page":"219-229","source":"ScienceDirect","title":"On the (mis)behavior of water in the mantle: Controls on nominally anhydrous mineral water content in mantle peridotites","title-short":"On the (mis)behavior of water in the mantle","volume":"499","author":[{"family":"Marshall","given":"Edward W."},{"family":"Lassiter","given":"John C."},{"family":"Barnes","given":"Jaime D."}],"issued":{"date-parts":[["2018",10,1]]}},"suppress-author":true}],"schema":"https://github.com/citation-style-language/schema/raw/master/csl-citation.json"} </w:instrText>
      </w:r>
      <w:r w:rsidR="00C65946" w:rsidRPr="004C4C89">
        <w:rPr>
          <w:color w:val="000000" w:themeColor="text1"/>
        </w:rPr>
        <w:fldChar w:fldCharType="separate"/>
      </w:r>
      <w:r w:rsidR="00636367" w:rsidRPr="00B90D6A">
        <w:rPr>
          <w:color w:val="000000" w:themeColor="text1"/>
        </w:rPr>
        <w:t>(2018)</w:t>
      </w:r>
      <w:r w:rsidR="00C65946" w:rsidRPr="004C4C89">
        <w:rPr>
          <w:color w:val="000000" w:themeColor="text1"/>
        </w:rPr>
        <w:fldChar w:fldCharType="end"/>
      </w:r>
      <w:r w:rsidR="00C65946" w:rsidRPr="00B90D6A">
        <w:rPr>
          <w:color w:val="000000" w:themeColor="text1"/>
        </w:rPr>
        <w:t xml:space="preserve">; Peslier &amp; Bizimis </w:t>
      </w:r>
      <w:r w:rsidR="00C65946" w:rsidRPr="004C4C89">
        <w:rPr>
          <w:color w:val="000000" w:themeColor="text1"/>
        </w:rPr>
        <w:fldChar w:fldCharType="begin"/>
      </w:r>
      <w:r w:rsidR="008E0CCC">
        <w:rPr>
          <w:color w:val="000000" w:themeColor="text1"/>
        </w:rPr>
        <w:instrText xml:space="preserve"> ADDIN ZOTERO_ITEM CSL_CITATION {"citationID":"z7KvUEuQ","properties":{"formattedCitation":"(2015)","plainCitation":"(2015)","noteIndex":0},"citationItems":[{"id":3647,"uris":["http://zotero.org/users/88665/items/VA7UGYMZ"],"uri":["http://zotero.org/users/88665/items/VA7UGYMZ"],"itemData":{"id":3647,"type":"article-journal","abstract":"The distribution of water concentrations in the oceanic upper mantle has drastic influence on its melting, rheology, and electrical and thermal conductivities and yet is primarily known indirectly from analyses of OIB and MORB. Here, actual mantle samples, eight peridotite xenoliths from Salt Lake Crater (SLC) and one from Pali in Oahu in Hawaii were analyzed by FTIR. Water contents of orthopyroxene, clinopyroxene, and the highest measured in olivine are 116–222, 246–442, and 10–26 ppm weight H2O, respectively. Although pyroxene water contents correlate with indices of partial melting, they are too high to be explained by simple melting modeling. Mantle-melt interaction modeling reproduces best the SLC data. These peridotites represent depleted oceanic mantle older than the Pacific lithosphere that has been refertilized by nephelinite melts containing &lt;5 weight % H2O. Metasomatism in the Hawaiian peridotites resulted in an apparent decoupling of water and LREE that can be reconciled via assimilation and fractional crystallization. Calculated bulk-rock water contents for SLC (50–96 ppm H2O) are on the low side of that of the MORB source (50–200 ppm H2O). Preceding metasomatism, the SLC peridotites must have been even drier, with a water content similar to that of the Pali peridotite (45 ppm H2O), a relatively unmetasomatized fragment of the Pacific lithosphere. Moreover, our data show that the oceanic mantle lithosphere above plumes is not necessarily enriched in water. Calculated viscosities using olivine water contents allow to estimate the depth of the lithosphere-asthenosphere boundary beneath Hawaii at </w:instrText>
      </w:r>
      <w:r w:rsidR="008E0CCC">
        <w:rPr>
          <w:rFonts w:ascii="Cambria Math" w:hAnsi="Cambria Math" w:cs="Cambria Math"/>
          <w:color w:val="000000" w:themeColor="text1"/>
        </w:rPr>
        <w:instrText>∼</w:instrText>
      </w:r>
      <w:r w:rsidR="008E0CCC">
        <w:rPr>
          <w:color w:val="000000" w:themeColor="text1"/>
        </w:rPr>
        <w:instrText xml:space="preserve">90 km.","container-title":"Geochemistry, Geophysics, Geosystems","DOI":"10.1002/2015GC005780","ISSN":"1525-2027","issue":"4","journalAbbreviation":"Geochemistry, Geophysics, Geosystems","language":"en","page":"1211-1232","source":"Wiley Online Library","title":"Water in Hawaiian peridotite minerals: A case for a dry metasomatized oceanic mantle lithosphere","title-short":"Water in Hawaiian peridotite minerals","volume":"16","author":[{"family":"Peslier","given":"Anne H."},{"family":"Bizimis","given":"Michael"}],"issued":{"date-parts":[["2015",4,1]]}},"suppress-author":true}],"schema":"https://github.com/citation-style-language/schema/raw/master/csl-citation.json"} </w:instrText>
      </w:r>
      <w:r w:rsidR="00C65946" w:rsidRPr="004C4C89">
        <w:rPr>
          <w:color w:val="000000" w:themeColor="text1"/>
        </w:rPr>
        <w:fldChar w:fldCharType="separate"/>
      </w:r>
      <w:r w:rsidR="00636367" w:rsidRPr="00B90D6A">
        <w:rPr>
          <w:color w:val="000000" w:themeColor="text1"/>
        </w:rPr>
        <w:t>(2015)</w:t>
      </w:r>
      <w:r w:rsidR="00C65946" w:rsidRPr="004C4C89">
        <w:rPr>
          <w:color w:val="000000" w:themeColor="text1"/>
        </w:rPr>
        <w:fldChar w:fldCharType="end"/>
      </w:r>
      <w:r w:rsidR="00C65946" w:rsidRPr="00B90D6A">
        <w:rPr>
          <w:color w:val="000000" w:themeColor="text1"/>
        </w:rPr>
        <w:t xml:space="preserve">; Peslier et al. </w:t>
      </w:r>
      <w:r w:rsidR="00C65946" w:rsidRPr="004C4C89">
        <w:rPr>
          <w:color w:val="000000" w:themeColor="text1"/>
        </w:rPr>
        <w:fldChar w:fldCharType="begin"/>
      </w:r>
      <w:r w:rsidR="008E0CCC">
        <w:rPr>
          <w:color w:val="000000" w:themeColor="text1"/>
        </w:rPr>
        <w:instrText xml:space="preserve"> ADDIN ZOTERO_ITEM CSL_CITATION {"citationID":"wYuHntY6","properties":{"formattedCitation":"(2012)","plainCitation":"(2012)","noteIndex":0},"citationItems":[{"id":1658,"uris":["http://zotero.org/users/88665/items/96ANCCAX"],"uri":["http://zotero.org/users/88665/items/96ANCCAX"],"itemData":{"id":1658,"type":"article-journal","abstract":"Water and trace element contents were measured by FTIR and laser ablation-ICPMS on minerals from peridotite xenoliths in kimberlites of the Kaapvaal craton from Finsch, Kimberley, Jagersfontein (South Africa), Letseng-La-Terae, and Liqhobong (Lesotho) mines. The peridotites record a wide range of pressure, temperature, oxygen fugacity, and metasomatic events. Correlations between water content or OH vibration bands with major, minor and trace elements in pyroxene and garnet precludes disturbance during xenolith entrainment by the host kimberlite magma and indicate preservation of mantle water contents. Clinopyroxene water contents (150–400 ppm H2O, by weight) correlate with those of orthopyroxene (40–250 ppm). Olivines (Peslier et al., 2008, 2010) and garnets have 0–86 and 0–20 ppm H2O, respectively. Relations in individual xenolith suites between the amount of water and that of incompatible elements Ti, Na, Fe3+ and rare earths in minerals suggests that metasomatism by oxidizing melts controls the water content of olivine, pyroxene and garnet. At pressures </w:instrText>
      </w:r>
      <w:r w:rsidR="008E0CCC">
        <w:rPr>
          <w:rFonts w:ascii="Cambria Math" w:hAnsi="Cambria Math" w:cs="Cambria Math"/>
          <w:color w:val="000000" w:themeColor="text1"/>
        </w:rPr>
        <w:instrText>⩽</w:instrText>
      </w:r>
      <w:r w:rsidR="008E0CCC">
        <w:rPr>
          <w:color w:val="000000" w:themeColor="text1"/>
        </w:rPr>
        <w:instrText xml:space="preserve">5.5 GPa, hydrous, alkaline, siliceous fluids or melts metasomatized Liqhobong and Kimberley peridotites, producing high water contents in their olivine, pyroxenes and garnet. At higher pressures, the percolation of ultramafic melts reacting with peridotite resulted in co-variation of Ca, Ti and water at the edge of garnets at Jagersfontein, and the overall crystallization of garnet with lower water contents than those in the original peridotites. The upward migration of these ultramafic melts through the lithospheric mantle also increased the water content of olivines with decreasing pressure at Finsch Mine. H2O/Ce ratios of melts in equilibrium with Kaapvaal peridotites range from 100 to 20,000 and the larger values may indicate metasomatism in subduction zone settings. Metasomatic events in Kaapvaal peridotites are thought to have occurred from the Archean to the Mesozoic. However, circumstantial evidence suggest that the metasomatic events responsible for setting the water contents may date from the Archean at Kimberley and from the Proterozoic at Jagersfontein. Combined water with Lu–Hf and Sm–Nd isotopic data at Finsch (Lazarov et al., in press-a) and with Ar–Ar phlogopite ages at Liqhobong (Hopp et al., 2008) indicates that water addition by metasomatic melts occurred in the Proterozoic. Water contents of mantle minerals in Kaapvaal xenoliths measured here have been preserved since that time and can consequently be used in modelling viscosity and longevity of cratonic roots since at least the mid-Proterozoic.","container-title":"Geochimica et Cosmochimica Acta","DOI":"10.1016/j.gca.2012.08.028","ISSN":"0016-7037","issue":"0","journalAbbreviation":"Geochimica et Cosmochimica Acta","page":"213-246","source":"ScienceDirect","title":"Metasomatic control of water contents in the Kaapvaal cratonic mantle","volume":"97","author":[{"family":"Peslier","given":"A.H."},{"family":"Woodland","given":"A.B."},{"family":"Bell","given":"D.R."},{"family":"Lazarov","given":"M."},{"family":"Lapen","given":"T.J."}],"issued":{"date-parts":[["2012",11,15]]}},"suppress-author":true}],"schema":"https://github.com/citation-style-language/schema/raw/master/csl-citation.json"} </w:instrText>
      </w:r>
      <w:r w:rsidR="00C65946" w:rsidRPr="004C4C89">
        <w:rPr>
          <w:color w:val="000000" w:themeColor="text1"/>
        </w:rPr>
        <w:fldChar w:fldCharType="separate"/>
      </w:r>
      <w:r w:rsidR="00636367" w:rsidRPr="00B90D6A">
        <w:rPr>
          <w:color w:val="000000" w:themeColor="text1"/>
        </w:rPr>
        <w:t>(2012)</w:t>
      </w:r>
      <w:r w:rsidR="00C65946" w:rsidRPr="004C4C89">
        <w:rPr>
          <w:color w:val="000000" w:themeColor="text1"/>
        </w:rPr>
        <w:fldChar w:fldCharType="end"/>
      </w:r>
      <w:r w:rsidR="00C65946" w:rsidRPr="00B90D6A">
        <w:rPr>
          <w:color w:val="000000" w:themeColor="text1"/>
        </w:rPr>
        <w:t xml:space="preserve">; Peslier et al. (2002); </w:t>
      </w:r>
      <w:r w:rsidR="00B363AB" w:rsidRPr="00B90D6A">
        <w:rPr>
          <w:color w:val="000000" w:themeColor="text1"/>
        </w:rPr>
        <w:lastRenderedPageBreak/>
        <w:t xml:space="preserve">Pogge von Strandmann et al. </w:t>
      </w:r>
      <w:r w:rsidR="00B363AB" w:rsidRPr="004C4C89">
        <w:rPr>
          <w:color w:val="000000" w:themeColor="text1"/>
        </w:rPr>
        <w:fldChar w:fldCharType="begin"/>
      </w:r>
      <w:r w:rsidR="008E0CCC">
        <w:rPr>
          <w:color w:val="000000" w:themeColor="text1"/>
        </w:rPr>
        <w:instrText xml:space="preserve"> ADDIN ZOTERO_ITEM CSL_CITATION {"citationID":"I1ye15XS","properties":{"formattedCitation":"(2011)","plainCitation":"(2011)","noteIndex":0},"citationItems":[{"id":4224,"uris":["http://zotero.org/users/88665/items/RVB98SVQ"],"uri":["http://zotero.org/users/88665/items/RVB98SVQ"],"itemData":{"id":4224,"type":"article-journal","abstract":"We present whole rock Li and Mg isotope analyses of 33 ultramafic xenoliths from the terrestrial mantle, which we compare with analyses of 30 (mostly chondritic) meteorites. The accuracy of our new Mg isotope ratio measurement protocol is substantiated by a combination of standard addition experiments, the absence of mass independent effects in terrestrial samples and our obtaining identical values for rock standards using two different separation chemistries and three different mass-spectrometric introduction systems. Carbonaceous, ordinary and enstatite chondrites have irresolvable mean stable Mg isotopic compositions (δ25Mg=−0.14±0.06; δ26Mg=−0.27±0.12‰, 2SD), but our enstatite chondrite samples have lighter δ7Li (by up to </w:instrText>
      </w:r>
      <w:r w:rsidR="008E0CCC">
        <w:rPr>
          <w:rFonts w:ascii="Cambria Math" w:hAnsi="Cambria Math" w:cs="Cambria Math"/>
          <w:color w:val="000000" w:themeColor="text1"/>
        </w:rPr>
        <w:instrText>∼</w:instrText>
      </w:r>
      <w:r w:rsidR="008E0CCC">
        <w:rPr>
          <w:color w:val="000000" w:themeColor="text1"/>
        </w:rPr>
        <w:instrText xml:space="preserve">3‰) than our mean carbonaceous and ordinary chondrites (3.0±1.5‰, 2SD), possibly as a result of spallation in the early solar system. Measurements of equilibrated, fertile peridotites give mean values of δ7Li=3.5±0.5‰, δ25Mg=−0.10±0.03‰ and δ26Mg=−0.21±0.07‰. We believe these values provide a useful estimate of the primitive mantle and they are within error of our average of bulk carbonaceous and ordinary chondrites. A fuller range of fresh, terrestrial, ultramafic samples, covering a variety of geological histories, show a broad positive correlation between bulk δ7Li and δ26Mg, which vary from −3.7‰ to +14.5‰, and −0.36‰ to + 0.06‰, respectively. Values of δ7Li and δ26Mg lower than our estimate of primitive mantle are strongly linked to kinetic isotope fractionation, occurring during transport of the mantle xenoliths. We suggest Mg and Li diffusion into the xenoliths is coupled to H loss from nominally anhydrous minerals following degassing. Diffusion models suggest that the co-variation of Mg and Li isotopes requires comparable diffusivities of Li and Mg in olivine. The isotopically lightest samples require </w:instrText>
      </w:r>
      <w:r w:rsidR="008E0CCC">
        <w:rPr>
          <w:rFonts w:ascii="Cambria Math" w:hAnsi="Cambria Math" w:cs="Cambria Math"/>
          <w:color w:val="000000" w:themeColor="text1"/>
        </w:rPr>
        <w:instrText>∼</w:instrText>
      </w:r>
      <w:r w:rsidR="008E0CCC">
        <w:rPr>
          <w:color w:val="000000" w:themeColor="text1"/>
        </w:rPr>
        <w:instrText xml:space="preserve">5–10years of diffusive ingress, which we interpret as a time since volatile loss in the host magma. Xenoliths erupted in pyroclastic flows appear to have retained their mantle isotope ratios, likely as a result of little prior degassing in these explosive events. High δ7Li, coupled with high [Li], in rapidly cooled arc peridotites may indicate that these samples represent fragments of mantle wedge that has been metasomatised by heavy, slab-derived fluids. If such material is typically stirred back into the convecting mantle, it may account for the heavy δ7Li seen in some oceanic basalts.","container-title":"Geochimica et Cosmochimica Acta","DOI":"10.1016/j.gca.2011.06.026","ISSN":"0016-7037","issue":"18","journalAbbreviation":"Geochimica et Cosmochimica Acta","page":"5247-5268","source":"ScienceDirect","title":"Variations of Li and Mg isotope ratios in bulk chondrites and mantle xenoliths","volume":"75","author":[{"family":"Pogge von Strandmann","given":"Philip A. E."},{"family":"Elliott","given":"Tim"},{"family":"Marschall","given":"Horst R."},{"family":"Coath","given":"Chris"},{"family":"Lai","given":"Yi-Jen"},{"family":"Jeffcoate","given":"Alistair B."},{"family":"Ionov","given":"Dmitri A."}],"issued":{"date-parts":[["2011",9,15]]}},"suppress-author":true}],"schema":"https://github.com/citation-style-language/schema/raw/master/csl-citation.json"} </w:instrText>
      </w:r>
      <w:r w:rsidR="00B363AB" w:rsidRPr="004C4C89">
        <w:rPr>
          <w:color w:val="000000" w:themeColor="text1"/>
        </w:rPr>
        <w:fldChar w:fldCharType="separate"/>
      </w:r>
      <w:r w:rsidR="00636367" w:rsidRPr="00B90D6A">
        <w:rPr>
          <w:noProof/>
          <w:color w:val="000000" w:themeColor="text1"/>
        </w:rPr>
        <w:t>(2011)</w:t>
      </w:r>
      <w:r w:rsidR="00B363AB" w:rsidRPr="004C4C89">
        <w:rPr>
          <w:color w:val="000000" w:themeColor="text1"/>
        </w:rPr>
        <w:fldChar w:fldCharType="end"/>
      </w:r>
      <w:r w:rsidR="00B363AB" w:rsidRPr="00B90D6A">
        <w:rPr>
          <w:color w:val="000000" w:themeColor="text1"/>
        </w:rPr>
        <w:t xml:space="preserve">; Rudnick &amp; Ionov </w:t>
      </w:r>
      <w:r w:rsidR="00B363AB" w:rsidRPr="00195AA8">
        <w:rPr>
          <w:color w:val="000000" w:themeColor="text1"/>
        </w:rPr>
        <w:fldChar w:fldCharType="begin"/>
      </w:r>
      <w:r w:rsidR="008E0CCC">
        <w:rPr>
          <w:color w:val="000000" w:themeColor="text1"/>
        </w:rPr>
        <w:instrText xml:space="preserve"> ADDIN ZOTERO_ITEM CSL_CITATION {"citationID":"n6p2tDTN","properties":{"formattedCitation":"(2007)","plainCitation":"(2007)","noteIndex":0},"citationItems":[{"id":4317,"uris":["http://zotero.org/users/88665/items/QAZDSG6G"],"uri":["http://zotero.org/users/88665/items/QAZDSG6G"],"itemData":{"id":4317,"type":"article-journal","abstract":"Lithium concentrations and isotopic compositions of coexisting olivine and clinopyroxene (cpx) in well-characterized peridotite xenoliths from Tok (SE Siberian craton) and samples from two other far-east Russian localities reveal strong elemental and isotopic disequilibria, which correlates with bulk rock composition. Lithium concentrations in cpx from Tok (1–12 ppm) are equal to or significantly greater than those in coexisting olivines (1–5 ppm). The Li-rich cpx show core to rim zoning, indicative of Li infiltration from the grain boundaries. Olivines are generally unzoned, although Li concentrations can vary significantly from grain to grain. ol/cpxD varies from 0.2 to 1.0, which is lower than that expected for equilibrium partitioning (ol/cpxDeq=1.1 to 2.0), and reflects preferential Li enrichment in cpx. The Li isotopic compositions of both minerals range far beyond normal mantle δ7Li of </w:instrText>
      </w:r>
      <w:r w:rsidR="008E0CCC">
        <w:rPr>
          <w:rFonts w:ascii="Cambria Math" w:hAnsi="Cambria Math" w:cs="Cambria Math"/>
          <w:color w:val="000000" w:themeColor="text1"/>
        </w:rPr>
        <w:instrText>∼</w:instrText>
      </w:r>
      <w:r w:rsidR="008E0CCC">
        <w:rPr>
          <w:color w:val="000000" w:themeColor="text1"/>
        </w:rPr>
        <w:instrText xml:space="preserve"> +4±2. δ7Licpx (−0.8 to −14.6) is systematically lighter than δ7Li of coexisting olivine (−1.7 to +11.9), and Δ7Liol-cpx varies from 2.8 to 22.9‰. The greatest elemental and isotopic disequilibria occur in the most fertile samples (lherzolites) and may reflect longer equilibration times and/or enhanced melt permeability in the more refractory samples. Collectively, these observations suggest that the peridotite minerals experienced Li addition via diffusion from a grain boundary melt or fluid shortly before or coincident with their entrainment into the host basalt (i.e., within tens of thousands of years, based on published diffusion coefficients for Li in cpx at the temperatures of equilibration). This diffusional ingress of Li generated large kinetic isotopic fractionation, leading to unusually light cpx and heavier olivines. Thus, low δ7Licpx do not reflect the influence of an exotic mantle component related to crustal recycling.","container-title":"Earth and Planetary Science Letters","DOI":"10.1016/j.epsl.2007.01.035","ISSN":"0012-821X","issue":"1","journalAbbreviation":"Earth and Planetary Science Letters","page":"278-293","source":"ScienceDirect","title":"Lithium elemental and isotopic disequilibrium in minerals from peridotite xenoliths from far-east Russia: Product of recent melt/fluid–rock reaction","title-short":"Lithium elemental and isotopic disequilibrium in minerals from peridotite xenoliths from far-east Russia","volume":"256","author":[{"family":"Rudnick","given":"Roberta L."},{"family":"Ionov","given":"Dmitri A."}],"issued":{"date-parts":[["2007",4,15]]}},"suppress-author":true}],"schema":"https://github.com/citation-style-language/schema/raw/master/csl-citation.json"} </w:instrText>
      </w:r>
      <w:r w:rsidR="00B363AB" w:rsidRPr="00195AA8">
        <w:rPr>
          <w:color w:val="000000" w:themeColor="text1"/>
        </w:rPr>
        <w:fldChar w:fldCharType="separate"/>
      </w:r>
      <w:r w:rsidR="00636367" w:rsidRPr="00B90D6A">
        <w:rPr>
          <w:noProof/>
          <w:color w:val="000000" w:themeColor="text1"/>
        </w:rPr>
        <w:t>(2007)</w:t>
      </w:r>
      <w:r w:rsidR="00B363AB" w:rsidRPr="00195AA8">
        <w:rPr>
          <w:color w:val="000000" w:themeColor="text1"/>
        </w:rPr>
        <w:fldChar w:fldCharType="end"/>
      </w:r>
      <w:r w:rsidR="00B363AB" w:rsidRPr="00B90D6A">
        <w:rPr>
          <w:color w:val="000000" w:themeColor="text1"/>
        </w:rPr>
        <w:t xml:space="preserve">; </w:t>
      </w:r>
      <w:r w:rsidR="00C65946" w:rsidRPr="00B90D6A">
        <w:rPr>
          <w:color w:val="000000" w:themeColor="text1"/>
        </w:rPr>
        <w:t xml:space="preserve">Satsukawa et al., </w:t>
      </w:r>
      <w:r w:rsidR="00C65946" w:rsidRPr="004C4C89">
        <w:rPr>
          <w:color w:val="000000" w:themeColor="text1"/>
        </w:rPr>
        <w:fldChar w:fldCharType="begin"/>
      </w:r>
      <w:r w:rsidR="008E0CCC">
        <w:rPr>
          <w:color w:val="000000" w:themeColor="text1"/>
        </w:rPr>
        <w:instrText xml:space="preserve"> ADDIN ZOTERO_ITEM CSL_CITATION {"citationID":"zgMzAsNo","properties":{"formattedCitation":"(2017)","plainCitation":"(2017)","noteIndex":0},"citationItems":[{"id":4184,"uris":["http://zotero.org/users/88665/items/8G8GJIH7"],"uri":["http://zotero.org/users/88665/items/8G8GJIH7"],"itemData":{"id":4184,"type":"article-journal","abstract":"The uppermost mantle in back arc regions is the site of complex interactions between partial melting, melt percolation, and fluid migration. To constrain these interactions and evaluate their consequences on geochemical cycles, we carried out an in situ trace element and water study of a suite of spinel peridotite xenoliths from two regions of the Japan back arc system, Ichinomegata (NE Japan) and Oki-Dogo (SW Japan), using LA-ICPMS and FTIR spectrometry, respectively. This study provides the first full dataset of trace element and hydrogen compositions in peridotites including analyses of all their main constitutive silicate minerals: olivine, orthopyroxene and clinopyroxene. The Ichinomegata peridotites sample a LREE-depleted refractory mantle (Mg# olivine=0.90; Cr# spinel=0.07–0.23; Yb clinopyroxene=7.8–13.3×C1-chondrite, and La/Yb clinopyroxene=0.003–0.086×C1-chondrite), characterized by Th-U positive anomalies and constant values of Nb/Ta. The composition of the studied Ichinomegata samples is consistent with that of an oceanic mantle lithosphere affected by cryptic metasomatic interactions with hydrous/aqueous fluids (crypto-hydrous metasomatism). In contrast, the Oki-Dogo peridotites have low Mg# olivine (0.86–0.93) and a broad range of compositions with clinopyroxene showing “spoon-shaped” to flat, and LREE-enriched patterns. They are also characterized by their homogeneous compositions in the most incompatible LILE (e.g., Rb clinopyroxene=0.01–0.05×primitive mantle) and HFSE (e.g., Nb clinopyroxene=0.01–2.16×primitive mantle). This characteristic is interpreted as resulting from various degrees of melting and extensive melt-rock interactions. FTIR spectroscopy shows that olivine in both Ichinomegata and Oki-Dogo samples has low water contents ranging from 2 to 7ppm wt. H2O. In contrast, the water contents of pyroxenes from Ichinomegata peridotites (113–271ppm wt. H2O for orthopyroxene, and 292–347ppm wt. H2O for clinopyroxene) are significantly higher than in Oki-Dogo peridotites (9–35ppm wt. H2O for orthopyroxene, and 15–98ppm wt. H2O for clinopyroxene). This indicates a relationship between melt-rock interaction and water concentrations in pyroxenes. Our study suggests that the water content of the Japan mantle wedge is controlled by the late melt/fluid/rock interactions evidenced by trace element geochemistry: a mechanism triggered by magma-rock interactions may have acted as an efficient dehydrating process in the Oki-Dogo region while the Ichinomegata mantle water content is controlled by slab-derived crypto-hydrous metasomatism.","container-title":"Geochimica et Cosmochimica Acta","DOI":"10.1016/j.gca.2017.03.042","ISSN":"0016-7037","journalAbbreviation":"Geochimica et Cosmochimica Acta","page":"234-267","source":"ScienceDirect","title":"Chemical interactions in the subduction factory: New insights from an in situ trace element and hydrogen study of the Ichinomegata and Oki-Dogo mantle xenoliths (Japan)","title-short":"Chemical interactions in the subduction factory","volume":"208","author":[{"family":"Satsukawa","given":"Takako"},{"family":"Godard","given":"Marguerite"},{"family":"Demouchy","given":"Sylvie"},{"family":"Michibayashi","given":"Katsuyoshi"},{"family":"Ildefonse","given":"Benoit"}],"issued":{"date-parts":[["2017",7,1]]}},"suppress-author":true}],"schema":"https://github.com/citation-style-language/schema/raw/master/csl-citation.json"} </w:instrText>
      </w:r>
      <w:r w:rsidR="00C65946" w:rsidRPr="004C4C89">
        <w:rPr>
          <w:color w:val="000000" w:themeColor="text1"/>
        </w:rPr>
        <w:fldChar w:fldCharType="separate"/>
      </w:r>
      <w:r w:rsidR="00636367" w:rsidRPr="00B90D6A">
        <w:rPr>
          <w:color w:val="000000" w:themeColor="text1"/>
        </w:rPr>
        <w:t>(2017)</w:t>
      </w:r>
      <w:r w:rsidR="00C65946" w:rsidRPr="004C4C89">
        <w:rPr>
          <w:color w:val="000000" w:themeColor="text1"/>
        </w:rPr>
        <w:fldChar w:fldCharType="end"/>
      </w:r>
      <w:r w:rsidR="00C65946" w:rsidRPr="00B90D6A">
        <w:rPr>
          <w:color w:val="000000" w:themeColor="text1"/>
        </w:rPr>
        <w:t xml:space="preserve">; Schaffer et al. </w:t>
      </w:r>
      <w:r w:rsidR="00C65946" w:rsidRPr="004C4C89">
        <w:rPr>
          <w:color w:val="000000" w:themeColor="text1"/>
        </w:rPr>
        <w:fldChar w:fldCharType="begin"/>
      </w:r>
      <w:r w:rsidR="008E0CCC">
        <w:rPr>
          <w:color w:val="000000" w:themeColor="text1"/>
        </w:rPr>
        <w:instrText xml:space="preserve"> ADDIN ZOTERO_ITEM CSL_CITATION {"citationID":"KImBy2XP","properties":{"formattedCitation":"(2018)","plainCitation":"(2018)","noteIndex":0},"citationItems":[{"id":3924,"uris":["http://zotero.org/users/88665/items/7AP93DLJ"],"uri":["http://zotero.org/users/88665/items/7AP93DLJ"],"itemData":{"id":3924,"type":"article-journal","abstract":"The distribution of water in the upper mantle plays a crucial role in the Earth's deep water cycle, magmatism, and plate tectonics. To better constrain how these large-scale geochemical systems operate, peridotite and pyroxenite mantle xenoliths from Kilbourne Hole (KH) and Rio Puerco (RP) along the Rio Grande Rift (NM, USA) were analyzed for water, and major and trace element contents. These xenoliths sample a lithosphere whose composition was influenced by subduction and rifting, and can be used to examine the effects of melting, metasomatism, and sub-solidus equilibration on the behavior of water. The first result is that in KH xenoliths, olivines underwent negligible H loss during xenolith ascent, i.e. preserved their mantle water contents. These olivine water contents are used to calculate mantle viscosities of 0.5-184 1021 Pa.s. These viscosity values are more than 40 times higher than those of the asthenosphere and show that KH peridotites represent samples from the lithosphere. The preservation of olivine water contents is exceptional for off-cratonic xenoliths, and the KH peridotites provide the first estimate of the average concentration of water in Phanerozoic continental mantle lithosphere at 81 ±30 ppm H2O. The mantle lithosphere beneath the Rio Grande rift is nevertheless heterogeneous with water contents ranging from &lt;0.5 to 120 ppm H2O in peridotites and from 227 to 400 ppm H2O in pyroxenites. A composite KH xenolith of a harzburgite cross-cut by a clinopyroxenite vein shows this heterogeneity at the cm scale. The second contribution of this study stems from the majority of the KH peridotites and two of the RP peridotites having major and trace elements that can be explained by partial melting without any need to invoke metasomatic processes. This allows to show that, prior to modelling the water content variation of each peridotite mineral during melting, a correction for sub-solidus equilibration has to be applied to the water contents of the minerals. Sub-solidus equilibration also provides an explanation for the discrepancy between the clinopyroxene/orthopyroxene ratio of water contents in natural peridotites worldwide and in laboratory experiments on water partitioning in peridotite minerals. Finally, the cryptically metasomatized peridotites, rare at KH and abundant at RP, as well as the pyroxenites, permit to decipher the origin and water contents of the metasomatic melts that affected the continental lithosphere beneath the Rio Grande Rift. Trace element modelling of the metasomatized KH and RP peridotites are consistent with metasomatism via melts that are of subduction origin. Melts in equilibrium with peridotites contain more water at RP (</w:instrText>
      </w:r>
      <w:r w:rsidR="008E0CCC">
        <w:rPr>
          <w:rFonts w:ascii="Cambria Math" w:hAnsi="Cambria Math" w:cs="Cambria Math"/>
          <w:color w:val="000000" w:themeColor="text1"/>
        </w:rPr>
        <w:instrText>∼</w:instrText>
      </w:r>
      <w:r w:rsidR="008E0CCC">
        <w:rPr>
          <w:color w:val="000000" w:themeColor="text1"/>
        </w:rPr>
        <w:instrText>1 wt % H2O) than at KH (</w:instrText>
      </w:r>
      <w:r w:rsidR="008E0CCC">
        <w:rPr>
          <w:rFonts w:ascii="Cambria Math" w:hAnsi="Cambria Math" w:cs="Cambria Math"/>
          <w:color w:val="000000" w:themeColor="text1"/>
        </w:rPr>
        <w:instrText>∼</w:instrText>
      </w:r>
      <w:r w:rsidR="008E0CCC">
        <w:rPr>
          <w:color w:val="000000" w:themeColor="text1"/>
        </w:rPr>
        <w:instrText xml:space="preserve">0.5 wt % H2O), although this did not result in a more water-rich mantle lithosphere at RP. Rio Puerco lies within the northern Rio Grande rift, proposed to have been affected by a flat slab subduction, which may explain the more hydrous and extensive metasomatism compared to the south, where KH is located.","container-title":"Geochimica et Cosmochimica Acta","DOI":"10.1016/j.gca.2018.10.005","ISSN":"0016-7037","journalAbbreviation":".10.1016/j.gca.2018.10.005","page":"10.1016/j.gca.2018.10.005","source":"ScienceDirect","title":"Effects of melting, subduction-related metasomatism, and sub-solidus equilibration on the distribution of water contents in the mantle beneath the Rio Grande Rift","author":[{"family":"Schaffer","given":"Lillian A."},{"family":"Peslier","given":"Anne H."},{"family":"Brandon","given":"Alan D."},{"family":"Bizimis","given":"Michael"},{"family":"Gibler","given":"Robert"},{"family":"Norman","given":"Marc"},{"family":"Harvey","given":"Jason"}],"issued":{"date-parts":[["2018",10,13]]}},"suppress-author":true}],"schema":"https://github.com/citation-style-language/schema/raw/master/csl-citation.json"} </w:instrText>
      </w:r>
      <w:r w:rsidR="00C65946" w:rsidRPr="004C4C89">
        <w:rPr>
          <w:color w:val="000000" w:themeColor="text1"/>
        </w:rPr>
        <w:fldChar w:fldCharType="separate"/>
      </w:r>
      <w:r w:rsidR="00636367" w:rsidRPr="00B90D6A">
        <w:rPr>
          <w:color w:val="000000" w:themeColor="text1"/>
        </w:rPr>
        <w:t>(2018)</w:t>
      </w:r>
      <w:r w:rsidR="00C65946" w:rsidRPr="004C4C89">
        <w:rPr>
          <w:color w:val="000000" w:themeColor="text1"/>
        </w:rPr>
        <w:fldChar w:fldCharType="end"/>
      </w:r>
      <w:r w:rsidR="00C65946" w:rsidRPr="00B90D6A">
        <w:rPr>
          <w:color w:val="000000" w:themeColor="text1"/>
        </w:rPr>
        <w:t xml:space="preserve">; </w:t>
      </w:r>
      <w:r w:rsidR="00B363AB" w:rsidRPr="00B90D6A">
        <w:rPr>
          <w:color w:val="000000" w:themeColor="text1"/>
        </w:rPr>
        <w:t xml:space="preserve">Seitz &amp; Woodland </w:t>
      </w:r>
      <w:r w:rsidR="00B363AB" w:rsidRPr="004C4C89">
        <w:rPr>
          <w:color w:val="000000" w:themeColor="text1"/>
        </w:rPr>
        <w:fldChar w:fldCharType="begin"/>
      </w:r>
      <w:r w:rsidR="008E0CCC">
        <w:rPr>
          <w:color w:val="000000" w:themeColor="text1"/>
        </w:rPr>
        <w:instrText xml:space="preserve"> ADDIN ZOTERO_ITEM CSL_CITATION {"citationID":"Ar1cAl5i","properties":{"formattedCitation":"(2000)","plainCitation":"(2000)","noteIndex":0},"citationItems":[{"id":4215,"uris":["http://zotero.org/users/88665/items/PV6X89EY"],"uri":["http://zotero.org/users/88665/items/PV6X89EY"],"itemData":{"id":4215,"type":"article-journal","abstract":"Lithium concentrations in orthopyroxene, clinopyroxene, olivine, garnet or spinel from equilibrated spinel peridotite, garnet peridotite and garnet pyroxenite xenoliths and from metasomatised peridotites and pyroxenites were measured using the ion-microprobe (SIMS). With respect to changes in physical and chemical parameters, we present new data on lithium contents in mantle minerals and its partitioning behaviour in (1) equilibrated and (2) metasomatised samples. Lithium is preferentially incorporated into olivine, ranging between 1 and 2 ppm in equilibrated unmetasomatised peridotites. Pyroxenes from peridotitic xenoliths have Li concentrations on the order of several hundred ppb up to 1.3 ppm, while pyroxenes from pyroxenites have somewhat higher abundances (1–3 ppm with a maximum of 19 ppm). The following partitioning relationships have been established: ol&gt;cpx≥opx</w:instrText>
      </w:r>
      <w:r w:rsidR="008E0CCC">
        <w:rPr>
          <w:rFonts w:ascii="Cambria Math" w:hAnsi="Cambria Math" w:cs="Cambria Math"/>
          <w:color w:val="000000" w:themeColor="text1"/>
        </w:rPr>
        <w:instrText>≫</w:instrText>
      </w:r>
      <w:r w:rsidR="008E0CCC">
        <w:rPr>
          <w:color w:val="000000" w:themeColor="text1"/>
        </w:rPr>
        <w:instrText xml:space="preserve">grt or sp for garnet and spinel peridotites, respectively, and cpx≥opx&gt;grt for garnet pyroxenites. The intercrystalline partitioning of Li is independent of T, P and bulk composition (for ultramafic to mafic compositions), making Li a suitable tracer element for chemical processes such as metasomatism. We estimate a bulk Li content of 1.0–1.5 ppm for fertile to moderately depleted lithospheric mantle. Low Li abundances in mantle peridotites and pyroxenites emphasise its incompatibility during partial melting and fractional crystallisation. However, elevated Li concentrations are present in some pyroxenites, presumably due to complete crystallisation of trapped partial melts. Metasomatised samples from peridotite massifs (Pyrenees and Ivrea Zone) and mantle nodules from two Victorian volcanic fields (Australia) clearly show enrichment of Li in both olivine and clinopyroxene, whereby the distribution of Li between olivine and clinopyroxene has generally not achieved equilibrium. Disequilibrium is manifested by preferential Li enrichment in either olivine or clinopyroxene depending on the type of metasomatic agent involved (carbonatite vs. mafic silicate melt). Differences in absolute Li abundances and in its partitioning behaviour allow the identification not only of metasomatic overprints, but also of magmatic processes such as partial melting, crystal fractionation and accumulation. The sensitivity of Li as such a chemical tracer gives an additional criterium for recognising cryptic metasomatism.","container-title":"Chemical Geology","DOI":"10.1016/S0009-2541(99)00184-9","ISSN":"0009-2541","issue":"1","journalAbbreviation":"Chemical Geology","page":"47-64","source":"ScienceDirect","title":"The distribution of lithium in peridotitic and pyroxenitic mantle lithologies — an indicator of magmatic and metasomatic processes","volume":"166","author":[{"family":"Seitz","given":"Hans-Michael"},{"family":"Woodland","given":"Alan B"}],"issued":{"date-parts":[["2000",5,1]]}},"suppress-author":true}],"schema":"https://github.com/citation-style-language/schema/raw/master/csl-citation.json"} </w:instrText>
      </w:r>
      <w:r w:rsidR="00B363AB" w:rsidRPr="004C4C89">
        <w:rPr>
          <w:color w:val="000000" w:themeColor="text1"/>
        </w:rPr>
        <w:fldChar w:fldCharType="separate"/>
      </w:r>
      <w:r w:rsidR="00636367" w:rsidRPr="00195AA8">
        <w:rPr>
          <w:noProof/>
          <w:color w:val="000000" w:themeColor="text1"/>
          <w:lang w:val="it-IT"/>
        </w:rPr>
        <w:t>(2000)</w:t>
      </w:r>
      <w:r w:rsidR="00B363AB" w:rsidRPr="004C4C89">
        <w:rPr>
          <w:color w:val="000000" w:themeColor="text1"/>
        </w:rPr>
        <w:fldChar w:fldCharType="end"/>
      </w:r>
      <w:r w:rsidR="00B363AB" w:rsidRPr="00195AA8">
        <w:rPr>
          <w:color w:val="000000" w:themeColor="text1"/>
          <w:lang w:val="it-IT"/>
        </w:rPr>
        <w:t xml:space="preserve">; </w:t>
      </w:r>
      <w:r w:rsidR="00C65946" w:rsidRPr="00195AA8">
        <w:rPr>
          <w:color w:val="000000" w:themeColor="text1"/>
          <w:lang w:val="it-IT"/>
        </w:rPr>
        <w:t xml:space="preserve">Soustelle et al. </w:t>
      </w:r>
      <w:r w:rsidR="00C65946" w:rsidRPr="004C4C89">
        <w:rPr>
          <w:color w:val="000000" w:themeColor="text1"/>
        </w:rPr>
        <w:fldChar w:fldCharType="begin"/>
      </w:r>
      <w:r w:rsidR="008E0CCC">
        <w:rPr>
          <w:color w:val="000000" w:themeColor="text1"/>
          <w:lang w:val="it-IT"/>
        </w:rPr>
        <w:instrText xml:space="preserve"> ADDIN ZOTERO_ITEM CSL_CITATION {"citationID":"FC9myWfX","properties":{"formattedCitation":"(2013)","plainCitation":"(2013)","noteIndex":0},"citationItems":[{"id":4182,"uris":["http://zotero.org/users/88665/items/YZY9U9M9"],"uri":["http://zotero.org/users/88665/items/YZY9U9M9"],"itemData":{"id":4182,"type":"article-journal","abstract":"This study analyses the interactions between deformation and reactive fluid and melt percolation, and their effects on sub-arc mantle seismic properties based on microstructural observations on mantle xenoliths extracted by the Tubaf and Edison seamounts close to the Lihir Island, in the Papua New Guinea archipelago. These xenoliths sample an oceanic lithosphere, which has experienced high-temperature deformation in the presence of fluids or melts. This was followed by metasomatism under static conditions. Syn-kinematic percolation of reactive Si-rich melts or fluids in peridotites has produced pyroxene-enrichment, grain size reduction, and dispersion of olivine crystal preferred orientation (CPO). Fourier transform infrared spectroscopy analyses show that olivine has very low water contents (1–4wt.ppm H2O), similar to spinel peridotites from other subduction zones. These low values may record both low water solubility in olivine at low pressure and dehydration during transport and exhumation. Water contents in pyroxenes are highly variable and likely result from spatially heterogeneous melt or fluid percolation. Analysis of olivine CPO indicates dominant activation of both (010)[100] and (001)[100] slip systems, which are characteristic of deformation under high temperature, low stress, low pressure and low to moderate hydrous conditions. Fast S-wave polarization and P- and Rayleigh propagation directions are thus parallel to the mantle flow direction. The pyroxene enrichment by melt-rock reactions is accompanied by dispersion of olivine CPO and induces a significant decrease of the maximum S-wave and P-wave anisotropy in the peridotites. The calculated seismic properties also show that the lowest Vp/Vs ratios (&lt;1.7) mapped in fore-arc mantle may only be explained by taking in consideration the CPO-induced elastic anisotropy of the peridotites.","container-title":"Tectonophysics","DOI":"10.1016/j.tecto.2013.09.024","ISSN":"0040-1951","journalAbbreviation":"Tectonophysics","page":"330-345","source":"ScienceDirect","title":"Melt-rock interactions, deformation, hydration and seismic properties in the sub-arc lithospheric mantle inferred from xenoliths from seamounts near Lihir, Papua New Guinea","volume":"608","author":[{"family":"Soustelle","given":"Vincent"},{"family":"Tommasi","given":"Andréa"},{"family":"Demouchy","given":"Sylvie"},{"family":"Franz","given":"Leander"}],"issued":{"date-parts":[["2013",11,26]]}},"suppress-author":true}],"schema":"https://github.com/citation-style-language/schema/raw/master/csl-citation.json"} </w:instrText>
      </w:r>
      <w:r w:rsidR="00C65946" w:rsidRPr="004C4C89">
        <w:rPr>
          <w:color w:val="000000" w:themeColor="text1"/>
        </w:rPr>
        <w:fldChar w:fldCharType="separate"/>
      </w:r>
      <w:r w:rsidR="00636367" w:rsidRPr="00195AA8">
        <w:rPr>
          <w:color w:val="000000" w:themeColor="text1"/>
          <w:lang w:val="it-IT"/>
        </w:rPr>
        <w:t>(2013)</w:t>
      </w:r>
      <w:r w:rsidR="00C65946" w:rsidRPr="004C4C89">
        <w:rPr>
          <w:color w:val="000000" w:themeColor="text1"/>
        </w:rPr>
        <w:fldChar w:fldCharType="end"/>
      </w:r>
      <w:r w:rsidR="00C65946" w:rsidRPr="00195AA8">
        <w:rPr>
          <w:color w:val="000000" w:themeColor="text1"/>
          <w:lang w:val="it-IT"/>
        </w:rPr>
        <w:t xml:space="preserve">; Urann et al. (2017); Warren &amp; Hauri (2014); </w:t>
      </w:r>
      <w:r w:rsidR="00B363AB" w:rsidRPr="00195AA8">
        <w:rPr>
          <w:color w:val="000000" w:themeColor="text1"/>
          <w:lang w:val="it-IT"/>
        </w:rPr>
        <w:t xml:space="preserve">Woodland et al. </w:t>
      </w:r>
      <w:r w:rsidR="00B363AB" w:rsidRPr="004C4C89">
        <w:rPr>
          <w:color w:val="000000" w:themeColor="text1"/>
        </w:rPr>
        <w:fldChar w:fldCharType="begin"/>
      </w:r>
      <w:r w:rsidR="008E0CCC">
        <w:rPr>
          <w:color w:val="000000" w:themeColor="text1"/>
          <w:lang w:val="it-IT"/>
        </w:rPr>
        <w:instrText xml:space="preserve"> ADDIN ZOTERO_ITEM CSL_CITATION {"citationID":"kOtd9xLa","properties":{"formattedCitation":"(2004)","plainCitation":"(2004)","noteIndex":0},"citationItems":[{"id":4220,"uris":["http://zotero.org/users/88665/items/8AHCJGGW"],"uri":["http://zotero.org/users/88665/items/8AHCJGGW"],"itemData":{"id":4220,"type":"article-journal","abstract":"Lithium concentrations have been measured in minerals in a suite of spinel peridotite xenoliths from western Victoria, Australia. Carbonatite metasomatism has previously been documented in most of these samples, while others have evidence of interaction with a mafic silicate melt [Earth Planet. Sci. Lett. 107 (1991) 305; J. Petrol. 39 (1998) 1917]. In addition, all samples contain small, dispersed pockets of siliceous aluminous alkali-rich melt that frequently contain fine-grained phenocrysts. This melt is mostly of local derivation and developed very late, just prior to or during transport to the surface. Equilibrium partitioning of Li is observed between phenocryst minerals and between phenocrysts and melt. In contrast, an apparent disequilibrium Li distribution exists between the olivine and clinopyroxene affected by metasomatism. Olivine exhibits preferential Li enrichment compared to clinopyroxene in the carbonatite metasomatised xenoliths. Two samples with evidence of mafic silicate melt metasomatism contain preferentially enriched clinopyroxene. These results are in accordance with [Chem. Geol. 166 (2000) 47], who suggested that the interphase Li distribution can discriminate different metasomatic agents. An explanation for this varied behaviour could be a change in DLi (ol/cpx) due to a compositional effect in one or other phase, or both. The olivine that exhibits preferential Li enrichment is also P-rich, suggesting a coupled substitution involving P and Li. In contrast, there is an anti-correlation between P and Li in clinopyroxene, suggesting different substitution mechanisms for Li in olivine and clinopyroxene. Coupled Li–P substitution cannot be the only mechanism important for Li incorporation in olivine, however, and a combination of compositional parameters is expected to play a role in determining DLi (ol/cpx).","collection-title":"Trace element fingerprinting: laboratory studies and petrogenetic processes","container-title":"Lithos","DOI":"10.1016/j.lithos.2003.12.014","ISSN":"0024-4937","issue":"1","journalAbbreviation":"Lithos","page":"55-66","source":"ScienceDirect","title":"Varying behaviour of Li in metasomatised spinel peridotite xenoliths from western Victoria, Australia","volume":"75","author":[{"family":"Woodland","given":"A. B"},{"family":"Seitz","given":"H. -M"},{"family":"Yaxley","given":"G. M"}],"issued":{"date-parts":[["2004",7,1]]}},"suppress-author":true}],"schema":"https://github.com/citation-style-language/schema/raw/master/csl-citation.json"} </w:instrText>
      </w:r>
      <w:r w:rsidR="00B363AB" w:rsidRPr="004C4C89">
        <w:rPr>
          <w:color w:val="000000" w:themeColor="text1"/>
        </w:rPr>
        <w:fldChar w:fldCharType="separate"/>
      </w:r>
      <w:r w:rsidR="00636367" w:rsidRPr="00B90D6A">
        <w:rPr>
          <w:noProof/>
          <w:color w:val="000000" w:themeColor="text1"/>
        </w:rPr>
        <w:t>(2004)</w:t>
      </w:r>
      <w:r w:rsidR="00B363AB" w:rsidRPr="004C4C89">
        <w:rPr>
          <w:color w:val="000000" w:themeColor="text1"/>
        </w:rPr>
        <w:fldChar w:fldCharType="end"/>
      </w:r>
      <w:r w:rsidR="00B363AB" w:rsidRPr="00B90D6A">
        <w:rPr>
          <w:color w:val="000000" w:themeColor="text1"/>
        </w:rPr>
        <w:t xml:space="preserve">; </w:t>
      </w:r>
      <w:r w:rsidR="00C65946" w:rsidRPr="00B90D6A">
        <w:rPr>
          <w:color w:val="000000" w:themeColor="text1"/>
        </w:rPr>
        <w:t xml:space="preserve">Yang et al. </w:t>
      </w:r>
      <w:r w:rsidR="00C65946" w:rsidRPr="004C4C89">
        <w:rPr>
          <w:color w:val="000000" w:themeColor="text1"/>
        </w:rPr>
        <w:fldChar w:fldCharType="begin"/>
      </w:r>
      <w:r w:rsidR="008E0CCC">
        <w:rPr>
          <w:color w:val="000000" w:themeColor="text1"/>
        </w:rPr>
        <w:instrText xml:space="preserve"> ADDIN ZOTERO_ITEM CSL_CITATION {"citationID":"BakPFyhj","properties":{"formattedCitation":"(2008)","plainCitation":"(2008)","noteIndex":0},"citationItems":[{"id":4178,"uris":["http://zotero.org/users/88665/items/K55Y6MUI"],"uri":["http://zotero.org/users/88665/items/K55Y6MUI"],"itemData":{"id":4178,"type":"article-journal","abstract":"Water contents of clinopyroxene, orthopyroxene and olivine in mantle peridotite xenoliths from the Hannuoba and Nushan basaltic volcanoes (North China Craton) were determined by Fourier transform infrared spectroscopy (FTIR). Results show that contents vary from 50 to 155 ppm (H2O wt.) for clinopyroxene and from 20 to 55 ppm for orthopyroxene in Hannuoba peridotites, and from 5 to 355 ppm for clinopyroxene and from 5 to 140 ppm for orthopyroxene in Nushan peridotites. Water contents in clinopyroxene and orthopyroxene define a good positive correlation with a ratio of ~2.1. This, together with the roughly homogeneous distribution of hydrogen from core to rim region in pyroxene grains, suggests that they have preserved the initial water content of the mantle source. By contrast, olivine in these peridotites contain very little, if any, water, which were probably caused by significant loss of H during their ascent due to the faster H diffusion in olivine relative to pyroxenes and by the relatively lower water content in the mantle source of Hannuoba and Nushan. Previous studies [Xia, Q.K., Yang, X.Z., Deloule, E., Sheng, Y.M., Hao, Y.T., 2006. Water in the lower crustal granulite xenoliths from Nushan, eastern China. Journal of Geophysical Research, 111(B11202) doi:10.1029/2006JB004296; Yang, X.Z., Deloule, E., Xia, Q.K., Fan, Q.C., Feng, M., in press. Water contrast between Precambrian and Phanerozoic continental lower crust of eastern China. Journal of Geophysical Research doi:10.1029/2007JB005541] have shown that the water content ranges from 275 to 720 ppm for clinopyroxene, from 60 to 185 ppm for orthopyroxene and from 65 to 205 ppm for plagioclase in Hannuoba mafic granulite xenoliths, and from 200 to 2330 ppm for clinopyroxene, from 140 to 1270 ppm for orthopyroxene and from 145 to 900 ppm in plagioclase in Nushan mafic granulite xenoliths. The significant difference between the water content of peridotite and that of coexisting mafic granulite xenoliths, e.g. 0–100 ppm (mostly &lt;50 ppm) vs. 100–1000 ppm (mostly &gt;200 ppm) for the estimated bulk concentration, demonstrates that the distribution of water in the deep continental lithosphere is vertically heterogeneous. This may be due to the different genesis of peridotites and granulites (the residue of partial melting vs. the product of melt crystallization). Based on these water data, we define the rheological structure of the lowermost crust and uppermost mantle below the Hannuoba and Nushan regions. The viscosity (strength) of the underlying shallow mantle is similar, whereas the deep crust is relatively stronger at Hannuoba and weaker at Nushan. Difference in the viscosity structure may further influence the dynamical processes between different zones in this craton.","container-title":"Chemical Geology","DOI":"10.1016/j.chemgeo.2008.07.020","ISSN":"0009-2541","issue":"1","journalAbbreviation":"Chemical Geology","page":"33-45","source":"ScienceDirect","title":"Water in minerals of the continental lithospheric mantle and overlying lower crust: A comparative study of peridotite and granulite xenoliths from the North China Craton","title-short":"Water in minerals of the continental lithospheric mantle and overlying lower crust","volume":"256","author":[{"family":"Yang","given":"Xiao-Zhi"},{"family":"Xia","given":"Qun-Ke"},{"family":"Deloule","given":"Etienne"},{"family":"Dallai","given":"Luigi"},{"family":"Fan","given":"Qi-Cheng"},{"family":"Feng","given":"Min"}],"issued":{"date-parts":[["2008",10,30]]}},"suppress-author":true}],"schema":"https://github.com/citation-style-language/schema/raw/master/csl-citation.json"} </w:instrText>
      </w:r>
      <w:r w:rsidR="00C65946" w:rsidRPr="004C4C89">
        <w:rPr>
          <w:color w:val="000000" w:themeColor="text1"/>
        </w:rPr>
        <w:fldChar w:fldCharType="separate"/>
      </w:r>
      <w:r w:rsidR="00636367" w:rsidRPr="00B90D6A">
        <w:rPr>
          <w:color w:val="000000" w:themeColor="text1"/>
        </w:rPr>
        <w:t>(2008)</w:t>
      </w:r>
      <w:r w:rsidR="00C65946" w:rsidRPr="004C4C89">
        <w:rPr>
          <w:color w:val="000000" w:themeColor="text1"/>
        </w:rPr>
        <w:fldChar w:fldCharType="end"/>
      </w:r>
      <w:r w:rsidR="00C65946" w:rsidRPr="00B90D6A">
        <w:rPr>
          <w:color w:val="000000" w:themeColor="text1"/>
        </w:rPr>
        <w:t xml:space="preserve">; Yu et al. </w:t>
      </w:r>
      <w:r w:rsidR="00C65946" w:rsidRPr="004C4C89">
        <w:rPr>
          <w:color w:val="000000" w:themeColor="text1"/>
        </w:rPr>
        <w:fldChar w:fldCharType="begin"/>
      </w:r>
      <w:r w:rsidR="008E0CCC">
        <w:rPr>
          <w:color w:val="000000" w:themeColor="text1"/>
        </w:rPr>
        <w:instrText xml:space="preserve"> ADDIN ZOTERO_ITEM CSL_CITATION {"citationID":"AMkgcugE","properties":{"formattedCitation":"(2011)","plainCitation":"(2011)","noteIndex":0},"citationItems":[{"id":3716,"uris":["http://zotero.org/users/88665/items/MPV3TAV3"],"uri":["http://zotero.org/users/88665/items/MPV3TAV3"],"itemData":{"id":3716,"type":"article-journal","abstract":"The water contents of nominally anhydrous minerals (NAMs) in 35 peridotite xenoliths have been analyzed by Fourier transform infrared spectrometry (FTIR). The xenoliths are hosted by Cenozoic volcanic rocks from four localities (Mingxi, Anyuan, Niutoushan and Qilin) in the Cathaysia Block, SE China. Water contents of clinopyroxene (cpx), orthopyroxene (opx), and olivine (ol) range from 58 to 488ppm, 38 to 213ppm, and 0 to 41ppm, respectively. Water contents of cpx are positively correlated with Na and Al, and negatively correlated with Mg and Ca. Considering (1) the homogeneity of water distribution within single pyroxene grains; (2) the partitioning of water between cpx and opx with an average Dcpx/opx of 2.3; and (3) the correlations between the water contents and major element concentrations in cpx, it is suggested that the pyroxenes have largely preserved the water content of their mantle source. The whole-rock water contents calculated from mineral modes range from 12 to 94ppm (average 60±20ppm). This is much higher than the previously-reported water contents of xenoliths from the North China Craton (NCC) (average 26±17ppm). However, it is still quite low compared to those of continental lithospheric mantle worldwide, as inferred from analyses of typical cratonic (122±54ppm) and off-craton (81±40ppm) peridotites. The SCLM beneath the Cathaysia block is a medium-poor water reservoir; this can be explained by the refertilization of old lithospheric mantle which has undergone multiple geological events through time. Water itself plays an important role during the modification of the subcontinental lithospheric mantle. The wet and fertile garnet-facies peridotites found in the Mingxi locality represent the accretion of young lithosphere near the lithosphere–asthenosphere boundary, with almost no melt extraction. This process marks the completion of the lithospheric thinning and the upwelling of asthenosphere. A negative correlation between pyroxene water contents and the oxygen fugacity has only been found in xenoliths from Niutoushan (Mg#&lt;90), which lies on the Changle–Nan'ao fault zone. The fault may have facilitated the infiltration of Niutoushan peridotites by oxidized fluids (or hydrous melts) rising from the subducting Pacific plate.","container-title":"Lithos","DOI":"10.1016/j.lithos.2011.07.009","ISSN":"0024-4937","issue":"3","journalAbbreviation":"Lithos","page":"182-197","source":"ScienceDirect","title":"H2O contents and their modification in the Cenozoic subcontinental lithospheric mantle beneath the Cathaysia block, SE China","volume":"126","author":[{"family":"Yu","given":"Yao"},{"family":"Xu","given":"Xi-Sheng"},{"family":"Griffin","given":"William L."},{"family":"O'Reilly","given":"Suzanne Y."},{"family":"Xia","given":"Qun-Ke"}],"issued":{"date-parts":[["2011",10,1]]}},"suppress-author":true}],"schema":"https://github.com/citation-style-language/schema/raw/master/csl-citation.json"} </w:instrText>
      </w:r>
      <w:r w:rsidR="00C65946" w:rsidRPr="004C4C89">
        <w:rPr>
          <w:color w:val="000000" w:themeColor="text1"/>
        </w:rPr>
        <w:fldChar w:fldCharType="separate"/>
      </w:r>
      <w:r w:rsidR="00636367" w:rsidRPr="00B90D6A">
        <w:rPr>
          <w:color w:val="000000" w:themeColor="text1"/>
        </w:rPr>
        <w:t>(2011)</w:t>
      </w:r>
      <w:r w:rsidR="00C65946" w:rsidRPr="004C4C89">
        <w:rPr>
          <w:color w:val="000000" w:themeColor="text1"/>
        </w:rPr>
        <w:fldChar w:fldCharType="end"/>
      </w:r>
      <w:r w:rsidR="00C65946" w:rsidRPr="00B90D6A">
        <w:rPr>
          <w:color w:val="000000" w:themeColor="text1"/>
        </w:rPr>
        <w:t xml:space="preserve">; Xia et al. </w:t>
      </w:r>
      <w:r w:rsidR="00C65946" w:rsidRPr="004C4C89">
        <w:rPr>
          <w:color w:val="000000" w:themeColor="text1"/>
        </w:rPr>
        <w:fldChar w:fldCharType="begin"/>
      </w:r>
      <w:r w:rsidR="008E0CCC">
        <w:rPr>
          <w:color w:val="000000" w:themeColor="text1"/>
        </w:rPr>
        <w:instrText xml:space="preserve"> ADDIN ZOTERO_ITEM CSL_CITATION {"citationID":"mBwiiYAW","properties":{"formattedCitation":"(2016)","plainCitation":"(2016)","noteIndex":0},"citationItems":[{"id":4154,"uris":["http://zotero.org/users/88665/items/BJ4Y29QK"],"uri":["http://zotero.org/users/88665/items/BJ4Y29QK"],"itemData":{"id":4154,"type":"article-journal","abstract":"High water content in primitive continental flood basalts","container-title":"Scientific Reports","DOI":"10.1038/srep25416","ISSN":"2045-2322","language":"En","page":"25416","source":"www.nature.com","title":"High water content in primitive continental flood basalts","volume":"6","author":[{"family":"Xia","given":"Qun-Ke"},{"family":"Bi","given":"Yao"},{"family":"Li","given":"Pei"},{"family":"Tian","given":"Wei"},{"family":"Wei","given":"Xun"},{"family":"Chen","given":"Han-Lin"}],"issued":{"date-parts":[["2016",5,4]]}},"suppress-author":true}],"schema":"https://github.com/citation-style-language/schema/raw/master/csl-citation.json"} </w:instrText>
      </w:r>
      <w:r w:rsidR="00C65946" w:rsidRPr="004C4C89">
        <w:rPr>
          <w:color w:val="000000" w:themeColor="text1"/>
        </w:rPr>
        <w:fldChar w:fldCharType="separate"/>
      </w:r>
      <w:r w:rsidR="00636367" w:rsidRPr="00B90D6A">
        <w:rPr>
          <w:color w:val="000000" w:themeColor="text1"/>
        </w:rPr>
        <w:t>(2016)</w:t>
      </w:r>
      <w:r w:rsidR="00C65946" w:rsidRPr="004C4C89">
        <w:rPr>
          <w:color w:val="000000" w:themeColor="text1"/>
        </w:rPr>
        <w:fldChar w:fldCharType="end"/>
      </w:r>
      <w:r w:rsidR="00C65946" w:rsidRPr="00B90D6A">
        <w:rPr>
          <w:color w:val="000000" w:themeColor="text1"/>
        </w:rPr>
        <w:t xml:space="preserve">. </w:t>
      </w:r>
    </w:p>
    <w:p w14:paraId="484D9679" w14:textId="77777777" w:rsidR="000F4958" w:rsidRPr="00B90D6A" w:rsidRDefault="000F4958" w:rsidP="00C20C0B">
      <w:pPr>
        <w:spacing w:line="480" w:lineRule="auto"/>
        <w:jc w:val="both"/>
      </w:pPr>
    </w:p>
    <w:p w14:paraId="24E257DA" w14:textId="1A7C3E50" w:rsidR="009B10D9" w:rsidRDefault="009B10D9" w:rsidP="00C20C0B">
      <w:pPr>
        <w:spacing w:line="480" w:lineRule="auto"/>
        <w:jc w:val="both"/>
      </w:pPr>
      <w:r w:rsidRPr="00B90D6A">
        <w:t xml:space="preserve">Figure </w:t>
      </w:r>
      <w:r w:rsidR="00270819" w:rsidRPr="00B90D6A">
        <w:t>2</w:t>
      </w:r>
      <w:r w:rsidRPr="00B90D6A">
        <w:t xml:space="preserve">. Comparison of </w:t>
      </w:r>
      <w:r w:rsidR="00BB5015" w:rsidRPr="00B90D6A">
        <w:t xml:space="preserve">(a) </w:t>
      </w:r>
      <w:r w:rsidRPr="00B90D6A">
        <w:t>H</w:t>
      </w:r>
      <w:r w:rsidR="00BB5015" w:rsidRPr="00B90D6A">
        <w:rPr>
          <w:vertAlign w:val="subscript"/>
        </w:rPr>
        <w:t>2</w:t>
      </w:r>
      <w:r w:rsidR="00BB5015" w:rsidRPr="00B90D6A">
        <w:t>O</w:t>
      </w:r>
      <w:r w:rsidRPr="00B90D6A">
        <w:t xml:space="preserve"> and </w:t>
      </w:r>
      <w:r w:rsidR="00BB5015" w:rsidRPr="00B90D6A">
        <w:t xml:space="preserve">(b) </w:t>
      </w:r>
      <w:r w:rsidRPr="00B90D6A">
        <w:t xml:space="preserve">F partitioning between co-existing orthopyroxenes and clinopyroxenes in mantle xenoliths from southern Patagonia (Pali Aike) and the Antarctic Peninsula with those from </w:t>
      </w:r>
      <w:r w:rsidR="00811EF5" w:rsidRPr="00B90D6A">
        <w:t xml:space="preserve">studies </w:t>
      </w:r>
      <w:r w:rsidR="00811EF5">
        <w:t xml:space="preserve">of </w:t>
      </w:r>
      <w:r w:rsidRPr="00B90D6A">
        <w:t xml:space="preserve">global mantle xenoliths and also </w:t>
      </w:r>
      <w:r w:rsidR="00811EF5">
        <w:t xml:space="preserve">run products from </w:t>
      </w:r>
      <w:r w:rsidRPr="00B90D6A">
        <w:t xml:space="preserve">experimental </w:t>
      </w:r>
      <w:r w:rsidR="00811EF5">
        <w:t>investigations</w:t>
      </w:r>
      <w:r w:rsidRPr="00B90D6A">
        <w:t xml:space="preserve">. </w:t>
      </w:r>
      <w:r w:rsidR="00BB5015" w:rsidRPr="00B90D6A">
        <w:t>T</w:t>
      </w:r>
      <w:r w:rsidRPr="00B90D6A">
        <w:t xml:space="preserve">he </w:t>
      </w:r>
      <w:r w:rsidR="00BB5015" w:rsidRPr="00B90D6A">
        <w:t xml:space="preserve">samples analysed in this study exhibit a </w:t>
      </w:r>
      <w:r w:rsidRPr="00B90D6A">
        <w:t xml:space="preserve">large variability of </w:t>
      </w:r>
      <m:oMath>
        <m:sSubSup>
          <m:sSubSupPr>
            <m:ctrlPr>
              <w:rPr>
                <w:rFonts w:ascii="Cambria Math" w:hAnsi="Cambria Math"/>
                <w:i/>
              </w:rPr>
            </m:ctrlPr>
          </m:sSubSupPr>
          <m:e>
            <m:r>
              <m:rPr>
                <m:nor/>
              </m:rPr>
              <w:rPr>
                <w:i/>
              </w:rPr>
              <m:t>D</m:t>
            </m:r>
          </m:e>
          <m:sub>
            <m:r>
              <m:rPr>
                <m:nor/>
              </m:rPr>
              <w:rPr>
                <w:i/>
              </w:rPr>
              <m:t>H</m:t>
            </m:r>
            <m:r>
              <m:rPr>
                <m:nor/>
              </m:rPr>
              <w:rPr>
                <w:i/>
                <w:vertAlign w:val="subscript"/>
              </w:rPr>
              <m:t>2</m:t>
            </m:r>
            <m:r>
              <m:rPr>
                <m:nor/>
              </m:rPr>
              <w:rPr>
                <w:i/>
              </w:rPr>
              <m:t>O</m:t>
            </m:r>
          </m:sub>
          <m:sup>
            <m:r>
              <m:rPr>
                <m:nor/>
              </m:rPr>
              <m:t xml:space="preserve"> </m:t>
            </m:r>
            <m:r>
              <m:rPr>
                <m:nor/>
              </m:rPr>
              <w:rPr>
                <w:i/>
              </w:rPr>
              <m:t>Cpx-Opx</m:t>
            </m:r>
          </m:sup>
        </m:sSubSup>
      </m:oMath>
      <w:r w:rsidRPr="00B90D6A">
        <w:t xml:space="preserve"> </w:t>
      </w:r>
      <w:r w:rsidR="00BB5015" w:rsidRPr="00B90D6A">
        <w:t xml:space="preserve">and </w:t>
      </w:r>
      <m:oMath>
        <m:sSubSup>
          <m:sSubSupPr>
            <m:ctrlPr>
              <w:rPr>
                <w:rFonts w:ascii="Cambria Math" w:hAnsi="Cambria Math"/>
                <w:i/>
              </w:rPr>
            </m:ctrlPr>
          </m:sSubSupPr>
          <m:e>
            <m:r>
              <w:rPr>
                <w:rFonts w:ascii="Cambria Math" w:hAnsi="Cambria Math"/>
              </w:rPr>
              <m:t>D</m:t>
            </m:r>
          </m:e>
          <m:sub>
            <m:r>
              <w:rPr>
                <w:rFonts w:ascii="Cambria Math" w:hAnsi="Cambria Math"/>
              </w:rPr>
              <m:t>F</m:t>
            </m:r>
          </m:sub>
          <m:sup>
            <m:r>
              <w:rPr>
                <w:rFonts w:ascii="Cambria Math" w:hAnsi="Cambria Math"/>
              </w:rPr>
              <m:t>Cpx-Opx</m:t>
            </m:r>
          </m:sup>
        </m:sSubSup>
      </m:oMath>
      <w:r w:rsidRPr="00B90D6A">
        <w:t xml:space="preserve">. </w:t>
      </w:r>
      <w:r w:rsidR="00021A71">
        <w:t xml:space="preserve">Only a single clinopyroxene grain in sample KG3610.11C was analysed for </w:t>
      </w:r>
      <w:r w:rsidR="00021A71" w:rsidRPr="00CB30EF">
        <w:t>H</w:t>
      </w:r>
      <w:r w:rsidR="00021A71" w:rsidRPr="00CB30EF">
        <w:rPr>
          <w:vertAlign w:val="subscript"/>
        </w:rPr>
        <w:t>2</w:t>
      </w:r>
      <w:r w:rsidR="00021A71" w:rsidRPr="00CB30EF">
        <w:t>O</w:t>
      </w:r>
      <w:r w:rsidR="00021A71">
        <w:t xml:space="preserve"> and since this appears to be an outlier, this analysis is not considered in calculations of mean concentrations and </w:t>
      </w:r>
      <w:r w:rsidR="00021A71" w:rsidRPr="00195AA8">
        <w:rPr>
          <w:i/>
        </w:rPr>
        <w:t>D</w:t>
      </w:r>
      <w:r w:rsidR="00021A71">
        <w:t xml:space="preserve"> values. </w:t>
      </w:r>
      <w:r w:rsidRPr="00B90D6A">
        <w:t>Data sources are as follows:</w:t>
      </w:r>
      <w:r w:rsidR="00E54536" w:rsidRPr="00B90D6A">
        <w:t xml:space="preserve"> </w:t>
      </w:r>
      <w:r w:rsidR="004F299E" w:rsidRPr="00B90D6A">
        <w:t xml:space="preserve">This work; </w:t>
      </w:r>
      <w:r w:rsidR="00A746A8" w:rsidRPr="00B90D6A">
        <w:t xml:space="preserve">Audbaud et al. (2004); </w:t>
      </w:r>
      <w:r w:rsidR="00E54536" w:rsidRPr="00B90D6A">
        <w:t xml:space="preserve">Bell &amp; Lhinger </w:t>
      </w:r>
      <w:r w:rsidR="00467E45" w:rsidRPr="004C4C89">
        <w:fldChar w:fldCharType="begin"/>
      </w:r>
      <w:r w:rsidR="008E0CCC">
        <w:instrText xml:space="preserve"> ADDIN ZOTERO_ITEM CSL_CITATION {"citationID":"NOHoTZmE","properties":{"formattedCitation":"(2000)","plainCitation":"(2000)","noteIndex":0},"citationItems":[{"id":3928,"uris":["http://zotero.org/users/88665/items/ILPDIH7U"],"uri":["http://zotero.org/users/88665/items/ILPDIH7U"],"itemData":{"id":3928,"type":"article-journal","abstract":"The common, nominally anhydrous minerals of the Earth’s mantle are an important reservoir for hydrogen in the Earth’s interior due to their ability to incorporate hydroxyl in trace quantities. We present measurements of the isotopic composition (D/H ratio) of hydrogen from upper-mantle derived garnet, enstatite and augite employing a two-step extraction procedure with infrared spectroscopic monitoring of OH removal from the samples. Raw δD values of all samples range from −80 to −130‰, and blank-corrected δD of high-purity separates with &lt;50% blank contribution to the measured gas lie in the range −92 to −113‰. These δD values, together with predictions of fractionation behavior from IR spectroscopic systematics, suggest that the D/H ratio of the nominally anhydrous mineral reservoir may differ from that of other mantle hydrogen in being relatively depleted in deuterium. To the extent that nominally anhydrous minerals control the distribution of water between the Earth’s hydrosphere and mantle, isotopic fractionations between OH in these minerals and hydrous melts or fluids may contribute to the large D/H fractionation between the mantle and the hydrosphere.","container-title":"Geochimica et Cosmochimica Acta","DOI":"10.1016/S0016-7037(99)00440-8","ISSN":"0016-7037","issue":"12","journalAbbreviation":"Geochimica et Cosmochimica Acta","page":"2109-2118","source":"ScienceDirect","title":"The isotopic composition of hydrogen in nominally anhydrous mantle minerals","volume":"64","author":[{"family":"Bell","given":"David R"},{"family":"Lhinger","given":"Phillip D"}],"issued":{"date-parts":[["2000",6,1]]}},"suppress-author":true}],"schema":"https://github.com/citation-style-language/schema/raw/master/csl-citation.json"} </w:instrText>
      </w:r>
      <w:r w:rsidR="00467E45" w:rsidRPr="004C4C89">
        <w:fldChar w:fldCharType="separate"/>
      </w:r>
      <w:r w:rsidR="00636367" w:rsidRPr="00B90D6A">
        <w:t>(2000)</w:t>
      </w:r>
      <w:r w:rsidR="00467E45" w:rsidRPr="004C4C89">
        <w:fldChar w:fldCharType="end"/>
      </w:r>
      <w:r w:rsidR="00E54536" w:rsidRPr="00B90D6A">
        <w:t xml:space="preserve">; </w:t>
      </w:r>
      <w:r w:rsidR="00D47845" w:rsidRPr="00B90D6A">
        <w:t xml:space="preserve">Bonadiman et al. </w:t>
      </w:r>
      <w:r w:rsidR="00D47845" w:rsidRPr="004C4C89">
        <w:fldChar w:fldCharType="begin"/>
      </w:r>
      <w:r w:rsidR="008E0CCC">
        <w:instrText xml:space="preserve"> ADDIN ZOTERO_ITEM CSL_CITATION {"citationID":"BtR47fzx","properties":{"formattedCitation":"(2009)","plainCitation":"(2009)","noteIndex":0},"citationItems":[{"id":4143,"uris":["http://zotero.org/users/88665/items/IYB7GYYM"],"uri":["http://zotero.org/users/88665/items/IYB7GYYM"],"itemData":{"id":4143,"type":"article-journal","container-title":"European Journal of Mineralogy","DOI":"10.1127/0935-1221/2009/0021-1935","ISSN":"0935-1221","issue":"3","journalAbbreviation":"European Journal of Mineralogy","language":"en","page":"637-647","source":"pubs.geoscienceworld.org","title":"Water contents of pyroxenes in intraplate lithospheric mantle","volume":"21","author":[{"family":"Bonadiman","given":"Costanza"},{"family":"Hao","given":"Yantao"},{"family":"Coltorti","given":"Massimo"},{"family":"Dallai","given":"Luigi"},{"family":"Faccini","given":"Barbara"},{"family":"Huang","given":"Yu"},{"family":"Xia","given":"Qunke"}],"issued":{"date-parts":[["2009",6,1]]}},"suppress-author":true}],"schema":"https://github.com/citation-style-language/schema/raw/master/csl-citation.json"} </w:instrText>
      </w:r>
      <w:r w:rsidR="00D47845" w:rsidRPr="004C4C89">
        <w:fldChar w:fldCharType="separate"/>
      </w:r>
      <w:r w:rsidR="00636367" w:rsidRPr="00B90D6A">
        <w:t>(2009)</w:t>
      </w:r>
      <w:r w:rsidR="00D47845" w:rsidRPr="004C4C89">
        <w:fldChar w:fldCharType="end"/>
      </w:r>
      <w:r w:rsidR="00D47845" w:rsidRPr="00B90D6A">
        <w:t xml:space="preserve">; </w:t>
      </w:r>
      <w:r w:rsidR="00A746A8" w:rsidRPr="00B90D6A">
        <w:t xml:space="preserve">Dalou et al. (2012); </w:t>
      </w:r>
      <w:r w:rsidR="00D47845" w:rsidRPr="00B90D6A">
        <w:t xml:space="preserve">Doucet et al. </w:t>
      </w:r>
      <w:r w:rsidR="00D47845" w:rsidRPr="004C4C89">
        <w:fldChar w:fldCharType="begin"/>
      </w:r>
      <w:r w:rsidR="008E0CCC">
        <w:instrText xml:space="preserve"> ADDIN ZOTERO_ITEM CSL_CITATION {"citationID":"JaUzF8xU","properties":{"formattedCitation":"(2014)","plainCitation":"(2014)","noteIndex":0},"citationItems":[{"id":3656,"uris":["http://zotero.org/users/88665/items/T8YVPMIC"],"uri":["http://zotero.org/users/88665/items/T8YVPMIC"],"itemData":{"id":3656,"type":"article-journal","abstract":"The processes that control water distribution in nominally anhydrous minerals from peridotites are twofold. Melt depletion will remove water while metasomatism can potentially add water to these minerals. These processes can lead to a wide range of outcomes in water contents, which in turn could play a role in mantle rheology and long-term cratonic root stability. To examine these complexities, water concentrations in minerals from well-characterized peridotites from the Udachnaya kimberlite in the central Siberian craton were analyzed by FTIR. The peridotites span a complete top to bottom cross-section of typical cratonic lithospheric mantle (2–7GPa and 700–1400°C). Diffusion modeling of water content profiles across olivine grains shows that water loss during decompression is limited to the 100μm rims of olivines; the cores preserved their mantle water contents. Water contents range from 6 to 323ppm wt H2O in olivine, 28–301ppm H2O in orthopyroxene (opx), 100–272ppm H2O in clinopyroxene (cpx) and 0–23ppm H2O in garnet. Melting modeling cannot reproduce the high water contents of cratonic mantle peridotites and any potential partial melting trend must have been erased by later events. The water contents of minerals, however, are correlated with modal abundances of clinopyroxene and garnet, bulk rock FeO, TiO2 and SiO2 as well as with light and middle rare earth elements in clinopyroxene and garnet. These relationships are best interpreted as interaction of residual, melt-depleted peridotites with silicate melt, which produced modal and cryptic metasomatism. Importantly, the water enrichment in the Siberian cratonic mantle took place prior to kimberlite magmatism and eruption. Water addition by metasomatism occurred from pressures &gt;4GPa all the way to the base of the cratonic root below central Siberia, but was limited to shallower levels (&lt;5GPa) in the Kaapvaal cratonic lithosphere. The difference in olivine water contents at the deepest levels of the Kaapvaal (&lt;5ppm H2O) and Siberian (6–323ppm H2O) cratonic roots may be linked to oxygen fugacity and resulting fluid speciation or, alternatively, to reaction with different metasomatic agents. Calculated viscosities for the deepest Udachnaya samples are similar to those inferred for the asthenosphere. If these xenoliths are representative of the deep cratonic lithosphere, water is not as important a parameter as previously thought in the strength of cratonic lithosphere, otherwise the cratonic root beneath Udachnaya would have been delaminated. Alternatively, the metasomatic xenoliths may not be representative of the Siberian cratonic root and kimberlites preferentially sample cratonic mantle lithosphere material located near, and metasomatized by, melt conduits, which served as channels for upward migration of water-rich melts and fluids including kimberlites. In that case, the cratonic root overall still may have relatively low water contents, which in addition to its less metasomatized (more refractory) and thereby buoyant nature, still play a role in making it strong enough to resist delamination by the surrounding asthenosphere.","container-title":"Geochimica et Cosmochimica Acta","DOI":"10.1016/j.gca.2014.04.011","ISSN":"0016-7037","journalAbbreviation":"Geochimica et Cosmochimica Acta","page":"159-187","source":"ScienceDirect","title":"High water contents in the Siberian cratonic mantle linked to metasomatism: An FTIR study of Udachnaya peridotite xenoliths","title-short":"High water contents in the Siberian cratonic mantle linked to metasomatism","volume":"137","author":[{"family":"Doucet","given":"Luc S."},{"family":"Peslier","given":"Anne H."},{"family":"Ionov","given":"Dmitri A."},{"family":"Brandon","given":"Alan D."},{"family":"Golovin","given":"Alexander V."},{"family":"Goncharov","given":"Aleksey G."},{"family":"Ashchepkov","given":"Igor V."}],"issued":{"date-parts":[["2014",7,15]]}},"suppress-author":true}],"schema":"https://github.com/citation-style-language/schema/raw/master/csl-citation.json"} </w:instrText>
      </w:r>
      <w:r w:rsidR="00D47845" w:rsidRPr="004C4C89">
        <w:fldChar w:fldCharType="separate"/>
      </w:r>
      <w:r w:rsidR="00636367" w:rsidRPr="00B90D6A">
        <w:t>(2014)</w:t>
      </w:r>
      <w:r w:rsidR="00D47845" w:rsidRPr="004C4C89">
        <w:fldChar w:fldCharType="end"/>
      </w:r>
      <w:r w:rsidR="00D47845" w:rsidRPr="00B90D6A">
        <w:t xml:space="preserve">; </w:t>
      </w:r>
      <w:r w:rsidR="00E54536" w:rsidRPr="00B90D6A">
        <w:t>Grant et al.</w:t>
      </w:r>
      <w:r w:rsidR="00860B79" w:rsidRPr="00B90D6A">
        <w:t xml:space="preserve"> </w:t>
      </w:r>
      <w:r w:rsidR="00860B79" w:rsidRPr="004C4C89">
        <w:fldChar w:fldCharType="begin"/>
      </w:r>
      <w:r w:rsidR="008E0CCC">
        <w:instrText xml:space="preserve"> ADDIN ZOTERO_ITEM CSL_CITATION {"citationID":"2Ye337VS","properties":{"formattedCitation":"(2007)","plainCitation":"(2007)","noteIndex":0},"citationItems":[{"id":3720,"uris":["http://zotero.org/users/88665/items/BMAJKPQ9"],"uri":["http://zotero.org/users/88665/items/BMAJKPQ9"],"itemData":{"id":3720,"type":"article-journal","abstract":"The speciation and amount of water dissolved in nominally anhydrous silicates comprising eight different mantle xenoliths has been quantified using synchrotron micro-FTIR spectroscopy. Samples studied are from six geographic localities and represent a cross-section of the major upper mantle lithologies from a variety of tectonic settings. Clinopyroxene contains between 342 and 413 ppm H2O. Orthopyroxene, olivine and garnet contain 169–201, 3–54 and 0 to &lt;3 ppm H2O, respectively. Pyroxenes water contents and the distribution of water between ortho- and clinopyroxene is identical regardless of sample mineralogy (D water cpx/opx = 2.1 ± 0.1). The total water contents of each xenolith are remarkably similar (113 ± 14 ppm H2O). High-resolution spectroscopic traverses show that the concentration and speciation of hydrous defects dissolved in each phase are spatially homogeneous within individual crystals and identical in different crystals interspersed throughout the xenolith. These results suggest that the amount of water dissolved in the silicate phases is in partial equilibrium with the transporting melt. Other features indicate that xenoliths have also preserved OH signatures of equilibrium with the mantle source region: Hydroxyl stretching modes in clinopyroxene show that garnet lherzolites re-equilibrated under more reducing conditions than spinel lherzolites. The distribution of water between pyroxenes and olivine differs according to xenolith mineralogy. The distribution of water between clinopyroxene and olivine from garnet peridotites (D water cpx/oliv (gnt) = 22.2 ± 24.1) is a factor of four greater than mineral pairs from spinel-bearing xenoliths (D water cpx/oliv (sp) = 88.1 ± 47.8). Such an increase in olivine water contents at the spinel to garnet transition is likely a global phenomenon and this discontinuity could lead to a reduction of the upper mantle viscosity by 0.2–0.7 log units and a reduction of its electrical resistivity by a factor of 0.5–0.8 log units.","container-title":"Contributions to Mineralogy and Petrology","DOI":"10.1007/s00410-006-0177-1","ISSN":"0010-7999, 1432-0967","issue":"1","journalAbbreviation":"Contributions to Mineralogy and Petrology","language":"en","page":"15-34","source":"link.springer.com","title":"Water partitioning between mantle minerals from peridotite xenoliths","volume":"154","author":[{"family":"Grant","given":"Kevin"},{"family":"Ingrin","given":"Jannick"},{"family":"Lorand","given":"Jean Pierre"},{"family":"Dumas","given":"Paul"}],"issued":{"date-parts":[["2007",7,1]]}},"suppress-author":true}],"schema":"https://github.com/citation-style-language/schema/raw/master/csl-citation.json"} </w:instrText>
      </w:r>
      <w:r w:rsidR="00860B79" w:rsidRPr="004C4C89">
        <w:fldChar w:fldCharType="separate"/>
      </w:r>
      <w:r w:rsidR="00636367" w:rsidRPr="00B90D6A">
        <w:t>(2007)</w:t>
      </w:r>
      <w:r w:rsidR="00860B79" w:rsidRPr="004C4C89">
        <w:fldChar w:fldCharType="end"/>
      </w:r>
      <w:r w:rsidR="00E54536" w:rsidRPr="00B90D6A">
        <w:t xml:space="preserve">; </w:t>
      </w:r>
      <w:r w:rsidR="00D47845" w:rsidRPr="00B90D6A">
        <w:t xml:space="preserve">Hao et al. </w:t>
      </w:r>
      <w:r w:rsidR="00D47845" w:rsidRPr="004C4C89">
        <w:fldChar w:fldCharType="begin"/>
      </w:r>
      <w:r w:rsidR="008E0CCC">
        <w:instrText xml:space="preserve"> ADDIN ZOTERO_ITEM CSL_CITATION {"citationID":"C1HXwcLo","properties":{"formattedCitation":"(2016)","plainCitation":"(2016)","noteIndex":0},"citationItems":[{"id":4169,"uris":["http://zotero.org/users/88665/items/5K8HIMUR"],"uri":["http://zotero.org/users/88665/items/5K8HIMUR"],"itemData":{"id":4169,"type":"article-journal","abstract":"Metasomatism induced by melts/fluids is ubiquitous in the lithospheric mantle and can potentially modify the initial water content of the mantle. However, the preservation of correlations between H2O content and partial melting indices (e.g., Yb content in clinopyroxene, Cr/(Cr+Al) in spinel) and the lack of correlations between H2O content and metasomatic indices (e.g., La/Yb in clinopyroxene) in peridotite xenoliths from several localities suggest that variations in the initial H2O content were controlled by partial melting processes rather than by subsequent metasomatic event(s) (Hao et al., 2014; Denis et al., 2015). However, the applied partition coefficients of H2O between peridotite and melt (Dperidotite/melt=0.1–0.3) in the partial melting models cast doubts on the reasonability of such explanations. Whether metasomatism always modifies the initial H2O content of the lithospheric mantle remained a topic of debate. In this paper, we measure major and trace element concentrations and H2O contents of minerals in the peridotite xenoliths hosted by the Tianchang Cenozoic basalts in eastern China by using electron microprobe, laser-ablation ICP-MS and Fourier transform infrared spectroscopy, respectively. The H2O contents (weight in ppm) of clinopyroxene, orthopyroxene and olivine are 70–280ppm, 35–140ppm and below detection limit (&lt;2ppm H2O), respectively. Although water diffusion during xenolith ascent cannot be excluded for olivine, pyroxenes largely retain the initial H2O content of the mantle source, as supported by (1) the correlation between H2O content and major element content of pyroxene, and (2) the equilibrium H2O partitioning between clinopyroxene and orthopyroxene. The calculated whole-rock H2O contents range from 14 to 93ppm (average 52±25ppm) assuming 0.1 for the H2O partition coefficient between olivine and clinopyroxene. Although no hydrous minerals are found, the enrichment in light rare earth elements and large ion lithophile elements of clinopyroxene indicates cryptic mantle metasomatism. However, variations between the H2O contents of the whole rocks and the metasomatic index (La/Yb ratio in clinopyroxene) are not correlated, suggesting that mantle metasomatism did not modify the initial H2O contents after the melting event. Instead, the H2O content correlates with the melting indices demonstrating that partial melting is the primary factor controlling the variations in the initial H2O contents. Notably, variations in whole rock H2O contents of the Tianchang peridotites can be modeled as a simple melting process of a MORB mantle source using the reported partition coefficients of H2O (Dperidotite/melt=0.005–0.03), providing a robust example suggesting that metasomatism does not always change the initial H2O content in the lithospheric mantle.","container-title":"Lithos","DOI":"10.1016/j.lithos.2016.06.003","ISSN":"0024-4937","journalAbbreviation":"Lithos","page":"315-327","source":"ScienceDirect","title":"Mantle metasomatism did not modify the initial H2O content in peridotite xenoliths from the Tianchang basalts of eastern China","volume":"260","author":[{"family":"Hao","given":"Yan-Tao"},{"family":"Xia","given":"Qun-Ke"},{"family":"Tian","given":"Zhen-Zhen"},{"family":"Liu","given":"Jia"}],"issued":{"date-parts":[["2016",9,1]]}},"suppress-author":true}],"schema":"https://github.com/citation-style-language/schema/raw/master/csl-citation.json"} </w:instrText>
      </w:r>
      <w:r w:rsidR="00D47845" w:rsidRPr="004C4C89">
        <w:fldChar w:fldCharType="separate"/>
      </w:r>
      <w:r w:rsidR="00636367" w:rsidRPr="00B90D6A">
        <w:t>(2016)</w:t>
      </w:r>
      <w:r w:rsidR="00D47845" w:rsidRPr="004C4C89">
        <w:fldChar w:fldCharType="end"/>
      </w:r>
      <w:r w:rsidR="00D47845" w:rsidRPr="00B90D6A">
        <w:t>;</w:t>
      </w:r>
      <w:r w:rsidR="00A746A8" w:rsidRPr="00B90D6A">
        <w:t xml:space="preserve"> Hauri et al. (2006);</w:t>
      </w:r>
      <w:r w:rsidR="00D47845" w:rsidRPr="00B90D6A">
        <w:t xml:space="preserve"> Hui et al. </w:t>
      </w:r>
      <w:r w:rsidR="00D47845" w:rsidRPr="004C4C89">
        <w:fldChar w:fldCharType="begin"/>
      </w:r>
      <w:r w:rsidR="008E0CCC">
        <w:instrText xml:space="preserve"> ADDIN ZOTERO_ITEM CSL_CITATION {"citationID":"NFQQvSpy","properties":{"formattedCitation":"(2015)","plainCitation":"(2015)","noteIndex":0},"citationItems":[{"id":3689,"uris":["http://zotero.org/users/88665/items/ZNPYPLHA"],"uri":["http://zotero.org/users/88665/items/ZNPYPLHA"],"itemData":{"id":3689,"type":"article-journal","abstract":"Water and other trace element concentrations in olivine (1–39 ppm H2O), orthopyroxene (10–150 ppm H2O), and clinopyroxene (16–340 ppm H2O) of mantle xenoliths from the Labait volcano, located on the edge of the Tanzanian craton along the eastern branch of the East African Rift, record melting and subsequent refertilization by plume magmas in a stratified lithosphere. These water contents are at the lower end of the range observed in other cratonic mantle lithospheres. Despite correlations between water content and indices of melting in orthopyroxene from the shallow peridotites, and in both olivine and orthopyroxene from the deep peridotites, water concentrations are too high for the peridotites to be simple residues. Instead, the Labait water contents are best explained as reflecting interaction between residual peridotite with a melt having relatively low water content (&lt;1 wt.% H2O). Plume-derived melts are the likely source of water and other trace element enrichments in the Labait peridotites. Only garnet may have undergone addition of water from the host magma as evidenced by water content increasing toward the kelyphite rim in one otherwise homogeneous garnet. Based on modeling of the diffusion profile, magma ascent occurred at 4–28 m/s. In summary, plume-craton interaction appears to result in only moderate water enrichment of the lithosphere.","container-title":"Geochemistry, Geophysics, Geosystems","DOI":"10.1002/2015GC005779","ISSN":"1525-2027","issue":"6","journalAbbreviation":"Geochemistry, Geophysics, Geosystems","language":"en","page":"1687-1710","source":"Wiley Online Library","title":"Plume-cratonic lithosphere interaction recorded by water and other trace elements in peridotite xenoliths from the Labait volcano, Tanzania","volume":"16","author":[{"family":"Hui","given":"Hejiu"},{"family":"Peslier","given":"Anne H."},{"family":"Rudnick","given":"Roberta L."},{"family":"Simonetti","given":"Antonio"},{"family":"Neal","given":"Clive R."}],"issued":{"date-parts":[["2015",6,1]]}},"suppress-author":true}],"schema":"https://github.com/citation-style-language/schema/raw/master/csl-citation.json"} </w:instrText>
      </w:r>
      <w:r w:rsidR="00D47845" w:rsidRPr="004C4C89">
        <w:fldChar w:fldCharType="separate"/>
      </w:r>
      <w:r w:rsidR="00636367" w:rsidRPr="00B90D6A">
        <w:t>(2015)</w:t>
      </w:r>
      <w:r w:rsidR="00D47845" w:rsidRPr="004C4C89">
        <w:fldChar w:fldCharType="end"/>
      </w:r>
      <w:r w:rsidR="00D47845" w:rsidRPr="00B90D6A">
        <w:t xml:space="preserve">; Jean et al. </w:t>
      </w:r>
      <w:r w:rsidR="00D47845" w:rsidRPr="004C4C89">
        <w:fldChar w:fldCharType="begin"/>
      </w:r>
      <w:r w:rsidR="008E0CCC">
        <w:instrText xml:space="preserve"> ADDIN ZOTERO_ITEM CSL_CITATION {"citationID":"xbd9Plj9","properties":{"formattedCitation":"(2016)","plainCitation":"(2016)","noteIndex":0},"citationItems":[{"id":4055,"uris":["http://zotero.org/users/88665/items/BGKUSWAD"],"uri":["http://zotero.org/users/88665/items/BGKUSWAD"],"itemData":{"id":4055,"type":"article-journal","abstract":"A subject of continuing debate is how the Earth's lithospheric portion of the upper mantle has remained the thickest (&gt;200km) and oldest (&gt;3Gy) beneath cratons and is yet surrounded by a vigorously convecting asthenosphere. It is generally admitted that water is a key parameter in the strength and longevity of cratonic roots, because olivine, the main phase of the lithospheric mantle, becomes stronger if its water content decreases. Expanding upon the work presented in Novella et al. (2015) and Taylor et al. (2016), we report new water contents for additional olivine inclusions in diamonds together with the trace-element composition for all olivine inclusions, as well as for mantle xenoliths from various kimberlite pipes located on the Siberian craton. The olivine diamond inclusions from this study have systematically low-water contents (&lt;50ppmw H2O), moderate to high forsterite (e.g., Fo91–94) contents and low Ni, Co, and Zn ppm contents (e.g., &lt;2848, &lt;108, and &lt;47ppm, respectively). In contrast, olivines from Siberian craton mantle xenoliths have a wide range of water contents (6–323ppmw H2O) and extend to lower-Fo (91–92), Ni, Co, and Zn-rich compositions, compared to the diamond inclusions. Depleted incompatible trace-element concentrations in olivine (0.1–0.001×Primitive Mantle) advance our hypothesis for the protogenetic origins for the majority of Siberian diamond inclusions. These observations are consistent with the peridotite xenoliths as representing a part of the cratonic lithosphere that has experienced melt re-fertilization, which has also transported water. The olivine diamond inclusions, on the other hand, preserve “micro-samples” of an initial, dry cratonic lithosphere, mostly resulting from melting events. These inclusions are likely sourced from the initial cratonic mantle lithosphere, which thereby, resisted delamination over time, due to its buoyancy and strength, imparted from melt and water depletion, respectively. And thus, our data provides a major argument that the kimberlite-hosted mantle xenoliths may be more metasomatized than common rocks at the base of the Siberian and other cratonic roots away from kimberlite fields.","container-title":"Lithos","DOI":"10.1016/j.lithos.2016.07.023","ISSN":"0024-4937","journalAbbreviation":"Lithos","page":"31-41","source":"ScienceDirect","title":"Olivine inclusions in Siberian diamonds and mantle xenoliths: Contrasting water and trace-element contents","title-short":"Olivine inclusions in Siberian diamonds and mantle xenoliths","volume":"265","author":[{"family":"Jean","given":"M. M."},{"family":"Taylor","given":"L. A."},{"family":"Howarth","given":"G. H."},{"family":"Peslier","given":"A. H."},{"family":"Fedele","given":"L."},{"family":"Bodnar","given":"R. J."},{"family":"Guan","given":"Y."},{"family":"Doucet","given":"L. S."},{"family":"Ionov","given":"D. A."},{"family":"Logvinova","given":"A. M."},{"family":"Golovin","given":"A. V."},{"family":"Sobolev","given":"N. V."}],"issued":{"date-parts":[["2016",11,15]]}},"suppress-author":true}],"schema":"https://github.com/citation-style-language/schema/raw/master/csl-citation.json"} </w:instrText>
      </w:r>
      <w:r w:rsidR="00D47845" w:rsidRPr="004C4C89">
        <w:fldChar w:fldCharType="separate"/>
      </w:r>
      <w:r w:rsidR="00636367" w:rsidRPr="00B90D6A">
        <w:t>(2016)</w:t>
      </w:r>
      <w:r w:rsidR="00D47845" w:rsidRPr="004C4C89">
        <w:fldChar w:fldCharType="end"/>
      </w:r>
      <w:r w:rsidR="00D47845" w:rsidRPr="00B90D6A">
        <w:t xml:space="preserve">; </w:t>
      </w:r>
      <w:r w:rsidR="00B824D6">
        <w:t xml:space="preserve">Kovacs et al. (2012); </w:t>
      </w:r>
      <w:r w:rsidR="00890A4E">
        <w:t xml:space="preserve">Kumamoto et al. (2017); </w:t>
      </w:r>
      <w:r w:rsidR="00D47845" w:rsidRPr="00B90D6A">
        <w:t xml:space="preserve">Li et al. </w:t>
      </w:r>
      <w:r w:rsidR="00D47845" w:rsidRPr="004C4C89">
        <w:fldChar w:fldCharType="begin"/>
      </w:r>
      <w:r w:rsidR="008E0CCC">
        <w:instrText xml:space="preserve"> ADDIN ZOTERO_ITEM CSL_CITATION {"citationID":"mKyb7Zpb","properties":{"formattedCitation":"(2008)","plainCitation":"(2008)","noteIndex":0},"citationItems":[{"id":3909,"uris":["http://zotero.org/users/88665/items/WVDR67VD"],"uri":["http://zotero.org/users/88665/items/WVDR67VD"],"itemData":{"id":3909,"type":"article-journal","abstract":"Nominally anhydrous minerals (e.g., olivine, clinopyroxene, and orthopyroxene) in peridotite xenoliths collected from the Colorado Plateau and southern Basin and Range in western North America were systematically analyzed by Fourier transform infrared spectroscopy for water contents. Measured water contents range from 2 to 45 ppm for olivine, from 53 to 402 ppm for orthopyroxene, and from 171 to 957 ppm for clinopyroxene. The Colorado Plateau has the highest water contents (up to 45 ppm H2O in olivine, 402 ppm H2O in orthopyroxene, and 957 ppm H2O in clinopyroxene), while San Carlos in the southern Basin and Range has the lowest water contents (up to 4 ppm H2O in olivine, 82 ppm H2O in orthopyroxene, and 178 ppm H2O in clinopyroxene). With the exception of San Carlos, the olivine and pyroxenes from all other localities (Dish Hill, Grand Canyon, and Navajo) have water contents close to or higher than that inferred for the fertile asthenospheric mantle. We interpret the high water contents measured here to have been introduced into the base of the lithospheric mantle by rehydration associated with the subduction of the Farallon plate beneath North America during the early Cenozoic. Application of an updated flow law for dislocation creep of wet olivine to lithospheric mantle conditions beneath the Colorado Plateau predicts that for a given background shear stress, hydration alone can result in approximately 1 order of magnitude drop in the effective viscosity at the base of the lithosphere. If viscosity alone is used to distinguish the lithosphere from underlying asthenosphere, this suggests that hydration could have resulted in more than 10 km of lithospheric thinning. Viscosity reduction and lithospheric thinning of even larger extents (up to </w:instrText>
      </w:r>
      <w:r w:rsidR="008E0CCC">
        <w:rPr>
          <w:rFonts w:ascii="Cambria Math" w:hAnsi="Cambria Math" w:cs="Cambria Math"/>
        </w:rPr>
        <w:instrText>∼</w:instrText>
      </w:r>
      <w:r w:rsidR="008E0CCC">
        <w:instrText xml:space="preserve">100 km) are predicted when thicker lithosphere (such as Archean cratons) and larger water contents (up to water-saturated conditions) are considered. If our interpretations are correct, the implications of our study go beyond western North America and hint at a possible way of recycling continental mantle, including cratonic mantle, back into the convecting mantle.","container-title":"Journal of Geophysical Research: Solid Earth","DOI":"10.1029/2007JB005540","ISSN":"2156-2202","issue":"B9","language":"en","source":"Wiley Online Library","title":"Water contents in mantle xenoliths from the Colorado Plateau and vicinity: Implications for the mantle rheology and hydration-induced thinning of continental lithosphere","title-short":"Water contents in mantle xenoliths from the Colorado Plateau and vicinity","URL":"https://agupubs.onlinelibrary.wiley.com/doi/abs/10.1029/2007JB005540","volume":"113","author":[{"family":"Li","given":"Zheng-Xue Anser"},{"family":"Lee","given":"Cin-Ty A."},{"family":"Peslier","given":"Anne H."},{"family":"Lenardic","given":"Adrian"},{"family":"Mackwell","given":"Stephen J."}],"issued":{"date-parts":[["2008",9,1]]}},"suppress-author":true}],"schema":"https://github.com/citation-style-language/schema/raw/master/csl-citation.json"} </w:instrText>
      </w:r>
      <w:r w:rsidR="00D47845" w:rsidRPr="004C4C89">
        <w:fldChar w:fldCharType="separate"/>
      </w:r>
      <w:r w:rsidR="00636367" w:rsidRPr="00B90D6A">
        <w:t>(2008)</w:t>
      </w:r>
      <w:r w:rsidR="00D47845" w:rsidRPr="004C4C89">
        <w:fldChar w:fldCharType="end"/>
      </w:r>
      <w:r w:rsidR="00D47845" w:rsidRPr="00B90D6A">
        <w:t xml:space="preserve">; </w:t>
      </w:r>
      <w:r w:rsidR="00A746A8" w:rsidRPr="00B90D6A">
        <w:t xml:space="preserve">O’Leary et al. (2010); </w:t>
      </w:r>
      <w:r w:rsidR="00570E91" w:rsidRPr="00B90D6A">
        <w:t xml:space="preserve">Peslier &amp; Bizimis </w:t>
      </w:r>
      <w:r w:rsidR="00860B79" w:rsidRPr="004C4C89">
        <w:fldChar w:fldCharType="begin"/>
      </w:r>
      <w:r w:rsidR="008E0CCC">
        <w:instrText xml:space="preserve"> ADDIN ZOTERO_ITEM CSL_CITATION {"citationID":"8oEa2bRx","properties":{"formattedCitation":"(2015)","plainCitation":"(2015)","noteIndex":0},"citationItems":[{"id":3647,"uris":["http://zotero.org/users/88665/items/VA7UGYMZ"],"uri":["http://zotero.org/users/88665/items/VA7UGYMZ"],"itemData":{"id":3647,"type":"article-journal","abstract":"The distribution of water concentrations in the oceanic upper mantle has drastic influence on its melting, rheology, and electrical and thermal conductivities and yet is primarily known indirectly from analyses of OIB and MORB. Here, actual mantle samples, eight peridotite xenoliths from Salt Lake Crater (SLC) and one from Pali in Oahu in Hawaii were analyzed by FTIR. Water contents of orthopyroxene, clinopyroxene, and the highest measured in olivine are 116–222, 246–442, and 10–26 ppm weight H2O, respectively. Although pyroxene water contents correlate with indices of partial melting, they are too high to be explained by simple melting modeling. Mantle-melt interaction modeling reproduces best the SLC data. These peridotites represent depleted oceanic mantle older than the Pacific lithosphere that has been refertilized by nephelinite melts containing &lt;5 weight % H2O. Metasomatism in the Hawaiian peridotites resulted in an apparent decoupling of water and LREE that can be reconciled via assimilation and fractional crystallization. Calculated bulk-rock water contents for SLC (50–96 ppm H2O) are on the low side of that of the MORB source (50–200 ppm H2O). Preceding metasomatism, the SLC peridotites must have been even drier, with a water content similar to that of the Pali peridotite (45 ppm H2O), a relatively unmetasomatized fragment of the Pacific lithosphere. Moreover, our data show that the oceanic mantle lithosphere above plumes is not necessarily enriched in water. Calculated viscosities using olivine water contents allow to estimate the depth of the lithosphere-asthenosphere boundary beneath Hawaii at </w:instrText>
      </w:r>
      <w:r w:rsidR="008E0CCC">
        <w:rPr>
          <w:rFonts w:ascii="Cambria Math" w:hAnsi="Cambria Math" w:cs="Cambria Math"/>
        </w:rPr>
        <w:instrText>∼</w:instrText>
      </w:r>
      <w:r w:rsidR="008E0CCC">
        <w:instrText xml:space="preserve">90 km.","container-title":"Geochemistry, Geophysics, Geosystems","DOI":"10.1002/2015GC005780","ISSN":"1525-2027","issue":"4","journalAbbreviation":"Geochemistry, Geophysics, Geosystems","language":"en","page":"1211-1232","source":"Wiley Online Library","title":"Water in Hawaiian peridotite minerals: A case for a dry metasomatized oceanic mantle lithosphere","title-short":"Water in Hawaiian peridotite minerals","volume":"16","author":[{"family":"Peslier","given":"Anne H."},{"family":"Bizimis","given":"Michael"}],"issued":{"date-parts":[["2015",4,1]]}},"suppress-author":true}],"schema":"https://github.com/citation-style-language/schema/raw/master/csl-citation.json"} </w:instrText>
      </w:r>
      <w:r w:rsidR="00860B79" w:rsidRPr="004C4C89">
        <w:fldChar w:fldCharType="separate"/>
      </w:r>
      <w:r w:rsidR="00636367" w:rsidRPr="00B90D6A">
        <w:t>(2015)</w:t>
      </w:r>
      <w:r w:rsidR="00860B79" w:rsidRPr="004C4C89">
        <w:fldChar w:fldCharType="end"/>
      </w:r>
      <w:r w:rsidR="00570E91" w:rsidRPr="00B90D6A">
        <w:t xml:space="preserve">; Peslier et al. </w:t>
      </w:r>
      <w:r w:rsidR="00860B79" w:rsidRPr="004C4C89">
        <w:fldChar w:fldCharType="begin"/>
      </w:r>
      <w:r w:rsidR="008E0CCC">
        <w:instrText xml:space="preserve"> ADDIN ZOTERO_ITEM CSL_CITATION {"citationID":"xzY3OZlO","properties":{"formattedCitation":"(2002)","plainCitation":"(2002)","noteIndex":0},"citationItems":[{"id":3718,"uris":["http://zotero.org/users/88665/items/WXJS55YE"],"uri":["http://zotero.org/users/88665/items/WXJS55YE"],"itemData":{"id":3718,"type":"article-journal","abstract":"Pyroxene water contents measured by Fourier transform infrared spectrometry for Mexican and Simcoe (WA, USA) spinel-peridotite xenoliths range from 140 to 528 ppm in clinopyroxenes and 39 to 265 ppm in orthopyroxenes. Correlations between these water contents and major-element compositional data for the pyroxenes, associated spinels, and whole-rock xenoliths demonstrate that these water contents record mantle values that have not been perturbed since the xenoliths were brought to the surface by their host magmas. Broad positive correlations of pyroxene water contents with whole-rock Al2O3 are consistent with water behaving as an incompatible element during peridotite melting. The main control on the range of pyroxene water contents, however, appears to be the redox state of the peridotite, because estimates of oxygen fugacity from Mössbauer (Simcoe) and microprobe data (Mexico) on spinels are negatively correlated with water contents. This is consistent with the dominant mechanism of H incorporation into pyroxene, which is dependent on the oxidation-reduction of iron. Metasomatism of sub-arc mantle-wedge peridotites by oxidized fluids or melts rising from the slab raises the oxygen fugacity of the peridotites, and where temperature is high enough, induces them to partially melt. The oxidation, in turn, lowers the solubility of water in the peridotite minerals, causing more than half of the original water to be expelled. That water enters the hydrous partial melts and these ascend through the lithosphere to feed the arc magmatic system in the upper crust. Low water contents in pyroxenes from sub-arc mantle-wedge peridotites, such as those from Simcoe and some western Mexican sites, therefore appear to be complementary to the high water contents that characterize subduction-zone magmas and fuel their explosive eruptions. An estimate of water budget in subduction zones, however, indicates that the amount of water coming from the dehydration of mantle-wedge anhydrous minerals probably accounts for less than 5% of the total water present in subduction-related magmas. The high water contents of arc magmas thus are mainly attributed to fluids or melts from the slab proper. The relatively dry sub-arc mantle wedge appears to be an effective medium through which subducted water is transported from slabs toward the surface.","container-title":"Earth and Planetary Science Letters","DOI":"10.1016/S0012-821X(02)00663-5","ISSN":"0012-821X","issue":"1","journalAbbreviation":"Earth and Planetary Science Letters","page":"69-86","source":"ScienceDirect","title":"Low water contents in pyroxenes from spinel-peridotites of the oxidized, sub-arc mantle wedge","volume":"201","author":[{"family":"Peslier","given":"Anne H"},{"family":"Luhr","given":"James F"},{"family":"Post","given":"Jeffrey"}],"issued":{"date-parts":[["2002"]]}},"suppress-author":true}],"schema":"https://github.com/citation-style-language/schema/raw/master/csl-citation.json"} </w:instrText>
      </w:r>
      <w:r w:rsidR="00860B79" w:rsidRPr="004C4C89">
        <w:fldChar w:fldCharType="separate"/>
      </w:r>
      <w:r w:rsidR="00636367" w:rsidRPr="00B90D6A">
        <w:t>(2002)</w:t>
      </w:r>
      <w:r w:rsidR="00860B79" w:rsidRPr="004C4C89">
        <w:fldChar w:fldCharType="end"/>
      </w:r>
      <w:r w:rsidR="00570E91" w:rsidRPr="00B90D6A">
        <w:t xml:space="preserve">; Peslier et al. </w:t>
      </w:r>
      <w:r w:rsidR="00860B79" w:rsidRPr="004C4C89">
        <w:fldChar w:fldCharType="begin"/>
      </w:r>
      <w:r w:rsidR="008E0CCC">
        <w:instrText xml:space="preserve"> ADDIN ZOTERO_ITEM CSL_CITATION {"citationID":"WSS8pmwL","properties":{"formattedCitation":"(2012)","plainCitation":"(2012)","noteIndex":0},"citationItems":[{"id":1658,"uris":["http://zotero.org/users/88665/items/96ANCCAX"],"uri":["http://zotero.org/users/88665/items/96ANCCAX"],"itemData":{"id":1658,"type":"article-journal","abstract":"Water and trace element contents were measured by FTIR and laser ablation-ICPMS on minerals from peridotite xenoliths in kimberlites of the Kaapvaal craton from Finsch, Kimberley, Jagersfontein (South Africa), Letseng-La-Terae, and Liqhobong (Lesotho) mines. The peridotites record a wide range of pressure, temperature, oxygen fugacity, and metasomatic events. Correlations between water content or OH vibration bands with major, minor and trace elements in pyroxene and garnet precludes disturbance during xenolith entrainment by the host kimberlite magma and indicate preservation of mantle water contents. Clinopyroxene water contents (150–400 ppm H2O, by weight) correlate with those of orthopyroxene (40–250 ppm). Olivines (Peslier et al., 2008, 2010) and garnets have 0–86 and 0–20 ppm H2O, respectively. Relations in individual xenolith suites between the amount of water and that of incompatible elements Ti, Na, Fe3+ and rare earths in minerals suggests that metasomatism by oxidizing melts controls the water content of olivine, pyroxene and garnet. At pressures </w:instrText>
      </w:r>
      <w:r w:rsidR="008E0CCC">
        <w:rPr>
          <w:rFonts w:ascii="Cambria Math" w:hAnsi="Cambria Math" w:cs="Cambria Math"/>
        </w:rPr>
        <w:instrText>⩽</w:instrText>
      </w:r>
      <w:r w:rsidR="008E0CCC">
        <w:instrText xml:space="preserve">5.5 GPa, hydrous, alkaline, siliceous fluids or melts metasomatized Liqhobong and Kimberley peridotites, producing high water contents in their olivine, pyroxenes and garnet. At higher pressures, the percolation of ultramafic melts reacting with peridotite resulted in co-variation of Ca, Ti and water at the edge of garnets at Jagersfontein, and the overall crystallization of garnet with lower water contents than those in the original peridotites. The upward migration of these ultramafic melts through the lithospheric mantle also increased the water content of olivines with decreasing pressure at Finsch Mine. H2O/Ce ratios of melts in equilibrium with Kaapvaal peridotites range from 100 to 20,000 and the larger values may indicate metasomatism in subduction zone settings. Metasomatic events in Kaapvaal peridotites are thought to have occurred from the Archean to the Mesozoic. However, circumstantial evidence suggest that the metasomatic events responsible for setting the water contents may date from the Archean at Kimberley and from the Proterozoic at Jagersfontein. Combined water with Lu–Hf and Sm–Nd isotopic data at Finsch (Lazarov et al., in press-a) and with Ar–Ar phlogopite ages at Liqhobong (Hopp et al., 2008) indicates that water addition by metasomatic melts occurred in the Proterozoic. Water contents of mantle minerals in Kaapvaal xenoliths measured here have been preserved since that time and can consequently be used in modelling viscosity and longevity of cratonic roots since at least the mid-Proterozoic.","container-title":"Geochimica et Cosmochimica Acta","DOI":"10.1016/j.gca.2012.08.028","ISSN":"0016-7037","issue":"0","journalAbbreviation":"Geochimica et Cosmochimica Acta","page":"213-246","source":"ScienceDirect","title":"Metasomatic control of water contents in the Kaapvaal cratonic mantle","volume":"97","author":[{"family":"Peslier","given":"A.H."},{"family":"Woodland","given":"A.B."},{"family":"Bell","given":"D.R."},{"family":"Lazarov","given":"M."},{"family":"Lapen","given":"T.J."}],"issued":{"date-parts":[["2012",11,15]]}},"suppress-author":true}],"schema":"https://github.com/citation-style-language/schema/raw/master/csl-citation.json"} </w:instrText>
      </w:r>
      <w:r w:rsidR="00860B79" w:rsidRPr="004C4C89">
        <w:fldChar w:fldCharType="separate"/>
      </w:r>
      <w:r w:rsidR="00636367" w:rsidRPr="00B90D6A">
        <w:t>(2012)</w:t>
      </w:r>
      <w:r w:rsidR="00860B79" w:rsidRPr="004C4C89">
        <w:fldChar w:fldCharType="end"/>
      </w:r>
      <w:r w:rsidR="00570E91" w:rsidRPr="00B90D6A">
        <w:t>;</w:t>
      </w:r>
      <w:r w:rsidR="00E54536" w:rsidRPr="00B90D6A">
        <w:t xml:space="preserve"> </w:t>
      </w:r>
      <w:r w:rsidR="00A746A8" w:rsidRPr="00B90D6A">
        <w:t>Rosenthal &amp; Hauri (2015); S</w:t>
      </w:r>
      <w:r w:rsidR="00D47845" w:rsidRPr="00B90D6A">
        <w:t xml:space="preserve">chaffer et al. </w:t>
      </w:r>
      <w:r w:rsidR="00D47845" w:rsidRPr="004C4C89">
        <w:fldChar w:fldCharType="begin"/>
      </w:r>
      <w:r w:rsidR="008E0CCC">
        <w:instrText xml:space="preserve"> ADDIN ZOTERO_ITEM CSL_CITATION {"citationID":"i7dBMBlf","properties":{"formattedCitation":"(2018)","plainCitation":"(2018)","noteIndex":0},"citationItems":[{"id":3924,"uris":["http://zotero.org/users/88665/items/7AP93DLJ"],"uri":["http://zotero.org/users/88665/items/7AP93DLJ"],"itemData":{"id":3924,"type":"article-journal","abstract":"The distribution of water in the upper mantle plays a crucial role in the Earth's deep water cycle, magmatism, and plate tectonics. To better constrain how these large-scale geochemical systems operate, peridotite and pyroxenite mantle xenoliths from Kilbourne Hole (KH) and Rio Puerco (RP) along the Rio Grande Rift (NM, USA) were analyzed for water, and major and trace element contents. These xenoliths sample a lithosphere whose composition was influenced by subduction and rifting, and can be used to examine the effects of melting, metasomatism, and sub-solidus equilibration on the behavior of water. The first result is that in KH xenoliths, olivines underwent negligible H loss during xenolith ascent, i.e. preserved their mantle water contents. These olivine water contents are used to calculate mantle viscosities of 0.5-184 1021 Pa.s. These viscosity values are more than 40 times higher than those of the asthenosphere and show that KH peridotites represent samples from the lithosphere. The preservation of olivine water contents is exceptional for off-cratonic xenoliths, and the KH peridotites provide the first estimate of the average concentration of water in Phanerozoic continental mantle lithosphere at 81 ±30 ppm H2O. The mantle lithosphere beneath the Rio Grande rift is nevertheless heterogeneous with water contents ranging from &lt;0.5 to 120 ppm H2O in peridotites and from 227 to 400 ppm H2O in pyroxenites. A composite KH xenolith of a harzburgite cross-cut by a clinopyroxenite vein shows this heterogeneity at the cm scale. The second contribution of this study stems from the majority of the KH peridotites and two of the RP peridotites having major and trace elements that can be explained by partial melting without any need to invoke metasomatic processes. This allows to show that, prior to modelling the water content variation of each peridotite mineral during melting, a correction for sub-solidus equilibration has to be applied to the water contents of the minerals. Sub-solidus equilibration also provides an explanation for the discrepancy between the clinopyroxene/orthopyroxene ratio of water contents in natural peridotites worldwide and in laboratory experiments on water partitioning in peridotite minerals. Finally, the cryptically metasomatized peridotites, rare at KH and abundant at RP, as well as the pyroxenites, permit to decipher the origin and water contents of the metasomatic melts that affected the continental lithosphere beneath the Rio Grande Rift. Trace element modelling of the metasomatized KH and RP peridotites are consistent with metasomatism via melts that are of subduction origin. Melts in equilibrium with peridotites contain more water at RP (</w:instrText>
      </w:r>
      <w:r w:rsidR="008E0CCC">
        <w:rPr>
          <w:rFonts w:ascii="Cambria Math" w:hAnsi="Cambria Math" w:cs="Cambria Math"/>
        </w:rPr>
        <w:instrText>∼</w:instrText>
      </w:r>
      <w:r w:rsidR="008E0CCC">
        <w:instrText>1 wt % H2O) than at KH (</w:instrText>
      </w:r>
      <w:r w:rsidR="008E0CCC">
        <w:rPr>
          <w:rFonts w:ascii="Cambria Math" w:hAnsi="Cambria Math" w:cs="Cambria Math"/>
        </w:rPr>
        <w:instrText>∼</w:instrText>
      </w:r>
      <w:r w:rsidR="008E0CCC">
        <w:instrText xml:space="preserve">0.5 wt % H2O), although this did not result in a more water-rich mantle lithosphere at RP. Rio Puerco lies within the northern Rio Grande rift, proposed to have been affected by a flat slab subduction, which may explain the more hydrous and extensive metasomatism compared to the south, where KH is located.","container-title":"Geochimica et Cosmochimica Acta","DOI":"10.1016/j.gca.2018.10.005","ISSN":"0016-7037","journalAbbreviation":".10.1016/j.gca.2018.10.005","page":"10.1016/j.gca.2018.10.005","source":"ScienceDirect","title":"Effects of melting, subduction-related metasomatism, and sub-solidus equilibration on the distribution of water contents in the mantle beneath the Rio Grande Rift","author":[{"family":"Schaffer","given":"Lillian A."},{"family":"Peslier","given":"Anne H."},{"family":"Brandon","given":"Alan D."},{"family":"Bizimis","given":"Michael"},{"family":"Gibler","given":"Robert"},{"family":"Norman","given":"Marc"},{"family":"Harvey","given":"Jason"}],"issued":{"date-parts":[["2018",10,13]]}},"suppress-author":true}],"schema":"https://github.com/citation-style-language/schema/raw/master/csl-citation.json"} </w:instrText>
      </w:r>
      <w:r w:rsidR="00D47845" w:rsidRPr="004C4C89">
        <w:fldChar w:fldCharType="separate"/>
      </w:r>
      <w:r w:rsidR="00636367" w:rsidRPr="00B90D6A">
        <w:t>(2018)</w:t>
      </w:r>
      <w:r w:rsidR="00D47845" w:rsidRPr="004C4C89">
        <w:fldChar w:fldCharType="end"/>
      </w:r>
      <w:r w:rsidR="00D47845" w:rsidRPr="00B90D6A">
        <w:t xml:space="preserve">; Urann et al. </w:t>
      </w:r>
      <w:r w:rsidR="00D47845" w:rsidRPr="004C4C89">
        <w:fldChar w:fldCharType="begin"/>
      </w:r>
      <w:r w:rsidR="008E0CCC">
        <w:instrText xml:space="preserve"> ADDIN ZOTERO_ITEM CSL_CITATION {"citationID":"bEaa6WOW","properties":{"formattedCitation":"(2017)","plainCitation":"(2017)","noteIndex":0},"citationItems":[{"id":4058,"uris":["http://zotero.org/users/88665/items/U92MUH99"],"uri":["http://zotero.org/users/88665/items/U92MUH99"],"itemData":{"id":4058,"type":"article-journal","abstract":"The fluorine (F) and chlorine (Cl) contents of arc magmas have been used to track the composition of subducted components, and the F and Cl contents of MORB have been used to estimate the halogen content of depleted MORB mantle (DMM). Yet, the F and Cl budget of the Earth’s upper mantle and their distribution in peridotite minerals remain to be constrained. Here, we developed a method to measure low concentrations of halogens (≥0.4 µg/g F and ≥0.3 µg/g Cl) in minerals by secondary ion mass spectroscopy. We present a comprehensive study of F and Cl in co-existing natural olivine, orthopyroxene, clinopyroxene, and amphibole in seventeen samples from different tectonic settings. We support the hypothesis that F in olivine is controlled by melt polymerization, and that F in pyroxene is controlled by their Na and Al contents, with some effect of melt polymerization. We infer that Cl compatibility ranks as follows: amphibole &gt; clinopyroxene &gt; olivine ~ orthopyroxene, while F compatibility ranks as follows: amphibole &gt; clinopyroxene &gt; orthopyroxene ≥ olivine, depending on the tectonic context. In addition, we show that F, Cl, Be and B are correlated in pyroxenes and amphibole. F and Cl variations suggest that interaction with slab melts and fluids can significantly alter the halogen content of mantle minerals. In particular, F in oceanic peridotites is mostly hosted in pyroxenes, and proportionally increases in olivine in subduction-related peridotites. The mantle wedge is likely enriched in F compared to un-metasomatized mantle, while Cl is always low (&lt;1 µg/g) in all tectonic settings studied here. The bulk anhydrous peridotite mantle contains 1.4–31 µg/g F and 0.14–0.38 µg/g Cl. The bulk F content of oceanic-like peridotites (2.1–9.4 µg/g) is lower than DMM estimates, consistent with F-rich eclogite in the source of MORB. Furthermore, the bulk Cl budget of all anhydrous peridotites studied here is lower than previous DMM estimates. Our results indicate that nearly all MORB may be somewhat contaminated by seawater-rich material and that the Cl content of DMM could be overestimated. With this study, we demonstrate that the halogen contents of natural peridotite minerals are a unique tool to understand the cycling of halogens, from ridge settings to subduction zones.","container-title":"Contributions to Mineralogy and Petrology","DOI":"10.1007/s00410-017-1368-7","ISSN":"0010-7999, 1432-0967","issue":"7","journalAbbreviation":"Contributions to Mineralogy and Petrology","language":"en","page":"51","source":"link.springer.com","title":"Fluorine and chlorine in mantle minerals and the halogen budget of the Earth’s mantle","volume":"172","author":[{"family":"Urann","given":"B. M."},{"family":"Roux","given":"V. Le"},{"family":"Hammond","given":"K."},{"family":"Marschall","given":"H. R."},{"family":"Lee","given":"C.-T. A."},{"family":"Monteleone","given":"B. D."}],"issued":{"date-parts":[["2017",7,1]]}},"suppress-author":true}],"schema":"https://github.com/citation-style-language/schema/raw/master/csl-citation.json"} </w:instrText>
      </w:r>
      <w:r w:rsidR="00D47845" w:rsidRPr="004C4C89">
        <w:fldChar w:fldCharType="separate"/>
      </w:r>
      <w:r w:rsidR="00636367" w:rsidRPr="00B90D6A">
        <w:t>(2017)</w:t>
      </w:r>
      <w:r w:rsidR="00D47845" w:rsidRPr="004C4C89">
        <w:fldChar w:fldCharType="end"/>
      </w:r>
      <w:r w:rsidR="00D47845" w:rsidRPr="00B90D6A">
        <w:t>; Warren &amp; Hauri (2014); Yu</w:t>
      </w:r>
      <w:r w:rsidR="00D47845">
        <w:t xml:space="preserve"> et al. </w:t>
      </w:r>
      <w:r w:rsidR="00D47845">
        <w:fldChar w:fldCharType="begin"/>
      </w:r>
      <w:r w:rsidR="008E0CCC">
        <w:instrText xml:space="preserve"> ADDIN ZOTERO_ITEM CSL_CITATION {"citationID":"xNmepTCj","properties":{"formattedCitation":"(2011)","plainCitation":"(2011)","noteIndex":0},"citationItems":[{"id":3716,"uris":["http://zotero.org/users/88665/items/MPV3TAV3"],"uri":["http://zotero.org/users/88665/items/MPV3TAV3"],"itemData":{"id":3716,"type":"article-journal","abstract":"The water contents of nominally anhydrous minerals (NAMs) in 35 peridotite xenoliths have been analyzed by Fourier transform infrared spectrometry (FTIR). The xenoliths are hosted by Cenozoic volcanic rocks from four localities (Mingxi, Anyuan, Niutoushan and Qilin) in the Cathaysia Block, SE China. Water contents of clinopyroxene (cpx), orthopyroxene (opx), and olivine (ol) range from 58 to 488ppm, 38 to 213ppm, and 0 to 41ppm, respectively. Water contents of cpx are positively correlated with Na and Al, and negatively correlated with Mg and Ca. Considering (1) the homogeneity of water distribution within single pyroxene grains; (2) the partitioning of water between cpx and opx with an average Dcpx/opx of 2.3; and (3) the correlations between the water contents and major element concentrations in cpx, it is suggested that the pyroxenes have largely preserved the water content of their mantle source. The whole-rock water contents calculated from mineral modes range from 12 to 94ppm (average 60±20ppm). This is much higher than the previously-reported water contents of xenoliths from the North China Craton (NCC) (average 26±17ppm). However, it is still quite low compared to those of continental lithospheric mantle worldwide, as inferred from analyses of typical cratonic (122±54ppm) and off-craton (81±40ppm) peridotites. The SCLM beneath the Cathaysia block is a medium-poor water reservoir; this can be explained by the refertilization of old lithospheric mantle which has undergone multiple geological events through time. Water itself plays an important role during the modification of the subcontinental lithospheric mantle. The wet and fertile garnet-facies peridotites found in the Mingxi locality represent the accretion of young lithosphere near the lithosphere–asthenosphere boundary, with almost no melt extraction. This process marks the completion of the lithospheric thinning and the upwelling of asthenosphere. A negative correlation between pyroxene water contents and the oxygen fugacity has only been found in xenoliths from Niutoushan (Mg#&lt;90), which lies on the Changle–Nan'ao fault zone. The fault may have facilitated the infiltration of Niutoushan peridotites by oxidized fluids (or hydrous melts) rising from the subducting Pacific plate.","container-title":"Lithos","DOI":"10.1016/j.lithos.2011.07.009","ISSN":"0024-4937","issue":"3","journalAbbreviation":"Lithos","page":"182-197","source":"ScienceDirect","title":"H2O contents and their modification in the Cenozoic subcontinental lithospheric mantle beneath the Cathaysia block, SE China","volume":"126","author":[{"family":"Yu","given":"Yao"},{"family":"Xu","given":"Xi-Sheng"},{"family":"Griffin","given":"William L."},{"family":"O'Reilly","given":"Suzanne Y."},{"family":"Xia","given":"Qun-Ke"}],"issued":{"date-parts":[["2011",10,1]]}},"suppress-author":true}],"schema":"https://github.com/citation-style-language/schema/raw/master/csl-citation.json"} </w:instrText>
      </w:r>
      <w:r w:rsidR="00D47845">
        <w:fldChar w:fldCharType="separate"/>
      </w:r>
      <w:r w:rsidR="00636367">
        <w:t>(2011)</w:t>
      </w:r>
      <w:r w:rsidR="00D47845">
        <w:fldChar w:fldCharType="end"/>
      </w:r>
      <w:r w:rsidR="00D47845">
        <w:t>.</w:t>
      </w:r>
    </w:p>
    <w:p w14:paraId="1A511818" w14:textId="77777777" w:rsidR="009B10D9" w:rsidRDefault="009B10D9" w:rsidP="00C20C0B">
      <w:pPr>
        <w:spacing w:line="480" w:lineRule="auto"/>
        <w:jc w:val="both"/>
      </w:pPr>
    </w:p>
    <w:p w14:paraId="341618A7" w14:textId="2C4F914D" w:rsidR="009B10D9" w:rsidRDefault="009B10D9" w:rsidP="00C20C0B">
      <w:pPr>
        <w:spacing w:line="480" w:lineRule="auto"/>
        <w:jc w:val="both"/>
      </w:pPr>
      <w:r>
        <w:t xml:space="preserve">Figure </w:t>
      </w:r>
      <w:r w:rsidR="00270819">
        <w:t>3</w:t>
      </w:r>
      <w:r>
        <w:t xml:space="preserve">. Correlation matrix for mantle Cr-diopsides and Ti-Al augites from Southern Patagonia (Pali Aike) and the Antarctic Peninsula illustrates </w:t>
      </w:r>
      <w:r w:rsidR="00A746A8">
        <w:t xml:space="preserve">for the first time </w:t>
      </w:r>
      <w:r>
        <w:t xml:space="preserve">how volatile elements vary with: (a) major and trace elements in different cation sites (M1, M2 and T); and </w:t>
      </w:r>
      <w:r w:rsidR="00A746A8">
        <w:t xml:space="preserve">also </w:t>
      </w:r>
      <w:r>
        <w:t xml:space="preserve">(b) rare-earth elements that occupy the M2 site in the clinopyroxene lattice. Symbol size </w:t>
      </w:r>
      <w:r w:rsidR="004A266F">
        <w:t xml:space="preserve">and colour </w:t>
      </w:r>
      <w:r>
        <w:t>is proportional to the correlation, which is also given as</w:t>
      </w:r>
      <w:r w:rsidR="003E0598">
        <w:t xml:space="preserve"> a Pearson correlation </w:t>
      </w:r>
      <w:r w:rsidR="003E0598">
        <w:lastRenderedPageBreak/>
        <w:t>coefficient (</w:t>
      </w:r>
      <w:r w:rsidR="003E0598" w:rsidRPr="009B315C">
        <w:rPr>
          <w:i/>
        </w:rPr>
        <w:t>r</w:t>
      </w:r>
      <w:r w:rsidR="003E0598" w:rsidRPr="009B315C">
        <w:t>)</w:t>
      </w:r>
      <w:r>
        <w:t xml:space="preserve">. Data are from </w:t>
      </w:r>
      <w:r w:rsidRPr="009B315C">
        <w:rPr>
          <w:b/>
        </w:rPr>
        <w:t xml:space="preserve">Supplementary </w:t>
      </w:r>
      <w:r w:rsidR="0089024E" w:rsidRPr="009B315C">
        <w:rPr>
          <w:b/>
        </w:rPr>
        <w:t>Table</w:t>
      </w:r>
      <w:r w:rsidR="00D620F7">
        <w:rPr>
          <w:b/>
        </w:rPr>
        <w:t>s</w:t>
      </w:r>
      <w:r w:rsidR="00A259E5" w:rsidRPr="009B315C">
        <w:rPr>
          <w:b/>
        </w:rPr>
        <w:t xml:space="preserve"> </w:t>
      </w:r>
      <w:r w:rsidR="00D620F7">
        <w:rPr>
          <w:b/>
        </w:rPr>
        <w:t>1 and 2</w:t>
      </w:r>
      <w:r w:rsidR="00A259E5">
        <w:t>.</w:t>
      </w:r>
      <w:r>
        <w:t xml:space="preserve"> X</w:t>
      </w:r>
      <w:r>
        <w:rPr>
          <w:vertAlign w:val="subscript"/>
        </w:rPr>
        <w:t>Ts</w:t>
      </w:r>
      <w:r>
        <w:t xml:space="preserve"> = (Al+Cr-Na) and Fe</w:t>
      </w:r>
      <w:r>
        <w:rPr>
          <w:vertAlign w:val="superscript"/>
        </w:rPr>
        <w:t>3+</w:t>
      </w:r>
      <w:r>
        <w:t xml:space="preserve"> contents are based on clinopyroxene stoichiometry</w:t>
      </w:r>
      <w:r w:rsidRPr="009B315C">
        <w:t>.</w:t>
      </w:r>
    </w:p>
    <w:p w14:paraId="4EBC8088" w14:textId="77777777" w:rsidR="009B10D9" w:rsidRDefault="009B10D9" w:rsidP="00C20C0B">
      <w:pPr>
        <w:spacing w:line="480" w:lineRule="auto"/>
        <w:jc w:val="both"/>
      </w:pPr>
    </w:p>
    <w:p w14:paraId="69D0C663" w14:textId="19F8B7DC" w:rsidR="00757B9B" w:rsidRDefault="00757B9B" w:rsidP="00C20C0B">
      <w:pPr>
        <w:spacing w:line="480" w:lineRule="auto"/>
        <w:jc w:val="both"/>
      </w:pPr>
      <w:r>
        <w:t xml:space="preserve">Figure </w:t>
      </w:r>
      <w:r w:rsidR="00270819">
        <w:t>4</w:t>
      </w:r>
      <w:r>
        <w:t xml:space="preserve">. Plot of Na </w:t>
      </w:r>
      <w:r w:rsidR="00D54787">
        <w:t xml:space="preserve">(atoms per formula unit) </w:t>
      </w:r>
      <w:r>
        <w:t xml:space="preserve">versus F in orthopyroxene to show the </w:t>
      </w:r>
      <w:r w:rsidR="005D51E7">
        <w:t xml:space="preserve">overall broad </w:t>
      </w:r>
      <w:r>
        <w:t>positive</w:t>
      </w:r>
      <w:r w:rsidR="005D51E7">
        <w:t xml:space="preserve"> </w:t>
      </w:r>
      <w:r>
        <w:t>correlation.</w:t>
      </w:r>
      <w:r w:rsidR="005D51E7">
        <w:t xml:space="preserve"> Data are from: This work; </w:t>
      </w:r>
      <w:r w:rsidR="000B4300">
        <w:t xml:space="preserve">Beyer et al. </w:t>
      </w:r>
      <w:r w:rsidR="000B4300">
        <w:fldChar w:fldCharType="begin"/>
      </w:r>
      <w:r w:rsidR="008E0CCC">
        <w:instrText xml:space="preserve"> ADDIN ZOTERO_ITEM CSL_CITATION {"citationID":"ysKJSxeX","properties":{"formattedCitation":"(2012)","plainCitation":"(2012)","noteIndex":0},"citationItems":[{"id":2470,"uris":["http://zotero.org/users/88665/items/NUVEKN4E"],"uri":["http://zotero.org/users/88665/items/NUVEKN4E"],"itemData":{"id":2470,"type":"article-journal","abstract":"We present new experimentally determined partition coefficients for fluorine (F) between nominally fluorine-free minerals and corresponding basaltic melts in the systems CaO–MgO–Al2O3–SiO2+F, Na2O–CaO–MgO–Al2O3–SiO2+F, and in natural compositions at pressures up to 2.5 GPa and temperatures between 1285 °C and 1445 °C. Fluorine is incompatible in olivine with F partition coefficients D F o l / m e l t varying between 0.0007 and 0.0033, whereas the F in orthopyroxene is more compatible with D F o p x / m e l t between 0.031 and 0.037. These findings agree well with new analyses of F in natural olivines and orthopyroxene from spinel peridotites and oceanic basalts, and indicate that F is less incompatible in olivine and orthopyroxene than hydrogen (DF/DH</w:instrText>
      </w:r>
      <w:r w:rsidR="008E0CCC">
        <w:rPr>
          <w:rFonts w:ascii="Cambria Math" w:hAnsi="Cambria Math" w:cs="Cambria Math"/>
        </w:rPr>
        <w:instrText>∼</w:instrText>
      </w:r>
      <w:r w:rsidR="008E0CCC">
        <w:instrText>3.3 for olivine, DF/DH</w:instrText>
      </w:r>
      <w:r w:rsidR="008E0CCC">
        <w:rPr>
          <w:rFonts w:ascii="Cambria Math" w:hAnsi="Cambria Math" w:cs="Cambria Math"/>
        </w:rPr>
        <w:instrText>∼</w:instrText>
      </w:r>
      <w:r w:rsidR="008E0CCC">
        <w:instrText xml:space="preserve">2.4 for orthopyroxene). Based on high-resolution TEM images of one of the samples, we argue that the F incorporation into the olivine structure is mass balanced via oxygen defects. Furthermore, we present some analyses of Cl in olivine and orthopyroxene from spinel peridotites and basalts.\n\nHence, fluorine, and to a lesser extend chlorine, may be effectively stored in nominally halogen-free mantle minerals such as olivine and orthopyroxene. Considering their high modal proportion in the upper mantle, both phases are the major hosts for F in the Earth's mantle, and must be taken into account when calculating the Earth's budget of halogens or global cycles of halogens in the deeper Earth. Other F-bearing minerals such as amphibole or phosphates are not needed to balance the F concentrations between crust and mantle.\n\nApplying our new partition coefficients to primitive olivine hosted melt inclusion data from mid-ocean ridge basalt (MORB), we calculate a concentration of 6–15 μg/g F for the depleted MORB mantle source. Our results also show that typical spinel lherzolites from the subcontinental lithosphere show virtually identical concentrations of about 12 μg/g. However, using the partition coefficients on primary melt inclusions from ocean island basalts (OIB), suggest slightly higher fluorine contents between 8 and 31 μg/g for OIB mantle sources.","container-title":"Earth and Planetary Science Letters","DOI":"10.1016/j.epsl.2012.05.003","ISSN":"0012-821X","journalAbbreviation":"Earth and Planetary Science Letters","note":"00006","page":"1-9","source":"ScienceDirect","title":"Fluorine in nominally fluorine-free mantle minerals: Experimental partitioning of F between olivine, orthopyroxene and silicate melts with implications for magmatic processes","title-short":"Fluorine in nominally fluorine-free mantle minerals","volume":"337–338","author":[{"family":"Beyer","given":"C."},{"family":"Klemme","given":"S."},{"family":"Wiedenbeck","given":"M."},{"family":"Stracke","given":"A."},{"family":"Vollmer","given":"C."}],"issued":{"date-parts":[["2012",7,1]]}},"suppress-author":true}],"schema":"https://github.com/citation-style-language/schema/raw/master/csl-citation.json"} </w:instrText>
      </w:r>
      <w:r w:rsidR="000B4300">
        <w:fldChar w:fldCharType="separate"/>
      </w:r>
      <w:r w:rsidR="00636367">
        <w:t>(2012)</w:t>
      </w:r>
      <w:r w:rsidR="000B4300">
        <w:fldChar w:fldCharType="end"/>
      </w:r>
      <w:r w:rsidR="000B4300">
        <w:t xml:space="preserve">; </w:t>
      </w:r>
      <w:r w:rsidR="00C07C0E">
        <w:t xml:space="preserve">Kumamoto et al. </w:t>
      </w:r>
      <w:r w:rsidR="00C07C0E">
        <w:fldChar w:fldCharType="begin"/>
      </w:r>
      <w:r w:rsidR="00C07C0E">
        <w:instrText xml:space="preserve"> ADDIN ZOTERO_ITEM CSL_CITATION {"citationID":"3xfp4rLE","properties":{"formattedCitation":"(2017)","plainCitation":"(2017)","noteIndex":0},"citationItems":[{"id":3782,"uris":["http://zotero.org/users/88665/items/4NREKIMK"],"uri":["http://zotero.org/users/88665/items/4NREKIMK"],"itemData":{"id":3782,"type":"article-journal","container-title":"American Mineralogist","DOI":"10.2138/am-2017-5863","ISSN":"0003-004X","issue":"3","journalAbbreviation":"American Mineralogist","language":"en","page":"537-547","source":"pubs.geoscienceworld.org","title":"New SIMS reference materials for measuring water in upper mantle minerals","volume":"102","author":[{"family":"Kumamoto","given":"Kathryn M."},{"family":"Warren","given":"Jessica M."},{"family":"Hauri","given":"Erik H."}],"issued":{"date-parts":[["2017",3,1]]}},"suppress-author":true}],"schema":"https://github.com/citation-style-language/schema/raw/master/csl-citation.json"} </w:instrText>
      </w:r>
      <w:r w:rsidR="00C07C0E">
        <w:fldChar w:fldCharType="separate"/>
      </w:r>
      <w:r w:rsidR="00C07C0E" w:rsidRPr="00320CB3">
        <w:t>(2017)</w:t>
      </w:r>
      <w:r w:rsidR="00C07C0E">
        <w:fldChar w:fldCharType="end"/>
      </w:r>
      <w:r w:rsidR="00C07C0E">
        <w:t xml:space="preserve">; </w:t>
      </w:r>
      <w:r w:rsidR="00D47845">
        <w:t xml:space="preserve">Li et al. (2008); Luffi et al. </w:t>
      </w:r>
      <w:r w:rsidR="00D47845">
        <w:fldChar w:fldCharType="begin"/>
      </w:r>
      <w:r w:rsidR="008E0CCC">
        <w:instrText xml:space="preserve"> ADDIN ZOTERO_ITEM CSL_CITATION {"citationID":"ogWAnGoa","properties":{"formattedCitation":"(2009)","plainCitation":"(2009)","noteIndex":0},"citationItems":[{"id":4172,"uris":["http://zotero.org/users/88665/items/2F5B3DR4"],"uri":["http://zotero.org/users/88665/items/2F5B3DR4"],"itemData":{"id":4172,"type":"article-journal","abstract":"Low-angle subduction of oceanic lithosphere may be an important process in modifying continental lithosphere. A classic example is the underthrusting of the Farallon plate beneath North America during the Laramide orogeny. To assess the relevance of this process to the evolution and composition of continental lithosphere, the mantle stratigraphy beneath the Mojave Desert was constrained using ultramafic xenoliths hosted in Plio-Pleistocene cinder cones. Whole-rock chemistry, clinopyroxene trace element and Nd isotope data, in combination with geothermometry and surface heat flow, indicate kilometer-scale compositional layering. The shallow parts are depleted in radiogenic Nd (ɛNd = −13 to −6.4) and are interpreted to be ancient continental mantle that escaped tectonic erosion by low-angle subduction. The deeper samples are enriched in radiogenic Nd (ɛNd = +5.7 to +16.1) and reveal two superposed mantle slices of recent origin. Within each slice, compositions range from fertile lherzolites at the top to harzburgites at the bottom: the latter formed by 25–28% low-pressure melt depletion and the former formed by refertilization of harzburgites by mid-ocean-ridge-basalt-like liquids. The superposition and internal compositional zonation of the slices preclude recent fertilization by Cenozoic extension-related magmas. The above observations imply that the lower Mojavian lithosphere represents tectonically subcreted and imbricated lithosphere having an oceanic protolith. If so, the lherzolitic domains may be related to melting and refertilization beneath mid-ocean ridges. The present Mojavian lithosphere is thus a composite of a shallow section of the original North American lithosphere underlain by Farallon oceanic lithosphere accreted during low-angle subduction.","container-title":"Journal of Geophysical Research: Solid Earth.","DOI":"10.1029/2008JB005906","ISSN":"2156-2202","issue":"B3","language":"en","page":"10.1029/2008JB005906","source":"Wiley Online Library","title":"Lithospheric mantle duplex beneath the central Mojave Desert revealed by xenoliths from Dish Hill, California","volume":"114","author":[{"family":"Luffi","given":"Peter"},{"family":"Saleeby","given":"Jason B."},{"family":"Lee","given":"Cin-Ty A."},{"family":"Ducea","given":"Mihai N."}],"issued":{"date-parts":[["2009"]]}},"suppress-author":true}],"schema":"https://github.com/citation-style-language/schema/raw/master/csl-citation.json"} </w:instrText>
      </w:r>
      <w:r w:rsidR="00D47845">
        <w:fldChar w:fldCharType="separate"/>
      </w:r>
      <w:r w:rsidR="00636367">
        <w:t>(2009)</w:t>
      </w:r>
      <w:r w:rsidR="00D47845">
        <w:fldChar w:fldCharType="end"/>
      </w:r>
      <w:r w:rsidR="00D47845">
        <w:t xml:space="preserve">; </w:t>
      </w:r>
      <w:r w:rsidR="00467E45">
        <w:t xml:space="preserve">Modenfelder &amp; Rosmann </w:t>
      </w:r>
      <w:r w:rsidR="000B4300">
        <w:fldChar w:fldCharType="begin"/>
      </w:r>
      <w:r w:rsidR="004F07C0">
        <w:instrText xml:space="preserve"> ADDIN ZOTERO_ITEM CSL_CITATION {"citationID":"fREyBRgL","properties":{"formattedCitation":"(2013a)","plainCitation":"(2013a)","noteIndex":0},"citationItems":[{"id":2455,"uris":["http://zotero.org/users/88665/items/8R6URUTK"],"uri":["http://zotero.org/users/88665/items/8R6URUTK"],"itemData":{"id":2455,"type":"article-journal","abstract":"Pyroxenes have the capacity to incorporate both hydrogen and fluorine in their structures, and accurate measurement of these volatile elements can be used to constrain geophysical and petrologic processes in planetary bodies. For example, pyroxenes may be used to constrain the volatile contents of melts from which they crystallized. However, the experimental determination of H and F in pyroxenes is difficult, particularly at the relatively low levels present in natural samples. Here we evaluate methods for determining both H and F in orthopyroxene.\nWe measured trace concentrations of H (~40–400 ppm H2O) and F (&lt;1–17 ppm) in a suite of nine orthopyroxenes from varying geological environments, using secondary ion mass spectrometry (SIMS). The SIMS data for H (measured as 16O1H, referenced to 30Si and 18O) are cross calibrated against Fourier transform infrared (FTIR) spectra, in turn calibrated against either manometry (Bell et al. 1995) or the frequency-dependent molar absorption coefficient derived by Libowitzky and Rossman (1997). Despite the fact that our samples exhibit a wide range of IR band structures, with varying percentages of absorbance split among low (2600–3350 cm−1) and high (3350–3700 cm−1) wavenumber bands, the SIMS data are fit with the same precision and virtually the same regression slope regardless of which IR calibration is used. We also confirm previous suggestions that the matrix effect for SIMS analyses between orthopyroxene and olivine is small (≤20%). Anomalously high yields of 16O1H in some analyses can be attributed to the presence of amphibole lamellae, and these analyses must be filtered out with different criteria than for olivine due to differences in the geometrical relationship of host to inclusion. For F, our derived values are highly dependent on analytical uncertainties related to the use of silicate glasses as standards. Regardless of the accuracy of our calibration, we see systematic differences in F concentrations in orthopyroxenes and olivines depending on their geological context. Samples derived from crustal environments and from Colorado Plateau minette diatremes have very low F (≤3 ppm), while higher contents can be found in megacrysts from South African kimberlites (up to 17 ppm in orthopyroxene and 47 ppm in olivine) and in xenocrysts from the Rio Grande Rift (Kilbourne Hole, 7–9 ppm in orthopyroxene).","container-title":"American Mineralogist","DOI":"10.2138/am.2013.4291","ISSN":"0003-004X,","issue":"5-6","journalAbbreviation":"American Mineralogist","language":"en","note":"00001","page":"1026-1041","source":"ammin.geoscienceworld.org","title":"Analysis of hydrogen and fluorine in pyroxenes: I. Orthopyroxene","title-short":"Analysis of hydrogen and fluorine in pyroxenes","volume":"98","author":[{"family":"Mosenfelder","given":"Jed L."},{"family":"Rossman","given":"George R."}],"issued":{"date-parts":[["2013",1,5]]}},"suppress-author":true}],"schema":"https://github.com/citation-style-language/schema/raw/master/csl-citation.json"} </w:instrText>
      </w:r>
      <w:r w:rsidR="000B4300">
        <w:fldChar w:fldCharType="separate"/>
      </w:r>
      <w:r w:rsidR="00636367">
        <w:t>(2013a)</w:t>
      </w:r>
      <w:r w:rsidR="000B4300">
        <w:fldChar w:fldCharType="end"/>
      </w:r>
      <w:r w:rsidR="00467E45">
        <w:t xml:space="preserve">; </w:t>
      </w:r>
      <w:r w:rsidR="000B4300">
        <w:t xml:space="preserve">Le Roux et al. </w:t>
      </w:r>
      <w:r w:rsidR="000B4300">
        <w:fldChar w:fldCharType="begin"/>
      </w:r>
      <w:r w:rsidR="008E0CCC">
        <w:instrText xml:space="preserve"> ADDIN ZOTERO_ITEM CSL_CITATION {"citationID":"z8ogSwju","properties":{"formattedCitation":"(2014)","plainCitation":"(2014)","noteIndex":0},"citationItems":[{"id":4171,"uris":["http://zotero.org/users/88665/items/L4L2XWPE"],"uri":["http://zotero.org/users/88665/items/L4L2XWPE"],"itemData":{"id":4171,"type":"article-journal","abstract":"Here, we investigate the scale and nature of melting and melt percolation processes recorded by 17 supra-subduction peridotites collected in a ~70 km2 area in the northern portion of the Josephine ophiolite (Western USA). We present major and trace element variations in whole rocks; major elements in olivine, orthopyroxene, clinopyroxene and spinel; and trace elements [including rare earth element (REE)] in clinopyroxene and orthopyroxene. In the Josephine peridotites, compositional variability occurs at different scales. On the one hand, large systematic changes from depleted to fertile peridotites occur on large kilometer scales. Field, petrological and geochemical data can be consistently explained if the Josephine mantle experienced variable degrees of hydrous flux melting (10 to &gt;20–23 %), and we argue that small fractions of subduction-derived fluids (0.015–0.1 wt%) were pervasive in the ~70 km2 studied area, and continuously supplied during wedge melting. Fluid localization probably led to increased extent of flux melting in the harzburgitic areas. On the other hand, in single outcrops, sharp transitions from dunite to harzburgite to lherzolite and olivine websterite can be found on meter to centimeter scales. Thus, some fertile samples may reflect limited degrees of refertilization at the outcrop scale. In addition, clinopyroxene and orthopyroxene in ultra-depleted harzburgites (Spinel Cr# &gt; 58) show variable degrees of LREE enrichment, which reflect percolation of and partial re-equilibration with, small fractions of boninite melt. Because the enriched samples also show the highest spinel Cr#, we argue that these enrichments are local features connected to the presence of dunite channels nearby. Lastly, trace element concentrations of pyroxenes in Josephine harzburgites show that they are one of the most depleted harzburgites among worldwide ophiolitic peridotites, indicating particularly high degrees of melting, potentially past the exhaustion of clinopyroxene.","container-title":"Contributions to Mineralogy and Petrology","DOI":"10.1007/s00410-014-1064-9","ISSN":"1432-0967","issue":"4","journalAbbreviation":"Contributions to Mineralogy and Petrology","language":"en","page":"1064","source":"Springer Link","title":"Tracking flux melting and melt percolation in supra-subduction peridotites (Josephine ophiolite, USA)","volume":"168","author":[{"family":"Le Roux","given":"V."},{"family":"Dick","given":"H. J. B."},{"family":"Shimizu","given":"N."}],"issued":{"date-parts":[["2014",9,16]]}},"suppress-author":true}],"schema":"https://github.com/citation-style-language/schema/raw/master/csl-citation.json"} </w:instrText>
      </w:r>
      <w:r w:rsidR="000B4300">
        <w:fldChar w:fldCharType="separate"/>
      </w:r>
      <w:r w:rsidR="00636367">
        <w:t>(2014)</w:t>
      </w:r>
      <w:r w:rsidR="000B4300">
        <w:fldChar w:fldCharType="end"/>
      </w:r>
      <w:r w:rsidR="000B4300">
        <w:t xml:space="preserve">; </w:t>
      </w:r>
      <w:r w:rsidR="00D47845">
        <w:t xml:space="preserve">Urann et al. </w:t>
      </w:r>
      <w:r w:rsidR="00D47845">
        <w:fldChar w:fldCharType="begin"/>
      </w:r>
      <w:r w:rsidR="008E0CCC">
        <w:instrText xml:space="preserve"> ADDIN ZOTERO_ITEM CSL_CITATION {"citationID":"BKasCSWS","properties":{"formattedCitation":"(2017)","plainCitation":"(2017)","noteIndex":0},"citationItems":[{"id":4058,"uris":["http://zotero.org/users/88665/items/U92MUH99"],"uri":["http://zotero.org/users/88665/items/U92MUH99"],"itemData":{"id":4058,"type":"article-journal","abstract":"The fluorine (F) and chlorine (Cl) contents of arc magmas have been used to track the composition of subducted components, and the F and Cl contents of MORB have been used to estimate the halogen content of depleted MORB mantle (DMM). Yet, the F and Cl budget of the Earth’s upper mantle and their distribution in peridotite minerals remain to be constrained. Here, we developed a method to measure low concentrations of halogens (≥0.4 µg/g F and ≥0.3 µg/g Cl) in minerals by secondary ion mass spectroscopy. We present a comprehensive study of F and Cl in co-existing natural olivine, orthopyroxene, clinopyroxene, and amphibole in seventeen samples from different tectonic settings. We support the hypothesis that F in olivine is controlled by melt polymerization, and that F in pyroxene is controlled by their Na and Al contents, with some effect of melt polymerization. We infer that Cl compatibility ranks as follows: amphibole &gt; clinopyroxene &gt; olivine ~ orthopyroxene, while F compatibility ranks as follows: amphibole &gt; clinopyroxene &gt; orthopyroxene ≥ olivine, depending on the tectonic context. In addition, we show that F, Cl, Be and B are correlated in pyroxenes and amphibole. F and Cl variations suggest that interaction with slab melts and fluids can significantly alter the halogen content of mantle minerals. In particular, F in oceanic peridotites is mostly hosted in pyroxenes, and proportionally increases in olivine in subduction-related peridotites. The mantle wedge is likely enriched in F compared to un-metasomatized mantle, while Cl is always low (&lt;1 µg/g) in all tectonic settings studied here. The bulk anhydrous peridotite mantle contains 1.4–31 µg/g F and 0.14–0.38 µg/g Cl. The bulk F content of oceanic-like peridotites (2.1–9.4 µg/g) is lower than DMM estimates, consistent with F-rich eclogite in the source of MORB. Furthermore, the bulk Cl budget of all anhydrous peridotites studied here is lower than previous DMM estimates. Our results indicate that nearly all MORB may be somewhat contaminated by seawater-rich material and that the Cl content of DMM could be overestimated. With this study, we demonstrate that the halogen contents of natural peridotite minerals are a unique tool to understand the cycling of halogens, from ridge settings to subduction zones.","container-title":"Contributions to Mineralogy and Petrology","DOI":"10.1007/s00410-017-1368-7","ISSN":"0010-7999, 1432-0967","issue":"7","journalAbbreviation":"Contributions to Mineralogy and Petrology","language":"en","page":"51","source":"link.springer.com","title":"Fluorine and chlorine in mantle minerals and the halogen budget of the Earth’s mantle","volume":"172","author":[{"family":"Urann","given":"B. M."},{"family":"Roux","given":"V. Le"},{"family":"Hammond","given":"K."},{"family":"Marschall","given":"H. R."},{"family":"Lee","given":"C.-T. A."},{"family":"Monteleone","given":"B. D."}],"issued":{"date-parts":[["2017",7,1]]}},"suppress-author":true}],"schema":"https://github.com/citation-style-language/schema/raw/master/csl-citation.json"} </w:instrText>
      </w:r>
      <w:r w:rsidR="00D47845">
        <w:fldChar w:fldCharType="separate"/>
      </w:r>
      <w:r w:rsidR="00636367">
        <w:t>(2017)</w:t>
      </w:r>
      <w:r w:rsidR="00D47845">
        <w:fldChar w:fldCharType="end"/>
      </w:r>
      <w:r w:rsidR="00D47845">
        <w:t xml:space="preserve">; </w:t>
      </w:r>
      <w:r w:rsidR="00467E45">
        <w:t>Warren &amp; Hauri (2014)</w:t>
      </w:r>
      <w:r w:rsidR="00811EF5">
        <w:t>.</w:t>
      </w:r>
    </w:p>
    <w:p w14:paraId="7C68F4C2" w14:textId="77777777" w:rsidR="00757B9B" w:rsidRDefault="00757B9B" w:rsidP="00C20C0B">
      <w:pPr>
        <w:spacing w:line="480" w:lineRule="auto"/>
        <w:jc w:val="both"/>
      </w:pPr>
    </w:p>
    <w:p w14:paraId="309BAE49" w14:textId="15C01735" w:rsidR="009B10D9" w:rsidRDefault="009B10D9" w:rsidP="00C20C0B">
      <w:pPr>
        <w:spacing w:line="480" w:lineRule="auto"/>
        <w:jc w:val="both"/>
      </w:pPr>
      <w:r>
        <w:t xml:space="preserve">Figure </w:t>
      </w:r>
      <w:r w:rsidR="00270819">
        <w:t>5</w:t>
      </w:r>
      <w:r>
        <w:t>. Plots of final equilibration temperature (1/</w:t>
      </w:r>
      <w:r>
        <w:rPr>
          <w:i/>
        </w:rPr>
        <w:t>T</w:t>
      </w:r>
      <w:r>
        <w:t>*10</w:t>
      </w:r>
      <w:r>
        <w:rPr>
          <w:vertAlign w:val="superscript"/>
        </w:rPr>
        <w:t>4</w:t>
      </w:r>
      <w:r>
        <w:t xml:space="preserve"> K) </w:t>
      </w:r>
      <w:r w:rsidR="00A746A8">
        <w:t xml:space="preserve">versus </w:t>
      </w:r>
      <m:oMath>
        <m:sSubSup>
          <m:sSubSupPr>
            <m:ctrlPr>
              <w:rPr>
                <w:rFonts w:ascii="Cambria Math" w:hAnsi="Cambria Math"/>
                <w:i/>
              </w:rPr>
            </m:ctrlPr>
          </m:sSubSupPr>
          <m:e>
            <m:r>
              <w:rPr>
                <w:rFonts w:ascii="Cambria Math" w:hAnsi="Cambria Math"/>
              </w:rPr>
              <m:t>D</m:t>
            </m:r>
          </m:e>
          <m:sub/>
          <m:sup>
            <m:r>
              <w:rPr>
                <w:rFonts w:ascii="Cambria Math" w:hAnsi="Cambria Math"/>
              </w:rPr>
              <m:t>Cpx-Opx</m:t>
            </m:r>
          </m:sup>
        </m:sSubSup>
      </m:oMath>
      <w:r w:rsidR="00A746A8">
        <w:t xml:space="preserve"> for Ti, F, Al and H</w:t>
      </w:r>
      <w:r w:rsidR="00A746A8" w:rsidRPr="009D37AD">
        <w:rPr>
          <w:vertAlign w:val="subscript"/>
        </w:rPr>
        <w:t>2</w:t>
      </w:r>
      <w:r w:rsidR="00A746A8">
        <w:t xml:space="preserve">O in </w:t>
      </w:r>
      <w:r>
        <w:t xml:space="preserve">garnet peridotites from southern Patagonia (Pali Aike) and 2-3 GPa experimental run products that contained garnet. </w:t>
      </w:r>
      <m:oMath>
        <m:sSubSup>
          <m:sSubSupPr>
            <m:ctrlPr>
              <w:rPr>
                <w:rFonts w:ascii="Cambria Math" w:hAnsi="Cambria Math"/>
                <w:i/>
              </w:rPr>
            </m:ctrlPr>
          </m:sSubSupPr>
          <m:e>
            <m:r>
              <w:rPr>
                <w:rFonts w:ascii="Cambria Math" w:hAnsi="Cambria Math"/>
              </w:rPr>
              <m:t>D</m:t>
            </m:r>
          </m:e>
          <m:sub/>
          <m:sup>
            <m:r>
              <w:rPr>
                <w:rFonts w:ascii="Cambria Math" w:hAnsi="Cambria Math"/>
              </w:rPr>
              <m:t>Cpx-Opx</m:t>
            </m:r>
          </m:sup>
        </m:sSubSup>
      </m:oMath>
      <w:r>
        <w:t>values for spinel peridotites from Pali Aike and the Antarctic Peninsula together with global xenoliths</w:t>
      </w:r>
      <w:r w:rsidR="00A746A8">
        <w:t xml:space="preserve"> are shown for comparison</w:t>
      </w:r>
      <w:r>
        <w:t xml:space="preserve">. The plots reveal that subsolidus re-equilibration may cause significant redistribution of Ti, F and H in the lithospheric mantle. Data are </w:t>
      </w:r>
      <w:r w:rsidRPr="009B315C">
        <w:t>sources are as follows:</w:t>
      </w:r>
      <w:r w:rsidR="00E1324F">
        <w:t xml:space="preserve"> This work; </w:t>
      </w:r>
      <w:r w:rsidR="00D47845">
        <w:t xml:space="preserve">Demouchy et al. </w:t>
      </w:r>
      <w:r w:rsidR="00D47845">
        <w:fldChar w:fldCharType="begin"/>
      </w:r>
      <w:r w:rsidR="008E0CCC">
        <w:instrText xml:space="preserve"> ADDIN ZOTERO_ITEM CSL_CITATION {"citationID":"PJbF5aZ0","properties":{"formattedCitation":"(2015)","plainCitation":"(2015)","noteIndex":0},"citationItems":[{"id":2848,"uris":["http://zotero.org/users/88665/items/FMMPVZQR"],"uri":["http://zotero.org/users/88665/items/FMMPVZQR"],"itemData":{"id":2848,"type":"article-journal","abstract":"We report concentrations of hydrogen (H) in upper mantle minerals of peridotites (olivine and pyroxenes) transported by alnöitic lavas, which erupted on the southwestern border of the Ontong Java Plateau (Malaita, Solomon Islands, West Pacific). Unpolarized FTIR analyses show that olivine, orthopyroxene, and diopside contain 2–32 ppm, 162–362 ppm and 159–459 ppm wt H2O, respectively. In the studied lherzolites, garnets are anhydrous. The concentration of hydrogen within individual olivine and pyroxene grains is almost homogeneous, indicating no evidence of dehydration or hydration by ionic diffusion. In the lherzolite, the concentration of hydrogen in olivine tends to increase weakly with depth (based on geothermobarometry), consistent with the increase of water solubility with increasing water fugacity as a function of pressure, but concentrations remain well below water-saturation values determined experimentally. The highest concentration of H in olivine (32 ppm wt H2O) is, however, found in refractory spinel harzburgites, which equilibrated at depths of 85 km., while deeper specimens as the high-temperature spinel harzburgites, and some of the garnet lherzolites, contain less hydrogen in olivine. Olivines from pyroxene- or pargasite-rich peridotites have also lower hydrogen concentrations. We interpret the high hydrogen concentrations in olivine from the refractory spinel harzburgites as due to (1) simultaneous hydration and metasomatism of the lithospheric mantle by a water-rich silicate melt/fluid, during which hydrogen follows MREE and where spinel harzburgite have experienced ‘stealth’ metasomatism, and/or (2) to a late ‘fleeting’ hydrogen metasomatism, which would hydrate the rock after this first ‘stealth’ metasomatism event. In the second case, the composition of the ‘fleeting’ percolating fluid (small volume fraction of very evolved fluids, with high volatiles concentration and transient properties) is likely to be linked to the decrease of the plume activity and resulting in the downwelling of the lithosphere asthenosphere boundary. The difference in hydrogen concentration between harzburgites and lherzolites could be linked to variation in trace elements in olivine induced by the first ‘stealth’ metasomatism alone or associated to the late ‘fleeting’ hydrogen metasomatism, triggered by the lack of secondary crystallization of clinopyroxenes in the harzburgite. To conclude, H concentrations in upper mantle minerals may thus be correlated to metasomatic events, with the later yielding variation of the mineral assemblage and trace element composition that constitute the peridotites.","container-title":"Lithos","DOI":"10.1016/j.lithos.2014.11.005","ISSN":"0024-4937","journalAbbreviation":"Lithos","note":"00000","page":"189-201","source":"ScienceDirect","title":"Characterization of hydration in the mantle lithosphere: Peridotite xenoliths from the Ontong Java Plateau as an example","title-short":"Characterization of hydration in the mantle lithosphere","volume":"212–215","author":[{"family":"Demouchy","given":"Sylvie"},{"family":"Ishikawa","given":"Akira"},{"family":"Tommasi","given":"Andréa"},{"family":"Alard","given":"Olivier"},{"family":"Keshav","given":"Shantanu"}],"issued":{"date-parts":[["2015",1]]}},"suppress-author":true}],"schema":"https://github.com/citation-style-language/schema/raw/master/csl-citation.json"} </w:instrText>
      </w:r>
      <w:r w:rsidR="00D47845">
        <w:fldChar w:fldCharType="separate"/>
      </w:r>
      <w:r w:rsidR="00636367">
        <w:t>(2015)</w:t>
      </w:r>
      <w:r w:rsidR="00D47845">
        <w:fldChar w:fldCharType="end"/>
      </w:r>
      <w:r w:rsidR="00D47845">
        <w:t xml:space="preserve">; Doucet et al. </w:t>
      </w:r>
      <w:r w:rsidR="00D47845">
        <w:fldChar w:fldCharType="begin"/>
      </w:r>
      <w:r w:rsidR="008E0CCC">
        <w:instrText xml:space="preserve"> ADDIN ZOTERO_ITEM CSL_CITATION {"citationID":"pp2peHHe","properties":{"formattedCitation":"(2014)","plainCitation":"(2014)","noteIndex":0},"citationItems":[{"id":3656,"uris":["http://zotero.org/users/88665/items/T8YVPMIC"],"uri":["http://zotero.org/users/88665/items/T8YVPMIC"],"itemData":{"id":3656,"type":"article-journal","abstract":"The processes that control water distribution in nominally anhydrous minerals from peridotites are twofold. Melt depletion will remove water while metasomatism can potentially add water to these minerals. These processes can lead to a wide range of outcomes in water contents, which in turn could play a role in mantle rheology and long-term cratonic root stability. To examine these complexities, water concentrations in minerals from well-characterized peridotites from the Udachnaya kimberlite in the central Siberian craton were analyzed by FTIR. The peridotites span a complete top to bottom cross-section of typical cratonic lithospheric mantle (2–7GPa and 700–1400°C). Diffusion modeling of water content profiles across olivine grains shows that water loss during decompression is limited to the 100μm rims of olivines; the cores preserved their mantle water contents. Water contents range from 6 to 323ppm wt H2O in olivine, 28–301ppm H2O in orthopyroxene (opx), 100–272ppm H2O in clinopyroxene (cpx) and 0–23ppm H2O in garnet. Melting modeling cannot reproduce the high water contents of cratonic mantle peridotites and any potential partial melting trend must have been erased by later events. The water contents of minerals, however, are correlated with modal abundances of clinopyroxene and garnet, bulk rock FeO, TiO2 and SiO2 as well as with light and middle rare earth elements in clinopyroxene and garnet. These relationships are best interpreted as interaction of residual, melt-depleted peridotites with silicate melt, which produced modal and cryptic metasomatism. Importantly, the water enrichment in the Siberian cratonic mantle took place prior to kimberlite magmatism and eruption. Water addition by metasomatism occurred from pressures &gt;4GPa all the way to the base of the cratonic root below central Siberia, but was limited to shallower levels (&lt;5GPa) in the Kaapvaal cratonic lithosphere. The difference in olivine water contents at the deepest levels of the Kaapvaal (&lt;5ppm H2O) and Siberian (6–323ppm H2O) cratonic roots may be linked to oxygen fugacity and resulting fluid speciation or, alternatively, to reaction with different metasomatic agents. Calculated viscosities for the deepest Udachnaya samples are similar to those inferred for the asthenosphere. If these xenoliths are representative of the deep cratonic lithosphere, water is not as important a parameter as previously thought in the strength of cratonic lithosphere, otherwise the cratonic root beneath Udachnaya would have been delaminated. Alternatively, the metasomatic xenoliths may not be representative of the Siberian cratonic root and kimberlites preferentially sample cratonic mantle lithosphere material located near, and metasomatized by, melt conduits, which served as channels for upward migration of water-rich melts and fluids including kimberlites. In that case, the cratonic root overall still may have relatively low water contents, which in addition to its less metasomatized (more refractory) and thereby buoyant nature, still play a role in making it strong enough to resist delamination by the surrounding asthenosphere.","container-title":"Geochimica et Cosmochimica Acta","DOI":"10.1016/j.gca.2014.04.011","ISSN":"0016-7037","journalAbbreviation":"Geochimica et Cosmochimica Acta","page":"159-187","source":"ScienceDirect","title":"High water contents in the Siberian cratonic mantle linked to metasomatism: An FTIR study of Udachnaya peridotite xenoliths","title-short":"High water contents in the Siberian cratonic mantle linked to metasomatism","volume":"137","author":[{"family":"Doucet","given":"Luc S."},{"family":"Peslier","given":"Anne H."},{"family":"Ionov","given":"Dmitri A."},{"family":"Brandon","given":"Alan D."},{"family":"Golovin","given":"Alexander V."},{"family":"Goncharov","given":"Aleksey G."},{"family":"Ashchepkov","given":"Igor V."}],"issued":{"date-parts":[["2014",7,15]]}},"suppress-author":true}],"schema":"https://github.com/citation-style-language/schema/raw/master/csl-citation.json"} </w:instrText>
      </w:r>
      <w:r w:rsidR="00D47845">
        <w:fldChar w:fldCharType="separate"/>
      </w:r>
      <w:r w:rsidR="00636367">
        <w:t>(2014)</w:t>
      </w:r>
      <w:r w:rsidR="00D47845">
        <w:fldChar w:fldCharType="end"/>
      </w:r>
      <w:r w:rsidR="00D47845">
        <w:t xml:space="preserve">; </w:t>
      </w:r>
      <w:r w:rsidR="00E1324F">
        <w:t xml:space="preserve">Gaetani &amp; Grove </w:t>
      </w:r>
      <w:r w:rsidR="00E1324F">
        <w:fldChar w:fldCharType="begin"/>
      </w:r>
      <w:r w:rsidR="008E0CCC">
        <w:instrText xml:space="preserve"> ADDIN ZOTERO_ITEM CSL_CITATION {"citationID":"P22Y0Gvq","properties":{"formattedCitation":"(1997)","plainCitation":"(1997)","noteIndex":0},"citationItems":[{"id":413,"uris":["http://zotero.org/users/88665/items/VU4Z6AN5"],"uri":["http://zotero.org/users/88665/items/VU4Z6AN5"],"itemData":{"id":413,"type":"article-journal","abstract":"&lt;p&gt;&lt;br/&gt;This study investigates the effects of variations in the fugacities of oxygen and sulfur on the partitioning of first series transition metals (V, Cr, Mn, Fe, Co, Ni, and Cu) and W among coexisting sulfide melt, silicate melt, and olivine. Experiments were performed at 1 atm pressure, 1350°C, with the fugacities of oxygen and sulfur controlled by mixing CO2, CO, and SO2 gases. Starting compositions consisted of a CaO---MgO---Al2O3---SiO2---FeO---Na2O analog for a barred olivine chondrule from an ordinary chondrite and a synthetic komatiite. The f2/f2 conditions ranged from log f2 = -7.9 to -10.6, wi log f2 values ranging from -1.0 to -2.5. Our experimental results demonstrate that the f2/f2 dependencies of sulfide melt/silicate melt partition coefficients for the first series transition metals are proportional to their valence states. The f2/f2, dependencies for the partitioning of Fe, Co, Ni, and Cu are weaker than predicted on the basis of their valence states. Variations in f2/f2 conditions have no significant effect on olivine/melt partitioning other than those resulting from f2-induced changes in the valence state of a given element. The strong f2/f2, dependence for the olivine/silicate melt partitioning of V is attributable to a change of valence state, from 4+ to 3+, with decreasing f2. Our experimentally determined partition coefficients are used to develop models for the segregation of sulfide and metal from the silicate portion of the early Earth and the Shergottite parent body (Mars). We find that the influence of S is not sufficient to explain the overabundance of siderophile and chalcophile elements that remained in the mantle of the Earth following core formation. Important constraints on core formation in Mars are provided by our experimental determination of the partitioning of Cu between silicate and sulfide melts. When combined with existing estimates for siderophile element abundances in the Martian mantle and a mass balance constraint from Fe, the experiments allow a determination of the mass of the Martian core (~17 to 22 wt% of the planet) and its S content (~0.4 wt%). These modeling results indicate that Mars is depleted in S, and that its core is solid.&lt;/p&gt;","container-title":"Geochimica et Cosmochimica Acta","DOI":"10.1016/S0016-7037(97)00033-1","ISSN":"0016-7037","issue":"9","page":"1829-1846","source":"ScienceDirect","title":"Partitioning of moderately siderophile elements among olivine, silicate melt, and sulfide melt: Constraints on core formation in the Earth and Mars","title-short":"Partitioning of moderately siderophile elements among olivine, silicate melt, and sulfide melt","volume":"61","author":[{"family":"Gaetani","given":"Glenn A."},{"family":"Grove","given":"Timothy L."}],"issued":{"date-parts":[["1997",5]]}},"suppress-author":true}],"schema":"https://github.com/citation-style-language/schema/raw/master/csl-citation.json"} </w:instrText>
      </w:r>
      <w:r w:rsidR="00E1324F">
        <w:fldChar w:fldCharType="separate"/>
      </w:r>
      <w:r w:rsidR="00636367">
        <w:t>(1997)</w:t>
      </w:r>
      <w:r w:rsidR="00E1324F">
        <w:fldChar w:fldCharType="end"/>
      </w:r>
      <w:r w:rsidR="00E1324F">
        <w:t xml:space="preserve">; </w:t>
      </w:r>
      <w:r w:rsidR="00D47845">
        <w:t xml:space="preserve">Hauri et al. </w:t>
      </w:r>
      <w:r w:rsidR="00D47845">
        <w:fldChar w:fldCharType="begin"/>
      </w:r>
      <w:r w:rsidR="008E0CCC">
        <w:instrText xml:space="preserve"> ADDIN ZOTERO_ITEM CSL_CITATION {"citationID":"1l6mSExb","properties":{"formattedCitation":"(2006)","plainCitation":"(2006)","noteIndex":0},"citationItems":[{"id":3012,"uris":["http://zotero.org/users/88665/items/K2QTACZA"],"uri":["http://zotero.org/users/88665/items/K2QTACZA"],"itemData":{"id":3012,"type":"article-journal","abstract":"We present the results of an experimental study of the partitioning of water between common upper mantle minerals (olivine, orthopyroxene, clinopyroxene, garnet) and silicate melt, consisting of 352 measurements in 23 hydrous melting experiments conducted over a broad range of melt water contents (1.7–25 wt.% H2O) at upper mantle conditions (1–4 GPa; 1000–1380 °C). Our data show that, at water-undersaturated conditions, incorporation of H2O into olivine and pyroxenes is accomplished through two independent mechanisms: a coupled substitution in which H+ and Al3+ replace Si4+ in the mineral structure, and the substitution of 2H+ for Mg2+ previously identified in minerals hydrated at water-saturated conditions. At upper mantle temperatures and pressures &amp;lt; 2 GPa, these two substitution mechanisms appear to contribute approximately equal amounts of water to olivine; at higher pressures, the fugacity-dependent 2H+–Mg2+ substitution dominates. For orthopyroxene, coupled substitution of H+ and tetrahedral Al3+ dominates over the 2H+–Mg2+ substitution at pressures &amp;lt; 8 GPa, while the Al-coupled substitution dominates in clinopyroxene at all pressures.\n\nOur data permit a new evaluation of the maximum storage capacity of water in nominally anhydrous upper mantle peridotite and eclogite. The water storage capacity of peridotite increases gradually with pressure to a maximum of 0.6 wt.% H2O at 410 km depth; the storage capacity of eclogite is 0.4 to 0.5 wt.% H2O from 2–5 GPa, dropping gradually to </w:instrText>
      </w:r>
      <w:r w:rsidR="008E0CCC">
        <w:rPr>
          <w:rFonts w:ascii="Cambria Math" w:hAnsi="Cambria Math" w:cs="Cambria Math"/>
        </w:rPr>
        <w:instrText>∼</w:instrText>
      </w:r>
      <w:r w:rsidR="008E0CCC">
        <w:instrText xml:space="preserve">0.2 wt.% just above the transition zone as majorite is formed at the expense of pyroxene. We show that the water abundances inferred for mid-ocean ridge and hotspot magma sources are not consistent with the composition of water-rich mantle residues emerging from a hydrous melt layer at the top of the transition zone. Regional variations observed in the H2O–LREE systematics of oceanic basalts can result from derivation of these magmas from depleted mantle sources having polybaric melting histories, with high-H2O/Ce sources being residues of shallow (garnet-absent) melting, and low-H2O/Ce sources being the residues of deep melting in the stability field of garnet lherzolite.","container-title":"Earth and Planetary Science Letters","DOI":"10.1016/j.epsl.2006.06.014","ISSN":"0012-821X","issue":"3–4","journalAbbreviation":"Earth and Planetary Science Letters","note":"00000","page":"715-734","source":"ScienceDirect","title":"Partitioning of water during melting of the Earth's upper mantle at H&lt;sub&gt;2&lt;/sub&gt;O-undersaturated conditions","volume":"248","author":[{"family":"Hauri","given":"Erik H."},{"family":"Gaetani","given":"Glenn A."},{"family":"Green","given":"Trevor H."}],"issued":{"date-parts":[["2006",8,30]]}},"suppress-author":true}],"schema":"https://github.com/citation-style-language/schema/raw/master/csl-citation.json"} </w:instrText>
      </w:r>
      <w:r w:rsidR="00D47845">
        <w:fldChar w:fldCharType="separate"/>
      </w:r>
      <w:r w:rsidR="00636367">
        <w:t>(2006)</w:t>
      </w:r>
      <w:r w:rsidR="00D47845">
        <w:fldChar w:fldCharType="end"/>
      </w:r>
      <w:r w:rsidR="00D47845">
        <w:t xml:space="preserve">; </w:t>
      </w:r>
      <w:r w:rsidR="008B7B9C">
        <w:t xml:space="preserve">Hui et al. </w:t>
      </w:r>
      <w:r w:rsidR="008B7B9C">
        <w:fldChar w:fldCharType="begin"/>
      </w:r>
      <w:r w:rsidR="008E0CCC">
        <w:instrText xml:space="preserve"> ADDIN ZOTERO_ITEM CSL_CITATION {"citationID":"pItVWOji","properties":{"formattedCitation":"(2015)","plainCitation":"(2015)","noteIndex":0},"citationItems":[{"id":3689,"uris":["http://zotero.org/users/88665/items/ZNPYPLHA"],"uri":["http://zotero.org/users/88665/items/ZNPYPLHA"],"itemData":{"id":3689,"type":"article-journal","abstract":"Water and other trace element concentrations in olivine (1–39 ppm H2O), orthopyroxene (10–150 ppm H2O), and clinopyroxene (16–340 ppm H2O) of mantle xenoliths from the Labait volcano, located on the edge of the Tanzanian craton along the eastern branch of the East African Rift, record melting and subsequent refertilization by plume magmas in a stratified lithosphere. These water contents are at the lower end of the range observed in other cratonic mantle lithospheres. Despite correlations between water content and indices of melting in orthopyroxene from the shallow peridotites, and in both olivine and orthopyroxene from the deep peridotites, water concentrations are too high for the peridotites to be simple residues. Instead, the Labait water contents are best explained as reflecting interaction between residual peridotite with a melt having relatively low water content (&lt;1 wt.% H2O). Plume-derived melts are the likely source of water and other trace element enrichments in the Labait peridotites. Only garnet may have undergone addition of water from the host magma as evidenced by water content increasing toward the kelyphite rim in one otherwise homogeneous garnet. Based on modeling of the diffusion profile, magma ascent occurred at 4–28 m/s. In summary, plume-craton interaction appears to result in only moderate water enrichment of the lithosphere.","container-title":"Geochemistry, Geophysics, Geosystems","DOI":"10.1002/2015GC005779","ISSN":"1525-2027","issue":"6","journalAbbreviation":"Geochemistry, Geophysics, Geosystems","language":"en","page":"1687-1710","source":"Wiley Online Library","title":"Plume-cratonic lithosphere interaction recorded by water and other trace elements in peridotite xenoliths from the Labait volcano, Tanzania","volume":"16","author":[{"family":"Hui","given":"Hejiu"},{"family":"Peslier","given":"Anne H."},{"family":"Rudnick","given":"Roberta L."},{"family":"Simonetti","given":"Antonio"},{"family":"Neal","given":"Clive R."}],"issued":{"date-parts":[["2015",6,1]]}},"suppress-author":true}],"schema":"https://github.com/citation-style-language/schema/raw/master/csl-citation.json"} </w:instrText>
      </w:r>
      <w:r w:rsidR="008B7B9C">
        <w:fldChar w:fldCharType="separate"/>
      </w:r>
      <w:r w:rsidR="00636367">
        <w:t>(2015)</w:t>
      </w:r>
      <w:r w:rsidR="008B7B9C">
        <w:fldChar w:fldCharType="end"/>
      </w:r>
      <w:r w:rsidR="008B7B9C">
        <w:t xml:space="preserve"> </w:t>
      </w:r>
      <w:r w:rsidR="00D47845">
        <w:t xml:space="preserve">Lazarov et al. </w:t>
      </w:r>
      <w:r w:rsidR="00D47845">
        <w:fldChar w:fldCharType="begin"/>
      </w:r>
      <w:r w:rsidR="008E0CCC">
        <w:instrText xml:space="preserve"> ADDIN ZOTERO_ITEM CSL_CITATION {"citationID":"xXOGLE9Y","properties":{"formattedCitation":"(2009)","plainCitation":"(2009)","noteIndex":0},"citationItems":[{"id":2422,"uris":["http://zotero.org/users/88665/items/4IZXKFFT"],"uri":["http://zotero.org/users/88665/items/4IZXKFFT"],"itemData":{"id":2422,"type":"article-journal","abstract":"A total of 28 peridotite xenoliths from the Finsch mine, South Africa, have been studied to assess the geotherm and redox conditions at depth in the subcontinental lithospheric mantle. Most samples reveal internal mineral equilibrium i.e. they reflect the physical conditions of the mantle at the time of kimberlite eruption, 118 Ma ago. Pressures and temperatures range from 4.4 to 6.5 GPa and 1050 to 1250 °C and plot along a conductive continental geotherm between 40 and 41 mW/m2. Shallow, coarse-grained peridotites from younger southern African localities (Kimberley pool, Jagersfontein, Lesotho) centre around a 42 mW/m2 geotherm and their deep seated, sheared xenoliths plot up to 200 °C above a 42 mW/m2 geotherm for a given pressure. This reflects heating and local perturbation of the thermal gradient of these mantle regions.\n\nThe ƒO2 values of 15 samples from Finsch range from FMQ − 2.5 to FMQ − 4.7. There is a steady decrease in ƒO2 of about − 1.0 log unit per GPa with depth with the deepest sample lying ~ 0.5 log units above the Fe–wüstite (IW) oxygen buffer. Under these conditions, the composition of a possible coexisting C–O–H fluid phase would be a mixture of CH4 and H2O in almost equal proportions. Other deep samples reported in the literature were all high-temperature sheared peridotites and record somewhat higher ƒO2 values at similar depths, like that observed for five metasomatized peridotites from Finsch.","container-title":"Lithos","DOI":"10.1016/j.lithos.2009.03.035","ISSN":"0024-4937","journalAbbreviation":"Lithos","note":"00058","page":"913-923","source":"ScienceDirect","title":"Thermal state and redox conditions of the Kaapvaal mantle: A study of xenoliths from the Finsch mine, South Africa","title-short":"Thermal state and redox conditions of the Kaapvaal mantle","volume":"112","author":[{"family":"Lazarov","given":"Marina"},{"family":"Woodland","given":"Alan B."},{"family":"Brey","given":"Gerhard P."}],"issued":{"date-parts":[["2009",11]]}},"suppress-author":true}],"schema":"https://github.com/citation-style-language/schema/raw/master/csl-citation.json"} </w:instrText>
      </w:r>
      <w:r w:rsidR="00D47845">
        <w:fldChar w:fldCharType="separate"/>
      </w:r>
      <w:r w:rsidR="00636367">
        <w:t>(2009)</w:t>
      </w:r>
      <w:r w:rsidR="00D47845">
        <w:fldChar w:fldCharType="end"/>
      </w:r>
      <w:r w:rsidR="00D47845">
        <w:t xml:space="preserve">; </w:t>
      </w:r>
      <w:r w:rsidR="008B7B9C">
        <w:t xml:space="preserve">Lee &amp; Rudnick </w:t>
      </w:r>
      <w:r w:rsidR="008B7B9C">
        <w:fldChar w:fldCharType="begin"/>
      </w:r>
      <w:r w:rsidR="008E0CCC">
        <w:instrText xml:space="preserve"> ADDIN ZOTERO_ITEM CSL_CITATION {"citationID":"SG8waPHd","properties":{"formattedCitation":"(1999)","plainCitation":"(1999)","noteIndex":0},"citationItems":[{"id":201,"uris":["http://zotero.org/users/88665/items/FH7MJSBQ"],"uri":["http://zotero.org/users/88665/items/FH7MJSBQ"],"itemData":{"id":201,"type":"chapter","container-title":"Gurney, J. J., Gurney, J. L., Pascoe, M. D. &amp; Richardson, S. H. (eds) Proceedings Volume of 7th International Kimberlite Conference, Cape Town","event-place":"Cape Town","page":"503-521","publisher-place":"Cape Town","title":"Compositionally stratified cratonic lithosphere: Petrology and geochemistry of peridotite xenoliths from the Labait tuff cone, Tanzania","author":[{"family":"Lee","given":"Cin-Ty"},{"family":"Rudnick","given":"R.L."}],"issued":{"date-parts":[["1999"]]}},"suppress-author":true}],"schema":"https://github.com/citation-style-language/schema/raw/master/csl-citation.json"} </w:instrText>
      </w:r>
      <w:r w:rsidR="008B7B9C">
        <w:fldChar w:fldCharType="separate"/>
      </w:r>
      <w:r w:rsidR="00636367">
        <w:t>(1999)</w:t>
      </w:r>
      <w:r w:rsidR="008B7B9C">
        <w:fldChar w:fldCharType="end"/>
      </w:r>
      <w:r w:rsidR="008B7B9C">
        <w:t xml:space="preserve">; Peslier et al. </w:t>
      </w:r>
      <w:r w:rsidR="008B7B9C">
        <w:fldChar w:fldCharType="begin"/>
      </w:r>
      <w:r w:rsidR="008E0CCC">
        <w:instrText xml:space="preserve"> ADDIN ZOTERO_ITEM CSL_CITATION {"citationID":"mXc7Hlbf","properties":{"formattedCitation":"(2012)","plainCitation":"(2012)","noteIndex":0},"citationItems":[{"id":1658,"uris":["http://zotero.org/users/88665/items/96ANCCAX"],"uri":["http://zotero.org/users/88665/items/96ANCCAX"],"itemData":{"id":1658,"type":"article-journal","abstract":"Water and trace element contents were measured by FTIR and laser ablation-ICPMS on minerals from peridotite xenoliths in kimberlites of the Kaapvaal craton from Finsch, Kimberley, Jagersfontein (South Africa), Letseng-La-Terae, and Liqhobong (Lesotho) mines. The peridotites record a wide range of pressure, temperature, oxygen fugacity, and metasomatic events. Correlations between water content or OH vibration bands with major, minor and trace elements in pyroxene and garnet precludes disturbance during xenolith entrainment by the host kimberlite magma and indicate preservation of mantle water contents. Clinopyroxene water contents (150–400 ppm H2O, by weight) correlate with those of orthopyroxene (40–250 ppm). Olivines (Peslier et al., 2008, 2010) and garnets have 0–86 and 0–20 ppm H2O, respectively. Relations in individual xenolith suites between the amount of water and that of incompatible elements Ti, Na, Fe3+ and rare earths in minerals suggests that metasomatism by oxidizing melts controls the water content of olivine, pyroxene and garnet. At pressures </w:instrText>
      </w:r>
      <w:r w:rsidR="008E0CCC">
        <w:rPr>
          <w:rFonts w:ascii="Cambria Math" w:hAnsi="Cambria Math" w:cs="Cambria Math"/>
        </w:rPr>
        <w:instrText>⩽</w:instrText>
      </w:r>
      <w:r w:rsidR="008E0CCC">
        <w:instrText xml:space="preserve">5.5 GPa, hydrous, alkaline, siliceous fluids or melts metasomatized Liqhobong and Kimberley peridotites, producing high water contents in their olivine, pyroxenes and garnet. At higher pressures, the percolation of ultramafic melts reacting with peridotite resulted in co-variation of Ca, Ti and water at the edge of garnets at Jagersfontein, and the overall crystallization of garnet with lower water contents than those in the original peridotites. The upward migration of these ultramafic melts through the lithospheric mantle also increased the water content of olivines with decreasing pressure at Finsch Mine. H2O/Ce ratios of melts in equilibrium with Kaapvaal peridotites range from 100 to 20,000 and the larger values may indicate metasomatism in subduction zone settings. Metasomatic events in Kaapvaal peridotites are thought to have occurred from the Archean to the Mesozoic. However, circumstantial evidence suggest that the metasomatic events responsible for setting the water contents may date from the Archean at Kimberley and from the Proterozoic at Jagersfontein. Combined water with Lu–Hf and Sm–Nd isotopic data at Finsch (Lazarov et al., in press-a) and with Ar–Ar phlogopite ages at Liqhobong (Hopp et al., 2008) indicates that water addition by metasomatic melts occurred in the Proterozoic. Water contents of mantle minerals in Kaapvaal xenoliths measured here have been preserved since that time and can consequently be used in modelling viscosity and longevity of cratonic roots since at least the mid-Proterozoic.","container-title":"Geochimica et Cosmochimica Acta","DOI":"10.1016/j.gca.2012.08.028","ISSN":"0016-7037","issue":"0","journalAbbreviation":"Geochimica et Cosmochimica Acta","page":"213-246","source":"ScienceDirect","title":"Metasomatic control of water contents in the Kaapvaal cratonic mantle","volume":"97","author":[{"family":"Peslier","given":"A.H."},{"family":"Woodland","given":"A.B."},{"family":"Bell","given":"D.R."},{"family":"Lazarov","given":"M."},{"family":"Lapen","given":"T.J."}],"issued":{"date-parts":[["2012",11,15]]}},"suppress-author":true}],"schema":"https://github.com/citation-style-language/schema/raw/master/csl-citation.json"} </w:instrText>
      </w:r>
      <w:r w:rsidR="008B7B9C">
        <w:fldChar w:fldCharType="separate"/>
      </w:r>
      <w:r w:rsidR="00636367">
        <w:t>(2012)</w:t>
      </w:r>
      <w:r w:rsidR="008B7B9C">
        <w:fldChar w:fldCharType="end"/>
      </w:r>
      <w:r w:rsidR="008B7B9C">
        <w:t xml:space="preserve">; Grant et al. </w:t>
      </w:r>
      <w:r w:rsidR="008B7B9C">
        <w:fldChar w:fldCharType="begin"/>
      </w:r>
      <w:r w:rsidR="008E0CCC">
        <w:instrText xml:space="preserve"> ADDIN ZOTERO_ITEM CSL_CITATION {"citationID":"nLxuffzZ","properties":{"formattedCitation":"(2007)","plainCitation":"(2007)","noteIndex":0},"citationItems":[{"id":3720,"uris":["http://zotero.org/users/88665/items/BMAJKPQ9"],"uri":["http://zotero.org/users/88665/items/BMAJKPQ9"],"itemData":{"id":3720,"type":"article-journal","abstract":"The speciation and amount of water dissolved in nominally anhydrous silicates comprising eight different mantle xenoliths has been quantified using synchrotron micro-FTIR spectroscopy. Samples studied are from six geographic localities and represent a cross-section of the major upper mantle lithologies from a variety of tectonic settings. Clinopyroxene contains between 342 and 413 ppm H2O. Orthopyroxene, olivine and garnet contain 169–201, 3–54 and 0 to &lt;3 ppm H2O, respectively. Pyroxenes water contents and the distribution of water between ortho- and clinopyroxene is identical regardless of sample mineralogy (D water cpx/opx = 2.1 ± 0.1). The total water contents of each xenolith are remarkably similar (113 ± 14 ppm H2O). High-resolution spectroscopic traverses show that the concentration and speciation of hydrous defects dissolved in each phase are spatially homogeneous within individual crystals and identical in different crystals interspersed throughout the xenolith. These results suggest that the amount of water dissolved in the silicate phases is in partial equilibrium with the transporting melt. Other features indicate that xenoliths have also preserved OH signatures of equilibrium with the mantle source region: Hydroxyl stretching modes in clinopyroxene show that garnet lherzolites re-equilibrated under more reducing conditions than spinel lherzolites. The distribution of water between pyroxenes and olivine differs according to xenolith mineralogy. The distribution of water between clinopyroxene and olivine from garnet peridotites (D water cpx/oliv (gnt) = 22.2 ± 24.1) is a factor of four greater than mineral pairs from spinel-bearing xenoliths (D water cpx/oliv (sp) = 88.1 ± 47.8). Such an increase in olivine water contents at the spinel to garnet transition is likely a global phenomenon and this discontinuity could lead to a reduction of the upper mantle viscosity by 0.2–0.7 log units and a reduction of its electrical resistivity by a factor of 0.5–0.8 log units.","container-title":"Contributions to Mineralogy and Petrology","DOI":"10.1007/s00410-006-0177-1","ISSN":"0010-7999, 1432-0967","issue":"1","journalAbbreviation":"Contributions to Mineralogy and Petrology","language":"en","page":"15-34","source":"link.springer.com","title":"Water partitioning between mantle minerals from peridotite xenoliths","volume":"154","author":[{"family":"Grant","given":"Kevin"},{"family":"Ingrin","given":"Jannick"},{"family":"Lorand","given":"Jean Pierre"},{"family":"Dumas","given":"Paul"}],"issued":{"date-parts":[["2007",7,1]]}},"suppress-author":true}],"schema":"https://github.com/citation-style-language/schema/raw/master/csl-citation.json"} </w:instrText>
      </w:r>
      <w:r w:rsidR="008B7B9C">
        <w:fldChar w:fldCharType="separate"/>
      </w:r>
      <w:r w:rsidR="00636367">
        <w:t>(2007)</w:t>
      </w:r>
      <w:r w:rsidR="008B7B9C">
        <w:fldChar w:fldCharType="end"/>
      </w:r>
      <w:r w:rsidR="008B7B9C">
        <w:t xml:space="preserve">; </w:t>
      </w:r>
      <w:r w:rsidR="00D47845">
        <w:t xml:space="preserve">Witt-Eickschen &amp; O’Neill </w:t>
      </w:r>
      <w:r w:rsidR="00D47845">
        <w:fldChar w:fldCharType="begin"/>
      </w:r>
      <w:r w:rsidR="008E0CCC">
        <w:instrText xml:space="preserve"> ADDIN ZOTERO_ITEM CSL_CITATION {"citationID":"BBte1SfB","properties":{"formattedCitation":"(2005)","plainCitation":"(2005)","noteIndex":0},"citationItems":[{"id":4013,"uris":["http://zotero.org/users/88665/items/RZ4BZ582"],"uri":["http://zotero.org/users/88665/items/RZ4BZ582"],"itemData":{"id":4013,"type":"article-journal","abstract":"The abundance of 30 trace elements has been determined in the minerals of 16 well-equilibrated spinel lherzolite xenoliths by laser-ablation inductively-coupled-plasma mass-spectrometry (LA-ICP-MS). Major elements were analysed by electron microprobe. The xenoliths span a range of equilibration temperatures from 1150 to 1500 K (calculated at an assumed pressure of 1.5 GPa from two-pyroxene geothermometry), allowing the trace-element partitioning relationships among the phases (olivine, orthopyroxene, clinopyroxene, spinel, and in some lower temperature xenoliths, amphibole) to be quantified as a function of temperature. Most elements show smooth partitioning trends among all phases that depend primarily on temperature but with some influences from bulk composition, particularly the amount of Na in clinopyroxene. Although most incompatible trace elements are concentrated into clinopyroxene, the effect of increasing temperature is to redistribute these elements into orthopyroxene and even olivine, such that these latter phases hold non-negligible proportions of many trace elements at the temperature at which peridotite would be in equilibrium with basaltic melts. The inter-crystalline trace-element partition coefficients reported in this study can be used to reconstruct the trace-element abundances in clinopyroxene at melting temperatures, and should also prove useful in elucidating the histories of more complex mantle peridotites with unequilibrated mineral compositions and textures.","container-title":"Chemical Geology","DOI":"10.1016/j.chemgeo.2005.04.005","ISSN":"0009-2541","issue":"1","journalAbbreviation":"Chemical Geology","page":"65-101","source":"ScienceDirect","title":"The effect of temperature on the equilibrium distribution of trace elements between clinopyroxene, orthopyroxene, olivine and spinel in upper mantle peridotite","volume":"221","author":[{"family":"Witt-Eickschen","given":"Gudrun"},{"family":"O'Neill","given":"Hugh St. C."}],"issued":{"date-parts":[["2005",9,5]]}},"suppress-author":true}],"schema":"https://github.com/citation-style-language/schema/raw/master/csl-citation.json"} </w:instrText>
      </w:r>
      <w:r w:rsidR="00D47845">
        <w:fldChar w:fldCharType="separate"/>
      </w:r>
      <w:r w:rsidR="00636367">
        <w:t>(2005)</w:t>
      </w:r>
      <w:r w:rsidR="00D47845">
        <w:fldChar w:fldCharType="end"/>
      </w:r>
      <w:r w:rsidR="00D47845">
        <w:t>.</w:t>
      </w:r>
    </w:p>
    <w:p w14:paraId="36C1CBEE" w14:textId="77777777" w:rsidR="00242650" w:rsidRDefault="00242650" w:rsidP="00C20C0B">
      <w:pPr>
        <w:spacing w:line="480" w:lineRule="auto"/>
        <w:jc w:val="both"/>
      </w:pPr>
    </w:p>
    <w:p w14:paraId="54C21DEF" w14:textId="421A0B48" w:rsidR="003342E4" w:rsidRDefault="0049567C" w:rsidP="00640147">
      <w:pPr>
        <w:spacing w:line="480" w:lineRule="auto"/>
        <w:jc w:val="both"/>
      </w:pPr>
      <w:r>
        <w:t xml:space="preserve">Figure </w:t>
      </w:r>
      <w:r w:rsidR="00270819">
        <w:t>6</w:t>
      </w:r>
      <w:r w:rsidR="009C76A4">
        <w:t xml:space="preserve">. Variations </w:t>
      </w:r>
      <w:r w:rsidR="00C11483">
        <w:t>in H</w:t>
      </w:r>
      <w:r w:rsidR="00C11483" w:rsidRPr="009D37AD">
        <w:rPr>
          <w:vertAlign w:val="subscript"/>
        </w:rPr>
        <w:t>2</w:t>
      </w:r>
      <w:r w:rsidR="00C11483">
        <w:t>O contents of</w:t>
      </w:r>
      <w:r w:rsidR="001F0D4B">
        <w:t xml:space="preserve"> </w:t>
      </w:r>
      <w:r w:rsidR="009C76A4">
        <w:t>mantle clinopyroxenes.</w:t>
      </w:r>
      <w:r w:rsidR="00853129">
        <w:t xml:space="preserve"> </w:t>
      </w:r>
      <w:r w:rsidR="00C11483" w:rsidRPr="009D37AD">
        <w:t xml:space="preserve">Plot (a) </w:t>
      </w:r>
      <w:r w:rsidR="00C11483">
        <w:t xml:space="preserve">shows the calculated H contents of mantle clinopyroxenes based on the compositions of infiltrating metasomatic melts (Kjarsgaard et al., 2009; Dixon et al., 1997) and experimentally-determined clinopyroxene-melt partition coefficients. </w:t>
      </w:r>
      <w:r w:rsidR="00640147">
        <w:t>In the spinel peridotite region (up to 2.8 GPa), the paramterization is given by: Al</w:t>
      </w:r>
      <w:r w:rsidR="00640147" w:rsidRPr="00AA3EF8">
        <w:rPr>
          <w:vertAlign w:val="subscript"/>
        </w:rPr>
        <w:t>2</w:t>
      </w:r>
      <w:r w:rsidR="00640147">
        <w:t>O</w:t>
      </w:r>
      <w:r w:rsidR="00640147" w:rsidRPr="00AA3EF8">
        <w:rPr>
          <w:vertAlign w:val="subscript"/>
        </w:rPr>
        <w:t>3</w:t>
      </w:r>
      <w:r w:rsidR="00640147">
        <w:t>pyx=1.0874*P2−1.28852P+3.138, where P is in GPa. In the garnet peridotite region (above 2.8 GPa), the parameterization is: Al</w:t>
      </w:r>
      <w:r w:rsidR="00640147" w:rsidRPr="00E52ABE">
        <w:rPr>
          <w:vertAlign w:val="subscript"/>
        </w:rPr>
        <w:t>2</w:t>
      </w:r>
      <w:r w:rsidR="00640147">
        <w:t>O</w:t>
      </w:r>
      <w:r w:rsidR="00640147" w:rsidRPr="00E52ABE">
        <w:rPr>
          <w:vertAlign w:val="subscript"/>
        </w:rPr>
        <w:t>3</w:t>
      </w:r>
      <w:r w:rsidR="00640147" w:rsidRPr="00AA3EF8">
        <w:rPr>
          <w:vertAlign w:val="subscript"/>
        </w:rPr>
        <w:t>pyx</w:t>
      </w:r>
      <w:r w:rsidR="00640147">
        <w:t>=34.409exp(−0.66435*(</w:t>
      </w:r>
      <w:r w:rsidR="00640147" w:rsidRPr="00AA3EF8">
        <w:rPr>
          <w:i/>
        </w:rPr>
        <w:t>P</w:t>
      </w:r>
      <w:r w:rsidR="00640147">
        <w:t>−0.5619))+0.3200</w:t>
      </w:r>
      <w:r w:rsidR="00860787" w:rsidRPr="00E52ABE">
        <w:rPr>
          <w:i/>
        </w:rPr>
        <w:t>P</w:t>
      </w:r>
      <w:r w:rsidR="00640147">
        <w:t xml:space="preserve"> </w:t>
      </w:r>
      <w:r w:rsidR="00640147">
        <w:fldChar w:fldCharType="begin"/>
      </w:r>
      <w:r w:rsidR="00640147">
        <w:instrText xml:space="preserve"> ADDIN ZOTERO_ITEM CSL_CITATION {"citationID":"v16PjYf3","properties":{"formattedCitation":"(Tenner et al., 2009)","plainCitation":"(Tenner et al., 2009)","noteIndex":0},"citationItems":[{"id":3408,"uris":["http://zotero.org/users/88665/items/AHF2RTV3"],"uri":["http://zotero.org/users/88665/items/AHF2RTV3"],"itemData":{"id":3408,"type":"article-journal","abstract":"To extend our knowledge of partitioning of hydrogen between nominally anhydrous mantle minerals and basaltic melts to higher pressures, we conducted 8 experiments at 3–5 GPa and 1350–1440 °C on a modified mid-ocean ridge basalt (MORB) + 2 wt.% H2O. H contents in olivine, orthopyroxene, clinopyroxene, and garnet were measured by counting 16O1H ions with low-blank SIMS, and total H2O concentrations in coexisting glasses were measured by FTIR, SIMS, and electron microprobe. The glasses have water contents ranging from 4.1 to 8.9 wt.%. Eleven measured pyroxenes have H2O concentrations ranging from 430 to 1430 ppm, two garnets have concentrations of 73 and 260 ppm, and one olivine has a concentration of 29 ppm. Mineral/melt hydrogen partition coefficients are as follows: DHcpx/melt ranges from 0.014–0.021, DHopx/melt ranges from 0.009–0.019, DHgt/melt ranges from 0.001–0.0033, and DHol/melt has a value of 0.0006. Mineral/mineral hydrogen partitioning data are as follows: DHcpx/opxranges from 1.2–2, DHcpx/gt has values of 5.5 and 14, and a single DHcpx/ol has a value of 27. DHpyx/melt correlates with the concentration of Al2O3 in pyroxene and with the concentration of Al on tetrahedral sites. Combining the mineral/melt hydrogen partitioning data from this study, and estimates of mineral modes and compositions along the solidus, we estimate that DHperid/melt increases from 0.006 at 1 GPa up to 0.01 near the garnet lherzolite/spinel lherzolite transition, owing to the maximum in Al2O3 concentration in pyroxenes. With increasing pressure DHperid/melt for garnet lherzolite diminishes to 0.005 at 5 GPa, as pyroxenes become less aluminous and less abundant. As a result, incipient hydrous melts beneath oceanic ridges with bulk mantle H2O contents of 50–200 ppm will have solidus partial melts with H2O contents between 0.5 and 3.8 wt.%, while oceanic island mantle with 300–1000 ppm will have solidus partial melts with H2O content between 3 and 20 wt.%.","container-title":"Volatiles and Volatile-Bearing Melts in the Earth's Interior","DOI":"10.1016/j.chemgeo.2008.12.006","ISSN":"0009-2541","issue":"1–2","journalAbbreviation":"Chemical Geology","note":"00105","page":"42-56","title":"Hydrogen partitioning between nominally anhydrous upper mantle minerals and melt between 3 and 5 GPa and applications to hydrous peridotite partial melting","volume":"262","author":[{"family":"Tenner","given":"Travis J."},{"family":"Hirschmann","given":"Marc M."},{"family":"Withers","given":"Anthony C."},{"family":"Hervig","given":"Richard L."}],"issued":{"date-parts":[["2009",5,15]]}}}],"schema":"https://github.com/citation-style-language/schema/raw/master/csl-citation.json"} </w:instrText>
      </w:r>
      <w:r w:rsidR="00640147">
        <w:fldChar w:fldCharType="separate"/>
      </w:r>
      <w:r w:rsidR="00640147" w:rsidRPr="00640147">
        <w:t>(Tenner et al., 2009)</w:t>
      </w:r>
      <w:r w:rsidR="00640147">
        <w:fldChar w:fldCharType="end"/>
      </w:r>
      <w:r w:rsidR="00640147">
        <w:t xml:space="preserve">. </w:t>
      </w:r>
      <w:r w:rsidR="00640147" w:rsidRPr="00640147">
        <w:t>D values for H</w:t>
      </w:r>
      <w:r w:rsidR="00640147" w:rsidRPr="00AA3EF8">
        <w:rPr>
          <w:vertAlign w:val="subscript"/>
        </w:rPr>
        <w:t>2</w:t>
      </w:r>
      <w:r w:rsidR="00640147" w:rsidRPr="00640147">
        <w:t xml:space="preserve">O </w:t>
      </w:r>
      <w:r w:rsidR="00640147" w:rsidRPr="00640147">
        <w:lastRenderedPageBreak/>
        <w:t xml:space="preserve">in clinopyroxene are </w:t>
      </w:r>
      <w:r w:rsidR="00640147">
        <w:t xml:space="preserve">calculated </w:t>
      </w:r>
      <w:r w:rsidR="00640147" w:rsidRPr="00640147">
        <w:t xml:space="preserve">from the </w:t>
      </w:r>
      <w:r w:rsidR="00640147">
        <w:t>parameterisation</w:t>
      </w:r>
      <w:r w:rsidR="00640147" w:rsidRPr="00640147">
        <w:t xml:space="preserve"> of Novella et al</w:t>
      </w:r>
      <w:r w:rsidR="00860787">
        <w:t xml:space="preserve">. </w:t>
      </w:r>
      <w:r w:rsidR="00860787">
        <w:fldChar w:fldCharType="begin"/>
      </w:r>
      <w:r w:rsidR="00860787">
        <w:instrText xml:space="preserve"> ADDIN ZOTERO_ITEM CSL_CITATION {"citationID":"4tscMZnf","properties":{"formattedCitation":"(2014)","plainCitation":"(2014)","noteIndex":0},"citationItems":[{"id":3068,"uris":["http://zotero.org/users/88665/items/XGMGHXVG"],"uri":["http://zotero.org/users/88665/items/XGMGHXVG"],"itemData":{"id":3068,"type":"article-journal","abstract":"The partitioning of H2O between a mantle peridotite assemblage and low degree hydrous melt has been investigated at 6 GPa (corresponding to </w:instrText>
      </w:r>
      <w:r w:rsidR="00860787">
        <w:rPr>
          <w:rFonts w:ascii="Cambria Math" w:hAnsi="Cambria Math" w:cs="Cambria Math"/>
        </w:rPr>
        <w:instrText>∼</w:instrText>
      </w:r>
      <w:r w:rsidR="00860787">
        <w:instrText xml:space="preserve">180 km depth) at a temperature of 1400 °C. Peridotite mineral phases were analysed from 6 melting experiments performed in a natural chemical system. The experiments contained </w:instrText>
      </w:r>
      <w:r w:rsidR="00860787">
        <w:rPr>
          <w:rFonts w:ascii="Cambria Math" w:hAnsi="Cambria Math" w:cs="Cambria Math"/>
        </w:rPr>
        <w:instrText>∼</w:instrText>
      </w:r>
      <w:r w:rsidR="00860787">
        <w:instrText xml:space="preserve">80 wt% of a low degree hydrous melt that was obtained through a series of experiments where the melt composition was iteratively adjusted until saturation with the appropriate peridotite assemblage was achieved. The melt is fluid-undersaturated at the conditions of the experiment. Ion microprobe measurements of the mineral phases indicate olivine H2O concentrations of 434 ± 61 ppm wt and average clinopyroxene (cpx) concentrations of 1268 ± 173 ppm wt H2O. Orthopyroxene (opx) and garnet contain 700 ± 46 ppm wt and 347 ± 83 ppm wt H2O, respectively. The H2O content of the hydrous melts was determined by mass balance to be 11 ± 0.5 wt% H2O. H2O partition coefficients between minerals and melt ( D H 2 O min / melt = X H 2 O min / X H 2 O melt ) are 0.0040 ± 0.0006 for olivine, 0.0064 ± 0.0004 for opx, 0.0115 ± 0.0016 for cpx and 0.0032 ± 0.0008 for garnet.\n\nUsing the determined H2O partition coefficients the onset and extent of melting at conditions equivalent to 180 km below mid-ocean ridges was determined as a function of mantle H2O content. Current estimates for the H2O content of the depleted mantle (50–200 ppm wt H2O) are insufficient to induce mantle melting at this depth, which requires </w:instrText>
      </w:r>
      <w:r w:rsidR="00860787">
        <w:rPr>
          <w:rFonts w:ascii="Cambria Math" w:hAnsi="Cambria Math" w:cs="Cambria Math"/>
        </w:rPr>
        <w:instrText>∼</w:instrText>
      </w:r>
      <w:r w:rsidR="00860787">
        <w:instrText xml:space="preserve">700 ppm wt H2O to produce 0.1% melting and 1600 ppm wt H2O for 1% melting, along an adiabat with a potential temperature of 1327 °C. Melting can occur at these conditions within the mantle source of ocean island basalts, which are estimated to contain up to 900 ppm wt H2O. If adiabatic temperatures are 200 °C higher within such plume related sources, then melt fractions of over 1% can be reached at 180 km depth. In addition, a model for the distribution of H2O between peridotite mineral phases as a function of depth and at H2O-undersaturated conditions is constructed. The model indicates that for a fixed mantle composition containing 150 ppm wt H2O, the olivine H2O content will increase with depth solely due to changes in inter-phase partitioning and modal proportions of minerals. The change in the olivine H2O concentration with depth corresponds to proposed changes in the dominant olivine slip system for deformation by dislocation creep, that might provide an explanation for the reduction in seismic anisotropy observed at depths &amp;gt;200 km.","container-title":"Earth and Planetary Science Letters","DOI":"10.1016/j.epsl.2014.05.006","ISSN":"0012-821X","journalAbbreviation":"Earth and Planetary Science Letters","note":"00000","page":"1-13","source":"ScienceDirect","title":"The distribution of H2O between silicate melt and nominally anhydrous peridotite and the onset of hydrous melting in the deep upper mantle","volume":"400","author":[{"family":"Novella","given":"Davide"},{"family":"Frost","given":"Daniel J."},{"family":"Hauri","given":"Erik H."},{"family":"Bureau","given":"Helene"},{"family":"Raepsaet","given":"Caroline"},{"family":"Roberge","given":"Mathilde"}],"issued":{"date-parts":[["2014",8,15]]}},"suppress-author":true}],"schema":"https://github.com/citation-style-language/schema/raw/master/csl-citation.json"} </w:instrText>
      </w:r>
      <w:r w:rsidR="00860787">
        <w:fldChar w:fldCharType="separate"/>
      </w:r>
      <w:r w:rsidR="00860787" w:rsidRPr="00320CB3">
        <w:t>(2014)</w:t>
      </w:r>
      <w:r w:rsidR="00860787">
        <w:fldChar w:fldCharType="end"/>
      </w:r>
      <w:r w:rsidR="00640147">
        <w:t xml:space="preserve"> in which </w:t>
      </w:r>
      <m:oMath>
        <m:sSubSup>
          <m:sSubSupPr>
            <m:ctrlPr>
              <w:rPr>
                <w:rFonts w:ascii="Cambria Math" w:hAnsi="Cambria Math"/>
                <w:i/>
              </w:rPr>
            </m:ctrlPr>
          </m:sSubSupPr>
          <m:e>
            <m:r>
              <m:rPr>
                <m:nor/>
              </m:rPr>
              <w:rPr>
                <w:rFonts w:ascii="Cambria Math" w:hAnsi="Cambria Math"/>
                <w:i/>
              </w:rPr>
              <m:t>D</m:t>
            </m:r>
          </m:e>
          <m:sub>
            <m:r>
              <m:rPr>
                <m:nor/>
              </m:rPr>
              <w:rPr>
                <w:rFonts w:ascii="Cambria Math" w:hAnsi="Cambria Math"/>
                <w:i/>
              </w:rPr>
              <m:t>H</m:t>
            </m:r>
            <m:r>
              <m:rPr>
                <m:nor/>
              </m:rPr>
              <w:rPr>
                <w:rFonts w:ascii="Cambria Math" w:hAnsi="Cambria Math"/>
                <w:i/>
                <w:vertAlign w:val="subscript"/>
              </w:rPr>
              <m:t>2</m:t>
            </m:r>
            <m:r>
              <m:rPr>
                <m:nor/>
              </m:rPr>
              <w:rPr>
                <w:rFonts w:ascii="Cambria Math" w:hAnsi="Cambria Math"/>
                <w:i/>
              </w:rPr>
              <m:t>O</m:t>
            </m:r>
          </m:sub>
          <m:sup>
            <m:r>
              <m:rPr>
                <m:nor/>
              </m:rPr>
              <w:rPr>
                <w:rFonts w:ascii="Cambria Math" w:hAnsi="Cambria Math"/>
              </w:rPr>
              <m:t xml:space="preserve"> </m:t>
            </m:r>
            <m:r>
              <m:rPr>
                <m:nor/>
              </m:rPr>
              <w:rPr>
                <w:rFonts w:ascii="Cambria Math" w:hAnsi="Cambria Math"/>
                <w:i/>
              </w:rPr>
              <m:t>Cpx-melt</m:t>
            </m:r>
          </m:sup>
        </m:sSubSup>
      </m:oMath>
      <w:r w:rsidR="00640147" w:rsidRPr="00640147">
        <w:t>=0.0016</w:t>
      </w:r>
      <w:r w:rsidR="00860787">
        <w:t xml:space="preserve"> </w:t>
      </w:r>
      <w:r w:rsidR="00640147" w:rsidRPr="00640147">
        <w:t>*</w:t>
      </w:r>
      <w:r w:rsidR="00860787">
        <w:t xml:space="preserve"> Al</w:t>
      </w:r>
      <w:r w:rsidR="00860787" w:rsidRPr="00E52ABE">
        <w:rPr>
          <w:vertAlign w:val="subscript"/>
        </w:rPr>
        <w:t>2</w:t>
      </w:r>
      <w:r w:rsidR="00860787">
        <w:t>O</w:t>
      </w:r>
      <w:r w:rsidR="00860787" w:rsidRPr="00E52ABE">
        <w:rPr>
          <w:vertAlign w:val="subscript"/>
        </w:rPr>
        <w:t>3</w:t>
      </w:r>
      <w:r w:rsidR="00860787">
        <w:rPr>
          <w:vertAlign w:val="subscript"/>
        </w:rPr>
        <w:t xml:space="preserve"> </w:t>
      </w:r>
      <w:r w:rsidR="00860787">
        <w:t xml:space="preserve">(wt%) </w:t>
      </w:r>
      <w:r w:rsidR="00640147" w:rsidRPr="00640147">
        <w:t>+</w:t>
      </w:r>
      <w:r w:rsidR="00860787">
        <w:t xml:space="preserve"> </w:t>
      </w:r>
      <w:r w:rsidR="00640147" w:rsidRPr="00640147">
        <w:t>0.0078</w:t>
      </w:r>
      <w:r w:rsidR="00640147">
        <w:t xml:space="preserve">. </w:t>
      </w:r>
      <w:r w:rsidR="00C11483">
        <w:t>Note that it is the presence of garnet that causes the inflections in the calculated H</w:t>
      </w:r>
      <w:r w:rsidR="00C11483" w:rsidRPr="00457F2A">
        <w:rPr>
          <w:vertAlign w:val="subscript"/>
        </w:rPr>
        <w:t>2</w:t>
      </w:r>
      <w:r w:rsidR="00C11483">
        <w:t>O contents of mantle clinopyroxenes rather than pressure; th</w:t>
      </w:r>
      <w:r w:rsidR="005B407A">
        <w:t>is is because th</w:t>
      </w:r>
      <w:r w:rsidR="00C11483">
        <w:t xml:space="preserve">e pressure of the garnet-spinel transition zone </w:t>
      </w:r>
      <w:r w:rsidR="005B407A">
        <w:t xml:space="preserve">varies according to </w:t>
      </w:r>
      <w:r w:rsidR="000E0493" w:rsidRPr="000E0493">
        <w:t xml:space="preserve">the </w:t>
      </w:r>
      <w:r w:rsidR="005B407A">
        <w:t xml:space="preserve">bulk-rock </w:t>
      </w:r>
      <w:r w:rsidR="000E0493" w:rsidRPr="000E0493">
        <w:t xml:space="preserve">Cr/(Cr + Al) </w:t>
      </w:r>
      <w:r w:rsidR="005B407A">
        <w:t xml:space="preserve">ratio </w:t>
      </w:r>
      <w:r w:rsidR="006B736E">
        <w:fldChar w:fldCharType="begin"/>
      </w:r>
      <w:r w:rsidR="008E0CCC">
        <w:instrText xml:space="preserve"> ADDIN ZOTERO_ITEM CSL_CITATION {"citationID":"wSppSnZX","properties":{"formattedCitation":"(O\\uc0\\u8217{}Neill, 1981; Klemme et al., 2009)","plainCitation":"(O’Neill, 1981; Klemme et al., 2009)","noteIndex":0},"citationItems":[{"id":1637,"uris":["http://zotero.org/users/88665/items/AFIAH8C8"],"uri":["http://zotero.org/users/88665/items/AFIAH8C8"],"itemData":{"id":1637,"type":"article-journal","abstract":"The equilibrium between spinel lherzolite and garnet lherzolite has been experimentally determined in the CaO-MgO-Al 2 O 3 -SiO 2 system between 800° and 1,100° C. In confirmation of earlier work and predictions from thermodynamic data, it was found that the P-T slope of the reaction was close to zero, the equilibrium ranging from 16.1 kb at 800° C to 18.7 kb at 1,100° C (±0.3 kb).","container-title":"Contributions to Mineralogy and Petrology","DOI":"10.1007/BF00636522","ISSN":"0010-7999","issue":"2","page":"185-194","source":"SpringerLink","title":"The transition between spinel lherzolite and garnet lherzolite, and its use as a Geobarometer","volume":"77","author":[{"family":"O'Neill","given":"Hugh St. C."}],"issued":{"date-parts":[["1981"]]}}},{"id":1212,"uris":["http://zotero.org/users/88665/items/4QKSPKXP"],"uri":["http://zotero.org/users/88665/items/4QKSPKXP"],"itemData":{"id":1212,"type":"article-journal","container-title":"Lithos","DOI":"10.1016/j.lithos.2009.05.007","page":"986-991","title":"Thermodynamic modelling of Cr-bearing garnets with implications for diamond inclusions and peridotite xenoliths","volume":"112","author":[{"family":"Klemme","given":""},{"family":"Ivanic","given":"T J"},{"family":"Connolly","given":"J A D"},{"family":"Harte","given":"B."}],"issued":{"date-parts":[["2009"]]}}}],"schema":"https://github.com/citation-style-language/schema/raw/master/csl-citation.json"} </w:instrText>
      </w:r>
      <w:r w:rsidR="006B736E">
        <w:fldChar w:fldCharType="separate"/>
      </w:r>
      <w:r w:rsidR="006B736E" w:rsidRPr="006B736E">
        <w:t>(O’Neill, 1981; Klemme et al., 2009)</w:t>
      </w:r>
      <w:r w:rsidR="006B736E">
        <w:fldChar w:fldCharType="end"/>
      </w:r>
      <w:r w:rsidR="00C11483">
        <w:t xml:space="preserve">. </w:t>
      </w:r>
      <w:r w:rsidR="004216B2">
        <w:t xml:space="preserve">Superimposed on the </w:t>
      </w:r>
      <w:r w:rsidR="00BD4ECF">
        <w:t>metasomatism-influenced H</w:t>
      </w:r>
      <w:r w:rsidR="00BD4ECF" w:rsidRPr="009D37AD">
        <w:rPr>
          <w:vertAlign w:val="subscript"/>
        </w:rPr>
        <w:t>2</w:t>
      </w:r>
      <w:r w:rsidR="00BD4ECF">
        <w:t xml:space="preserve">O concentrations of mantle clinopyroxenes will be the effects sub-solidus-equilibration (see text for discussion). </w:t>
      </w:r>
      <w:r w:rsidR="00853129">
        <w:t xml:space="preserve">Plot </w:t>
      </w:r>
      <w:r w:rsidR="009C76A4">
        <w:t>(</w:t>
      </w:r>
      <w:r w:rsidR="00C11483">
        <w:t>b</w:t>
      </w:r>
      <w:r w:rsidR="009C76A4">
        <w:t xml:space="preserve">) </w:t>
      </w:r>
      <w:r w:rsidR="004038EC">
        <w:t xml:space="preserve">shows </w:t>
      </w:r>
      <w:r w:rsidR="009C76A4">
        <w:t xml:space="preserve">that broad correlations exist between </w:t>
      </w:r>
      <w:r w:rsidR="009C76A4" w:rsidRPr="009B315C">
        <w:rPr>
          <w:vertAlign w:val="superscript"/>
        </w:rPr>
        <w:t>[iv]</w:t>
      </w:r>
      <w:r w:rsidR="009C76A4">
        <w:t xml:space="preserve">Al </w:t>
      </w:r>
      <w:r w:rsidR="00235CEE">
        <w:t>(</w:t>
      </w:r>
      <w:r w:rsidR="00D54787">
        <w:t xml:space="preserve">atoms </w:t>
      </w:r>
      <w:r w:rsidR="00235CEE">
        <w:t xml:space="preserve">per formula unit) </w:t>
      </w:r>
      <w:r w:rsidR="009C76A4">
        <w:t xml:space="preserve">and H when </w:t>
      </w:r>
      <w:r w:rsidR="00C11483">
        <w:t>datasets of global mantle clino</w:t>
      </w:r>
      <w:r w:rsidR="009A07FB">
        <w:t xml:space="preserve">pyroxenes are </w:t>
      </w:r>
      <w:r w:rsidR="009C76A4">
        <w:t xml:space="preserve">divided according to tectonic setting and lithology. </w:t>
      </w:r>
      <w:r w:rsidR="009A07FB">
        <w:t xml:space="preserve">Vectors show how metasomatism by an array of different </w:t>
      </w:r>
      <w:r w:rsidR="00947A10">
        <w:t xml:space="preserve">small-fraction volatile-rich </w:t>
      </w:r>
      <w:r w:rsidR="009A07FB">
        <w:t xml:space="preserve">melt compositions will affect clinopyroxene compositions. </w:t>
      </w:r>
      <w:r w:rsidR="003342E4">
        <w:t xml:space="preserve">Data </w:t>
      </w:r>
      <w:r w:rsidR="003342E4" w:rsidRPr="009B315C">
        <w:t>sources are as follows:</w:t>
      </w:r>
      <w:r w:rsidR="003342E4">
        <w:t xml:space="preserve"> This work; Bell &amp; Lhinger </w:t>
      </w:r>
      <w:r w:rsidR="003342E4">
        <w:fldChar w:fldCharType="begin"/>
      </w:r>
      <w:r w:rsidR="008E0CCC">
        <w:instrText xml:space="preserve"> ADDIN ZOTERO_ITEM CSL_CITATION {"citationID":"QYifevXV","properties":{"formattedCitation":"(2000)","plainCitation":"(2000)","noteIndex":0},"citationItems":[{"id":3928,"uris":["http://zotero.org/users/88665/items/ILPDIH7U"],"uri":["http://zotero.org/users/88665/items/ILPDIH7U"],"itemData":{"id":3928,"type":"article-journal","abstract":"The common, nominally anhydrous minerals of the Earth’s mantle are an important reservoir for hydrogen in the Earth’s interior due to their ability to incorporate hydroxyl in trace quantities. We present measurements of the isotopic composition (D/H ratio) of hydrogen from upper-mantle derived garnet, enstatite and augite employing a two-step extraction procedure with infrared spectroscopic monitoring of OH removal from the samples. Raw δD values of all samples range from −80 to −130‰, and blank-corrected δD of high-purity separates with &lt;50% blank contribution to the measured gas lie in the range −92 to −113‰. These δD values, together with predictions of fractionation behavior from IR spectroscopic systematics, suggest that the D/H ratio of the nominally anhydrous mineral reservoir may differ from that of other mantle hydrogen in being relatively depleted in deuterium. To the extent that nominally anhydrous minerals control the distribution of water between the Earth’s hydrosphere and mantle, isotopic fractionations between OH in these minerals and hydrous melts or fluids may contribute to the large D/H fractionation between the mantle and the hydrosphere.","container-title":"Geochimica et Cosmochimica Acta","DOI":"10.1016/S0016-7037(99)00440-8","ISSN":"0016-7037","issue":"12","journalAbbreviation":"Geochimica et Cosmochimica Acta","page":"2109-2118","source":"ScienceDirect","title":"The isotopic composition of hydrogen in nominally anhydrous mantle minerals","volume":"64","author":[{"family":"Bell","given":"David R"},{"family":"Lhinger","given":"Phillip D"}],"issued":{"date-parts":[["2000",6,1]]}},"suppress-author":true}],"schema":"https://github.com/citation-style-language/schema/raw/master/csl-citation.json"} </w:instrText>
      </w:r>
      <w:r w:rsidR="003342E4">
        <w:fldChar w:fldCharType="separate"/>
      </w:r>
      <w:r w:rsidR="00636367">
        <w:t>(2000)</w:t>
      </w:r>
      <w:r w:rsidR="003342E4">
        <w:fldChar w:fldCharType="end"/>
      </w:r>
      <w:r w:rsidR="003342E4">
        <w:t xml:space="preserve">; Bénard et al. </w:t>
      </w:r>
      <w:r w:rsidR="003342E4">
        <w:fldChar w:fldCharType="begin"/>
      </w:r>
      <w:r w:rsidR="008E0CCC">
        <w:instrText xml:space="preserve"> ADDIN ZOTERO_ITEM CSL_CITATION {"citationID":"lMPMdmkP","properties":{"formattedCitation":"(2017)","plainCitation":"(2017)","noteIndex":0},"citationItems":[{"id":3661,"uris":["http://zotero.org/users/88665/items/TG65ICJT"],"uri":["http://zotero.org/users/88665/items/TG65ICJT"],"itemData":{"id":3661,"type":"article-journal","abstract":"We report chlorine (Cl) and fluorine (F) abundances in minerals, interstitial glasses, and melt inclusions in 12 andesite-hosted, spinel harzburgite xenoliths and crosscutting pyroxenite veins exhumed from the sub-arc lithospheric mantle beneath Avacha volcano in the Kamchatka Arc (NE Russia). The data are used to calculate equilibrium mineral-melt partition coefficients ( D mineral / melt ) for Cl and F relevant to subduction-zone processes and unravel the history of volatile depletion and enrichment mechanisms in an arc setting.\nChlorine is </w:instrText>
      </w:r>
      <w:r w:rsidR="008E0CCC">
        <w:rPr>
          <w:rFonts w:ascii="Cambria Math" w:hAnsi="Cambria Math" w:cs="Cambria Math"/>
        </w:rPr>
        <w:instrText>∼</w:instrText>
      </w:r>
      <w:r w:rsidR="008E0CCC">
        <w:instrText xml:space="preserve">100 times more incompatible in pyroxenes ( D Cl mineral / melt = 0.005–0.008 [±0.002–0.003]) than F ( D F mineral / melt = 0.50–0.57 [±0.21–0.24]), which indicates that partial melting of mantle sources leads to strong depletions in Cl relative to F in the residues. The data set in this study suggests a strong control of melt composition on D Cl , F pyroxene / melt , in particular H2O contents and Al/(Al + Si), which is in line with recent experiments. Fluorine is compatible in Ca-amphibole in the ‘wet’ sub-arc mantle ( D F amphibole / melt = 3.5–3.7 [±1.5]) but not Cl ( D Cl amphibole / melt = 0.03–0.05 [±0.01–0.03]), indicating that amphibole may fractionate F from Cl in the mantle wedge. The inter-mineral partition coefficients for Cl and F in this study are consistent amongst different harzburgite samples, whether they contain glass or not. In particular, disseminated amphibole hosts much of the Cl and F bulk rock budgets of spinel harzburgites ( D Cl amphibole / pyroxene up to 14 and D F amphibole / pyroxene up to 40). Chlorine and fluorine are variably enriched (up to 1500 ppm Cl and 750 ppm F) in the parental arc picrite and boninite melts of primitive pyroxenite veins (and related melt inclusions) crosscutting spinel harzburgites.\nBased on the data in this study, the main inferences on the behaviour of Cl and F during melting and metasomatic processes in the sub-arc mantle are as follow:\n(i) Melting models show that most depleted mantle protoliths of intra-oceanic arc sources can have extremely low Cl/F (0.002–0.007) before being overprinted by subduction-derived components.\n(ii) Chlorine has a higher percolation distance in the mantle than F. Even for small fluid or melt volumes, Cl and F signatures of partial melting are overprinted by those of pervasive percolation, which increases Cl/F in percolating agents and bulk peridotites during chromatographic interaction and/or amphibole-forming metasomatic reactions. These processes ultimately control the bulk Cl and F compositions of the residual mantle lithosphere beneath arcs, and likely in other tectonic settings.\n(iii) Fluxed melting models suggest that Cl enrichment in arc picrite and boninite melts in this study, and in many arc melt inclusions reported in the literature, could be related to the infiltration of high Cl/F fluids derived from subducted serpentinite or altered crust in mantle wedge sources. However, these high Cl/F signatures should be re-evaluated with new models in light of the possible overprint of pervasive percolation effects in the mantle. The breakdown of amphibole (and/or mica) in the deep metasomatised mantle at higher pressure and temperature conditions than in the slab may explain, at least in part, the positive correlations between F abundances and Cl/F in primitive arc melt inclusions and slab depth.","container-title":"Geochimica et Cosmochimica Acta","DOI":"10.1016/j.gca.2016.10.035","ISSN":"0016-7037","journalAbbreviation":"Geochimica et Cosmochimica Acta","page":"324-350","source":"ScienceDirect","title":"Chlorine and fluorine partition coefficients and abundances in sub-arc mantle xenoliths (Kamchatka, Russia): Implications for melt generation and volatile recycling processes in subduction zones","title-short":"Chlorine and fluorine partition coefficients and abundances in sub-arc mantle xenoliths (Kamchatka, Russia)","volume":"199","author":[{"family":"Bénard","given":"A."},{"family":"Koga","given":"K. T."},{"family":"Shimizu","given":"N."},{"family":"Kendrick","given":"M. A."},{"family":"Ionov","given":"D. A."},{"family":"Nebel","given":"O."},{"family":"Arculus","given":"R. J."}],"issued":{"date-parts":[["2017",2,15]]}},"suppress-author":true}],"schema":"https://github.com/citation-style-language/schema/raw/master/csl-citation.json"} </w:instrText>
      </w:r>
      <w:r w:rsidR="003342E4">
        <w:fldChar w:fldCharType="separate"/>
      </w:r>
      <w:r w:rsidR="00636367">
        <w:t>(2017)</w:t>
      </w:r>
      <w:r w:rsidR="003342E4">
        <w:fldChar w:fldCharType="end"/>
      </w:r>
      <w:r w:rsidR="003342E4">
        <w:t xml:space="preserve">; Dixon et al. </w:t>
      </w:r>
      <w:r w:rsidR="003342E4">
        <w:fldChar w:fldCharType="begin"/>
      </w:r>
      <w:r w:rsidR="008E0CCC">
        <w:instrText xml:space="preserve"> ADDIN ZOTERO_ITEM CSL_CITATION {"citationID":"DPFY0T8c","properties":{"formattedCitation":"(1997)","plainCitation":"(1997)","noteIndex":0},"citationItems":[{"id":4174,"uris":["http://zotero.org/users/88665/items/K8W5ATR6"],"uri":["http://zotero.org/users/88665/items/K8W5ATR6"],"itemData":{"id":4174,"type":"article-journal","abstract":"Abstract.  The North Arch volcanic field is a submarine suite of alkali basaltic to nephelinitic lavas of the seafloor north of Oahu at water depths of 3900–438","container-title":"Journal of Petrology","DOI":"10.1093/petroj/38.7.911","ISSN":"0022-3530","issue":"7","journalAbbreviation":"J Petrology","language":"en","page":"911-939","source":"academic.oup.com","title":"Volatiles in alkalic basalts form the North Arch Volcanic Field, Hawaii: Extensive degassing of deep submarine-erupted alkalic series lavas","title-short":"Volatiles in Alkalic Basalts form the North Arch Volcanic Field, Hawaii","volume":"38","author":[{"family":"Dixon","given":"Jacqueline E."},{"family":"Clague","given":"David A."},{"family":"Wallace","given":"Paul"},{"family":"Poreda","given":"Robert"}],"issued":{"date-parts":[["1997",7,1]]}},"suppress-author":true}],"schema":"https://github.com/citation-style-language/schema/raw/master/csl-citation.json"} </w:instrText>
      </w:r>
      <w:r w:rsidR="003342E4">
        <w:fldChar w:fldCharType="separate"/>
      </w:r>
      <w:r w:rsidR="00636367">
        <w:t>(1997)</w:t>
      </w:r>
      <w:r w:rsidR="003342E4">
        <w:fldChar w:fldCharType="end"/>
      </w:r>
      <w:r w:rsidR="003342E4">
        <w:t xml:space="preserve">;  Doucet et al. </w:t>
      </w:r>
      <w:r w:rsidR="003342E4">
        <w:fldChar w:fldCharType="begin"/>
      </w:r>
      <w:r w:rsidR="008E0CCC">
        <w:instrText xml:space="preserve"> ADDIN ZOTERO_ITEM CSL_CITATION {"citationID":"DcAsnpGC","properties":{"formattedCitation":"(2014)","plainCitation":"(2014)","noteIndex":0},"citationItems":[{"id":3656,"uris":["http://zotero.org/users/88665/items/T8YVPMIC"],"uri":["http://zotero.org/users/88665/items/T8YVPMIC"],"itemData":{"id":3656,"type":"article-journal","abstract":"The processes that control water distribution in nominally anhydrous minerals from peridotites are twofold. Melt depletion will remove water while metasomatism can potentially add water to these minerals. These processes can lead to a wide range of outcomes in water contents, which in turn could play a role in mantle rheology and long-term cratonic root stability. To examine these complexities, water concentrations in minerals from well-characterized peridotites from the Udachnaya kimberlite in the central Siberian craton were analyzed by FTIR. The peridotites span a complete top to bottom cross-section of typical cratonic lithospheric mantle (2–7GPa and 700–1400°C). Diffusion modeling of water content profiles across olivine grains shows that water loss during decompression is limited to the 100μm rims of olivines; the cores preserved their mantle water contents. Water contents range from 6 to 323ppm wt H2O in olivine, 28–301ppm H2O in orthopyroxene (opx), 100–272ppm H2O in clinopyroxene (cpx) and 0–23ppm H2O in garnet. Melting modeling cannot reproduce the high water contents of cratonic mantle peridotites and any potential partial melting trend must have been erased by later events. The water contents of minerals, however, are correlated with modal abundances of clinopyroxene and garnet, bulk rock FeO, TiO2 and SiO2 as well as with light and middle rare earth elements in clinopyroxene and garnet. These relationships are best interpreted as interaction of residual, melt-depleted peridotites with silicate melt, which produced modal and cryptic metasomatism. Importantly, the water enrichment in the Siberian cratonic mantle took place prior to kimberlite magmatism and eruption. Water addition by metasomatism occurred from pressures &gt;4GPa all the way to the base of the cratonic root below central Siberia, but was limited to shallower levels (&lt;5GPa) in the Kaapvaal cratonic lithosphere. The difference in olivine water contents at the deepest levels of the Kaapvaal (&lt;5ppm H2O) and Siberian (6–323ppm H2O) cratonic roots may be linked to oxygen fugacity and resulting fluid speciation or, alternatively, to reaction with different metasomatic agents. Calculated viscosities for the deepest Udachnaya samples are similar to those inferred for the asthenosphere. If these xenoliths are representative of the deep cratonic lithosphere, water is not as important a parameter as previously thought in the strength of cratonic lithosphere, otherwise the cratonic root beneath Udachnaya would have been delaminated. Alternatively, the metasomatic xenoliths may not be representative of the Siberian cratonic root and kimberlites preferentially sample cratonic mantle lithosphere material located near, and metasomatized by, melt conduits, which served as channels for upward migration of water-rich melts and fluids including kimberlites. In that case, the cratonic root overall still may have relatively low water contents, which in addition to its less metasomatized (more refractory) and thereby buoyant nature, still play a role in making it strong enough to resist delamination by the surrounding asthenosphere.","container-title":"Geochimica et Cosmochimica Acta","DOI":"10.1016/j.gca.2014.04.011","ISSN":"0016-7037","journalAbbreviation":"Geochimica et Cosmochimica Acta","page":"159-187","source":"ScienceDirect","title":"High water contents in the Siberian cratonic mantle linked to metasomatism: An FTIR study of Udachnaya peridotite xenoliths","title-short":"High water contents in the Siberian cratonic mantle linked to metasomatism","volume":"137","author":[{"family":"Doucet","given":"Luc S."},{"family":"Peslier","given":"Anne H."},{"family":"Ionov","given":"Dmitri A."},{"family":"Brandon","given":"Alan D."},{"family":"Golovin","given":"Alexander V."},{"family":"Goncharov","given":"Aleksey G."},{"family":"Ashchepkov","given":"Igor V."}],"issued":{"date-parts":[["2014",7,15]]}},"suppress-author":true}],"schema":"https://github.com/citation-style-language/schema/raw/master/csl-citation.json"} </w:instrText>
      </w:r>
      <w:r w:rsidR="003342E4">
        <w:fldChar w:fldCharType="separate"/>
      </w:r>
      <w:r w:rsidR="00636367">
        <w:t>(2014)</w:t>
      </w:r>
      <w:r w:rsidR="003342E4">
        <w:fldChar w:fldCharType="end"/>
      </w:r>
      <w:r w:rsidR="003342E4">
        <w:t xml:space="preserve">; Grant et al. </w:t>
      </w:r>
      <w:r w:rsidR="003342E4">
        <w:fldChar w:fldCharType="begin"/>
      </w:r>
      <w:r w:rsidR="008E0CCC">
        <w:instrText xml:space="preserve"> ADDIN ZOTERO_ITEM CSL_CITATION {"citationID":"9PuUB3N9","properties":{"formattedCitation":"(2007)","plainCitation":"(2007)","noteIndex":0},"citationItems":[{"id":3720,"uris":["http://zotero.org/users/88665/items/BMAJKPQ9"],"uri":["http://zotero.org/users/88665/items/BMAJKPQ9"],"itemData":{"id":3720,"type":"article-journal","abstract":"The speciation and amount of water dissolved in nominally anhydrous silicates comprising eight different mantle xenoliths has been quantified using synchrotron micro-FTIR spectroscopy. Samples studied are from six geographic localities and represent a cross-section of the major upper mantle lithologies from a variety of tectonic settings. Clinopyroxene contains between 342 and 413 ppm H2O. Orthopyroxene, olivine and garnet contain 169–201, 3–54 and 0 to &lt;3 ppm H2O, respectively. Pyroxenes water contents and the distribution of water between ortho- and clinopyroxene is identical regardless of sample mineralogy (D water cpx/opx = 2.1 ± 0.1). The total water contents of each xenolith are remarkably similar (113 ± 14 ppm H2O). High-resolution spectroscopic traverses show that the concentration and speciation of hydrous defects dissolved in each phase are spatially homogeneous within individual crystals and identical in different crystals interspersed throughout the xenolith. These results suggest that the amount of water dissolved in the silicate phases is in partial equilibrium with the transporting melt. Other features indicate that xenoliths have also preserved OH signatures of equilibrium with the mantle source region: Hydroxyl stretching modes in clinopyroxene show that garnet lherzolites re-equilibrated under more reducing conditions than spinel lherzolites. The distribution of water between pyroxenes and olivine differs according to xenolith mineralogy. The distribution of water between clinopyroxene and olivine from garnet peridotites (D water cpx/oliv (gnt) = 22.2 ± 24.1) is a factor of four greater than mineral pairs from spinel-bearing xenoliths (D water cpx/oliv (sp) = 88.1 ± 47.8). Such an increase in olivine water contents at the spinel to garnet transition is likely a global phenomenon and this discontinuity could lead to a reduction of the upper mantle viscosity by 0.2–0.7 log units and a reduction of its electrical resistivity by a factor of 0.5–0.8 log units.","container-title":"Contributions to Mineralogy and Petrology","DOI":"10.1007/s00410-006-0177-1","ISSN":"0010-7999, 1432-0967","issue":"1","journalAbbreviation":"Contributions to Mineralogy and Petrology","language":"en","page":"15-34","source":"link.springer.com","title":"Water partitioning between mantle minerals from peridotite xenoliths","volume":"154","author":[{"family":"Grant","given":"Kevin"},{"family":"Ingrin","given":"Jannick"},{"family":"Lorand","given":"Jean Pierre"},{"family":"Dumas","given":"Paul"}],"issued":{"date-parts":[["2007",7,1]]}},"suppress-author":true}],"schema":"https://github.com/citation-style-language/schema/raw/master/csl-citation.json"} </w:instrText>
      </w:r>
      <w:r w:rsidR="003342E4">
        <w:fldChar w:fldCharType="separate"/>
      </w:r>
      <w:r w:rsidR="00636367">
        <w:t>(2007)</w:t>
      </w:r>
      <w:r w:rsidR="003342E4">
        <w:fldChar w:fldCharType="end"/>
      </w:r>
      <w:r w:rsidR="003342E4">
        <w:t xml:space="preserve">; Hao et al. </w:t>
      </w:r>
      <w:r w:rsidR="003342E4">
        <w:fldChar w:fldCharType="begin"/>
      </w:r>
      <w:r w:rsidR="008E0CCC">
        <w:instrText xml:space="preserve"> ADDIN ZOTERO_ITEM CSL_CITATION {"citationID":"zziykcP7","properties":{"formattedCitation":"(2016)","plainCitation":"(2016)","noteIndex":0},"citationItems":[{"id":4169,"uris":["http://zotero.org/users/88665/items/5K8HIMUR"],"uri":["http://zotero.org/users/88665/items/5K8HIMUR"],"itemData":{"id":4169,"type":"article-journal","abstract":"Metasomatism induced by melts/fluids is ubiquitous in the lithospheric mantle and can potentially modify the initial water content of the mantle. However, the preservation of correlations between H2O content and partial melting indices (e.g., Yb content in clinopyroxene, Cr/(Cr+Al) in spinel) and the lack of correlations between H2O content and metasomatic indices (e.g., La/Yb in clinopyroxene) in peridotite xenoliths from several localities suggest that variations in the initial H2O content were controlled by partial melting processes rather than by subsequent metasomatic event(s) (Hao et al., 2014; Denis et al., 2015). However, the applied partition coefficients of H2O between peridotite and melt (Dperidotite/melt=0.1–0.3) in the partial melting models cast doubts on the reasonability of such explanations. Whether metasomatism always modifies the initial H2O content of the lithospheric mantle remained a topic of debate. In this paper, we measure major and trace element concentrations and H2O contents of minerals in the peridotite xenoliths hosted by the Tianchang Cenozoic basalts in eastern China by using electron microprobe, laser-ablation ICP-MS and Fourier transform infrared spectroscopy, respectively. The H2O contents (weight in ppm) of clinopyroxene, orthopyroxene and olivine are 70–280ppm, 35–140ppm and below detection limit (&lt;2ppm H2O), respectively. Although water diffusion during xenolith ascent cannot be excluded for olivine, pyroxenes largely retain the initial H2O content of the mantle source, as supported by (1) the correlation between H2O content and major element content of pyroxene, and (2) the equilibrium H2O partitioning between clinopyroxene and orthopyroxene. The calculated whole-rock H2O contents range from 14 to 93ppm (average 52±25ppm) assuming 0.1 for the H2O partition coefficient between olivine and clinopyroxene. Although no hydrous minerals are found, the enrichment in light rare earth elements and large ion lithophile elements of clinopyroxene indicates cryptic mantle metasomatism. However, variations between the H2O contents of the whole rocks and the metasomatic index (La/Yb ratio in clinopyroxene) are not correlated, suggesting that mantle metasomatism did not modify the initial H2O contents after the melting event. Instead, the H2O content correlates with the melting indices demonstrating that partial melting is the primary factor controlling the variations in the initial H2O contents. Notably, variations in whole rock H2O contents of the Tianchang peridotites can be modeled as a simple melting process of a MORB mantle source using the reported partition coefficients of H2O (Dperidotite/melt=0.005–0.03), providing a robust example suggesting that metasomatism does not always change the initial H2O content in the lithospheric mantle.","container-title":"Lithos","DOI":"10.1016/j.lithos.2016.06.003","ISSN":"0024-4937","journalAbbreviation":"Lithos","page":"315-327","source":"ScienceDirect","title":"Mantle metasomatism did not modify the initial H2O content in peridotite xenoliths from the Tianchang basalts of eastern China","volume":"260","author":[{"family":"Hao","given":"Yan-Tao"},{"family":"Xia","given":"Qun-Ke"},{"family":"Tian","given":"Zhen-Zhen"},{"family":"Liu","given":"Jia"}],"issued":{"date-parts":[["2016",9,1]]}},"suppress-author":true}],"schema":"https://github.com/citation-style-language/schema/raw/master/csl-citation.json"} </w:instrText>
      </w:r>
      <w:r w:rsidR="003342E4">
        <w:fldChar w:fldCharType="separate"/>
      </w:r>
      <w:r w:rsidR="00636367">
        <w:t>(2016)</w:t>
      </w:r>
      <w:r w:rsidR="003342E4">
        <w:fldChar w:fldCharType="end"/>
      </w:r>
      <w:r w:rsidR="003342E4">
        <w:t>;</w:t>
      </w:r>
      <w:r w:rsidR="003342E4" w:rsidRPr="00D47845">
        <w:t xml:space="preserve"> </w:t>
      </w:r>
      <w:r w:rsidR="003342E4">
        <w:t xml:space="preserve">Hui et al. </w:t>
      </w:r>
      <w:r w:rsidR="003342E4">
        <w:fldChar w:fldCharType="begin"/>
      </w:r>
      <w:r w:rsidR="008E0CCC">
        <w:instrText xml:space="preserve"> ADDIN ZOTERO_ITEM CSL_CITATION {"citationID":"KC7ItLUz","properties":{"formattedCitation":"(2015)","plainCitation":"(2015)","noteIndex":0},"citationItems":[{"id":3689,"uris":["http://zotero.org/users/88665/items/ZNPYPLHA"],"uri":["http://zotero.org/users/88665/items/ZNPYPLHA"],"itemData":{"id":3689,"type":"article-journal","abstract":"Water and other trace element concentrations in olivine (1–39 ppm H2O), orthopyroxene (10–150 ppm H2O), and clinopyroxene (16–340 ppm H2O) of mantle xenoliths from the Labait volcano, located on the edge of the Tanzanian craton along the eastern branch of the East African Rift, record melting and subsequent refertilization by plume magmas in a stratified lithosphere. These water contents are at the lower end of the range observed in other cratonic mantle lithospheres. Despite correlations between water content and indices of melting in orthopyroxene from the shallow peridotites, and in both olivine and orthopyroxene from the deep peridotites, water concentrations are too high for the peridotites to be simple residues. Instead, the Labait water contents are best explained as reflecting interaction between residual peridotite with a melt having relatively low water content (&lt;1 wt.% H2O). Plume-derived melts are the likely source of water and other trace element enrichments in the Labait peridotites. Only garnet may have undergone addition of water from the host magma as evidenced by water content increasing toward the kelyphite rim in one otherwise homogeneous garnet. Based on modeling of the diffusion profile, magma ascent occurred at 4–28 m/s. In summary, plume-craton interaction appears to result in only moderate water enrichment of the lithosphere.","container-title":"Geochemistry, Geophysics, Geosystems","DOI":"10.1002/2015GC005779","ISSN":"1525-2027","issue":"6","journalAbbreviation":"Geochemistry, Geophysics, Geosystems","language":"en","page":"1687-1710","source":"Wiley Online Library","title":"Plume-cratonic lithosphere interaction recorded by water and other trace elements in peridotite xenoliths from the Labait volcano, Tanzania","volume":"16","author":[{"family":"Hui","given":"Hejiu"},{"family":"Peslier","given":"Anne H."},{"family":"Rudnick","given":"Roberta L."},{"family":"Simonetti","given":"Antonio"},{"family":"Neal","given":"Clive R."}],"issued":{"date-parts":[["2015",6,1]]}},"suppress-author":true}],"schema":"https://github.com/citation-style-language/schema/raw/master/csl-citation.json"} </w:instrText>
      </w:r>
      <w:r w:rsidR="003342E4">
        <w:fldChar w:fldCharType="separate"/>
      </w:r>
      <w:r w:rsidR="00636367">
        <w:t>(2015)</w:t>
      </w:r>
      <w:r w:rsidR="003342E4">
        <w:fldChar w:fldCharType="end"/>
      </w:r>
      <w:r w:rsidR="003342E4">
        <w:t xml:space="preserve">; Jean et al. </w:t>
      </w:r>
      <w:r w:rsidR="003342E4">
        <w:fldChar w:fldCharType="begin"/>
      </w:r>
      <w:r w:rsidR="008E0CCC">
        <w:instrText xml:space="preserve"> ADDIN ZOTERO_ITEM CSL_CITATION {"citationID":"uvROGy12","properties":{"formattedCitation":"(2016)","plainCitation":"(2016)","noteIndex":0},"citationItems":[{"id":4055,"uris":["http://zotero.org/users/88665/items/BGKUSWAD"],"uri":["http://zotero.org/users/88665/items/BGKUSWAD"],"itemData":{"id":4055,"type":"article-journal","abstract":"A subject of continuing debate is how the Earth's lithospheric portion of the upper mantle has remained the thickest (&gt;200km) and oldest (&gt;3Gy) beneath cratons and is yet surrounded by a vigorously convecting asthenosphere. It is generally admitted that water is a key parameter in the strength and longevity of cratonic roots, because olivine, the main phase of the lithospheric mantle, becomes stronger if its water content decreases. Expanding upon the work presented in Novella et al. (2015) and Taylor et al. (2016), we report new water contents for additional olivine inclusions in diamonds together with the trace-element composition for all olivine inclusions, as well as for mantle xenoliths from various kimberlite pipes located on the Siberian craton. The olivine diamond inclusions from this study have systematically low-water contents (&lt;50ppmw H2O), moderate to high forsterite (e.g., Fo91–94) contents and low Ni, Co, and Zn ppm contents (e.g., &lt;2848, &lt;108, and &lt;47ppm, respectively). In contrast, olivines from Siberian craton mantle xenoliths have a wide range of water contents (6–323ppmw H2O) and extend to lower-Fo (91–92), Ni, Co, and Zn-rich compositions, compared to the diamond inclusions. Depleted incompatible trace-element concentrations in olivine (0.1–0.001×Primitive Mantle) advance our hypothesis for the protogenetic origins for the majority of Siberian diamond inclusions. These observations are consistent with the peridotite xenoliths as representing a part of the cratonic lithosphere that has experienced melt re-fertilization, which has also transported water. The olivine diamond inclusions, on the other hand, preserve “micro-samples” of an initial, dry cratonic lithosphere, mostly resulting from melting events. These inclusions are likely sourced from the initial cratonic mantle lithosphere, which thereby, resisted delamination over time, due to its buoyancy and strength, imparted from melt and water depletion, respectively. And thus, our data provides a major argument that the kimberlite-hosted mantle xenoliths may be more metasomatized than common rocks at the base of the Siberian and other cratonic roots away from kimberlite fields.","container-title":"Lithos","DOI":"10.1016/j.lithos.2016.07.023","ISSN":"0024-4937","journalAbbreviation":"Lithos","page":"31-41","source":"ScienceDirect","title":"Olivine inclusions in Siberian diamonds and mantle xenoliths: Contrasting water and trace-element contents","title-short":"Olivine inclusions in Siberian diamonds and mantle xenoliths","volume":"265","author":[{"family":"Jean","given":"M. M."},{"family":"Taylor","given":"L. A."},{"family":"Howarth","given":"G. H."},{"family":"Peslier","given":"A. H."},{"family":"Fedele","given":"L."},{"family":"Bodnar","given":"R. J."},{"family":"Guan","given":"Y."},{"family":"Doucet","given":"L. S."},{"family":"Ionov","given":"D. A."},{"family":"Logvinova","given":"A. M."},{"family":"Golovin","given":"A. V."},{"family":"Sobolev","given":"N. V."}],"issued":{"date-parts":[["2016",11,15]]}},"suppress-author":true}],"schema":"https://github.com/citation-style-language/schema/raw/master/csl-citation.json"} </w:instrText>
      </w:r>
      <w:r w:rsidR="003342E4">
        <w:fldChar w:fldCharType="separate"/>
      </w:r>
      <w:r w:rsidR="00636367">
        <w:t>(2016)</w:t>
      </w:r>
      <w:r w:rsidR="003342E4">
        <w:fldChar w:fldCharType="end"/>
      </w:r>
      <w:r w:rsidR="003342E4">
        <w:t xml:space="preserve">; Kjarsgaard et al. </w:t>
      </w:r>
      <w:r w:rsidR="003342E4">
        <w:fldChar w:fldCharType="begin"/>
      </w:r>
      <w:r w:rsidR="008E0CCC">
        <w:instrText xml:space="preserve"> ADDIN ZOTERO_ITEM CSL_CITATION {"citationID":"wNCKGUiZ","properties":{"formattedCitation":"(2009)","plainCitation":"(2009)","noteIndex":0},"citationItems":[{"id":4192,"uris":["http://zotero.org/users/88665/items/R7TCATDL"],"uri":["http://zotero.org/users/88665/items/R7TCATDL"],"itemData":{"id":4192,"type":"article-journal","abstract":"We present 104 whole-rock geochemical analyses of hypabyssal kimberlite from the Lac de Gras field. Screens using Yb versus Al2O3 and ln Si/Al versus ln Mg/Yb effectively discriminate crustally contaminated samples. The remaining “non-contaminated” kimberlites samples have variable (5 to 50%) entrainment of cratonic peridotite. It is problematic to effectively screen for small amounts (&lt;5%) of digested crust in samples with higher (&gt;20%) contents of peridotite contamination. We utilize the Lac de Gras data suite to calculate, by two different methods, parent magma compositions and identify two (and potentially three) geochemically distinct parent magma types. The Lac de Gras parent magma compositions are compared to those calculated from other localities in Canada, Greenland, South Africa and Russia. Together, these calculated parent magmas define a range, albeit limited, of viable, yet distinct, kimberlite parent magma compositions. Geochemically, kimberlite parent magmas have high volatile contents (H2O and CO2), high MgO, and low SiO2, Al2O3 and alkalis, with K&gt;Na and Na+K/Al&lt;1. It is difficult to reconcile differences between various calculated kimberlite parent magma compositions from different cratonic areas as merely due to the effects of craton specific lithospheric mantle contamination, indicating the intra- and inter-cratonic variation of parent magma compositions reflect differing source region characteristics and/or partial melting regimes.","collection-title":"Proceedings of the 9th International Kimberlite Conference","container-title":"Lithos","DOI":"10.1016/j.lithos.2009.06.001","ISSN":"0024-4937","journalAbbreviation":"Lithos","page":"236-248","source":"ScienceDirect","title":"Geochemistry of hypabyssal kimberlites from Lac de Gras, Canada: Comparisons to a global database and applications to the parent magma problem","title-short":"Geochemistry of hypabyssal kimberlites from Lac de Gras, Canada","volume":"112","author":[{"family":"Kjarsgaard","given":"B. A."},{"family":"Pearson","given":"D. G."},{"family":"Tappe","given":"S."},{"family":"Nowell","given":"G. M."},{"family":"Dowall","given":"D. P."}],"issued":{"date-parts":[["2009",11,1]]}},"suppress-author":true}],"schema":"https://github.com/citation-style-language/schema/raw/master/csl-citation.json"} </w:instrText>
      </w:r>
      <w:r w:rsidR="003342E4">
        <w:fldChar w:fldCharType="separate"/>
      </w:r>
      <w:r w:rsidR="00636367">
        <w:t>(2009)</w:t>
      </w:r>
      <w:r w:rsidR="003342E4">
        <w:fldChar w:fldCharType="end"/>
      </w:r>
      <w:r w:rsidR="003342E4">
        <w:t xml:space="preserve">; Li et al. </w:t>
      </w:r>
      <w:r w:rsidR="003342E4">
        <w:fldChar w:fldCharType="begin"/>
      </w:r>
      <w:r w:rsidR="008E0CCC">
        <w:instrText xml:space="preserve"> ADDIN ZOTERO_ITEM CSL_CITATION {"citationID":"yPIzo9f3","properties":{"formattedCitation":"(2008)","plainCitation":"(2008)","noteIndex":0},"citationItems":[{"id":3909,"uris":["http://zotero.org/users/88665/items/WVDR67VD"],"uri":["http://zotero.org/users/88665/items/WVDR67VD"],"itemData":{"id":3909,"type":"article-journal","abstract":"Nominally anhydrous minerals (e.g., olivine, clinopyroxene, and orthopyroxene) in peridotite xenoliths collected from the Colorado Plateau and southern Basin and Range in western North America were systematically analyzed by Fourier transform infrared spectroscopy for water contents. Measured water contents range from 2 to 45 ppm for olivine, from 53 to 402 ppm for orthopyroxene, and from 171 to 957 ppm for clinopyroxene. The Colorado Plateau has the highest water contents (up to 45 ppm H2O in olivine, 402 ppm H2O in orthopyroxene, and 957 ppm H2O in clinopyroxene), while San Carlos in the southern Basin and Range has the lowest water contents (up to 4 ppm H2O in olivine, 82 ppm H2O in orthopyroxene, and 178 ppm H2O in clinopyroxene). With the exception of San Carlos, the olivine and pyroxenes from all other localities (Dish Hill, Grand Canyon, and Navajo) have water contents close to or higher than that inferred for the fertile asthenospheric mantle. We interpret the high water contents measured here to have been introduced into the base of the lithospheric mantle by rehydration associated with the subduction of the Farallon plate beneath North America during the early Cenozoic. Application of an updated flow law for dislocation creep of wet olivine to lithospheric mantle conditions beneath the Colorado Plateau predicts that for a given background shear stress, hydration alone can result in approximately 1 order of magnitude drop in the effective viscosity at the base of the lithosphere. If viscosity alone is used to distinguish the lithosphere from underlying asthenosphere, this suggests that hydration could have resulted in more than 10 km of lithospheric thinning. Viscosity reduction and lithospheric thinning of even larger extents (up to </w:instrText>
      </w:r>
      <w:r w:rsidR="008E0CCC">
        <w:rPr>
          <w:rFonts w:ascii="Cambria Math" w:hAnsi="Cambria Math" w:cs="Cambria Math"/>
        </w:rPr>
        <w:instrText>∼</w:instrText>
      </w:r>
      <w:r w:rsidR="008E0CCC">
        <w:instrText xml:space="preserve">100 km) are predicted when thicker lithosphere (such as Archean cratons) and larger water contents (up to water-saturated conditions) are considered. If our interpretations are correct, the implications of our study go beyond western North America and hint at a possible way of recycling continental mantle, including cratonic mantle, back into the convecting mantle.","container-title":"Journal of Geophysical Research: Solid Earth","DOI":"10.1029/2007JB005540","ISSN":"2156-2202","issue":"B9","language":"en","source":"Wiley Online Library","title":"Water contents in mantle xenoliths from the Colorado Plateau and vicinity: Implications for the mantle rheology and hydration-induced thinning of continental lithosphere","title-short":"Water contents in mantle xenoliths from the Colorado Plateau and vicinity","URL":"https://agupubs.onlinelibrary.wiley.com/doi/abs/10.1029/2007JB005540","volume":"113","author":[{"family":"Li","given":"Zheng-Xue Anser"},{"family":"Lee","given":"Cin-Ty A."},{"family":"Peslier","given":"Anne H."},{"family":"Lenardic","given":"Adrian"},{"family":"Mackwell","given":"Stephen J."}],"issued":{"date-parts":[["2008",9,1]]}},"suppress-author":true}],"schema":"https://github.com/citation-style-language/schema/raw/master/csl-citation.json"} </w:instrText>
      </w:r>
      <w:r w:rsidR="003342E4">
        <w:fldChar w:fldCharType="separate"/>
      </w:r>
      <w:r w:rsidR="00636367">
        <w:t>(2008)</w:t>
      </w:r>
      <w:r w:rsidR="003342E4">
        <w:fldChar w:fldCharType="end"/>
      </w:r>
      <w:r w:rsidR="003342E4">
        <w:t xml:space="preserve">; Marshall et al. </w:t>
      </w:r>
      <w:r w:rsidR="003342E4">
        <w:fldChar w:fldCharType="begin"/>
      </w:r>
      <w:r w:rsidR="008E0CCC">
        <w:instrText xml:space="preserve"> ADDIN ZOTERO_ITEM CSL_CITATION {"citationID":"iBwX0Vab","properties":{"formattedCitation":"(2018)","plainCitation":"(2018)","noteIndex":0},"citationItems":[{"id":3877,"uris":["http://zotero.org/users/88665/items/HEUW7XSU"],"uri":["http://zotero.org/users/88665/items/HEUW7XSU"],"itemData":{"id":3877,"type":"article-journal","abstract":"In magmatic settings, water behaves as an incompatible species and should be depleted during melting and enriched during metasomatism. Previous studies have identified correlations between nominally anhydrous mineral (NAM) water content ([H2O]) and indices of metasomatism or melt extraction, seemingly confirming this behavior in the mantle. However in detail, these correlations are ambiguous and do not reflect robust controls on NAM [H2O]. We measured orthopyroxene (opx) and clinopyroxene (cpx) [H2O] in variably hydrated and metasomatized peridotite xenoliths from the Navajo volcanic field (NVF) that sample the Colorado Plateau subcontinental lithospheric mantle (SCLM), an endmember of SCLM hydration and metasomatism. These xenoliths span a wide range of pyroxene [H2O] (opx from 50 to 588 ppm wt. H2O; cpx from 38 to 581 ppm wt. H2O), but NAM [H2O] does not correlate with either indices of melt depletion or metasomatism. Growth of hydrous minerals suggests higher water activity than in anhydrous peridotites, and therefore hydrous-mineral-bearing xenoliths and anhydrous xenoliths should have different NAM [H2O] and water activities. However, when the two groups are compared no significant differences can be found in either NAM [H2O] or water activity. We propose that the high diffusivity of hydrogen in the mantle allows for equilibration of water activity in the mantle over sub-kilometer length scales over geologic time. Such diffusive equilibration reduces water activity variability and results in the blurring and destruction of correlations between NAM [H2O] and indices of metasomatism or melt extraction. As a result of diffusive equilibration of water, there is a large difference in the variability of concentration between NAM [H2O] (spanning </w:instrText>
      </w:r>
      <w:r w:rsidR="008E0CCC">
        <w:rPr>
          <w:rFonts w:ascii="Cambria Math" w:hAnsi="Cambria Math" w:cs="Cambria Math"/>
        </w:rPr>
        <w:instrText>∼</w:instrText>
      </w:r>
      <w:r w:rsidR="008E0CCC">
        <w:instrText xml:space="preserve">2 orders of magnitude) and similarly incompatible elements such as Ce in the same peridotites (spanning </w:instrText>
      </w:r>
      <w:r w:rsidR="008E0CCC">
        <w:rPr>
          <w:rFonts w:ascii="Cambria Math" w:hAnsi="Cambria Math" w:cs="Cambria Math"/>
        </w:rPr>
        <w:instrText>∼</w:instrText>
      </w:r>
      <w:r w:rsidR="008E0CCC">
        <w:instrText xml:space="preserve">4 orders of magnitude). This difference in behavior explains why H2O/Ce ratios in mantle peridotites are highly variable relative to those of basalts.","container-title":"Earth and Planetary Science Letters","DOI":"10.1016/j.epsl.2018.07.033","ISSN":"0012-821X","journalAbbreviation":"Earth and Planetary Science Letters","page":"219-229","source":"ScienceDirect","title":"On the (mis)behavior of water in the mantle: Controls on nominally anhydrous mineral water content in mantle peridotites","title-short":"On the (mis)behavior of water in the mantle","volume":"499","author":[{"family":"Marshall","given":"Edward W."},{"family":"Lassiter","given":"John C."},{"family":"Barnes","given":"Jaime D."}],"issued":{"date-parts":[["2018",10,1]]}},"suppress-author":true}],"schema":"https://github.com/citation-style-language/schema/raw/master/csl-citation.json"} </w:instrText>
      </w:r>
      <w:r w:rsidR="003342E4">
        <w:fldChar w:fldCharType="separate"/>
      </w:r>
      <w:r w:rsidR="00636367">
        <w:t>(2018)</w:t>
      </w:r>
      <w:r w:rsidR="003342E4">
        <w:fldChar w:fldCharType="end"/>
      </w:r>
      <w:r w:rsidR="003342E4">
        <w:t xml:space="preserve">; </w:t>
      </w:r>
      <w:r w:rsidR="003342E4" w:rsidRPr="00661AE1">
        <w:t xml:space="preserve">Mossenfelder &amp; Rossman </w:t>
      </w:r>
      <w:r w:rsidR="003342E4">
        <w:fldChar w:fldCharType="begin"/>
      </w:r>
      <w:r w:rsidR="004F07C0">
        <w:instrText xml:space="preserve"> ADDIN ZOTERO_ITEM CSL_CITATION {"citationID":"idfVzJ7A","properties":{"formattedCitation":"(2013b)","plainCitation":"(2013b)","noteIndex":0},"citationItems":[{"id":2452,"uris":["http://zotero.org/users/88665/items/2VRPE7NT"],"uri":["http://zotero.org/users/88665/items/2VRPE7NT"],"itemData":{"id":2452,"type":"article-journal","abstract":"Studies of coexisting, nominally anhydrous minerals in mantle samples show that clinopyroxene is an especially important host for hydrogen. Recent experimental studies have also shown that clinopyroxene may contain significant amounts of fluorine, which has implications for the F budget of the mantle. More accurate quantification of H and F is therefore a desirable goal.\nWe measured H in 13 natural clinopyroxenes using Fourier transform infrared (FTIR) spectroscopy. 16O1H/30Si and 19F/30Si were also measured in the samples using secondary ion mass spectrometry (SIMS). H data were compared between the two techniques and F was calculated with reference to F-bearing silicate glass standards. Four of the clinopyroxenes are used as standards for SIMS calibration in multiple laboratories, and three have been measured previously using hydrogen manometry and/or elastic recoil detection analysis. Compared to clinopyroxenes in previous surveys comparing FTIR and SIMS, the 13 samples cover a broader range in chemistry and band positions in the O-H vibrational spectrum. They also all lack detectable amphibole lamellae, which are otherwise commonly present in this mineral group. In contrast to orthopyroxene, the SIMS and FTIR data for clinopyroxene show significantly better correlations (r2 = 0.96–0.98) when the frequency-dependent IR calibration of Libowitzky and Rossman (1997) is applied, as opposed to the Bell et al. (1995) calibration (r2 = 0.92–93). We derive a frequency-dependent molar absorption coefficient with parameters different from those of Libowitzky and Rossman’s calibration, which was established using data on stoichiometric hydrous phases and gives poor agreement with the manometrically determined value for PMR-53. Comparison of data for PMR-53 to our SIMS calibrations for orthopyroxene and olivine suggests that the matrix effect among these phases is less than 20% relative. Fluorine concentrations vary depending on geological context, with the highest concentrations (up to 214 ppm) found in diopsides from crustal metamorphic environments. Mantle samples follow similar geographic trends as olivines and orthopyroxenes, with higher F in xenocrysts from Kilbourne Hole (46 ppm) and South African kimberlites (up to 29 ppm) compared to the Colorado Plateau (8 ppm). On the basis of chemical correlations, we propose two different incorporation mechanisms for F: (1) coupled subsititution with Al3+ and/or Fe3+ in tetrahedral sites; and (2) coupled substitution with monovalent cations (Na and K) in the M2 site. The second substitution is more relevant to mantle augites than crustal diopsides. Our measured F concentrations are much lower than those in some clinopyroxenes synthesized in recent high P-T studies. Nevertheless, our data support suggestions that the F budget of the mantle can be entirely accommodated by incorporation in nominally anhydrous/fluorine-free minerals.","container-title":"American Mineralogist","DOI":"10.2138/am.2013.4413","ISSN":"0003-004X,","issue":"5-6","journalAbbreviation":"American Mineralogist","language":"en","note":"00034","page":"1042-1054","source":"ammin.geoscienceworld.org","title":"Analysis of hydrogen and fluorine in pyroxenes: II. Clinopyroxene","title-short":"Analysis of hydrogen and fluorine in pyroxenes","volume":"98","author":[{"family":"Mosenfelder","given":"Jed L."},{"family":"Rossman","given":"George R."}],"issued":{"date-parts":[["2013",1,5]]}},"suppress-author":true}],"schema":"https://github.com/citation-style-language/schema/raw/master/csl-citation.json"} </w:instrText>
      </w:r>
      <w:r w:rsidR="003342E4">
        <w:fldChar w:fldCharType="separate"/>
      </w:r>
      <w:r w:rsidR="00636367">
        <w:t>(2013b)</w:t>
      </w:r>
      <w:r w:rsidR="003342E4">
        <w:fldChar w:fldCharType="end"/>
      </w:r>
      <w:r w:rsidR="003342E4" w:rsidRPr="00661AE1">
        <w:t>;</w:t>
      </w:r>
      <w:r w:rsidR="003342E4">
        <w:t xml:space="preserve"> Peslier &amp; Bizimis </w:t>
      </w:r>
      <w:r w:rsidR="003342E4">
        <w:fldChar w:fldCharType="begin"/>
      </w:r>
      <w:r w:rsidR="008E0CCC">
        <w:instrText xml:space="preserve"> ADDIN ZOTERO_ITEM CSL_CITATION {"citationID":"YYYxvZi0","properties":{"formattedCitation":"(2015)","plainCitation":"(2015)","noteIndex":0},"citationItems":[{"id":3647,"uris":["http://zotero.org/users/88665/items/VA7UGYMZ"],"uri":["http://zotero.org/users/88665/items/VA7UGYMZ"],"itemData":{"id":3647,"type":"article-journal","abstract":"The distribution of water concentrations in the oceanic upper mantle has drastic influence on its melting, rheology, and electrical and thermal conductivities and yet is primarily known indirectly from analyses of OIB and MORB. Here, actual mantle samples, eight peridotite xenoliths from Salt Lake Crater (SLC) and one from Pali in Oahu in Hawaii were analyzed by FTIR. Water contents of orthopyroxene, clinopyroxene, and the highest measured in olivine are 116–222, 246–442, and 10–26 ppm weight H2O, respectively. Although pyroxene water contents correlate with indices of partial melting, they are too high to be explained by simple melting modeling. Mantle-melt interaction modeling reproduces best the SLC data. These peridotites represent depleted oceanic mantle older than the Pacific lithosphere that has been refertilized by nephelinite melts containing &lt;5 weight % H2O. Metasomatism in the Hawaiian peridotites resulted in an apparent decoupling of water and LREE that can be reconciled via assimilation and fractional crystallization. Calculated bulk-rock water contents for SLC (50–96 ppm H2O) are on the low side of that of the MORB source (50–200 ppm H2O). Preceding metasomatism, the SLC peridotites must have been even drier, with a water content similar to that of the Pali peridotite (45 ppm H2O), a relatively unmetasomatized fragment of the Pacific lithosphere. Moreover, our data show that the oceanic mantle lithosphere above plumes is not necessarily enriched in water. Calculated viscosities using olivine water contents allow to estimate the depth of the lithosphere-asthenosphere boundary beneath Hawaii at </w:instrText>
      </w:r>
      <w:r w:rsidR="008E0CCC">
        <w:rPr>
          <w:rFonts w:ascii="Cambria Math" w:hAnsi="Cambria Math" w:cs="Cambria Math"/>
        </w:rPr>
        <w:instrText>∼</w:instrText>
      </w:r>
      <w:r w:rsidR="008E0CCC">
        <w:instrText xml:space="preserve">90 km.","container-title":"Geochemistry, Geophysics, Geosystems","DOI":"10.1002/2015GC005780","ISSN":"1525-2027","issue":"4","journalAbbreviation":"Geochemistry, Geophysics, Geosystems","language":"en","page":"1211-1232","source":"Wiley Online Library","title":"Water in Hawaiian peridotite minerals: A case for a dry metasomatized oceanic mantle lithosphere","title-short":"Water in Hawaiian peridotite minerals","volume":"16","author":[{"family":"Peslier","given":"Anne H."},{"family":"Bizimis","given":"Michael"}],"issued":{"date-parts":[["2015",4,1]]}},"suppress-author":true}],"schema":"https://github.com/citation-style-language/schema/raw/master/csl-citation.json"} </w:instrText>
      </w:r>
      <w:r w:rsidR="003342E4">
        <w:fldChar w:fldCharType="separate"/>
      </w:r>
      <w:r w:rsidR="00636367">
        <w:t>(2015)</w:t>
      </w:r>
      <w:r w:rsidR="003342E4">
        <w:fldChar w:fldCharType="end"/>
      </w:r>
      <w:r w:rsidR="003342E4">
        <w:t xml:space="preserve">; Peslier et al. </w:t>
      </w:r>
      <w:r w:rsidR="003342E4">
        <w:fldChar w:fldCharType="begin"/>
      </w:r>
      <w:r w:rsidR="008E0CCC">
        <w:instrText xml:space="preserve"> ADDIN ZOTERO_ITEM CSL_CITATION {"citationID":"Jb7oJPUU","properties":{"formattedCitation":"(2012)","plainCitation":"(2012)","noteIndex":0},"citationItems":[{"id":1658,"uris":["http://zotero.org/users/88665/items/96ANCCAX"],"uri":["http://zotero.org/users/88665/items/96ANCCAX"],"itemData":{"id":1658,"type":"article-journal","abstract":"Water and trace element contents were measured by FTIR and laser ablation-ICPMS on minerals from peridotite xenoliths in kimberlites of the Kaapvaal craton from Finsch, Kimberley, Jagersfontein (South Africa), Letseng-La-Terae, and Liqhobong (Lesotho) mines. The peridotites record a wide range of pressure, temperature, oxygen fugacity, and metasomatic events. Correlations between water content or OH vibration bands with major, minor and trace elements in pyroxene and garnet precludes disturbance during xenolith entrainment by the host kimberlite magma and indicate preservation of mantle water contents. Clinopyroxene water contents (150–400 ppm H2O, by weight) correlate with those of orthopyroxene (40–250 ppm). Olivines (Peslier et al., 2008, 2010) and garnets have 0–86 and 0–20 ppm H2O, respectively. Relations in individual xenolith suites between the amount of water and that of incompatible elements Ti, Na, Fe3+ and rare earths in minerals suggests that metasomatism by oxidizing melts controls the water content of olivine, pyroxene and garnet. At pressures </w:instrText>
      </w:r>
      <w:r w:rsidR="008E0CCC">
        <w:rPr>
          <w:rFonts w:ascii="Cambria Math" w:hAnsi="Cambria Math" w:cs="Cambria Math"/>
        </w:rPr>
        <w:instrText>⩽</w:instrText>
      </w:r>
      <w:r w:rsidR="008E0CCC">
        <w:instrText xml:space="preserve">5.5 GPa, hydrous, alkaline, siliceous fluids or melts metasomatized Liqhobong and Kimberley peridotites, producing high water contents in their olivine, pyroxenes and garnet. At higher pressures, the percolation of ultramafic melts reacting with peridotite resulted in co-variation of Ca, Ti and water at the edge of garnets at Jagersfontein, and the overall crystallization of garnet with lower water contents than those in the original peridotites. The upward migration of these ultramafic melts through the lithospheric mantle also increased the water content of olivines with decreasing pressure at Finsch Mine. H2O/Ce ratios of melts in equilibrium with Kaapvaal peridotites range from 100 to 20,000 and the larger values may indicate metasomatism in subduction zone settings. Metasomatic events in Kaapvaal peridotites are thought to have occurred from the Archean to the Mesozoic. However, circumstantial evidence suggest that the metasomatic events responsible for setting the water contents may date from the Archean at Kimberley and from the Proterozoic at Jagersfontein. Combined water with Lu–Hf and Sm–Nd isotopic data at Finsch (Lazarov et al., in press-a) and with Ar–Ar phlogopite ages at Liqhobong (Hopp et al., 2008) indicates that water addition by metasomatic melts occurred in the Proterozoic. Water contents of mantle minerals in Kaapvaal xenoliths measured here have been preserved since that time and can consequently be used in modelling viscosity and longevity of cratonic roots since at least the mid-Proterozoic.","container-title":"Geochimica et Cosmochimica Acta","DOI":"10.1016/j.gca.2012.08.028","ISSN":"0016-7037","issue":"0","journalAbbreviation":"Geochimica et Cosmochimica Acta","page":"213-246","source":"ScienceDirect","title":"Metasomatic control of water contents in the Kaapvaal cratonic mantle","volume":"97","author":[{"family":"Peslier","given":"A.H."},{"family":"Woodland","given":"A.B."},{"family":"Bell","given":"D.R."},{"family":"Lazarov","given":"M."},{"family":"Lapen","given":"T.J."}],"issued":{"date-parts":[["2012",11,15]]}},"suppress-author":true}],"schema":"https://github.com/citation-style-language/schema/raw/master/csl-citation.json"} </w:instrText>
      </w:r>
      <w:r w:rsidR="003342E4">
        <w:fldChar w:fldCharType="separate"/>
      </w:r>
      <w:r w:rsidR="00636367">
        <w:t>(2012)</w:t>
      </w:r>
      <w:r w:rsidR="003342E4">
        <w:fldChar w:fldCharType="end"/>
      </w:r>
      <w:r w:rsidR="003342E4">
        <w:t xml:space="preserve">; Schaffer et al. </w:t>
      </w:r>
      <w:r w:rsidR="003342E4">
        <w:fldChar w:fldCharType="begin"/>
      </w:r>
      <w:r w:rsidR="008E0CCC">
        <w:instrText xml:space="preserve"> ADDIN ZOTERO_ITEM CSL_CITATION {"citationID":"qawkjl6D","properties":{"formattedCitation":"(2018)","plainCitation":"(2018)","noteIndex":0},"citationItems":[{"id":3924,"uris":["http://zotero.org/users/88665/items/7AP93DLJ"],"uri":["http://zotero.org/users/88665/items/7AP93DLJ"],"itemData":{"id":3924,"type":"article-journal","abstract":"The distribution of water in the upper mantle plays a crucial role in the Earth's deep water cycle, magmatism, and plate tectonics. To better constrain how these large-scale geochemical systems operate, peridotite and pyroxenite mantle xenoliths from Kilbourne Hole (KH) and Rio Puerco (RP) along the Rio Grande Rift (NM, USA) were analyzed for water, and major and trace element contents. These xenoliths sample a lithosphere whose composition was influenced by subduction and rifting, and can be used to examine the effects of melting, metasomatism, and sub-solidus equilibration on the behavior of water. The first result is that in KH xenoliths, olivines underwent negligible H loss during xenolith ascent, i.e. preserved their mantle water contents. These olivine water contents are used to calculate mantle viscosities of 0.5-184 1021 Pa.s. These viscosity values are more than 40 times higher than those of the asthenosphere and show that KH peridotites represent samples from the lithosphere. The preservation of olivine water contents is exceptional for off-cratonic xenoliths, and the KH peridotites provide the first estimate of the average concentration of water in Phanerozoic continental mantle lithosphere at 81 ±30 ppm H2O. The mantle lithosphere beneath the Rio Grande rift is nevertheless heterogeneous with water contents ranging from &lt;0.5 to 120 ppm H2O in peridotites and from 227 to 400 ppm H2O in pyroxenites. A composite KH xenolith of a harzburgite cross-cut by a clinopyroxenite vein shows this heterogeneity at the cm scale. The second contribution of this study stems from the majority of the KH peridotites and two of the RP peridotites having major and trace elements that can be explained by partial melting without any need to invoke metasomatic processes. This allows to show that, prior to modelling the water content variation of each peridotite mineral during melting, a correction for sub-solidus equilibration has to be applied to the water contents of the minerals. Sub-solidus equilibration also provides an explanation for the discrepancy between the clinopyroxene/orthopyroxene ratio of water contents in natural peridotites worldwide and in laboratory experiments on water partitioning in peridotite minerals. Finally, the cryptically metasomatized peridotites, rare at KH and abundant at RP, as well as the pyroxenites, permit to decipher the origin and water contents of the metasomatic melts that affected the continental lithosphere beneath the Rio Grande Rift. Trace element modelling of the metasomatized KH and RP peridotites are consistent with metasomatism via melts that are of subduction origin. Melts in equilibrium with peridotites contain more water at RP (</w:instrText>
      </w:r>
      <w:r w:rsidR="008E0CCC">
        <w:rPr>
          <w:rFonts w:ascii="Cambria Math" w:hAnsi="Cambria Math" w:cs="Cambria Math"/>
        </w:rPr>
        <w:instrText>∼</w:instrText>
      </w:r>
      <w:r w:rsidR="008E0CCC">
        <w:instrText>1 wt % H2O) than at KH (</w:instrText>
      </w:r>
      <w:r w:rsidR="008E0CCC">
        <w:rPr>
          <w:rFonts w:ascii="Cambria Math" w:hAnsi="Cambria Math" w:cs="Cambria Math"/>
        </w:rPr>
        <w:instrText>∼</w:instrText>
      </w:r>
      <w:r w:rsidR="008E0CCC">
        <w:instrText xml:space="preserve">0.5 wt % H2O), although this did not result in a more water-rich mantle lithosphere at RP. Rio Puerco lies within the northern Rio Grande rift, proposed to have been affected by a flat slab subduction, which may explain the more hydrous and extensive metasomatism compared to the south, where KH is located.","container-title":"Geochimica et Cosmochimica Acta","DOI":"10.1016/j.gca.2018.10.005","ISSN":"0016-7037","journalAbbreviation":".10.1016/j.gca.2018.10.005","page":"10.1016/j.gca.2018.10.005","source":"ScienceDirect","title":"Effects of melting, subduction-related metasomatism, and sub-solidus equilibration on the distribution of water contents in the mantle beneath the Rio Grande Rift","author":[{"family":"Schaffer","given":"Lillian A."},{"family":"Peslier","given":"Anne H."},{"family":"Brandon","given":"Alan D."},{"family":"Bizimis","given":"Michael"},{"family":"Gibler","given":"Robert"},{"family":"Norman","given":"Marc"},{"family":"Harvey","given":"Jason"}],"issued":{"date-parts":[["2018",10,13]]}},"suppress-author":true}],"schema":"https://github.com/citation-style-language/schema/raw/master/csl-citation.json"} </w:instrText>
      </w:r>
      <w:r w:rsidR="003342E4">
        <w:fldChar w:fldCharType="separate"/>
      </w:r>
      <w:r w:rsidR="00636367">
        <w:t>(2018)</w:t>
      </w:r>
      <w:r w:rsidR="003342E4">
        <w:fldChar w:fldCharType="end"/>
      </w:r>
      <w:r w:rsidR="003342E4">
        <w:t xml:space="preserve">; Urann et al. (2017); Warren &amp; Hauri (2014);Yu et al. </w:t>
      </w:r>
      <w:r w:rsidR="003342E4">
        <w:fldChar w:fldCharType="begin"/>
      </w:r>
      <w:r w:rsidR="008E0CCC">
        <w:instrText xml:space="preserve"> ADDIN ZOTERO_ITEM CSL_CITATION {"citationID":"j0ugO07K","properties":{"formattedCitation":"(2011)","plainCitation":"(2011)","noteIndex":0},"citationItems":[{"id":3716,"uris":["http://zotero.org/users/88665/items/MPV3TAV3"],"uri":["http://zotero.org/users/88665/items/MPV3TAV3"],"itemData":{"id":3716,"type":"article-journal","abstract":"The water contents of nominally anhydrous minerals (NAMs) in 35 peridotite xenoliths have been analyzed by Fourier transform infrared spectrometry (FTIR). The xenoliths are hosted by Cenozoic volcanic rocks from four localities (Mingxi, Anyuan, Niutoushan and Qilin) in the Cathaysia Block, SE China. Water contents of clinopyroxene (cpx), orthopyroxene (opx), and olivine (ol) range from 58 to 488ppm, 38 to 213ppm, and 0 to 41ppm, respectively. Water contents of cpx are positively correlated with Na and Al, and negatively correlated with Mg and Ca. Considering (1) the homogeneity of water distribution within single pyroxene grains; (2) the partitioning of water between cpx and opx with an average Dcpx/opx of 2.3; and (3) the correlations between the water contents and major element concentrations in cpx, it is suggested that the pyroxenes have largely preserved the water content of their mantle source. The whole-rock water contents calculated from mineral modes range from 12 to 94ppm (average 60±20ppm). This is much higher than the previously-reported water contents of xenoliths from the North China Craton (NCC) (average 26±17ppm). However, it is still quite low compared to those of continental lithospheric mantle worldwide, as inferred from analyses of typical cratonic (122±54ppm) and off-craton (81±40ppm) peridotites. The SCLM beneath the Cathaysia block is a medium-poor water reservoir; this can be explained by the refertilization of old lithospheric mantle which has undergone multiple geological events through time. Water itself plays an important role during the modification of the subcontinental lithospheric mantle. The wet and fertile garnet-facies peridotites found in the Mingxi locality represent the accretion of young lithosphere near the lithosphere–asthenosphere boundary, with almost no melt extraction. This process marks the completion of the lithospheric thinning and the upwelling of asthenosphere. A negative correlation between pyroxene water contents and the oxygen fugacity has only been found in xenoliths from Niutoushan (Mg#&lt;90), which lies on the Changle–Nan'ao fault zone. The fault may have facilitated the infiltration of Niutoushan peridotites by oxidized fluids (or hydrous melts) rising from the subducting Pacific plate.","container-title":"Lithos","DOI":"10.1016/j.lithos.2011.07.009","ISSN":"0024-4937","issue":"3","journalAbbreviation":"Lithos","page":"182-197","source":"ScienceDirect","title":"H2O contents and their modification in the Cenozoic subcontinental lithospheric mantle beneath the Cathaysia block, SE China","volume":"126","author":[{"family":"Yu","given":"Yao"},{"family":"Xu","given":"Xi-Sheng"},{"family":"Griffin","given":"William L."},{"family":"O'Reilly","given":"Suzanne Y."},{"family":"Xia","given":"Qun-Ke"}],"issued":{"date-parts":[["2011",10,1]]}},"suppress-author":true}],"schema":"https://github.com/citation-style-language/schema/raw/master/csl-citation.json"} </w:instrText>
      </w:r>
      <w:r w:rsidR="003342E4">
        <w:fldChar w:fldCharType="separate"/>
      </w:r>
      <w:r w:rsidR="00636367">
        <w:t>(2011)</w:t>
      </w:r>
      <w:r w:rsidR="003342E4">
        <w:fldChar w:fldCharType="end"/>
      </w:r>
      <w:r w:rsidR="003342E4">
        <w:t xml:space="preserve">. </w:t>
      </w:r>
    </w:p>
    <w:p w14:paraId="684AC5B5" w14:textId="77777777" w:rsidR="00490FC7" w:rsidRDefault="00490FC7" w:rsidP="00C20C0B">
      <w:pPr>
        <w:spacing w:line="480" w:lineRule="auto"/>
        <w:jc w:val="both"/>
      </w:pPr>
    </w:p>
    <w:p w14:paraId="1F97555C" w14:textId="6EF9E435" w:rsidR="00ED3E00" w:rsidRDefault="00490FC7" w:rsidP="00C20C0B">
      <w:pPr>
        <w:spacing w:line="480" w:lineRule="auto"/>
        <w:jc w:val="both"/>
      </w:pPr>
      <w:r>
        <w:t xml:space="preserve">Figure </w:t>
      </w:r>
      <w:r w:rsidR="00270819">
        <w:t>7</w:t>
      </w:r>
      <w:r>
        <w:t xml:space="preserve">. Mantle clinopyroxenes from southern Patagonia (Pali Aike) and the Antarctic Peninsula show a </w:t>
      </w:r>
      <w:r w:rsidR="009C76A4">
        <w:t xml:space="preserve">strong correlation between Ti and F. The limited </w:t>
      </w:r>
      <w:r w:rsidR="009A07FB">
        <w:t xml:space="preserve">F </w:t>
      </w:r>
      <w:r w:rsidR="009C76A4">
        <w:t>datasets for mantle clinopyroxenes from</w:t>
      </w:r>
      <w:r w:rsidR="0019760B">
        <w:t xml:space="preserve"> peridotites in</w:t>
      </w:r>
      <w:r w:rsidR="009C76A4">
        <w:t xml:space="preserve"> </w:t>
      </w:r>
      <w:r w:rsidR="00811EF5">
        <w:t>“</w:t>
      </w:r>
      <w:r w:rsidR="0019760B">
        <w:t>on-</w:t>
      </w:r>
      <w:r w:rsidR="00811EF5">
        <w:t xml:space="preserve">“ </w:t>
      </w:r>
      <w:r w:rsidR="0019760B">
        <w:t xml:space="preserve">and </w:t>
      </w:r>
      <w:r w:rsidR="00811EF5">
        <w:t>“</w:t>
      </w:r>
      <w:r w:rsidR="0019760B">
        <w:t>off-craton</w:t>
      </w:r>
      <w:r w:rsidR="00811EF5">
        <w:t>”</w:t>
      </w:r>
      <w:r w:rsidR="0019760B">
        <w:t xml:space="preserve"> settings together with</w:t>
      </w:r>
      <w:r w:rsidR="00217E9F">
        <w:t xml:space="preserve"> abyssal peridotites show similar although less well-defined trends. Data </w:t>
      </w:r>
      <w:r w:rsidR="00217E9F" w:rsidRPr="009B315C">
        <w:t>sources are as follows:</w:t>
      </w:r>
      <w:r w:rsidR="00947A10">
        <w:t xml:space="preserve"> </w:t>
      </w:r>
      <w:r w:rsidR="004F299E">
        <w:t>This work;</w:t>
      </w:r>
      <w:r w:rsidR="00D47845">
        <w:t xml:space="preserve"> Bénard et al. </w:t>
      </w:r>
      <w:r w:rsidR="00D47845">
        <w:fldChar w:fldCharType="begin"/>
      </w:r>
      <w:r w:rsidR="008E0CCC">
        <w:instrText xml:space="preserve"> ADDIN ZOTERO_ITEM CSL_CITATION {"citationID":"GCGNua8v","properties":{"formattedCitation":"(2017)","plainCitation":"(2017)","noteIndex":0},"citationItems":[{"id":3661,"uris":["http://zotero.org/users/88665/items/TG65ICJT"],"uri":["http://zotero.org/users/88665/items/TG65ICJT"],"itemData":{"id":3661,"type":"article-journal","abstract":"We report chlorine (Cl) and fluorine (F) abundances in minerals, interstitial glasses, and melt inclusions in 12 andesite-hosted, spinel harzburgite xenoliths and crosscutting pyroxenite veins exhumed from the sub-arc lithospheric mantle beneath Avacha volcano in the Kamchatka Arc (NE Russia). The data are used to calculate equilibrium mineral-melt partition coefficients ( D mineral / melt ) for Cl and F relevant to subduction-zone processes and unravel the history of volatile depletion and enrichment mechanisms in an arc setting.\nChlorine is </w:instrText>
      </w:r>
      <w:r w:rsidR="008E0CCC">
        <w:rPr>
          <w:rFonts w:ascii="Cambria Math" w:hAnsi="Cambria Math" w:cs="Cambria Math"/>
        </w:rPr>
        <w:instrText>∼</w:instrText>
      </w:r>
      <w:r w:rsidR="008E0CCC">
        <w:instrText xml:space="preserve">100 times more incompatible in pyroxenes ( D Cl mineral / melt = 0.005–0.008 [±0.002–0.003]) than F ( D F mineral / melt = 0.50–0.57 [±0.21–0.24]), which indicates that partial melting of mantle sources leads to strong depletions in Cl relative to F in the residues. The data set in this study suggests a strong control of melt composition on D Cl , F pyroxene / melt , in particular H2O contents and Al/(Al + Si), which is in line with recent experiments. Fluorine is compatible in Ca-amphibole in the ‘wet’ sub-arc mantle ( D F amphibole / melt = 3.5–3.7 [±1.5]) but not Cl ( D Cl amphibole / melt = 0.03–0.05 [±0.01–0.03]), indicating that amphibole may fractionate F from Cl in the mantle wedge. The inter-mineral partition coefficients for Cl and F in this study are consistent amongst different harzburgite samples, whether they contain glass or not. In particular, disseminated amphibole hosts much of the Cl and F bulk rock budgets of spinel harzburgites ( D Cl amphibole / pyroxene up to 14 and D F amphibole / pyroxene up to 40). Chlorine and fluorine are variably enriched (up to 1500 ppm Cl and 750 ppm F) in the parental arc picrite and boninite melts of primitive pyroxenite veins (and related melt inclusions) crosscutting spinel harzburgites.\nBased on the data in this study, the main inferences on the behaviour of Cl and F during melting and metasomatic processes in the sub-arc mantle are as follow:\n(i) Melting models show that most depleted mantle protoliths of intra-oceanic arc sources can have extremely low Cl/F (0.002–0.007) before being overprinted by subduction-derived components.\n(ii) Chlorine has a higher percolation distance in the mantle than F. Even for small fluid or melt volumes, Cl and F signatures of partial melting are overprinted by those of pervasive percolation, which increases Cl/F in percolating agents and bulk peridotites during chromatographic interaction and/or amphibole-forming metasomatic reactions. These processes ultimately control the bulk Cl and F compositions of the residual mantle lithosphere beneath arcs, and likely in other tectonic settings.\n(iii) Fluxed melting models suggest that Cl enrichment in arc picrite and boninite melts in this study, and in many arc melt inclusions reported in the literature, could be related to the infiltration of high Cl/F fluids derived from subducted serpentinite or altered crust in mantle wedge sources. However, these high Cl/F signatures should be re-evaluated with new models in light of the possible overprint of pervasive percolation effects in the mantle. The breakdown of amphibole (and/or mica) in the deep metasomatised mantle at higher pressure and temperature conditions than in the slab may explain, at least in part, the positive correlations between F abundances and Cl/F in primitive arc melt inclusions and slab depth.","container-title":"Geochimica et Cosmochimica Acta","DOI":"10.1016/j.gca.2016.10.035","ISSN":"0016-7037","journalAbbreviation":"Geochimica et Cosmochimica Acta","page":"324-350","source":"ScienceDirect","title":"Chlorine and fluorine partition coefficients and abundances in sub-arc mantle xenoliths (Kamchatka, Russia): Implications for melt generation and volatile recycling processes in subduction zones","title-short":"Chlorine and fluorine partition coefficients and abundances in sub-arc mantle xenoliths (Kamchatka, Russia)","volume":"199","author":[{"family":"Bénard","given":"A."},{"family":"Koga","given":"K. T."},{"family":"Shimizu","given":"N."},{"family":"Kendrick","given":"M. A."},{"family":"Ionov","given":"D. A."},{"family":"Nebel","given":"O."},{"family":"Arculus","given":"R. J."}],"issued":{"date-parts":[["2017",2,15]]}},"suppress-author":true}],"schema":"https://github.com/citation-style-language/schema/raw/master/csl-citation.json"} </w:instrText>
      </w:r>
      <w:r w:rsidR="00D47845">
        <w:fldChar w:fldCharType="separate"/>
      </w:r>
      <w:r w:rsidR="00636367">
        <w:t>(2017)</w:t>
      </w:r>
      <w:r w:rsidR="00D47845">
        <w:fldChar w:fldCharType="end"/>
      </w:r>
      <w:r w:rsidR="00D47845">
        <w:t xml:space="preserve">; </w:t>
      </w:r>
      <w:r w:rsidR="00C07C0E">
        <w:t xml:space="preserve">Kumamoto et al. (2017); </w:t>
      </w:r>
      <w:r w:rsidR="00D47845" w:rsidRPr="00661AE1">
        <w:t xml:space="preserve">Mossenfelder &amp; Rossman </w:t>
      </w:r>
      <w:r w:rsidR="00D47845">
        <w:fldChar w:fldCharType="begin"/>
      </w:r>
      <w:r w:rsidR="004F07C0">
        <w:instrText xml:space="preserve"> ADDIN ZOTERO_ITEM CSL_CITATION {"citationID":"PJuvz0tH","properties":{"formattedCitation":"(2013b)","plainCitation":"(2013b)","noteIndex":0},"citationItems":[{"id":2452,"uris":["http://zotero.org/users/88665/items/2VRPE7NT"],"uri":["http://zotero.org/users/88665/items/2VRPE7NT"],"itemData":{"id":2452,"type":"article-journal","abstract":"Studies of coexisting, nominally anhydrous minerals in mantle samples show that clinopyroxene is an especially important host for hydrogen. Recent experimental studies have also shown that clinopyroxene may contain significant amounts of fluorine, which has implications for the F budget of the mantle. More accurate quantification of H and F is therefore a desirable goal.\nWe measured H in 13 natural clinopyroxenes using Fourier transform infrared (FTIR) spectroscopy. 16O1H/30Si and 19F/30Si were also measured in the samples using secondary ion mass spectrometry (SIMS). H data were compared between the two techniques and F was calculated with reference to F-bearing silicate glass standards. Four of the clinopyroxenes are used as standards for SIMS calibration in multiple laboratories, and three have been measured previously using hydrogen manometry and/or elastic recoil detection analysis. Compared to clinopyroxenes in previous surveys comparing FTIR and SIMS, the 13 samples cover a broader range in chemistry and band positions in the O-H vibrational spectrum. They also all lack detectable amphibole lamellae, which are otherwise commonly present in this mineral group. In contrast to orthopyroxene, the SIMS and FTIR data for clinopyroxene show significantly better correlations (r2 = 0.96–0.98) when the frequency-dependent IR calibration of Libowitzky and Rossman (1997) is applied, as opposed to the Bell et al. (1995) calibration (r2 = 0.92–93). We derive a frequency-dependent molar absorption coefficient with parameters different from those of Libowitzky and Rossman’s calibration, which was established using data on stoichiometric hydrous phases and gives poor agreement with the manometrically determined value for PMR-53. Comparison of data for PMR-53 to our SIMS calibrations for orthopyroxene and olivine suggests that the matrix effect among these phases is less than 20% relative. Fluorine concentrations vary depending on geological context, with the highest concentrations (up to 214 ppm) found in diopsides from crustal metamorphic environments. Mantle samples follow similar geographic trends as olivines and orthopyroxenes, with higher F in xenocrysts from Kilbourne Hole (46 ppm) and South African kimberlites (up to 29 ppm) compared to the Colorado Plateau (8 ppm). On the basis of chemical correlations, we propose two different incorporation mechanisms for F: (1) coupled subsititution with Al3+ and/or Fe3+ in tetrahedral sites; and (2) coupled substitution with monovalent cations (Na and K) in the M2 site. The second substitution is more relevant to mantle augites than crustal diopsides. Our measured F concentrations are much lower than those in some clinopyroxenes synthesized in recent high P-T studies. Nevertheless, our data support suggestions that the F budget of the mantle can be entirely accommodated by incorporation in nominally anhydrous/fluorine-free minerals.","container-title":"American Mineralogist","DOI":"10.2138/am.2013.4413","ISSN":"0003-004X,","issue":"5-6","journalAbbreviation":"American Mineralogist","language":"en","note":"00034","page":"1042-1054","source":"ammin.geoscienceworld.org","title":"Analysis of hydrogen and fluorine in pyroxenes: II. Clinopyroxene","title-short":"Analysis of hydrogen and fluorine in pyroxenes","volume":"98","author":[{"family":"Mosenfelder","given":"Jed L."},{"family":"Rossman","given":"George R."}],"issued":{"date-parts":[["2013",1,5]]}},"suppress-author":true}],"schema":"https://github.com/citation-style-language/schema/raw/master/csl-citation.json"} </w:instrText>
      </w:r>
      <w:r w:rsidR="00D47845">
        <w:fldChar w:fldCharType="separate"/>
      </w:r>
      <w:r w:rsidR="00636367">
        <w:t>(2013b)</w:t>
      </w:r>
      <w:r w:rsidR="00D47845">
        <w:fldChar w:fldCharType="end"/>
      </w:r>
      <w:r w:rsidR="00D47845" w:rsidRPr="00661AE1">
        <w:t>;</w:t>
      </w:r>
      <w:r w:rsidR="00ED3E00">
        <w:t xml:space="preserve"> </w:t>
      </w:r>
      <w:r w:rsidR="00FA00FF">
        <w:t xml:space="preserve">Urann et al. (2017); </w:t>
      </w:r>
      <w:r w:rsidR="00D47845">
        <w:t>Warren &amp; Hauri (2014)</w:t>
      </w:r>
      <w:r w:rsidR="00ED3E00">
        <w:t xml:space="preserve">. </w:t>
      </w:r>
      <w:r w:rsidR="00135606">
        <w:t>Analyses are by Secondary Ion Mass Spectro</w:t>
      </w:r>
      <w:r w:rsidR="006450A2">
        <w:t>metr</w:t>
      </w:r>
      <w:r w:rsidR="00135606">
        <w:t xml:space="preserve">y and only shown for clinopyroxenes with F concentrations above 5 </w:t>
      </w:r>
      <w:r w:rsidR="00C5757D">
        <w:t>ppmw</w:t>
      </w:r>
      <w:r w:rsidR="0059597C">
        <w:t xml:space="preserve"> (</w:t>
      </w:r>
      <w:r w:rsidR="0059597C" w:rsidRPr="009D37AD">
        <w:rPr>
          <w:b/>
        </w:rPr>
        <w:t>See Supplementary File</w:t>
      </w:r>
      <w:r w:rsidR="0059597C">
        <w:t>)</w:t>
      </w:r>
      <w:r w:rsidR="00135606">
        <w:t>, except for the data of Urann et al. (2017) wh</w:t>
      </w:r>
      <w:r w:rsidR="0059597C">
        <w:t>o used</w:t>
      </w:r>
      <w:r w:rsidR="0059597C" w:rsidRPr="0059597C">
        <w:t xml:space="preserve"> an optical quality glass </w:t>
      </w:r>
      <w:r w:rsidR="00811EF5">
        <w:t>(</w:t>
      </w:r>
      <w:r w:rsidR="0059597C" w:rsidRPr="0059597C">
        <w:t>Herasil 102</w:t>
      </w:r>
      <w:r w:rsidR="00811EF5">
        <w:t>)</w:t>
      </w:r>
      <w:r w:rsidR="0059597C">
        <w:t xml:space="preserve"> </w:t>
      </w:r>
      <w:r w:rsidR="0059597C" w:rsidRPr="0059597C">
        <w:t xml:space="preserve">and </w:t>
      </w:r>
      <w:r w:rsidR="00811EF5">
        <w:t>s</w:t>
      </w:r>
      <w:r w:rsidR="00811EF5" w:rsidRPr="0059597C">
        <w:t xml:space="preserve">ynthetic </w:t>
      </w:r>
      <w:r w:rsidR="00811EF5">
        <w:t>f</w:t>
      </w:r>
      <w:r w:rsidR="00811EF5" w:rsidRPr="0059597C">
        <w:t>orsterite</w:t>
      </w:r>
      <w:r w:rsidR="00811EF5">
        <w:t xml:space="preserve"> </w:t>
      </w:r>
      <w:r w:rsidR="0059597C">
        <w:t xml:space="preserve">to calculate a </w:t>
      </w:r>
      <w:r w:rsidR="00135606">
        <w:t xml:space="preserve">detection limit </w:t>
      </w:r>
      <w:r w:rsidR="0059597C">
        <w:t>for F of</w:t>
      </w:r>
      <w:r w:rsidR="00135606">
        <w:t xml:space="preserve"> 0.4 </w:t>
      </w:r>
      <w:r w:rsidR="00C5757D">
        <w:t>ppmw</w:t>
      </w:r>
      <w:r w:rsidR="00135606">
        <w:t>.</w:t>
      </w:r>
    </w:p>
    <w:p w14:paraId="4972749D" w14:textId="77777777" w:rsidR="009A07FB" w:rsidRDefault="009A07FB" w:rsidP="00C20C0B">
      <w:pPr>
        <w:spacing w:line="480" w:lineRule="auto"/>
        <w:jc w:val="both"/>
      </w:pPr>
    </w:p>
    <w:p w14:paraId="7C277154" w14:textId="3FBE0FAF" w:rsidR="00D938E6" w:rsidRDefault="00D938E6" w:rsidP="00C20C0B">
      <w:pPr>
        <w:spacing w:line="480" w:lineRule="auto"/>
        <w:jc w:val="both"/>
      </w:pPr>
      <w:r>
        <w:t>F</w:t>
      </w:r>
      <w:r w:rsidRPr="00EC6DAE">
        <w:t>igure</w:t>
      </w:r>
      <w:r>
        <w:t xml:space="preserve"> 8</w:t>
      </w:r>
      <w:r w:rsidRPr="0009541B">
        <w:t xml:space="preserve">. </w:t>
      </w:r>
      <w:r>
        <w:t xml:space="preserve">Kernel density plots </w:t>
      </w:r>
      <w:r w:rsidR="00A31B44">
        <w:t>to show the variability of</w:t>
      </w:r>
      <w:r>
        <w:t xml:space="preserve"> </w:t>
      </w:r>
      <w:r w:rsidR="00A31B44">
        <w:t xml:space="preserve">(a) </w:t>
      </w:r>
      <w:r>
        <w:t>H</w:t>
      </w:r>
      <w:r w:rsidR="00A31B44" w:rsidRPr="00812FBF">
        <w:rPr>
          <w:vertAlign w:val="subscript"/>
        </w:rPr>
        <w:t>2</w:t>
      </w:r>
      <w:r w:rsidR="00A31B44">
        <w:t>O and (b) F</w:t>
      </w:r>
      <w:r>
        <w:t xml:space="preserve"> </w:t>
      </w:r>
      <w:r w:rsidR="00A31B44">
        <w:t>in mantle peridotites and pyroxenites from different tectonic settings</w:t>
      </w:r>
      <w:r>
        <w:t xml:space="preserve">. </w:t>
      </w:r>
      <w:r w:rsidR="00A31B44">
        <w:t>Note that the data for F are much sparser than for H</w:t>
      </w:r>
      <w:r w:rsidR="00A31B44" w:rsidRPr="00812FBF">
        <w:rPr>
          <w:vertAlign w:val="subscript"/>
        </w:rPr>
        <w:t>2</w:t>
      </w:r>
      <w:r w:rsidR="00A31B44">
        <w:t xml:space="preserve">O. </w:t>
      </w:r>
      <w:r>
        <w:t>S</w:t>
      </w:r>
      <w:r w:rsidRPr="0009541B">
        <w:rPr>
          <w:color w:val="000000" w:themeColor="text1"/>
        </w:rPr>
        <w:t xml:space="preserve">ources are as follows: </w:t>
      </w:r>
      <w:r>
        <w:t xml:space="preserve">This work; </w:t>
      </w:r>
      <w:r w:rsidRPr="0007400D">
        <w:rPr>
          <w:color w:val="000000" w:themeColor="text1"/>
        </w:rPr>
        <w:t xml:space="preserve">Bizimis &amp; Peslier (2015); </w:t>
      </w:r>
      <w:r w:rsidRPr="006319B6">
        <w:rPr>
          <w:color w:val="000000" w:themeColor="text1"/>
        </w:rPr>
        <w:t xml:space="preserve">Demouchy et al. </w:t>
      </w:r>
      <w:r w:rsidRPr="006319B6">
        <w:rPr>
          <w:color w:val="000000" w:themeColor="text1"/>
        </w:rPr>
        <w:fldChar w:fldCharType="begin"/>
      </w:r>
      <w:r w:rsidR="008E0CCC">
        <w:rPr>
          <w:color w:val="000000" w:themeColor="text1"/>
        </w:rPr>
        <w:instrText xml:space="preserve"> ADDIN ZOTERO_ITEM CSL_CITATION {"citationID":"jWhPICDn","properties":{"formattedCitation":"(2015)","plainCitation":"(2015)","noteIndex":0},"citationItems":[{"id":2848,"uris":["http://zotero.org/users/88665/items/FMMPVZQR"],"uri":["http://zotero.org/users/88665/items/FMMPVZQR"],"itemData":{"id":2848,"type":"article-journal","abstract":"We report concentrations of hydrogen (H) in upper mantle minerals of peridotites (olivine and pyroxenes) transported by alnöitic lavas, which erupted on the southwestern border of the Ontong Java Plateau (Malaita, Solomon Islands, West Pacific). Unpolarized FTIR analyses show that olivine, orthopyroxene, and diopside contain 2–32 ppm, 162–362 ppm and 159–459 ppm wt H2O, respectively. In the studied lherzolites, garnets are anhydrous. The concentration of hydrogen within individual olivine and pyroxene grains is almost homogeneous, indicating no evidence of dehydration or hydration by ionic diffusion. In the lherzolite, the concentration of hydrogen in olivine tends to increase weakly with depth (based on geothermobarometry), consistent with the increase of water solubility with increasing water fugacity as a function of pressure, but concentrations remain well below water-saturation values determined experimentally. The highest concentration of H in olivine (32 ppm wt H2O) is, however, found in refractory spinel harzburgites, which equilibrated at depths of 85 km., while deeper specimens as the high-temperature spinel harzburgites, and some of the garnet lherzolites, contain less hydrogen in olivine. Olivines from pyroxene- or pargasite-rich peridotites have also lower hydrogen concentrations. We interpret the high hydrogen concentrations in olivine from the refractory spinel harzburgites as due to (1) simultaneous hydration and metasomatism of the lithospheric mantle by a water-rich silicate melt/fluid, during which hydrogen follows MREE and where spinel harzburgite have experienced ‘stealth’ metasomatism, and/or (2) to a late ‘fleeting’ hydrogen metasomatism, which would hydrate the rock after this first ‘stealth’ metasomatism event. In the second case, the composition of the ‘fleeting’ percolating fluid (small volume fraction of very evolved fluids, with high volatiles concentration and transient properties) is likely to be linked to the decrease of the plume activity and resulting in the downwelling of the lithosphere asthenosphere boundary. The difference in hydrogen concentration between harzburgites and lherzolites could be linked to variation in trace elements in olivine induced by the first ‘stealth’ metasomatism alone or associated to the late ‘fleeting’ hydrogen metasomatism, triggered by the lack of secondary crystallization of clinopyroxenes in the harzburgite. To conclude, H concentrations in upper mantle minerals may thus be correlated to metasomatic events, with the later yielding variation of the mineral assemblage and trace element composition that constitute the peridotites.","container-title":"Lithos","DOI":"10.1016/j.lithos.2014.11.005","ISSN":"0024-4937","journalAbbreviation":"Lithos","note":"00000","page":"189-201","source":"ScienceDirect","title":"Characterization of hydration in the mantle lithosphere: Peridotite xenoliths from the Ontong Java Plateau as an example","title-short":"Characterization of hydration in the mantle lithosphere","volume":"212–215","author":[{"family":"Demouchy","given":"Sylvie"},{"family":"Ishikawa","given":"Akira"},{"family":"Tommasi","given":"Andréa"},{"family":"Alard","given":"Olivier"},{"family":"Keshav","given":"Shantanu"}],"issued":{"date-parts":[["2015",1]]}},"suppress-author":true}],"schema":"https://github.com/citation-style-language/schema/raw/master/csl-citation.json"} </w:instrText>
      </w:r>
      <w:r w:rsidRPr="006319B6">
        <w:rPr>
          <w:color w:val="000000" w:themeColor="text1"/>
        </w:rPr>
        <w:fldChar w:fldCharType="separate"/>
      </w:r>
      <w:r w:rsidR="00636367">
        <w:rPr>
          <w:color w:val="000000" w:themeColor="text1"/>
        </w:rPr>
        <w:t>(2015)</w:t>
      </w:r>
      <w:r w:rsidRPr="006319B6">
        <w:rPr>
          <w:color w:val="000000" w:themeColor="text1"/>
        </w:rPr>
        <w:fldChar w:fldCharType="end"/>
      </w:r>
      <w:r w:rsidRPr="006319B6">
        <w:rPr>
          <w:color w:val="000000" w:themeColor="text1"/>
        </w:rPr>
        <w:t xml:space="preserve">; Demouchy et al. </w:t>
      </w:r>
      <w:r w:rsidRPr="006319B6">
        <w:rPr>
          <w:color w:val="000000" w:themeColor="text1"/>
        </w:rPr>
        <w:fldChar w:fldCharType="begin"/>
      </w:r>
      <w:r w:rsidR="008E0CCC">
        <w:rPr>
          <w:color w:val="000000" w:themeColor="text1"/>
        </w:rPr>
        <w:instrText xml:space="preserve"> ADDIN ZOTERO_ITEM CSL_CITATION {"citationID":"UPwd1QG1","properties":{"formattedCitation":"(2019)","plainCitation":"(2019)","noteIndex":0},"citationItems":[{"id":4180,"uris":["http://zotero.org/users/88665/items/VHLLUXGE"],"uri":["http://zotero.org/users/88665/items/VHLLUXGE"],"itemData":{"id":4180,"type":"article-journal","abstract":"Abstract To constrain the deformation, thermal evolution, and seismic properties of the mantle lithosphere beneath the Hangay Dome, we have analyzed the microstructures, crystal preferred orientations (CPO), and hydrogen concentrations of olivine and pyroxenes of 50 mantle xenoliths carried up by Cenozoic basalts from Zala, Haer, and Shavaryn-Tsaram from Tariat, Mongolia. Most xenoliths are medium- to coarse-grained spinel-lherzolites, but four contain garnet + spinel. Coarse granular, highly annealed microstructures predominate. The microstructures are associated with well-developed CPO, typical of deformation under high temperature, moderate pressure, and dry conditions. The hydrogen concentrations in olivine, orthopyroxene, and clinopyroxene are low and range around 5, 75, and 147 ppm H2O wt, respectively. Together, microstructures and CPO indicate that ductile deformation was followed by static recrystallization, which has annealed the microstructures but preserved the CPO and, hence, the anisotropy of physical properties. Lack of correlation between annealing and equilibrium temperatures suggest that the annealing is due to a long quiescence episode since the last deformation episode. Here, there is not evidence that the formation of Hangay Dome is associated with recent deformation in the lithospheric mantle. Calculated seismic properties show moderate seismic anisotropy, with fast propagation of P waves and polarization of S waves parallel to the flow direction and low birefringence for S waves propagating obliquely to the flow plane. The results are consistent with weak P wave anomalies but not with the strong low S wave velocity anomalies predicted by some tomographic models or with the high conductivity inferred from magnetotelluric data for the lithospheric mantle beneath the Hangay Dome.","container-title":"Geochemistry, Geophysics, Geosystems","DOI":"10.1029/2018GC007931","ISSN":"1525-2027","issue":"1","journalAbbreviation":"Geochemistry, Geophysics, Geosystems","page":"183-207","source":"agupubs.onlinelibrary.wiley.com (Atypon)","title":"Microstructures, Water Contents, and Seismic Properties of the Mantle Lithosphere Beneath the Northern Limit of the Hangay Dome, Mongolia","volume":"20","author":[{"family":"Demouchy","given":"S."},{"family":"Tommasi","given":"A."},{"family":"Ionov","given":"D."},{"family":"Higgie","given":"K."},{"family":"Carlson","given":"R. W."}],"issued":{"date-parts":[["2019",1,1]]}},"suppress-author":true}],"schema":"https://github.com/citation-style-language/schema/raw/master/csl-citation.json"} </w:instrText>
      </w:r>
      <w:r w:rsidRPr="006319B6">
        <w:rPr>
          <w:color w:val="000000" w:themeColor="text1"/>
        </w:rPr>
        <w:fldChar w:fldCharType="separate"/>
      </w:r>
      <w:r w:rsidR="00636367">
        <w:rPr>
          <w:color w:val="000000" w:themeColor="text1"/>
        </w:rPr>
        <w:t>(2019)</w:t>
      </w:r>
      <w:r w:rsidRPr="006319B6">
        <w:rPr>
          <w:color w:val="000000" w:themeColor="text1"/>
        </w:rPr>
        <w:fldChar w:fldCharType="end"/>
      </w:r>
      <w:r w:rsidRPr="006319B6">
        <w:rPr>
          <w:color w:val="000000" w:themeColor="text1"/>
        </w:rPr>
        <w:t>;</w:t>
      </w:r>
      <w:r>
        <w:rPr>
          <w:color w:val="000000" w:themeColor="text1"/>
        </w:rPr>
        <w:t xml:space="preserve"> </w:t>
      </w:r>
      <w:r w:rsidRPr="00BD171E">
        <w:rPr>
          <w:color w:val="000000" w:themeColor="text1"/>
        </w:rPr>
        <w:t xml:space="preserve">Denis et al. </w:t>
      </w:r>
      <w:r w:rsidRPr="00BD171E">
        <w:rPr>
          <w:color w:val="000000" w:themeColor="text1"/>
        </w:rPr>
        <w:fldChar w:fldCharType="begin"/>
      </w:r>
      <w:r w:rsidR="00A17546">
        <w:rPr>
          <w:color w:val="000000" w:themeColor="text1"/>
        </w:rPr>
        <w:instrText xml:space="preserve"> ADDIN ZOTERO_ITEM CSL_CITATION {"citationID":"uOyLauKl","properties":{"formattedCitation":"(2015)","plainCitation":"(2015)","noteIndex":0},"citationItems":[{"id":"4YmRUp4L/DUhTTm1g","uris":["http://zotero.org/users/2552499/items/SGGHATNB"],"uri":["http://zotero.org/users/2552499/items/SGGHATNB"],"itemData":{"id":"1X5vHweh/dDcBKEL3","type":"article-journal","title":"Water content and hydrogen behaviour during metasomatism in the uppermost mantle beneath Ray Pic volcano (Massif Central, France)","container-title":"Lithos","page":"256-274","volume":"236-237","journalAbbreviation":"Lithos","author":[{"family":"Denis","given":"Carole M.M."},{"family":"Alard","given":"Olivier"},{"family":"Demouchy","given":"Sylvie"}],"issued":{"date-parts":[["2015"]]}},"suppress-author":true}],"schema":"https://github.com/citation-style-language/schema/raw/master/csl-citation.json"} </w:instrText>
      </w:r>
      <w:r w:rsidRPr="00BD171E">
        <w:rPr>
          <w:color w:val="000000" w:themeColor="text1"/>
        </w:rPr>
        <w:fldChar w:fldCharType="separate"/>
      </w:r>
      <w:r w:rsidR="00636367">
        <w:rPr>
          <w:color w:val="000000" w:themeColor="text1"/>
        </w:rPr>
        <w:t>(2015)</w:t>
      </w:r>
      <w:r w:rsidRPr="00BD171E">
        <w:rPr>
          <w:color w:val="000000" w:themeColor="text1"/>
        </w:rPr>
        <w:fldChar w:fldCharType="end"/>
      </w:r>
      <w:r>
        <w:rPr>
          <w:color w:val="000000" w:themeColor="text1"/>
        </w:rPr>
        <w:t xml:space="preserve">; </w:t>
      </w:r>
      <w:r w:rsidRPr="00AA24E1">
        <w:rPr>
          <w:color w:val="000000" w:themeColor="text1"/>
        </w:rPr>
        <w:t xml:space="preserve">Doucet et al. </w:t>
      </w:r>
      <w:r w:rsidRPr="00AA24E1">
        <w:rPr>
          <w:color w:val="000000" w:themeColor="text1"/>
        </w:rPr>
        <w:fldChar w:fldCharType="begin"/>
      </w:r>
      <w:r w:rsidR="008E0CCC">
        <w:rPr>
          <w:color w:val="000000" w:themeColor="text1"/>
        </w:rPr>
        <w:instrText xml:space="preserve"> ADDIN ZOTERO_ITEM CSL_CITATION {"citationID":"EAb3Hy50","properties":{"formattedCitation":"(2014)","plainCitation":"(2014)","noteIndex":0},"citationItems":[{"id":3656,"uris":["http://zotero.org/users/88665/items/T8YVPMIC"],"uri":["http://zotero.org/users/88665/items/T8YVPMIC"],"itemData":{"id":3656,"type":"article-journal","abstract":"The processes that control water distribution in nominally anhydrous minerals from peridotites are twofold. Melt depletion will remove water while metasomatism can potentially add water to these minerals. These processes can lead to a wide range of outcomes in water contents, which in turn could play a role in mantle rheology and long-term cratonic root stability. To examine these complexities, water concentrations in minerals from well-characterized peridotites from the Udachnaya kimberlite in the central Siberian craton were analyzed by FTIR. The peridotites span a complete top to bottom cross-section of typical cratonic lithospheric mantle (2–7GPa and 700–1400°C). Diffusion modeling of water content profiles across olivine grains shows that water loss during decompression is limited to the 100μm rims of olivines; the cores preserved their mantle water contents. Water contents range from 6 to 323ppm wt H2O in olivine, 28–301ppm H2O in orthopyroxene (opx), 100–272ppm H2O in clinopyroxene (cpx) and 0–23ppm H2O in garnet. Melting modeling cannot reproduce the high water contents of cratonic mantle peridotites and any potential partial melting trend must have been erased by later events. The water contents of minerals, however, are correlated with modal abundances of clinopyroxene and garnet, bulk rock FeO, TiO2 and SiO2 as well as with light and middle rare earth elements in clinopyroxene and garnet. These relationships are best interpreted as interaction of residual, melt-depleted peridotites with silicate melt, which produced modal and cryptic metasomatism. Importantly, the water enrichment in the Siberian cratonic mantle took place prior to kimberlite magmatism and eruption. Water addition by metasomatism occurred from pressures &gt;4GPa all the way to the base of the cratonic root below central Siberia, but was limited to shallower levels (&lt;5GPa) in the Kaapvaal cratonic lithosphere. The difference in olivine water contents at the deepest levels of the Kaapvaal (&lt;5ppm H2O) and Siberian (6–323ppm H2O) cratonic roots may be linked to oxygen fugacity and resulting fluid speciation or, alternatively, to reaction with different metasomatic agents. Calculated viscosities for the deepest Udachnaya samples are similar to those inferred for the asthenosphere. If these xenoliths are representative of the deep cratonic lithosphere, water is not as important a parameter as previously thought in the strength of cratonic lithosphere, otherwise the cratonic root beneath Udachnaya would have been delaminated. Alternatively, the metasomatic xenoliths may not be representative of the Siberian cratonic root and kimberlites preferentially sample cratonic mantle lithosphere material located near, and metasomatized by, melt conduits, which served as channels for upward migration of water-rich melts and fluids including kimberlites. In that case, the cratonic root overall still may have relatively low water contents, which in addition to its less metasomatized (more refractory) and thereby buoyant nature, still play a role in making it strong enough to resist delamination by the surrounding asthenosphere.","container-title":"Geochimica et Cosmochimica Acta","DOI":"10.1016/j.gca.2014.04.011","ISSN":"0016-7037","journalAbbreviation":"Geochimica et Cosmochimica Acta","page":"159-187","source":"ScienceDirect","title":"High water contents in the Siberian cratonic mantle linked to metasomatism: An FTIR study of Udachnaya peridotite xenoliths","title-short":"High water contents in the Siberian cratonic mantle linked to metasomatism","volume":"137","author":[{"family":"Doucet","given":"Luc S."},{"family":"Peslier","given":"Anne H."},{"family":"Ionov","given":"Dmitri A."},{"family":"Brandon","given":"Alan D."},{"family":"Golovin","given":"Alexander V."},{"family":"Goncharov","given":"Aleksey G."},{"family":"Ashchepkov","given":"Igor V."}],"issued":{"date-parts":[["2014",7,15]]}},"suppress-author":true}],"schema":"https://github.com/citation-style-language/schema/raw/master/csl-citation.json"} </w:instrText>
      </w:r>
      <w:r w:rsidRPr="00AA24E1">
        <w:rPr>
          <w:color w:val="000000" w:themeColor="text1"/>
        </w:rPr>
        <w:fldChar w:fldCharType="separate"/>
      </w:r>
      <w:r w:rsidR="00636367">
        <w:rPr>
          <w:color w:val="000000" w:themeColor="text1"/>
        </w:rPr>
        <w:t>(2014)</w:t>
      </w:r>
      <w:r w:rsidRPr="00AA24E1">
        <w:rPr>
          <w:color w:val="000000" w:themeColor="text1"/>
        </w:rPr>
        <w:fldChar w:fldCharType="end"/>
      </w:r>
      <w:r w:rsidRPr="00AA24E1">
        <w:rPr>
          <w:color w:val="000000" w:themeColor="text1"/>
        </w:rPr>
        <w:t xml:space="preserve">; </w:t>
      </w:r>
      <w:r w:rsidRPr="00C974A5">
        <w:rPr>
          <w:color w:val="000000" w:themeColor="text1"/>
        </w:rPr>
        <w:t xml:space="preserve">Falus et al. </w:t>
      </w:r>
      <w:r w:rsidRPr="00C974A5">
        <w:rPr>
          <w:color w:val="000000" w:themeColor="text1"/>
        </w:rPr>
        <w:fldChar w:fldCharType="begin"/>
      </w:r>
      <w:r w:rsidR="008E0CCC">
        <w:rPr>
          <w:color w:val="000000" w:themeColor="text1"/>
        </w:rPr>
        <w:instrText xml:space="preserve"> ADDIN ZOTERO_ITEM CSL_CITATION {"citationID":"NKGn4Izj","properties":{"formattedCitation":"(2008)","plainCitation":"(2008)","noteIndex":0},"citationItems":[{"id":4176,"uris":["http://zotero.org/users/88665/items/T58MFY4R"],"uri":["http://zotero.org/users/88665/items/T58MFY4R"],"itemData":{"id":4176,"type":"article-journal","abstract":"Peridotite xenoliths with a broad range of textures provides evidence for consistent microstructural evolution in a vertical transect of the shallow lithospheric mantle (35–55 km depth) beneath the Persani Mountains, SE Carpathians, Romania, due to ongoing plate convergence in the Carpathian Arc nearby. The recrystallized grain size, crystal preferred orientations strength, and resulting seismic anisotropy vary continuously and display a strong correlation to equilibrium temperatures, suggesting a continuous change in deformation conditions with depth. The shallowmost xenoliths have microstructures typical of high stress deformation, marked by strong recrystallization to fine grain sizes, which results in weak crystal preferred orientations and anisotropy. The deepest xenoliths have coarse-grained porphyroclastic microstructures and strong crystal preferred orientations. Replacive orthopyroxene structures, consuming olivine, and high H2O concentrations in the pyroxenes are observed in some xenoliths indicating limited percolation of fluids or volatile-rich melts. Despite the high stress deformation and high H2O contents in some of the studied xenoliths, analysis of olivine crystallographic orientations indicates that [100] slip systems, rather than “wet” [001] accommodate most of the deformation in all samples. Seismic anisotropy estimated from the measured olivine and pyroxene crystal preferred orientations suggests that the strike-parallel fast SKS polarization directions and ~1 s delay times measured in the SE Carpathians are likely the consequence of convergence-driven belt-parallel flow in the lithospheric mantle.","container-title":"Earth and Planetary Science Letters","DOI":"10.1016/j.epsl.2008.04.035","ISSN":"0012-821X","issue":"1","journalAbbreviation":"Earth and Planetary Science Letters","page":"50-64","source":"ScienceDirect","title":"Deformation and seismic anisotropy of the lithospheric mantle in the southeastern Carpathians inferred from the study of mantle xenoliths","volume":"272","author":[{"family":"Falus","given":"György"},{"family":"Tommasi","given":"Andrea"},{"family":"Ingrin","given":"Jannick"},{"family":"Szabó","given":"Csaba"}],"issued":{"date-parts":[["2008",7,30]]}},"suppress-author":true}],"schema":"https://github.com/citation-style-language/schema/raw/master/csl-citation.json"} </w:instrText>
      </w:r>
      <w:r w:rsidRPr="00C974A5">
        <w:rPr>
          <w:color w:val="000000" w:themeColor="text1"/>
        </w:rPr>
        <w:fldChar w:fldCharType="separate"/>
      </w:r>
      <w:r w:rsidR="00636367">
        <w:rPr>
          <w:color w:val="000000" w:themeColor="text1"/>
        </w:rPr>
        <w:t>(2008)</w:t>
      </w:r>
      <w:r w:rsidRPr="00C974A5">
        <w:rPr>
          <w:color w:val="000000" w:themeColor="text1"/>
        </w:rPr>
        <w:fldChar w:fldCharType="end"/>
      </w:r>
      <w:r>
        <w:rPr>
          <w:color w:val="000000" w:themeColor="text1"/>
        </w:rPr>
        <w:t xml:space="preserve">; </w:t>
      </w:r>
      <w:r w:rsidRPr="0009541B">
        <w:rPr>
          <w:color w:val="000000" w:themeColor="text1"/>
        </w:rPr>
        <w:t xml:space="preserve">Grant et al. </w:t>
      </w:r>
      <w:r w:rsidRPr="0009541B">
        <w:rPr>
          <w:color w:val="000000" w:themeColor="text1"/>
        </w:rPr>
        <w:fldChar w:fldCharType="begin"/>
      </w:r>
      <w:r w:rsidR="008E0CCC">
        <w:rPr>
          <w:color w:val="000000" w:themeColor="text1"/>
        </w:rPr>
        <w:instrText xml:space="preserve"> ADDIN ZOTERO_ITEM CSL_CITATION {"citationID":"kDmEqIdG","properties":{"formattedCitation":"(2007)","plainCitation":"(2007)","noteIndex":0},"citationItems":[{"id":3720,"uris":["http://zotero.org/users/88665/items/BMAJKPQ9"],"uri":["http://zotero.org/users/88665/items/BMAJKPQ9"],"itemData":{"id":3720,"type":"article-journal","abstract":"The speciation and amount of water dissolved in nominally anhydrous silicates comprising eight different mantle xenoliths has been quantified using synchrotron micro-FTIR spectroscopy. Samples studied are from six geographic localities and represent a cross-section of the major upper mantle lithologies from a variety of tectonic settings. Clinopyroxene contains between 342 and 413 ppm H2O. Orthopyroxene, olivine and garnet contain 169–201, 3–54 and 0 to &lt;3 ppm H2O, respectively. Pyroxenes water contents and the distribution of water between ortho- and clinopyroxene is identical regardless of sample mineralogy (D water cpx/opx = 2.1 ± 0.1). The total water contents of each xenolith are remarkably similar (113 ± 14 ppm H2O). High-resolution spectroscopic traverses show that the concentration and speciation of hydrous defects dissolved in each phase are spatially homogeneous within individual crystals and identical in different crystals interspersed throughout the xenolith. These results suggest that the amount of water dissolved in the silicate phases is in partial equilibrium with the transporting melt. Other features indicate that xenoliths have also preserved OH signatures of equilibrium with the mantle source region: Hydroxyl stretching modes in clinopyroxene show that garnet lherzolites re-equilibrated under more reducing conditions than spinel lherzolites. The distribution of water between pyroxenes and olivine differs according to xenolith mineralogy. The distribution of water between clinopyroxene and olivine from garnet peridotites (D water cpx/oliv (gnt) = 22.2 ± 24.1) is a factor of four greater than mineral pairs from spinel-bearing xenoliths (D water cpx/oliv (sp) = 88.1 ± 47.8). Such an increase in olivine water contents at the spinel to garnet transition is likely a global phenomenon and this discontinuity could lead to a reduction of the upper mantle viscosity by 0.2–0.7 log units and a reduction of its electrical resistivity by a factor of 0.5–0.8 log units.","container-title":"Contributions to Mineralogy and Petrology","DOI":"10.1007/s00410-006-0177-1","ISSN":"0010-7999, 1432-0967","issue":"1","journalAbbreviation":"Contributions to Mineralogy and Petrology","language":"en","page":"15-34","source":"link.springer.com","title":"Water partitioning between mantle minerals from peridotite xenoliths","volume":"154","author":[{"family":"Grant","given":"Kevin"},{"family":"Ingrin","given":"Jannick"},{"family":"Lorand","given":"Jean Pierre"},{"family":"Dumas","given":"Paul"}],"issued":{"date-parts":[["2007",7,1]]}},"suppress-author":true}],"schema":"https://github.com/citation-style-language/schema/raw/master/csl-citation.json"} </w:instrText>
      </w:r>
      <w:r w:rsidRPr="0009541B">
        <w:rPr>
          <w:color w:val="000000" w:themeColor="text1"/>
        </w:rPr>
        <w:fldChar w:fldCharType="separate"/>
      </w:r>
      <w:r w:rsidR="00636367">
        <w:rPr>
          <w:color w:val="000000" w:themeColor="text1"/>
        </w:rPr>
        <w:t>(2007)</w:t>
      </w:r>
      <w:r w:rsidRPr="0009541B">
        <w:rPr>
          <w:color w:val="000000" w:themeColor="text1"/>
        </w:rPr>
        <w:fldChar w:fldCharType="end"/>
      </w:r>
      <w:r w:rsidRPr="0009541B">
        <w:rPr>
          <w:color w:val="000000" w:themeColor="text1"/>
        </w:rPr>
        <w:t>;</w:t>
      </w:r>
      <w:r w:rsidRPr="00D47845">
        <w:rPr>
          <w:color w:val="000000" w:themeColor="text1"/>
        </w:rPr>
        <w:t xml:space="preserve"> </w:t>
      </w:r>
      <w:r w:rsidRPr="00C21F15">
        <w:rPr>
          <w:color w:val="000000" w:themeColor="text1"/>
        </w:rPr>
        <w:t xml:space="preserve">Gu et al. </w:t>
      </w:r>
      <w:r w:rsidRPr="00C21F15">
        <w:rPr>
          <w:color w:val="000000" w:themeColor="text1"/>
        </w:rPr>
        <w:fldChar w:fldCharType="begin"/>
      </w:r>
      <w:r w:rsidR="008E0CCC">
        <w:rPr>
          <w:color w:val="000000" w:themeColor="text1"/>
        </w:rPr>
        <w:instrText xml:space="preserve"> ADDIN ZOTERO_ITEM CSL_CITATION {"citationID":"FHScfZaC","properties":{"formattedCitation":"(2018)","plainCitation":"(2018)","noteIndex":0},"citationItems":[{"id":3860,"uris":["http://zotero.org/users/88665/items/SZBYDTBQ"],"uri":["http://zotero.org/users/88665/items/SZBYDTBQ"],"itemData":{"id":3860,"type":"article-journal","abstract":"Mantle metasomatism by percolating melts/fluids can significantly modify the geochemical and mineralogical compositions of the sub-continental lithospheric mantle (SCLM). We present a detailed study of water contents and Li concentrations and isotopic compositions in mantle minerals from a suite of peridotite xenoliths entrained by a Cenozoic Strombolian volcano in the southern French Massif Central (FMC). Wide ranging clinopyroxene trace element distributions (e.g., (La/Yb)N from 0.25 to 22.21; Ti/Eu ratios from 453 to 4892) suggest that the SCLM has undergone metasomatism by carbonatitic melts/fluids or melts/fluids related to subducted materials. Two amphibole-bearing samples exhibit depletion of light rare earth elements (LREE; (La/Yb)N=0.26 and 0.30, respectively) in amphiboles, similar to that in co-existing clinopyroxenes; these samples indicate that amphiboles grew during a separate modally metasomatic event predating the cryptic metasomatism accounting for LREE enrichment and negative HFSE anomalies in other samples. Mineral Li concentrations are similar to those in the normal mantle, with inter-mineral Li partitioning nearly equilibrated and intragranular Li distributions nearly homogeneous. However, negative δ7Li values of pyroxenes in some samples (as low as −8.8‰ in clinopyroxene of sample MC38) can be attributed to diffusive exchange with a small-volume melt of moderate Li concentration and light Li isotopic composition, originally associated with a recycled component. Preservation of the currently observed large inter-mineral Li isotopic variations indicates that melt percolation occurred shortly before entrainment of the peridotite xenoliths by the host magma. Mineral water contents vary from 41 to 428ppm in clinopyroxenes and from 28 to 152ppm in orthopyroxenes, and their roughly negative co-variation with coexisting olivine Fo contents imply that partial melting was the main control over mineral water content variations in most samples. Varied water contents in LREE-enriched metasomatized samples indicate the involvement of metasomatic agents of different origins. The aqueous agent responsible for generation of amphiboles in two samples did not produce a notable increase in the water contents of coexisting nominally anhydrous minerals.","collection-title":"SI: Volatiles in Earth","container-title":"Chemical Geology","DOI":"10.1016/j.chemgeo.2017.08.006","ISSN":"0009-2541","journalAbbreviation":"Chemical Geology","page":"2-17","source":"ScienceDirect","title":"Metasomatism in the sub-continental lithospheric mantle beneath the south French Massif Central: Constraints from trace elements, Li and H in peridotite minerals","title-short":"Metasomatism in the sub-continental lithospheric mantle beneath the south French Massif Central","volume":"478","author":[{"family":"Gu","given":"Xiaoyan"},{"family":"Ingrin","given":"Jannick"},{"family":"Deloule","given":"Etienne"},{"family":"France","given":"Lydéric"},{"family":"Xia","given":"Qunke"}],"issued":{"date-parts":[["2018",2,5]]}},"suppress-author":true}],"schema":"https://github.com/citation-style-language/schema/raw/master/csl-citation.json"} </w:instrText>
      </w:r>
      <w:r w:rsidRPr="00C21F15">
        <w:rPr>
          <w:color w:val="000000" w:themeColor="text1"/>
        </w:rPr>
        <w:fldChar w:fldCharType="separate"/>
      </w:r>
      <w:r w:rsidR="00636367">
        <w:rPr>
          <w:color w:val="000000" w:themeColor="text1"/>
        </w:rPr>
        <w:t>(2018)</w:t>
      </w:r>
      <w:r w:rsidRPr="00C21F15">
        <w:rPr>
          <w:color w:val="000000" w:themeColor="text1"/>
        </w:rPr>
        <w:fldChar w:fldCharType="end"/>
      </w:r>
      <w:r w:rsidRPr="00C21F15">
        <w:rPr>
          <w:color w:val="000000" w:themeColor="text1"/>
        </w:rPr>
        <w:t>;</w:t>
      </w:r>
      <w:r>
        <w:rPr>
          <w:color w:val="000000" w:themeColor="text1"/>
        </w:rPr>
        <w:t xml:space="preserve"> </w:t>
      </w:r>
      <w:r w:rsidRPr="00AE598C">
        <w:rPr>
          <w:color w:val="000000" w:themeColor="text1"/>
        </w:rPr>
        <w:t xml:space="preserve">Hao et al. </w:t>
      </w:r>
      <w:r w:rsidRPr="00AE598C">
        <w:rPr>
          <w:color w:val="000000" w:themeColor="text1"/>
        </w:rPr>
        <w:fldChar w:fldCharType="begin"/>
      </w:r>
      <w:r w:rsidR="008E0CCC">
        <w:rPr>
          <w:color w:val="000000" w:themeColor="text1"/>
        </w:rPr>
        <w:instrText xml:space="preserve"> ADDIN ZOTERO_ITEM CSL_CITATION {"citationID":"fyQhHunz","properties":{"formattedCitation":"(2016)","plainCitation":"(2016)","noteIndex":0},"citationItems":[{"id":4169,"uris":["http://zotero.org/users/88665/items/5K8HIMUR"],"uri":["http://zotero.org/users/88665/items/5K8HIMUR"],"itemData":{"id":4169,"type":"article-journal","abstract":"Metasomatism induced by melts/fluids is ubiquitous in the lithospheric mantle and can potentially modify the initial water content of the mantle. However, the preservation of correlations between H2O content and partial melting indices (e.g., Yb content in clinopyroxene, Cr/(Cr+Al) in spinel) and the lack of correlations between H2O content and metasomatic indices (e.g., La/Yb in clinopyroxene) in peridotite xenoliths from several localities suggest that variations in the initial H2O content were controlled by partial melting processes rather than by subsequent metasomatic event(s) (Hao et al., 2014; Denis et al., 2015). However, the applied partition coefficients of H2O between peridotite and melt (Dperidotite/melt=0.1–0.3) in the partial melting models cast doubts on the reasonability of such explanations. Whether metasomatism always modifies the initial H2O content of the lithospheric mantle remained a topic of debate. In this paper, we measure major and trace element concentrations and H2O contents of minerals in the peridotite xenoliths hosted by the Tianchang Cenozoic basalts in eastern China by using electron microprobe, laser-ablation ICP-MS and Fourier transform infrared spectroscopy, respectively. The H2O contents (weight in ppm) of clinopyroxene, orthopyroxene and olivine are 70–280ppm, 35–140ppm and below detection limit (&lt;2ppm H2O), respectively. Although water diffusion during xenolith ascent cannot be excluded for olivine, pyroxenes largely retain the initial H2O content of the mantle source, as supported by (1) the correlation between H2O content and major element content of pyroxene, and (2) the equilibrium H2O partitioning between clinopyroxene and orthopyroxene. The calculated whole-rock H2O contents range from 14 to 93ppm (average 52±25ppm) assuming 0.1 for the H2O partition coefficient between olivine and clinopyroxene. Although no hydrous minerals are found, the enrichment in light rare earth elements and large ion lithophile elements of clinopyroxene indicates cryptic mantle metasomatism. However, variations between the H2O contents of the whole rocks and the metasomatic index (La/Yb ratio in clinopyroxene) are not correlated, suggesting that mantle metasomatism did not modify the initial H2O contents after the melting event. Instead, the H2O content correlates with the melting indices demonstrating that partial melting is the primary factor controlling the variations in the initial H2O contents. Notably, variations in whole rock H2O contents of the Tianchang peridotites can be modeled as a simple melting process of a MORB mantle source using the reported partition coefficients of H2O (Dperidotite/melt=0.005–0.03), providing a robust example suggesting that metasomatism does not always change the initial H2O content in the lithospheric mantle.","container-title":"Lithos","DOI":"10.1016/j.lithos.2016.06.003","ISSN":"0024-4937","journalAbbreviation":"Lithos","page":"315-327","source":"ScienceDirect","title":"Mantle metasomatism did not modify the initial H2O content in peridotite xenoliths from the Tianchang basalts of eastern China","volume":"260","author":[{"family":"Hao","given":"Yan-Tao"},{"family":"Xia","given":"Qun-Ke"},{"family":"Tian","given":"Zhen-Zhen"},{"family":"Liu","given":"Jia"}],"issued":{"date-parts":[["2016",9,1]]}},"suppress-author":true}],"schema":"https://github.com/citation-style-language/schema/raw/master/csl-citation.json"} </w:instrText>
      </w:r>
      <w:r w:rsidRPr="00AE598C">
        <w:rPr>
          <w:color w:val="000000" w:themeColor="text1"/>
        </w:rPr>
        <w:fldChar w:fldCharType="separate"/>
      </w:r>
      <w:r w:rsidR="00636367">
        <w:rPr>
          <w:color w:val="000000" w:themeColor="text1"/>
        </w:rPr>
        <w:t>(2016)</w:t>
      </w:r>
      <w:r w:rsidRPr="00AE598C">
        <w:rPr>
          <w:color w:val="000000" w:themeColor="text1"/>
        </w:rPr>
        <w:fldChar w:fldCharType="end"/>
      </w:r>
      <w:r w:rsidRPr="00AE598C">
        <w:rPr>
          <w:color w:val="000000" w:themeColor="text1"/>
        </w:rPr>
        <w:t>;</w:t>
      </w:r>
      <w:r>
        <w:rPr>
          <w:color w:val="000000" w:themeColor="text1"/>
        </w:rPr>
        <w:t xml:space="preserve"> </w:t>
      </w:r>
      <w:r w:rsidRPr="00834008">
        <w:rPr>
          <w:color w:val="000000" w:themeColor="text1"/>
        </w:rPr>
        <w:t xml:space="preserve">Hui et al. </w:t>
      </w:r>
      <w:r w:rsidRPr="00834008">
        <w:rPr>
          <w:color w:val="000000" w:themeColor="text1"/>
        </w:rPr>
        <w:fldChar w:fldCharType="begin"/>
      </w:r>
      <w:r w:rsidR="008E0CCC">
        <w:rPr>
          <w:color w:val="000000" w:themeColor="text1"/>
        </w:rPr>
        <w:instrText xml:space="preserve"> ADDIN ZOTERO_ITEM CSL_CITATION {"citationID":"uKCaGINQ","properties":{"formattedCitation":"(2015)","plainCitation":"(2015)","noteIndex":0},"citationItems":[{"id":3689,"uris":["http://zotero.org/users/88665/items/ZNPYPLHA"],"uri":["http://zotero.org/users/88665/items/ZNPYPLHA"],"itemData":{"id":3689,"type":"article-journal","abstract":"Water and other trace element concentrations in olivine (1–39 ppm H2O), orthopyroxene (10–150 ppm H2O), and clinopyroxene (16–340 ppm H2O) of mantle xenoliths from the Labait volcano, located on the edge of the Tanzanian craton along the eastern branch of the East African Rift, record melting and subsequent refertilization by plume magmas in a stratified lithosphere. These water contents are at the lower end of the range observed in other cratonic mantle lithospheres. Despite correlations between water content and indices of melting in orthopyroxene from the shallow peridotites, and in both olivine and orthopyroxene from the deep peridotites, water concentrations are too high for the peridotites to be simple residues. Instead, the Labait water contents are best explained as reflecting interaction between residual peridotite with a melt having relatively low water content (&lt;1 wt.% H2O). Plume-derived melts are the likely source of water and other trace element enrichments in the Labait peridotites. Only garnet may have undergone addition of water from the host magma as evidenced by water content increasing toward the kelyphite rim in one otherwise homogeneous garnet. Based on modeling of the diffusion profile, magma ascent occurred at 4–28 m/s. In summary, plume-craton interaction appears to result in only moderate water enrichment of the lithosphere.","container-title":"Geochemistry, Geophysics, Geosystems","DOI":"10.1002/2015GC005779","ISSN":"1525-2027","issue":"6","journalAbbreviation":"Geochemistry, Geophysics, Geosystems","language":"en","page":"1687-1710","source":"Wiley Online Library","title":"Plume-cratonic lithosphere interaction recorded by water and other trace elements in peridotite xenoliths from the Labait volcano, Tanzania","volume":"16","author":[{"family":"Hui","given":"Hejiu"},{"family":"Peslier","given":"Anne H."},{"family":"Rudnick","given":"Roberta L."},{"family":"Simonetti","given":"Antonio"},{"family":"Neal","given":"Clive R."}],"issued":{"date-parts":[["2015",6,1]]}},"suppress-author":true}],"schema":"https://github.com/citation-style-language/schema/raw/master/csl-citation.json"} </w:instrText>
      </w:r>
      <w:r w:rsidRPr="00834008">
        <w:rPr>
          <w:color w:val="000000" w:themeColor="text1"/>
        </w:rPr>
        <w:fldChar w:fldCharType="separate"/>
      </w:r>
      <w:r w:rsidR="00636367">
        <w:rPr>
          <w:color w:val="000000" w:themeColor="text1"/>
        </w:rPr>
        <w:t>(2015)</w:t>
      </w:r>
      <w:r w:rsidRPr="00834008">
        <w:rPr>
          <w:color w:val="000000" w:themeColor="text1"/>
        </w:rPr>
        <w:fldChar w:fldCharType="end"/>
      </w:r>
      <w:r w:rsidRPr="00834008">
        <w:rPr>
          <w:color w:val="000000" w:themeColor="text1"/>
        </w:rPr>
        <w:t>;</w:t>
      </w:r>
      <w:r>
        <w:rPr>
          <w:color w:val="000000" w:themeColor="text1"/>
        </w:rPr>
        <w:t xml:space="preserve"> </w:t>
      </w:r>
      <w:r w:rsidRPr="00A047B9">
        <w:rPr>
          <w:color w:val="000000" w:themeColor="text1"/>
        </w:rPr>
        <w:t xml:space="preserve">Kilgore et al. </w:t>
      </w:r>
      <w:r w:rsidRPr="00A047B9">
        <w:rPr>
          <w:color w:val="000000" w:themeColor="text1"/>
        </w:rPr>
        <w:fldChar w:fldCharType="begin"/>
      </w:r>
      <w:r w:rsidR="008E0CCC">
        <w:rPr>
          <w:color w:val="000000" w:themeColor="text1"/>
        </w:rPr>
        <w:instrText xml:space="preserve"> ADDIN ZOTERO_ITEM CSL_CITATION {"citationID":"QgNxVsnY","properties":{"formattedCitation":"(2018)","plainCitation":"(2018)","noteIndex":0},"citationItems":[{"id":3933,"uris":["http://zotero.org/users/88665/items/RAZ5ISZD"],"uri":["http://zotero.org/users/88665/items/RAZ5ISZD"],"itemData":{"id":3933,"type":"article-journal","abstract":"Assessing water contents of subduction zone mantle peridotites can gain insight into the compositions of slab-derived fluids/melts and the active margin water cycle. Here eight mantle xenoliths from Alligator Lake (northern Canadian Cordillera) are examined to address these issues. The harzburgites have less water, on average, but are more oxidized (ΔFMQ 0.1) than the lherzolites (ΔFMQ −1.0). The lherzolites have major and trace element compositions close to primitive mantle, while the harzburgite major element and heavy rare earth element compositions are indicative of higher degrees of melt depletion but with light rare earth element-enriched profiles. Correlations between lherzolite pyroxene water contents and bulk rock Ba/Nb and Ba/Yb ratios likely result from interaction with subduction related fluids. The trace element compositions of the harzburgite clinopyroxenes are successfully modeled by melting of a fertile mantle lithosphere and interaction with a carbonatite melt. Correlations between the harzburgite water contents and clinopyroxene Ca/Al ratios and Mg# are also consistent with the influence of carbonatite metasomatism. Metasomatism likely resulted from opening of a slab window beneath the region, detected as a low-velocity seismic anomaly, which heated and mobilized a heterogeneous mantle lithosphere veined with carbonatite. This study confirms that subduction zone mantle lithosphere is not necessarily more water-rich or more oxidized than oceanic lithosphere or other off-cratonic settings. Moreover, local oxidation is not necessarily related to the ingress of subduction zone fluids but can also be related to melting of a heterogeneous lithosphere following heating above a slab window.","container-title":"Geochemistry, Geophysics, Geosystems","DOI":"10.1029/2018GC007700","ISSN":"1525-2027","language":"en","page":"10.1029/2018GC007700","source":"Wiley Online Library","title":"Water and oxygen fugacity in the lithospheric mantle wedge beneath the Northern Canadian Cordillera (Alligator Lake)","author":[{"family":"Kilgore","given":"McKensie L."},{"family":"Peslier","given":"Anne H."},{"family":"Brandon","given":"Alan D."},{"family":"Lamb","given":"William M."}],"issued":{"date-parts":[["2018"]]}},"suppress-author":true}],"schema":"https://github.com/citation-style-language/schema/raw/master/csl-citation.json"} </w:instrText>
      </w:r>
      <w:r w:rsidRPr="00A047B9">
        <w:rPr>
          <w:color w:val="000000" w:themeColor="text1"/>
        </w:rPr>
        <w:fldChar w:fldCharType="separate"/>
      </w:r>
      <w:r w:rsidR="00636367">
        <w:rPr>
          <w:color w:val="000000" w:themeColor="text1"/>
        </w:rPr>
        <w:t>(2018)</w:t>
      </w:r>
      <w:r w:rsidRPr="00A047B9">
        <w:rPr>
          <w:color w:val="000000" w:themeColor="text1"/>
        </w:rPr>
        <w:fldChar w:fldCharType="end"/>
      </w:r>
      <w:r>
        <w:rPr>
          <w:color w:val="000000" w:themeColor="text1"/>
        </w:rPr>
        <w:t xml:space="preserve">; </w:t>
      </w:r>
      <w:r w:rsidR="006703BF">
        <w:t xml:space="preserve">Kumamoto et al. (2017); </w:t>
      </w:r>
      <w:r w:rsidRPr="00A75B40">
        <w:rPr>
          <w:color w:val="000000" w:themeColor="text1"/>
        </w:rPr>
        <w:t xml:space="preserve">Li et al. </w:t>
      </w:r>
      <w:r w:rsidRPr="00A75B40">
        <w:rPr>
          <w:color w:val="000000" w:themeColor="text1"/>
        </w:rPr>
        <w:fldChar w:fldCharType="begin"/>
      </w:r>
      <w:r w:rsidR="008E0CCC">
        <w:rPr>
          <w:color w:val="000000" w:themeColor="text1"/>
        </w:rPr>
        <w:instrText xml:space="preserve"> ADDIN ZOTERO_ITEM CSL_CITATION {"citationID":"RdTTC33P","properties":{"formattedCitation":"(2008)","plainCitation":"(2008)","noteIndex":0},"citationItems":[{"id":3909,"uris":["http://zotero.org/users/88665/items/WVDR67VD"],"uri":["http://zotero.org/users/88665/items/WVDR67VD"],"itemData":{"id":3909,"type":"article-journal","abstract":"Nominally anhydrous minerals (e.g., olivine, clinopyroxene, and orthopyroxene) in peridotite xenoliths collected from the Colorado Plateau and southern Basin and Range in western North America were systematically analyzed by Fourier transform infrared spectroscopy for water contents. Measured water contents range from 2 to 45 ppm for olivine, from 53 to 402 ppm for orthopyroxene, and from 171 to 957 ppm for clinopyroxene. The Colorado Plateau has the highest water contents (up to 45 ppm H2O in olivine, 402 ppm H2O in orthopyroxene, and 957 ppm H2O in clinopyroxene), while San Carlos in the southern Basin and Range has the lowest water contents (up to 4 ppm H2O in olivine, 82 ppm H2O in orthopyroxene, and 178 ppm H2O in clinopyroxene). With the exception of San Carlos, the olivine and pyroxenes from all other localities (Dish Hill, Grand Canyon, and Navajo) have water contents close to or higher than that inferred for the fertile asthenospheric mantle. We interpret the high water contents measured here to have been introduced into the base of the lithospheric mantle by rehydration associated with the subduction of the Farallon plate beneath North America during the early Cenozoic. Application of an updated flow law for dislocation creep of wet olivine to lithospheric mantle conditions beneath the Colorado Plateau predicts that for a given background shear stress, hydration alone can result in approximately 1 order of magnitude drop in the effective viscosity at the base of the lithosphere. If viscosity alone is used to distinguish the lithosphere from underlying asthenosphere, this suggests that hydration could have resulted in more than 10 km of lithospheric thinning. Viscosity reduction and lithospheric thinning of even larger extents (up to </w:instrText>
      </w:r>
      <w:r w:rsidR="008E0CCC">
        <w:rPr>
          <w:rFonts w:ascii="Cambria Math" w:hAnsi="Cambria Math" w:cs="Cambria Math"/>
          <w:color w:val="000000" w:themeColor="text1"/>
        </w:rPr>
        <w:instrText>∼</w:instrText>
      </w:r>
      <w:r w:rsidR="008E0CCC">
        <w:rPr>
          <w:color w:val="000000" w:themeColor="text1"/>
        </w:rPr>
        <w:instrText xml:space="preserve">100 km) are predicted when thicker lithosphere (such as Archean cratons) and larger water contents (up to water-saturated conditions) are considered. If our interpretations are correct, the implications of our study go beyond western North America and hint at a possible way of recycling continental mantle, including cratonic mantle, back into the convecting mantle.","container-title":"Journal of Geophysical Research: Solid Earth","DOI":"10.1029/2007JB005540","ISSN":"2156-2202","issue":"B9","language":"en","source":"Wiley Online Library","title":"Water contents in mantle xenoliths from the Colorado Plateau and vicinity: Implications for the mantle rheology and hydration-induced thinning of continental lithosphere","title-short":"Water contents in mantle xenoliths from the Colorado Plateau and vicinity","URL":"https://agupubs.onlinelibrary.wiley.com/doi/abs/10.1029/2007JB005540","volume":"113","author":[{"family":"Li","given":"Zheng-Xue Anser"},{"family":"Lee","given":"Cin-Ty A."},{"family":"Peslier","given":"Anne H."},{"family":"Lenardic","given":"Adrian"},{"family":"Mackwell","given":"Stephen J."}],"issued":{"date-parts":[["2008",9,1]]}},"suppress-author":true}],"schema":"https://github.com/citation-style-language/schema/raw/master/csl-citation.json"} </w:instrText>
      </w:r>
      <w:r w:rsidRPr="00A75B40">
        <w:rPr>
          <w:color w:val="000000" w:themeColor="text1"/>
        </w:rPr>
        <w:fldChar w:fldCharType="separate"/>
      </w:r>
      <w:r w:rsidR="00636367">
        <w:rPr>
          <w:color w:val="000000" w:themeColor="text1"/>
        </w:rPr>
        <w:t>(2008)</w:t>
      </w:r>
      <w:r w:rsidRPr="00A75B40">
        <w:rPr>
          <w:color w:val="000000" w:themeColor="text1"/>
        </w:rPr>
        <w:fldChar w:fldCharType="end"/>
      </w:r>
      <w:r w:rsidRPr="00A75B40">
        <w:rPr>
          <w:color w:val="000000" w:themeColor="text1"/>
        </w:rPr>
        <w:t>;</w:t>
      </w:r>
      <w:r w:rsidRPr="00D47845">
        <w:rPr>
          <w:color w:val="000000" w:themeColor="text1"/>
        </w:rPr>
        <w:t xml:space="preserve"> </w:t>
      </w:r>
      <w:r w:rsidRPr="00B606F3">
        <w:rPr>
          <w:color w:val="000000" w:themeColor="text1"/>
        </w:rPr>
        <w:t xml:space="preserve">Li et al. </w:t>
      </w:r>
      <w:r w:rsidRPr="00B606F3">
        <w:rPr>
          <w:color w:val="000000" w:themeColor="text1"/>
        </w:rPr>
        <w:fldChar w:fldCharType="begin"/>
      </w:r>
      <w:r w:rsidR="008E0CCC">
        <w:rPr>
          <w:color w:val="000000" w:themeColor="text1"/>
        </w:rPr>
        <w:instrText xml:space="preserve"> ADDIN ZOTERO_ITEM CSL_CITATION {"citationID":"ExwQfNxX","properties":{"formattedCitation":"(2015)","plainCitation":"(2015)","noteIndex":0},"citationItems":[{"id":3858,"uris":["http://zotero.org/users/88665/items/SEDPH2DE"],"uri":["http://zotero.org/users/88665/items/SEDPH2DE"],"itemData":{"id":3858,"type":"article-journal","abstract":"The water contents have been measured by Fourier transform infrared spectrometry (FTIR) on the minerals of peridotite xenoliths hosted by late Mesozoic basalts in three localities, Daxizhuang (74Ma), Junan (67Ma) and Qingdao (82Ma), of the eastern North China Craton (NCC). The water content (H2O by weight) of the Daxizhuang samples is from 103 to 311ppm for clinopyroxene (cpx), from 30 to 141ppm for orthopyroxene (opx) and from 21 to 66ppm for whole rocks. In contrast, the samples from Junan and Qingdao have high water content, from 466 to 746ppm for cpx, 187 to 346ppm for opx and 99 to 232ppm for whole rocks. These results, combined with previously reported data of lithospheric mantle samples of the eastern NCC at ~120Ma and &lt;40Ma, suggest a temporal variation of water content in the lithospheric mantle since the peak time (~120Ma) of the destruction of the NCC. At that time, the lithospheric mantle was hydrous (&gt;1000ppm); after its destruction was complete at the end of the Mesozoic, the water content of the lithospheric mantle was extremely low (&lt;50ppm); during the period of destruction, the lithospheric mantle had intermediate water content. The temporal variation is thought to be linked with the process of the craton destruction: (1) at the peak time of destruction, the hydrated lithospheric mantle creates a low-viscosity prerequisite for its own destruction; (2) during the destruction, the upwelling asthenosphere erodes the lowermost lithospheric mantle and heats the overlying lithospheric mantle continuously, resulting in lithospheric thinning and dewatering of the relict lithospheric mantle till to the cease of the destruction which is at least partly due to its low water content. The upwelling asthenosphere, however, cools at weak zones (e.g., deep faults) and transforms into newly accreted lithospheric mantle with higher water content than the dewatered relict mantle.","container-title":"Gondwana Research","DOI":"10.1016/j.gr.2014.03.012","ISSN":"1342-937X","issue":"1","journalAbbreviation":"Gondwana Research","page":"276-287","source":"ScienceDirect","title":"Temporal variation of H2O content in the lithospheric mantle beneath the eastern North China Craton: Implications for the destruction of cratons","title-short":"Temporal variation of H2O content in the lithospheric mantle beneath the eastern North China Craton","volume":"28","author":[{"family":"Li","given":"Pei"},{"family":"Xia","given":"Qun-Ke"},{"family":"Deloule","given":"Etienne"},{"family":"Chen","given":"Huan"},{"family":"Gu","given":"Xiao-Yan"},{"family":"Feng","given":"Min"}],"issued":{"date-parts":[["2015",8,1]]}},"suppress-author":true}],"schema":"https://github.com/citation-style-language/schema/raw/master/csl-citation.json"} </w:instrText>
      </w:r>
      <w:r w:rsidRPr="00B606F3">
        <w:rPr>
          <w:color w:val="000000" w:themeColor="text1"/>
        </w:rPr>
        <w:fldChar w:fldCharType="separate"/>
      </w:r>
      <w:r w:rsidR="00636367">
        <w:rPr>
          <w:color w:val="000000" w:themeColor="text1"/>
        </w:rPr>
        <w:t>(2015)</w:t>
      </w:r>
      <w:r w:rsidRPr="00B606F3">
        <w:rPr>
          <w:color w:val="000000" w:themeColor="text1"/>
        </w:rPr>
        <w:fldChar w:fldCharType="end"/>
      </w:r>
      <w:r w:rsidRPr="00B606F3">
        <w:rPr>
          <w:color w:val="000000" w:themeColor="text1"/>
        </w:rPr>
        <w:t>;</w:t>
      </w:r>
      <w:r w:rsidRPr="0009541B">
        <w:rPr>
          <w:color w:val="000000" w:themeColor="text1"/>
        </w:rPr>
        <w:t xml:space="preserve"> </w:t>
      </w:r>
      <w:r w:rsidRPr="008D781C">
        <w:rPr>
          <w:color w:val="000000" w:themeColor="text1"/>
        </w:rPr>
        <w:t xml:space="preserve">Marshall et al. </w:t>
      </w:r>
      <w:r w:rsidRPr="008D781C">
        <w:rPr>
          <w:color w:val="000000" w:themeColor="text1"/>
        </w:rPr>
        <w:fldChar w:fldCharType="begin"/>
      </w:r>
      <w:r w:rsidR="008E0CCC">
        <w:rPr>
          <w:color w:val="000000" w:themeColor="text1"/>
        </w:rPr>
        <w:instrText xml:space="preserve"> ADDIN ZOTERO_ITEM CSL_CITATION {"citationID":"vNkjSP5W","properties":{"formattedCitation":"(2018)","plainCitation":"(2018)","noteIndex":0},"citationItems":[{"id":3877,"uris":["http://zotero.org/users/88665/items/HEUW7XSU"],"uri":["http://zotero.org/users/88665/items/HEUW7XSU"],"itemData":{"id":3877,"type":"article-journal","abstract":"In magmatic settings, water behaves as an incompatible species and should be depleted during melting and enriched during metasomatism. Previous studies have identified correlations between nominally anhydrous mineral (NAM) water content ([H2O]) and indices of metasomatism or melt extraction, seemingly confirming this behavior in the mantle. However in detail, these correlations are ambiguous and do not reflect robust controls on NAM [H2O]. We measured orthopyroxene (opx) and clinopyroxene (cpx) [H2O] in variably hydrated and metasomatized peridotite xenoliths from the Navajo volcanic field (NVF) that sample the Colorado Plateau subcontinental lithospheric mantle (SCLM), an endmember of SCLM hydration and metasomatism. These xenoliths span a wide range of pyroxene [H2O] (opx from 50 to 588 ppm wt. H2O; cpx from 38 to 581 ppm wt. H2O), but NAM [H2O] does not correlate with either indices of melt depletion or metasomatism. Growth of hydrous minerals suggests higher water activity than in anhydrous peridotites, and therefore hydrous-mineral-bearing xenoliths and anhydrous xenoliths should have different NAM [H2O] and water activities. However, when the two groups are compared no significant differences can be found in either NAM [H2O] or water activity. We propose that the high diffusivity of hydrogen in the mantle allows for equilibration of water activity in the mantle over sub-kilometer length scales over geologic time. Such diffusive equilibration reduces water activity variability and results in the blurring and destruction of correlations between NAM [H2O] and indices of metasomatism or melt extraction. As a result of diffusive equilibration of water, there is a large difference in the variability of concentration between NAM [H2O] (spanning </w:instrText>
      </w:r>
      <w:r w:rsidR="008E0CCC">
        <w:rPr>
          <w:rFonts w:ascii="Cambria Math" w:hAnsi="Cambria Math" w:cs="Cambria Math"/>
          <w:color w:val="000000" w:themeColor="text1"/>
        </w:rPr>
        <w:instrText>∼</w:instrText>
      </w:r>
      <w:r w:rsidR="008E0CCC">
        <w:rPr>
          <w:color w:val="000000" w:themeColor="text1"/>
        </w:rPr>
        <w:instrText xml:space="preserve">2 orders of magnitude) and similarly incompatible elements such as Ce in the same peridotites (spanning </w:instrText>
      </w:r>
      <w:r w:rsidR="008E0CCC">
        <w:rPr>
          <w:rFonts w:ascii="Cambria Math" w:hAnsi="Cambria Math" w:cs="Cambria Math"/>
          <w:color w:val="000000" w:themeColor="text1"/>
        </w:rPr>
        <w:instrText>∼</w:instrText>
      </w:r>
      <w:r w:rsidR="008E0CCC">
        <w:rPr>
          <w:color w:val="000000" w:themeColor="text1"/>
        </w:rPr>
        <w:instrText xml:space="preserve">4 orders of magnitude). This difference in behavior explains why H2O/Ce ratios in mantle peridotites are highly variable relative to those of basalts.","container-title":"Earth and Planetary Science Letters","DOI":"10.1016/j.epsl.2018.07.033","ISSN":"0012-821X","journalAbbreviation":"Earth and Planetary Science Letters","page":"219-229","source":"ScienceDirect","title":"On the (mis)behavior of water in the mantle: Controls on nominally anhydrous mineral water content in mantle peridotites","title-short":"On the (mis)behavior of water in the mantle","volume":"499","author":[{"family":"Marshall","given":"Edward W."},{"family":"Lassiter","given":"John C."},{"family":"Barnes","given":"Jaime D."}],"issued":{"date-parts":[["2018",10,1]]}},"suppress-author":true}],"schema":"https://github.com/citation-style-language/schema/raw/master/csl-citation.json"} </w:instrText>
      </w:r>
      <w:r w:rsidRPr="008D781C">
        <w:rPr>
          <w:color w:val="000000" w:themeColor="text1"/>
        </w:rPr>
        <w:fldChar w:fldCharType="separate"/>
      </w:r>
      <w:r w:rsidR="00636367">
        <w:rPr>
          <w:color w:val="000000" w:themeColor="text1"/>
        </w:rPr>
        <w:t>(2018)</w:t>
      </w:r>
      <w:r w:rsidRPr="008D781C">
        <w:rPr>
          <w:color w:val="000000" w:themeColor="text1"/>
        </w:rPr>
        <w:fldChar w:fldCharType="end"/>
      </w:r>
      <w:r w:rsidRPr="008D781C">
        <w:rPr>
          <w:color w:val="000000" w:themeColor="text1"/>
        </w:rPr>
        <w:t>;</w:t>
      </w:r>
      <w:r>
        <w:rPr>
          <w:color w:val="000000" w:themeColor="text1"/>
        </w:rPr>
        <w:t xml:space="preserve"> </w:t>
      </w:r>
      <w:r w:rsidRPr="0009541B">
        <w:rPr>
          <w:color w:val="000000" w:themeColor="text1"/>
        </w:rPr>
        <w:t xml:space="preserve">Peslier &amp; Bizimis </w:t>
      </w:r>
      <w:r w:rsidRPr="0009541B">
        <w:rPr>
          <w:color w:val="000000" w:themeColor="text1"/>
        </w:rPr>
        <w:fldChar w:fldCharType="begin"/>
      </w:r>
      <w:r w:rsidR="008E0CCC">
        <w:rPr>
          <w:color w:val="000000" w:themeColor="text1"/>
        </w:rPr>
        <w:instrText xml:space="preserve"> ADDIN ZOTERO_ITEM CSL_CITATION {"citationID":"hly2rtvG","properties":{"formattedCitation":"(2015)","plainCitation":"(2015)","noteIndex":0},"citationItems":[{"id":3647,"uris":["http://zotero.org/users/88665/items/VA7UGYMZ"],"uri":["http://zotero.org/users/88665/items/VA7UGYMZ"],"itemData":{"id":3647,"type":"article-journal","abstract":"The distribution of water concentrations in the oceanic upper mantle has drastic influence on its melting, rheology, and electrical and thermal conductivities and yet is primarily known indirectly from analyses of OIB and MORB. Here, actual mantle samples, eight peridotite xenoliths from Salt Lake Crater (SLC) and one from Pali in Oahu in Hawaii were analyzed by FTIR. Water contents of orthopyroxene, clinopyroxene, and the highest measured in olivine are 116–222, 246–442, and 10–26 ppm weight H2O, respectively. Although pyroxene water contents correlate with indices of partial melting, they are too high to be explained by simple melting modeling. Mantle-melt interaction modeling reproduces best the SLC data. These peridotites represent depleted oceanic mantle older than the Pacific lithosphere that has been refertilized by nephelinite melts containing &lt;5 weight % H2O. Metasomatism in the Hawaiian peridotites resulted in an apparent decoupling of water and LREE that can be reconciled via assimilation and fractional crystallization. Calculated bulk-rock water contents for SLC (50–96 ppm H2O) are on the low side of that of the MORB source (50–200 ppm H2O). Preceding metasomatism, the SLC peridotites must have been even drier, with a water content similar to that of the Pali peridotite (45 ppm H2O), a relatively unmetasomatized fragment of the Pacific lithosphere. Moreover, our data show that the oceanic mantle lithosphere above plumes is not necessarily enriched in water. Calculated viscosities using olivine water contents allow to estimate the depth of the lithosphere-asthenosphere boundary beneath Hawaii at </w:instrText>
      </w:r>
      <w:r w:rsidR="008E0CCC">
        <w:rPr>
          <w:rFonts w:ascii="Cambria Math" w:hAnsi="Cambria Math" w:cs="Cambria Math"/>
          <w:color w:val="000000" w:themeColor="text1"/>
        </w:rPr>
        <w:instrText>∼</w:instrText>
      </w:r>
      <w:r w:rsidR="008E0CCC">
        <w:rPr>
          <w:color w:val="000000" w:themeColor="text1"/>
        </w:rPr>
        <w:instrText xml:space="preserve">90 km.","container-title":"Geochemistry, Geophysics, Geosystems","DOI":"10.1002/2015GC005780","ISSN":"1525-2027","issue":"4","journalAbbreviation":"Geochemistry, Geophysics, Geosystems","language":"en","page":"1211-1232","source":"Wiley Online Library","title":"Water in Hawaiian peridotite minerals: A case for a dry metasomatized oceanic mantle lithosphere","title-short":"Water in Hawaiian peridotite minerals","volume":"16","author":[{"family":"Peslier","given":"Anne H."},{"family":"Bizimis","given":"Michael"}],"issued":{"date-parts":[["2015",4,1]]}},"suppress-author":true}],"schema":"https://github.com/citation-style-language/schema/raw/master/csl-citation.json"} </w:instrText>
      </w:r>
      <w:r w:rsidRPr="0009541B">
        <w:rPr>
          <w:color w:val="000000" w:themeColor="text1"/>
        </w:rPr>
        <w:fldChar w:fldCharType="separate"/>
      </w:r>
      <w:r w:rsidR="00636367">
        <w:rPr>
          <w:color w:val="000000" w:themeColor="text1"/>
        </w:rPr>
        <w:t>(2015)</w:t>
      </w:r>
      <w:r w:rsidRPr="0009541B">
        <w:rPr>
          <w:color w:val="000000" w:themeColor="text1"/>
        </w:rPr>
        <w:fldChar w:fldCharType="end"/>
      </w:r>
      <w:r w:rsidRPr="0009541B">
        <w:rPr>
          <w:color w:val="000000" w:themeColor="text1"/>
        </w:rPr>
        <w:t xml:space="preserve">; Peslier et al. </w:t>
      </w:r>
      <w:r w:rsidRPr="0009541B">
        <w:rPr>
          <w:color w:val="000000" w:themeColor="text1"/>
        </w:rPr>
        <w:fldChar w:fldCharType="begin"/>
      </w:r>
      <w:r w:rsidR="008E0CCC">
        <w:rPr>
          <w:color w:val="000000" w:themeColor="text1"/>
        </w:rPr>
        <w:instrText xml:space="preserve"> ADDIN ZOTERO_ITEM CSL_CITATION {"citationID":"7Z471FMV","properties":{"formattedCitation":"(2012)","plainCitation":"(2012)","noteIndex":0},"citationItems":[{"id":1658,"uris":["http://zotero.org/users/88665/items/96ANCCAX"],"uri":["http://zotero.org/users/88665/items/96ANCCAX"],"itemData":{"id":1658,"type":"article-journal","abstract":"Water and trace element contents were measured by FTIR and laser ablation-ICPMS on minerals from peridotite xenoliths in kimberlites of the Kaapvaal craton from Finsch, Kimberley, Jagersfontein (South Africa), Letseng-La-Terae, and Liqhobong (Lesotho) mines. The peridotites record a wide range of pressure, temperature, oxygen fugacity, and metasomatic events. Correlations between water content or OH vibration bands with major, minor and trace elements in pyroxene and garnet precludes disturbance during xenolith entrainment by the host kimberlite magma and indicate preservation of mantle water contents. Clinopyroxene water contents (150–400 ppm H2O, by weight) correlate with those of orthopyroxene (40–250 ppm). Olivines (Peslier et al., 2008, 2010) and garnets have 0–86 and 0–20 ppm H2O, respectively. Relations in individual xenolith suites between the amount of water and that of incompatible elements Ti, Na, Fe3+ and rare earths in minerals suggests that metasomatism by oxidizing melts controls the water content of olivine, pyroxene and garnet. At pressures </w:instrText>
      </w:r>
      <w:r w:rsidR="008E0CCC">
        <w:rPr>
          <w:rFonts w:ascii="Cambria Math" w:hAnsi="Cambria Math" w:cs="Cambria Math"/>
          <w:color w:val="000000" w:themeColor="text1"/>
        </w:rPr>
        <w:instrText>⩽</w:instrText>
      </w:r>
      <w:r w:rsidR="008E0CCC">
        <w:rPr>
          <w:color w:val="000000" w:themeColor="text1"/>
        </w:rPr>
        <w:instrText xml:space="preserve">5.5 GPa, hydrous, alkaline, siliceous fluids or melts metasomatized Liqhobong and Kimberley peridotites, producing high water contents in their olivine, pyroxenes and garnet. At higher pressures, the percolation of ultramafic melts reacting with peridotite resulted in co-variation of Ca, Ti and water at the edge of garnets at Jagersfontein, and the overall crystallization of garnet with lower water contents than those in the original peridotites. The upward migration of these ultramafic melts through the lithospheric mantle also increased the water content of olivines with decreasing pressure at Finsch Mine. H2O/Ce ratios of melts in equilibrium with Kaapvaal peridotites range from 100 to 20,000 and the larger values may indicate metasomatism in subduction zone settings. Metasomatic events in Kaapvaal peridotites are thought to have occurred from the Archean to the Mesozoic. However, circumstantial evidence suggest that the metasomatic events responsible for setting the water contents may date from the Archean at Kimberley and from the Proterozoic at Jagersfontein. Combined water with Lu–Hf and Sm–Nd isotopic data at Finsch (Lazarov et al., in press-a) and with Ar–Ar phlogopite ages at Liqhobong (Hopp et al., 2008) indicates that water addition by metasomatic melts occurred in the Proterozoic. Water contents of mantle minerals in Kaapvaal xenoliths measured here have been preserved since that time and can consequently be used in modelling viscosity and longevity of cratonic roots since at least the mid-Proterozoic.","container-title":"Geochimica et Cosmochimica Acta","DOI":"10.1016/j.gca.2012.08.028","ISSN":"0016-7037","issue":"0","journalAbbreviation":"Geochimica et Cosmochimica Acta","page":"213-246","source":"ScienceDirect","title":"Metasomatic control of water contents in the Kaapvaal cratonic mantle","volume":"97","author":[{"family":"Peslier","given":"A.H."},{"family":"Woodland","given":"A.B."},{"family":"Bell","given":"D.R."},{"family":"Lazarov","given":"M."},{"family":"Lapen","given":"T.J."}],"issued":{"date-parts":[["2012",11,15]]}},"suppress-author":true}],"schema":"https://github.com/citation-style-language/schema/raw/master/csl-citation.json"} </w:instrText>
      </w:r>
      <w:r w:rsidRPr="0009541B">
        <w:rPr>
          <w:color w:val="000000" w:themeColor="text1"/>
        </w:rPr>
        <w:fldChar w:fldCharType="separate"/>
      </w:r>
      <w:r w:rsidR="00636367">
        <w:rPr>
          <w:color w:val="000000" w:themeColor="text1"/>
        </w:rPr>
        <w:t>(2012)</w:t>
      </w:r>
      <w:r w:rsidRPr="0009541B">
        <w:rPr>
          <w:color w:val="000000" w:themeColor="text1"/>
        </w:rPr>
        <w:fldChar w:fldCharType="end"/>
      </w:r>
      <w:r w:rsidRPr="0009541B">
        <w:rPr>
          <w:color w:val="000000" w:themeColor="text1"/>
        </w:rPr>
        <w:t>; Peslier et al. (2002);</w:t>
      </w:r>
      <w:r w:rsidRPr="00D47845">
        <w:rPr>
          <w:color w:val="000000" w:themeColor="text1"/>
        </w:rPr>
        <w:t xml:space="preserve"> </w:t>
      </w:r>
      <w:r w:rsidRPr="00CA0672">
        <w:rPr>
          <w:color w:val="000000" w:themeColor="text1"/>
        </w:rPr>
        <w:t xml:space="preserve">Satsukawa et al., </w:t>
      </w:r>
      <w:r w:rsidRPr="00CA0672">
        <w:rPr>
          <w:color w:val="000000" w:themeColor="text1"/>
        </w:rPr>
        <w:fldChar w:fldCharType="begin"/>
      </w:r>
      <w:r w:rsidR="008E0CCC">
        <w:rPr>
          <w:color w:val="000000" w:themeColor="text1"/>
        </w:rPr>
        <w:instrText xml:space="preserve"> ADDIN ZOTERO_ITEM CSL_CITATION {"citationID":"BE6rOPb6","properties":{"formattedCitation":"(2017)","plainCitation":"(2017)","noteIndex":0},"citationItems":[{"id":4184,"uris":["http://zotero.org/users/88665/items/8G8GJIH7"],"uri":["http://zotero.org/users/88665/items/8G8GJIH7"],"itemData":{"id":4184,"type":"article-journal","abstract":"The uppermost mantle in back arc regions is the site of complex interactions between partial melting, melt percolation, and fluid migration. To constrain these interactions and evaluate their consequences on geochemical cycles, we carried out an in situ trace element and water study of a suite of spinel peridotite xenoliths from two regions of the Japan back arc system, Ichinomegata (NE Japan) and Oki-Dogo (SW Japan), using LA-ICPMS and FTIR spectrometry, respectively. This study provides the first full dataset of trace element and hydrogen compositions in peridotites including analyses of all their main constitutive silicate minerals: olivine, orthopyroxene and clinopyroxene. The Ichinomegata peridotites sample a LREE-depleted refractory mantle (Mg# olivine=0.90; Cr# spinel=0.07–0.23; Yb clinopyroxene=7.8–13.3×C1-chondrite, and La/Yb clinopyroxene=0.003–0.086×C1-chondrite), characterized by Th-U positive anomalies and constant values of Nb/Ta. The composition of the studied Ichinomegata samples is consistent with that of an oceanic mantle lithosphere affected by cryptic metasomatic interactions with hydrous/aqueous fluids (crypto-hydrous metasomatism). In contrast, the Oki-Dogo peridotites have low Mg# olivine (0.86–0.93) and a broad range of compositions with clinopyroxene showing “spoon-shaped” to flat, and LREE-enriched patterns. They are also characterized by their homogeneous compositions in the most incompatible LILE (e.g., Rb clinopyroxene=0.01–0.05×primitive mantle) and HFSE (e.g., Nb clinopyroxene=0.01–2.16×primitive mantle). This characteristic is interpreted as resulting from various degrees of melting and extensive melt-rock interactions. FTIR spectroscopy shows that olivine in both Ichinomegata and Oki-Dogo samples has low water contents ranging from 2 to 7ppm wt. H2O. In contrast, the water contents of pyroxenes from Ichinomegata peridotites (113–271ppm wt. H2O for orthopyroxene, and 292–347ppm wt. H2O for clinopyroxene) are significantly higher than in Oki-Dogo peridotites (9–35ppm wt. H2O for orthopyroxene, and 15–98ppm wt. H2O for clinopyroxene). This indicates a relationship between melt-rock interaction and water concentrations in pyroxenes. Our study suggests that the water content of the Japan mantle wedge is controlled by the late melt/fluid/rock interactions evidenced by trace element geochemistry: a mechanism triggered by magma-rock interactions may have acted as an efficient dehydrating process in the Oki-Dogo region while the Ichinomegata mantle water content is controlled by slab-derived crypto-hydrous metasomatism.","container-title":"Geochimica et Cosmochimica Acta","DOI":"10.1016/j.gca.2017.03.042","ISSN":"0016-7037","journalAbbreviation":"Geochimica et Cosmochimica Acta","page":"234-267","source":"ScienceDirect","title":"Chemical interactions in the subduction factory: New insights from an in situ trace element and hydrogen study of the Ichinomegata and Oki-Dogo mantle xenoliths (Japan)","title-short":"Chemical interactions in the subduction factory","volume":"208","author":[{"family":"Satsukawa","given":"Takako"},{"family":"Godard","given":"Marguerite"},{"family":"Demouchy","given":"Sylvie"},{"family":"Michibayashi","given":"Katsuyoshi"},{"family":"Ildefonse","given":"Benoit"}],"issued":{"date-parts":[["2017",7,1]]}},"suppress-author":true}],"schema":"https://github.com/citation-style-language/schema/raw/master/csl-citation.json"} </w:instrText>
      </w:r>
      <w:r w:rsidRPr="00CA0672">
        <w:rPr>
          <w:color w:val="000000" w:themeColor="text1"/>
        </w:rPr>
        <w:fldChar w:fldCharType="separate"/>
      </w:r>
      <w:r w:rsidR="00636367">
        <w:rPr>
          <w:color w:val="000000" w:themeColor="text1"/>
        </w:rPr>
        <w:t>(2017)</w:t>
      </w:r>
      <w:r w:rsidRPr="00CA0672">
        <w:rPr>
          <w:color w:val="000000" w:themeColor="text1"/>
        </w:rPr>
        <w:fldChar w:fldCharType="end"/>
      </w:r>
      <w:r w:rsidRPr="00CA0672">
        <w:rPr>
          <w:color w:val="000000" w:themeColor="text1"/>
        </w:rPr>
        <w:t>;</w:t>
      </w:r>
      <w:r>
        <w:rPr>
          <w:color w:val="000000" w:themeColor="text1"/>
        </w:rPr>
        <w:t xml:space="preserve"> </w:t>
      </w:r>
      <w:r w:rsidRPr="003823D6">
        <w:rPr>
          <w:color w:val="000000" w:themeColor="text1"/>
        </w:rPr>
        <w:t xml:space="preserve">Schaffer et al. </w:t>
      </w:r>
      <w:r w:rsidRPr="003823D6">
        <w:rPr>
          <w:color w:val="000000" w:themeColor="text1"/>
        </w:rPr>
        <w:fldChar w:fldCharType="begin"/>
      </w:r>
      <w:r w:rsidR="008E0CCC">
        <w:rPr>
          <w:color w:val="000000" w:themeColor="text1"/>
        </w:rPr>
        <w:instrText xml:space="preserve"> ADDIN ZOTERO_ITEM CSL_CITATION {"citationID":"pJmbtaeA","properties":{"formattedCitation":"(2018)","plainCitation":"(2018)","noteIndex":0},"citationItems":[{"id":3924,"uris":["http://zotero.org/users/88665/items/7AP93DLJ"],"uri":["http://zotero.org/users/88665/items/7AP93DLJ"],"itemData":{"id":3924,"type":"article-journal","abstract":"The distribution of water in the upper mantle plays a crucial role in the Earth's deep water cycle, magmatism, and plate tectonics. To better constrain how these large-scale geochemical systems operate, peridotite and pyroxenite mantle xenoliths from Kilbourne Hole (KH) and Rio Puerco (RP) along the Rio Grande Rift (NM, USA) were analyzed for water, and major and trace element contents. These xenoliths sample a lithosphere whose composition was influenced by subduction and rifting, and can be used to examine the effects of melting, metasomatism, and sub-solidus equilibration on the behavior of water. The first result is that in KH xenoliths, olivines underwent negligible H loss during xenolith ascent, i.e. preserved their mantle water contents. These olivine water contents are used to calculate mantle viscosities of 0.5-184 1021 Pa.s. These viscosity values are more than 40 times higher than those of the asthenosphere and show that KH peridotites represent samples from the lithosphere. The preservation of olivine water contents is exceptional for off-cratonic xenoliths, and the KH peridotites provide the first estimate of the average concentration of water in Phanerozoic continental mantle lithosphere at 81 ±30 ppm H2O. The mantle lithosphere beneath the Rio Grande rift is nevertheless heterogeneous with water contents ranging from &lt;0.5 to 120 ppm H2O in peridotites and from 227 to 400 ppm H2O in pyroxenites. A composite KH xenolith of a harzburgite cross-cut by a clinopyroxenite vein shows this heterogeneity at the cm scale. The second contribution of this study stems from the majority of the KH peridotites and two of the RP peridotites having major and trace elements that can be explained by partial melting without any need to invoke metasomatic processes. This allows to show that, prior to modelling the water content variation of each peridotite mineral during melting, a correction for sub-solidus equilibration has to be applied to the water contents of the minerals. Sub-solidus equilibration also provides an explanation for the discrepancy between the clinopyroxene/orthopyroxene ratio of water contents in natural peridotites worldwide and in laboratory experiments on water partitioning in peridotite minerals. Finally, the cryptically metasomatized peridotites, rare at KH and abundant at RP, as well as the pyroxenites, permit to decipher the origin and water contents of the metasomatic melts that affected the continental lithosphere beneath the Rio Grande Rift. Trace element modelling of the metasomatized KH and RP peridotites are consistent with metasomatism via melts that are of subduction origin. Melts in equilibrium with peridotites contain more water at RP (</w:instrText>
      </w:r>
      <w:r w:rsidR="008E0CCC">
        <w:rPr>
          <w:rFonts w:ascii="Cambria Math" w:hAnsi="Cambria Math" w:cs="Cambria Math"/>
          <w:color w:val="000000" w:themeColor="text1"/>
        </w:rPr>
        <w:instrText>∼</w:instrText>
      </w:r>
      <w:r w:rsidR="008E0CCC">
        <w:rPr>
          <w:color w:val="000000" w:themeColor="text1"/>
        </w:rPr>
        <w:instrText>1 wt % H2O) than at KH (</w:instrText>
      </w:r>
      <w:r w:rsidR="008E0CCC">
        <w:rPr>
          <w:rFonts w:ascii="Cambria Math" w:hAnsi="Cambria Math" w:cs="Cambria Math"/>
          <w:color w:val="000000" w:themeColor="text1"/>
        </w:rPr>
        <w:instrText>∼</w:instrText>
      </w:r>
      <w:r w:rsidR="008E0CCC">
        <w:rPr>
          <w:color w:val="000000" w:themeColor="text1"/>
        </w:rPr>
        <w:instrText xml:space="preserve">0.5 wt % H2O), although this did not result in a more water-rich mantle lithosphere at RP. Rio Puerco lies within the northern Rio Grande rift, proposed to have been affected by a flat slab subduction, which may explain the more hydrous and extensive metasomatism compared to the south, where KH is located.","container-title":"Geochimica et Cosmochimica Acta","DOI":"10.1016/j.gca.2018.10.005","ISSN":"0016-7037","journalAbbreviation":".10.1016/j.gca.2018.10.005","page":"10.1016/j.gca.2018.10.005","source":"ScienceDirect","title":"Effects of melting, subduction-related metasomatism, and sub-solidus equilibration on the distribution of water contents in the mantle beneath the Rio Grande Rift","author":[{"family":"Schaffer","given":"Lillian A."},{"family":"Peslier","given":"Anne H."},{"family":"Brandon","given":"Alan D."},{"family":"Bizimis","given":"Michael"},{"family":"Gibler","given":"Robert"},{"family":"Norman","given":"Marc"},{"family":"Harvey","given":"Jason"}],"issued":{"date-parts":[["2018",10,13]]}},"suppress-author":true}],"schema":"https://github.com/citation-style-language/schema/raw/master/csl-citation.json"} </w:instrText>
      </w:r>
      <w:r w:rsidRPr="003823D6">
        <w:rPr>
          <w:color w:val="000000" w:themeColor="text1"/>
        </w:rPr>
        <w:fldChar w:fldCharType="separate"/>
      </w:r>
      <w:r w:rsidR="00636367" w:rsidRPr="000050A1">
        <w:rPr>
          <w:color w:val="000000" w:themeColor="text1"/>
          <w:lang w:val="it-IT"/>
        </w:rPr>
        <w:t>(2018)</w:t>
      </w:r>
      <w:r w:rsidRPr="003823D6">
        <w:rPr>
          <w:color w:val="000000" w:themeColor="text1"/>
        </w:rPr>
        <w:fldChar w:fldCharType="end"/>
      </w:r>
      <w:r w:rsidRPr="000050A1">
        <w:rPr>
          <w:color w:val="000000" w:themeColor="text1"/>
          <w:lang w:val="it-IT"/>
        </w:rPr>
        <w:t xml:space="preserve">; Soustelle et al. </w:t>
      </w:r>
      <w:r w:rsidRPr="00BA65D5">
        <w:rPr>
          <w:color w:val="000000" w:themeColor="text1"/>
        </w:rPr>
        <w:fldChar w:fldCharType="begin"/>
      </w:r>
      <w:r w:rsidR="008E0CCC">
        <w:rPr>
          <w:color w:val="000000" w:themeColor="text1"/>
          <w:lang w:val="it-IT"/>
        </w:rPr>
        <w:instrText xml:space="preserve"> ADDIN ZOTERO_ITEM CSL_CITATION {"citationID":"SVguWYlq","properties":{"formattedCitation":"(2013)","plainCitation":"(2013)","noteIndex":0},"citationItems":[{"id":4182,"uris":["http://zotero.org/users/88665/items/YZY9U9M9"],"uri":["http://zotero.org/users/88665/items/YZY9U9M9"],"itemData":{"id":4182,"type":"article-journal","abstract":"This study analyses the interactions between deformation and reactive fluid and melt percolation, and their effects on sub-arc mantle seismic properties based on microstructural observations on mantle xenoliths extracted by the Tubaf and Edison seamounts close to the Lihir Island, in the Papua New Guinea archipelago. These xenoliths sample an oceanic lithosphere, which has experienced high-temperature deformation in the presence of fluids or melts. This was followed by metasomatism under static conditions. Syn-kinematic percolation of reactive Si-rich melts or fluids in peridotites has produced pyroxene-enrichment, grain size reduction, and dispersion of olivine crystal preferred orientation (CPO). Fourier transform infrared spectroscopy analyses show that olivine has very low water contents (1–4wt.ppm H2O), similar to spinel peridotites from other subduction zones. These low values may record both low water solubility in olivine at low pressure and dehydration during transport and exhumation. Water contents in pyroxenes are highly variable and likely result from spatially heterogeneous melt or fluid percolation. Analysis of olivine CPO indicates dominant activation of both (010)[100] and (001)[100] slip systems, which are characteristic of deformation under high temperature, low stress, low pressure and low to moderate hydrous conditions. Fast S-wave polarization and P- and Rayleigh propagation directions are thus parallel to the mantle flow direction. The pyroxene enrichment by melt-rock reactions is accompanied by dispersion of olivine CPO and induces a significant decrease of the maximum S-wave and P-wave anisotropy in the peridotites. The calculated seismic properties also show that the lowest Vp/Vs ratios (&lt;1.7) mapped in fore-arc mantle may only be explained by taking in consideration the CPO-induced elastic anisotropy of the peridotites.","container-title":"Tectonophysics","DOI":"10.1016/j.tecto.2013.09.024","ISSN":"0040-1951","journalAbbreviation":"Tectonophysics","page":"330-345","source":"ScienceDirect","title":"Melt-rock interactions, deformation, hydration and seismic properties in the sub-arc lithospheric mantle inferred from xenoliths from seamounts near Lihir, Papua New Guinea","volume":"608","author":[{"family":"Soustelle","given":"Vincent"},{"family":"Tommasi","given":"Andréa"},{"family":"Demouchy","given":"Sylvie"},{"family":"Franz","given":"Leander"}],"issued":{"date-parts":[["2013",11,26]]}},"suppress-author":true}],"schema":"https://github.com/citation-style-language/schema/raw/master/csl-citation.json"} </w:instrText>
      </w:r>
      <w:r w:rsidRPr="00BA65D5">
        <w:rPr>
          <w:color w:val="000000" w:themeColor="text1"/>
        </w:rPr>
        <w:fldChar w:fldCharType="separate"/>
      </w:r>
      <w:r w:rsidR="00636367" w:rsidRPr="000050A1">
        <w:rPr>
          <w:color w:val="000000" w:themeColor="text1"/>
          <w:lang w:val="it-IT"/>
        </w:rPr>
        <w:t>(2013)</w:t>
      </w:r>
      <w:r w:rsidRPr="00BA65D5">
        <w:rPr>
          <w:color w:val="000000" w:themeColor="text1"/>
        </w:rPr>
        <w:fldChar w:fldCharType="end"/>
      </w:r>
      <w:r w:rsidRPr="000050A1">
        <w:rPr>
          <w:color w:val="000000" w:themeColor="text1"/>
          <w:lang w:val="it-IT"/>
        </w:rPr>
        <w:t xml:space="preserve">; Urann et al. (2017); Warren &amp; Hauri (2014); Yang et al. </w:t>
      </w:r>
      <w:r w:rsidRPr="006A4F8E">
        <w:rPr>
          <w:color w:val="000000" w:themeColor="text1"/>
        </w:rPr>
        <w:fldChar w:fldCharType="begin"/>
      </w:r>
      <w:r w:rsidR="008E0CCC">
        <w:rPr>
          <w:color w:val="000000" w:themeColor="text1"/>
          <w:lang w:val="it-IT"/>
        </w:rPr>
        <w:instrText xml:space="preserve"> ADDIN ZOTERO_ITEM CSL_CITATION {"citationID":"VbbXgoDi","properties":{"formattedCitation":"(2008)","plainCitation":"(2008)","noteIndex":0},"citationItems":[{"id":4178,"uris":["http://zotero.org/users/88665/items/K55Y6MUI"],"uri":["http://zotero.org/users/88665/items/K55Y6MUI"],"itemData":{"id":4178,"type":"article-journal","abstract":"Water contents of clinopyroxene, orthopyroxene and olivine in mantle peridotite xenoliths from the Hannuoba and Nushan basaltic volcanoes (North China Craton) were determined by Fourier transform infrared spectroscopy (FTIR). Results show that contents vary from 50 to 155 ppm (H2O wt.) for clinopyroxene and from 20 to 55 ppm for orthopyroxene in Hannuoba peridotites, and from 5 to 355 ppm for clinopyroxene and from 5 to 140 ppm for orthopyroxene in Nushan peridotites. Water contents in clinopyroxene and orthopyroxene define a good positive correlation with a ratio of ~2.1. This, together with the roughly homogeneous distribution of hydrogen from core to rim region in pyroxene grains, suggests that they have preserved the initial water content of the mantle source. By contrast, olivine in these peridotites contain very little, if any, water, which were probably caused by significant loss of H during their ascent due to the faster H diffusion in olivine relative to pyroxenes and by the relatively lower water content in the mantle source of Hannuoba and Nushan. Previous studies [Xia, Q.K., Yang, X.Z., Deloule, E., Sheng, Y.M., Hao, Y.T., 2006. Water in the lower crustal granulite xenoliths from Nushan, eastern China. Journal of Geophysical Research, 111(B11202) doi:10.1029/2006JB004296; Yang, X.Z., Deloule, E., Xia, Q.K., Fan, Q.C., Feng, M., in press. Water contrast between Precambrian and Phanerozoic continental lower crust of eastern China. Journal of Geophysical Research doi:10.1029/2007JB005541] have shown that the water content ranges from 275 to 720 ppm for clinopyroxene, from 60 to 185 ppm for orthopyroxene and from 65 to 205 ppm for plagioclase in Hannuoba mafic granulite xenoliths, and from 200 to 2330 ppm for clinopyroxene, from 140 to 1270 ppm for orthopyroxene and from 145 to 900 ppm in plagioclase in Nushan mafic granulite xenoliths. The significant difference between the water content of peridotite and that of coexisting mafic granulite xenoliths, e.g. 0–100 ppm (mostly &lt;50 ppm) vs. 100–1000 ppm (mostly &gt;200 ppm) for the estimated bulk concentration, demonstrates that the distribution of water in the deep continental lithosphere is vertically heterogeneous. This may be due to the different genesis of peridotites and granulites (the residue of partial melting vs. the product of melt crystallization). Based on these water data, we define the rheological structure of the lowermost crust and uppermost mantle below the Hannuoba and Nushan regions. The viscosity (strength) of the underlying shallow mantle is similar, whereas the deep crust is relatively stronger at Hannuoba and weaker at Nushan. Difference in the viscosity structure may further influence the dynamical processes between different zones in this craton.","container-title":"Chemical Geology","DOI":"10.1016/j.chemgeo.2008.07.020","ISSN":"0009-2541","issue":"1","journalAbbreviation":"Chemical Geology","page":"33-45","source":"ScienceDirect","title":"Water in minerals of the continental lithospheric mantle and overlying lower crust: A comparative study of peridotite and granulite xenoliths from the North China Craton","title-short":"Water in minerals of the continental lithospheric mantle and overlying lower crust","volume":"256","author":[{"family":"Yang","given":"Xiao-Zhi"},{"family":"Xia","given":"Qun-Ke"},{"family":"Deloule","given":"Etienne"},{"family":"Dallai","given":"Luigi"},{"family":"Fan","given":"Qi-Cheng"},{"family":"Feng","given":"Min"}],"issued":{"date-parts":[["2008",10,30]]}},"suppress-author":true}],"schema":"https://github.com/citation-style-language/schema/raw/master/csl-citation.json"} </w:instrText>
      </w:r>
      <w:r w:rsidRPr="006A4F8E">
        <w:rPr>
          <w:color w:val="000000" w:themeColor="text1"/>
        </w:rPr>
        <w:fldChar w:fldCharType="separate"/>
      </w:r>
      <w:r w:rsidR="00636367">
        <w:rPr>
          <w:color w:val="000000" w:themeColor="text1"/>
        </w:rPr>
        <w:t>(2008)</w:t>
      </w:r>
      <w:r w:rsidRPr="006A4F8E">
        <w:rPr>
          <w:color w:val="000000" w:themeColor="text1"/>
        </w:rPr>
        <w:fldChar w:fldCharType="end"/>
      </w:r>
      <w:r w:rsidRPr="006A4F8E">
        <w:rPr>
          <w:color w:val="000000" w:themeColor="text1"/>
        </w:rPr>
        <w:t>;</w:t>
      </w:r>
      <w:r>
        <w:rPr>
          <w:color w:val="000000" w:themeColor="text1"/>
        </w:rPr>
        <w:t xml:space="preserve"> </w:t>
      </w:r>
      <w:r w:rsidRPr="00D10072">
        <w:rPr>
          <w:color w:val="000000" w:themeColor="text1"/>
        </w:rPr>
        <w:t xml:space="preserve">Yu et al. </w:t>
      </w:r>
      <w:r w:rsidRPr="00D10072">
        <w:rPr>
          <w:color w:val="000000" w:themeColor="text1"/>
        </w:rPr>
        <w:fldChar w:fldCharType="begin"/>
      </w:r>
      <w:r w:rsidR="008E0CCC">
        <w:rPr>
          <w:color w:val="000000" w:themeColor="text1"/>
        </w:rPr>
        <w:instrText xml:space="preserve"> ADDIN ZOTERO_ITEM CSL_CITATION {"citationID":"E6gLOj6d","properties":{"formattedCitation":"(2011)","plainCitation":"(2011)","noteIndex":0},"citationItems":[{"id":3716,"uris":["http://zotero.org/users/88665/items/MPV3TAV3"],"uri":["http://zotero.org/users/88665/items/MPV3TAV3"],"itemData":{"id":3716,"type":"article-journal","abstract":"The water contents of nominally anhydrous minerals (NAMs) in 35 peridotite xenoliths have been analyzed by Fourier transform infrared spectrometry (FTIR). The xenoliths are hosted by Cenozoic volcanic rocks from four localities (Mingxi, Anyuan, Niutoushan and Qilin) in the Cathaysia Block, SE China. Water contents of clinopyroxene (cpx), orthopyroxene (opx), and olivine (ol) range from 58 to 488ppm, 38 to 213ppm, and 0 to 41ppm, respectively. Water contents of cpx are positively correlated with Na and Al, and negatively correlated with Mg and Ca. Considering (1) the homogeneity of water distribution within single pyroxene grains; (2) the partitioning of water between cpx and opx with an average Dcpx/opx of 2.3; and (3) the correlations between the water contents and major element concentrations in cpx, it is suggested that the pyroxenes have largely preserved the water content of their mantle source. The whole-rock water contents calculated from mineral modes range from 12 to 94ppm (average 60±20ppm). This is much higher than the previously-reported water contents of xenoliths from the North China Craton (NCC) (average 26±17ppm). However, it is still quite low compared to those of continental lithospheric mantle worldwide, as inferred from analyses of typical cratonic (122±54ppm) and off-craton (81±40ppm) peridotites. The SCLM beneath the Cathaysia block is a medium-poor water reservoir; this can be explained by the refertilization of old lithospheric mantle which has undergone multiple geological events through time. Water itself plays an important role during the modification of the subcontinental lithospheric mantle. The wet and fertile garnet-facies peridotites found in the Mingxi locality represent the accretion of young lithosphere near the lithosphere–asthenosphere boundary, with almost no melt extraction. This process marks the completion of the lithospheric thinning and the upwelling of asthenosphere. A negative correlation between pyroxene water contents and the oxygen fugacity has only been found in xenoliths from Niutoushan (Mg#&lt;90), which lies on the Changle–Nan'ao fault zone. The fault may have facilitated the infiltration of Niutoushan peridotites by oxidized fluids (or hydrous melts) rising from the subducting Pacific plate.","container-title":"Lithos","DOI":"10.1016/j.lithos.2011.07.009","ISSN":"0024-4937","issue":"3","journalAbbreviation":"Lithos","page":"182-197","source":"ScienceDirect","title":"H2O contents and their modification in the Cenozoic subcontinental lithospheric mantle beneath the Cathaysia block, SE China","volume":"126","author":[{"family":"Yu","given":"Yao"},{"family":"Xu","given":"Xi-Sheng"},{"family":"Griffin","given":"William L."},{"family":"O'Reilly","given":"Suzanne Y."},{"family":"Xia","given":"Qun-Ke"}],"issued":{"date-parts":[["2011",10,1]]}},"suppress-author":true}],"schema":"https://github.com/citation-style-language/schema/raw/master/csl-citation.json"} </w:instrText>
      </w:r>
      <w:r w:rsidRPr="00D10072">
        <w:rPr>
          <w:color w:val="000000" w:themeColor="text1"/>
        </w:rPr>
        <w:fldChar w:fldCharType="separate"/>
      </w:r>
      <w:r w:rsidR="00636367">
        <w:rPr>
          <w:color w:val="000000" w:themeColor="text1"/>
        </w:rPr>
        <w:t>(2011)</w:t>
      </w:r>
      <w:r w:rsidRPr="00D10072">
        <w:rPr>
          <w:color w:val="000000" w:themeColor="text1"/>
        </w:rPr>
        <w:fldChar w:fldCharType="end"/>
      </w:r>
      <w:r>
        <w:rPr>
          <w:color w:val="000000" w:themeColor="text1"/>
        </w:rPr>
        <w:t>;</w:t>
      </w:r>
      <w:r w:rsidRPr="00D47845">
        <w:rPr>
          <w:color w:val="000000" w:themeColor="text1"/>
        </w:rPr>
        <w:t xml:space="preserve"> </w:t>
      </w:r>
      <w:r w:rsidRPr="00833B86">
        <w:rPr>
          <w:color w:val="000000" w:themeColor="text1"/>
        </w:rPr>
        <w:t xml:space="preserve">Xia et al. </w:t>
      </w:r>
      <w:r w:rsidRPr="00833B86">
        <w:rPr>
          <w:color w:val="000000" w:themeColor="text1"/>
        </w:rPr>
        <w:fldChar w:fldCharType="begin"/>
      </w:r>
      <w:r w:rsidR="008E0CCC">
        <w:rPr>
          <w:color w:val="000000" w:themeColor="text1"/>
        </w:rPr>
        <w:instrText xml:space="preserve"> ADDIN ZOTERO_ITEM CSL_CITATION {"citationID":"nOEi44MC","properties":{"formattedCitation":"(2016)","plainCitation":"(2016)","noteIndex":0},"citationItems":[{"id":4154,"uris":["http://zotero.org/users/88665/items/BJ4Y29QK"],"uri":["http://zotero.org/users/88665/items/BJ4Y29QK"],"itemData":{"id":4154,"type":"article-journal","abstract":"High water content in primitive continental flood basalts","container-title":"Scientific Reports","DOI":"10.1038/srep25416","ISSN":"2045-2322","language":"En","page":"25416","source":"www.nature.com","title":"High water content in primitive continental flood basalts","volume":"6","author":[{"family":"Xia","given":"Qun-Ke"},{"family":"Bi","given":"Yao"},{"family":"Li","given":"Pei"},{"family":"Tian","given":"Wei"},{"family":"Wei","given":"Xun"},{"family":"Chen","given":"Han-Lin"}],"issued":{"date-parts":[["2016",5,4]]}},"suppress-author":true}],"schema":"https://github.com/citation-style-language/schema/raw/master/csl-citation.json"} </w:instrText>
      </w:r>
      <w:r w:rsidRPr="00833B86">
        <w:rPr>
          <w:color w:val="000000" w:themeColor="text1"/>
        </w:rPr>
        <w:fldChar w:fldCharType="separate"/>
      </w:r>
      <w:r w:rsidR="00636367">
        <w:rPr>
          <w:color w:val="000000" w:themeColor="text1"/>
        </w:rPr>
        <w:t>(2016)</w:t>
      </w:r>
      <w:r w:rsidRPr="00833B86">
        <w:rPr>
          <w:color w:val="000000" w:themeColor="text1"/>
        </w:rPr>
        <w:fldChar w:fldCharType="end"/>
      </w:r>
      <w:r>
        <w:rPr>
          <w:color w:val="000000" w:themeColor="text1"/>
        </w:rPr>
        <w:t>.</w:t>
      </w:r>
    </w:p>
    <w:p w14:paraId="6790F58F" w14:textId="77777777" w:rsidR="00FE43D8" w:rsidRDefault="00FE43D8" w:rsidP="00C20C0B">
      <w:pPr>
        <w:spacing w:line="480" w:lineRule="auto"/>
        <w:jc w:val="both"/>
      </w:pPr>
    </w:p>
    <w:p w14:paraId="01B9F152" w14:textId="31D70B59" w:rsidR="0021514A" w:rsidRPr="00195AA8" w:rsidRDefault="0021514A" w:rsidP="00C20C0B">
      <w:pPr>
        <w:spacing w:line="480" w:lineRule="auto"/>
        <w:jc w:val="both"/>
        <w:rPr>
          <w:lang w:val="es-ES"/>
        </w:rPr>
      </w:pPr>
      <w:r w:rsidRPr="000355B1">
        <w:t xml:space="preserve">Figure </w:t>
      </w:r>
      <w:r w:rsidR="00270819">
        <w:t>9</w:t>
      </w:r>
      <w:r w:rsidRPr="000355B1">
        <w:t>. Block diagram</w:t>
      </w:r>
      <w:r w:rsidR="00E778F9">
        <w:t xml:space="preserve"> to illustrate </w:t>
      </w:r>
      <w:r w:rsidR="008F51C3">
        <w:t>the critical role that</w:t>
      </w:r>
      <w:r w:rsidR="00E778F9">
        <w:t xml:space="preserve"> </w:t>
      </w:r>
      <w:r w:rsidR="00650A7A">
        <w:t>“</w:t>
      </w:r>
      <w:r w:rsidR="00E778F9">
        <w:t>off-craton</w:t>
      </w:r>
      <w:r w:rsidR="00650A7A">
        <w:t>”</w:t>
      </w:r>
      <w:r w:rsidR="00E778F9">
        <w:t xml:space="preserve"> mantle </w:t>
      </w:r>
      <w:r w:rsidR="008F51C3">
        <w:t>plays in modulating the flux of</w:t>
      </w:r>
      <w:r w:rsidR="00E778F9">
        <w:t xml:space="preserve"> volatile</w:t>
      </w:r>
      <w:r w:rsidR="008F51C3">
        <w:t>s</w:t>
      </w:r>
      <w:r w:rsidR="00E778F9">
        <w:t xml:space="preserve"> </w:t>
      </w:r>
      <w:r w:rsidR="008F51C3">
        <w:t>from Earth’s deep interior to its atmosphere</w:t>
      </w:r>
      <w:r w:rsidR="00E778F9">
        <w:t xml:space="preserve">. Our study shows that </w:t>
      </w:r>
      <w:r w:rsidR="005B3D81">
        <w:t xml:space="preserve">nominally-volatile-free </w:t>
      </w:r>
      <w:r w:rsidR="00E778F9">
        <w:t xml:space="preserve">phases in </w:t>
      </w:r>
      <w:r w:rsidR="00650A7A">
        <w:t>“</w:t>
      </w:r>
      <w:r w:rsidR="008F51C3">
        <w:t>off-craton</w:t>
      </w:r>
      <w:r w:rsidR="00650A7A">
        <w:t>”</w:t>
      </w:r>
      <w:r w:rsidR="008F51C3">
        <w:t xml:space="preserve"> mantle</w:t>
      </w:r>
      <w:r w:rsidR="00E778F9">
        <w:t xml:space="preserve"> (</w:t>
      </w:r>
      <w:r w:rsidR="00650A7A">
        <w:t xml:space="preserve">primarily </w:t>
      </w:r>
      <w:r w:rsidR="00E778F9">
        <w:t xml:space="preserve">clinopyroxene) acts as a “sink” for </w:t>
      </w:r>
      <w:r w:rsidR="00811EF5">
        <w:t>H</w:t>
      </w:r>
      <w:r w:rsidR="00811EF5" w:rsidRPr="00812FBF">
        <w:rPr>
          <w:vertAlign w:val="subscript"/>
        </w:rPr>
        <w:t>2</w:t>
      </w:r>
      <w:r w:rsidR="00811EF5">
        <w:t>O</w:t>
      </w:r>
      <w:r w:rsidR="00E778F9">
        <w:t xml:space="preserve"> and F</w:t>
      </w:r>
      <w:r w:rsidR="001B3AB2">
        <w:t>, but less so for B, Cl and Li</w:t>
      </w:r>
      <w:r w:rsidR="00E778F9">
        <w:t xml:space="preserve">. During major heating and rifting events </w:t>
      </w:r>
      <w:r w:rsidR="00811EF5">
        <w:t>H</w:t>
      </w:r>
      <w:r w:rsidR="00811EF5" w:rsidRPr="00812FBF">
        <w:rPr>
          <w:vertAlign w:val="subscript"/>
        </w:rPr>
        <w:t>2</w:t>
      </w:r>
      <w:r w:rsidR="00811EF5">
        <w:t>O</w:t>
      </w:r>
      <w:r w:rsidR="005B3D81">
        <w:t xml:space="preserve"> and F stored in metasomatised </w:t>
      </w:r>
      <w:r w:rsidR="00650A7A">
        <w:t>“</w:t>
      </w:r>
      <w:r w:rsidR="00E778F9">
        <w:t>off-craton</w:t>
      </w:r>
      <w:r w:rsidR="00650A7A">
        <w:t>”</w:t>
      </w:r>
      <w:r w:rsidR="00E778F9">
        <w:t xml:space="preserve"> mantle may </w:t>
      </w:r>
      <w:r w:rsidR="005B3D81">
        <w:t xml:space="preserve">be re-mobilised and </w:t>
      </w:r>
      <w:r w:rsidR="001B3AB2">
        <w:t xml:space="preserve">emitted to the atmosphere via volcanism in Large Igneous Provinces and continental rift zones. Subcontinental </w:t>
      </w:r>
      <w:r w:rsidR="00C64480">
        <w:t>“</w:t>
      </w:r>
      <w:r w:rsidR="001B3AB2">
        <w:t>off-craton</w:t>
      </w:r>
      <w:r w:rsidR="00C64480">
        <w:t>”</w:t>
      </w:r>
      <w:r w:rsidR="001B3AB2">
        <w:t xml:space="preserve"> lithospheric mantle </w:t>
      </w:r>
      <w:r w:rsidR="005B3D81">
        <w:t xml:space="preserve">thereby </w:t>
      </w:r>
      <w:r w:rsidR="00E778F9">
        <w:t>act</w:t>
      </w:r>
      <w:r w:rsidR="005B3D81">
        <w:t>s</w:t>
      </w:r>
      <w:r w:rsidR="00E778F9">
        <w:t xml:space="preserve"> as an important </w:t>
      </w:r>
      <w:r w:rsidR="001B3AB2">
        <w:t>“</w:t>
      </w:r>
      <w:r w:rsidR="00E778F9">
        <w:t>source</w:t>
      </w:r>
      <w:r w:rsidR="001B3AB2">
        <w:t>”</w:t>
      </w:r>
      <w:r w:rsidR="005B3D81">
        <w:t xml:space="preserve"> of these volatiles. </w:t>
      </w:r>
      <w:r w:rsidR="008F3812">
        <w:t xml:space="preserve">Volatile contents of magmas are those determined on erupted melts rather than ‘initial’ melt concentrations. </w:t>
      </w:r>
      <w:r w:rsidR="005B3D81" w:rsidRPr="006B736E">
        <w:t>Data sources are as follows:</w:t>
      </w:r>
      <w:r w:rsidR="00FC7DA9" w:rsidRPr="00195AA8">
        <w:t xml:space="preserve"> </w:t>
      </w:r>
      <w:r w:rsidR="00C64480">
        <w:t xml:space="preserve">Cabato et al. (2015); </w:t>
      </w:r>
      <w:r w:rsidR="006B736E" w:rsidRPr="006B736E">
        <w:t xml:space="preserve">Dixon et al. </w:t>
      </w:r>
      <w:r w:rsidR="006B736E" w:rsidRPr="00195AA8">
        <w:fldChar w:fldCharType="begin"/>
      </w:r>
      <w:r w:rsidR="008E0CCC">
        <w:instrText xml:space="preserve"> ADDIN ZOTERO_ITEM CSL_CITATION {"citationID":"rczh3uyT","properties":{"formattedCitation":"(1997)","plainCitation":"(1997)","noteIndex":0},"citationItems":[{"id":4174,"uris":["http://zotero.org/users/88665/items/K8W5ATR6"],"uri":["http://zotero.org/users/88665/items/K8W5ATR6"],"itemData":{"id":4174,"type":"article-journal","abstract":"Abstract.  The North Arch volcanic field is a submarine suite of alkali basaltic to nephelinitic lavas of the seafloor north of Oahu at water depths of 3900–438","container-title":"Journal of Petrology","DOI":"10.1093/petroj/38.7.911","ISSN":"0022-3530","issue":"7","journalAbbreviation":"J Petrology","language":"en","page":"911-939","source":"academic.oup.com","title":"Volatiles in alkalic basalts form the North Arch Volcanic Field, Hawaii: Extensive degassing of deep submarine-erupted alkalic series lavas","title-short":"Volatiles in Alkalic Basalts form the North Arch Volcanic Field, Hawaii","volume":"38","author":[{"family":"Dixon","given":"Jacqueline E."},{"family":"Clague","given":"David A."},{"family":"Wallace","given":"Paul"},{"family":"Poreda","given":"Robert"}],"issued":{"date-parts":[["1997",7,1]]}},"suppress-author":true}],"schema":"https://github.com/citation-style-language/schema/raw/master/csl-citation.json"} </w:instrText>
      </w:r>
      <w:r w:rsidR="006B736E" w:rsidRPr="00195AA8">
        <w:fldChar w:fldCharType="separate"/>
      </w:r>
      <w:r w:rsidR="006B736E" w:rsidRPr="00195AA8">
        <w:rPr>
          <w:noProof/>
          <w:lang w:val="es-ES"/>
        </w:rPr>
        <w:t>(1997)</w:t>
      </w:r>
      <w:r w:rsidR="006B736E" w:rsidRPr="00195AA8">
        <w:fldChar w:fldCharType="end"/>
      </w:r>
      <w:r w:rsidR="006B736E" w:rsidRPr="00195AA8">
        <w:rPr>
          <w:lang w:val="es-ES"/>
        </w:rPr>
        <w:t xml:space="preserve">; </w:t>
      </w:r>
      <w:r w:rsidR="00A40997" w:rsidRPr="00195AA8">
        <w:rPr>
          <w:lang w:val="es-ES"/>
        </w:rPr>
        <w:t>Lyubetskaya &amp; Korenega</w:t>
      </w:r>
      <w:r w:rsidR="001C5843" w:rsidRPr="00195AA8">
        <w:rPr>
          <w:lang w:val="es-ES"/>
        </w:rPr>
        <w:t xml:space="preserve"> </w:t>
      </w:r>
      <w:r w:rsidR="001C5843">
        <w:fldChar w:fldCharType="begin"/>
      </w:r>
      <w:r w:rsidR="00A17546">
        <w:rPr>
          <w:lang w:val="es-ES"/>
        </w:rPr>
        <w:instrText xml:space="preserve"> ADDIN ZOTERO_ITEM CSL_CITATION {"citationID":"V94QYWSH","properties":{"formattedCitation":"(2007)","plainCitation":"(2007)","noteIndex":0},"citationItems":[{"id":"4YmRUp4L/kCg2uZTL","uris":["http://zotero.org/users/2552499/items/BUJTQG3S"],"uri":["http://zotero.org/users/2552499/items/BUJTQG3S"],"itemData":{"id":"iu0qadFz/wle0bvHX","type":"article-journal","title":"Chemical composition of Earth's primitive mantle and its variance: 1. Method and results","container-title":"Journal of Geophysical Research: Solid Earth","page":"B03211","volume":"112","issue":"B3","source":"Wiley Online Library","abstract":"We present a new statistical method to construct a model for the chemical composition of Earth's primitive mantle along with its variance. Earth's primitive mantle is located on the melting trend exhibited by the global compilation of mantle peridotites, using cosmochemical constraints on the relative abundances of refractory lithophile elements (RLE). This so-called pyrolite approach involves the least amount of assumptions, thereby being probably most satisfactory compared to other approaches. Its previous implementations, however, suffer from questionable statistical treatment of noisy geochemical data, leaving the uncertainty of model composition poorly quantified. In order to properly take into account how scatters in peridotite data affect this geochemical inference, we combine the following statistical techniques: (1) modeling a nonlinear melting trend in the multidimensional compositional space through the principal component analysis, (2) determining the primitive mantle composition on the melting trend by simultaneously imposing all of cosmochemical constraints with least squares, and (3) mapping scatters in original data into the variance of the final model through the bootstrap resampling technique. Whereas our model is similar to previous models in terms of Mg, Si, and Fe abundances, the RLE contents are at </w:instrText>
      </w:r>
      <w:r w:rsidR="00A17546">
        <w:rPr>
          <w:rFonts w:ascii="Cambria Math" w:hAnsi="Cambria Math" w:cs="Cambria Math"/>
          <w:lang w:val="es-ES"/>
        </w:rPr>
        <w:instrText>∼</w:instrText>
      </w:r>
      <w:r w:rsidR="00A17546">
        <w:rPr>
          <w:lang w:val="es-ES"/>
        </w:rPr>
        <w:instrText xml:space="preserve">2.16 ± 0.37 times the CI chondrite concentration, which is lower than most of previous estimates. The new model is depleted by &gt;20% in a number of incompatible elements including heat-producing elements, U, Th, and K, and this depleted nature is further amplified (up to 60%) in terms of predicted composition for the present-day mantle.","DOI":"10.1029/2005JB004223","ISSN":"2156-2202","shortTitle":"Chemical composition of Earth's primitive mantle and its variance","journalAbbreviation":"J. Geophys. Res.","language":"en","author":[{"family":"Lyubetskaya","given":"Tanya"},{"family":"Korenaga","given":"Jun"}],"issued":{"date-parts":[["2007",3,1]]}},"suppress-author":true}],"schema":"https://github.com/citation-style-language/schema/raw/master/csl-citation.json"} </w:instrText>
      </w:r>
      <w:r w:rsidR="001C5843">
        <w:fldChar w:fldCharType="separate"/>
      </w:r>
      <w:r w:rsidR="001C5843" w:rsidRPr="00195AA8">
        <w:rPr>
          <w:noProof/>
          <w:lang w:val="es-ES"/>
        </w:rPr>
        <w:t>(2007)</w:t>
      </w:r>
      <w:r w:rsidR="001C5843">
        <w:fldChar w:fldCharType="end"/>
      </w:r>
      <w:r w:rsidR="00A40997" w:rsidRPr="00195AA8">
        <w:rPr>
          <w:lang w:val="es-ES"/>
        </w:rPr>
        <w:t xml:space="preserve">; </w:t>
      </w:r>
      <w:r w:rsidR="00C64480" w:rsidRPr="00195AA8">
        <w:rPr>
          <w:lang w:val="es-ES"/>
        </w:rPr>
        <w:t xml:space="preserve">Marks et al. (2014); </w:t>
      </w:r>
      <w:r w:rsidR="00A40997" w:rsidRPr="00195AA8">
        <w:rPr>
          <w:lang w:val="es-ES"/>
        </w:rPr>
        <w:t xml:space="preserve">Palme &amp; </w:t>
      </w:r>
      <w:r w:rsidR="005A7EB7" w:rsidRPr="00195AA8">
        <w:rPr>
          <w:lang w:val="es-ES"/>
        </w:rPr>
        <w:t xml:space="preserve">O’Neill </w:t>
      </w:r>
      <w:r w:rsidR="001C5843">
        <w:fldChar w:fldCharType="begin"/>
      </w:r>
      <w:r w:rsidR="008E0CCC">
        <w:rPr>
          <w:lang w:val="es-ES"/>
        </w:rPr>
        <w:instrText xml:space="preserve"> ADDIN ZOTERO_ITEM CSL_CITATION {"citationID":"uOb8ETd7","properties":{"formattedCitation":"(2007)","plainCitation":"(2007)","noteIndex":0},"citationItems":[{"id":3535,"uris":["http://zotero.org/users/88665/items/G37CCHH8"],"uri":["http://zotero.org/users/88665/items/G37CCHH8"],"itemData":{"id":3535,"type":"chapter","container-title":"Treatise on Geochemistry","event-place":"Oxford","ISBN":"978-0-08-043751-4","note":"00000","page":"1-38","publisher":"Pergamon","publisher-place":"Oxford","source":"ScienceDirect","title":"Cosmochemical estimates of mantle composition","author":[{"family":"Palme","given":"H."},{"family":"O'Neill","given":"H. St. C."}],"editor":[{"family":"Turekian","given":"Karl K."}],"accessed":{"date-parts":[["2017",4,3]]},"issued":{"date-parts":[["2007"]]}},"suppress-author":true}],"schema":"https://github.com/citation-style-language/schema/raw/master/csl-citation.json"} </w:instrText>
      </w:r>
      <w:r w:rsidR="001C5843">
        <w:fldChar w:fldCharType="separate"/>
      </w:r>
      <w:r w:rsidR="001C5843" w:rsidRPr="00195AA8">
        <w:rPr>
          <w:noProof/>
          <w:lang w:val="es-ES"/>
        </w:rPr>
        <w:t>(2007)</w:t>
      </w:r>
      <w:r w:rsidR="001C5843">
        <w:fldChar w:fldCharType="end"/>
      </w:r>
      <w:r w:rsidR="00A40997" w:rsidRPr="00195AA8">
        <w:rPr>
          <w:lang w:val="es-ES"/>
        </w:rPr>
        <w:t xml:space="preserve">; Salters &amp; Stracke </w:t>
      </w:r>
      <w:r w:rsidR="00412552">
        <w:fldChar w:fldCharType="begin"/>
      </w:r>
      <w:r w:rsidR="008E0CCC">
        <w:rPr>
          <w:lang w:val="es-ES"/>
        </w:rPr>
        <w:instrText xml:space="preserve"> ADDIN ZOTERO_ITEM CSL_CITATION {"citationID":"nxqBb20T","properties":{"formattedCitation":"(2004)","plainCitation":"(2004)","noteIndex":0},"citationItems":[{"id":368,"uris":["http://zotero.org/users/88665/items/TD5JKCNQ"],"uri":["http://zotero.org/users/88665/items/TD5JKCNQ"],"itemData":{"id":368,"type":"article-journal","container-title":"Geochemistry Geophysics Geosystems","DOI":"200410.1029/2003GC000597","journalAbbreviation":"Geochem. Geophys. Geosyst.","page":"200410.1029/2003GC000597","source":"AGU Journals","title":"Composition of the depleted mantle","volume":"5","author":[{"family":"Salters","given":"Vincent J. M."},{"family":"Stracke","given":"Andreas"}],"issued":{"date-parts":[["2004",5,13]]}},"suppress-author":true}],"schema":"https://github.com/citation-style-language/schema/raw/master/csl-citation.json"} </w:instrText>
      </w:r>
      <w:r w:rsidR="00412552">
        <w:fldChar w:fldCharType="separate"/>
      </w:r>
      <w:r w:rsidR="00412552" w:rsidRPr="00195AA8">
        <w:rPr>
          <w:noProof/>
          <w:lang w:val="es-ES"/>
        </w:rPr>
        <w:t>(2004)</w:t>
      </w:r>
      <w:r w:rsidR="00412552">
        <w:fldChar w:fldCharType="end"/>
      </w:r>
      <w:r w:rsidR="00A40997" w:rsidRPr="00195AA8">
        <w:rPr>
          <w:lang w:val="es-ES"/>
        </w:rPr>
        <w:t xml:space="preserve">; </w:t>
      </w:r>
      <w:r w:rsidR="00C64480" w:rsidRPr="00195AA8">
        <w:rPr>
          <w:lang w:val="es-ES"/>
        </w:rPr>
        <w:t xml:space="preserve">Thordarson and Self, (1996); </w:t>
      </w:r>
      <w:r w:rsidR="001C5843" w:rsidRPr="00195AA8">
        <w:rPr>
          <w:lang w:val="es-ES"/>
        </w:rPr>
        <w:t>Warren &amp; Hauri (2014)</w:t>
      </w:r>
      <w:r w:rsidR="00A40997" w:rsidRPr="00195AA8">
        <w:rPr>
          <w:lang w:val="es-ES"/>
        </w:rPr>
        <w:t>.</w:t>
      </w:r>
    </w:p>
    <w:p w14:paraId="67308484" w14:textId="77777777" w:rsidR="00853129" w:rsidRPr="00195AA8" w:rsidRDefault="00853129" w:rsidP="00C20C0B">
      <w:pPr>
        <w:spacing w:line="480" w:lineRule="auto"/>
        <w:jc w:val="both"/>
        <w:rPr>
          <w:lang w:val="es-ES"/>
        </w:rPr>
      </w:pPr>
    </w:p>
    <w:p w14:paraId="0CD66884" w14:textId="77777777" w:rsidR="00656282" w:rsidRDefault="00656282" w:rsidP="00C20C0B">
      <w:pPr>
        <w:spacing w:line="480" w:lineRule="auto"/>
        <w:jc w:val="both"/>
        <w:rPr>
          <w:b/>
          <w:sz w:val="28"/>
        </w:rPr>
      </w:pPr>
      <w:r w:rsidRPr="00F621BA">
        <w:rPr>
          <w:b/>
          <w:sz w:val="28"/>
        </w:rPr>
        <w:t>Supplementary Files</w:t>
      </w:r>
    </w:p>
    <w:p w14:paraId="0273F394" w14:textId="77777777" w:rsidR="00D620F7" w:rsidRDefault="00D620F7" w:rsidP="00C20C0B">
      <w:pPr>
        <w:spacing w:line="480" w:lineRule="auto"/>
        <w:jc w:val="both"/>
      </w:pPr>
      <w:r w:rsidRPr="009B315C">
        <w:lastRenderedPageBreak/>
        <w:t xml:space="preserve">Supplementary Table </w:t>
      </w:r>
      <w:r>
        <w:t>1. SIMS analyses of H</w:t>
      </w:r>
      <w:r w:rsidRPr="00195AA8">
        <w:rPr>
          <w:vertAlign w:val="subscript"/>
        </w:rPr>
        <w:t>2</w:t>
      </w:r>
      <w:r>
        <w:t>O, F, Li and B in olivine, orthopyroxene and clinopyroxene in “off-craton” mantle peridotites from southern Patagonia (Pali Aike) and the Antarctic Peninsula.</w:t>
      </w:r>
    </w:p>
    <w:p w14:paraId="15B17DF9" w14:textId="77777777" w:rsidR="00D620F7" w:rsidRDefault="00D620F7" w:rsidP="00C20C0B">
      <w:pPr>
        <w:spacing w:line="480" w:lineRule="auto"/>
        <w:jc w:val="both"/>
      </w:pPr>
    </w:p>
    <w:p w14:paraId="1B830F7B" w14:textId="2AA96B4A" w:rsidR="003831EB" w:rsidRDefault="003831EB" w:rsidP="00C20C0B">
      <w:pPr>
        <w:spacing w:line="480" w:lineRule="auto"/>
        <w:jc w:val="both"/>
      </w:pPr>
      <w:r w:rsidRPr="009B315C">
        <w:t xml:space="preserve">Supplementary Table </w:t>
      </w:r>
      <w:r w:rsidR="00D620F7">
        <w:t>2</w:t>
      </w:r>
      <w:r>
        <w:t>. Analyses of major</w:t>
      </w:r>
      <w:r w:rsidR="00220143">
        <w:t xml:space="preserve">- and </w:t>
      </w:r>
      <w:r>
        <w:t>trace</w:t>
      </w:r>
      <w:r w:rsidR="005E60D7">
        <w:t>-</w:t>
      </w:r>
      <w:r>
        <w:t>element</w:t>
      </w:r>
      <w:r w:rsidR="005E60D7">
        <w:t>s</w:t>
      </w:r>
      <w:r>
        <w:t xml:space="preserve"> </w:t>
      </w:r>
      <w:r w:rsidR="006B736E">
        <w:t>in</w:t>
      </w:r>
      <w:r w:rsidR="005E60D7">
        <w:t xml:space="preserve"> olivine, orthopyroxene, clinopyroxene, garnet and spinel from</w:t>
      </w:r>
      <w:r w:rsidR="006B736E">
        <w:t xml:space="preserve"> “off-craton” mantle peridotites from southern Patagonia (Pali Aike) and the Antarctic Peninsula</w:t>
      </w:r>
      <w:r w:rsidR="00DB7143">
        <w:t>.</w:t>
      </w:r>
    </w:p>
    <w:p w14:paraId="5990215C" w14:textId="502D9F85" w:rsidR="00D620F7" w:rsidRDefault="00D620F7" w:rsidP="00C20C0B">
      <w:pPr>
        <w:spacing w:line="480" w:lineRule="auto"/>
        <w:jc w:val="both"/>
      </w:pPr>
      <w:r w:rsidRPr="009B315C">
        <w:t xml:space="preserve">Supplementary Table </w:t>
      </w:r>
      <w:r>
        <w:t>3. Analyses of international standards determined during LA-ICP-MS analyses of “off-craton” mantle peridotites from southern Patagonia (Pali Aike) and the Antarctic Peninsula.</w:t>
      </w:r>
    </w:p>
    <w:p w14:paraId="44D09EEE" w14:textId="77777777" w:rsidR="003831EB" w:rsidRDefault="003831EB" w:rsidP="00C20C0B">
      <w:pPr>
        <w:spacing w:line="480" w:lineRule="auto"/>
        <w:jc w:val="both"/>
      </w:pPr>
    </w:p>
    <w:p w14:paraId="74278FFD" w14:textId="77777777" w:rsidR="005E60D7" w:rsidRPr="009B315C" w:rsidRDefault="005E60D7" w:rsidP="00C20C0B">
      <w:pPr>
        <w:spacing w:line="480" w:lineRule="auto"/>
        <w:jc w:val="both"/>
      </w:pPr>
    </w:p>
    <w:p w14:paraId="187437E5" w14:textId="2B3DF06A" w:rsidR="00656282" w:rsidRDefault="00656282" w:rsidP="00C20C0B">
      <w:pPr>
        <w:spacing w:line="480" w:lineRule="auto"/>
        <w:jc w:val="both"/>
      </w:pPr>
      <w:r>
        <w:t xml:space="preserve">Supplementary </w:t>
      </w:r>
      <w:r w:rsidRPr="00EC6DAE">
        <w:t xml:space="preserve">Figure 1. </w:t>
      </w:r>
      <w:r>
        <w:t>M</w:t>
      </w:r>
      <w:r w:rsidRPr="00EC6DAE">
        <w:t>ap</w:t>
      </w:r>
      <w:r>
        <w:t xml:space="preserve"> illustrating the locations of samples from </w:t>
      </w:r>
      <w:r w:rsidR="00853129">
        <w:t>s</w:t>
      </w:r>
      <w:r>
        <w:t>outhern Patagonia (Pali Aike) and the Antarctic Peninsula used in this study</w:t>
      </w:r>
      <w:r w:rsidR="006B736E">
        <w:t>.</w:t>
      </w:r>
      <w:r>
        <w:t xml:space="preserve"> </w:t>
      </w:r>
    </w:p>
    <w:p w14:paraId="2B02958F" w14:textId="77777777" w:rsidR="00270819" w:rsidRDefault="00270819" w:rsidP="00C20C0B">
      <w:pPr>
        <w:spacing w:line="480" w:lineRule="auto"/>
        <w:jc w:val="both"/>
      </w:pPr>
    </w:p>
    <w:p w14:paraId="670DD175" w14:textId="33290090" w:rsidR="00270819" w:rsidRDefault="00270819" w:rsidP="00C20C0B">
      <w:pPr>
        <w:spacing w:line="480" w:lineRule="auto"/>
        <w:jc w:val="both"/>
      </w:pPr>
      <w:r>
        <w:t xml:space="preserve">Supplementary Figure 2. Compositions of mantle clinopyroxenes and orthopyroxenes from southern Patagonia (Pali Aike) and the Antarctic Peninsula analysed by SIMS in this study. Note the absence of orthopyroxene in the pyroxenites, and that clinopyroxenes in the peridotites are diopsides whereas those in the pyroxenites are augites. See </w:t>
      </w:r>
      <w:r w:rsidRPr="009B315C">
        <w:rPr>
          <w:b/>
        </w:rPr>
        <w:t xml:space="preserve">Supplementary </w:t>
      </w:r>
      <w:r>
        <w:rPr>
          <w:b/>
        </w:rPr>
        <w:t>Table</w:t>
      </w:r>
      <w:r w:rsidR="00D620F7">
        <w:rPr>
          <w:b/>
        </w:rPr>
        <w:t>s</w:t>
      </w:r>
      <w:r>
        <w:rPr>
          <w:b/>
        </w:rPr>
        <w:t xml:space="preserve"> </w:t>
      </w:r>
      <w:r w:rsidR="00D620F7">
        <w:rPr>
          <w:b/>
        </w:rPr>
        <w:t>2A and B</w:t>
      </w:r>
      <w:r w:rsidR="00D620F7">
        <w:rPr>
          <w:color w:val="FF0000"/>
        </w:rPr>
        <w:t xml:space="preserve"> </w:t>
      </w:r>
      <w:r>
        <w:t>for detailed analyses.</w:t>
      </w:r>
    </w:p>
    <w:p w14:paraId="1829727D" w14:textId="77777777" w:rsidR="00270819" w:rsidRDefault="00270819" w:rsidP="00C20C0B">
      <w:pPr>
        <w:spacing w:line="480" w:lineRule="auto"/>
        <w:jc w:val="both"/>
      </w:pPr>
    </w:p>
    <w:p w14:paraId="0919D7FE" w14:textId="6CFB56E6" w:rsidR="00270819" w:rsidRDefault="00270819" w:rsidP="00C20C0B">
      <w:pPr>
        <w:spacing w:line="480" w:lineRule="auto"/>
        <w:jc w:val="both"/>
      </w:pPr>
      <w:r>
        <w:t xml:space="preserve">Supplementary Figure 3. </w:t>
      </w:r>
      <w:r w:rsidR="00675D01">
        <w:t>Mean o</w:t>
      </w:r>
      <w:r>
        <w:t xml:space="preserve">livine Mg# vs spinel Cr# in peridotites and pyroxenites from southern Patagonia (Pali Aike) and the Antarctic Peninsula. </w:t>
      </w:r>
      <w:r w:rsidR="00675D01">
        <w:t xml:space="preserve">Standard deviations are smaller than the symbol size. The </w:t>
      </w:r>
      <w:r w:rsidR="00434CB4">
        <w:t xml:space="preserve">‘mantle array’ and </w:t>
      </w:r>
      <w:r w:rsidR="00675D01">
        <w:t xml:space="preserve">compositions of residues generated by different </w:t>
      </w:r>
      <w:r w:rsidR="00675D01">
        <w:lastRenderedPageBreak/>
        <w:t xml:space="preserve">percentages of partial melting </w:t>
      </w:r>
      <w:r w:rsidR="00434CB4">
        <w:t xml:space="preserve">in the depleted upper mantle </w:t>
      </w:r>
      <w:r w:rsidR="00675D01">
        <w:t>are shown for reference</w:t>
      </w:r>
      <w:r>
        <w:t xml:space="preserve"> </w:t>
      </w:r>
      <w:r>
        <w:fldChar w:fldCharType="begin"/>
      </w:r>
      <w:r w:rsidR="008E0CCC">
        <w:instrText xml:space="preserve"> ADDIN ZOTERO_ITEM CSL_CITATION {"citationID":"j1i9oYRM","properties":{"formattedCitation":"(Arai, 1994)","plainCitation":"(Arai, 1994)","noteIndex":0},"citationItems":[{"id":1307,"uris":["http://zotero.org/users/88665/items/5II86JHH"],"uri":["http://zotero.org/users/88665/items/5II86JHH"],"itemData":{"id":1307,"type":"article-journal","abstract":"A comprehensive review on igneous petrological characteristics of mantle-derived spinel peridotites was made on the basis of their olivine-spinel compositional relationships. The spinel peridotites (harzburgites and lherzolites), of both massif and xenolithic derivations, plot in a narrow band, the olivine-spinel mantle array, in terms of Fo of olivine and C# (Cr(Cr+Al) atomic ratio) of chromian spinel. The Cr# of spinel grows rapidly within the olivine-spinel mantle array with a slight increase of Fo. Their Cpx(Opx+Cpx) volume ratio decreases towards the high-Fo, high-Cr# end; it is 0.1 for Cr#=0.5−0.6. Peridotite suites from each tectonic setting lie in a particular part of the olivine-spinel mantle array.\n\nThe olivine-spinel mantle array possibly consists of integrated Fo</w:instrText>
      </w:r>
      <w:r w:rsidR="008E0CCC">
        <w:rPr>
          <w:rFonts w:hint="eastAsia"/>
        </w:rPr>
        <w:instrText></w:instrText>
      </w:r>
      <w:r w:rsidR="008E0CCC">
        <w:instrText>Cr# residual trends formed at various conditions (Ptotal and PH2O). Cr# of residual spinel coexisting with olivine of a particular Fo increases with a decrease of Ptotal and/or with an increase of PH2O on partial melting. Origins of peridotite suites can be constrained to some extent in terms of the Fo</w:instrText>
      </w:r>
      <w:r w:rsidR="008E0CCC">
        <w:rPr>
          <w:rFonts w:hint="eastAsia"/>
        </w:rPr>
        <w:instrText></w:instrText>
      </w:r>
      <w:r w:rsidR="008E0CCC">
        <w:instrText xml:space="preserve">Cr# residual trends, for example, some of the Japan-arc mantle peridotites and fore-arc peridotites are low-pressure and/or hydrous restites, and subcontinental and oceanic hot-spot peridotites are high-pressure and/or anhydrous restites. Fertile alpine-type lherzolites with Cr#≈0.1 are of subcontinental origin. Other alpine lherzolites are most frequently of sub-arc origin, sometimes of sub-ocean floor origin, and rarely of sub-continental origin. Most of the alpine-type harzburgites are of fore-arc origin.","container-title":"Chemical Geology","DOI":"10.1016/0009-2541(94)90066-3","ISSN":"0009-2541","issue":"3–4","journalAbbreviation":"Chemical Geology","page":"191-204","source":"ScienceDirect","title":"Characterization of spinel peridotites by olivine-spinel compositional relationships: Review and interpretation","title-short":"Characterization of spinel peridotites by olivine-spinel compositional relationships","volume":"113","author":[{"family":"Arai","given":"S."}],"issued":{"date-parts":[["1994",4,1]]}}}],"schema":"https://github.com/citation-style-language/schema/raw/master/csl-citation.json"} </w:instrText>
      </w:r>
      <w:r>
        <w:fldChar w:fldCharType="separate"/>
      </w:r>
      <w:r w:rsidR="00636367">
        <w:t>(Arai, 1994)</w:t>
      </w:r>
      <w:r>
        <w:fldChar w:fldCharType="end"/>
      </w:r>
      <w:r>
        <w:t>.</w:t>
      </w:r>
    </w:p>
    <w:p w14:paraId="3D90F88D" w14:textId="13D1F5CE" w:rsidR="00656282" w:rsidRDefault="00270819" w:rsidP="00C20C0B">
      <w:pPr>
        <w:spacing w:line="480" w:lineRule="auto"/>
        <w:jc w:val="both"/>
      </w:pPr>
      <w:r>
        <w:t xml:space="preserve"> </w:t>
      </w:r>
    </w:p>
    <w:p w14:paraId="7D9C0113" w14:textId="1263855D" w:rsidR="00656282" w:rsidRDefault="00656282" w:rsidP="00C20C0B">
      <w:pPr>
        <w:spacing w:line="480" w:lineRule="auto"/>
        <w:jc w:val="both"/>
      </w:pPr>
      <w:r>
        <w:t>Supplementary F</w:t>
      </w:r>
      <w:r w:rsidRPr="00EC6DAE">
        <w:t xml:space="preserve">igure </w:t>
      </w:r>
      <w:r w:rsidR="00270819">
        <w:t>4</w:t>
      </w:r>
      <w:r w:rsidRPr="00EC6DAE">
        <w:t>.</w:t>
      </w:r>
      <w:r>
        <w:t xml:space="preserve"> Plots of </w:t>
      </w:r>
      <w:r w:rsidRPr="00EC6DAE">
        <w:t xml:space="preserve">Mg# </w:t>
      </w:r>
      <w:r>
        <w:t xml:space="preserve">for co-existing pyroxenes in mantle xenoliths from </w:t>
      </w:r>
      <w:r w:rsidR="00853129">
        <w:t>s</w:t>
      </w:r>
      <w:r>
        <w:t>outhern Patagonia (Pali Aike) and the Antarctic Peninsula analysed in this study. Mineral phases in garnet peridotite LS33 from Pali Aike were analysed for major elements by Stern et al. (1999) together with H and F by Warren &amp; Hauri (2014). While</w:t>
      </w:r>
      <w:r w:rsidRPr="00F621BA">
        <w:t xml:space="preserve"> clinopyroxene and orthopyroxene </w:t>
      </w:r>
      <w:r>
        <w:t xml:space="preserve">are in equilibrium </w:t>
      </w:r>
      <w:r w:rsidRPr="00F621BA">
        <w:t xml:space="preserve">these </w:t>
      </w:r>
      <w:r>
        <w:t xml:space="preserve">phases </w:t>
      </w:r>
      <w:r w:rsidRPr="00F621BA">
        <w:t>are not in equilibrium with garnet.</w:t>
      </w:r>
      <w:r>
        <w:t xml:space="preserve"> Th</w:t>
      </w:r>
      <w:r w:rsidR="003223D1">
        <w:t>e</w:t>
      </w:r>
      <w:r>
        <w:t>s</w:t>
      </w:r>
      <w:r w:rsidR="003223D1">
        <w:t>e</w:t>
      </w:r>
      <w:r>
        <w:t xml:space="preserve"> </w:t>
      </w:r>
      <w:r w:rsidR="003223D1">
        <w:t xml:space="preserve">disequilibria </w:t>
      </w:r>
      <w:r>
        <w:t>most likely accounts for the anomalously-high pressure estimate for this sample (see Figure 4 in the main text).</w:t>
      </w:r>
    </w:p>
    <w:p w14:paraId="4BB8D800" w14:textId="77777777" w:rsidR="00270819" w:rsidRDefault="00270819" w:rsidP="00C20C0B">
      <w:pPr>
        <w:spacing w:line="480" w:lineRule="auto"/>
        <w:jc w:val="both"/>
      </w:pPr>
    </w:p>
    <w:p w14:paraId="3D6398C7" w14:textId="77777777" w:rsidR="00114A44" w:rsidRDefault="00114A44" w:rsidP="00C20C0B">
      <w:pPr>
        <w:spacing w:line="480" w:lineRule="auto"/>
        <w:jc w:val="both"/>
      </w:pPr>
      <w:r>
        <w:t>Supplementary F</w:t>
      </w:r>
      <w:r w:rsidRPr="00EC6DAE">
        <w:t xml:space="preserve">igure </w:t>
      </w:r>
      <w:r>
        <w:t xml:space="preserve">5. Mixed methods to visualize correlation </w:t>
      </w:r>
      <w:r w:rsidRPr="003A0C41">
        <w:t>matrices</w:t>
      </w:r>
      <w:r>
        <w:t xml:space="preserve"> for (a) major and (b) trace elements in mantle clinopyroxenes from southern Patagonia and the Antarctic Peninsula, showing in more detail the information summarised in Figure 6. B</w:t>
      </w:r>
      <w:r w:rsidRPr="003A0C41">
        <w:t xml:space="preserve">ivariate scatter plots </w:t>
      </w:r>
      <w:r>
        <w:t xml:space="preserve">are shown </w:t>
      </w:r>
      <w:r w:rsidRPr="003A0C41">
        <w:t xml:space="preserve">below the diagonal, histograms on the diagonal, and the Pearson correlation </w:t>
      </w:r>
      <w:r>
        <w:t xml:space="preserve">coefficients </w:t>
      </w:r>
      <w:r w:rsidRPr="003A0C41">
        <w:t xml:space="preserve">above the diagonal. </w:t>
      </w:r>
      <w:r>
        <w:t>Correlation ellipses for each set of elements are also shown</w:t>
      </w:r>
      <w:r w:rsidRPr="003A0C41">
        <w:t>.</w:t>
      </w:r>
    </w:p>
    <w:p w14:paraId="7836A16C" w14:textId="77777777" w:rsidR="00114A44" w:rsidRDefault="00114A44" w:rsidP="00C20C0B">
      <w:pPr>
        <w:spacing w:line="480" w:lineRule="auto"/>
        <w:jc w:val="both"/>
      </w:pPr>
    </w:p>
    <w:p w14:paraId="1AC09C4F" w14:textId="401768A3" w:rsidR="00624867" w:rsidRDefault="00270819" w:rsidP="00C20C0B">
      <w:pPr>
        <w:spacing w:line="480" w:lineRule="auto"/>
        <w:jc w:val="both"/>
      </w:pPr>
      <w:r>
        <w:t xml:space="preserve">Supplementary Figure </w:t>
      </w:r>
      <w:r w:rsidR="004306C1">
        <w:t>6</w:t>
      </w:r>
      <w:r>
        <w:t xml:space="preserve">. Pressure and temperature estimates for garnet peridotites from Pali Aike in southern Patagonia were determined using the two-pyroxene thermometer of Taylor  </w:t>
      </w:r>
      <w:r w:rsidR="00C64480">
        <w:fldChar w:fldCharType="begin"/>
      </w:r>
      <w:r w:rsidR="008E0CCC">
        <w:instrText xml:space="preserve"> ADDIN ZOTERO_ITEM CSL_CITATION {"citationID":"sTmtXFOJ","properties":{"formattedCitation":"(1998)","plainCitation":"(1998)","noteIndex":0},"citationItems":[{"id":113,"uris":["http://zotero.org/users/88665/items/3SAKX2RZ"],"uri":["http://zotero.org/users/88665/items/3SAKX2RZ"],"itemData":{"id":113,"type":"article-journal","container-title":"Neues Jahrbuch Fur Mineralogie Abhandlungen","issue":"2-3","note":"00000","page":"381– 408","title":"An experimental test of some geothermometer and geobarometer formulations for upper mantle peridotites with application to the thermobarometry of fertile Iherzolite and garnet websterite","volume":"172","author":[{"family":"Taylor","given":"W R"}],"issued":{"date-parts":[["1998"]]}},"suppress-author":true}],"schema":"https://github.com/citation-style-language/schema/raw/master/csl-citation.json"} </w:instrText>
      </w:r>
      <w:r w:rsidR="00C64480">
        <w:fldChar w:fldCharType="separate"/>
      </w:r>
      <w:r w:rsidR="00C64480">
        <w:rPr>
          <w:noProof/>
        </w:rPr>
        <w:t>(1998)</w:t>
      </w:r>
      <w:r w:rsidR="00C64480">
        <w:fldChar w:fldCharType="end"/>
      </w:r>
      <w:r w:rsidR="00602E77">
        <w:t xml:space="preserve"> </w:t>
      </w:r>
      <w:r>
        <w:t xml:space="preserve">and the Al-in-orthopyroxene barometer of Nickel &amp; Green </w:t>
      </w:r>
      <w:r w:rsidR="00C64480">
        <w:fldChar w:fldCharType="begin"/>
      </w:r>
      <w:r w:rsidR="008E0CCC">
        <w:instrText xml:space="preserve"> ADDIN ZOTERO_ITEM CSL_CITATION {"citationID":"GUvJSXGv","properties":{"formattedCitation":"(1985)","plainCitation":"(1985)","noteIndex":0},"citationItems":[{"id":145,"uris":["http://zotero.org/users/88665/items/8K6X9DEF"],"uri":["http://zotero.org/users/88665/items/8K6X9DEF"],"itemData":{"id":145,"type":"article-journal","abstract":"As a result of a study on the influence of Cr on geothermometry and geobarometry empirical garnet-orthopyroxene geobarometry has been refined. The applicability to simple and complex systems is demonstrated and the modelling procedure briefly outlined. The suitability of some geothermometers for application to garnet lherzolite xenoliths and their limits of precision are discussed. Fields of pressure-temperature estimates for garnet lherzolites from various provinces are shown. Low-temperature xenoliths (&amp;lt; 1050°C) give estimates in accord with a conductive geotherm for the continental lithosphere. African xenoliths (both South African and “off-craton” Namibian) record a distinctive pattern, exhibiting a “temperature discontinuity”, where high-temperature xenoliths (&amp;gt; 1050°C) give near-isobaric estimates for a range of temperatures. The depth of this “temperature discontinuity” is shallower for off-craton than for on-craton suites. Similar patterns are indicated for suites from U.S.A. and the U.S.S.R.\n\nThe temperature discontinuity is interpreted as a geologically short-lived transient state, where the deepest parts of the lithosphere are in the process of adjustment to higher heat flux from below. At the highest temperatures recorded by those suites “wet” peridotitic solidi are intersected and thus the xenoliths record events, were P,T conditions may have allowed the formation of kimberlitic or strongly undersaturated magmas at about the depths of this discontinuity. This process is inferred to lead to thermal erosion of the base of the lithosphere.\n\nThe generation and subsequent crystallization of magmas at the base of the lithosphere is inferred to be the source for diamond formation. The distinctive pattern of high- and low-temperature xenoliths in relation to the diamond stability field shows the existence of a rather small “diamond window” between about 900 and 1300°C at 40–55 kb. This window exists only underneath old, stable continents with a thick lithosphere. If recent age determinations on diamonds are correct, this implies the existence of thick continental lithosphere with similar characteristics to present-day lithosphere in the Archean.\n\nA model is presented arguing for hot, upwelling convection streams as a possible source of heat. The model implies differences in lithospheric development according to the speed of plates, carrying a continent: Continuous lithospheric thinning by thermal erosion for steady or very slow moving plates with the break-up of a continent and the formation of an ocean as one extreme, the continuous repetition of thermal erosion and growth on cooling (underplating) of the continental lithosphere as the other extreme for fast moving plates. The latter may be the cause of a number of complexities and heterogeneities both within the deep continental lithosphere as well as in the convecting mantle.","container-title":"Earth and Planetary Science Letters","DOI":"10.1016/0012-821X(85)90043-3","ISSN":"0012-821X","issue":"1","journalAbbreviation":"Earth and Planetary Science Letters","page":"158-170","source":"ScienceDirect","title":"Empirical geothermobarometry for garnet peridotites and implications for the nature of the lithosphere, kimberlites and diamonds","volume":"73","author":[{"family":"Nickel","given":"K.G."},{"family":"Green","given":"D.H."}],"issued":{"date-parts":[["1985",4]]}},"suppress-author":true}],"schema":"https://github.com/citation-style-language/schema/raw/master/csl-citation.json"} </w:instrText>
      </w:r>
      <w:r w:rsidR="00C64480">
        <w:fldChar w:fldCharType="separate"/>
      </w:r>
      <w:r w:rsidR="00C64480">
        <w:rPr>
          <w:noProof/>
        </w:rPr>
        <w:t>(1985)</w:t>
      </w:r>
      <w:r w:rsidR="00C64480">
        <w:fldChar w:fldCharType="end"/>
      </w:r>
      <w:r>
        <w:t xml:space="preserve">. Samples are from this work, Rooks (2016), Stern et al. (1999) and </w:t>
      </w:r>
      <w:r w:rsidRPr="009B315C">
        <w:t xml:space="preserve">Kempton et al. </w:t>
      </w:r>
      <w:r w:rsidRPr="009B315C">
        <w:fldChar w:fldCharType="begin"/>
      </w:r>
      <w:r w:rsidR="008E0CCC">
        <w:instrText xml:space="preserve"> ADDIN ZOTERO_ITEM CSL_CITATION {"citationID":"oLLXR6dX","properties":{"formattedCitation":"(1999a)","plainCitation":"(1999a)","noteIndex":0},"citationItems":[{"id":4050,"uris":["http://zotero.org/users/88665/items/3A7C4S34"],"uri":["http://zotero.org/users/88665/items/3A7C4S34"],"itemData":{"id":4050,"type":"chapter","container-title":"Gurney, J. J., Gurney, J. L., Pascoe, M. D. &amp; Richardson, S. H. (eds) Proceedings Volume of 7th International Kimberlite Conference, Cape Town","edition":"JB Dawson","event-place":"Cape Town","page":"415-428","publisher":"Red Roof Design","publisher-place":"Cape Town","title":"Spinel ± garnet lherzolite xenoliths from Pali Aike, Part 2: trace element and isotopic evidence on the evolution of lithospheric mantle beneath southern Patagonia","volume":"Proceedings of VII International Kimberlite Conference","author":[{"family":"Kempton","given":"P. D."},{"family":"Hawkesworth","given":"C. J."},{"family":"Lopez-Escobar","given":"L"},{"family":"Pearson","given":"D. G."},{"family":"Wright","given":"D.W."},{"family":"Ware","given":"A.G."}],"issued":{"date-parts":[["1999"]]}},"suppress-author":true}],"schema":"https://github.com/citation-style-language/schema/raw/master/csl-citation.json"} </w:instrText>
      </w:r>
      <w:r w:rsidRPr="009B315C">
        <w:fldChar w:fldCharType="separate"/>
      </w:r>
      <w:r w:rsidR="00C213C2">
        <w:t>(1999a)</w:t>
      </w:r>
      <w:r w:rsidRPr="009B315C">
        <w:fldChar w:fldCharType="end"/>
      </w:r>
      <w:r w:rsidRPr="000D585C">
        <w:t>.</w:t>
      </w:r>
      <w:r>
        <w:t xml:space="preserve"> The Pali Aike garnet peridotites plot along the 61.1 mWm</w:t>
      </w:r>
      <w:r>
        <w:rPr>
          <w:vertAlign w:val="superscript"/>
        </w:rPr>
        <w:t xml:space="preserve">2 </w:t>
      </w:r>
      <w:r>
        <w:t xml:space="preserve">conductive geotherm; the xenolith misfit is 26.4 </w:t>
      </w:r>
      <w:r>
        <w:rPr>
          <w:vertAlign w:val="superscript"/>
        </w:rPr>
        <w:t>o</w:t>
      </w:r>
      <w:r>
        <w:t xml:space="preserve">C. Assuming a </w:t>
      </w:r>
      <w:r w:rsidR="00E315B1">
        <w:t xml:space="preserve">crustal thickness of 40 km, and a </w:t>
      </w:r>
      <w:r>
        <w:t xml:space="preserve">mantle </w:t>
      </w:r>
      <w:r w:rsidR="00E315B1">
        <w:t xml:space="preserve">potential temperature of </w:t>
      </w:r>
      <w:r>
        <w:t xml:space="preserve">1315 </w:t>
      </w:r>
      <w:r>
        <w:rPr>
          <w:vertAlign w:val="superscript"/>
        </w:rPr>
        <w:t>o</w:t>
      </w:r>
      <w:r>
        <w:t xml:space="preserve">C we estimate that at the time of entrainment, the Mechanical Boundary Layer was at a depth of 76.5 km and the thermal lithosphere at 91 km. This lithospheric thickness is slightly thinner than for </w:t>
      </w:r>
      <w:r>
        <w:lastRenderedPageBreak/>
        <w:t xml:space="preserve">un-extended off-craton mantle. We note that pyroxenes and garnet in LS33 analysed for volatiles by Warren &amp; Hauri (2014) are not in equilibrium which may explain why this sample plots below the geotherm (see </w:t>
      </w:r>
      <w:r>
        <w:rPr>
          <w:b/>
          <w:color w:val="000000" w:themeColor="text1"/>
        </w:rPr>
        <w:t>Supplementary Figure</w:t>
      </w:r>
      <w:r>
        <w:t xml:space="preserve"> </w:t>
      </w:r>
      <w:r w:rsidRPr="009D37AD">
        <w:rPr>
          <w:b/>
        </w:rPr>
        <w:t>4</w:t>
      </w:r>
      <w:r>
        <w:t xml:space="preserve">). The difference in temperature between the anhydrous peridotite solidus and the conductive geotherm is shown by </w:t>
      </w:r>
      <w:r>
        <w:rPr>
          <w:rFonts w:ascii="Symbol" w:hAnsi="Symbol"/>
        </w:rPr>
        <w:t></w:t>
      </w:r>
      <w:r>
        <w:rPr>
          <w:i/>
        </w:rPr>
        <w:t>T</w:t>
      </w:r>
      <w:r>
        <w:t xml:space="preserve"> and defines the maximum sub-solidus re-equilibration temperature.</w:t>
      </w:r>
    </w:p>
    <w:p w14:paraId="18F4F479" w14:textId="77777777" w:rsidR="000E46A4" w:rsidRDefault="000E46A4" w:rsidP="00C20C0B">
      <w:pPr>
        <w:spacing w:line="480" w:lineRule="auto"/>
        <w:jc w:val="both"/>
      </w:pPr>
    </w:p>
    <w:p w14:paraId="77C05A49" w14:textId="0C72BE34" w:rsidR="00D56937" w:rsidRDefault="000E46A4" w:rsidP="00C20C0B">
      <w:pPr>
        <w:spacing w:line="480" w:lineRule="auto"/>
        <w:jc w:val="both"/>
      </w:pPr>
      <w:r>
        <w:t>Supplementary F</w:t>
      </w:r>
      <w:r w:rsidRPr="00EC6DAE">
        <w:t xml:space="preserve">igure </w:t>
      </w:r>
      <w:r w:rsidR="00270819">
        <w:t>7</w:t>
      </w:r>
      <w:r>
        <w:t xml:space="preserve">. Plot to show </w:t>
      </w:r>
      <w:r w:rsidR="00142FE7">
        <w:t xml:space="preserve">the </w:t>
      </w:r>
      <w:r>
        <w:t xml:space="preserve">positive correlation between F and Li in </w:t>
      </w:r>
      <w:r w:rsidR="00142FE7">
        <w:t xml:space="preserve">mantle </w:t>
      </w:r>
      <w:r>
        <w:t>clinopyroxenes from southern Patagonia and the Antarctic Peninsula.</w:t>
      </w:r>
    </w:p>
    <w:p w14:paraId="0F3424B9" w14:textId="77777777" w:rsidR="000E46A4" w:rsidRDefault="000E46A4" w:rsidP="00C20C0B">
      <w:pPr>
        <w:spacing w:line="480" w:lineRule="auto"/>
        <w:jc w:val="both"/>
      </w:pPr>
    </w:p>
    <w:p w14:paraId="5988C4A6" w14:textId="28F796F3" w:rsidR="00624867" w:rsidRPr="000355B1" w:rsidRDefault="00624867" w:rsidP="00C20C0B">
      <w:pPr>
        <w:spacing w:line="480" w:lineRule="auto"/>
        <w:jc w:val="both"/>
      </w:pPr>
      <w:r>
        <w:t>Supplementary F</w:t>
      </w:r>
      <w:r w:rsidRPr="00EC6DAE">
        <w:t xml:space="preserve">igure </w:t>
      </w:r>
      <w:r w:rsidR="00270819">
        <w:t>8</w:t>
      </w:r>
      <w:r>
        <w:t xml:space="preserve">. </w:t>
      </w:r>
      <w:r w:rsidRPr="00743A21">
        <w:t xml:space="preserve">Global variations in </w:t>
      </w:r>
      <w:r>
        <w:t>TiO</w:t>
      </w:r>
      <w:r w:rsidRPr="00743A21">
        <w:rPr>
          <w:vertAlign w:val="subscript"/>
        </w:rPr>
        <w:t>2</w:t>
      </w:r>
      <w:r>
        <w:t xml:space="preserve"> contents of mantle clinopyroxenes from different tectonic settings. This shows that the TiO</w:t>
      </w:r>
      <w:r w:rsidRPr="00F621BA">
        <w:rPr>
          <w:vertAlign w:val="subscript"/>
        </w:rPr>
        <w:t>2</w:t>
      </w:r>
      <w:r>
        <w:t xml:space="preserve"> contents of mantle clinopyroxenes analysed for volatiles in this study spans the full range of mantle compositions. In terms of global mantle clinopyroxenes, the largest range </w:t>
      </w:r>
      <w:r w:rsidRPr="00F621BA">
        <w:t xml:space="preserve">in </w:t>
      </w:r>
      <w:r>
        <w:t>TiO</w:t>
      </w:r>
      <w:r w:rsidRPr="00F621BA">
        <w:rPr>
          <w:vertAlign w:val="subscript"/>
        </w:rPr>
        <w:t>2</w:t>
      </w:r>
      <w:r>
        <w:t xml:space="preserve"> contents is shown for mantle xenoliths hosted by magmas from major continental rift zones, i.e. the Baikal (Vitim Volcanic Field) and Rio Grande Rifts (SW USA). At these sites Ti-Al augites as well as Cr-diopsides -- found in spinel pyroxenites and peridotites, respectively -- are common.</w:t>
      </w:r>
    </w:p>
    <w:p w14:paraId="7F4E342E" w14:textId="735C6CDD" w:rsidR="00416502" w:rsidRDefault="00416502" w:rsidP="00C20C0B">
      <w:pPr>
        <w:spacing w:line="480" w:lineRule="auto"/>
        <w:jc w:val="both"/>
      </w:pPr>
    </w:p>
    <w:sectPr w:rsidR="00416502" w:rsidSect="00C41FFD">
      <w:footerReference w:type="default" r:id="rId8"/>
      <w:pgSz w:w="11906" w:h="16838" w:code="9"/>
      <w:pgMar w:top="1440" w:right="1440" w:bottom="1673" w:left="1440" w:header="709" w:footer="709" w:gutter="0"/>
      <w:lnNumType w:countBy="1" w:restart="continuous"/>
      <w:cols w:space="708"/>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19D73F62" w16cid:durableId="213EFD8C"/>
  <w16cid:commentId w16cid:paraId="0B6D03C4" w16cid:durableId="21176D41"/>
  <w16cid:commentId w16cid:paraId="54C255BD" w16cid:durableId="213EF97A"/>
  <w16cid:commentId w16cid:paraId="3956C4CA" w16cid:durableId="213EFF9B"/>
  <w16cid:commentId w16cid:paraId="2280475B" w16cid:durableId="213F00BD"/>
  <w16cid:commentId w16cid:paraId="1DF679A5" w16cid:durableId="213EF97B"/>
  <w16cid:commentId w16cid:paraId="4D499E7B" w16cid:durableId="213EF97C"/>
  <w16cid:commentId w16cid:paraId="74374B69" w16cid:durableId="212394E7"/>
  <w16cid:commentId w16cid:paraId="197F2ABC" w16cid:durableId="213EF97E"/>
  <w16cid:commentId w16cid:paraId="0D15BDDA" w16cid:durableId="2124A5B4"/>
  <w16cid:commentId w16cid:paraId="0463CF61" w16cid:durableId="213EF980"/>
  <w16cid:commentId w16cid:paraId="5503A149" w16cid:durableId="2124ADC4"/>
  <w16cid:commentId w16cid:paraId="6C9FF82E" w16cid:durableId="213EF982"/>
  <w16cid:commentId w16cid:paraId="673DB818" w16cid:durableId="213F0470"/>
  <w16cid:commentId w16cid:paraId="7F9538EA" w16cid:durableId="213F0577"/>
  <w16cid:commentId w16cid:paraId="479C9933" w16cid:durableId="213F05ED"/>
  <w16cid:commentId w16cid:paraId="4AA222BD" w16cid:durableId="2145A9DD"/>
  <w16cid:commentId w16cid:paraId="55B03143" w16cid:durableId="213F0682"/>
  <w16cid:commentId w16cid:paraId="5AD61C6A" w16cid:durableId="2123A3E4"/>
  <w16cid:commentId w16cid:paraId="353AD528" w16cid:durableId="213EF984"/>
  <w16cid:commentId w16cid:paraId="0607D2DC" w16cid:durableId="213EF985"/>
  <w16cid:commentId w16cid:paraId="1ADD414A" w16cid:durableId="213EF986"/>
  <w16cid:commentId w16cid:paraId="65C16A00" w16cid:durableId="213EF987"/>
  <w16cid:commentId w16cid:paraId="2261DCC6" w16cid:durableId="213EF988"/>
  <w16cid:commentId w16cid:paraId="5AECEF1C" w16cid:durableId="2124B60F"/>
  <w16cid:commentId w16cid:paraId="7D1445F4" w16cid:durableId="213EF98A"/>
  <w16cid:commentId w16cid:paraId="76ADC607" w16cid:durableId="213F156D"/>
  <w16cid:commentId w16cid:paraId="53A28D98" w16cid:durableId="213F172B"/>
  <w16cid:commentId w16cid:paraId="7D0D3B6F" w16cid:durableId="2144D41E"/>
  <w16cid:commentId w16cid:paraId="0161CE55" w16cid:durableId="213F1641"/>
</w16cid:commentsIds>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51E0B63" w14:textId="77777777" w:rsidR="00942814" w:rsidRDefault="00942814" w:rsidP="003A5E98">
      <w:r>
        <w:separator/>
      </w:r>
    </w:p>
  </w:endnote>
  <w:endnote w:type="continuationSeparator" w:id="0">
    <w:p w14:paraId="49AD3234" w14:textId="77777777" w:rsidR="00942814" w:rsidRDefault="00942814" w:rsidP="003A5E98">
      <w:r>
        <w:continuationSeparator/>
      </w:r>
    </w:p>
  </w:endnote>
  <w:endnote w:type="continuationNotice" w:id="1">
    <w:p w14:paraId="079EA555" w14:textId="77777777" w:rsidR="00942814" w:rsidRDefault="00942814"/>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mbria Math">
    <w:panose1 w:val="02040503050406030204"/>
    <w:charset w:val="00"/>
    <w:family w:val="roman"/>
    <w:pitch w:val="variable"/>
    <w:sig w:usb0="E00006FF" w:usb1="420024FF" w:usb2="02000000" w:usb3="00000000" w:csb0="0000019F" w:csb1="00000000"/>
  </w:font>
  <w:font w:name="Latin Modern Roman 12">
    <w:altName w:val="Times New Roman"/>
    <w:charset w:val="00"/>
    <w:family w:val="auto"/>
    <w:pitch w:val="variable"/>
    <w:sig w:usb0="00000001" w:usb1="00000000" w:usb2="00000000" w:usb3="00000000" w:csb0="00000193"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MS Mincho">
    <w:altName w:val="Yu Gothic UI"/>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904713767"/>
      <w:docPartObj>
        <w:docPartGallery w:val="Page Numbers (Bottom of Page)"/>
        <w:docPartUnique/>
      </w:docPartObj>
    </w:sdtPr>
    <w:sdtEndPr/>
    <w:sdtContent>
      <w:sdt>
        <w:sdtPr>
          <w:id w:val="-1669238322"/>
          <w:docPartObj>
            <w:docPartGallery w:val="Page Numbers (Top of Page)"/>
            <w:docPartUnique/>
          </w:docPartObj>
        </w:sdtPr>
        <w:sdtEndPr/>
        <w:sdtContent>
          <w:p w14:paraId="41347BA7" w14:textId="442300EC" w:rsidR="005A15C2" w:rsidRDefault="005A15C2">
            <w:pPr>
              <w:pStyle w:val="Footer"/>
              <w:jc w:val="center"/>
            </w:pPr>
            <w:r>
              <w:t xml:space="preserve">Page </w:t>
            </w:r>
            <w:r>
              <w:rPr>
                <w:b/>
                <w:bCs/>
                <w:sz w:val="24"/>
                <w:szCs w:val="24"/>
              </w:rPr>
              <w:fldChar w:fldCharType="begin"/>
            </w:r>
            <w:r>
              <w:rPr>
                <w:b/>
                <w:bCs/>
              </w:rPr>
              <w:instrText xml:space="preserve"> PAGE </w:instrText>
            </w:r>
            <w:r>
              <w:rPr>
                <w:b/>
                <w:bCs/>
                <w:sz w:val="24"/>
                <w:szCs w:val="24"/>
              </w:rPr>
              <w:fldChar w:fldCharType="separate"/>
            </w:r>
            <w:r w:rsidR="00A17546">
              <w:rPr>
                <w:b/>
                <w:bCs/>
                <w:noProof/>
              </w:rPr>
              <w:t>6</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sidR="00A17546">
              <w:rPr>
                <w:b/>
                <w:bCs/>
                <w:noProof/>
              </w:rPr>
              <w:t>48</w:t>
            </w:r>
            <w:r>
              <w:rPr>
                <w:b/>
                <w:bCs/>
                <w:sz w:val="24"/>
                <w:szCs w:val="24"/>
              </w:rPr>
              <w:fldChar w:fldCharType="end"/>
            </w:r>
          </w:p>
        </w:sdtContent>
      </w:sdt>
    </w:sdtContent>
  </w:sdt>
  <w:p w14:paraId="157885EB" w14:textId="77777777" w:rsidR="005A15C2" w:rsidRDefault="005A15C2">
    <w:pPr>
      <w:pStyle w:val="Foote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245F72E" w14:textId="77777777" w:rsidR="00942814" w:rsidRDefault="00942814" w:rsidP="003A5E98">
      <w:r>
        <w:separator/>
      </w:r>
    </w:p>
  </w:footnote>
  <w:footnote w:type="continuationSeparator" w:id="0">
    <w:p w14:paraId="490E04EB" w14:textId="77777777" w:rsidR="00942814" w:rsidRDefault="00942814" w:rsidP="003A5E98">
      <w:r>
        <w:continuationSeparator/>
      </w:r>
    </w:p>
  </w:footnote>
  <w:footnote w:type="continuationNotice" w:id="1">
    <w:p w14:paraId="51FFF804" w14:textId="77777777" w:rsidR="00942814" w:rsidRDefault="00942814"/>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5773F0"/>
    <w:multiLevelType w:val="multilevel"/>
    <w:tmpl w:val="83749CD0"/>
    <w:lvl w:ilvl="0">
      <w:start w:val="8"/>
      <w:numFmt w:val="decimal"/>
      <w:lvlText w:val="%1."/>
      <w:lvlJc w:val="left"/>
      <w:pPr>
        <w:ind w:left="630" w:hanging="360"/>
      </w:pPr>
      <w:rPr>
        <w:rFonts w:hint="default"/>
        <w:b/>
      </w:rPr>
    </w:lvl>
    <w:lvl w:ilvl="1">
      <w:start w:val="2"/>
      <w:numFmt w:val="decimal"/>
      <w:isLgl/>
      <w:lvlText w:val="%1.%2"/>
      <w:lvlJc w:val="left"/>
      <w:pPr>
        <w:ind w:left="360" w:hanging="360"/>
      </w:pPr>
      <w:rPr>
        <w:rFonts w:ascii="Times New Roman" w:hAnsi="Times New Roman" w:cs="Times New Roman" w:hint="default"/>
        <w:b/>
      </w:rPr>
    </w:lvl>
    <w:lvl w:ilvl="2">
      <w:start w:val="1"/>
      <w:numFmt w:val="decimal"/>
      <w:isLgl/>
      <w:lvlText w:val="%1.%2.%3"/>
      <w:lvlJc w:val="left"/>
      <w:pPr>
        <w:ind w:left="990" w:hanging="720"/>
      </w:pPr>
      <w:rPr>
        <w:rFonts w:hint="default"/>
        <w:b/>
      </w:rPr>
    </w:lvl>
    <w:lvl w:ilvl="3">
      <w:start w:val="1"/>
      <w:numFmt w:val="decimal"/>
      <w:isLgl/>
      <w:lvlText w:val="%1.%2.%3.%4"/>
      <w:lvlJc w:val="left"/>
      <w:pPr>
        <w:ind w:left="990" w:hanging="720"/>
      </w:pPr>
      <w:rPr>
        <w:rFonts w:hint="default"/>
        <w:b/>
      </w:rPr>
    </w:lvl>
    <w:lvl w:ilvl="4">
      <w:start w:val="1"/>
      <w:numFmt w:val="decimal"/>
      <w:isLgl/>
      <w:lvlText w:val="%1.%2.%3.%4.%5"/>
      <w:lvlJc w:val="left"/>
      <w:pPr>
        <w:ind w:left="1350" w:hanging="1080"/>
      </w:pPr>
      <w:rPr>
        <w:rFonts w:hint="default"/>
        <w:b/>
      </w:rPr>
    </w:lvl>
    <w:lvl w:ilvl="5">
      <w:start w:val="1"/>
      <w:numFmt w:val="decimal"/>
      <w:isLgl/>
      <w:lvlText w:val="%1.%2.%3.%4.%5.%6"/>
      <w:lvlJc w:val="left"/>
      <w:pPr>
        <w:ind w:left="1350" w:hanging="1080"/>
      </w:pPr>
      <w:rPr>
        <w:rFonts w:hint="default"/>
        <w:b/>
      </w:rPr>
    </w:lvl>
    <w:lvl w:ilvl="6">
      <w:start w:val="1"/>
      <w:numFmt w:val="decimal"/>
      <w:isLgl/>
      <w:lvlText w:val="%1.%2.%3.%4.%5.%6.%7"/>
      <w:lvlJc w:val="left"/>
      <w:pPr>
        <w:ind w:left="1710" w:hanging="1440"/>
      </w:pPr>
      <w:rPr>
        <w:rFonts w:hint="default"/>
        <w:b/>
      </w:rPr>
    </w:lvl>
    <w:lvl w:ilvl="7">
      <w:start w:val="1"/>
      <w:numFmt w:val="decimal"/>
      <w:isLgl/>
      <w:lvlText w:val="%1.%2.%3.%4.%5.%6.%7.%8"/>
      <w:lvlJc w:val="left"/>
      <w:pPr>
        <w:ind w:left="1710" w:hanging="1440"/>
      </w:pPr>
      <w:rPr>
        <w:rFonts w:hint="default"/>
        <w:b/>
      </w:rPr>
    </w:lvl>
    <w:lvl w:ilvl="8">
      <w:start w:val="1"/>
      <w:numFmt w:val="decimal"/>
      <w:isLgl/>
      <w:lvlText w:val="%1.%2.%3.%4.%5.%6.%7.%8.%9"/>
      <w:lvlJc w:val="left"/>
      <w:pPr>
        <w:ind w:left="2070" w:hanging="1800"/>
      </w:pPr>
      <w:rPr>
        <w:rFonts w:hint="default"/>
        <w:b/>
      </w:rPr>
    </w:lvl>
  </w:abstractNum>
  <w:abstractNum w:abstractNumId="1" w15:restartNumberingAfterBreak="0">
    <w:nsid w:val="0AEF20E3"/>
    <w:multiLevelType w:val="hybridMultilevel"/>
    <w:tmpl w:val="6A62A568"/>
    <w:lvl w:ilvl="0" w:tplc="026E9CF4">
      <w:start w:val="9"/>
      <w:numFmt w:val="decimal"/>
      <w:lvlText w:val="%1."/>
      <w:lvlJc w:val="left"/>
      <w:pPr>
        <w:ind w:left="360" w:hanging="360"/>
      </w:pPr>
      <w:rPr>
        <w:rFonts w:hint="default"/>
        <w:b/>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 w15:restartNumberingAfterBreak="0">
    <w:nsid w:val="0C537E77"/>
    <w:multiLevelType w:val="hybridMultilevel"/>
    <w:tmpl w:val="C374C41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0FDD32ED"/>
    <w:multiLevelType w:val="hybridMultilevel"/>
    <w:tmpl w:val="7856F6AA"/>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0FEC7852"/>
    <w:multiLevelType w:val="hybridMultilevel"/>
    <w:tmpl w:val="DC52CA1C"/>
    <w:lvl w:ilvl="0" w:tplc="0809000F">
      <w:start w:val="6"/>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165C7EA9"/>
    <w:multiLevelType w:val="hybridMultilevel"/>
    <w:tmpl w:val="D4E2960C"/>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1E7D6411"/>
    <w:multiLevelType w:val="hybridMultilevel"/>
    <w:tmpl w:val="9A3EDB06"/>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20A80C62"/>
    <w:multiLevelType w:val="hybridMultilevel"/>
    <w:tmpl w:val="65361E8E"/>
    <w:lvl w:ilvl="0" w:tplc="B98A5C68">
      <w:start w:val="1"/>
      <w:numFmt w:val="decimal"/>
      <w:lvlText w:val="%1."/>
      <w:lvlJc w:val="left"/>
      <w:pPr>
        <w:ind w:left="720" w:hanging="360"/>
      </w:pPr>
      <w:rPr>
        <w:rFonts w:hint="default"/>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22653B04"/>
    <w:multiLevelType w:val="hybridMultilevel"/>
    <w:tmpl w:val="4C2464A2"/>
    <w:lvl w:ilvl="0" w:tplc="ED2E9916">
      <w:start w:val="1"/>
      <w:numFmt w:val="bullet"/>
      <w:lvlText w:val="-"/>
      <w:lvlJc w:val="left"/>
      <w:pPr>
        <w:ind w:left="720" w:hanging="360"/>
      </w:pPr>
      <w:rPr>
        <w:rFonts w:ascii="Calibri" w:eastAsiaTheme="minorHAnsi" w:hAnsi="Calibri" w:cstheme="minorBidi"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2E3907D0"/>
    <w:multiLevelType w:val="hybridMultilevel"/>
    <w:tmpl w:val="C54223A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404437F5"/>
    <w:multiLevelType w:val="hybridMultilevel"/>
    <w:tmpl w:val="FB38318E"/>
    <w:lvl w:ilvl="0" w:tplc="0809000F">
      <w:start w:val="1"/>
      <w:numFmt w:val="decimal"/>
      <w:lvlText w:val="%1."/>
      <w:lvlJc w:val="left"/>
      <w:pPr>
        <w:ind w:left="540" w:hanging="360"/>
      </w:pPr>
      <w:rPr>
        <w:rFonts w:hint="default"/>
      </w:rPr>
    </w:lvl>
    <w:lvl w:ilvl="1" w:tplc="08090019" w:tentative="1">
      <w:start w:val="1"/>
      <w:numFmt w:val="lowerLetter"/>
      <w:lvlText w:val="%2."/>
      <w:lvlJc w:val="left"/>
      <w:pPr>
        <w:ind w:left="1260" w:hanging="360"/>
      </w:pPr>
    </w:lvl>
    <w:lvl w:ilvl="2" w:tplc="0809001B" w:tentative="1">
      <w:start w:val="1"/>
      <w:numFmt w:val="lowerRoman"/>
      <w:lvlText w:val="%3."/>
      <w:lvlJc w:val="right"/>
      <w:pPr>
        <w:ind w:left="1980" w:hanging="180"/>
      </w:pPr>
    </w:lvl>
    <w:lvl w:ilvl="3" w:tplc="0809000F" w:tentative="1">
      <w:start w:val="1"/>
      <w:numFmt w:val="decimal"/>
      <w:lvlText w:val="%4."/>
      <w:lvlJc w:val="left"/>
      <w:pPr>
        <w:ind w:left="2700" w:hanging="360"/>
      </w:pPr>
    </w:lvl>
    <w:lvl w:ilvl="4" w:tplc="08090019" w:tentative="1">
      <w:start w:val="1"/>
      <w:numFmt w:val="lowerLetter"/>
      <w:lvlText w:val="%5."/>
      <w:lvlJc w:val="left"/>
      <w:pPr>
        <w:ind w:left="3420" w:hanging="360"/>
      </w:pPr>
    </w:lvl>
    <w:lvl w:ilvl="5" w:tplc="0809001B" w:tentative="1">
      <w:start w:val="1"/>
      <w:numFmt w:val="lowerRoman"/>
      <w:lvlText w:val="%6."/>
      <w:lvlJc w:val="right"/>
      <w:pPr>
        <w:ind w:left="4140" w:hanging="180"/>
      </w:pPr>
    </w:lvl>
    <w:lvl w:ilvl="6" w:tplc="0809000F" w:tentative="1">
      <w:start w:val="1"/>
      <w:numFmt w:val="decimal"/>
      <w:lvlText w:val="%7."/>
      <w:lvlJc w:val="left"/>
      <w:pPr>
        <w:ind w:left="4860" w:hanging="360"/>
      </w:pPr>
    </w:lvl>
    <w:lvl w:ilvl="7" w:tplc="08090019" w:tentative="1">
      <w:start w:val="1"/>
      <w:numFmt w:val="lowerLetter"/>
      <w:lvlText w:val="%8."/>
      <w:lvlJc w:val="left"/>
      <w:pPr>
        <w:ind w:left="5580" w:hanging="360"/>
      </w:pPr>
    </w:lvl>
    <w:lvl w:ilvl="8" w:tplc="0809001B" w:tentative="1">
      <w:start w:val="1"/>
      <w:numFmt w:val="lowerRoman"/>
      <w:lvlText w:val="%9."/>
      <w:lvlJc w:val="right"/>
      <w:pPr>
        <w:ind w:left="6300" w:hanging="180"/>
      </w:pPr>
    </w:lvl>
  </w:abstractNum>
  <w:abstractNum w:abstractNumId="11" w15:restartNumberingAfterBreak="0">
    <w:nsid w:val="422E305A"/>
    <w:multiLevelType w:val="hybridMultilevel"/>
    <w:tmpl w:val="0F7C4A16"/>
    <w:lvl w:ilvl="0" w:tplc="A3B61B9E">
      <w:start w:val="6"/>
      <w:numFmt w:val="decimal"/>
      <w:lvlText w:val="%1."/>
      <w:lvlJc w:val="left"/>
      <w:pPr>
        <w:ind w:left="630" w:hanging="360"/>
      </w:pPr>
      <w:rPr>
        <w:rFonts w:hint="default"/>
        <w:b/>
      </w:rPr>
    </w:lvl>
    <w:lvl w:ilvl="1" w:tplc="08090019" w:tentative="1">
      <w:start w:val="1"/>
      <w:numFmt w:val="lowerLetter"/>
      <w:lvlText w:val="%2."/>
      <w:lvlJc w:val="left"/>
      <w:pPr>
        <w:ind w:left="1260" w:hanging="360"/>
      </w:pPr>
    </w:lvl>
    <w:lvl w:ilvl="2" w:tplc="0809001B" w:tentative="1">
      <w:start w:val="1"/>
      <w:numFmt w:val="lowerRoman"/>
      <w:lvlText w:val="%3."/>
      <w:lvlJc w:val="right"/>
      <w:pPr>
        <w:ind w:left="1980" w:hanging="180"/>
      </w:pPr>
    </w:lvl>
    <w:lvl w:ilvl="3" w:tplc="0809000F" w:tentative="1">
      <w:start w:val="1"/>
      <w:numFmt w:val="decimal"/>
      <w:lvlText w:val="%4."/>
      <w:lvlJc w:val="left"/>
      <w:pPr>
        <w:ind w:left="2700" w:hanging="360"/>
      </w:pPr>
    </w:lvl>
    <w:lvl w:ilvl="4" w:tplc="08090019" w:tentative="1">
      <w:start w:val="1"/>
      <w:numFmt w:val="lowerLetter"/>
      <w:lvlText w:val="%5."/>
      <w:lvlJc w:val="left"/>
      <w:pPr>
        <w:ind w:left="3420" w:hanging="360"/>
      </w:pPr>
    </w:lvl>
    <w:lvl w:ilvl="5" w:tplc="0809001B" w:tentative="1">
      <w:start w:val="1"/>
      <w:numFmt w:val="lowerRoman"/>
      <w:lvlText w:val="%6."/>
      <w:lvlJc w:val="right"/>
      <w:pPr>
        <w:ind w:left="4140" w:hanging="180"/>
      </w:pPr>
    </w:lvl>
    <w:lvl w:ilvl="6" w:tplc="0809000F" w:tentative="1">
      <w:start w:val="1"/>
      <w:numFmt w:val="decimal"/>
      <w:lvlText w:val="%7."/>
      <w:lvlJc w:val="left"/>
      <w:pPr>
        <w:ind w:left="4860" w:hanging="360"/>
      </w:pPr>
    </w:lvl>
    <w:lvl w:ilvl="7" w:tplc="08090019" w:tentative="1">
      <w:start w:val="1"/>
      <w:numFmt w:val="lowerLetter"/>
      <w:lvlText w:val="%8."/>
      <w:lvlJc w:val="left"/>
      <w:pPr>
        <w:ind w:left="5580" w:hanging="360"/>
      </w:pPr>
    </w:lvl>
    <w:lvl w:ilvl="8" w:tplc="0809001B" w:tentative="1">
      <w:start w:val="1"/>
      <w:numFmt w:val="lowerRoman"/>
      <w:lvlText w:val="%9."/>
      <w:lvlJc w:val="right"/>
      <w:pPr>
        <w:ind w:left="6300" w:hanging="180"/>
      </w:pPr>
    </w:lvl>
  </w:abstractNum>
  <w:abstractNum w:abstractNumId="12" w15:restartNumberingAfterBreak="0">
    <w:nsid w:val="42C25CC2"/>
    <w:multiLevelType w:val="hybridMultilevel"/>
    <w:tmpl w:val="15584CB2"/>
    <w:lvl w:ilvl="0" w:tplc="3A2ABE7E">
      <w:start w:val="5"/>
      <w:numFmt w:val="decimal"/>
      <w:lvlText w:val="%1."/>
      <w:lvlJc w:val="left"/>
      <w:pPr>
        <w:ind w:left="540" w:hanging="360"/>
      </w:pPr>
      <w:rPr>
        <w:rFonts w:hint="default"/>
      </w:rPr>
    </w:lvl>
    <w:lvl w:ilvl="1" w:tplc="08090019" w:tentative="1">
      <w:start w:val="1"/>
      <w:numFmt w:val="lowerLetter"/>
      <w:lvlText w:val="%2."/>
      <w:lvlJc w:val="left"/>
      <w:pPr>
        <w:ind w:left="1260" w:hanging="360"/>
      </w:pPr>
    </w:lvl>
    <w:lvl w:ilvl="2" w:tplc="0809001B" w:tentative="1">
      <w:start w:val="1"/>
      <w:numFmt w:val="lowerRoman"/>
      <w:lvlText w:val="%3."/>
      <w:lvlJc w:val="right"/>
      <w:pPr>
        <w:ind w:left="1980" w:hanging="180"/>
      </w:pPr>
    </w:lvl>
    <w:lvl w:ilvl="3" w:tplc="0809000F" w:tentative="1">
      <w:start w:val="1"/>
      <w:numFmt w:val="decimal"/>
      <w:lvlText w:val="%4."/>
      <w:lvlJc w:val="left"/>
      <w:pPr>
        <w:ind w:left="2700" w:hanging="360"/>
      </w:pPr>
    </w:lvl>
    <w:lvl w:ilvl="4" w:tplc="08090019" w:tentative="1">
      <w:start w:val="1"/>
      <w:numFmt w:val="lowerLetter"/>
      <w:lvlText w:val="%5."/>
      <w:lvlJc w:val="left"/>
      <w:pPr>
        <w:ind w:left="3420" w:hanging="360"/>
      </w:pPr>
    </w:lvl>
    <w:lvl w:ilvl="5" w:tplc="0809001B" w:tentative="1">
      <w:start w:val="1"/>
      <w:numFmt w:val="lowerRoman"/>
      <w:lvlText w:val="%6."/>
      <w:lvlJc w:val="right"/>
      <w:pPr>
        <w:ind w:left="4140" w:hanging="180"/>
      </w:pPr>
    </w:lvl>
    <w:lvl w:ilvl="6" w:tplc="0809000F" w:tentative="1">
      <w:start w:val="1"/>
      <w:numFmt w:val="decimal"/>
      <w:lvlText w:val="%7."/>
      <w:lvlJc w:val="left"/>
      <w:pPr>
        <w:ind w:left="4860" w:hanging="360"/>
      </w:pPr>
    </w:lvl>
    <w:lvl w:ilvl="7" w:tplc="08090019" w:tentative="1">
      <w:start w:val="1"/>
      <w:numFmt w:val="lowerLetter"/>
      <w:lvlText w:val="%8."/>
      <w:lvlJc w:val="left"/>
      <w:pPr>
        <w:ind w:left="5580" w:hanging="360"/>
      </w:pPr>
    </w:lvl>
    <w:lvl w:ilvl="8" w:tplc="0809001B" w:tentative="1">
      <w:start w:val="1"/>
      <w:numFmt w:val="lowerRoman"/>
      <w:lvlText w:val="%9."/>
      <w:lvlJc w:val="right"/>
      <w:pPr>
        <w:ind w:left="6300" w:hanging="180"/>
      </w:pPr>
    </w:lvl>
  </w:abstractNum>
  <w:abstractNum w:abstractNumId="13" w15:restartNumberingAfterBreak="0">
    <w:nsid w:val="4BE968ED"/>
    <w:multiLevelType w:val="multilevel"/>
    <w:tmpl w:val="3C4C8E80"/>
    <w:lvl w:ilvl="0">
      <w:start w:val="8"/>
      <w:numFmt w:val="decimal"/>
      <w:lvlText w:val="%1"/>
      <w:lvlJc w:val="left"/>
      <w:pPr>
        <w:ind w:left="360" w:hanging="360"/>
      </w:pPr>
      <w:rPr>
        <w:rFonts w:hint="default"/>
      </w:rPr>
    </w:lvl>
    <w:lvl w:ilvl="1">
      <w:start w:val="2"/>
      <w:numFmt w:val="decimal"/>
      <w:lvlText w:val="%1.%2"/>
      <w:lvlJc w:val="left"/>
      <w:pPr>
        <w:ind w:left="540" w:hanging="360"/>
      </w:pPr>
      <w:rPr>
        <w:rFonts w:hint="default"/>
      </w:rPr>
    </w:lvl>
    <w:lvl w:ilvl="2">
      <w:start w:val="1"/>
      <w:numFmt w:val="decimal"/>
      <w:lvlText w:val="%1.%2.%3"/>
      <w:lvlJc w:val="left"/>
      <w:pPr>
        <w:ind w:left="1080" w:hanging="720"/>
      </w:pPr>
      <w:rPr>
        <w:rFonts w:hint="default"/>
      </w:rPr>
    </w:lvl>
    <w:lvl w:ilvl="3">
      <w:start w:val="1"/>
      <w:numFmt w:val="decimal"/>
      <w:lvlText w:val="%1.%2.%3.%4"/>
      <w:lvlJc w:val="left"/>
      <w:pPr>
        <w:ind w:left="1260" w:hanging="72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1980" w:hanging="1080"/>
      </w:pPr>
      <w:rPr>
        <w:rFonts w:hint="default"/>
      </w:rPr>
    </w:lvl>
    <w:lvl w:ilvl="6">
      <w:start w:val="1"/>
      <w:numFmt w:val="decimal"/>
      <w:lvlText w:val="%1.%2.%3.%4.%5.%6.%7"/>
      <w:lvlJc w:val="left"/>
      <w:pPr>
        <w:ind w:left="2520" w:hanging="1440"/>
      </w:pPr>
      <w:rPr>
        <w:rFonts w:hint="default"/>
      </w:rPr>
    </w:lvl>
    <w:lvl w:ilvl="7">
      <w:start w:val="1"/>
      <w:numFmt w:val="decimal"/>
      <w:lvlText w:val="%1.%2.%3.%4.%5.%6.%7.%8"/>
      <w:lvlJc w:val="left"/>
      <w:pPr>
        <w:ind w:left="2700" w:hanging="1440"/>
      </w:pPr>
      <w:rPr>
        <w:rFonts w:hint="default"/>
      </w:rPr>
    </w:lvl>
    <w:lvl w:ilvl="8">
      <w:start w:val="1"/>
      <w:numFmt w:val="decimal"/>
      <w:lvlText w:val="%1.%2.%3.%4.%5.%6.%7.%8.%9"/>
      <w:lvlJc w:val="left"/>
      <w:pPr>
        <w:ind w:left="3240" w:hanging="1800"/>
      </w:pPr>
      <w:rPr>
        <w:rFonts w:hint="default"/>
      </w:rPr>
    </w:lvl>
  </w:abstractNum>
  <w:abstractNum w:abstractNumId="14" w15:restartNumberingAfterBreak="0">
    <w:nsid w:val="5CFC7A7F"/>
    <w:multiLevelType w:val="hybridMultilevel"/>
    <w:tmpl w:val="5AACDF0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63853433"/>
    <w:multiLevelType w:val="multilevel"/>
    <w:tmpl w:val="6A1AD176"/>
    <w:lvl w:ilvl="0">
      <w:start w:val="9"/>
      <w:numFmt w:val="decimal"/>
      <w:lvlText w:val="%1."/>
      <w:lvlJc w:val="left"/>
      <w:pPr>
        <w:ind w:left="540" w:hanging="360"/>
      </w:pPr>
      <w:rPr>
        <w:rFonts w:ascii="Times New Roman" w:hAnsi="Times New Roman" w:cs="Times New Roman" w:hint="default"/>
        <w:b/>
        <w:sz w:val="24"/>
      </w:rPr>
    </w:lvl>
    <w:lvl w:ilvl="1">
      <w:start w:val="1"/>
      <w:numFmt w:val="decimal"/>
      <w:isLgl/>
      <w:lvlText w:val="%1.%2."/>
      <w:lvlJc w:val="left"/>
      <w:pPr>
        <w:ind w:left="630" w:hanging="360"/>
      </w:pPr>
      <w:rPr>
        <w:rFonts w:ascii="Times New Roman" w:hAnsi="Times New Roman" w:cs="Times New Roman" w:hint="default"/>
        <w:sz w:val="24"/>
      </w:rPr>
    </w:lvl>
    <w:lvl w:ilvl="2">
      <w:start w:val="1"/>
      <w:numFmt w:val="decimal"/>
      <w:isLgl/>
      <w:lvlText w:val="%1.%2.%3."/>
      <w:lvlJc w:val="left"/>
      <w:pPr>
        <w:ind w:left="900" w:hanging="720"/>
      </w:pPr>
      <w:rPr>
        <w:rFonts w:hint="default"/>
      </w:rPr>
    </w:lvl>
    <w:lvl w:ilvl="3">
      <w:start w:val="1"/>
      <w:numFmt w:val="decimal"/>
      <w:isLgl/>
      <w:lvlText w:val="%1.%2.%3.%4."/>
      <w:lvlJc w:val="left"/>
      <w:pPr>
        <w:ind w:left="900" w:hanging="720"/>
      </w:pPr>
      <w:rPr>
        <w:rFonts w:hint="default"/>
      </w:rPr>
    </w:lvl>
    <w:lvl w:ilvl="4">
      <w:start w:val="1"/>
      <w:numFmt w:val="decimal"/>
      <w:isLgl/>
      <w:lvlText w:val="%1.%2.%3.%4.%5."/>
      <w:lvlJc w:val="left"/>
      <w:pPr>
        <w:ind w:left="1260" w:hanging="1080"/>
      </w:pPr>
      <w:rPr>
        <w:rFonts w:hint="default"/>
      </w:rPr>
    </w:lvl>
    <w:lvl w:ilvl="5">
      <w:start w:val="1"/>
      <w:numFmt w:val="decimal"/>
      <w:isLgl/>
      <w:lvlText w:val="%1.%2.%3.%4.%5.%6."/>
      <w:lvlJc w:val="left"/>
      <w:pPr>
        <w:ind w:left="1260" w:hanging="1080"/>
      </w:pPr>
      <w:rPr>
        <w:rFonts w:hint="default"/>
      </w:rPr>
    </w:lvl>
    <w:lvl w:ilvl="6">
      <w:start w:val="1"/>
      <w:numFmt w:val="decimal"/>
      <w:isLgl/>
      <w:lvlText w:val="%1.%2.%3.%4.%5.%6.%7."/>
      <w:lvlJc w:val="left"/>
      <w:pPr>
        <w:ind w:left="1620" w:hanging="1440"/>
      </w:pPr>
      <w:rPr>
        <w:rFonts w:hint="default"/>
      </w:rPr>
    </w:lvl>
    <w:lvl w:ilvl="7">
      <w:start w:val="1"/>
      <w:numFmt w:val="decimal"/>
      <w:isLgl/>
      <w:lvlText w:val="%1.%2.%3.%4.%5.%6.%7.%8."/>
      <w:lvlJc w:val="left"/>
      <w:pPr>
        <w:ind w:left="1620" w:hanging="1440"/>
      </w:pPr>
      <w:rPr>
        <w:rFonts w:hint="default"/>
      </w:rPr>
    </w:lvl>
    <w:lvl w:ilvl="8">
      <w:start w:val="1"/>
      <w:numFmt w:val="decimal"/>
      <w:isLgl/>
      <w:lvlText w:val="%1.%2.%3.%4.%5.%6.%7.%8.%9."/>
      <w:lvlJc w:val="left"/>
      <w:pPr>
        <w:ind w:left="1980" w:hanging="1800"/>
      </w:pPr>
      <w:rPr>
        <w:rFonts w:hint="default"/>
      </w:rPr>
    </w:lvl>
  </w:abstractNum>
  <w:abstractNum w:abstractNumId="16" w15:restartNumberingAfterBreak="0">
    <w:nsid w:val="69C454A5"/>
    <w:multiLevelType w:val="multilevel"/>
    <w:tmpl w:val="1A64B45C"/>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7" w15:restartNumberingAfterBreak="0">
    <w:nsid w:val="6D551AFE"/>
    <w:multiLevelType w:val="multilevel"/>
    <w:tmpl w:val="F6363BFC"/>
    <w:lvl w:ilvl="0">
      <w:start w:val="9"/>
      <w:numFmt w:val="decimal"/>
      <w:lvlText w:val="%1"/>
      <w:lvlJc w:val="left"/>
      <w:pPr>
        <w:ind w:left="360" w:hanging="360"/>
      </w:pPr>
      <w:rPr>
        <w:rFonts w:hint="default"/>
      </w:rPr>
    </w:lvl>
    <w:lvl w:ilvl="1">
      <w:start w:val="2"/>
      <w:numFmt w:val="decimal"/>
      <w:lvlText w:val="%1.%2"/>
      <w:lvlJc w:val="left"/>
      <w:pPr>
        <w:ind w:left="360" w:hanging="360"/>
      </w:pPr>
      <w:rPr>
        <w:rFonts w:ascii="Times New Roman" w:hAnsi="Times New Roman" w:cs="Times New Roman" w:hint="default"/>
        <w:b/>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8" w15:restartNumberingAfterBreak="0">
    <w:nsid w:val="6DFC1ECA"/>
    <w:multiLevelType w:val="hybridMultilevel"/>
    <w:tmpl w:val="6A56ED6E"/>
    <w:lvl w:ilvl="0" w:tplc="443C019E">
      <w:start w:val="1"/>
      <w:numFmt w:val="lowerRoman"/>
      <w:lvlText w:val="(%1)"/>
      <w:lvlJc w:val="left"/>
      <w:pPr>
        <w:ind w:left="1440" w:hanging="72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9" w15:restartNumberingAfterBreak="0">
    <w:nsid w:val="7150622A"/>
    <w:multiLevelType w:val="hybridMultilevel"/>
    <w:tmpl w:val="8CA87864"/>
    <w:lvl w:ilvl="0" w:tplc="0C66FC74">
      <w:start w:val="8"/>
      <w:numFmt w:val="decimal"/>
      <w:lvlText w:val="%1."/>
      <w:lvlJc w:val="left"/>
      <w:pPr>
        <w:ind w:left="720" w:hanging="360"/>
      </w:pPr>
      <w:rPr>
        <w:rFonts w:ascii="Times New Roman" w:hAnsi="Times New Roman" w:cs="Times New Roman"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 w15:restartNumberingAfterBreak="0">
    <w:nsid w:val="72237C0C"/>
    <w:multiLevelType w:val="hybridMultilevel"/>
    <w:tmpl w:val="7E6681FC"/>
    <w:lvl w:ilvl="0" w:tplc="85AE07CC">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 w15:restartNumberingAfterBreak="0">
    <w:nsid w:val="776E7A53"/>
    <w:multiLevelType w:val="hybridMultilevel"/>
    <w:tmpl w:val="6C7C6DCA"/>
    <w:lvl w:ilvl="0" w:tplc="0809000F">
      <w:start w:val="9"/>
      <w:numFmt w:val="decimal"/>
      <w:lvlText w:val="%1."/>
      <w:lvlJc w:val="left"/>
      <w:pPr>
        <w:ind w:left="720" w:hanging="360"/>
      </w:pPr>
      <w:rPr>
        <w:rFonts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2" w15:restartNumberingAfterBreak="0">
    <w:nsid w:val="77C46368"/>
    <w:multiLevelType w:val="hybridMultilevel"/>
    <w:tmpl w:val="E946E55C"/>
    <w:lvl w:ilvl="0" w:tplc="2160C02C">
      <w:start w:val="7"/>
      <w:numFmt w:val="decimal"/>
      <w:lvlText w:val="%1."/>
      <w:lvlJc w:val="left"/>
      <w:pPr>
        <w:ind w:left="360" w:hanging="360"/>
      </w:pPr>
      <w:rPr>
        <w:rFonts w:hint="default"/>
      </w:rPr>
    </w:lvl>
    <w:lvl w:ilvl="1" w:tplc="08090019">
      <w:start w:val="1"/>
      <w:numFmt w:val="lowerLetter"/>
      <w:lvlText w:val="%2."/>
      <w:lvlJc w:val="left"/>
      <w:pPr>
        <w:ind w:left="1350" w:hanging="360"/>
      </w:pPr>
    </w:lvl>
    <w:lvl w:ilvl="2" w:tplc="0809001B" w:tentative="1">
      <w:start w:val="1"/>
      <w:numFmt w:val="lowerRoman"/>
      <w:lvlText w:val="%3."/>
      <w:lvlJc w:val="right"/>
      <w:pPr>
        <w:ind w:left="2070" w:hanging="180"/>
      </w:pPr>
    </w:lvl>
    <w:lvl w:ilvl="3" w:tplc="0809000F" w:tentative="1">
      <w:start w:val="1"/>
      <w:numFmt w:val="decimal"/>
      <w:lvlText w:val="%4."/>
      <w:lvlJc w:val="left"/>
      <w:pPr>
        <w:ind w:left="2790" w:hanging="360"/>
      </w:pPr>
    </w:lvl>
    <w:lvl w:ilvl="4" w:tplc="08090019" w:tentative="1">
      <w:start w:val="1"/>
      <w:numFmt w:val="lowerLetter"/>
      <w:lvlText w:val="%5."/>
      <w:lvlJc w:val="left"/>
      <w:pPr>
        <w:ind w:left="3510" w:hanging="360"/>
      </w:pPr>
    </w:lvl>
    <w:lvl w:ilvl="5" w:tplc="0809001B" w:tentative="1">
      <w:start w:val="1"/>
      <w:numFmt w:val="lowerRoman"/>
      <w:lvlText w:val="%6."/>
      <w:lvlJc w:val="right"/>
      <w:pPr>
        <w:ind w:left="4230" w:hanging="180"/>
      </w:pPr>
    </w:lvl>
    <w:lvl w:ilvl="6" w:tplc="0809000F" w:tentative="1">
      <w:start w:val="1"/>
      <w:numFmt w:val="decimal"/>
      <w:lvlText w:val="%7."/>
      <w:lvlJc w:val="left"/>
      <w:pPr>
        <w:ind w:left="4950" w:hanging="360"/>
      </w:pPr>
    </w:lvl>
    <w:lvl w:ilvl="7" w:tplc="08090019" w:tentative="1">
      <w:start w:val="1"/>
      <w:numFmt w:val="lowerLetter"/>
      <w:lvlText w:val="%8."/>
      <w:lvlJc w:val="left"/>
      <w:pPr>
        <w:ind w:left="5670" w:hanging="360"/>
      </w:pPr>
    </w:lvl>
    <w:lvl w:ilvl="8" w:tplc="0809001B" w:tentative="1">
      <w:start w:val="1"/>
      <w:numFmt w:val="lowerRoman"/>
      <w:lvlText w:val="%9."/>
      <w:lvlJc w:val="right"/>
      <w:pPr>
        <w:ind w:left="6390" w:hanging="180"/>
      </w:pPr>
    </w:lvl>
  </w:abstractNum>
  <w:abstractNum w:abstractNumId="23" w15:restartNumberingAfterBreak="0">
    <w:nsid w:val="7A4276B2"/>
    <w:multiLevelType w:val="hybridMultilevel"/>
    <w:tmpl w:val="97A287F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4" w15:restartNumberingAfterBreak="0">
    <w:nsid w:val="7C0D644D"/>
    <w:multiLevelType w:val="hybridMultilevel"/>
    <w:tmpl w:val="0C0EB5B4"/>
    <w:lvl w:ilvl="0" w:tplc="F4B8D29A">
      <w:start w:val="10"/>
      <w:numFmt w:val="decimal"/>
      <w:lvlText w:val="%1."/>
      <w:lvlJc w:val="left"/>
      <w:pPr>
        <w:ind w:left="720" w:hanging="360"/>
      </w:pPr>
      <w:rPr>
        <w:rFonts w:ascii="Times New Roman" w:eastAsia="Times New Roman" w:hAnsi="Times New Roman" w:cs="Times New Roman" w:hint="default"/>
        <w:sz w:val="24"/>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5" w15:restartNumberingAfterBreak="0">
    <w:nsid w:val="7E7C2B38"/>
    <w:multiLevelType w:val="hybridMultilevel"/>
    <w:tmpl w:val="FF2E473C"/>
    <w:lvl w:ilvl="0" w:tplc="345E49A0">
      <w:start w:val="1"/>
      <w:numFmt w:val="decimal"/>
      <w:lvlText w:val="%1."/>
      <w:lvlJc w:val="left"/>
      <w:pPr>
        <w:ind w:left="840" w:hanging="48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14"/>
  </w:num>
  <w:num w:numId="2">
    <w:abstractNumId w:val="5"/>
  </w:num>
  <w:num w:numId="3">
    <w:abstractNumId w:val="25"/>
  </w:num>
  <w:num w:numId="4">
    <w:abstractNumId w:val="8"/>
  </w:num>
  <w:num w:numId="5">
    <w:abstractNumId w:val="7"/>
  </w:num>
  <w:num w:numId="6">
    <w:abstractNumId w:val="20"/>
  </w:num>
  <w:num w:numId="7">
    <w:abstractNumId w:val="18"/>
  </w:num>
  <w:num w:numId="8">
    <w:abstractNumId w:val="16"/>
  </w:num>
  <w:num w:numId="9">
    <w:abstractNumId w:val="23"/>
  </w:num>
  <w:num w:numId="10">
    <w:abstractNumId w:val="3"/>
  </w:num>
  <w:num w:numId="11">
    <w:abstractNumId w:val="10"/>
  </w:num>
  <w:num w:numId="12">
    <w:abstractNumId w:val="12"/>
  </w:num>
  <w:num w:numId="13">
    <w:abstractNumId w:val="2"/>
  </w:num>
  <w:num w:numId="14">
    <w:abstractNumId w:val="13"/>
  </w:num>
  <w:num w:numId="15">
    <w:abstractNumId w:val="11"/>
  </w:num>
  <w:num w:numId="16">
    <w:abstractNumId w:val="15"/>
  </w:num>
  <w:num w:numId="17">
    <w:abstractNumId w:val="6"/>
  </w:num>
  <w:num w:numId="18">
    <w:abstractNumId w:val="17"/>
  </w:num>
  <w:num w:numId="19">
    <w:abstractNumId w:val="0"/>
  </w:num>
  <w:num w:numId="20">
    <w:abstractNumId w:val="22"/>
  </w:num>
  <w:num w:numId="21">
    <w:abstractNumId w:val="21"/>
  </w:num>
  <w:num w:numId="22">
    <w:abstractNumId w:val="1"/>
  </w:num>
  <w:num w:numId="23">
    <w:abstractNumId w:val="9"/>
  </w:num>
  <w:num w:numId="24">
    <w:abstractNumId w:val="4"/>
  </w:num>
  <w:num w:numId="25">
    <w:abstractNumId w:val="19"/>
  </w:num>
  <w:num w:numId="26">
    <w:abstractNumId w:val="2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91BD0"/>
    <w:rsid w:val="00000478"/>
    <w:rsid w:val="000010B4"/>
    <w:rsid w:val="00001D1E"/>
    <w:rsid w:val="000031D9"/>
    <w:rsid w:val="000033A4"/>
    <w:rsid w:val="00003CC9"/>
    <w:rsid w:val="000050A1"/>
    <w:rsid w:val="00005992"/>
    <w:rsid w:val="00005F39"/>
    <w:rsid w:val="00006538"/>
    <w:rsid w:val="00006B1C"/>
    <w:rsid w:val="0000741E"/>
    <w:rsid w:val="00007670"/>
    <w:rsid w:val="000078B3"/>
    <w:rsid w:val="00007DA2"/>
    <w:rsid w:val="00010081"/>
    <w:rsid w:val="000102F3"/>
    <w:rsid w:val="0001088B"/>
    <w:rsid w:val="00010BE0"/>
    <w:rsid w:val="00010DED"/>
    <w:rsid w:val="00010E31"/>
    <w:rsid w:val="000113A9"/>
    <w:rsid w:val="00011CC5"/>
    <w:rsid w:val="00011E36"/>
    <w:rsid w:val="00011E59"/>
    <w:rsid w:val="000123D4"/>
    <w:rsid w:val="00012621"/>
    <w:rsid w:val="000129A6"/>
    <w:rsid w:val="00012BE1"/>
    <w:rsid w:val="00012ECB"/>
    <w:rsid w:val="0001364B"/>
    <w:rsid w:val="00013E2F"/>
    <w:rsid w:val="00014B7B"/>
    <w:rsid w:val="00015079"/>
    <w:rsid w:val="00015478"/>
    <w:rsid w:val="000155C0"/>
    <w:rsid w:val="0001566F"/>
    <w:rsid w:val="00015991"/>
    <w:rsid w:val="00015DB3"/>
    <w:rsid w:val="00015E85"/>
    <w:rsid w:val="00016154"/>
    <w:rsid w:val="00016189"/>
    <w:rsid w:val="00016601"/>
    <w:rsid w:val="0002007F"/>
    <w:rsid w:val="00020408"/>
    <w:rsid w:val="00020C43"/>
    <w:rsid w:val="00021A71"/>
    <w:rsid w:val="00021A8F"/>
    <w:rsid w:val="00021B4D"/>
    <w:rsid w:val="000220E3"/>
    <w:rsid w:val="0002395F"/>
    <w:rsid w:val="00023D18"/>
    <w:rsid w:val="000243F7"/>
    <w:rsid w:val="000244B9"/>
    <w:rsid w:val="00024FBA"/>
    <w:rsid w:val="000252ED"/>
    <w:rsid w:val="000257D9"/>
    <w:rsid w:val="00026269"/>
    <w:rsid w:val="00026710"/>
    <w:rsid w:val="00026831"/>
    <w:rsid w:val="000268C3"/>
    <w:rsid w:val="00027700"/>
    <w:rsid w:val="00027845"/>
    <w:rsid w:val="00030117"/>
    <w:rsid w:val="000302D3"/>
    <w:rsid w:val="0003092B"/>
    <w:rsid w:val="00030CE5"/>
    <w:rsid w:val="000318D5"/>
    <w:rsid w:val="00031B68"/>
    <w:rsid w:val="00033181"/>
    <w:rsid w:val="00033321"/>
    <w:rsid w:val="000334B6"/>
    <w:rsid w:val="000334D5"/>
    <w:rsid w:val="0003492D"/>
    <w:rsid w:val="00034BA3"/>
    <w:rsid w:val="00034BAC"/>
    <w:rsid w:val="000355B1"/>
    <w:rsid w:val="00035904"/>
    <w:rsid w:val="00035BC7"/>
    <w:rsid w:val="000363A2"/>
    <w:rsid w:val="000366A4"/>
    <w:rsid w:val="00036B45"/>
    <w:rsid w:val="00036B6B"/>
    <w:rsid w:val="0003715C"/>
    <w:rsid w:val="000372D1"/>
    <w:rsid w:val="000379BA"/>
    <w:rsid w:val="0004002E"/>
    <w:rsid w:val="000402E8"/>
    <w:rsid w:val="0004045E"/>
    <w:rsid w:val="0004073A"/>
    <w:rsid w:val="00040A0C"/>
    <w:rsid w:val="00040B20"/>
    <w:rsid w:val="0004147C"/>
    <w:rsid w:val="00041AC8"/>
    <w:rsid w:val="000422B2"/>
    <w:rsid w:val="000429F3"/>
    <w:rsid w:val="00044682"/>
    <w:rsid w:val="00044E9B"/>
    <w:rsid w:val="00045048"/>
    <w:rsid w:val="00045171"/>
    <w:rsid w:val="00045206"/>
    <w:rsid w:val="000461D7"/>
    <w:rsid w:val="0004701C"/>
    <w:rsid w:val="00047D20"/>
    <w:rsid w:val="00047D5A"/>
    <w:rsid w:val="000500C0"/>
    <w:rsid w:val="00050301"/>
    <w:rsid w:val="00050A7C"/>
    <w:rsid w:val="00050D9E"/>
    <w:rsid w:val="000514EB"/>
    <w:rsid w:val="00051560"/>
    <w:rsid w:val="00051831"/>
    <w:rsid w:val="00052BE7"/>
    <w:rsid w:val="00053246"/>
    <w:rsid w:val="00053C76"/>
    <w:rsid w:val="0005421E"/>
    <w:rsid w:val="000543B0"/>
    <w:rsid w:val="000544E8"/>
    <w:rsid w:val="000552EF"/>
    <w:rsid w:val="00055D34"/>
    <w:rsid w:val="0005635B"/>
    <w:rsid w:val="00056543"/>
    <w:rsid w:val="00056A38"/>
    <w:rsid w:val="000570A5"/>
    <w:rsid w:val="00057754"/>
    <w:rsid w:val="00057C93"/>
    <w:rsid w:val="00057CAE"/>
    <w:rsid w:val="00061292"/>
    <w:rsid w:val="000613A6"/>
    <w:rsid w:val="0006167D"/>
    <w:rsid w:val="00061A7E"/>
    <w:rsid w:val="00061E7C"/>
    <w:rsid w:val="000624DA"/>
    <w:rsid w:val="00063477"/>
    <w:rsid w:val="000639A6"/>
    <w:rsid w:val="00063AAF"/>
    <w:rsid w:val="00063B80"/>
    <w:rsid w:val="00064A39"/>
    <w:rsid w:val="000654CD"/>
    <w:rsid w:val="00065B23"/>
    <w:rsid w:val="0006668F"/>
    <w:rsid w:val="00066AA8"/>
    <w:rsid w:val="000677BD"/>
    <w:rsid w:val="00067D9A"/>
    <w:rsid w:val="00067E2F"/>
    <w:rsid w:val="00070073"/>
    <w:rsid w:val="0007033A"/>
    <w:rsid w:val="000706A6"/>
    <w:rsid w:val="000709AF"/>
    <w:rsid w:val="00070F08"/>
    <w:rsid w:val="000711D9"/>
    <w:rsid w:val="000718EB"/>
    <w:rsid w:val="00071AD2"/>
    <w:rsid w:val="00072252"/>
    <w:rsid w:val="000723B7"/>
    <w:rsid w:val="00072449"/>
    <w:rsid w:val="000738DB"/>
    <w:rsid w:val="00073D48"/>
    <w:rsid w:val="0007416A"/>
    <w:rsid w:val="0007437C"/>
    <w:rsid w:val="000744B2"/>
    <w:rsid w:val="000752C5"/>
    <w:rsid w:val="00075315"/>
    <w:rsid w:val="00075977"/>
    <w:rsid w:val="00075D09"/>
    <w:rsid w:val="00075D52"/>
    <w:rsid w:val="00076ACD"/>
    <w:rsid w:val="00076BFB"/>
    <w:rsid w:val="00077D9E"/>
    <w:rsid w:val="00077DC9"/>
    <w:rsid w:val="00080618"/>
    <w:rsid w:val="00082103"/>
    <w:rsid w:val="000834BF"/>
    <w:rsid w:val="00083882"/>
    <w:rsid w:val="000839AD"/>
    <w:rsid w:val="000840C4"/>
    <w:rsid w:val="00084B9E"/>
    <w:rsid w:val="00084C42"/>
    <w:rsid w:val="00085823"/>
    <w:rsid w:val="0008585B"/>
    <w:rsid w:val="00085943"/>
    <w:rsid w:val="00085C73"/>
    <w:rsid w:val="00085DC5"/>
    <w:rsid w:val="00085EBD"/>
    <w:rsid w:val="00085F07"/>
    <w:rsid w:val="00085FAA"/>
    <w:rsid w:val="00086040"/>
    <w:rsid w:val="00087021"/>
    <w:rsid w:val="00087577"/>
    <w:rsid w:val="0009068C"/>
    <w:rsid w:val="00090775"/>
    <w:rsid w:val="0009089F"/>
    <w:rsid w:val="00090B10"/>
    <w:rsid w:val="00091047"/>
    <w:rsid w:val="000910D4"/>
    <w:rsid w:val="000913F8"/>
    <w:rsid w:val="00091DA1"/>
    <w:rsid w:val="0009206A"/>
    <w:rsid w:val="0009340C"/>
    <w:rsid w:val="00093BBB"/>
    <w:rsid w:val="000941F8"/>
    <w:rsid w:val="000945F8"/>
    <w:rsid w:val="00094B40"/>
    <w:rsid w:val="0009524C"/>
    <w:rsid w:val="00095995"/>
    <w:rsid w:val="00095A9C"/>
    <w:rsid w:val="0009605D"/>
    <w:rsid w:val="0009619E"/>
    <w:rsid w:val="00096200"/>
    <w:rsid w:val="00096414"/>
    <w:rsid w:val="000969C3"/>
    <w:rsid w:val="000970D8"/>
    <w:rsid w:val="00097519"/>
    <w:rsid w:val="00097B73"/>
    <w:rsid w:val="000A0029"/>
    <w:rsid w:val="000A12E7"/>
    <w:rsid w:val="000A26EC"/>
    <w:rsid w:val="000A27BC"/>
    <w:rsid w:val="000A29FF"/>
    <w:rsid w:val="000A3D3E"/>
    <w:rsid w:val="000A3E54"/>
    <w:rsid w:val="000A42B0"/>
    <w:rsid w:val="000A487E"/>
    <w:rsid w:val="000A4CEB"/>
    <w:rsid w:val="000A4FF2"/>
    <w:rsid w:val="000A4FFB"/>
    <w:rsid w:val="000A50E0"/>
    <w:rsid w:val="000A55D2"/>
    <w:rsid w:val="000A6564"/>
    <w:rsid w:val="000A6878"/>
    <w:rsid w:val="000A7445"/>
    <w:rsid w:val="000B021D"/>
    <w:rsid w:val="000B04F0"/>
    <w:rsid w:val="000B0B29"/>
    <w:rsid w:val="000B0C39"/>
    <w:rsid w:val="000B11F4"/>
    <w:rsid w:val="000B1833"/>
    <w:rsid w:val="000B1D7C"/>
    <w:rsid w:val="000B38AC"/>
    <w:rsid w:val="000B4023"/>
    <w:rsid w:val="000B417F"/>
    <w:rsid w:val="000B4300"/>
    <w:rsid w:val="000B4928"/>
    <w:rsid w:val="000B4C25"/>
    <w:rsid w:val="000B4D37"/>
    <w:rsid w:val="000B4EF7"/>
    <w:rsid w:val="000B5071"/>
    <w:rsid w:val="000B58FF"/>
    <w:rsid w:val="000B5B7B"/>
    <w:rsid w:val="000B5CE4"/>
    <w:rsid w:val="000B6206"/>
    <w:rsid w:val="000B6559"/>
    <w:rsid w:val="000B720C"/>
    <w:rsid w:val="000B7320"/>
    <w:rsid w:val="000B795B"/>
    <w:rsid w:val="000B7BBA"/>
    <w:rsid w:val="000C0980"/>
    <w:rsid w:val="000C0A4B"/>
    <w:rsid w:val="000C2775"/>
    <w:rsid w:val="000C2C99"/>
    <w:rsid w:val="000C305D"/>
    <w:rsid w:val="000C43EF"/>
    <w:rsid w:val="000C6147"/>
    <w:rsid w:val="000C62ED"/>
    <w:rsid w:val="000C66A8"/>
    <w:rsid w:val="000C7052"/>
    <w:rsid w:val="000D0659"/>
    <w:rsid w:val="000D06C3"/>
    <w:rsid w:val="000D2734"/>
    <w:rsid w:val="000D2B97"/>
    <w:rsid w:val="000D3058"/>
    <w:rsid w:val="000D31E9"/>
    <w:rsid w:val="000D3215"/>
    <w:rsid w:val="000D3E51"/>
    <w:rsid w:val="000D585C"/>
    <w:rsid w:val="000D6D5C"/>
    <w:rsid w:val="000D7EEE"/>
    <w:rsid w:val="000E0493"/>
    <w:rsid w:val="000E13AC"/>
    <w:rsid w:val="000E14E0"/>
    <w:rsid w:val="000E1EA7"/>
    <w:rsid w:val="000E234B"/>
    <w:rsid w:val="000E2AAC"/>
    <w:rsid w:val="000E2B62"/>
    <w:rsid w:val="000E3447"/>
    <w:rsid w:val="000E46A4"/>
    <w:rsid w:val="000E5418"/>
    <w:rsid w:val="000E5CCC"/>
    <w:rsid w:val="000E5E05"/>
    <w:rsid w:val="000E650D"/>
    <w:rsid w:val="000E6BEE"/>
    <w:rsid w:val="000E76C7"/>
    <w:rsid w:val="000E7840"/>
    <w:rsid w:val="000F0162"/>
    <w:rsid w:val="000F0EED"/>
    <w:rsid w:val="000F0F87"/>
    <w:rsid w:val="000F13C0"/>
    <w:rsid w:val="000F1B06"/>
    <w:rsid w:val="000F1B11"/>
    <w:rsid w:val="000F1BC8"/>
    <w:rsid w:val="000F1EDB"/>
    <w:rsid w:val="000F2276"/>
    <w:rsid w:val="000F2294"/>
    <w:rsid w:val="000F362C"/>
    <w:rsid w:val="000F4089"/>
    <w:rsid w:val="000F41AD"/>
    <w:rsid w:val="000F466D"/>
    <w:rsid w:val="000F4866"/>
    <w:rsid w:val="000F4958"/>
    <w:rsid w:val="000F50E7"/>
    <w:rsid w:val="000F53B5"/>
    <w:rsid w:val="000F5E6A"/>
    <w:rsid w:val="000F5F71"/>
    <w:rsid w:val="000F69C2"/>
    <w:rsid w:val="000F6E02"/>
    <w:rsid w:val="000F7EC7"/>
    <w:rsid w:val="00100982"/>
    <w:rsid w:val="00100A57"/>
    <w:rsid w:val="00100EFD"/>
    <w:rsid w:val="0010158B"/>
    <w:rsid w:val="001016C3"/>
    <w:rsid w:val="001033C4"/>
    <w:rsid w:val="00103403"/>
    <w:rsid w:val="00103AE2"/>
    <w:rsid w:val="0010422B"/>
    <w:rsid w:val="001045B1"/>
    <w:rsid w:val="00104752"/>
    <w:rsid w:val="00104B8A"/>
    <w:rsid w:val="00106002"/>
    <w:rsid w:val="00106084"/>
    <w:rsid w:val="00106431"/>
    <w:rsid w:val="00106D59"/>
    <w:rsid w:val="00107179"/>
    <w:rsid w:val="00107A8F"/>
    <w:rsid w:val="00107AA2"/>
    <w:rsid w:val="00110636"/>
    <w:rsid w:val="001112D3"/>
    <w:rsid w:val="0011197D"/>
    <w:rsid w:val="0011287E"/>
    <w:rsid w:val="001134E0"/>
    <w:rsid w:val="0011374F"/>
    <w:rsid w:val="0011379B"/>
    <w:rsid w:val="00113AFF"/>
    <w:rsid w:val="00113F76"/>
    <w:rsid w:val="00114A44"/>
    <w:rsid w:val="00115357"/>
    <w:rsid w:val="00116610"/>
    <w:rsid w:val="0011663F"/>
    <w:rsid w:val="0011724A"/>
    <w:rsid w:val="00117946"/>
    <w:rsid w:val="00117FF9"/>
    <w:rsid w:val="00120C07"/>
    <w:rsid w:val="00120CD5"/>
    <w:rsid w:val="0012138F"/>
    <w:rsid w:val="001217EE"/>
    <w:rsid w:val="0012188B"/>
    <w:rsid w:val="00121F35"/>
    <w:rsid w:val="001221AE"/>
    <w:rsid w:val="00122ABC"/>
    <w:rsid w:val="00123CA3"/>
    <w:rsid w:val="00124A8D"/>
    <w:rsid w:val="00124C19"/>
    <w:rsid w:val="00125DA1"/>
    <w:rsid w:val="00126261"/>
    <w:rsid w:val="00126456"/>
    <w:rsid w:val="00126816"/>
    <w:rsid w:val="001272FB"/>
    <w:rsid w:val="00127969"/>
    <w:rsid w:val="00130698"/>
    <w:rsid w:val="00130EBD"/>
    <w:rsid w:val="00131402"/>
    <w:rsid w:val="0013287E"/>
    <w:rsid w:val="00132C65"/>
    <w:rsid w:val="00133F69"/>
    <w:rsid w:val="00134080"/>
    <w:rsid w:val="001342D2"/>
    <w:rsid w:val="00135362"/>
    <w:rsid w:val="00135606"/>
    <w:rsid w:val="001369C2"/>
    <w:rsid w:val="00136A48"/>
    <w:rsid w:val="001372DB"/>
    <w:rsid w:val="00137335"/>
    <w:rsid w:val="00137D36"/>
    <w:rsid w:val="00137D57"/>
    <w:rsid w:val="00140C8F"/>
    <w:rsid w:val="00140CAE"/>
    <w:rsid w:val="00141326"/>
    <w:rsid w:val="00141F5F"/>
    <w:rsid w:val="00142FE7"/>
    <w:rsid w:val="001433FA"/>
    <w:rsid w:val="00143878"/>
    <w:rsid w:val="00143AB6"/>
    <w:rsid w:val="00143BB8"/>
    <w:rsid w:val="00143F52"/>
    <w:rsid w:val="0014406C"/>
    <w:rsid w:val="001446D7"/>
    <w:rsid w:val="0014557A"/>
    <w:rsid w:val="00145B59"/>
    <w:rsid w:val="00146D77"/>
    <w:rsid w:val="00147FDD"/>
    <w:rsid w:val="00150D43"/>
    <w:rsid w:val="00150EC2"/>
    <w:rsid w:val="00151248"/>
    <w:rsid w:val="00151F7A"/>
    <w:rsid w:val="00152209"/>
    <w:rsid w:val="00152696"/>
    <w:rsid w:val="001526AE"/>
    <w:rsid w:val="0015441B"/>
    <w:rsid w:val="00154C6B"/>
    <w:rsid w:val="001552CF"/>
    <w:rsid w:val="00155792"/>
    <w:rsid w:val="00155EA2"/>
    <w:rsid w:val="001561CC"/>
    <w:rsid w:val="00156655"/>
    <w:rsid w:val="0015718D"/>
    <w:rsid w:val="00157340"/>
    <w:rsid w:val="001573E6"/>
    <w:rsid w:val="00160604"/>
    <w:rsid w:val="001609A1"/>
    <w:rsid w:val="00161531"/>
    <w:rsid w:val="00161992"/>
    <w:rsid w:val="00162285"/>
    <w:rsid w:val="001627AB"/>
    <w:rsid w:val="00162995"/>
    <w:rsid w:val="00163496"/>
    <w:rsid w:val="00163B8F"/>
    <w:rsid w:val="0016437A"/>
    <w:rsid w:val="00165963"/>
    <w:rsid w:val="00165A71"/>
    <w:rsid w:val="00165D28"/>
    <w:rsid w:val="00166112"/>
    <w:rsid w:val="001669B6"/>
    <w:rsid w:val="00167AD0"/>
    <w:rsid w:val="00167DB6"/>
    <w:rsid w:val="0017060C"/>
    <w:rsid w:val="00170BE1"/>
    <w:rsid w:val="00170DCD"/>
    <w:rsid w:val="00170FBB"/>
    <w:rsid w:val="001712AD"/>
    <w:rsid w:val="001715E7"/>
    <w:rsid w:val="00171671"/>
    <w:rsid w:val="00171AA5"/>
    <w:rsid w:val="00171F9C"/>
    <w:rsid w:val="00172529"/>
    <w:rsid w:val="00172DE8"/>
    <w:rsid w:val="00172F8D"/>
    <w:rsid w:val="001730C8"/>
    <w:rsid w:val="00173250"/>
    <w:rsid w:val="00173E2F"/>
    <w:rsid w:val="00175733"/>
    <w:rsid w:val="00180459"/>
    <w:rsid w:val="00180C06"/>
    <w:rsid w:val="00180C2A"/>
    <w:rsid w:val="001820ED"/>
    <w:rsid w:val="001821B8"/>
    <w:rsid w:val="00182525"/>
    <w:rsid w:val="00182822"/>
    <w:rsid w:val="00183022"/>
    <w:rsid w:val="001831A2"/>
    <w:rsid w:val="0018370C"/>
    <w:rsid w:val="001839CB"/>
    <w:rsid w:val="00183E23"/>
    <w:rsid w:val="00183F3F"/>
    <w:rsid w:val="00184131"/>
    <w:rsid w:val="001843E1"/>
    <w:rsid w:val="00184D61"/>
    <w:rsid w:val="00184D89"/>
    <w:rsid w:val="001855BE"/>
    <w:rsid w:val="00185EC2"/>
    <w:rsid w:val="0018616B"/>
    <w:rsid w:val="001861CE"/>
    <w:rsid w:val="00186377"/>
    <w:rsid w:val="00186B28"/>
    <w:rsid w:val="00187C55"/>
    <w:rsid w:val="00187D80"/>
    <w:rsid w:val="00190670"/>
    <w:rsid w:val="00190E0C"/>
    <w:rsid w:val="001924C6"/>
    <w:rsid w:val="00192C99"/>
    <w:rsid w:val="00193C39"/>
    <w:rsid w:val="0019492E"/>
    <w:rsid w:val="00194C79"/>
    <w:rsid w:val="00195268"/>
    <w:rsid w:val="001957A2"/>
    <w:rsid w:val="001959EA"/>
    <w:rsid w:val="00195AA8"/>
    <w:rsid w:val="00196639"/>
    <w:rsid w:val="001968E4"/>
    <w:rsid w:val="00196DD3"/>
    <w:rsid w:val="00196E1E"/>
    <w:rsid w:val="0019760B"/>
    <w:rsid w:val="0019795C"/>
    <w:rsid w:val="001A0123"/>
    <w:rsid w:val="001A014A"/>
    <w:rsid w:val="001A1168"/>
    <w:rsid w:val="001A15E1"/>
    <w:rsid w:val="001A169C"/>
    <w:rsid w:val="001A2A9D"/>
    <w:rsid w:val="001A2F47"/>
    <w:rsid w:val="001A30BE"/>
    <w:rsid w:val="001A3548"/>
    <w:rsid w:val="001A45B4"/>
    <w:rsid w:val="001A48A9"/>
    <w:rsid w:val="001A4B42"/>
    <w:rsid w:val="001A4EF8"/>
    <w:rsid w:val="001A5112"/>
    <w:rsid w:val="001A5921"/>
    <w:rsid w:val="001A59FB"/>
    <w:rsid w:val="001A643A"/>
    <w:rsid w:val="001A6C1E"/>
    <w:rsid w:val="001A793D"/>
    <w:rsid w:val="001A7A04"/>
    <w:rsid w:val="001A7D55"/>
    <w:rsid w:val="001B07D6"/>
    <w:rsid w:val="001B175D"/>
    <w:rsid w:val="001B2A9C"/>
    <w:rsid w:val="001B2BFB"/>
    <w:rsid w:val="001B3AB2"/>
    <w:rsid w:val="001B3D67"/>
    <w:rsid w:val="001B42E3"/>
    <w:rsid w:val="001B4691"/>
    <w:rsid w:val="001B47FB"/>
    <w:rsid w:val="001B4A1B"/>
    <w:rsid w:val="001B4F15"/>
    <w:rsid w:val="001B66D6"/>
    <w:rsid w:val="001B678D"/>
    <w:rsid w:val="001B6BA0"/>
    <w:rsid w:val="001B6C90"/>
    <w:rsid w:val="001B760A"/>
    <w:rsid w:val="001B768B"/>
    <w:rsid w:val="001B7A2E"/>
    <w:rsid w:val="001B7A9F"/>
    <w:rsid w:val="001B7EA6"/>
    <w:rsid w:val="001C05ED"/>
    <w:rsid w:val="001C118C"/>
    <w:rsid w:val="001C20F9"/>
    <w:rsid w:val="001C2695"/>
    <w:rsid w:val="001C26EF"/>
    <w:rsid w:val="001C28F1"/>
    <w:rsid w:val="001C2E68"/>
    <w:rsid w:val="001C2FA6"/>
    <w:rsid w:val="001C3995"/>
    <w:rsid w:val="001C3A22"/>
    <w:rsid w:val="001C3EBC"/>
    <w:rsid w:val="001C439B"/>
    <w:rsid w:val="001C45EA"/>
    <w:rsid w:val="001C5843"/>
    <w:rsid w:val="001C59DA"/>
    <w:rsid w:val="001C5AC7"/>
    <w:rsid w:val="001C6124"/>
    <w:rsid w:val="001C7BB1"/>
    <w:rsid w:val="001C7FBC"/>
    <w:rsid w:val="001D02F3"/>
    <w:rsid w:val="001D0FAD"/>
    <w:rsid w:val="001D169C"/>
    <w:rsid w:val="001D17BD"/>
    <w:rsid w:val="001D17E0"/>
    <w:rsid w:val="001D1A17"/>
    <w:rsid w:val="001D211B"/>
    <w:rsid w:val="001D2656"/>
    <w:rsid w:val="001D2DC4"/>
    <w:rsid w:val="001D3543"/>
    <w:rsid w:val="001D57FA"/>
    <w:rsid w:val="001D58A0"/>
    <w:rsid w:val="001D5C88"/>
    <w:rsid w:val="001D6DB7"/>
    <w:rsid w:val="001D7771"/>
    <w:rsid w:val="001D7D8A"/>
    <w:rsid w:val="001E0C13"/>
    <w:rsid w:val="001E0C91"/>
    <w:rsid w:val="001E1498"/>
    <w:rsid w:val="001E168B"/>
    <w:rsid w:val="001E20D4"/>
    <w:rsid w:val="001E2714"/>
    <w:rsid w:val="001E3046"/>
    <w:rsid w:val="001E3BB5"/>
    <w:rsid w:val="001E3E91"/>
    <w:rsid w:val="001E59BA"/>
    <w:rsid w:val="001E5A04"/>
    <w:rsid w:val="001E5A82"/>
    <w:rsid w:val="001E6213"/>
    <w:rsid w:val="001E6FDF"/>
    <w:rsid w:val="001E756A"/>
    <w:rsid w:val="001E7EFF"/>
    <w:rsid w:val="001F0D4B"/>
    <w:rsid w:val="001F17F5"/>
    <w:rsid w:val="001F1828"/>
    <w:rsid w:val="001F2159"/>
    <w:rsid w:val="001F26CE"/>
    <w:rsid w:val="001F346F"/>
    <w:rsid w:val="001F369C"/>
    <w:rsid w:val="001F3F7B"/>
    <w:rsid w:val="001F4107"/>
    <w:rsid w:val="001F436E"/>
    <w:rsid w:val="001F4509"/>
    <w:rsid w:val="001F5498"/>
    <w:rsid w:val="001F59CF"/>
    <w:rsid w:val="001F5EDF"/>
    <w:rsid w:val="001F609F"/>
    <w:rsid w:val="001F6889"/>
    <w:rsid w:val="001F6E5B"/>
    <w:rsid w:val="001F73EE"/>
    <w:rsid w:val="001F74E4"/>
    <w:rsid w:val="001F7819"/>
    <w:rsid w:val="00200880"/>
    <w:rsid w:val="00200AF8"/>
    <w:rsid w:val="00200E2C"/>
    <w:rsid w:val="00201D5C"/>
    <w:rsid w:val="00202001"/>
    <w:rsid w:val="00202002"/>
    <w:rsid w:val="0020286B"/>
    <w:rsid w:val="00202BF3"/>
    <w:rsid w:val="00202D91"/>
    <w:rsid w:val="00203E17"/>
    <w:rsid w:val="00204454"/>
    <w:rsid w:val="0020454A"/>
    <w:rsid w:val="002047CE"/>
    <w:rsid w:val="0020489E"/>
    <w:rsid w:val="002054D9"/>
    <w:rsid w:val="0020582A"/>
    <w:rsid w:val="00205919"/>
    <w:rsid w:val="00205CA9"/>
    <w:rsid w:val="00206926"/>
    <w:rsid w:val="00207475"/>
    <w:rsid w:val="00210139"/>
    <w:rsid w:val="002102E6"/>
    <w:rsid w:val="00210A40"/>
    <w:rsid w:val="00210B53"/>
    <w:rsid w:val="00210BFD"/>
    <w:rsid w:val="00210EA1"/>
    <w:rsid w:val="00210F3C"/>
    <w:rsid w:val="002111DB"/>
    <w:rsid w:val="00211DD2"/>
    <w:rsid w:val="0021296A"/>
    <w:rsid w:val="0021360C"/>
    <w:rsid w:val="002136E1"/>
    <w:rsid w:val="00214B92"/>
    <w:rsid w:val="0021514A"/>
    <w:rsid w:val="00215351"/>
    <w:rsid w:val="0021552A"/>
    <w:rsid w:val="00216219"/>
    <w:rsid w:val="00216988"/>
    <w:rsid w:val="00216A67"/>
    <w:rsid w:val="00217E9F"/>
    <w:rsid w:val="00220143"/>
    <w:rsid w:val="00220677"/>
    <w:rsid w:val="00220A15"/>
    <w:rsid w:val="00221242"/>
    <w:rsid w:val="002218A2"/>
    <w:rsid w:val="00221D78"/>
    <w:rsid w:val="00222186"/>
    <w:rsid w:val="002225D0"/>
    <w:rsid w:val="002230F4"/>
    <w:rsid w:val="00223363"/>
    <w:rsid w:val="00223B02"/>
    <w:rsid w:val="00223F49"/>
    <w:rsid w:val="00223F89"/>
    <w:rsid w:val="002244A6"/>
    <w:rsid w:val="002246A2"/>
    <w:rsid w:val="00224DB4"/>
    <w:rsid w:val="00224F99"/>
    <w:rsid w:val="00225BB1"/>
    <w:rsid w:val="00225C04"/>
    <w:rsid w:val="002262C9"/>
    <w:rsid w:val="00226CCE"/>
    <w:rsid w:val="00226DBB"/>
    <w:rsid w:val="002270CE"/>
    <w:rsid w:val="002277E0"/>
    <w:rsid w:val="00227A72"/>
    <w:rsid w:val="00227BEE"/>
    <w:rsid w:val="00231374"/>
    <w:rsid w:val="00231502"/>
    <w:rsid w:val="002316BD"/>
    <w:rsid w:val="00231C97"/>
    <w:rsid w:val="002323E1"/>
    <w:rsid w:val="00232CE3"/>
    <w:rsid w:val="002335B2"/>
    <w:rsid w:val="00233805"/>
    <w:rsid w:val="00233815"/>
    <w:rsid w:val="00233DAD"/>
    <w:rsid w:val="00233FD5"/>
    <w:rsid w:val="00234732"/>
    <w:rsid w:val="00235A5A"/>
    <w:rsid w:val="00235CEE"/>
    <w:rsid w:val="0023603D"/>
    <w:rsid w:val="00236332"/>
    <w:rsid w:val="002366BA"/>
    <w:rsid w:val="00236C7D"/>
    <w:rsid w:val="002375C1"/>
    <w:rsid w:val="0023772D"/>
    <w:rsid w:val="00237879"/>
    <w:rsid w:val="002402E7"/>
    <w:rsid w:val="00240A2E"/>
    <w:rsid w:val="00240FD0"/>
    <w:rsid w:val="0024127B"/>
    <w:rsid w:val="00241659"/>
    <w:rsid w:val="00241CAA"/>
    <w:rsid w:val="0024251B"/>
    <w:rsid w:val="00242650"/>
    <w:rsid w:val="00242A3D"/>
    <w:rsid w:val="00243507"/>
    <w:rsid w:val="00244B9C"/>
    <w:rsid w:val="00245578"/>
    <w:rsid w:val="00245812"/>
    <w:rsid w:val="00245ECD"/>
    <w:rsid w:val="00247519"/>
    <w:rsid w:val="00250081"/>
    <w:rsid w:val="002503E6"/>
    <w:rsid w:val="0025064B"/>
    <w:rsid w:val="0025096D"/>
    <w:rsid w:val="002509D9"/>
    <w:rsid w:val="00250F9B"/>
    <w:rsid w:val="0025116A"/>
    <w:rsid w:val="002513FE"/>
    <w:rsid w:val="0025141F"/>
    <w:rsid w:val="0025357E"/>
    <w:rsid w:val="00253AD5"/>
    <w:rsid w:val="00253B18"/>
    <w:rsid w:val="00253B88"/>
    <w:rsid w:val="00254134"/>
    <w:rsid w:val="00254272"/>
    <w:rsid w:val="002546A1"/>
    <w:rsid w:val="00254913"/>
    <w:rsid w:val="00254B04"/>
    <w:rsid w:val="00255AA9"/>
    <w:rsid w:val="00256C22"/>
    <w:rsid w:val="0025780F"/>
    <w:rsid w:val="00260163"/>
    <w:rsid w:val="00260BFE"/>
    <w:rsid w:val="00261601"/>
    <w:rsid w:val="0026228F"/>
    <w:rsid w:val="0026266A"/>
    <w:rsid w:val="002627EB"/>
    <w:rsid w:val="002630C4"/>
    <w:rsid w:val="00263748"/>
    <w:rsid w:val="00263BCC"/>
    <w:rsid w:val="00264097"/>
    <w:rsid w:val="002642CC"/>
    <w:rsid w:val="00264DDC"/>
    <w:rsid w:val="00265446"/>
    <w:rsid w:val="002660EC"/>
    <w:rsid w:val="002664EB"/>
    <w:rsid w:val="0026664E"/>
    <w:rsid w:val="00266D6B"/>
    <w:rsid w:val="002670CD"/>
    <w:rsid w:val="0027052C"/>
    <w:rsid w:val="00270676"/>
    <w:rsid w:val="00270819"/>
    <w:rsid w:val="00270E23"/>
    <w:rsid w:val="002713CF"/>
    <w:rsid w:val="002722B8"/>
    <w:rsid w:val="00272E4A"/>
    <w:rsid w:val="0027303E"/>
    <w:rsid w:val="002738F1"/>
    <w:rsid w:val="002747AF"/>
    <w:rsid w:val="00274E82"/>
    <w:rsid w:val="00275ECB"/>
    <w:rsid w:val="00276724"/>
    <w:rsid w:val="002767A6"/>
    <w:rsid w:val="00277059"/>
    <w:rsid w:val="002776AB"/>
    <w:rsid w:val="00277941"/>
    <w:rsid w:val="00277A5C"/>
    <w:rsid w:val="002800CC"/>
    <w:rsid w:val="00280153"/>
    <w:rsid w:val="00280CB2"/>
    <w:rsid w:val="00280E7C"/>
    <w:rsid w:val="002813E8"/>
    <w:rsid w:val="00281B58"/>
    <w:rsid w:val="00281EBA"/>
    <w:rsid w:val="00281F63"/>
    <w:rsid w:val="00282940"/>
    <w:rsid w:val="00282CF0"/>
    <w:rsid w:val="00283096"/>
    <w:rsid w:val="002837DF"/>
    <w:rsid w:val="00283FEE"/>
    <w:rsid w:val="0028419A"/>
    <w:rsid w:val="00284C0E"/>
    <w:rsid w:val="00284DB7"/>
    <w:rsid w:val="00284FEF"/>
    <w:rsid w:val="00285665"/>
    <w:rsid w:val="00285837"/>
    <w:rsid w:val="0028632A"/>
    <w:rsid w:val="00286C16"/>
    <w:rsid w:val="00287210"/>
    <w:rsid w:val="00287246"/>
    <w:rsid w:val="0028730E"/>
    <w:rsid w:val="00287551"/>
    <w:rsid w:val="0028762F"/>
    <w:rsid w:val="002878E4"/>
    <w:rsid w:val="00290223"/>
    <w:rsid w:val="00290CE8"/>
    <w:rsid w:val="00291013"/>
    <w:rsid w:val="00292709"/>
    <w:rsid w:val="002930F1"/>
    <w:rsid w:val="002933B8"/>
    <w:rsid w:val="00293D84"/>
    <w:rsid w:val="00295748"/>
    <w:rsid w:val="00295A25"/>
    <w:rsid w:val="00296521"/>
    <w:rsid w:val="00296B66"/>
    <w:rsid w:val="00297042"/>
    <w:rsid w:val="00297222"/>
    <w:rsid w:val="0029791A"/>
    <w:rsid w:val="00297EF9"/>
    <w:rsid w:val="002A01D3"/>
    <w:rsid w:val="002A0E53"/>
    <w:rsid w:val="002A0FC8"/>
    <w:rsid w:val="002A105D"/>
    <w:rsid w:val="002A14D1"/>
    <w:rsid w:val="002A1D96"/>
    <w:rsid w:val="002A2273"/>
    <w:rsid w:val="002A2657"/>
    <w:rsid w:val="002A35D1"/>
    <w:rsid w:val="002A440E"/>
    <w:rsid w:val="002A4447"/>
    <w:rsid w:val="002A44E3"/>
    <w:rsid w:val="002A5292"/>
    <w:rsid w:val="002A551B"/>
    <w:rsid w:val="002A55D0"/>
    <w:rsid w:val="002A56AE"/>
    <w:rsid w:val="002A65F3"/>
    <w:rsid w:val="002A6665"/>
    <w:rsid w:val="002A7082"/>
    <w:rsid w:val="002A72C6"/>
    <w:rsid w:val="002A7E4B"/>
    <w:rsid w:val="002B0309"/>
    <w:rsid w:val="002B06F7"/>
    <w:rsid w:val="002B140B"/>
    <w:rsid w:val="002B24EA"/>
    <w:rsid w:val="002B2EA9"/>
    <w:rsid w:val="002B354F"/>
    <w:rsid w:val="002B3F47"/>
    <w:rsid w:val="002B3F85"/>
    <w:rsid w:val="002B3F95"/>
    <w:rsid w:val="002B4EE6"/>
    <w:rsid w:val="002B50A9"/>
    <w:rsid w:val="002B5122"/>
    <w:rsid w:val="002B626E"/>
    <w:rsid w:val="002B672E"/>
    <w:rsid w:val="002B6938"/>
    <w:rsid w:val="002B7425"/>
    <w:rsid w:val="002B763D"/>
    <w:rsid w:val="002B7EEF"/>
    <w:rsid w:val="002C076F"/>
    <w:rsid w:val="002C1066"/>
    <w:rsid w:val="002C1079"/>
    <w:rsid w:val="002C156A"/>
    <w:rsid w:val="002C209D"/>
    <w:rsid w:val="002C2EE3"/>
    <w:rsid w:val="002C32A0"/>
    <w:rsid w:val="002C476E"/>
    <w:rsid w:val="002C4876"/>
    <w:rsid w:val="002C48D9"/>
    <w:rsid w:val="002C4D78"/>
    <w:rsid w:val="002C5339"/>
    <w:rsid w:val="002C542C"/>
    <w:rsid w:val="002C5FC7"/>
    <w:rsid w:val="002C6559"/>
    <w:rsid w:val="002C7024"/>
    <w:rsid w:val="002D0269"/>
    <w:rsid w:val="002D05BF"/>
    <w:rsid w:val="002D10B6"/>
    <w:rsid w:val="002D12AA"/>
    <w:rsid w:val="002D2699"/>
    <w:rsid w:val="002D29ED"/>
    <w:rsid w:val="002D2DDC"/>
    <w:rsid w:val="002D2EAE"/>
    <w:rsid w:val="002D32B2"/>
    <w:rsid w:val="002D3393"/>
    <w:rsid w:val="002D350A"/>
    <w:rsid w:val="002D38B6"/>
    <w:rsid w:val="002D3A52"/>
    <w:rsid w:val="002D3BE5"/>
    <w:rsid w:val="002D3E58"/>
    <w:rsid w:val="002D437D"/>
    <w:rsid w:val="002D4C78"/>
    <w:rsid w:val="002D5033"/>
    <w:rsid w:val="002D5C04"/>
    <w:rsid w:val="002D5E82"/>
    <w:rsid w:val="002D6394"/>
    <w:rsid w:val="002D6B69"/>
    <w:rsid w:val="002D7BD0"/>
    <w:rsid w:val="002D7D9B"/>
    <w:rsid w:val="002E0183"/>
    <w:rsid w:val="002E031E"/>
    <w:rsid w:val="002E0C0E"/>
    <w:rsid w:val="002E25B1"/>
    <w:rsid w:val="002E288A"/>
    <w:rsid w:val="002E2E47"/>
    <w:rsid w:val="002E52B8"/>
    <w:rsid w:val="002E575B"/>
    <w:rsid w:val="002E5B89"/>
    <w:rsid w:val="002E5DC6"/>
    <w:rsid w:val="002E5F4C"/>
    <w:rsid w:val="002E79BE"/>
    <w:rsid w:val="002E7C61"/>
    <w:rsid w:val="002E7DF0"/>
    <w:rsid w:val="002F0C15"/>
    <w:rsid w:val="002F0FAF"/>
    <w:rsid w:val="002F18E3"/>
    <w:rsid w:val="002F1D74"/>
    <w:rsid w:val="002F2866"/>
    <w:rsid w:val="002F2ACF"/>
    <w:rsid w:val="002F2D0E"/>
    <w:rsid w:val="002F309F"/>
    <w:rsid w:val="002F3AB0"/>
    <w:rsid w:val="002F3B81"/>
    <w:rsid w:val="002F3F3B"/>
    <w:rsid w:val="002F3FBA"/>
    <w:rsid w:val="002F479A"/>
    <w:rsid w:val="002F4DF5"/>
    <w:rsid w:val="002F6938"/>
    <w:rsid w:val="00301309"/>
    <w:rsid w:val="00301A02"/>
    <w:rsid w:val="00301B92"/>
    <w:rsid w:val="0030347D"/>
    <w:rsid w:val="003036D9"/>
    <w:rsid w:val="003045CE"/>
    <w:rsid w:val="00304C2F"/>
    <w:rsid w:val="00304D80"/>
    <w:rsid w:val="0030686D"/>
    <w:rsid w:val="00306E4E"/>
    <w:rsid w:val="003070C2"/>
    <w:rsid w:val="0030721E"/>
    <w:rsid w:val="003114BB"/>
    <w:rsid w:val="00311690"/>
    <w:rsid w:val="00311EBD"/>
    <w:rsid w:val="003122B4"/>
    <w:rsid w:val="00312612"/>
    <w:rsid w:val="00312747"/>
    <w:rsid w:val="0031293F"/>
    <w:rsid w:val="0031296C"/>
    <w:rsid w:val="00312D30"/>
    <w:rsid w:val="00313111"/>
    <w:rsid w:val="00313456"/>
    <w:rsid w:val="00313969"/>
    <w:rsid w:val="00314710"/>
    <w:rsid w:val="00314F3E"/>
    <w:rsid w:val="00314F81"/>
    <w:rsid w:val="00314F9B"/>
    <w:rsid w:val="00315097"/>
    <w:rsid w:val="003158D4"/>
    <w:rsid w:val="003159E3"/>
    <w:rsid w:val="0031685E"/>
    <w:rsid w:val="003169A2"/>
    <w:rsid w:val="00316AA6"/>
    <w:rsid w:val="00316DE4"/>
    <w:rsid w:val="00316F60"/>
    <w:rsid w:val="0031765F"/>
    <w:rsid w:val="00317F70"/>
    <w:rsid w:val="003202B1"/>
    <w:rsid w:val="00320CB3"/>
    <w:rsid w:val="00320D63"/>
    <w:rsid w:val="0032134D"/>
    <w:rsid w:val="003213B6"/>
    <w:rsid w:val="003215C4"/>
    <w:rsid w:val="00321BA8"/>
    <w:rsid w:val="00322024"/>
    <w:rsid w:val="0032204F"/>
    <w:rsid w:val="00322190"/>
    <w:rsid w:val="003223D1"/>
    <w:rsid w:val="00322B6C"/>
    <w:rsid w:val="00323B9D"/>
    <w:rsid w:val="00324361"/>
    <w:rsid w:val="003247AC"/>
    <w:rsid w:val="0032515B"/>
    <w:rsid w:val="003257D7"/>
    <w:rsid w:val="00325983"/>
    <w:rsid w:val="00325CAA"/>
    <w:rsid w:val="00326C71"/>
    <w:rsid w:val="00326D61"/>
    <w:rsid w:val="00330C75"/>
    <w:rsid w:val="00331D09"/>
    <w:rsid w:val="00331F2F"/>
    <w:rsid w:val="003336C5"/>
    <w:rsid w:val="003342E4"/>
    <w:rsid w:val="0033432A"/>
    <w:rsid w:val="00334C3C"/>
    <w:rsid w:val="003355E1"/>
    <w:rsid w:val="003356A5"/>
    <w:rsid w:val="003357B3"/>
    <w:rsid w:val="00335D8C"/>
    <w:rsid w:val="00335DC3"/>
    <w:rsid w:val="0033633E"/>
    <w:rsid w:val="00336ACE"/>
    <w:rsid w:val="003374D0"/>
    <w:rsid w:val="00337D58"/>
    <w:rsid w:val="00337D72"/>
    <w:rsid w:val="00340CAF"/>
    <w:rsid w:val="003413BD"/>
    <w:rsid w:val="00341CE7"/>
    <w:rsid w:val="00342582"/>
    <w:rsid w:val="00343E5A"/>
    <w:rsid w:val="003442F5"/>
    <w:rsid w:val="00344326"/>
    <w:rsid w:val="0034432A"/>
    <w:rsid w:val="003444D7"/>
    <w:rsid w:val="00344A3B"/>
    <w:rsid w:val="0034502F"/>
    <w:rsid w:val="0034593F"/>
    <w:rsid w:val="00345C3B"/>
    <w:rsid w:val="00345CA6"/>
    <w:rsid w:val="00345CD9"/>
    <w:rsid w:val="00345F99"/>
    <w:rsid w:val="00346E48"/>
    <w:rsid w:val="00346E5A"/>
    <w:rsid w:val="00347545"/>
    <w:rsid w:val="003477E4"/>
    <w:rsid w:val="00347C01"/>
    <w:rsid w:val="00347F39"/>
    <w:rsid w:val="003505A0"/>
    <w:rsid w:val="00350FBF"/>
    <w:rsid w:val="00351207"/>
    <w:rsid w:val="0035199A"/>
    <w:rsid w:val="00352B53"/>
    <w:rsid w:val="00355A05"/>
    <w:rsid w:val="00356913"/>
    <w:rsid w:val="003571FF"/>
    <w:rsid w:val="0035762C"/>
    <w:rsid w:val="00360298"/>
    <w:rsid w:val="0036068A"/>
    <w:rsid w:val="003609A1"/>
    <w:rsid w:val="003615F3"/>
    <w:rsid w:val="00361642"/>
    <w:rsid w:val="00361997"/>
    <w:rsid w:val="00362F6A"/>
    <w:rsid w:val="00362FE4"/>
    <w:rsid w:val="00363AF8"/>
    <w:rsid w:val="003641A5"/>
    <w:rsid w:val="0036470D"/>
    <w:rsid w:val="003648C2"/>
    <w:rsid w:val="003652D7"/>
    <w:rsid w:val="0036552A"/>
    <w:rsid w:val="00365690"/>
    <w:rsid w:val="00365B8D"/>
    <w:rsid w:val="003660FC"/>
    <w:rsid w:val="00366E40"/>
    <w:rsid w:val="00367222"/>
    <w:rsid w:val="00370719"/>
    <w:rsid w:val="00370DCE"/>
    <w:rsid w:val="00370E1E"/>
    <w:rsid w:val="00371371"/>
    <w:rsid w:val="00371580"/>
    <w:rsid w:val="00371913"/>
    <w:rsid w:val="00372601"/>
    <w:rsid w:val="0037291F"/>
    <w:rsid w:val="00373CBD"/>
    <w:rsid w:val="003741CE"/>
    <w:rsid w:val="0037424F"/>
    <w:rsid w:val="00374425"/>
    <w:rsid w:val="00376609"/>
    <w:rsid w:val="00377284"/>
    <w:rsid w:val="00377873"/>
    <w:rsid w:val="00377B33"/>
    <w:rsid w:val="00377F5E"/>
    <w:rsid w:val="0038074C"/>
    <w:rsid w:val="00380A78"/>
    <w:rsid w:val="00380B27"/>
    <w:rsid w:val="00380CD0"/>
    <w:rsid w:val="00380DE8"/>
    <w:rsid w:val="003813A8"/>
    <w:rsid w:val="003814F8"/>
    <w:rsid w:val="003815DF"/>
    <w:rsid w:val="00381C41"/>
    <w:rsid w:val="00382ECF"/>
    <w:rsid w:val="003831EB"/>
    <w:rsid w:val="003836A6"/>
    <w:rsid w:val="0038489C"/>
    <w:rsid w:val="00385062"/>
    <w:rsid w:val="003858E5"/>
    <w:rsid w:val="00385CFD"/>
    <w:rsid w:val="00385F56"/>
    <w:rsid w:val="00386347"/>
    <w:rsid w:val="00386602"/>
    <w:rsid w:val="003869C0"/>
    <w:rsid w:val="00386CA2"/>
    <w:rsid w:val="00386CFB"/>
    <w:rsid w:val="00386DB1"/>
    <w:rsid w:val="00386EE5"/>
    <w:rsid w:val="00386F00"/>
    <w:rsid w:val="00387494"/>
    <w:rsid w:val="0038762C"/>
    <w:rsid w:val="003879AF"/>
    <w:rsid w:val="00387D95"/>
    <w:rsid w:val="00390152"/>
    <w:rsid w:val="00390AA7"/>
    <w:rsid w:val="00390CCB"/>
    <w:rsid w:val="00390F72"/>
    <w:rsid w:val="003914F2"/>
    <w:rsid w:val="00391A2B"/>
    <w:rsid w:val="00391BD0"/>
    <w:rsid w:val="00393C17"/>
    <w:rsid w:val="003941A7"/>
    <w:rsid w:val="003945C6"/>
    <w:rsid w:val="00394812"/>
    <w:rsid w:val="00394FE9"/>
    <w:rsid w:val="00395368"/>
    <w:rsid w:val="00395F74"/>
    <w:rsid w:val="003962B4"/>
    <w:rsid w:val="00396BF1"/>
    <w:rsid w:val="003A0352"/>
    <w:rsid w:val="003A0A95"/>
    <w:rsid w:val="003A0C41"/>
    <w:rsid w:val="003A1470"/>
    <w:rsid w:val="003A1A7D"/>
    <w:rsid w:val="003A36CA"/>
    <w:rsid w:val="003A4080"/>
    <w:rsid w:val="003A4387"/>
    <w:rsid w:val="003A457E"/>
    <w:rsid w:val="003A467D"/>
    <w:rsid w:val="003A46BD"/>
    <w:rsid w:val="003A4C35"/>
    <w:rsid w:val="003A506C"/>
    <w:rsid w:val="003A5282"/>
    <w:rsid w:val="003A567D"/>
    <w:rsid w:val="003A5D41"/>
    <w:rsid w:val="003A5E98"/>
    <w:rsid w:val="003A642D"/>
    <w:rsid w:val="003A6459"/>
    <w:rsid w:val="003A69D9"/>
    <w:rsid w:val="003A6CE0"/>
    <w:rsid w:val="003A7578"/>
    <w:rsid w:val="003A7F2B"/>
    <w:rsid w:val="003B02FA"/>
    <w:rsid w:val="003B0398"/>
    <w:rsid w:val="003B0A58"/>
    <w:rsid w:val="003B0AAB"/>
    <w:rsid w:val="003B0DD5"/>
    <w:rsid w:val="003B19E9"/>
    <w:rsid w:val="003B1A9D"/>
    <w:rsid w:val="003B2329"/>
    <w:rsid w:val="003B2B77"/>
    <w:rsid w:val="003B2DDB"/>
    <w:rsid w:val="003B2F59"/>
    <w:rsid w:val="003B3057"/>
    <w:rsid w:val="003B3D20"/>
    <w:rsid w:val="003B53FB"/>
    <w:rsid w:val="003B5CA9"/>
    <w:rsid w:val="003B5EC1"/>
    <w:rsid w:val="003B606F"/>
    <w:rsid w:val="003B68AC"/>
    <w:rsid w:val="003B6EB8"/>
    <w:rsid w:val="003B7694"/>
    <w:rsid w:val="003B7C6C"/>
    <w:rsid w:val="003B7ECD"/>
    <w:rsid w:val="003C0E99"/>
    <w:rsid w:val="003C0FE9"/>
    <w:rsid w:val="003C172F"/>
    <w:rsid w:val="003C185C"/>
    <w:rsid w:val="003C1A9A"/>
    <w:rsid w:val="003C24AD"/>
    <w:rsid w:val="003C37FF"/>
    <w:rsid w:val="003C3EFB"/>
    <w:rsid w:val="003C40B1"/>
    <w:rsid w:val="003C527A"/>
    <w:rsid w:val="003C5EEF"/>
    <w:rsid w:val="003C6473"/>
    <w:rsid w:val="003C64C1"/>
    <w:rsid w:val="003C65DD"/>
    <w:rsid w:val="003C6A4E"/>
    <w:rsid w:val="003C6CD3"/>
    <w:rsid w:val="003C7238"/>
    <w:rsid w:val="003C770B"/>
    <w:rsid w:val="003C7829"/>
    <w:rsid w:val="003D08E9"/>
    <w:rsid w:val="003D1481"/>
    <w:rsid w:val="003D19A3"/>
    <w:rsid w:val="003D1C11"/>
    <w:rsid w:val="003D29C4"/>
    <w:rsid w:val="003D2F6F"/>
    <w:rsid w:val="003D3079"/>
    <w:rsid w:val="003D420C"/>
    <w:rsid w:val="003D484D"/>
    <w:rsid w:val="003D4B2D"/>
    <w:rsid w:val="003D51ED"/>
    <w:rsid w:val="003D5A98"/>
    <w:rsid w:val="003D656A"/>
    <w:rsid w:val="003D6FEC"/>
    <w:rsid w:val="003D75BA"/>
    <w:rsid w:val="003D7967"/>
    <w:rsid w:val="003D7ECB"/>
    <w:rsid w:val="003D7F8B"/>
    <w:rsid w:val="003E0598"/>
    <w:rsid w:val="003E08EB"/>
    <w:rsid w:val="003E0D14"/>
    <w:rsid w:val="003E11EE"/>
    <w:rsid w:val="003E271A"/>
    <w:rsid w:val="003E27C3"/>
    <w:rsid w:val="003E2C37"/>
    <w:rsid w:val="003E2F76"/>
    <w:rsid w:val="003E387A"/>
    <w:rsid w:val="003E39BF"/>
    <w:rsid w:val="003E402C"/>
    <w:rsid w:val="003E42E4"/>
    <w:rsid w:val="003E4BB9"/>
    <w:rsid w:val="003E4CDC"/>
    <w:rsid w:val="003E4CF7"/>
    <w:rsid w:val="003E55D6"/>
    <w:rsid w:val="003E55E2"/>
    <w:rsid w:val="003E58B3"/>
    <w:rsid w:val="003E6C9F"/>
    <w:rsid w:val="003E7115"/>
    <w:rsid w:val="003E7300"/>
    <w:rsid w:val="003E738F"/>
    <w:rsid w:val="003E7E87"/>
    <w:rsid w:val="003F01E0"/>
    <w:rsid w:val="003F10DC"/>
    <w:rsid w:val="003F1120"/>
    <w:rsid w:val="003F1267"/>
    <w:rsid w:val="003F3097"/>
    <w:rsid w:val="003F4660"/>
    <w:rsid w:val="003F4A36"/>
    <w:rsid w:val="003F5441"/>
    <w:rsid w:val="003F5F3D"/>
    <w:rsid w:val="003F603C"/>
    <w:rsid w:val="003F67DD"/>
    <w:rsid w:val="003F69F1"/>
    <w:rsid w:val="003F6CDA"/>
    <w:rsid w:val="003F7787"/>
    <w:rsid w:val="003F7B45"/>
    <w:rsid w:val="003F7CEF"/>
    <w:rsid w:val="00401260"/>
    <w:rsid w:val="004017B4"/>
    <w:rsid w:val="0040226A"/>
    <w:rsid w:val="00402361"/>
    <w:rsid w:val="004038EC"/>
    <w:rsid w:val="00404C52"/>
    <w:rsid w:val="00405075"/>
    <w:rsid w:val="004053C3"/>
    <w:rsid w:val="00405A46"/>
    <w:rsid w:val="00405D3C"/>
    <w:rsid w:val="00407510"/>
    <w:rsid w:val="00407729"/>
    <w:rsid w:val="004079E5"/>
    <w:rsid w:val="004100EF"/>
    <w:rsid w:val="00410227"/>
    <w:rsid w:val="004113F9"/>
    <w:rsid w:val="00411700"/>
    <w:rsid w:val="00412552"/>
    <w:rsid w:val="00413908"/>
    <w:rsid w:val="00414398"/>
    <w:rsid w:val="00414703"/>
    <w:rsid w:val="00415008"/>
    <w:rsid w:val="0041524F"/>
    <w:rsid w:val="00416502"/>
    <w:rsid w:val="00416904"/>
    <w:rsid w:val="00416FA8"/>
    <w:rsid w:val="00417254"/>
    <w:rsid w:val="00417BB8"/>
    <w:rsid w:val="00417DD4"/>
    <w:rsid w:val="00420387"/>
    <w:rsid w:val="004210A0"/>
    <w:rsid w:val="004216B2"/>
    <w:rsid w:val="004220DF"/>
    <w:rsid w:val="00422206"/>
    <w:rsid w:val="00423AF2"/>
    <w:rsid w:val="00423BAC"/>
    <w:rsid w:val="00423DEC"/>
    <w:rsid w:val="00424894"/>
    <w:rsid w:val="00424BE4"/>
    <w:rsid w:val="00425820"/>
    <w:rsid w:val="00425FCC"/>
    <w:rsid w:val="004261B6"/>
    <w:rsid w:val="004268F2"/>
    <w:rsid w:val="004272DC"/>
    <w:rsid w:val="004306C1"/>
    <w:rsid w:val="00430A2B"/>
    <w:rsid w:val="00430B1E"/>
    <w:rsid w:val="00430D63"/>
    <w:rsid w:val="004319D0"/>
    <w:rsid w:val="00431A33"/>
    <w:rsid w:val="00431D04"/>
    <w:rsid w:val="00431DF6"/>
    <w:rsid w:val="0043216A"/>
    <w:rsid w:val="004334BC"/>
    <w:rsid w:val="0043462B"/>
    <w:rsid w:val="0043484C"/>
    <w:rsid w:val="00434B0F"/>
    <w:rsid w:val="00434CB4"/>
    <w:rsid w:val="00435404"/>
    <w:rsid w:val="00435DF9"/>
    <w:rsid w:val="00435F54"/>
    <w:rsid w:val="00436107"/>
    <w:rsid w:val="00436151"/>
    <w:rsid w:val="00436569"/>
    <w:rsid w:val="004372CC"/>
    <w:rsid w:val="004373C9"/>
    <w:rsid w:val="00437C15"/>
    <w:rsid w:val="00437F04"/>
    <w:rsid w:val="00440356"/>
    <w:rsid w:val="00440CE0"/>
    <w:rsid w:val="00440D04"/>
    <w:rsid w:val="0044180C"/>
    <w:rsid w:val="00442B8E"/>
    <w:rsid w:val="004436F6"/>
    <w:rsid w:val="004444D5"/>
    <w:rsid w:val="004448BF"/>
    <w:rsid w:val="004456AC"/>
    <w:rsid w:val="00446321"/>
    <w:rsid w:val="0044633B"/>
    <w:rsid w:val="00446533"/>
    <w:rsid w:val="004468E3"/>
    <w:rsid w:val="004468FF"/>
    <w:rsid w:val="00446940"/>
    <w:rsid w:val="00446D0F"/>
    <w:rsid w:val="00446F8C"/>
    <w:rsid w:val="00447053"/>
    <w:rsid w:val="00447567"/>
    <w:rsid w:val="00447F9F"/>
    <w:rsid w:val="00450D8D"/>
    <w:rsid w:val="00451B9E"/>
    <w:rsid w:val="0045255D"/>
    <w:rsid w:val="0045264F"/>
    <w:rsid w:val="00452902"/>
    <w:rsid w:val="00452C49"/>
    <w:rsid w:val="00453497"/>
    <w:rsid w:val="00453B72"/>
    <w:rsid w:val="00453E4C"/>
    <w:rsid w:val="00454675"/>
    <w:rsid w:val="004558EC"/>
    <w:rsid w:val="00455A2A"/>
    <w:rsid w:val="00455A5A"/>
    <w:rsid w:val="004563B6"/>
    <w:rsid w:val="00456DD7"/>
    <w:rsid w:val="00457255"/>
    <w:rsid w:val="00457352"/>
    <w:rsid w:val="0045738E"/>
    <w:rsid w:val="00457450"/>
    <w:rsid w:val="00457884"/>
    <w:rsid w:val="004600E7"/>
    <w:rsid w:val="00460C41"/>
    <w:rsid w:val="0046151E"/>
    <w:rsid w:val="0046181F"/>
    <w:rsid w:val="00461B08"/>
    <w:rsid w:val="00461E0C"/>
    <w:rsid w:val="004621FB"/>
    <w:rsid w:val="00462789"/>
    <w:rsid w:val="00462978"/>
    <w:rsid w:val="00462F5F"/>
    <w:rsid w:val="0046321F"/>
    <w:rsid w:val="00463320"/>
    <w:rsid w:val="00463ABE"/>
    <w:rsid w:val="004647EC"/>
    <w:rsid w:val="00464C56"/>
    <w:rsid w:val="00464CCC"/>
    <w:rsid w:val="00464DEA"/>
    <w:rsid w:val="00465068"/>
    <w:rsid w:val="00465113"/>
    <w:rsid w:val="00465E8F"/>
    <w:rsid w:val="004660F8"/>
    <w:rsid w:val="004661F1"/>
    <w:rsid w:val="00466F00"/>
    <w:rsid w:val="00467C0A"/>
    <w:rsid w:val="00467E45"/>
    <w:rsid w:val="004702CA"/>
    <w:rsid w:val="00471208"/>
    <w:rsid w:val="0047290E"/>
    <w:rsid w:val="00472E33"/>
    <w:rsid w:val="004730A0"/>
    <w:rsid w:val="00473194"/>
    <w:rsid w:val="0047384C"/>
    <w:rsid w:val="0047398D"/>
    <w:rsid w:val="00473AD2"/>
    <w:rsid w:val="00473AD8"/>
    <w:rsid w:val="00473B1C"/>
    <w:rsid w:val="00473F9D"/>
    <w:rsid w:val="0047425E"/>
    <w:rsid w:val="00474AD5"/>
    <w:rsid w:val="00474B78"/>
    <w:rsid w:val="00474F6E"/>
    <w:rsid w:val="00475354"/>
    <w:rsid w:val="004756B9"/>
    <w:rsid w:val="00476503"/>
    <w:rsid w:val="00476C78"/>
    <w:rsid w:val="00476C9E"/>
    <w:rsid w:val="00476E04"/>
    <w:rsid w:val="004777D2"/>
    <w:rsid w:val="00480A79"/>
    <w:rsid w:val="00481468"/>
    <w:rsid w:val="00481714"/>
    <w:rsid w:val="004819F3"/>
    <w:rsid w:val="00481F3B"/>
    <w:rsid w:val="00482235"/>
    <w:rsid w:val="004822A6"/>
    <w:rsid w:val="00482C17"/>
    <w:rsid w:val="00482FC5"/>
    <w:rsid w:val="004834EA"/>
    <w:rsid w:val="004835DD"/>
    <w:rsid w:val="004838EA"/>
    <w:rsid w:val="00483907"/>
    <w:rsid w:val="00484669"/>
    <w:rsid w:val="00484E30"/>
    <w:rsid w:val="0048507A"/>
    <w:rsid w:val="004851BA"/>
    <w:rsid w:val="0048525F"/>
    <w:rsid w:val="004856EA"/>
    <w:rsid w:val="00485F86"/>
    <w:rsid w:val="0048790E"/>
    <w:rsid w:val="00490FC7"/>
    <w:rsid w:val="004910A9"/>
    <w:rsid w:val="004910D4"/>
    <w:rsid w:val="0049249E"/>
    <w:rsid w:val="00492BBA"/>
    <w:rsid w:val="00493B18"/>
    <w:rsid w:val="00493FA2"/>
    <w:rsid w:val="0049567C"/>
    <w:rsid w:val="00495B2D"/>
    <w:rsid w:val="00496E1E"/>
    <w:rsid w:val="0049771D"/>
    <w:rsid w:val="00497C35"/>
    <w:rsid w:val="00497D59"/>
    <w:rsid w:val="00497F21"/>
    <w:rsid w:val="004A07D9"/>
    <w:rsid w:val="004A13E5"/>
    <w:rsid w:val="004A1CEC"/>
    <w:rsid w:val="004A200E"/>
    <w:rsid w:val="004A266F"/>
    <w:rsid w:val="004A3A32"/>
    <w:rsid w:val="004A3D74"/>
    <w:rsid w:val="004A4110"/>
    <w:rsid w:val="004A4E05"/>
    <w:rsid w:val="004A648B"/>
    <w:rsid w:val="004A668A"/>
    <w:rsid w:val="004A6C33"/>
    <w:rsid w:val="004A791B"/>
    <w:rsid w:val="004B0123"/>
    <w:rsid w:val="004B081F"/>
    <w:rsid w:val="004B1028"/>
    <w:rsid w:val="004B1485"/>
    <w:rsid w:val="004B1B3E"/>
    <w:rsid w:val="004B1BAE"/>
    <w:rsid w:val="004B2266"/>
    <w:rsid w:val="004B2688"/>
    <w:rsid w:val="004B2F01"/>
    <w:rsid w:val="004B33DA"/>
    <w:rsid w:val="004B3775"/>
    <w:rsid w:val="004B3D99"/>
    <w:rsid w:val="004B3DBF"/>
    <w:rsid w:val="004B4213"/>
    <w:rsid w:val="004B45AC"/>
    <w:rsid w:val="004B45C9"/>
    <w:rsid w:val="004B4A67"/>
    <w:rsid w:val="004B5057"/>
    <w:rsid w:val="004B531C"/>
    <w:rsid w:val="004B5692"/>
    <w:rsid w:val="004B5C53"/>
    <w:rsid w:val="004B612D"/>
    <w:rsid w:val="004B6261"/>
    <w:rsid w:val="004B6891"/>
    <w:rsid w:val="004B7197"/>
    <w:rsid w:val="004B74AB"/>
    <w:rsid w:val="004B76AF"/>
    <w:rsid w:val="004B7B83"/>
    <w:rsid w:val="004B7FAB"/>
    <w:rsid w:val="004C03CD"/>
    <w:rsid w:val="004C06D4"/>
    <w:rsid w:val="004C0B27"/>
    <w:rsid w:val="004C100A"/>
    <w:rsid w:val="004C1888"/>
    <w:rsid w:val="004C1B62"/>
    <w:rsid w:val="004C260D"/>
    <w:rsid w:val="004C2BCB"/>
    <w:rsid w:val="004C36DE"/>
    <w:rsid w:val="004C3BE2"/>
    <w:rsid w:val="004C3D2E"/>
    <w:rsid w:val="004C41D8"/>
    <w:rsid w:val="004C4C89"/>
    <w:rsid w:val="004C526C"/>
    <w:rsid w:val="004C5E9F"/>
    <w:rsid w:val="004C615D"/>
    <w:rsid w:val="004C692C"/>
    <w:rsid w:val="004C7184"/>
    <w:rsid w:val="004C798E"/>
    <w:rsid w:val="004D0C57"/>
    <w:rsid w:val="004D0C59"/>
    <w:rsid w:val="004D1D22"/>
    <w:rsid w:val="004D251C"/>
    <w:rsid w:val="004D3FDF"/>
    <w:rsid w:val="004D5D36"/>
    <w:rsid w:val="004D666E"/>
    <w:rsid w:val="004D799A"/>
    <w:rsid w:val="004D79A4"/>
    <w:rsid w:val="004D7BBF"/>
    <w:rsid w:val="004D7C22"/>
    <w:rsid w:val="004E0041"/>
    <w:rsid w:val="004E15C5"/>
    <w:rsid w:val="004E22CC"/>
    <w:rsid w:val="004E3176"/>
    <w:rsid w:val="004E3C0D"/>
    <w:rsid w:val="004E3F44"/>
    <w:rsid w:val="004E4007"/>
    <w:rsid w:val="004E45C2"/>
    <w:rsid w:val="004E4764"/>
    <w:rsid w:val="004E4932"/>
    <w:rsid w:val="004E4C0A"/>
    <w:rsid w:val="004E512C"/>
    <w:rsid w:val="004E51B7"/>
    <w:rsid w:val="004E5546"/>
    <w:rsid w:val="004E55C0"/>
    <w:rsid w:val="004E5762"/>
    <w:rsid w:val="004E5E48"/>
    <w:rsid w:val="004E5EA3"/>
    <w:rsid w:val="004E5EED"/>
    <w:rsid w:val="004E64A5"/>
    <w:rsid w:val="004E6709"/>
    <w:rsid w:val="004E6D30"/>
    <w:rsid w:val="004F000B"/>
    <w:rsid w:val="004F0545"/>
    <w:rsid w:val="004F07C0"/>
    <w:rsid w:val="004F08C8"/>
    <w:rsid w:val="004F1775"/>
    <w:rsid w:val="004F1F93"/>
    <w:rsid w:val="004F299E"/>
    <w:rsid w:val="004F2F7D"/>
    <w:rsid w:val="004F375C"/>
    <w:rsid w:val="004F4224"/>
    <w:rsid w:val="004F4646"/>
    <w:rsid w:val="004F4F75"/>
    <w:rsid w:val="004F53A7"/>
    <w:rsid w:val="004F5B99"/>
    <w:rsid w:val="004F5C28"/>
    <w:rsid w:val="004F5E6A"/>
    <w:rsid w:val="004F67C2"/>
    <w:rsid w:val="004F72CD"/>
    <w:rsid w:val="004F7E47"/>
    <w:rsid w:val="00500084"/>
    <w:rsid w:val="0050031E"/>
    <w:rsid w:val="005011B6"/>
    <w:rsid w:val="00501BA6"/>
    <w:rsid w:val="00501D62"/>
    <w:rsid w:val="00501E8D"/>
    <w:rsid w:val="00501F8D"/>
    <w:rsid w:val="00502832"/>
    <w:rsid w:val="00503654"/>
    <w:rsid w:val="005041A7"/>
    <w:rsid w:val="0050447A"/>
    <w:rsid w:val="005069B5"/>
    <w:rsid w:val="00506B47"/>
    <w:rsid w:val="00506D71"/>
    <w:rsid w:val="005070FD"/>
    <w:rsid w:val="005105D6"/>
    <w:rsid w:val="00510A04"/>
    <w:rsid w:val="005129CE"/>
    <w:rsid w:val="00513C6C"/>
    <w:rsid w:val="00513FA2"/>
    <w:rsid w:val="00514172"/>
    <w:rsid w:val="0051465D"/>
    <w:rsid w:val="00514DED"/>
    <w:rsid w:val="0051530C"/>
    <w:rsid w:val="00515BE8"/>
    <w:rsid w:val="00515D7A"/>
    <w:rsid w:val="00515F89"/>
    <w:rsid w:val="005167EB"/>
    <w:rsid w:val="00516F9D"/>
    <w:rsid w:val="0051726E"/>
    <w:rsid w:val="00517E33"/>
    <w:rsid w:val="00517EE3"/>
    <w:rsid w:val="0052142F"/>
    <w:rsid w:val="00521536"/>
    <w:rsid w:val="005216E5"/>
    <w:rsid w:val="00521834"/>
    <w:rsid w:val="005218D7"/>
    <w:rsid w:val="005222A8"/>
    <w:rsid w:val="00524087"/>
    <w:rsid w:val="0052524D"/>
    <w:rsid w:val="0052693B"/>
    <w:rsid w:val="00526CC0"/>
    <w:rsid w:val="0052703F"/>
    <w:rsid w:val="00527187"/>
    <w:rsid w:val="00527413"/>
    <w:rsid w:val="005301A6"/>
    <w:rsid w:val="005301F7"/>
    <w:rsid w:val="0053040D"/>
    <w:rsid w:val="0053063E"/>
    <w:rsid w:val="005310C9"/>
    <w:rsid w:val="00531646"/>
    <w:rsid w:val="00531AEE"/>
    <w:rsid w:val="00532277"/>
    <w:rsid w:val="00532649"/>
    <w:rsid w:val="005327BB"/>
    <w:rsid w:val="00532EFB"/>
    <w:rsid w:val="005347D7"/>
    <w:rsid w:val="005349D4"/>
    <w:rsid w:val="00534ED5"/>
    <w:rsid w:val="00534FCA"/>
    <w:rsid w:val="005356D0"/>
    <w:rsid w:val="005359ED"/>
    <w:rsid w:val="005368D1"/>
    <w:rsid w:val="00536C9A"/>
    <w:rsid w:val="00537B3B"/>
    <w:rsid w:val="00537BD8"/>
    <w:rsid w:val="00540049"/>
    <w:rsid w:val="005403C1"/>
    <w:rsid w:val="0054069A"/>
    <w:rsid w:val="00540B8F"/>
    <w:rsid w:val="00540D55"/>
    <w:rsid w:val="005417F4"/>
    <w:rsid w:val="00541828"/>
    <w:rsid w:val="005419FA"/>
    <w:rsid w:val="005422A7"/>
    <w:rsid w:val="005422F0"/>
    <w:rsid w:val="005425BA"/>
    <w:rsid w:val="005427FF"/>
    <w:rsid w:val="00542A9E"/>
    <w:rsid w:val="00543EEC"/>
    <w:rsid w:val="0054404E"/>
    <w:rsid w:val="005441DF"/>
    <w:rsid w:val="0054452E"/>
    <w:rsid w:val="00545C9B"/>
    <w:rsid w:val="00546414"/>
    <w:rsid w:val="005464B3"/>
    <w:rsid w:val="00546887"/>
    <w:rsid w:val="00546EA2"/>
    <w:rsid w:val="00550009"/>
    <w:rsid w:val="00550DBF"/>
    <w:rsid w:val="00551389"/>
    <w:rsid w:val="005516A9"/>
    <w:rsid w:val="005516D5"/>
    <w:rsid w:val="0055195B"/>
    <w:rsid w:val="00551F55"/>
    <w:rsid w:val="0055202E"/>
    <w:rsid w:val="005522CD"/>
    <w:rsid w:val="00552383"/>
    <w:rsid w:val="00552EBE"/>
    <w:rsid w:val="00553631"/>
    <w:rsid w:val="005548A8"/>
    <w:rsid w:val="00554D4F"/>
    <w:rsid w:val="00555A1C"/>
    <w:rsid w:val="00556FDC"/>
    <w:rsid w:val="0055746D"/>
    <w:rsid w:val="005574E5"/>
    <w:rsid w:val="00557A15"/>
    <w:rsid w:val="00557EA6"/>
    <w:rsid w:val="00557FE5"/>
    <w:rsid w:val="005607AD"/>
    <w:rsid w:val="00560B98"/>
    <w:rsid w:val="005614AF"/>
    <w:rsid w:val="00561752"/>
    <w:rsid w:val="00562012"/>
    <w:rsid w:val="005623FE"/>
    <w:rsid w:val="005625B1"/>
    <w:rsid w:val="0056275C"/>
    <w:rsid w:val="00562B2A"/>
    <w:rsid w:val="0056367E"/>
    <w:rsid w:val="00563FE1"/>
    <w:rsid w:val="00564B8F"/>
    <w:rsid w:val="00565012"/>
    <w:rsid w:val="005650B7"/>
    <w:rsid w:val="0056634E"/>
    <w:rsid w:val="0056640C"/>
    <w:rsid w:val="005666ED"/>
    <w:rsid w:val="00566E28"/>
    <w:rsid w:val="005679FC"/>
    <w:rsid w:val="00567DB6"/>
    <w:rsid w:val="00570341"/>
    <w:rsid w:val="00570517"/>
    <w:rsid w:val="00570790"/>
    <w:rsid w:val="00570917"/>
    <w:rsid w:val="005709FE"/>
    <w:rsid w:val="00570E91"/>
    <w:rsid w:val="00571439"/>
    <w:rsid w:val="00571B16"/>
    <w:rsid w:val="00571EE7"/>
    <w:rsid w:val="00572183"/>
    <w:rsid w:val="0057238C"/>
    <w:rsid w:val="00573A45"/>
    <w:rsid w:val="005743D5"/>
    <w:rsid w:val="00574A3C"/>
    <w:rsid w:val="00576188"/>
    <w:rsid w:val="005761F9"/>
    <w:rsid w:val="00576256"/>
    <w:rsid w:val="00576A9A"/>
    <w:rsid w:val="00576E38"/>
    <w:rsid w:val="00577276"/>
    <w:rsid w:val="00577BB6"/>
    <w:rsid w:val="00577EDF"/>
    <w:rsid w:val="0058053E"/>
    <w:rsid w:val="00580FE1"/>
    <w:rsid w:val="00581B70"/>
    <w:rsid w:val="00581D5F"/>
    <w:rsid w:val="005822B0"/>
    <w:rsid w:val="005827DA"/>
    <w:rsid w:val="00582C90"/>
    <w:rsid w:val="0058392A"/>
    <w:rsid w:val="00583AF2"/>
    <w:rsid w:val="00583D09"/>
    <w:rsid w:val="00586BF2"/>
    <w:rsid w:val="0059142E"/>
    <w:rsid w:val="005925C0"/>
    <w:rsid w:val="00592950"/>
    <w:rsid w:val="00592F9C"/>
    <w:rsid w:val="0059321B"/>
    <w:rsid w:val="0059345B"/>
    <w:rsid w:val="00593EBC"/>
    <w:rsid w:val="00594BE8"/>
    <w:rsid w:val="00595141"/>
    <w:rsid w:val="0059597C"/>
    <w:rsid w:val="005959E8"/>
    <w:rsid w:val="00595BCC"/>
    <w:rsid w:val="00595C5E"/>
    <w:rsid w:val="00595D2C"/>
    <w:rsid w:val="0059659D"/>
    <w:rsid w:val="00597294"/>
    <w:rsid w:val="005975F2"/>
    <w:rsid w:val="0059762C"/>
    <w:rsid w:val="00597DEB"/>
    <w:rsid w:val="00597E22"/>
    <w:rsid w:val="005A00EC"/>
    <w:rsid w:val="005A037C"/>
    <w:rsid w:val="005A0FE3"/>
    <w:rsid w:val="005A15C2"/>
    <w:rsid w:val="005A22B3"/>
    <w:rsid w:val="005A2A1D"/>
    <w:rsid w:val="005A3541"/>
    <w:rsid w:val="005A3E0B"/>
    <w:rsid w:val="005A4F75"/>
    <w:rsid w:val="005A564E"/>
    <w:rsid w:val="005A5A6C"/>
    <w:rsid w:val="005A5B43"/>
    <w:rsid w:val="005A633F"/>
    <w:rsid w:val="005A642D"/>
    <w:rsid w:val="005A6ACF"/>
    <w:rsid w:val="005A6BD5"/>
    <w:rsid w:val="005A7472"/>
    <w:rsid w:val="005A789F"/>
    <w:rsid w:val="005A7CA0"/>
    <w:rsid w:val="005A7EB7"/>
    <w:rsid w:val="005B1004"/>
    <w:rsid w:val="005B1030"/>
    <w:rsid w:val="005B1EC3"/>
    <w:rsid w:val="005B284E"/>
    <w:rsid w:val="005B2A3E"/>
    <w:rsid w:val="005B2BE3"/>
    <w:rsid w:val="005B2DD7"/>
    <w:rsid w:val="005B3926"/>
    <w:rsid w:val="005B3D81"/>
    <w:rsid w:val="005B407A"/>
    <w:rsid w:val="005B4FED"/>
    <w:rsid w:val="005B5933"/>
    <w:rsid w:val="005B5B1D"/>
    <w:rsid w:val="005B5C6E"/>
    <w:rsid w:val="005B7A02"/>
    <w:rsid w:val="005C03E2"/>
    <w:rsid w:val="005C0409"/>
    <w:rsid w:val="005C041A"/>
    <w:rsid w:val="005C0918"/>
    <w:rsid w:val="005C0E3C"/>
    <w:rsid w:val="005C29CD"/>
    <w:rsid w:val="005C2C27"/>
    <w:rsid w:val="005C3022"/>
    <w:rsid w:val="005C3A5A"/>
    <w:rsid w:val="005C3C40"/>
    <w:rsid w:val="005C3E8A"/>
    <w:rsid w:val="005C4B4E"/>
    <w:rsid w:val="005C5025"/>
    <w:rsid w:val="005C5B27"/>
    <w:rsid w:val="005C61BA"/>
    <w:rsid w:val="005C7579"/>
    <w:rsid w:val="005C78CF"/>
    <w:rsid w:val="005C79BC"/>
    <w:rsid w:val="005D0400"/>
    <w:rsid w:val="005D0D80"/>
    <w:rsid w:val="005D0F2F"/>
    <w:rsid w:val="005D1033"/>
    <w:rsid w:val="005D119B"/>
    <w:rsid w:val="005D16C1"/>
    <w:rsid w:val="005D1751"/>
    <w:rsid w:val="005D1DD9"/>
    <w:rsid w:val="005D1F51"/>
    <w:rsid w:val="005D3103"/>
    <w:rsid w:val="005D3670"/>
    <w:rsid w:val="005D37D3"/>
    <w:rsid w:val="005D3AF7"/>
    <w:rsid w:val="005D4355"/>
    <w:rsid w:val="005D51E7"/>
    <w:rsid w:val="005D584E"/>
    <w:rsid w:val="005D62CF"/>
    <w:rsid w:val="005D68A4"/>
    <w:rsid w:val="005D6DB4"/>
    <w:rsid w:val="005E1682"/>
    <w:rsid w:val="005E1986"/>
    <w:rsid w:val="005E1F7A"/>
    <w:rsid w:val="005E29C9"/>
    <w:rsid w:val="005E3C17"/>
    <w:rsid w:val="005E406A"/>
    <w:rsid w:val="005E46F2"/>
    <w:rsid w:val="005E530A"/>
    <w:rsid w:val="005E6037"/>
    <w:rsid w:val="005E60A7"/>
    <w:rsid w:val="005E60D7"/>
    <w:rsid w:val="005E68CA"/>
    <w:rsid w:val="005E6E5D"/>
    <w:rsid w:val="005E6F09"/>
    <w:rsid w:val="005E75CA"/>
    <w:rsid w:val="005E79A2"/>
    <w:rsid w:val="005E79C7"/>
    <w:rsid w:val="005E7B0B"/>
    <w:rsid w:val="005E7E84"/>
    <w:rsid w:val="005E7FC6"/>
    <w:rsid w:val="005F1CA0"/>
    <w:rsid w:val="005F2CAB"/>
    <w:rsid w:val="005F3AE5"/>
    <w:rsid w:val="005F41CE"/>
    <w:rsid w:val="005F46D4"/>
    <w:rsid w:val="005F4768"/>
    <w:rsid w:val="005F4F6E"/>
    <w:rsid w:val="005F55C5"/>
    <w:rsid w:val="005F585A"/>
    <w:rsid w:val="005F646A"/>
    <w:rsid w:val="005F6A1B"/>
    <w:rsid w:val="005F736F"/>
    <w:rsid w:val="005F754F"/>
    <w:rsid w:val="006004CD"/>
    <w:rsid w:val="006015F0"/>
    <w:rsid w:val="00601C4E"/>
    <w:rsid w:val="00601D05"/>
    <w:rsid w:val="00602831"/>
    <w:rsid w:val="00602BD9"/>
    <w:rsid w:val="00602E77"/>
    <w:rsid w:val="0060305A"/>
    <w:rsid w:val="00603772"/>
    <w:rsid w:val="00603F84"/>
    <w:rsid w:val="00604371"/>
    <w:rsid w:val="006044F2"/>
    <w:rsid w:val="00604555"/>
    <w:rsid w:val="00605183"/>
    <w:rsid w:val="00605A6A"/>
    <w:rsid w:val="00605E8F"/>
    <w:rsid w:val="00605FAF"/>
    <w:rsid w:val="006069E5"/>
    <w:rsid w:val="00606CBB"/>
    <w:rsid w:val="00610166"/>
    <w:rsid w:val="00610A14"/>
    <w:rsid w:val="006123B0"/>
    <w:rsid w:val="00612B29"/>
    <w:rsid w:val="00612F4D"/>
    <w:rsid w:val="00613115"/>
    <w:rsid w:val="006133E3"/>
    <w:rsid w:val="0061387B"/>
    <w:rsid w:val="00614730"/>
    <w:rsid w:val="00615187"/>
    <w:rsid w:val="00615C93"/>
    <w:rsid w:val="00616459"/>
    <w:rsid w:val="00616F9C"/>
    <w:rsid w:val="006178BB"/>
    <w:rsid w:val="006202B0"/>
    <w:rsid w:val="006202B5"/>
    <w:rsid w:val="006207F2"/>
    <w:rsid w:val="006209A1"/>
    <w:rsid w:val="00620C25"/>
    <w:rsid w:val="00620EAA"/>
    <w:rsid w:val="00621056"/>
    <w:rsid w:val="006214D4"/>
    <w:rsid w:val="00621641"/>
    <w:rsid w:val="00621C00"/>
    <w:rsid w:val="006223D7"/>
    <w:rsid w:val="00622DF7"/>
    <w:rsid w:val="00623396"/>
    <w:rsid w:val="006237FD"/>
    <w:rsid w:val="0062393E"/>
    <w:rsid w:val="00623F62"/>
    <w:rsid w:val="00624867"/>
    <w:rsid w:val="00624A99"/>
    <w:rsid w:val="00624D60"/>
    <w:rsid w:val="006252A7"/>
    <w:rsid w:val="00626640"/>
    <w:rsid w:val="0062742B"/>
    <w:rsid w:val="00627853"/>
    <w:rsid w:val="00627AEB"/>
    <w:rsid w:val="006306DE"/>
    <w:rsid w:val="00630960"/>
    <w:rsid w:val="00630ACF"/>
    <w:rsid w:val="00630CBD"/>
    <w:rsid w:val="00630D09"/>
    <w:rsid w:val="00630F91"/>
    <w:rsid w:val="00631821"/>
    <w:rsid w:val="00631F48"/>
    <w:rsid w:val="0063233F"/>
    <w:rsid w:val="006324C4"/>
    <w:rsid w:val="0063269C"/>
    <w:rsid w:val="00633DCB"/>
    <w:rsid w:val="00634B64"/>
    <w:rsid w:val="00635D9D"/>
    <w:rsid w:val="00635DAA"/>
    <w:rsid w:val="006360C0"/>
    <w:rsid w:val="00636367"/>
    <w:rsid w:val="0063672A"/>
    <w:rsid w:val="00636F91"/>
    <w:rsid w:val="00637527"/>
    <w:rsid w:val="00637FC6"/>
    <w:rsid w:val="00640147"/>
    <w:rsid w:val="006408FB"/>
    <w:rsid w:val="00641B93"/>
    <w:rsid w:val="00642184"/>
    <w:rsid w:val="00642DE8"/>
    <w:rsid w:val="006432D9"/>
    <w:rsid w:val="00643E54"/>
    <w:rsid w:val="00643F57"/>
    <w:rsid w:val="006442E8"/>
    <w:rsid w:val="006444F5"/>
    <w:rsid w:val="0064472E"/>
    <w:rsid w:val="006450A2"/>
    <w:rsid w:val="006456ED"/>
    <w:rsid w:val="00645786"/>
    <w:rsid w:val="0064583B"/>
    <w:rsid w:val="00645DC6"/>
    <w:rsid w:val="00645E03"/>
    <w:rsid w:val="00645EA3"/>
    <w:rsid w:val="00646060"/>
    <w:rsid w:val="00646264"/>
    <w:rsid w:val="00646A0A"/>
    <w:rsid w:val="00646E6B"/>
    <w:rsid w:val="00646E7C"/>
    <w:rsid w:val="00647EB3"/>
    <w:rsid w:val="00650713"/>
    <w:rsid w:val="00650A7A"/>
    <w:rsid w:val="00651363"/>
    <w:rsid w:val="00653052"/>
    <w:rsid w:val="00653433"/>
    <w:rsid w:val="00654B0D"/>
    <w:rsid w:val="00655AEB"/>
    <w:rsid w:val="00656282"/>
    <w:rsid w:val="006567FA"/>
    <w:rsid w:val="00656803"/>
    <w:rsid w:val="00656F4D"/>
    <w:rsid w:val="006574BE"/>
    <w:rsid w:val="006575E6"/>
    <w:rsid w:val="00657E59"/>
    <w:rsid w:val="00660C7A"/>
    <w:rsid w:val="006613F2"/>
    <w:rsid w:val="00661AE1"/>
    <w:rsid w:val="00662657"/>
    <w:rsid w:val="00664206"/>
    <w:rsid w:val="00664443"/>
    <w:rsid w:val="00664CCE"/>
    <w:rsid w:val="006654DA"/>
    <w:rsid w:val="00665974"/>
    <w:rsid w:val="00665BFE"/>
    <w:rsid w:val="00665D4C"/>
    <w:rsid w:val="006668A9"/>
    <w:rsid w:val="00666B1B"/>
    <w:rsid w:val="00667512"/>
    <w:rsid w:val="00667591"/>
    <w:rsid w:val="00667C12"/>
    <w:rsid w:val="006703BF"/>
    <w:rsid w:val="00670C91"/>
    <w:rsid w:val="00670E55"/>
    <w:rsid w:val="006714E6"/>
    <w:rsid w:val="006715C6"/>
    <w:rsid w:val="00671628"/>
    <w:rsid w:val="006736E5"/>
    <w:rsid w:val="006737B3"/>
    <w:rsid w:val="00673909"/>
    <w:rsid w:val="00674770"/>
    <w:rsid w:val="00674969"/>
    <w:rsid w:val="00674F71"/>
    <w:rsid w:val="0067523F"/>
    <w:rsid w:val="00675590"/>
    <w:rsid w:val="00675D01"/>
    <w:rsid w:val="0067787F"/>
    <w:rsid w:val="00677A61"/>
    <w:rsid w:val="00680ECE"/>
    <w:rsid w:val="00680F38"/>
    <w:rsid w:val="0068179A"/>
    <w:rsid w:val="00682321"/>
    <w:rsid w:val="00682CDB"/>
    <w:rsid w:val="0068331B"/>
    <w:rsid w:val="00683DCB"/>
    <w:rsid w:val="00684561"/>
    <w:rsid w:val="006846D6"/>
    <w:rsid w:val="00685699"/>
    <w:rsid w:val="00686367"/>
    <w:rsid w:val="00686D26"/>
    <w:rsid w:val="00686DD1"/>
    <w:rsid w:val="00687A72"/>
    <w:rsid w:val="00687C64"/>
    <w:rsid w:val="00687CE5"/>
    <w:rsid w:val="00687DE3"/>
    <w:rsid w:val="006911C7"/>
    <w:rsid w:val="006912E3"/>
    <w:rsid w:val="006918D9"/>
    <w:rsid w:val="00691BEE"/>
    <w:rsid w:val="00692479"/>
    <w:rsid w:val="006934C8"/>
    <w:rsid w:val="00693912"/>
    <w:rsid w:val="00693BA2"/>
    <w:rsid w:val="0069435D"/>
    <w:rsid w:val="006947A8"/>
    <w:rsid w:val="006948F3"/>
    <w:rsid w:val="0069510A"/>
    <w:rsid w:val="0069529F"/>
    <w:rsid w:val="00695302"/>
    <w:rsid w:val="00696BF9"/>
    <w:rsid w:val="00697222"/>
    <w:rsid w:val="0069791B"/>
    <w:rsid w:val="00697AD3"/>
    <w:rsid w:val="006A1BBE"/>
    <w:rsid w:val="006A1F93"/>
    <w:rsid w:val="006A27DE"/>
    <w:rsid w:val="006A2886"/>
    <w:rsid w:val="006A3EB7"/>
    <w:rsid w:val="006A4048"/>
    <w:rsid w:val="006A407D"/>
    <w:rsid w:val="006A4E4D"/>
    <w:rsid w:val="006A4EE9"/>
    <w:rsid w:val="006A4F92"/>
    <w:rsid w:val="006A4FF2"/>
    <w:rsid w:val="006A7889"/>
    <w:rsid w:val="006B0AFD"/>
    <w:rsid w:val="006B1841"/>
    <w:rsid w:val="006B1943"/>
    <w:rsid w:val="006B1B66"/>
    <w:rsid w:val="006B1D78"/>
    <w:rsid w:val="006B25CB"/>
    <w:rsid w:val="006B29D9"/>
    <w:rsid w:val="006B2A5E"/>
    <w:rsid w:val="006B3221"/>
    <w:rsid w:val="006B3DCC"/>
    <w:rsid w:val="006B3F61"/>
    <w:rsid w:val="006B432D"/>
    <w:rsid w:val="006B4B77"/>
    <w:rsid w:val="006B5E3E"/>
    <w:rsid w:val="006B5F43"/>
    <w:rsid w:val="006B6847"/>
    <w:rsid w:val="006B6CB1"/>
    <w:rsid w:val="006B6F0F"/>
    <w:rsid w:val="006B701A"/>
    <w:rsid w:val="006B70A2"/>
    <w:rsid w:val="006B7170"/>
    <w:rsid w:val="006B736E"/>
    <w:rsid w:val="006C04F3"/>
    <w:rsid w:val="006C052F"/>
    <w:rsid w:val="006C0B38"/>
    <w:rsid w:val="006C190F"/>
    <w:rsid w:val="006C1976"/>
    <w:rsid w:val="006C2524"/>
    <w:rsid w:val="006C2812"/>
    <w:rsid w:val="006C319A"/>
    <w:rsid w:val="006C43C3"/>
    <w:rsid w:val="006C5D15"/>
    <w:rsid w:val="006C61D0"/>
    <w:rsid w:val="006C6BB3"/>
    <w:rsid w:val="006C7234"/>
    <w:rsid w:val="006C7D3E"/>
    <w:rsid w:val="006D0E9E"/>
    <w:rsid w:val="006D231D"/>
    <w:rsid w:val="006D24E6"/>
    <w:rsid w:val="006D275B"/>
    <w:rsid w:val="006D2AB8"/>
    <w:rsid w:val="006D2D32"/>
    <w:rsid w:val="006D2E04"/>
    <w:rsid w:val="006D2F1D"/>
    <w:rsid w:val="006D33BA"/>
    <w:rsid w:val="006D5408"/>
    <w:rsid w:val="006D5A96"/>
    <w:rsid w:val="006D5D0E"/>
    <w:rsid w:val="006D6435"/>
    <w:rsid w:val="006D6909"/>
    <w:rsid w:val="006D70FF"/>
    <w:rsid w:val="006D7234"/>
    <w:rsid w:val="006D7A38"/>
    <w:rsid w:val="006E00B4"/>
    <w:rsid w:val="006E0D4C"/>
    <w:rsid w:val="006E1318"/>
    <w:rsid w:val="006E26D7"/>
    <w:rsid w:val="006E3383"/>
    <w:rsid w:val="006E4091"/>
    <w:rsid w:val="006E4589"/>
    <w:rsid w:val="006E5F5B"/>
    <w:rsid w:val="006E6117"/>
    <w:rsid w:val="006E665E"/>
    <w:rsid w:val="006E72FC"/>
    <w:rsid w:val="006E741D"/>
    <w:rsid w:val="006F0E41"/>
    <w:rsid w:val="006F106F"/>
    <w:rsid w:val="006F12EA"/>
    <w:rsid w:val="006F17FE"/>
    <w:rsid w:val="006F1B3A"/>
    <w:rsid w:val="006F1CBE"/>
    <w:rsid w:val="006F1EFA"/>
    <w:rsid w:val="006F1F5C"/>
    <w:rsid w:val="006F208D"/>
    <w:rsid w:val="006F23FC"/>
    <w:rsid w:val="006F28BC"/>
    <w:rsid w:val="006F2D0A"/>
    <w:rsid w:val="006F3583"/>
    <w:rsid w:val="006F3844"/>
    <w:rsid w:val="006F3988"/>
    <w:rsid w:val="006F3B05"/>
    <w:rsid w:val="006F427A"/>
    <w:rsid w:val="006F458C"/>
    <w:rsid w:val="006F4B6B"/>
    <w:rsid w:val="006F5227"/>
    <w:rsid w:val="006F53E2"/>
    <w:rsid w:val="006F5B29"/>
    <w:rsid w:val="006F5D5F"/>
    <w:rsid w:val="006F5FA1"/>
    <w:rsid w:val="006F62DB"/>
    <w:rsid w:val="006F6AF9"/>
    <w:rsid w:val="006F7E26"/>
    <w:rsid w:val="00701AE7"/>
    <w:rsid w:val="00701F20"/>
    <w:rsid w:val="00702208"/>
    <w:rsid w:val="00702372"/>
    <w:rsid w:val="0070267C"/>
    <w:rsid w:val="00702A10"/>
    <w:rsid w:val="00702B38"/>
    <w:rsid w:val="00703615"/>
    <w:rsid w:val="00703977"/>
    <w:rsid w:val="00703A5F"/>
    <w:rsid w:val="0070435A"/>
    <w:rsid w:val="007053E8"/>
    <w:rsid w:val="00705ABD"/>
    <w:rsid w:val="00705D0C"/>
    <w:rsid w:val="00706229"/>
    <w:rsid w:val="007069F0"/>
    <w:rsid w:val="00706AA8"/>
    <w:rsid w:val="00706DC3"/>
    <w:rsid w:val="007072EA"/>
    <w:rsid w:val="007073D3"/>
    <w:rsid w:val="00707580"/>
    <w:rsid w:val="007101A2"/>
    <w:rsid w:val="00711A92"/>
    <w:rsid w:val="00711B17"/>
    <w:rsid w:val="0071201F"/>
    <w:rsid w:val="007128ED"/>
    <w:rsid w:val="00712BAA"/>
    <w:rsid w:val="00712C79"/>
    <w:rsid w:val="00712D7D"/>
    <w:rsid w:val="00712F38"/>
    <w:rsid w:val="00713B67"/>
    <w:rsid w:val="00713D9A"/>
    <w:rsid w:val="00714B1C"/>
    <w:rsid w:val="0071577A"/>
    <w:rsid w:val="0071584B"/>
    <w:rsid w:val="007158F0"/>
    <w:rsid w:val="00715A1A"/>
    <w:rsid w:val="00715F47"/>
    <w:rsid w:val="00715F74"/>
    <w:rsid w:val="007163B5"/>
    <w:rsid w:val="007170CA"/>
    <w:rsid w:val="0071731D"/>
    <w:rsid w:val="007178D9"/>
    <w:rsid w:val="007179E2"/>
    <w:rsid w:val="00717C86"/>
    <w:rsid w:val="00720D60"/>
    <w:rsid w:val="00721633"/>
    <w:rsid w:val="00722324"/>
    <w:rsid w:val="0072273F"/>
    <w:rsid w:val="0072363F"/>
    <w:rsid w:val="00723752"/>
    <w:rsid w:val="007240DF"/>
    <w:rsid w:val="00724F0F"/>
    <w:rsid w:val="0072507E"/>
    <w:rsid w:val="00725770"/>
    <w:rsid w:val="00726887"/>
    <w:rsid w:val="00727C08"/>
    <w:rsid w:val="00727DDC"/>
    <w:rsid w:val="0073014A"/>
    <w:rsid w:val="0073055D"/>
    <w:rsid w:val="00730DAC"/>
    <w:rsid w:val="00731B74"/>
    <w:rsid w:val="0073250E"/>
    <w:rsid w:val="007327DB"/>
    <w:rsid w:val="00732C38"/>
    <w:rsid w:val="00732E7E"/>
    <w:rsid w:val="007332AD"/>
    <w:rsid w:val="007336C7"/>
    <w:rsid w:val="00734490"/>
    <w:rsid w:val="007349AD"/>
    <w:rsid w:val="00734BE9"/>
    <w:rsid w:val="00735073"/>
    <w:rsid w:val="00736675"/>
    <w:rsid w:val="007366EB"/>
    <w:rsid w:val="0073690B"/>
    <w:rsid w:val="007369E5"/>
    <w:rsid w:val="00737490"/>
    <w:rsid w:val="007403C5"/>
    <w:rsid w:val="00740434"/>
    <w:rsid w:val="00740A15"/>
    <w:rsid w:val="007415B3"/>
    <w:rsid w:val="00741C87"/>
    <w:rsid w:val="00741F0E"/>
    <w:rsid w:val="00741F80"/>
    <w:rsid w:val="0074257D"/>
    <w:rsid w:val="0074298C"/>
    <w:rsid w:val="00744024"/>
    <w:rsid w:val="007446A2"/>
    <w:rsid w:val="00744C69"/>
    <w:rsid w:val="007450B0"/>
    <w:rsid w:val="00746786"/>
    <w:rsid w:val="007469E7"/>
    <w:rsid w:val="00747C19"/>
    <w:rsid w:val="007503B9"/>
    <w:rsid w:val="00750A15"/>
    <w:rsid w:val="00750A81"/>
    <w:rsid w:val="00752835"/>
    <w:rsid w:val="0075318F"/>
    <w:rsid w:val="007535E5"/>
    <w:rsid w:val="007536E0"/>
    <w:rsid w:val="00753BCE"/>
    <w:rsid w:val="00753E3F"/>
    <w:rsid w:val="00754FEF"/>
    <w:rsid w:val="00755285"/>
    <w:rsid w:val="007552FF"/>
    <w:rsid w:val="0075584D"/>
    <w:rsid w:val="007560C3"/>
    <w:rsid w:val="00756206"/>
    <w:rsid w:val="00756B3A"/>
    <w:rsid w:val="00756E54"/>
    <w:rsid w:val="00756F06"/>
    <w:rsid w:val="00757434"/>
    <w:rsid w:val="00757B9B"/>
    <w:rsid w:val="00757EF1"/>
    <w:rsid w:val="007600EC"/>
    <w:rsid w:val="00761449"/>
    <w:rsid w:val="007615A2"/>
    <w:rsid w:val="0076189D"/>
    <w:rsid w:val="00761CD3"/>
    <w:rsid w:val="0076205C"/>
    <w:rsid w:val="0076239A"/>
    <w:rsid w:val="00762AA9"/>
    <w:rsid w:val="00763946"/>
    <w:rsid w:val="00763D84"/>
    <w:rsid w:val="00764339"/>
    <w:rsid w:val="0076457B"/>
    <w:rsid w:val="007645D1"/>
    <w:rsid w:val="00765083"/>
    <w:rsid w:val="0076562A"/>
    <w:rsid w:val="00765F04"/>
    <w:rsid w:val="00766157"/>
    <w:rsid w:val="007663D9"/>
    <w:rsid w:val="007668FD"/>
    <w:rsid w:val="00767531"/>
    <w:rsid w:val="00767B0C"/>
    <w:rsid w:val="007702B1"/>
    <w:rsid w:val="0077146D"/>
    <w:rsid w:val="00771828"/>
    <w:rsid w:val="0077281D"/>
    <w:rsid w:val="007728AE"/>
    <w:rsid w:val="00772C0A"/>
    <w:rsid w:val="00772CDD"/>
    <w:rsid w:val="0077485E"/>
    <w:rsid w:val="00774A7B"/>
    <w:rsid w:val="00774B08"/>
    <w:rsid w:val="00774F28"/>
    <w:rsid w:val="00775450"/>
    <w:rsid w:val="00775FA5"/>
    <w:rsid w:val="00776005"/>
    <w:rsid w:val="007760E6"/>
    <w:rsid w:val="007762AB"/>
    <w:rsid w:val="00776CF1"/>
    <w:rsid w:val="00776FE5"/>
    <w:rsid w:val="0077716D"/>
    <w:rsid w:val="007772C2"/>
    <w:rsid w:val="00777531"/>
    <w:rsid w:val="00777A14"/>
    <w:rsid w:val="00777C10"/>
    <w:rsid w:val="00780035"/>
    <w:rsid w:val="007804A8"/>
    <w:rsid w:val="00780F1A"/>
    <w:rsid w:val="00780F20"/>
    <w:rsid w:val="00781435"/>
    <w:rsid w:val="00782BCB"/>
    <w:rsid w:val="00782C9E"/>
    <w:rsid w:val="007832BB"/>
    <w:rsid w:val="007838CF"/>
    <w:rsid w:val="007841A7"/>
    <w:rsid w:val="0078435D"/>
    <w:rsid w:val="00784D05"/>
    <w:rsid w:val="007853A9"/>
    <w:rsid w:val="007859AF"/>
    <w:rsid w:val="00785F79"/>
    <w:rsid w:val="0078633F"/>
    <w:rsid w:val="007870B3"/>
    <w:rsid w:val="007870E4"/>
    <w:rsid w:val="007872B3"/>
    <w:rsid w:val="00787671"/>
    <w:rsid w:val="007912FF"/>
    <w:rsid w:val="00791BFC"/>
    <w:rsid w:val="00791C91"/>
    <w:rsid w:val="00792047"/>
    <w:rsid w:val="007934B0"/>
    <w:rsid w:val="0079350D"/>
    <w:rsid w:val="00794050"/>
    <w:rsid w:val="00794BA7"/>
    <w:rsid w:val="00794C4A"/>
    <w:rsid w:val="0079514B"/>
    <w:rsid w:val="00795225"/>
    <w:rsid w:val="00795581"/>
    <w:rsid w:val="00795C6A"/>
    <w:rsid w:val="00795CA0"/>
    <w:rsid w:val="00796035"/>
    <w:rsid w:val="007968A7"/>
    <w:rsid w:val="007976D3"/>
    <w:rsid w:val="00797DD8"/>
    <w:rsid w:val="00797E5A"/>
    <w:rsid w:val="007A050B"/>
    <w:rsid w:val="007A08E5"/>
    <w:rsid w:val="007A0BDB"/>
    <w:rsid w:val="007A0C74"/>
    <w:rsid w:val="007A1BEA"/>
    <w:rsid w:val="007A1C66"/>
    <w:rsid w:val="007A1F4A"/>
    <w:rsid w:val="007A3472"/>
    <w:rsid w:val="007A3593"/>
    <w:rsid w:val="007A364D"/>
    <w:rsid w:val="007A3869"/>
    <w:rsid w:val="007A3FDD"/>
    <w:rsid w:val="007A4FFC"/>
    <w:rsid w:val="007A546D"/>
    <w:rsid w:val="007A5556"/>
    <w:rsid w:val="007A5609"/>
    <w:rsid w:val="007A5DA2"/>
    <w:rsid w:val="007A5DF6"/>
    <w:rsid w:val="007A5FDC"/>
    <w:rsid w:val="007A61DD"/>
    <w:rsid w:val="007A6499"/>
    <w:rsid w:val="007A6584"/>
    <w:rsid w:val="007A6B3E"/>
    <w:rsid w:val="007A717F"/>
    <w:rsid w:val="007A785F"/>
    <w:rsid w:val="007B05D7"/>
    <w:rsid w:val="007B0783"/>
    <w:rsid w:val="007B0BB8"/>
    <w:rsid w:val="007B0E52"/>
    <w:rsid w:val="007B2130"/>
    <w:rsid w:val="007B2796"/>
    <w:rsid w:val="007B2835"/>
    <w:rsid w:val="007B2895"/>
    <w:rsid w:val="007B2953"/>
    <w:rsid w:val="007B2E66"/>
    <w:rsid w:val="007B37FF"/>
    <w:rsid w:val="007B3F6A"/>
    <w:rsid w:val="007B3FC2"/>
    <w:rsid w:val="007B4913"/>
    <w:rsid w:val="007B5596"/>
    <w:rsid w:val="007B5703"/>
    <w:rsid w:val="007B5A35"/>
    <w:rsid w:val="007B6ED9"/>
    <w:rsid w:val="007B71ED"/>
    <w:rsid w:val="007B7282"/>
    <w:rsid w:val="007B74B4"/>
    <w:rsid w:val="007B7955"/>
    <w:rsid w:val="007C0418"/>
    <w:rsid w:val="007C0E57"/>
    <w:rsid w:val="007C12CF"/>
    <w:rsid w:val="007C1321"/>
    <w:rsid w:val="007C1586"/>
    <w:rsid w:val="007C26BE"/>
    <w:rsid w:val="007C2C4D"/>
    <w:rsid w:val="007C2EB5"/>
    <w:rsid w:val="007C3392"/>
    <w:rsid w:val="007C3574"/>
    <w:rsid w:val="007C46C8"/>
    <w:rsid w:val="007C47A3"/>
    <w:rsid w:val="007C4D32"/>
    <w:rsid w:val="007C5D10"/>
    <w:rsid w:val="007C5E24"/>
    <w:rsid w:val="007C6268"/>
    <w:rsid w:val="007C661A"/>
    <w:rsid w:val="007C6AC8"/>
    <w:rsid w:val="007C7B50"/>
    <w:rsid w:val="007C7CE1"/>
    <w:rsid w:val="007D0F46"/>
    <w:rsid w:val="007D211E"/>
    <w:rsid w:val="007D261B"/>
    <w:rsid w:val="007D2E9D"/>
    <w:rsid w:val="007D363F"/>
    <w:rsid w:val="007D507D"/>
    <w:rsid w:val="007D540E"/>
    <w:rsid w:val="007D541B"/>
    <w:rsid w:val="007D5567"/>
    <w:rsid w:val="007D6572"/>
    <w:rsid w:val="007D71EE"/>
    <w:rsid w:val="007D77E6"/>
    <w:rsid w:val="007D7E37"/>
    <w:rsid w:val="007D7F0E"/>
    <w:rsid w:val="007E0588"/>
    <w:rsid w:val="007E13FE"/>
    <w:rsid w:val="007E1913"/>
    <w:rsid w:val="007E1D1A"/>
    <w:rsid w:val="007E1D32"/>
    <w:rsid w:val="007E23D5"/>
    <w:rsid w:val="007E38D8"/>
    <w:rsid w:val="007E4B36"/>
    <w:rsid w:val="007E5230"/>
    <w:rsid w:val="007E5541"/>
    <w:rsid w:val="007E5B22"/>
    <w:rsid w:val="007E69EB"/>
    <w:rsid w:val="007E6C51"/>
    <w:rsid w:val="007E7A38"/>
    <w:rsid w:val="007E7A56"/>
    <w:rsid w:val="007E7E92"/>
    <w:rsid w:val="007E7F20"/>
    <w:rsid w:val="007F046F"/>
    <w:rsid w:val="007F12EF"/>
    <w:rsid w:val="007F1B4B"/>
    <w:rsid w:val="007F248F"/>
    <w:rsid w:val="007F2577"/>
    <w:rsid w:val="007F2D46"/>
    <w:rsid w:val="007F3A1A"/>
    <w:rsid w:val="007F3E1F"/>
    <w:rsid w:val="007F4137"/>
    <w:rsid w:val="007F42C5"/>
    <w:rsid w:val="007F5047"/>
    <w:rsid w:val="007F5BBA"/>
    <w:rsid w:val="007F5CDC"/>
    <w:rsid w:val="007F6220"/>
    <w:rsid w:val="007F63F4"/>
    <w:rsid w:val="007F6A5D"/>
    <w:rsid w:val="007F6FA1"/>
    <w:rsid w:val="007F7556"/>
    <w:rsid w:val="007F7683"/>
    <w:rsid w:val="00800101"/>
    <w:rsid w:val="0080107E"/>
    <w:rsid w:val="008012CD"/>
    <w:rsid w:val="00801A9F"/>
    <w:rsid w:val="00801E7E"/>
    <w:rsid w:val="0080204D"/>
    <w:rsid w:val="00802606"/>
    <w:rsid w:val="00802799"/>
    <w:rsid w:val="00802962"/>
    <w:rsid w:val="00802F99"/>
    <w:rsid w:val="00803066"/>
    <w:rsid w:val="008033CC"/>
    <w:rsid w:val="00803787"/>
    <w:rsid w:val="00803835"/>
    <w:rsid w:val="00803B73"/>
    <w:rsid w:val="00803E01"/>
    <w:rsid w:val="0080445A"/>
    <w:rsid w:val="008047E1"/>
    <w:rsid w:val="00804A10"/>
    <w:rsid w:val="00804E65"/>
    <w:rsid w:val="00804EF7"/>
    <w:rsid w:val="00806BBE"/>
    <w:rsid w:val="00810650"/>
    <w:rsid w:val="008106C0"/>
    <w:rsid w:val="0081112E"/>
    <w:rsid w:val="0081180A"/>
    <w:rsid w:val="00811A1B"/>
    <w:rsid w:val="00811C6C"/>
    <w:rsid w:val="00811EF5"/>
    <w:rsid w:val="00812334"/>
    <w:rsid w:val="00812976"/>
    <w:rsid w:val="00812FBF"/>
    <w:rsid w:val="008130F1"/>
    <w:rsid w:val="00813B27"/>
    <w:rsid w:val="0081480A"/>
    <w:rsid w:val="00814F29"/>
    <w:rsid w:val="00814FCB"/>
    <w:rsid w:val="00815282"/>
    <w:rsid w:val="008154D8"/>
    <w:rsid w:val="00815BFF"/>
    <w:rsid w:val="00815D8F"/>
    <w:rsid w:val="00816CCE"/>
    <w:rsid w:val="0081726E"/>
    <w:rsid w:val="0081799C"/>
    <w:rsid w:val="00817FFE"/>
    <w:rsid w:val="00821082"/>
    <w:rsid w:val="00821174"/>
    <w:rsid w:val="008212B7"/>
    <w:rsid w:val="00821DD7"/>
    <w:rsid w:val="00822379"/>
    <w:rsid w:val="008230D3"/>
    <w:rsid w:val="00823993"/>
    <w:rsid w:val="00823C81"/>
    <w:rsid w:val="008248DF"/>
    <w:rsid w:val="00825414"/>
    <w:rsid w:val="00825DA9"/>
    <w:rsid w:val="00826275"/>
    <w:rsid w:val="00826C4D"/>
    <w:rsid w:val="00827433"/>
    <w:rsid w:val="00827638"/>
    <w:rsid w:val="00827832"/>
    <w:rsid w:val="00827CEF"/>
    <w:rsid w:val="00830696"/>
    <w:rsid w:val="00830739"/>
    <w:rsid w:val="008316F3"/>
    <w:rsid w:val="00831D30"/>
    <w:rsid w:val="00831F8F"/>
    <w:rsid w:val="00832CDF"/>
    <w:rsid w:val="00832E0A"/>
    <w:rsid w:val="00833625"/>
    <w:rsid w:val="0083364C"/>
    <w:rsid w:val="008350DE"/>
    <w:rsid w:val="00835CED"/>
    <w:rsid w:val="0083636F"/>
    <w:rsid w:val="0083680B"/>
    <w:rsid w:val="00837990"/>
    <w:rsid w:val="00837B29"/>
    <w:rsid w:val="0084095D"/>
    <w:rsid w:val="00841679"/>
    <w:rsid w:val="00841EBF"/>
    <w:rsid w:val="0084209F"/>
    <w:rsid w:val="00842AAD"/>
    <w:rsid w:val="00842B56"/>
    <w:rsid w:val="00842C35"/>
    <w:rsid w:val="0084314D"/>
    <w:rsid w:val="00844A07"/>
    <w:rsid w:val="008452D8"/>
    <w:rsid w:val="00845E77"/>
    <w:rsid w:val="00847113"/>
    <w:rsid w:val="0085029C"/>
    <w:rsid w:val="0085093C"/>
    <w:rsid w:val="00850E05"/>
    <w:rsid w:val="00850FC9"/>
    <w:rsid w:val="0085111F"/>
    <w:rsid w:val="00852016"/>
    <w:rsid w:val="0085223D"/>
    <w:rsid w:val="00852DFC"/>
    <w:rsid w:val="00853129"/>
    <w:rsid w:val="0085342C"/>
    <w:rsid w:val="0085365D"/>
    <w:rsid w:val="00853B08"/>
    <w:rsid w:val="00853E0B"/>
    <w:rsid w:val="008542BB"/>
    <w:rsid w:val="00854489"/>
    <w:rsid w:val="0085535C"/>
    <w:rsid w:val="00855D96"/>
    <w:rsid w:val="00856C66"/>
    <w:rsid w:val="0085718E"/>
    <w:rsid w:val="008572F3"/>
    <w:rsid w:val="00857857"/>
    <w:rsid w:val="00857C84"/>
    <w:rsid w:val="00857CF2"/>
    <w:rsid w:val="00860329"/>
    <w:rsid w:val="00860714"/>
    <w:rsid w:val="00860787"/>
    <w:rsid w:val="00860B79"/>
    <w:rsid w:val="008612D0"/>
    <w:rsid w:val="008615B8"/>
    <w:rsid w:val="008616FB"/>
    <w:rsid w:val="00861880"/>
    <w:rsid w:val="00861FE1"/>
    <w:rsid w:val="00862FE8"/>
    <w:rsid w:val="00863FC6"/>
    <w:rsid w:val="0086442F"/>
    <w:rsid w:val="00864976"/>
    <w:rsid w:val="00865148"/>
    <w:rsid w:val="008654D2"/>
    <w:rsid w:val="008664CB"/>
    <w:rsid w:val="008672AF"/>
    <w:rsid w:val="0086779A"/>
    <w:rsid w:val="00867C4B"/>
    <w:rsid w:val="008704FF"/>
    <w:rsid w:val="008712D0"/>
    <w:rsid w:val="008728D4"/>
    <w:rsid w:val="00872A68"/>
    <w:rsid w:val="00872F97"/>
    <w:rsid w:val="008735DE"/>
    <w:rsid w:val="00873D3A"/>
    <w:rsid w:val="0087442A"/>
    <w:rsid w:val="008749E1"/>
    <w:rsid w:val="00874B99"/>
    <w:rsid w:val="00874C99"/>
    <w:rsid w:val="00874D80"/>
    <w:rsid w:val="0087579F"/>
    <w:rsid w:val="00876FFA"/>
    <w:rsid w:val="008770EF"/>
    <w:rsid w:val="00877465"/>
    <w:rsid w:val="008774AC"/>
    <w:rsid w:val="0087786D"/>
    <w:rsid w:val="00877889"/>
    <w:rsid w:val="00880BEC"/>
    <w:rsid w:val="008815A3"/>
    <w:rsid w:val="00881A41"/>
    <w:rsid w:val="00882009"/>
    <w:rsid w:val="00883953"/>
    <w:rsid w:val="00883A6F"/>
    <w:rsid w:val="00883B49"/>
    <w:rsid w:val="0088534F"/>
    <w:rsid w:val="0088535E"/>
    <w:rsid w:val="0088578F"/>
    <w:rsid w:val="00885B18"/>
    <w:rsid w:val="00885E12"/>
    <w:rsid w:val="008864F5"/>
    <w:rsid w:val="00886E83"/>
    <w:rsid w:val="00886FFC"/>
    <w:rsid w:val="0088719C"/>
    <w:rsid w:val="00887419"/>
    <w:rsid w:val="00887ECD"/>
    <w:rsid w:val="0089024E"/>
    <w:rsid w:val="008908DD"/>
    <w:rsid w:val="00890A4E"/>
    <w:rsid w:val="00890AE0"/>
    <w:rsid w:val="00892131"/>
    <w:rsid w:val="00892A4B"/>
    <w:rsid w:val="00892CEE"/>
    <w:rsid w:val="00893520"/>
    <w:rsid w:val="008935EF"/>
    <w:rsid w:val="00893764"/>
    <w:rsid w:val="00893E8E"/>
    <w:rsid w:val="00893FD5"/>
    <w:rsid w:val="008943FD"/>
    <w:rsid w:val="00894435"/>
    <w:rsid w:val="00894F56"/>
    <w:rsid w:val="008967EF"/>
    <w:rsid w:val="00897190"/>
    <w:rsid w:val="008A0ABC"/>
    <w:rsid w:val="008A0FE9"/>
    <w:rsid w:val="008A29E6"/>
    <w:rsid w:val="008A3223"/>
    <w:rsid w:val="008A324E"/>
    <w:rsid w:val="008A35CE"/>
    <w:rsid w:val="008A47C1"/>
    <w:rsid w:val="008A4B16"/>
    <w:rsid w:val="008A4E9E"/>
    <w:rsid w:val="008A4F18"/>
    <w:rsid w:val="008A5772"/>
    <w:rsid w:val="008A6691"/>
    <w:rsid w:val="008A6A6C"/>
    <w:rsid w:val="008A6CB8"/>
    <w:rsid w:val="008A79FC"/>
    <w:rsid w:val="008B0063"/>
    <w:rsid w:val="008B0C15"/>
    <w:rsid w:val="008B0D28"/>
    <w:rsid w:val="008B0FC0"/>
    <w:rsid w:val="008B1159"/>
    <w:rsid w:val="008B190A"/>
    <w:rsid w:val="008B1AB3"/>
    <w:rsid w:val="008B33A0"/>
    <w:rsid w:val="008B3CAA"/>
    <w:rsid w:val="008B48A1"/>
    <w:rsid w:val="008B4EFD"/>
    <w:rsid w:val="008B4F6D"/>
    <w:rsid w:val="008B538A"/>
    <w:rsid w:val="008B538B"/>
    <w:rsid w:val="008B541E"/>
    <w:rsid w:val="008B694E"/>
    <w:rsid w:val="008B6CF6"/>
    <w:rsid w:val="008B712E"/>
    <w:rsid w:val="008B71FE"/>
    <w:rsid w:val="008B77F0"/>
    <w:rsid w:val="008B79B8"/>
    <w:rsid w:val="008B7B9C"/>
    <w:rsid w:val="008C2390"/>
    <w:rsid w:val="008C29E7"/>
    <w:rsid w:val="008C3945"/>
    <w:rsid w:val="008C3ABB"/>
    <w:rsid w:val="008C514A"/>
    <w:rsid w:val="008C5725"/>
    <w:rsid w:val="008C5E82"/>
    <w:rsid w:val="008C614C"/>
    <w:rsid w:val="008C654D"/>
    <w:rsid w:val="008D0B01"/>
    <w:rsid w:val="008D0BF0"/>
    <w:rsid w:val="008D0EAD"/>
    <w:rsid w:val="008D1E75"/>
    <w:rsid w:val="008D21C7"/>
    <w:rsid w:val="008D2B50"/>
    <w:rsid w:val="008D2FA0"/>
    <w:rsid w:val="008D3714"/>
    <w:rsid w:val="008D3806"/>
    <w:rsid w:val="008D3A15"/>
    <w:rsid w:val="008D48AF"/>
    <w:rsid w:val="008D4ABC"/>
    <w:rsid w:val="008D524D"/>
    <w:rsid w:val="008D57D5"/>
    <w:rsid w:val="008D5A35"/>
    <w:rsid w:val="008D5DDD"/>
    <w:rsid w:val="008D5F59"/>
    <w:rsid w:val="008D7BA7"/>
    <w:rsid w:val="008D7D0C"/>
    <w:rsid w:val="008D7FEB"/>
    <w:rsid w:val="008E0CCC"/>
    <w:rsid w:val="008E18FA"/>
    <w:rsid w:val="008E2308"/>
    <w:rsid w:val="008E2E5C"/>
    <w:rsid w:val="008E36A2"/>
    <w:rsid w:val="008E48A2"/>
    <w:rsid w:val="008E5191"/>
    <w:rsid w:val="008E5D44"/>
    <w:rsid w:val="008E5D6A"/>
    <w:rsid w:val="008E6354"/>
    <w:rsid w:val="008E64CC"/>
    <w:rsid w:val="008E68BB"/>
    <w:rsid w:val="008E6AAF"/>
    <w:rsid w:val="008E6BBB"/>
    <w:rsid w:val="008E742D"/>
    <w:rsid w:val="008E7E83"/>
    <w:rsid w:val="008F0012"/>
    <w:rsid w:val="008F016A"/>
    <w:rsid w:val="008F028D"/>
    <w:rsid w:val="008F1266"/>
    <w:rsid w:val="008F1B09"/>
    <w:rsid w:val="008F29F3"/>
    <w:rsid w:val="008F3434"/>
    <w:rsid w:val="008F3812"/>
    <w:rsid w:val="008F382B"/>
    <w:rsid w:val="008F44C2"/>
    <w:rsid w:val="008F4617"/>
    <w:rsid w:val="008F491E"/>
    <w:rsid w:val="008F492E"/>
    <w:rsid w:val="008F4A97"/>
    <w:rsid w:val="008F4FC3"/>
    <w:rsid w:val="008F51C3"/>
    <w:rsid w:val="008F5A0D"/>
    <w:rsid w:val="008F5AE4"/>
    <w:rsid w:val="008F5AF4"/>
    <w:rsid w:val="008F5DEF"/>
    <w:rsid w:val="008F610E"/>
    <w:rsid w:val="008F62DE"/>
    <w:rsid w:val="008F65A4"/>
    <w:rsid w:val="008F65C9"/>
    <w:rsid w:val="008F6726"/>
    <w:rsid w:val="008F69B5"/>
    <w:rsid w:val="008F7371"/>
    <w:rsid w:val="00900224"/>
    <w:rsid w:val="00900E03"/>
    <w:rsid w:val="00900FBF"/>
    <w:rsid w:val="00901594"/>
    <w:rsid w:val="00901644"/>
    <w:rsid w:val="00901E60"/>
    <w:rsid w:val="00902D43"/>
    <w:rsid w:val="00902FB7"/>
    <w:rsid w:val="00903428"/>
    <w:rsid w:val="00903BB5"/>
    <w:rsid w:val="00903ECA"/>
    <w:rsid w:val="00903FF5"/>
    <w:rsid w:val="009046CC"/>
    <w:rsid w:val="009047BF"/>
    <w:rsid w:val="00904911"/>
    <w:rsid w:val="00905153"/>
    <w:rsid w:val="00905162"/>
    <w:rsid w:val="00905978"/>
    <w:rsid w:val="009063CB"/>
    <w:rsid w:val="00906817"/>
    <w:rsid w:val="00906C43"/>
    <w:rsid w:val="00906D9E"/>
    <w:rsid w:val="00906DFF"/>
    <w:rsid w:val="00907BD7"/>
    <w:rsid w:val="009105DD"/>
    <w:rsid w:val="00910AD9"/>
    <w:rsid w:val="009118C8"/>
    <w:rsid w:val="009118D7"/>
    <w:rsid w:val="00911D75"/>
    <w:rsid w:val="00911DA8"/>
    <w:rsid w:val="00912AC3"/>
    <w:rsid w:val="00912E12"/>
    <w:rsid w:val="009132F9"/>
    <w:rsid w:val="00913633"/>
    <w:rsid w:val="0091424F"/>
    <w:rsid w:val="009144FD"/>
    <w:rsid w:val="00914BE5"/>
    <w:rsid w:val="00915069"/>
    <w:rsid w:val="0091519E"/>
    <w:rsid w:val="009152F0"/>
    <w:rsid w:val="00915765"/>
    <w:rsid w:val="00916EFF"/>
    <w:rsid w:val="00916FEB"/>
    <w:rsid w:val="009170B5"/>
    <w:rsid w:val="00917829"/>
    <w:rsid w:val="00917AF4"/>
    <w:rsid w:val="00917CF3"/>
    <w:rsid w:val="00920055"/>
    <w:rsid w:val="0092072F"/>
    <w:rsid w:val="009216FA"/>
    <w:rsid w:val="00921A0C"/>
    <w:rsid w:val="00921F95"/>
    <w:rsid w:val="00922BE6"/>
    <w:rsid w:val="009230C7"/>
    <w:rsid w:val="00923716"/>
    <w:rsid w:val="00924012"/>
    <w:rsid w:val="009244DA"/>
    <w:rsid w:val="009253A7"/>
    <w:rsid w:val="00925CF5"/>
    <w:rsid w:val="009262B8"/>
    <w:rsid w:val="00926499"/>
    <w:rsid w:val="00926C8F"/>
    <w:rsid w:val="0093039B"/>
    <w:rsid w:val="009306E9"/>
    <w:rsid w:val="0093142D"/>
    <w:rsid w:val="00931763"/>
    <w:rsid w:val="0093183E"/>
    <w:rsid w:val="00931EFD"/>
    <w:rsid w:val="00931F44"/>
    <w:rsid w:val="00931F78"/>
    <w:rsid w:val="00932079"/>
    <w:rsid w:val="0093249F"/>
    <w:rsid w:val="00932DFA"/>
    <w:rsid w:val="00933405"/>
    <w:rsid w:val="009335C6"/>
    <w:rsid w:val="0093487A"/>
    <w:rsid w:val="00934A2C"/>
    <w:rsid w:val="00934A43"/>
    <w:rsid w:val="009366AE"/>
    <w:rsid w:val="00936A49"/>
    <w:rsid w:val="0093789B"/>
    <w:rsid w:val="00937DB8"/>
    <w:rsid w:val="00937F3D"/>
    <w:rsid w:val="00941302"/>
    <w:rsid w:val="00941648"/>
    <w:rsid w:val="009424DE"/>
    <w:rsid w:val="00942814"/>
    <w:rsid w:val="00942B6E"/>
    <w:rsid w:val="00943123"/>
    <w:rsid w:val="009433C4"/>
    <w:rsid w:val="00943658"/>
    <w:rsid w:val="00943906"/>
    <w:rsid w:val="0094414B"/>
    <w:rsid w:val="009444BF"/>
    <w:rsid w:val="00944E4D"/>
    <w:rsid w:val="009457FC"/>
    <w:rsid w:val="00945C15"/>
    <w:rsid w:val="0094629A"/>
    <w:rsid w:val="00946BCA"/>
    <w:rsid w:val="00947A10"/>
    <w:rsid w:val="00947A67"/>
    <w:rsid w:val="00947BB8"/>
    <w:rsid w:val="009505A1"/>
    <w:rsid w:val="00951504"/>
    <w:rsid w:val="00951C1A"/>
    <w:rsid w:val="009521A7"/>
    <w:rsid w:val="009524FD"/>
    <w:rsid w:val="00952520"/>
    <w:rsid w:val="00952AC0"/>
    <w:rsid w:val="00952DF7"/>
    <w:rsid w:val="00952F53"/>
    <w:rsid w:val="00953295"/>
    <w:rsid w:val="009532BB"/>
    <w:rsid w:val="00953D96"/>
    <w:rsid w:val="00953F46"/>
    <w:rsid w:val="00953F72"/>
    <w:rsid w:val="00954043"/>
    <w:rsid w:val="0095441A"/>
    <w:rsid w:val="009546F8"/>
    <w:rsid w:val="00954CE9"/>
    <w:rsid w:val="00955948"/>
    <w:rsid w:val="0095595D"/>
    <w:rsid w:val="00956046"/>
    <w:rsid w:val="009571F7"/>
    <w:rsid w:val="00957806"/>
    <w:rsid w:val="0096088B"/>
    <w:rsid w:val="00960A1E"/>
    <w:rsid w:val="00960DBF"/>
    <w:rsid w:val="00961CDF"/>
    <w:rsid w:val="00962811"/>
    <w:rsid w:val="009629F1"/>
    <w:rsid w:val="00962D77"/>
    <w:rsid w:val="00963844"/>
    <w:rsid w:val="00964BC0"/>
    <w:rsid w:val="00965995"/>
    <w:rsid w:val="00966297"/>
    <w:rsid w:val="00966361"/>
    <w:rsid w:val="00967056"/>
    <w:rsid w:val="00970E6B"/>
    <w:rsid w:val="00974006"/>
    <w:rsid w:val="009742E4"/>
    <w:rsid w:val="00974C38"/>
    <w:rsid w:val="009757F2"/>
    <w:rsid w:val="00975D97"/>
    <w:rsid w:val="00976F38"/>
    <w:rsid w:val="00977036"/>
    <w:rsid w:val="00977193"/>
    <w:rsid w:val="00980004"/>
    <w:rsid w:val="00980037"/>
    <w:rsid w:val="009809EB"/>
    <w:rsid w:val="00980FEE"/>
    <w:rsid w:val="00981242"/>
    <w:rsid w:val="00982033"/>
    <w:rsid w:val="00982BB1"/>
    <w:rsid w:val="00982E03"/>
    <w:rsid w:val="00983419"/>
    <w:rsid w:val="00984A30"/>
    <w:rsid w:val="00984ABC"/>
    <w:rsid w:val="009857FE"/>
    <w:rsid w:val="00985885"/>
    <w:rsid w:val="00986F95"/>
    <w:rsid w:val="00987420"/>
    <w:rsid w:val="00987745"/>
    <w:rsid w:val="00987934"/>
    <w:rsid w:val="00987CCB"/>
    <w:rsid w:val="00990EC3"/>
    <w:rsid w:val="00990EE2"/>
    <w:rsid w:val="00991A52"/>
    <w:rsid w:val="00991B46"/>
    <w:rsid w:val="009920ED"/>
    <w:rsid w:val="0099233D"/>
    <w:rsid w:val="009934E2"/>
    <w:rsid w:val="00993569"/>
    <w:rsid w:val="00993684"/>
    <w:rsid w:val="0099375F"/>
    <w:rsid w:val="00993DFA"/>
    <w:rsid w:val="00994190"/>
    <w:rsid w:val="00994300"/>
    <w:rsid w:val="009943E6"/>
    <w:rsid w:val="0099449E"/>
    <w:rsid w:val="009945DC"/>
    <w:rsid w:val="009947A2"/>
    <w:rsid w:val="00995367"/>
    <w:rsid w:val="009959E4"/>
    <w:rsid w:val="00995E40"/>
    <w:rsid w:val="009967E3"/>
    <w:rsid w:val="009972A2"/>
    <w:rsid w:val="009A07FB"/>
    <w:rsid w:val="009A0F48"/>
    <w:rsid w:val="009A146C"/>
    <w:rsid w:val="009A14AC"/>
    <w:rsid w:val="009A14B0"/>
    <w:rsid w:val="009A186E"/>
    <w:rsid w:val="009A1A2B"/>
    <w:rsid w:val="009A1A87"/>
    <w:rsid w:val="009A1CCE"/>
    <w:rsid w:val="009A256E"/>
    <w:rsid w:val="009A266F"/>
    <w:rsid w:val="009A337F"/>
    <w:rsid w:val="009A3453"/>
    <w:rsid w:val="009A3D29"/>
    <w:rsid w:val="009A3DE0"/>
    <w:rsid w:val="009A3EF0"/>
    <w:rsid w:val="009A3F5A"/>
    <w:rsid w:val="009A4568"/>
    <w:rsid w:val="009A4577"/>
    <w:rsid w:val="009A4671"/>
    <w:rsid w:val="009A46DD"/>
    <w:rsid w:val="009A50FC"/>
    <w:rsid w:val="009A55C2"/>
    <w:rsid w:val="009A60B0"/>
    <w:rsid w:val="009A6BE8"/>
    <w:rsid w:val="009A724D"/>
    <w:rsid w:val="009A75AD"/>
    <w:rsid w:val="009A76F9"/>
    <w:rsid w:val="009A7717"/>
    <w:rsid w:val="009B0505"/>
    <w:rsid w:val="009B07C2"/>
    <w:rsid w:val="009B0B85"/>
    <w:rsid w:val="009B10D9"/>
    <w:rsid w:val="009B1501"/>
    <w:rsid w:val="009B168F"/>
    <w:rsid w:val="009B1A2E"/>
    <w:rsid w:val="009B2CE6"/>
    <w:rsid w:val="009B2E82"/>
    <w:rsid w:val="009B315C"/>
    <w:rsid w:val="009B3335"/>
    <w:rsid w:val="009B3405"/>
    <w:rsid w:val="009B3A85"/>
    <w:rsid w:val="009B464B"/>
    <w:rsid w:val="009B4CEE"/>
    <w:rsid w:val="009B5534"/>
    <w:rsid w:val="009B5733"/>
    <w:rsid w:val="009C07A4"/>
    <w:rsid w:val="009C0B75"/>
    <w:rsid w:val="009C0DEC"/>
    <w:rsid w:val="009C0E3B"/>
    <w:rsid w:val="009C15D0"/>
    <w:rsid w:val="009C168C"/>
    <w:rsid w:val="009C381B"/>
    <w:rsid w:val="009C3BD4"/>
    <w:rsid w:val="009C3CED"/>
    <w:rsid w:val="009C430C"/>
    <w:rsid w:val="009C4426"/>
    <w:rsid w:val="009C558F"/>
    <w:rsid w:val="009C55B3"/>
    <w:rsid w:val="009C5EC9"/>
    <w:rsid w:val="009C6E9A"/>
    <w:rsid w:val="009C76A4"/>
    <w:rsid w:val="009C7E17"/>
    <w:rsid w:val="009D029F"/>
    <w:rsid w:val="009D096E"/>
    <w:rsid w:val="009D0C71"/>
    <w:rsid w:val="009D0E78"/>
    <w:rsid w:val="009D0FEC"/>
    <w:rsid w:val="009D2215"/>
    <w:rsid w:val="009D2412"/>
    <w:rsid w:val="009D26B0"/>
    <w:rsid w:val="009D2BBA"/>
    <w:rsid w:val="009D37AD"/>
    <w:rsid w:val="009D3D55"/>
    <w:rsid w:val="009D4009"/>
    <w:rsid w:val="009D404F"/>
    <w:rsid w:val="009D43B5"/>
    <w:rsid w:val="009D477D"/>
    <w:rsid w:val="009D4CA0"/>
    <w:rsid w:val="009D5B38"/>
    <w:rsid w:val="009D5D7A"/>
    <w:rsid w:val="009D672F"/>
    <w:rsid w:val="009D6D49"/>
    <w:rsid w:val="009D6DD7"/>
    <w:rsid w:val="009D7892"/>
    <w:rsid w:val="009E0198"/>
    <w:rsid w:val="009E0270"/>
    <w:rsid w:val="009E1479"/>
    <w:rsid w:val="009E190E"/>
    <w:rsid w:val="009E2659"/>
    <w:rsid w:val="009E306E"/>
    <w:rsid w:val="009E414A"/>
    <w:rsid w:val="009E47E2"/>
    <w:rsid w:val="009E5CD3"/>
    <w:rsid w:val="009E5DD8"/>
    <w:rsid w:val="009E72E5"/>
    <w:rsid w:val="009E7BA9"/>
    <w:rsid w:val="009F002C"/>
    <w:rsid w:val="009F09B7"/>
    <w:rsid w:val="009F23C4"/>
    <w:rsid w:val="009F24EA"/>
    <w:rsid w:val="009F252C"/>
    <w:rsid w:val="009F2B14"/>
    <w:rsid w:val="009F3192"/>
    <w:rsid w:val="009F391A"/>
    <w:rsid w:val="009F3BF7"/>
    <w:rsid w:val="009F3CC8"/>
    <w:rsid w:val="009F42A7"/>
    <w:rsid w:val="009F51FA"/>
    <w:rsid w:val="009F520A"/>
    <w:rsid w:val="009F5752"/>
    <w:rsid w:val="009F58ED"/>
    <w:rsid w:val="009F616D"/>
    <w:rsid w:val="009F66F8"/>
    <w:rsid w:val="009F6736"/>
    <w:rsid w:val="009F6D58"/>
    <w:rsid w:val="009F6ECC"/>
    <w:rsid w:val="009F7532"/>
    <w:rsid w:val="009F79D8"/>
    <w:rsid w:val="00A000CF"/>
    <w:rsid w:val="00A00FC5"/>
    <w:rsid w:val="00A01F45"/>
    <w:rsid w:val="00A022F3"/>
    <w:rsid w:val="00A03236"/>
    <w:rsid w:val="00A03A15"/>
    <w:rsid w:val="00A0403E"/>
    <w:rsid w:val="00A0453E"/>
    <w:rsid w:val="00A04C37"/>
    <w:rsid w:val="00A05177"/>
    <w:rsid w:val="00A055BA"/>
    <w:rsid w:val="00A05FD4"/>
    <w:rsid w:val="00A101BB"/>
    <w:rsid w:val="00A10DA7"/>
    <w:rsid w:val="00A1169C"/>
    <w:rsid w:val="00A11C6D"/>
    <w:rsid w:val="00A11CFE"/>
    <w:rsid w:val="00A127B7"/>
    <w:rsid w:val="00A132FA"/>
    <w:rsid w:val="00A1351A"/>
    <w:rsid w:val="00A138DC"/>
    <w:rsid w:val="00A1457B"/>
    <w:rsid w:val="00A1480C"/>
    <w:rsid w:val="00A15245"/>
    <w:rsid w:val="00A15384"/>
    <w:rsid w:val="00A15B27"/>
    <w:rsid w:val="00A15F37"/>
    <w:rsid w:val="00A16B69"/>
    <w:rsid w:val="00A17546"/>
    <w:rsid w:val="00A178D7"/>
    <w:rsid w:val="00A17F1B"/>
    <w:rsid w:val="00A20100"/>
    <w:rsid w:val="00A2086D"/>
    <w:rsid w:val="00A20B6D"/>
    <w:rsid w:val="00A20DFC"/>
    <w:rsid w:val="00A2184F"/>
    <w:rsid w:val="00A21A91"/>
    <w:rsid w:val="00A21AA8"/>
    <w:rsid w:val="00A21C1E"/>
    <w:rsid w:val="00A229E0"/>
    <w:rsid w:val="00A22F26"/>
    <w:rsid w:val="00A233BA"/>
    <w:rsid w:val="00A23414"/>
    <w:rsid w:val="00A23D05"/>
    <w:rsid w:val="00A241C4"/>
    <w:rsid w:val="00A24B39"/>
    <w:rsid w:val="00A25105"/>
    <w:rsid w:val="00A25807"/>
    <w:rsid w:val="00A259E5"/>
    <w:rsid w:val="00A25A46"/>
    <w:rsid w:val="00A25BF6"/>
    <w:rsid w:val="00A2645D"/>
    <w:rsid w:val="00A268D1"/>
    <w:rsid w:val="00A27C59"/>
    <w:rsid w:val="00A27E4B"/>
    <w:rsid w:val="00A27E5A"/>
    <w:rsid w:val="00A305A8"/>
    <w:rsid w:val="00A308F2"/>
    <w:rsid w:val="00A31101"/>
    <w:rsid w:val="00A31B44"/>
    <w:rsid w:val="00A3382C"/>
    <w:rsid w:val="00A346E2"/>
    <w:rsid w:val="00A35C1A"/>
    <w:rsid w:val="00A35C30"/>
    <w:rsid w:val="00A35EC0"/>
    <w:rsid w:val="00A3615B"/>
    <w:rsid w:val="00A3625B"/>
    <w:rsid w:val="00A36E96"/>
    <w:rsid w:val="00A37317"/>
    <w:rsid w:val="00A37550"/>
    <w:rsid w:val="00A37673"/>
    <w:rsid w:val="00A37751"/>
    <w:rsid w:val="00A37903"/>
    <w:rsid w:val="00A379F2"/>
    <w:rsid w:val="00A4046E"/>
    <w:rsid w:val="00A405B6"/>
    <w:rsid w:val="00A40997"/>
    <w:rsid w:val="00A40DDB"/>
    <w:rsid w:val="00A41046"/>
    <w:rsid w:val="00A4155C"/>
    <w:rsid w:val="00A41797"/>
    <w:rsid w:val="00A423C1"/>
    <w:rsid w:val="00A4397A"/>
    <w:rsid w:val="00A43B3B"/>
    <w:rsid w:val="00A44169"/>
    <w:rsid w:val="00A44D8E"/>
    <w:rsid w:val="00A45323"/>
    <w:rsid w:val="00A45BBA"/>
    <w:rsid w:val="00A45CFE"/>
    <w:rsid w:val="00A4725D"/>
    <w:rsid w:val="00A4795B"/>
    <w:rsid w:val="00A47DB4"/>
    <w:rsid w:val="00A50610"/>
    <w:rsid w:val="00A51698"/>
    <w:rsid w:val="00A51A60"/>
    <w:rsid w:val="00A522AE"/>
    <w:rsid w:val="00A523C6"/>
    <w:rsid w:val="00A52DED"/>
    <w:rsid w:val="00A53807"/>
    <w:rsid w:val="00A539DD"/>
    <w:rsid w:val="00A54123"/>
    <w:rsid w:val="00A54EDF"/>
    <w:rsid w:val="00A55218"/>
    <w:rsid w:val="00A55809"/>
    <w:rsid w:val="00A55AAD"/>
    <w:rsid w:val="00A55B61"/>
    <w:rsid w:val="00A562EF"/>
    <w:rsid w:val="00A564A7"/>
    <w:rsid w:val="00A564D5"/>
    <w:rsid w:val="00A56D16"/>
    <w:rsid w:val="00A56DE8"/>
    <w:rsid w:val="00A60411"/>
    <w:rsid w:val="00A605EA"/>
    <w:rsid w:val="00A60FE4"/>
    <w:rsid w:val="00A61411"/>
    <w:rsid w:val="00A61F55"/>
    <w:rsid w:val="00A62039"/>
    <w:rsid w:val="00A62122"/>
    <w:rsid w:val="00A6276D"/>
    <w:rsid w:val="00A62D02"/>
    <w:rsid w:val="00A63149"/>
    <w:rsid w:val="00A63571"/>
    <w:rsid w:val="00A640A7"/>
    <w:rsid w:val="00A64F54"/>
    <w:rsid w:val="00A652E7"/>
    <w:rsid w:val="00A6538C"/>
    <w:rsid w:val="00A6593C"/>
    <w:rsid w:val="00A65984"/>
    <w:rsid w:val="00A66211"/>
    <w:rsid w:val="00A66A8E"/>
    <w:rsid w:val="00A66F95"/>
    <w:rsid w:val="00A6702E"/>
    <w:rsid w:val="00A67905"/>
    <w:rsid w:val="00A67B92"/>
    <w:rsid w:val="00A70774"/>
    <w:rsid w:val="00A70D7D"/>
    <w:rsid w:val="00A71386"/>
    <w:rsid w:val="00A71ED4"/>
    <w:rsid w:val="00A7201F"/>
    <w:rsid w:val="00A72118"/>
    <w:rsid w:val="00A7237B"/>
    <w:rsid w:val="00A72755"/>
    <w:rsid w:val="00A72E4D"/>
    <w:rsid w:val="00A730A9"/>
    <w:rsid w:val="00A7316E"/>
    <w:rsid w:val="00A73564"/>
    <w:rsid w:val="00A7369E"/>
    <w:rsid w:val="00A73EF9"/>
    <w:rsid w:val="00A7402A"/>
    <w:rsid w:val="00A74395"/>
    <w:rsid w:val="00A743EB"/>
    <w:rsid w:val="00A7467C"/>
    <w:rsid w:val="00A746A8"/>
    <w:rsid w:val="00A751D4"/>
    <w:rsid w:val="00A75B4F"/>
    <w:rsid w:val="00A80598"/>
    <w:rsid w:val="00A81349"/>
    <w:rsid w:val="00A8135D"/>
    <w:rsid w:val="00A814AF"/>
    <w:rsid w:val="00A81534"/>
    <w:rsid w:val="00A81EE1"/>
    <w:rsid w:val="00A82348"/>
    <w:rsid w:val="00A827DD"/>
    <w:rsid w:val="00A837C6"/>
    <w:rsid w:val="00A83808"/>
    <w:rsid w:val="00A84553"/>
    <w:rsid w:val="00A846F7"/>
    <w:rsid w:val="00A84970"/>
    <w:rsid w:val="00A84C42"/>
    <w:rsid w:val="00A85EAC"/>
    <w:rsid w:val="00A85FEF"/>
    <w:rsid w:val="00A8608C"/>
    <w:rsid w:val="00A86344"/>
    <w:rsid w:val="00A86676"/>
    <w:rsid w:val="00A8698E"/>
    <w:rsid w:val="00A8742F"/>
    <w:rsid w:val="00A877DF"/>
    <w:rsid w:val="00A90164"/>
    <w:rsid w:val="00A90885"/>
    <w:rsid w:val="00A90F93"/>
    <w:rsid w:val="00A91080"/>
    <w:rsid w:val="00A9208C"/>
    <w:rsid w:val="00A92D03"/>
    <w:rsid w:val="00A92D1E"/>
    <w:rsid w:val="00A93F07"/>
    <w:rsid w:val="00A94204"/>
    <w:rsid w:val="00A946D8"/>
    <w:rsid w:val="00A950DB"/>
    <w:rsid w:val="00A95817"/>
    <w:rsid w:val="00A95C7B"/>
    <w:rsid w:val="00A963AD"/>
    <w:rsid w:val="00A9677E"/>
    <w:rsid w:val="00A96AD1"/>
    <w:rsid w:val="00A96FD9"/>
    <w:rsid w:val="00A975ED"/>
    <w:rsid w:val="00AA026D"/>
    <w:rsid w:val="00AA1228"/>
    <w:rsid w:val="00AA1448"/>
    <w:rsid w:val="00AA1485"/>
    <w:rsid w:val="00AA15E7"/>
    <w:rsid w:val="00AA1B29"/>
    <w:rsid w:val="00AA1BE9"/>
    <w:rsid w:val="00AA266A"/>
    <w:rsid w:val="00AA2D0B"/>
    <w:rsid w:val="00AA3926"/>
    <w:rsid w:val="00AA3EF8"/>
    <w:rsid w:val="00AA4039"/>
    <w:rsid w:val="00AA4108"/>
    <w:rsid w:val="00AA44FE"/>
    <w:rsid w:val="00AA4AFF"/>
    <w:rsid w:val="00AA5C8C"/>
    <w:rsid w:val="00AA61CF"/>
    <w:rsid w:val="00AA6246"/>
    <w:rsid w:val="00AA761E"/>
    <w:rsid w:val="00AA76BF"/>
    <w:rsid w:val="00AA799A"/>
    <w:rsid w:val="00AB03CE"/>
    <w:rsid w:val="00AB0C97"/>
    <w:rsid w:val="00AB0ED1"/>
    <w:rsid w:val="00AB168A"/>
    <w:rsid w:val="00AB18E4"/>
    <w:rsid w:val="00AB2FB8"/>
    <w:rsid w:val="00AB31D9"/>
    <w:rsid w:val="00AB3397"/>
    <w:rsid w:val="00AB3DB7"/>
    <w:rsid w:val="00AB4342"/>
    <w:rsid w:val="00AB43E6"/>
    <w:rsid w:val="00AB5FFA"/>
    <w:rsid w:val="00AB77AD"/>
    <w:rsid w:val="00AB7B04"/>
    <w:rsid w:val="00AC0515"/>
    <w:rsid w:val="00AC05FF"/>
    <w:rsid w:val="00AC09D2"/>
    <w:rsid w:val="00AC2D3E"/>
    <w:rsid w:val="00AC3581"/>
    <w:rsid w:val="00AC381E"/>
    <w:rsid w:val="00AC3EB9"/>
    <w:rsid w:val="00AC4BD8"/>
    <w:rsid w:val="00AC505E"/>
    <w:rsid w:val="00AC6157"/>
    <w:rsid w:val="00AC6BD4"/>
    <w:rsid w:val="00AC74DB"/>
    <w:rsid w:val="00AC7E14"/>
    <w:rsid w:val="00AD05E7"/>
    <w:rsid w:val="00AD101C"/>
    <w:rsid w:val="00AD1E5D"/>
    <w:rsid w:val="00AD2CBC"/>
    <w:rsid w:val="00AD32BA"/>
    <w:rsid w:val="00AD3417"/>
    <w:rsid w:val="00AD36E9"/>
    <w:rsid w:val="00AD50D7"/>
    <w:rsid w:val="00AD543A"/>
    <w:rsid w:val="00AD5D51"/>
    <w:rsid w:val="00AD61BD"/>
    <w:rsid w:val="00AD67FD"/>
    <w:rsid w:val="00AD698E"/>
    <w:rsid w:val="00AD6AF5"/>
    <w:rsid w:val="00AD6B88"/>
    <w:rsid w:val="00AD729C"/>
    <w:rsid w:val="00AD7357"/>
    <w:rsid w:val="00AD7391"/>
    <w:rsid w:val="00AD76C4"/>
    <w:rsid w:val="00AD7BD7"/>
    <w:rsid w:val="00AE0F90"/>
    <w:rsid w:val="00AE121E"/>
    <w:rsid w:val="00AE1648"/>
    <w:rsid w:val="00AE1840"/>
    <w:rsid w:val="00AE19A7"/>
    <w:rsid w:val="00AE1A47"/>
    <w:rsid w:val="00AE1ABF"/>
    <w:rsid w:val="00AE2963"/>
    <w:rsid w:val="00AE2CBC"/>
    <w:rsid w:val="00AE2FC6"/>
    <w:rsid w:val="00AE353E"/>
    <w:rsid w:val="00AE3792"/>
    <w:rsid w:val="00AE3D8D"/>
    <w:rsid w:val="00AE3DC2"/>
    <w:rsid w:val="00AE3F0E"/>
    <w:rsid w:val="00AE4961"/>
    <w:rsid w:val="00AE5939"/>
    <w:rsid w:val="00AE5EA5"/>
    <w:rsid w:val="00AE68DD"/>
    <w:rsid w:val="00AE6EE6"/>
    <w:rsid w:val="00AE79BB"/>
    <w:rsid w:val="00AE7B50"/>
    <w:rsid w:val="00AF0346"/>
    <w:rsid w:val="00AF0778"/>
    <w:rsid w:val="00AF0814"/>
    <w:rsid w:val="00AF0C82"/>
    <w:rsid w:val="00AF0C93"/>
    <w:rsid w:val="00AF2606"/>
    <w:rsid w:val="00AF2E09"/>
    <w:rsid w:val="00AF3365"/>
    <w:rsid w:val="00AF399D"/>
    <w:rsid w:val="00AF3A8D"/>
    <w:rsid w:val="00AF3D78"/>
    <w:rsid w:val="00AF4165"/>
    <w:rsid w:val="00AF4433"/>
    <w:rsid w:val="00AF473C"/>
    <w:rsid w:val="00AF4BDC"/>
    <w:rsid w:val="00AF4CF0"/>
    <w:rsid w:val="00AF4EA1"/>
    <w:rsid w:val="00AF4F53"/>
    <w:rsid w:val="00AF52F0"/>
    <w:rsid w:val="00AF5B31"/>
    <w:rsid w:val="00AF63A0"/>
    <w:rsid w:val="00AF6A52"/>
    <w:rsid w:val="00AF6C90"/>
    <w:rsid w:val="00AF7501"/>
    <w:rsid w:val="00AF7829"/>
    <w:rsid w:val="00AF7E98"/>
    <w:rsid w:val="00B0094E"/>
    <w:rsid w:val="00B013AD"/>
    <w:rsid w:val="00B01AE5"/>
    <w:rsid w:val="00B0217F"/>
    <w:rsid w:val="00B022F4"/>
    <w:rsid w:val="00B02751"/>
    <w:rsid w:val="00B028FA"/>
    <w:rsid w:val="00B03441"/>
    <w:rsid w:val="00B04C31"/>
    <w:rsid w:val="00B04F92"/>
    <w:rsid w:val="00B04FBD"/>
    <w:rsid w:val="00B05202"/>
    <w:rsid w:val="00B05F0D"/>
    <w:rsid w:val="00B063E0"/>
    <w:rsid w:val="00B1077E"/>
    <w:rsid w:val="00B107B0"/>
    <w:rsid w:val="00B110AD"/>
    <w:rsid w:val="00B110CF"/>
    <w:rsid w:val="00B1238E"/>
    <w:rsid w:val="00B1255A"/>
    <w:rsid w:val="00B128F0"/>
    <w:rsid w:val="00B13124"/>
    <w:rsid w:val="00B136A6"/>
    <w:rsid w:val="00B14483"/>
    <w:rsid w:val="00B1463F"/>
    <w:rsid w:val="00B148CC"/>
    <w:rsid w:val="00B150C5"/>
    <w:rsid w:val="00B159CB"/>
    <w:rsid w:val="00B15E72"/>
    <w:rsid w:val="00B16E35"/>
    <w:rsid w:val="00B17FA5"/>
    <w:rsid w:val="00B17FDC"/>
    <w:rsid w:val="00B20AB0"/>
    <w:rsid w:val="00B21292"/>
    <w:rsid w:val="00B21670"/>
    <w:rsid w:val="00B219DD"/>
    <w:rsid w:val="00B22044"/>
    <w:rsid w:val="00B22BC9"/>
    <w:rsid w:val="00B22C2B"/>
    <w:rsid w:val="00B22DA1"/>
    <w:rsid w:val="00B22EF1"/>
    <w:rsid w:val="00B249D6"/>
    <w:rsid w:val="00B24A83"/>
    <w:rsid w:val="00B24AD6"/>
    <w:rsid w:val="00B24B91"/>
    <w:rsid w:val="00B24DF5"/>
    <w:rsid w:val="00B25AE8"/>
    <w:rsid w:val="00B26CB6"/>
    <w:rsid w:val="00B26F7C"/>
    <w:rsid w:val="00B30B22"/>
    <w:rsid w:val="00B317B8"/>
    <w:rsid w:val="00B33A23"/>
    <w:rsid w:val="00B33ECF"/>
    <w:rsid w:val="00B34741"/>
    <w:rsid w:val="00B34BB3"/>
    <w:rsid w:val="00B35848"/>
    <w:rsid w:val="00B35C23"/>
    <w:rsid w:val="00B363AB"/>
    <w:rsid w:val="00B36DAC"/>
    <w:rsid w:val="00B36F50"/>
    <w:rsid w:val="00B40536"/>
    <w:rsid w:val="00B40663"/>
    <w:rsid w:val="00B41083"/>
    <w:rsid w:val="00B410BA"/>
    <w:rsid w:val="00B41DBD"/>
    <w:rsid w:val="00B41F31"/>
    <w:rsid w:val="00B421CF"/>
    <w:rsid w:val="00B43C2A"/>
    <w:rsid w:val="00B45112"/>
    <w:rsid w:val="00B4580B"/>
    <w:rsid w:val="00B45834"/>
    <w:rsid w:val="00B45CF6"/>
    <w:rsid w:val="00B4618F"/>
    <w:rsid w:val="00B46636"/>
    <w:rsid w:val="00B46DD9"/>
    <w:rsid w:val="00B47095"/>
    <w:rsid w:val="00B47641"/>
    <w:rsid w:val="00B50B79"/>
    <w:rsid w:val="00B51AC8"/>
    <w:rsid w:val="00B52266"/>
    <w:rsid w:val="00B526BC"/>
    <w:rsid w:val="00B52A22"/>
    <w:rsid w:val="00B52C38"/>
    <w:rsid w:val="00B531B0"/>
    <w:rsid w:val="00B53824"/>
    <w:rsid w:val="00B53CB1"/>
    <w:rsid w:val="00B543A6"/>
    <w:rsid w:val="00B54A5E"/>
    <w:rsid w:val="00B551BA"/>
    <w:rsid w:val="00B5566F"/>
    <w:rsid w:val="00B5590C"/>
    <w:rsid w:val="00B55FCD"/>
    <w:rsid w:val="00B56280"/>
    <w:rsid w:val="00B56752"/>
    <w:rsid w:val="00B56778"/>
    <w:rsid w:val="00B574D7"/>
    <w:rsid w:val="00B57EFA"/>
    <w:rsid w:val="00B60ECD"/>
    <w:rsid w:val="00B60EE0"/>
    <w:rsid w:val="00B611DF"/>
    <w:rsid w:val="00B612C4"/>
    <w:rsid w:val="00B612C5"/>
    <w:rsid w:val="00B6179C"/>
    <w:rsid w:val="00B61A5A"/>
    <w:rsid w:val="00B61BAA"/>
    <w:rsid w:val="00B6249F"/>
    <w:rsid w:val="00B626A2"/>
    <w:rsid w:val="00B62BB4"/>
    <w:rsid w:val="00B6308C"/>
    <w:rsid w:val="00B63588"/>
    <w:rsid w:val="00B6384B"/>
    <w:rsid w:val="00B63B9C"/>
    <w:rsid w:val="00B6491B"/>
    <w:rsid w:val="00B64C78"/>
    <w:rsid w:val="00B66096"/>
    <w:rsid w:val="00B6661C"/>
    <w:rsid w:val="00B676D4"/>
    <w:rsid w:val="00B707AA"/>
    <w:rsid w:val="00B7169E"/>
    <w:rsid w:val="00B71B0C"/>
    <w:rsid w:val="00B71B21"/>
    <w:rsid w:val="00B71FDE"/>
    <w:rsid w:val="00B72C3E"/>
    <w:rsid w:val="00B73757"/>
    <w:rsid w:val="00B73B06"/>
    <w:rsid w:val="00B74D66"/>
    <w:rsid w:val="00B74E4C"/>
    <w:rsid w:val="00B74FBC"/>
    <w:rsid w:val="00B752DE"/>
    <w:rsid w:val="00B767CB"/>
    <w:rsid w:val="00B76C57"/>
    <w:rsid w:val="00B77B94"/>
    <w:rsid w:val="00B8023F"/>
    <w:rsid w:val="00B80543"/>
    <w:rsid w:val="00B81149"/>
    <w:rsid w:val="00B81CA0"/>
    <w:rsid w:val="00B821F6"/>
    <w:rsid w:val="00B824D6"/>
    <w:rsid w:val="00B82650"/>
    <w:rsid w:val="00B8283D"/>
    <w:rsid w:val="00B83C63"/>
    <w:rsid w:val="00B841EF"/>
    <w:rsid w:val="00B849B7"/>
    <w:rsid w:val="00B84D53"/>
    <w:rsid w:val="00B85722"/>
    <w:rsid w:val="00B86E31"/>
    <w:rsid w:val="00B87701"/>
    <w:rsid w:val="00B90530"/>
    <w:rsid w:val="00B90BB4"/>
    <w:rsid w:val="00B90D52"/>
    <w:rsid w:val="00B90D6A"/>
    <w:rsid w:val="00B91A6B"/>
    <w:rsid w:val="00B91F87"/>
    <w:rsid w:val="00B923F1"/>
    <w:rsid w:val="00B927E3"/>
    <w:rsid w:val="00B92BC0"/>
    <w:rsid w:val="00B92CB3"/>
    <w:rsid w:val="00B92FB2"/>
    <w:rsid w:val="00B935B0"/>
    <w:rsid w:val="00B938EA"/>
    <w:rsid w:val="00B93BCB"/>
    <w:rsid w:val="00B9448D"/>
    <w:rsid w:val="00B9457F"/>
    <w:rsid w:val="00B9460E"/>
    <w:rsid w:val="00B94653"/>
    <w:rsid w:val="00B95021"/>
    <w:rsid w:val="00B95165"/>
    <w:rsid w:val="00B95685"/>
    <w:rsid w:val="00B97476"/>
    <w:rsid w:val="00B9748D"/>
    <w:rsid w:val="00B97636"/>
    <w:rsid w:val="00BA0044"/>
    <w:rsid w:val="00BA340C"/>
    <w:rsid w:val="00BA365F"/>
    <w:rsid w:val="00BA413F"/>
    <w:rsid w:val="00BA42E0"/>
    <w:rsid w:val="00BA4E33"/>
    <w:rsid w:val="00BA4E4F"/>
    <w:rsid w:val="00BA4F24"/>
    <w:rsid w:val="00BA4F2F"/>
    <w:rsid w:val="00BA55CC"/>
    <w:rsid w:val="00BA5769"/>
    <w:rsid w:val="00BA59E5"/>
    <w:rsid w:val="00BA5CDD"/>
    <w:rsid w:val="00BA63BE"/>
    <w:rsid w:val="00BA64FF"/>
    <w:rsid w:val="00BA6CC3"/>
    <w:rsid w:val="00BA70A5"/>
    <w:rsid w:val="00BA7992"/>
    <w:rsid w:val="00BA7BCB"/>
    <w:rsid w:val="00BA7CF4"/>
    <w:rsid w:val="00BA7DFD"/>
    <w:rsid w:val="00BB007D"/>
    <w:rsid w:val="00BB0597"/>
    <w:rsid w:val="00BB06E0"/>
    <w:rsid w:val="00BB0919"/>
    <w:rsid w:val="00BB0AB6"/>
    <w:rsid w:val="00BB0F49"/>
    <w:rsid w:val="00BB1CE9"/>
    <w:rsid w:val="00BB234C"/>
    <w:rsid w:val="00BB2EF4"/>
    <w:rsid w:val="00BB2F74"/>
    <w:rsid w:val="00BB31EC"/>
    <w:rsid w:val="00BB33B1"/>
    <w:rsid w:val="00BB4827"/>
    <w:rsid w:val="00BB49C8"/>
    <w:rsid w:val="00BB5015"/>
    <w:rsid w:val="00BB524C"/>
    <w:rsid w:val="00BB5520"/>
    <w:rsid w:val="00BB5544"/>
    <w:rsid w:val="00BB5DBF"/>
    <w:rsid w:val="00BB6D40"/>
    <w:rsid w:val="00BB6D4D"/>
    <w:rsid w:val="00BB7B7E"/>
    <w:rsid w:val="00BB7FBB"/>
    <w:rsid w:val="00BC0F71"/>
    <w:rsid w:val="00BC14A2"/>
    <w:rsid w:val="00BC1BA3"/>
    <w:rsid w:val="00BC1FF0"/>
    <w:rsid w:val="00BC24A2"/>
    <w:rsid w:val="00BC2689"/>
    <w:rsid w:val="00BC2FBD"/>
    <w:rsid w:val="00BC35CC"/>
    <w:rsid w:val="00BC3700"/>
    <w:rsid w:val="00BC383A"/>
    <w:rsid w:val="00BC4470"/>
    <w:rsid w:val="00BC5697"/>
    <w:rsid w:val="00BC5A4B"/>
    <w:rsid w:val="00BC6344"/>
    <w:rsid w:val="00BC63DD"/>
    <w:rsid w:val="00BC725E"/>
    <w:rsid w:val="00BC75D4"/>
    <w:rsid w:val="00BC7E6D"/>
    <w:rsid w:val="00BD0183"/>
    <w:rsid w:val="00BD056B"/>
    <w:rsid w:val="00BD07BF"/>
    <w:rsid w:val="00BD07EE"/>
    <w:rsid w:val="00BD0F65"/>
    <w:rsid w:val="00BD1159"/>
    <w:rsid w:val="00BD1E20"/>
    <w:rsid w:val="00BD2277"/>
    <w:rsid w:val="00BD33BC"/>
    <w:rsid w:val="00BD37E9"/>
    <w:rsid w:val="00BD41C5"/>
    <w:rsid w:val="00BD4A34"/>
    <w:rsid w:val="00BD4C2C"/>
    <w:rsid w:val="00BD4CAF"/>
    <w:rsid w:val="00BD4CDF"/>
    <w:rsid w:val="00BD4ECF"/>
    <w:rsid w:val="00BD4ED5"/>
    <w:rsid w:val="00BD4F20"/>
    <w:rsid w:val="00BD5D45"/>
    <w:rsid w:val="00BD5F17"/>
    <w:rsid w:val="00BD6278"/>
    <w:rsid w:val="00BD6E8D"/>
    <w:rsid w:val="00BD7137"/>
    <w:rsid w:val="00BD7201"/>
    <w:rsid w:val="00BD773A"/>
    <w:rsid w:val="00BD7763"/>
    <w:rsid w:val="00BE0942"/>
    <w:rsid w:val="00BE0C62"/>
    <w:rsid w:val="00BE0D4E"/>
    <w:rsid w:val="00BE22C4"/>
    <w:rsid w:val="00BE2FF4"/>
    <w:rsid w:val="00BE309F"/>
    <w:rsid w:val="00BE31CA"/>
    <w:rsid w:val="00BE32E1"/>
    <w:rsid w:val="00BE35BA"/>
    <w:rsid w:val="00BE51F5"/>
    <w:rsid w:val="00BE56E9"/>
    <w:rsid w:val="00BE5708"/>
    <w:rsid w:val="00BE6F63"/>
    <w:rsid w:val="00BE716A"/>
    <w:rsid w:val="00BE7570"/>
    <w:rsid w:val="00BE7A98"/>
    <w:rsid w:val="00BF025E"/>
    <w:rsid w:val="00BF0454"/>
    <w:rsid w:val="00BF0487"/>
    <w:rsid w:val="00BF0F5A"/>
    <w:rsid w:val="00BF14B3"/>
    <w:rsid w:val="00BF15BF"/>
    <w:rsid w:val="00BF2078"/>
    <w:rsid w:val="00BF2550"/>
    <w:rsid w:val="00BF2F18"/>
    <w:rsid w:val="00BF309B"/>
    <w:rsid w:val="00BF3462"/>
    <w:rsid w:val="00BF3520"/>
    <w:rsid w:val="00BF365A"/>
    <w:rsid w:val="00BF36DF"/>
    <w:rsid w:val="00BF395A"/>
    <w:rsid w:val="00BF3E70"/>
    <w:rsid w:val="00BF45D8"/>
    <w:rsid w:val="00BF491D"/>
    <w:rsid w:val="00BF4BFC"/>
    <w:rsid w:val="00BF4D19"/>
    <w:rsid w:val="00BF5106"/>
    <w:rsid w:val="00BF56B9"/>
    <w:rsid w:val="00BF58CF"/>
    <w:rsid w:val="00BF62C1"/>
    <w:rsid w:val="00BF6527"/>
    <w:rsid w:val="00BF666E"/>
    <w:rsid w:val="00BF67C7"/>
    <w:rsid w:val="00BF79B1"/>
    <w:rsid w:val="00BF7DA8"/>
    <w:rsid w:val="00C0064B"/>
    <w:rsid w:val="00C016BC"/>
    <w:rsid w:val="00C01D1F"/>
    <w:rsid w:val="00C023EA"/>
    <w:rsid w:val="00C02564"/>
    <w:rsid w:val="00C029DC"/>
    <w:rsid w:val="00C0365E"/>
    <w:rsid w:val="00C03A3F"/>
    <w:rsid w:val="00C04673"/>
    <w:rsid w:val="00C0649D"/>
    <w:rsid w:val="00C06AEB"/>
    <w:rsid w:val="00C06B65"/>
    <w:rsid w:val="00C0786F"/>
    <w:rsid w:val="00C07C0E"/>
    <w:rsid w:val="00C10A70"/>
    <w:rsid w:val="00C10E95"/>
    <w:rsid w:val="00C11483"/>
    <w:rsid w:val="00C11534"/>
    <w:rsid w:val="00C11EF5"/>
    <w:rsid w:val="00C12944"/>
    <w:rsid w:val="00C12D87"/>
    <w:rsid w:val="00C12E31"/>
    <w:rsid w:val="00C14441"/>
    <w:rsid w:val="00C14AA7"/>
    <w:rsid w:val="00C14E91"/>
    <w:rsid w:val="00C15165"/>
    <w:rsid w:val="00C15818"/>
    <w:rsid w:val="00C15D2D"/>
    <w:rsid w:val="00C15E7D"/>
    <w:rsid w:val="00C16114"/>
    <w:rsid w:val="00C16395"/>
    <w:rsid w:val="00C16D86"/>
    <w:rsid w:val="00C17282"/>
    <w:rsid w:val="00C17444"/>
    <w:rsid w:val="00C17D91"/>
    <w:rsid w:val="00C17E9D"/>
    <w:rsid w:val="00C209FC"/>
    <w:rsid w:val="00C20C0B"/>
    <w:rsid w:val="00C213C2"/>
    <w:rsid w:val="00C21BD9"/>
    <w:rsid w:val="00C21D4A"/>
    <w:rsid w:val="00C2326F"/>
    <w:rsid w:val="00C23D73"/>
    <w:rsid w:val="00C2486C"/>
    <w:rsid w:val="00C24912"/>
    <w:rsid w:val="00C2499E"/>
    <w:rsid w:val="00C25252"/>
    <w:rsid w:val="00C25373"/>
    <w:rsid w:val="00C25405"/>
    <w:rsid w:val="00C25CA1"/>
    <w:rsid w:val="00C25D1B"/>
    <w:rsid w:val="00C26591"/>
    <w:rsid w:val="00C26758"/>
    <w:rsid w:val="00C26A9D"/>
    <w:rsid w:val="00C26FEC"/>
    <w:rsid w:val="00C270B2"/>
    <w:rsid w:val="00C27CA7"/>
    <w:rsid w:val="00C27E28"/>
    <w:rsid w:val="00C27F89"/>
    <w:rsid w:val="00C31156"/>
    <w:rsid w:val="00C311A7"/>
    <w:rsid w:val="00C31217"/>
    <w:rsid w:val="00C326CE"/>
    <w:rsid w:val="00C32E3C"/>
    <w:rsid w:val="00C33146"/>
    <w:rsid w:val="00C33376"/>
    <w:rsid w:val="00C336D3"/>
    <w:rsid w:val="00C337E1"/>
    <w:rsid w:val="00C33A79"/>
    <w:rsid w:val="00C3438C"/>
    <w:rsid w:val="00C34527"/>
    <w:rsid w:val="00C35A4D"/>
    <w:rsid w:val="00C36F9E"/>
    <w:rsid w:val="00C40761"/>
    <w:rsid w:val="00C40789"/>
    <w:rsid w:val="00C413E6"/>
    <w:rsid w:val="00C41FFD"/>
    <w:rsid w:val="00C42134"/>
    <w:rsid w:val="00C42AFE"/>
    <w:rsid w:val="00C42CB4"/>
    <w:rsid w:val="00C42E16"/>
    <w:rsid w:val="00C4323B"/>
    <w:rsid w:val="00C43691"/>
    <w:rsid w:val="00C43A98"/>
    <w:rsid w:val="00C44395"/>
    <w:rsid w:val="00C4466C"/>
    <w:rsid w:val="00C45309"/>
    <w:rsid w:val="00C469C3"/>
    <w:rsid w:val="00C46B30"/>
    <w:rsid w:val="00C477C0"/>
    <w:rsid w:val="00C47B94"/>
    <w:rsid w:val="00C47C69"/>
    <w:rsid w:val="00C506AE"/>
    <w:rsid w:val="00C506DF"/>
    <w:rsid w:val="00C50FAA"/>
    <w:rsid w:val="00C5198E"/>
    <w:rsid w:val="00C51A34"/>
    <w:rsid w:val="00C51C9C"/>
    <w:rsid w:val="00C51DAA"/>
    <w:rsid w:val="00C52BF5"/>
    <w:rsid w:val="00C55176"/>
    <w:rsid w:val="00C55585"/>
    <w:rsid w:val="00C55FC0"/>
    <w:rsid w:val="00C57131"/>
    <w:rsid w:val="00C572F1"/>
    <w:rsid w:val="00C5757D"/>
    <w:rsid w:val="00C60524"/>
    <w:rsid w:val="00C6110C"/>
    <w:rsid w:val="00C61E48"/>
    <w:rsid w:val="00C623B9"/>
    <w:rsid w:val="00C625CE"/>
    <w:rsid w:val="00C635C8"/>
    <w:rsid w:val="00C63EC9"/>
    <w:rsid w:val="00C64480"/>
    <w:rsid w:val="00C65562"/>
    <w:rsid w:val="00C65946"/>
    <w:rsid w:val="00C662AC"/>
    <w:rsid w:val="00C66828"/>
    <w:rsid w:val="00C671BE"/>
    <w:rsid w:val="00C6783D"/>
    <w:rsid w:val="00C67C64"/>
    <w:rsid w:val="00C67C7A"/>
    <w:rsid w:val="00C70339"/>
    <w:rsid w:val="00C70A46"/>
    <w:rsid w:val="00C71F34"/>
    <w:rsid w:val="00C7258F"/>
    <w:rsid w:val="00C72724"/>
    <w:rsid w:val="00C72E36"/>
    <w:rsid w:val="00C736C3"/>
    <w:rsid w:val="00C736D3"/>
    <w:rsid w:val="00C73838"/>
    <w:rsid w:val="00C73888"/>
    <w:rsid w:val="00C740C8"/>
    <w:rsid w:val="00C74542"/>
    <w:rsid w:val="00C7500A"/>
    <w:rsid w:val="00C75EC6"/>
    <w:rsid w:val="00C760A0"/>
    <w:rsid w:val="00C76713"/>
    <w:rsid w:val="00C7743C"/>
    <w:rsid w:val="00C77595"/>
    <w:rsid w:val="00C7768B"/>
    <w:rsid w:val="00C77740"/>
    <w:rsid w:val="00C77CBD"/>
    <w:rsid w:val="00C80420"/>
    <w:rsid w:val="00C81BB4"/>
    <w:rsid w:val="00C823A0"/>
    <w:rsid w:val="00C82AE9"/>
    <w:rsid w:val="00C82D58"/>
    <w:rsid w:val="00C83025"/>
    <w:rsid w:val="00C83102"/>
    <w:rsid w:val="00C8332C"/>
    <w:rsid w:val="00C83F69"/>
    <w:rsid w:val="00C847BE"/>
    <w:rsid w:val="00C85A94"/>
    <w:rsid w:val="00C85F7C"/>
    <w:rsid w:val="00C86F9D"/>
    <w:rsid w:val="00C873A5"/>
    <w:rsid w:val="00C87C74"/>
    <w:rsid w:val="00C901A7"/>
    <w:rsid w:val="00C9020E"/>
    <w:rsid w:val="00C90C34"/>
    <w:rsid w:val="00C915E4"/>
    <w:rsid w:val="00C9163B"/>
    <w:rsid w:val="00C926A3"/>
    <w:rsid w:val="00C92F2A"/>
    <w:rsid w:val="00C93135"/>
    <w:rsid w:val="00C9339F"/>
    <w:rsid w:val="00C933A1"/>
    <w:rsid w:val="00C93A52"/>
    <w:rsid w:val="00C94697"/>
    <w:rsid w:val="00C946F5"/>
    <w:rsid w:val="00C94828"/>
    <w:rsid w:val="00C9539A"/>
    <w:rsid w:val="00C958DF"/>
    <w:rsid w:val="00C9731A"/>
    <w:rsid w:val="00C9779D"/>
    <w:rsid w:val="00C978E3"/>
    <w:rsid w:val="00C97F7F"/>
    <w:rsid w:val="00CA092A"/>
    <w:rsid w:val="00CA1E9C"/>
    <w:rsid w:val="00CA2096"/>
    <w:rsid w:val="00CA2157"/>
    <w:rsid w:val="00CA261A"/>
    <w:rsid w:val="00CA294F"/>
    <w:rsid w:val="00CA2D9E"/>
    <w:rsid w:val="00CA3F2E"/>
    <w:rsid w:val="00CA41E4"/>
    <w:rsid w:val="00CA47F2"/>
    <w:rsid w:val="00CA4FB1"/>
    <w:rsid w:val="00CA5276"/>
    <w:rsid w:val="00CA59FE"/>
    <w:rsid w:val="00CA61E7"/>
    <w:rsid w:val="00CA7270"/>
    <w:rsid w:val="00CA753C"/>
    <w:rsid w:val="00CB0332"/>
    <w:rsid w:val="00CB091B"/>
    <w:rsid w:val="00CB0968"/>
    <w:rsid w:val="00CB0E14"/>
    <w:rsid w:val="00CB1189"/>
    <w:rsid w:val="00CB1698"/>
    <w:rsid w:val="00CB1A08"/>
    <w:rsid w:val="00CB1D76"/>
    <w:rsid w:val="00CB204B"/>
    <w:rsid w:val="00CB20C0"/>
    <w:rsid w:val="00CB2AC4"/>
    <w:rsid w:val="00CB2E8A"/>
    <w:rsid w:val="00CB2F7E"/>
    <w:rsid w:val="00CB468E"/>
    <w:rsid w:val="00CB4D65"/>
    <w:rsid w:val="00CB5350"/>
    <w:rsid w:val="00CB5ECB"/>
    <w:rsid w:val="00CB6410"/>
    <w:rsid w:val="00CB6E50"/>
    <w:rsid w:val="00CB76B3"/>
    <w:rsid w:val="00CB7823"/>
    <w:rsid w:val="00CC0075"/>
    <w:rsid w:val="00CC0134"/>
    <w:rsid w:val="00CC02A2"/>
    <w:rsid w:val="00CC0A42"/>
    <w:rsid w:val="00CC1F35"/>
    <w:rsid w:val="00CC2F29"/>
    <w:rsid w:val="00CC392D"/>
    <w:rsid w:val="00CC3BD3"/>
    <w:rsid w:val="00CC3DFF"/>
    <w:rsid w:val="00CC42E5"/>
    <w:rsid w:val="00CC488C"/>
    <w:rsid w:val="00CC4B14"/>
    <w:rsid w:val="00CC5164"/>
    <w:rsid w:val="00CC531E"/>
    <w:rsid w:val="00CC596A"/>
    <w:rsid w:val="00CC6118"/>
    <w:rsid w:val="00CC6537"/>
    <w:rsid w:val="00CC7068"/>
    <w:rsid w:val="00CC7D64"/>
    <w:rsid w:val="00CD03E2"/>
    <w:rsid w:val="00CD0EDE"/>
    <w:rsid w:val="00CD1C52"/>
    <w:rsid w:val="00CD1EB4"/>
    <w:rsid w:val="00CD24FF"/>
    <w:rsid w:val="00CD282C"/>
    <w:rsid w:val="00CD311A"/>
    <w:rsid w:val="00CD32BE"/>
    <w:rsid w:val="00CD34B2"/>
    <w:rsid w:val="00CD38C2"/>
    <w:rsid w:val="00CD40AF"/>
    <w:rsid w:val="00CD4479"/>
    <w:rsid w:val="00CD480E"/>
    <w:rsid w:val="00CD481D"/>
    <w:rsid w:val="00CD4B01"/>
    <w:rsid w:val="00CD4C43"/>
    <w:rsid w:val="00CD4C8B"/>
    <w:rsid w:val="00CD5027"/>
    <w:rsid w:val="00CD73E0"/>
    <w:rsid w:val="00CD7690"/>
    <w:rsid w:val="00CD774D"/>
    <w:rsid w:val="00CD7954"/>
    <w:rsid w:val="00CE11DD"/>
    <w:rsid w:val="00CE2191"/>
    <w:rsid w:val="00CE27DA"/>
    <w:rsid w:val="00CE2A63"/>
    <w:rsid w:val="00CE34E5"/>
    <w:rsid w:val="00CE3DED"/>
    <w:rsid w:val="00CE47E1"/>
    <w:rsid w:val="00CE63E3"/>
    <w:rsid w:val="00CE6586"/>
    <w:rsid w:val="00CE6871"/>
    <w:rsid w:val="00CE708A"/>
    <w:rsid w:val="00CE727E"/>
    <w:rsid w:val="00CE7425"/>
    <w:rsid w:val="00CE7804"/>
    <w:rsid w:val="00CE7956"/>
    <w:rsid w:val="00CE7BEF"/>
    <w:rsid w:val="00CF01A5"/>
    <w:rsid w:val="00CF02C3"/>
    <w:rsid w:val="00CF1E01"/>
    <w:rsid w:val="00CF1E8F"/>
    <w:rsid w:val="00CF2635"/>
    <w:rsid w:val="00CF3279"/>
    <w:rsid w:val="00CF3854"/>
    <w:rsid w:val="00CF38E0"/>
    <w:rsid w:val="00CF3DB0"/>
    <w:rsid w:val="00CF430F"/>
    <w:rsid w:val="00CF44E6"/>
    <w:rsid w:val="00CF47ED"/>
    <w:rsid w:val="00CF5514"/>
    <w:rsid w:val="00CF5A8C"/>
    <w:rsid w:val="00CF5DD1"/>
    <w:rsid w:val="00CF6382"/>
    <w:rsid w:val="00D00B7D"/>
    <w:rsid w:val="00D019BC"/>
    <w:rsid w:val="00D022F1"/>
    <w:rsid w:val="00D023DF"/>
    <w:rsid w:val="00D028D3"/>
    <w:rsid w:val="00D032F3"/>
    <w:rsid w:val="00D03392"/>
    <w:rsid w:val="00D072E4"/>
    <w:rsid w:val="00D1035D"/>
    <w:rsid w:val="00D107E6"/>
    <w:rsid w:val="00D10937"/>
    <w:rsid w:val="00D117B8"/>
    <w:rsid w:val="00D11B0D"/>
    <w:rsid w:val="00D11E8F"/>
    <w:rsid w:val="00D12348"/>
    <w:rsid w:val="00D12C22"/>
    <w:rsid w:val="00D133B6"/>
    <w:rsid w:val="00D13F83"/>
    <w:rsid w:val="00D149B2"/>
    <w:rsid w:val="00D1537F"/>
    <w:rsid w:val="00D15D9F"/>
    <w:rsid w:val="00D16A75"/>
    <w:rsid w:val="00D16B54"/>
    <w:rsid w:val="00D16CF3"/>
    <w:rsid w:val="00D1737E"/>
    <w:rsid w:val="00D2055D"/>
    <w:rsid w:val="00D2100B"/>
    <w:rsid w:val="00D21120"/>
    <w:rsid w:val="00D21F61"/>
    <w:rsid w:val="00D21FB8"/>
    <w:rsid w:val="00D22368"/>
    <w:rsid w:val="00D225BA"/>
    <w:rsid w:val="00D22622"/>
    <w:rsid w:val="00D242FE"/>
    <w:rsid w:val="00D24502"/>
    <w:rsid w:val="00D24A00"/>
    <w:rsid w:val="00D25393"/>
    <w:rsid w:val="00D25773"/>
    <w:rsid w:val="00D25D72"/>
    <w:rsid w:val="00D27331"/>
    <w:rsid w:val="00D31C32"/>
    <w:rsid w:val="00D32334"/>
    <w:rsid w:val="00D32346"/>
    <w:rsid w:val="00D323E2"/>
    <w:rsid w:val="00D32C4D"/>
    <w:rsid w:val="00D32C50"/>
    <w:rsid w:val="00D32DCC"/>
    <w:rsid w:val="00D33DCF"/>
    <w:rsid w:val="00D34D11"/>
    <w:rsid w:val="00D35F89"/>
    <w:rsid w:val="00D36064"/>
    <w:rsid w:val="00D360EA"/>
    <w:rsid w:val="00D36135"/>
    <w:rsid w:val="00D36149"/>
    <w:rsid w:val="00D362D3"/>
    <w:rsid w:val="00D3646F"/>
    <w:rsid w:val="00D36C46"/>
    <w:rsid w:val="00D4054D"/>
    <w:rsid w:val="00D406F0"/>
    <w:rsid w:val="00D41233"/>
    <w:rsid w:val="00D4154E"/>
    <w:rsid w:val="00D41C57"/>
    <w:rsid w:val="00D4311D"/>
    <w:rsid w:val="00D431ED"/>
    <w:rsid w:val="00D4341B"/>
    <w:rsid w:val="00D43A30"/>
    <w:rsid w:val="00D44708"/>
    <w:rsid w:val="00D44A8D"/>
    <w:rsid w:val="00D44F7B"/>
    <w:rsid w:val="00D458D7"/>
    <w:rsid w:val="00D464F5"/>
    <w:rsid w:val="00D466A9"/>
    <w:rsid w:val="00D46AF9"/>
    <w:rsid w:val="00D46C25"/>
    <w:rsid w:val="00D47845"/>
    <w:rsid w:val="00D505A5"/>
    <w:rsid w:val="00D50B26"/>
    <w:rsid w:val="00D50F86"/>
    <w:rsid w:val="00D511D3"/>
    <w:rsid w:val="00D5144F"/>
    <w:rsid w:val="00D52892"/>
    <w:rsid w:val="00D534C9"/>
    <w:rsid w:val="00D5393D"/>
    <w:rsid w:val="00D53B4C"/>
    <w:rsid w:val="00D542B7"/>
    <w:rsid w:val="00D54542"/>
    <w:rsid w:val="00D546C7"/>
    <w:rsid w:val="00D54787"/>
    <w:rsid w:val="00D54B21"/>
    <w:rsid w:val="00D56937"/>
    <w:rsid w:val="00D57290"/>
    <w:rsid w:val="00D57A29"/>
    <w:rsid w:val="00D57A87"/>
    <w:rsid w:val="00D60145"/>
    <w:rsid w:val="00D6101B"/>
    <w:rsid w:val="00D61459"/>
    <w:rsid w:val="00D62029"/>
    <w:rsid w:val="00D620F7"/>
    <w:rsid w:val="00D62368"/>
    <w:rsid w:val="00D624E5"/>
    <w:rsid w:val="00D62723"/>
    <w:rsid w:val="00D6394A"/>
    <w:rsid w:val="00D6404A"/>
    <w:rsid w:val="00D6466B"/>
    <w:rsid w:val="00D64861"/>
    <w:rsid w:val="00D64DF4"/>
    <w:rsid w:val="00D64EEE"/>
    <w:rsid w:val="00D65232"/>
    <w:rsid w:val="00D65599"/>
    <w:rsid w:val="00D65E23"/>
    <w:rsid w:val="00D66394"/>
    <w:rsid w:val="00D66915"/>
    <w:rsid w:val="00D66A68"/>
    <w:rsid w:val="00D67478"/>
    <w:rsid w:val="00D674B7"/>
    <w:rsid w:val="00D67570"/>
    <w:rsid w:val="00D71E4B"/>
    <w:rsid w:val="00D724B3"/>
    <w:rsid w:val="00D7386A"/>
    <w:rsid w:val="00D74502"/>
    <w:rsid w:val="00D745A7"/>
    <w:rsid w:val="00D75136"/>
    <w:rsid w:val="00D75318"/>
    <w:rsid w:val="00D75516"/>
    <w:rsid w:val="00D75B37"/>
    <w:rsid w:val="00D75E6D"/>
    <w:rsid w:val="00D75ED0"/>
    <w:rsid w:val="00D75F0E"/>
    <w:rsid w:val="00D76102"/>
    <w:rsid w:val="00D77457"/>
    <w:rsid w:val="00D77721"/>
    <w:rsid w:val="00D7774F"/>
    <w:rsid w:val="00D806D9"/>
    <w:rsid w:val="00D81935"/>
    <w:rsid w:val="00D81FB0"/>
    <w:rsid w:val="00D827D1"/>
    <w:rsid w:val="00D82D0B"/>
    <w:rsid w:val="00D8304E"/>
    <w:rsid w:val="00D832D2"/>
    <w:rsid w:val="00D83359"/>
    <w:rsid w:val="00D842C5"/>
    <w:rsid w:val="00D84335"/>
    <w:rsid w:val="00D844EC"/>
    <w:rsid w:val="00D852A3"/>
    <w:rsid w:val="00D86339"/>
    <w:rsid w:val="00D8679E"/>
    <w:rsid w:val="00D86A68"/>
    <w:rsid w:val="00D86CA6"/>
    <w:rsid w:val="00D8710F"/>
    <w:rsid w:val="00D87460"/>
    <w:rsid w:val="00D8791D"/>
    <w:rsid w:val="00D90515"/>
    <w:rsid w:val="00D90A2C"/>
    <w:rsid w:val="00D91D4B"/>
    <w:rsid w:val="00D924ED"/>
    <w:rsid w:val="00D92BB3"/>
    <w:rsid w:val="00D92C9F"/>
    <w:rsid w:val="00D932A0"/>
    <w:rsid w:val="00D93689"/>
    <w:rsid w:val="00D938E6"/>
    <w:rsid w:val="00D93933"/>
    <w:rsid w:val="00D94209"/>
    <w:rsid w:val="00D950FA"/>
    <w:rsid w:val="00D964FA"/>
    <w:rsid w:val="00DA01F7"/>
    <w:rsid w:val="00DA0979"/>
    <w:rsid w:val="00DA10F4"/>
    <w:rsid w:val="00DA1ECF"/>
    <w:rsid w:val="00DA2720"/>
    <w:rsid w:val="00DA2E29"/>
    <w:rsid w:val="00DA3BC0"/>
    <w:rsid w:val="00DA3E5E"/>
    <w:rsid w:val="00DA4776"/>
    <w:rsid w:val="00DA4976"/>
    <w:rsid w:val="00DA6E19"/>
    <w:rsid w:val="00DB0355"/>
    <w:rsid w:val="00DB0D91"/>
    <w:rsid w:val="00DB0D9F"/>
    <w:rsid w:val="00DB0F43"/>
    <w:rsid w:val="00DB0F5F"/>
    <w:rsid w:val="00DB11F6"/>
    <w:rsid w:val="00DB1F14"/>
    <w:rsid w:val="00DB254C"/>
    <w:rsid w:val="00DB3D17"/>
    <w:rsid w:val="00DB3DAA"/>
    <w:rsid w:val="00DB4267"/>
    <w:rsid w:val="00DB46F6"/>
    <w:rsid w:val="00DB5262"/>
    <w:rsid w:val="00DB532D"/>
    <w:rsid w:val="00DB7143"/>
    <w:rsid w:val="00DC00E2"/>
    <w:rsid w:val="00DC0403"/>
    <w:rsid w:val="00DC089B"/>
    <w:rsid w:val="00DC1102"/>
    <w:rsid w:val="00DC1E93"/>
    <w:rsid w:val="00DC222F"/>
    <w:rsid w:val="00DC2CA6"/>
    <w:rsid w:val="00DC2D44"/>
    <w:rsid w:val="00DC4667"/>
    <w:rsid w:val="00DC4C67"/>
    <w:rsid w:val="00DC4D0D"/>
    <w:rsid w:val="00DC5D9B"/>
    <w:rsid w:val="00DC629F"/>
    <w:rsid w:val="00DC678B"/>
    <w:rsid w:val="00DC7133"/>
    <w:rsid w:val="00DC72C2"/>
    <w:rsid w:val="00DC771D"/>
    <w:rsid w:val="00DC7C60"/>
    <w:rsid w:val="00DD0474"/>
    <w:rsid w:val="00DD065B"/>
    <w:rsid w:val="00DD0B52"/>
    <w:rsid w:val="00DD0FAF"/>
    <w:rsid w:val="00DD1269"/>
    <w:rsid w:val="00DD2462"/>
    <w:rsid w:val="00DD26A2"/>
    <w:rsid w:val="00DD3D06"/>
    <w:rsid w:val="00DD4C1C"/>
    <w:rsid w:val="00DD4E52"/>
    <w:rsid w:val="00DD4E7F"/>
    <w:rsid w:val="00DD5A8F"/>
    <w:rsid w:val="00DD5D17"/>
    <w:rsid w:val="00DD61AB"/>
    <w:rsid w:val="00DD6859"/>
    <w:rsid w:val="00DD6BE7"/>
    <w:rsid w:val="00DD6CEB"/>
    <w:rsid w:val="00DD7C73"/>
    <w:rsid w:val="00DE0294"/>
    <w:rsid w:val="00DE064A"/>
    <w:rsid w:val="00DE0F4C"/>
    <w:rsid w:val="00DE0FB4"/>
    <w:rsid w:val="00DE11D8"/>
    <w:rsid w:val="00DE1B66"/>
    <w:rsid w:val="00DE27E1"/>
    <w:rsid w:val="00DE2D61"/>
    <w:rsid w:val="00DE30A1"/>
    <w:rsid w:val="00DE319A"/>
    <w:rsid w:val="00DE36D9"/>
    <w:rsid w:val="00DE38F6"/>
    <w:rsid w:val="00DE3D70"/>
    <w:rsid w:val="00DE4C24"/>
    <w:rsid w:val="00DE4DB0"/>
    <w:rsid w:val="00DE55E0"/>
    <w:rsid w:val="00DE564D"/>
    <w:rsid w:val="00DE5668"/>
    <w:rsid w:val="00DE569D"/>
    <w:rsid w:val="00DE5E5B"/>
    <w:rsid w:val="00DE63EB"/>
    <w:rsid w:val="00DE671F"/>
    <w:rsid w:val="00DE7794"/>
    <w:rsid w:val="00DE7D37"/>
    <w:rsid w:val="00DF01C8"/>
    <w:rsid w:val="00DF0330"/>
    <w:rsid w:val="00DF0622"/>
    <w:rsid w:val="00DF08C5"/>
    <w:rsid w:val="00DF0C76"/>
    <w:rsid w:val="00DF19B3"/>
    <w:rsid w:val="00DF2368"/>
    <w:rsid w:val="00DF2B44"/>
    <w:rsid w:val="00DF2C34"/>
    <w:rsid w:val="00DF2E90"/>
    <w:rsid w:val="00DF328D"/>
    <w:rsid w:val="00DF33CB"/>
    <w:rsid w:val="00DF36C5"/>
    <w:rsid w:val="00DF4308"/>
    <w:rsid w:val="00DF4A75"/>
    <w:rsid w:val="00DF4AA3"/>
    <w:rsid w:val="00DF5453"/>
    <w:rsid w:val="00DF563F"/>
    <w:rsid w:val="00DF5883"/>
    <w:rsid w:val="00DF6E83"/>
    <w:rsid w:val="00DF7235"/>
    <w:rsid w:val="00DF7D36"/>
    <w:rsid w:val="00E006D1"/>
    <w:rsid w:val="00E00F35"/>
    <w:rsid w:val="00E019AA"/>
    <w:rsid w:val="00E01C03"/>
    <w:rsid w:val="00E02C8B"/>
    <w:rsid w:val="00E0312D"/>
    <w:rsid w:val="00E0316F"/>
    <w:rsid w:val="00E035DD"/>
    <w:rsid w:val="00E03F8E"/>
    <w:rsid w:val="00E042BA"/>
    <w:rsid w:val="00E0453E"/>
    <w:rsid w:val="00E04C31"/>
    <w:rsid w:val="00E05311"/>
    <w:rsid w:val="00E055E0"/>
    <w:rsid w:val="00E05A36"/>
    <w:rsid w:val="00E0698F"/>
    <w:rsid w:val="00E069F5"/>
    <w:rsid w:val="00E071F9"/>
    <w:rsid w:val="00E07EA1"/>
    <w:rsid w:val="00E10062"/>
    <w:rsid w:val="00E10A6F"/>
    <w:rsid w:val="00E11346"/>
    <w:rsid w:val="00E12440"/>
    <w:rsid w:val="00E1250F"/>
    <w:rsid w:val="00E12A44"/>
    <w:rsid w:val="00E12BF7"/>
    <w:rsid w:val="00E1324F"/>
    <w:rsid w:val="00E1378B"/>
    <w:rsid w:val="00E13FF7"/>
    <w:rsid w:val="00E14312"/>
    <w:rsid w:val="00E143D7"/>
    <w:rsid w:val="00E147AB"/>
    <w:rsid w:val="00E14CAF"/>
    <w:rsid w:val="00E14D76"/>
    <w:rsid w:val="00E14F16"/>
    <w:rsid w:val="00E14F19"/>
    <w:rsid w:val="00E156B2"/>
    <w:rsid w:val="00E15EAC"/>
    <w:rsid w:val="00E16269"/>
    <w:rsid w:val="00E16A4D"/>
    <w:rsid w:val="00E16B5C"/>
    <w:rsid w:val="00E16C63"/>
    <w:rsid w:val="00E16D6B"/>
    <w:rsid w:val="00E172D3"/>
    <w:rsid w:val="00E1747C"/>
    <w:rsid w:val="00E17B21"/>
    <w:rsid w:val="00E17CC1"/>
    <w:rsid w:val="00E17DB3"/>
    <w:rsid w:val="00E20FC5"/>
    <w:rsid w:val="00E213A1"/>
    <w:rsid w:val="00E21F86"/>
    <w:rsid w:val="00E22ADD"/>
    <w:rsid w:val="00E22D2C"/>
    <w:rsid w:val="00E233C0"/>
    <w:rsid w:val="00E246BB"/>
    <w:rsid w:val="00E247A4"/>
    <w:rsid w:val="00E24C51"/>
    <w:rsid w:val="00E24D46"/>
    <w:rsid w:val="00E25032"/>
    <w:rsid w:val="00E25FE7"/>
    <w:rsid w:val="00E26242"/>
    <w:rsid w:val="00E2716A"/>
    <w:rsid w:val="00E27248"/>
    <w:rsid w:val="00E27BA7"/>
    <w:rsid w:val="00E27CC9"/>
    <w:rsid w:val="00E27F68"/>
    <w:rsid w:val="00E3097C"/>
    <w:rsid w:val="00E315B1"/>
    <w:rsid w:val="00E31887"/>
    <w:rsid w:val="00E31A18"/>
    <w:rsid w:val="00E31CA0"/>
    <w:rsid w:val="00E32420"/>
    <w:rsid w:val="00E337AE"/>
    <w:rsid w:val="00E33A3D"/>
    <w:rsid w:val="00E33DCE"/>
    <w:rsid w:val="00E344EA"/>
    <w:rsid w:val="00E349A9"/>
    <w:rsid w:val="00E34A27"/>
    <w:rsid w:val="00E34ACD"/>
    <w:rsid w:val="00E34B3C"/>
    <w:rsid w:val="00E3514B"/>
    <w:rsid w:val="00E357C6"/>
    <w:rsid w:val="00E35DD7"/>
    <w:rsid w:val="00E35ED3"/>
    <w:rsid w:val="00E37888"/>
    <w:rsid w:val="00E4010F"/>
    <w:rsid w:val="00E401D6"/>
    <w:rsid w:val="00E410BD"/>
    <w:rsid w:val="00E41333"/>
    <w:rsid w:val="00E4223B"/>
    <w:rsid w:val="00E4233E"/>
    <w:rsid w:val="00E4245B"/>
    <w:rsid w:val="00E42B32"/>
    <w:rsid w:val="00E42F29"/>
    <w:rsid w:val="00E43248"/>
    <w:rsid w:val="00E43919"/>
    <w:rsid w:val="00E44172"/>
    <w:rsid w:val="00E4533F"/>
    <w:rsid w:val="00E45862"/>
    <w:rsid w:val="00E462AB"/>
    <w:rsid w:val="00E4643C"/>
    <w:rsid w:val="00E46501"/>
    <w:rsid w:val="00E467AA"/>
    <w:rsid w:val="00E46C7C"/>
    <w:rsid w:val="00E46E8A"/>
    <w:rsid w:val="00E472B8"/>
    <w:rsid w:val="00E500F4"/>
    <w:rsid w:val="00E507F1"/>
    <w:rsid w:val="00E50918"/>
    <w:rsid w:val="00E50A9F"/>
    <w:rsid w:val="00E50B4A"/>
    <w:rsid w:val="00E50B6D"/>
    <w:rsid w:val="00E51599"/>
    <w:rsid w:val="00E51681"/>
    <w:rsid w:val="00E51DE0"/>
    <w:rsid w:val="00E5205D"/>
    <w:rsid w:val="00E520EC"/>
    <w:rsid w:val="00E52839"/>
    <w:rsid w:val="00E529E3"/>
    <w:rsid w:val="00E52AA3"/>
    <w:rsid w:val="00E535C4"/>
    <w:rsid w:val="00E54536"/>
    <w:rsid w:val="00E545E0"/>
    <w:rsid w:val="00E545E1"/>
    <w:rsid w:val="00E55321"/>
    <w:rsid w:val="00E57AEF"/>
    <w:rsid w:val="00E6018A"/>
    <w:rsid w:val="00E608C0"/>
    <w:rsid w:val="00E60F29"/>
    <w:rsid w:val="00E61075"/>
    <w:rsid w:val="00E610BD"/>
    <w:rsid w:val="00E61C7A"/>
    <w:rsid w:val="00E624A6"/>
    <w:rsid w:val="00E6276C"/>
    <w:rsid w:val="00E62789"/>
    <w:rsid w:val="00E6358F"/>
    <w:rsid w:val="00E63E9F"/>
    <w:rsid w:val="00E6420E"/>
    <w:rsid w:val="00E6437A"/>
    <w:rsid w:val="00E64FF3"/>
    <w:rsid w:val="00E666CB"/>
    <w:rsid w:val="00E66D94"/>
    <w:rsid w:val="00E672A0"/>
    <w:rsid w:val="00E67A41"/>
    <w:rsid w:val="00E7025A"/>
    <w:rsid w:val="00E70690"/>
    <w:rsid w:val="00E70E38"/>
    <w:rsid w:val="00E718DF"/>
    <w:rsid w:val="00E71B04"/>
    <w:rsid w:val="00E71C7A"/>
    <w:rsid w:val="00E71F2E"/>
    <w:rsid w:val="00E7205E"/>
    <w:rsid w:val="00E727FA"/>
    <w:rsid w:val="00E732A1"/>
    <w:rsid w:val="00E736D2"/>
    <w:rsid w:val="00E739E1"/>
    <w:rsid w:val="00E7418A"/>
    <w:rsid w:val="00E7468B"/>
    <w:rsid w:val="00E748F3"/>
    <w:rsid w:val="00E75034"/>
    <w:rsid w:val="00E76066"/>
    <w:rsid w:val="00E760A8"/>
    <w:rsid w:val="00E76234"/>
    <w:rsid w:val="00E76733"/>
    <w:rsid w:val="00E76A3A"/>
    <w:rsid w:val="00E77694"/>
    <w:rsid w:val="00E778F9"/>
    <w:rsid w:val="00E801B8"/>
    <w:rsid w:val="00E80E10"/>
    <w:rsid w:val="00E80E44"/>
    <w:rsid w:val="00E81C2D"/>
    <w:rsid w:val="00E81C9C"/>
    <w:rsid w:val="00E81CE1"/>
    <w:rsid w:val="00E82C08"/>
    <w:rsid w:val="00E8341C"/>
    <w:rsid w:val="00E85148"/>
    <w:rsid w:val="00E85447"/>
    <w:rsid w:val="00E85822"/>
    <w:rsid w:val="00E85888"/>
    <w:rsid w:val="00E863D0"/>
    <w:rsid w:val="00E86EB9"/>
    <w:rsid w:val="00E871CB"/>
    <w:rsid w:val="00E87C51"/>
    <w:rsid w:val="00E87EFB"/>
    <w:rsid w:val="00E90E9D"/>
    <w:rsid w:val="00E9106F"/>
    <w:rsid w:val="00E918F5"/>
    <w:rsid w:val="00E91CFE"/>
    <w:rsid w:val="00E91E48"/>
    <w:rsid w:val="00E927E4"/>
    <w:rsid w:val="00E92B81"/>
    <w:rsid w:val="00E92BC4"/>
    <w:rsid w:val="00E9350A"/>
    <w:rsid w:val="00E95171"/>
    <w:rsid w:val="00E95E96"/>
    <w:rsid w:val="00E96E8C"/>
    <w:rsid w:val="00E97162"/>
    <w:rsid w:val="00E973AE"/>
    <w:rsid w:val="00E978F5"/>
    <w:rsid w:val="00E97D28"/>
    <w:rsid w:val="00E97F55"/>
    <w:rsid w:val="00EA0204"/>
    <w:rsid w:val="00EA0C8B"/>
    <w:rsid w:val="00EA15F6"/>
    <w:rsid w:val="00EA18A9"/>
    <w:rsid w:val="00EA1FF6"/>
    <w:rsid w:val="00EA27EE"/>
    <w:rsid w:val="00EA27FB"/>
    <w:rsid w:val="00EA378C"/>
    <w:rsid w:val="00EA3A4C"/>
    <w:rsid w:val="00EA3C9D"/>
    <w:rsid w:val="00EA3D63"/>
    <w:rsid w:val="00EA4949"/>
    <w:rsid w:val="00EA4F9A"/>
    <w:rsid w:val="00EA52D7"/>
    <w:rsid w:val="00EA569C"/>
    <w:rsid w:val="00EA5A31"/>
    <w:rsid w:val="00EA5AD6"/>
    <w:rsid w:val="00EA6483"/>
    <w:rsid w:val="00EA64E2"/>
    <w:rsid w:val="00EA65DE"/>
    <w:rsid w:val="00EA6C4B"/>
    <w:rsid w:val="00EA7568"/>
    <w:rsid w:val="00EA75B9"/>
    <w:rsid w:val="00EB03D4"/>
    <w:rsid w:val="00EB1044"/>
    <w:rsid w:val="00EB17ED"/>
    <w:rsid w:val="00EB22DB"/>
    <w:rsid w:val="00EB2683"/>
    <w:rsid w:val="00EB26B3"/>
    <w:rsid w:val="00EB291C"/>
    <w:rsid w:val="00EB29E5"/>
    <w:rsid w:val="00EB2B7F"/>
    <w:rsid w:val="00EB2C7F"/>
    <w:rsid w:val="00EB2DE0"/>
    <w:rsid w:val="00EB337A"/>
    <w:rsid w:val="00EB3877"/>
    <w:rsid w:val="00EB3BE0"/>
    <w:rsid w:val="00EB4650"/>
    <w:rsid w:val="00EB4B48"/>
    <w:rsid w:val="00EB4F9C"/>
    <w:rsid w:val="00EB4FBB"/>
    <w:rsid w:val="00EB542D"/>
    <w:rsid w:val="00EB6028"/>
    <w:rsid w:val="00EB6443"/>
    <w:rsid w:val="00EB654A"/>
    <w:rsid w:val="00EB6B01"/>
    <w:rsid w:val="00EB6C40"/>
    <w:rsid w:val="00EC0126"/>
    <w:rsid w:val="00EC02B6"/>
    <w:rsid w:val="00EC07E5"/>
    <w:rsid w:val="00EC0B1E"/>
    <w:rsid w:val="00EC0F60"/>
    <w:rsid w:val="00EC4186"/>
    <w:rsid w:val="00EC5994"/>
    <w:rsid w:val="00EC5B2C"/>
    <w:rsid w:val="00EC5BA6"/>
    <w:rsid w:val="00EC6021"/>
    <w:rsid w:val="00EC74D6"/>
    <w:rsid w:val="00EC79FA"/>
    <w:rsid w:val="00ED03F3"/>
    <w:rsid w:val="00ED040B"/>
    <w:rsid w:val="00ED05B4"/>
    <w:rsid w:val="00ED05E4"/>
    <w:rsid w:val="00ED0A04"/>
    <w:rsid w:val="00ED0ABA"/>
    <w:rsid w:val="00ED1040"/>
    <w:rsid w:val="00ED14C5"/>
    <w:rsid w:val="00ED1612"/>
    <w:rsid w:val="00ED1986"/>
    <w:rsid w:val="00ED2765"/>
    <w:rsid w:val="00ED27AF"/>
    <w:rsid w:val="00ED2D63"/>
    <w:rsid w:val="00ED2F4C"/>
    <w:rsid w:val="00ED3A10"/>
    <w:rsid w:val="00ED3E00"/>
    <w:rsid w:val="00ED403B"/>
    <w:rsid w:val="00ED4F38"/>
    <w:rsid w:val="00ED5145"/>
    <w:rsid w:val="00ED5378"/>
    <w:rsid w:val="00ED5715"/>
    <w:rsid w:val="00ED60A2"/>
    <w:rsid w:val="00ED6243"/>
    <w:rsid w:val="00ED6262"/>
    <w:rsid w:val="00ED6471"/>
    <w:rsid w:val="00ED6C5D"/>
    <w:rsid w:val="00ED6D0C"/>
    <w:rsid w:val="00ED7831"/>
    <w:rsid w:val="00EE057F"/>
    <w:rsid w:val="00EE2D7F"/>
    <w:rsid w:val="00EE3270"/>
    <w:rsid w:val="00EE384E"/>
    <w:rsid w:val="00EE3A31"/>
    <w:rsid w:val="00EE3C2E"/>
    <w:rsid w:val="00EE4D0D"/>
    <w:rsid w:val="00EE4FF8"/>
    <w:rsid w:val="00EE5446"/>
    <w:rsid w:val="00EE5492"/>
    <w:rsid w:val="00EE6081"/>
    <w:rsid w:val="00EE6ADA"/>
    <w:rsid w:val="00EE6AF0"/>
    <w:rsid w:val="00EE740E"/>
    <w:rsid w:val="00EE7A02"/>
    <w:rsid w:val="00EE7C3D"/>
    <w:rsid w:val="00EE7FF1"/>
    <w:rsid w:val="00EF0995"/>
    <w:rsid w:val="00EF0CC5"/>
    <w:rsid w:val="00EF134D"/>
    <w:rsid w:val="00EF1719"/>
    <w:rsid w:val="00EF19FD"/>
    <w:rsid w:val="00EF1F30"/>
    <w:rsid w:val="00EF2391"/>
    <w:rsid w:val="00EF2657"/>
    <w:rsid w:val="00EF27B7"/>
    <w:rsid w:val="00EF2F08"/>
    <w:rsid w:val="00EF2F5E"/>
    <w:rsid w:val="00EF3FC0"/>
    <w:rsid w:val="00EF3FEF"/>
    <w:rsid w:val="00EF4326"/>
    <w:rsid w:val="00EF4397"/>
    <w:rsid w:val="00EF4E04"/>
    <w:rsid w:val="00EF4F4F"/>
    <w:rsid w:val="00EF6697"/>
    <w:rsid w:val="00EF6B77"/>
    <w:rsid w:val="00EF6E6F"/>
    <w:rsid w:val="00EF7292"/>
    <w:rsid w:val="00EF754E"/>
    <w:rsid w:val="00EF76E0"/>
    <w:rsid w:val="00EF7D51"/>
    <w:rsid w:val="00F005DD"/>
    <w:rsid w:val="00F00DB3"/>
    <w:rsid w:val="00F01261"/>
    <w:rsid w:val="00F0162D"/>
    <w:rsid w:val="00F01EA3"/>
    <w:rsid w:val="00F01FA7"/>
    <w:rsid w:val="00F0247D"/>
    <w:rsid w:val="00F02D1F"/>
    <w:rsid w:val="00F02D5E"/>
    <w:rsid w:val="00F02F6A"/>
    <w:rsid w:val="00F02F86"/>
    <w:rsid w:val="00F03644"/>
    <w:rsid w:val="00F03677"/>
    <w:rsid w:val="00F04588"/>
    <w:rsid w:val="00F04B02"/>
    <w:rsid w:val="00F04C66"/>
    <w:rsid w:val="00F04DEB"/>
    <w:rsid w:val="00F05522"/>
    <w:rsid w:val="00F055E9"/>
    <w:rsid w:val="00F057C6"/>
    <w:rsid w:val="00F06092"/>
    <w:rsid w:val="00F0715E"/>
    <w:rsid w:val="00F07FC2"/>
    <w:rsid w:val="00F1199E"/>
    <w:rsid w:val="00F13900"/>
    <w:rsid w:val="00F13BB4"/>
    <w:rsid w:val="00F13C6B"/>
    <w:rsid w:val="00F13EAA"/>
    <w:rsid w:val="00F1421E"/>
    <w:rsid w:val="00F14FF2"/>
    <w:rsid w:val="00F154BB"/>
    <w:rsid w:val="00F15CA6"/>
    <w:rsid w:val="00F16D1C"/>
    <w:rsid w:val="00F17720"/>
    <w:rsid w:val="00F1794C"/>
    <w:rsid w:val="00F20DC4"/>
    <w:rsid w:val="00F21773"/>
    <w:rsid w:val="00F21930"/>
    <w:rsid w:val="00F2196F"/>
    <w:rsid w:val="00F2245C"/>
    <w:rsid w:val="00F23ABC"/>
    <w:rsid w:val="00F23F26"/>
    <w:rsid w:val="00F24745"/>
    <w:rsid w:val="00F25922"/>
    <w:rsid w:val="00F268FC"/>
    <w:rsid w:val="00F27226"/>
    <w:rsid w:val="00F27573"/>
    <w:rsid w:val="00F2789E"/>
    <w:rsid w:val="00F30251"/>
    <w:rsid w:val="00F306CA"/>
    <w:rsid w:val="00F30803"/>
    <w:rsid w:val="00F30CF1"/>
    <w:rsid w:val="00F31458"/>
    <w:rsid w:val="00F3147D"/>
    <w:rsid w:val="00F31D3D"/>
    <w:rsid w:val="00F32952"/>
    <w:rsid w:val="00F339B7"/>
    <w:rsid w:val="00F3485F"/>
    <w:rsid w:val="00F34D9B"/>
    <w:rsid w:val="00F34F8D"/>
    <w:rsid w:val="00F35F39"/>
    <w:rsid w:val="00F36AEE"/>
    <w:rsid w:val="00F401D3"/>
    <w:rsid w:val="00F40B9B"/>
    <w:rsid w:val="00F40D92"/>
    <w:rsid w:val="00F41504"/>
    <w:rsid w:val="00F417A9"/>
    <w:rsid w:val="00F41893"/>
    <w:rsid w:val="00F41CF1"/>
    <w:rsid w:val="00F41E9D"/>
    <w:rsid w:val="00F42524"/>
    <w:rsid w:val="00F42776"/>
    <w:rsid w:val="00F4345D"/>
    <w:rsid w:val="00F4388E"/>
    <w:rsid w:val="00F443E0"/>
    <w:rsid w:val="00F44BA4"/>
    <w:rsid w:val="00F4512C"/>
    <w:rsid w:val="00F45A76"/>
    <w:rsid w:val="00F45C05"/>
    <w:rsid w:val="00F46F8F"/>
    <w:rsid w:val="00F5075F"/>
    <w:rsid w:val="00F51320"/>
    <w:rsid w:val="00F5136D"/>
    <w:rsid w:val="00F52A6D"/>
    <w:rsid w:val="00F52CB5"/>
    <w:rsid w:val="00F53B2E"/>
    <w:rsid w:val="00F542BA"/>
    <w:rsid w:val="00F555A5"/>
    <w:rsid w:val="00F55866"/>
    <w:rsid w:val="00F55C48"/>
    <w:rsid w:val="00F56D33"/>
    <w:rsid w:val="00F573AF"/>
    <w:rsid w:val="00F576F4"/>
    <w:rsid w:val="00F57CDC"/>
    <w:rsid w:val="00F57E94"/>
    <w:rsid w:val="00F57EF4"/>
    <w:rsid w:val="00F60241"/>
    <w:rsid w:val="00F607BA"/>
    <w:rsid w:val="00F60AAD"/>
    <w:rsid w:val="00F61071"/>
    <w:rsid w:val="00F61202"/>
    <w:rsid w:val="00F61E20"/>
    <w:rsid w:val="00F61F48"/>
    <w:rsid w:val="00F62331"/>
    <w:rsid w:val="00F62BFF"/>
    <w:rsid w:val="00F63258"/>
    <w:rsid w:val="00F64522"/>
    <w:rsid w:val="00F6464E"/>
    <w:rsid w:val="00F66170"/>
    <w:rsid w:val="00F673A9"/>
    <w:rsid w:val="00F67635"/>
    <w:rsid w:val="00F67645"/>
    <w:rsid w:val="00F702D0"/>
    <w:rsid w:val="00F70748"/>
    <w:rsid w:val="00F70900"/>
    <w:rsid w:val="00F710E0"/>
    <w:rsid w:val="00F7135D"/>
    <w:rsid w:val="00F7193A"/>
    <w:rsid w:val="00F71D9C"/>
    <w:rsid w:val="00F71EF9"/>
    <w:rsid w:val="00F73222"/>
    <w:rsid w:val="00F73694"/>
    <w:rsid w:val="00F73BC3"/>
    <w:rsid w:val="00F74061"/>
    <w:rsid w:val="00F74142"/>
    <w:rsid w:val="00F7414C"/>
    <w:rsid w:val="00F745C7"/>
    <w:rsid w:val="00F75B0D"/>
    <w:rsid w:val="00F76C01"/>
    <w:rsid w:val="00F76D34"/>
    <w:rsid w:val="00F771E3"/>
    <w:rsid w:val="00F80210"/>
    <w:rsid w:val="00F80DB5"/>
    <w:rsid w:val="00F820A3"/>
    <w:rsid w:val="00F8212E"/>
    <w:rsid w:val="00F8226F"/>
    <w:rsid w:val="00F82BB6"/>
    <w:rsid w:val="00F83B89"/>
    <w:rsid w:val="00F83C93"/>
    <w:rsid w:val="00F84104"/>
    <w:rsid w:val="00F84173"/>
    <w:rsid w:val="00F848D8"/>
    <w:rsid w:val="00F850FE"/>
    <w:rsid w:val="00F8578C"/>
    <w:rsid w:val="00F85DDB"/>
    <w:rsid w:val="00F86211"/>
    <w:rsid w:val="00F86E6F"/>
    <w:rsid w:val="00F87B5A"/>
    <w:rsid w:val="00F90607"/>
    <w:rsid w:val="00F90E74"/>
    <w:rsid w:val="00F90F67"/>
    <w:rsid w:val="00F911FB"/>
    <w:rsid w:val="00F91474"/>
    <w:rsid w:val="00F915A3"/>
    <w:rsid w:val="00F919FB"/>
    <w:rsid w:val="00F91B6A"/>
    <w:rsid w:val="00F9264A"/>
    <w:rsid w:val="00F9485F"/>
    <w:rsid w:val="00F949A2"/>
    <w:rsid w:val="00F949CE"/>
    <w:rsid w:val="00F94A96"/>
    <w:rsid w:val="00F94CAE"/>
    <w:rsid w:val="00F951E3"/>
    <w:rsid w:val="00F95415"/>
    <w:rsid w:val="00F954F5"/>
    <w:rsid w:val="00F96D1E"/>
    <w:rsid w:val="00F9707C"/>
    <w:rsid w:val="00F974F0"/>
    <w:rsid w:val="00F97C8A"/>
    <w:rsid w:val="00FA00FF"/>
    <w:rsid w:val="00FA052F"/>
    <w:rsid w:val="00FA0B25"/>
    <w:rsid w:val="00FA0C7C"/>
    <w:rsid w:val="00FA1058"/>
    <w:rsid w:val="00FA17B8"/>
    <w:rsid w:val="00FA1E16"/>
    <w:rsid w:val="00FA29B9"/>
    <w:rsid w:val="00FA3316"/>
    <w:rsid w:val="00FA3B2F"/>
    <w:rsid w:val="00FA3E63"/>
    <w:rsid w:val="00FA4438"/>
    <w:rsid w:val="00FA44A7"/>
    <w:rsid w:val="00FA4DBB"/>
    <w:rsid w:val="00FA5099"/>
    <w:rsid w:val="00FA53CA"/>
    <w:rsid w:val="00FA5BD6"/>
    <w:rsid w:val="00FA5D1A"/>
    <w:rsid w:val="00FA6325"/>
    <w:rsid w:val="00FA6BA3"/>
    <w:rsid w:val="00FA7857"/>
    <w:rsid w:val="00FB07B0"/>
    <w:rsid w:val="00FB0EF5"/>
    <w:rsid w:val="00FB12EA"/>
    <w:rsid w:val="00FB134A"/>
    <w:rsid w:val="00FB1B27"/>
    <w:rsid w:val="00FB1F16"/>
    <w:rsid w:val="00FB1F77"/>
    <w:rsid w:val="00FB2CF0"/>
    <w:rsid w:val="00FB2D96"/>
    <w:rsid w:val="00FB2E2B"/>
    <w:rsid w:val="00FB390B"/>
    <w:rsid w:val="00FB40E9"/>
    <w:rsid w:val="00FB40EA"/>
    <w:rsid w:val="00FB4540"/>
    <w:rsid w:val="00FB4739"/>
    <w:rsid w:val="00FB48E7"/>
    <w:rsid w:val="00FB512E"/>
    <w:rsid w:val="00FB583F"/>
    <w:rsid w:val="00FB5D03"/>
    <w:rsid w:val="00FB5E44"/>
    <w:rsid w:val="00FB6586"/>
    <w:rsid w:val="00FB68E5"/>
    <w:rsid w:val="00FC040F"/>
    <w:rsid w:val="00FC05E6"/>
    <w:rsid w:val="00FC0A49"/>
    <w:rsid w:val="00FC109E"/>
    <w:rsid w:val="00FC1674"/>
    <w:rsid w:val="00FC197B"/>
    <w:rsid w:val="00FC1B0A"/>
    <w:rsid w:val="00FC27A3"/>
    <w:rsid w:val="00FC2AAA"/>
    <w:rsid w:val="00FC33C9"/>
    <w:rsid w:val="00FC380A"/>
    <w:rsid w:val="00FC4C2B"/>
    <w:rsid w:val="00FC5082"/>
    <w:rsid w:val="00FC66DE"/>
    <w:rsid w:val="00FC78ED"/>
    <w:rsid w:val="00FC7AAB"/>
    <w:rsid w:val="00FC7BCD"/>
    <w:rsid w:val="00FC7C46"/>
    <w:rsid w:val="00FC7DA9"/>
    <w:rsid w:val="00FD0053"/>
    <w:rsid w:val="00FD0E77"/>
    <w:rsid w:val="00FD1D6D"/>
    <w:rsid w:val="00FD204D"/>
    <w:rsid w:val="00FD3003"/>
    <w:rsid w:val="00FD3072"/>
    <w:rsid w:val="00FD3B5C"/>
    <w:rsid w:val="00FD3DE3"/>
    <w:rsid w:val="00FD42B3"/>
    <w:rsid w:val="00FD5222"/>
    <w:rsid w:val="00FD530F"/>
    <w:rsid w:val="00FD7BD2"/>
    <w:rsid w:val="00FD7D31"/>
    <w:rsid w:val="00FE0C8A"/>
    <w:rsid w:val="00FE1077"/>
    <w:rsid w:val="00FE1755"/>
    <w:rsid w:val="00FE1768"/>
    <w:rsid w:val="00FE1C64"/>
    <w:rsid w:val="00FE1D4C"/>
    <w:rsid w:val="00FE21A4"/>
    <w:rsid w:val="00FE299A"/>
    <w:rsid w:val="00FE29F4"/>
    <w:rsid w:val="00FE30AD"/>
    <w:rsid w:val="00FE3746"/>
    <w:rsid w:val="00FE3A0D"/>
    <w:rsid w:val="00FE43D8"/>
    <w:rsid w:val="00FE4D09"/>
    <w:rsid w:val="00FE4EB2"/>
    <w:rsid w:val="00FE563D"/>
    <w:rsid w:val="00FE682B"/>
    <w:rsid w:val="00FE6F29"/>
    <w:rsid w:val="00FF02B5"/>
    <w:rsid w:val="00FF0A59"/>
    <w:rsid w:val="00FF137F"/>
    <w:rsid w:val="00FF1636"/>
    <w:rsid w:val="00FF1A90"/>
    <w:rsid w:val="00FF275C"/>
    <w:rsid w:val="00FF2B64"/>
    <w:rsid w:val="00FF2B90"/>
    <w:rsid w:val="00FF2E44"/>
    <w:rsid w:val="00FF2EE2"/>
    <w:rsid w:val="00FF3230"/>
    <w:rsid w:val="00FF3E7A"/>
    <w:rsid w:val="00FF42A6"/>
    <w:rsid w:val="00FF4651"/>
    <w:rsid w:val="00FF4F34"/>
    <w:rsid w:val="00FF5218"/>
    <w:rsid w:val="00FF583C"/>
    <w:rsid w:val="00FF6218"/>
    <w:rsid w:val="00FF646C"/>
    <w:rsid w:val="00FF6E62"/>
    <w:rsid w:val="00FF6EB0"/>
    <w:rsid w:val="00FF6FE7"/>
    <w:rsid w:val="00FF798C"/>
    <w:rsid w:val="00FF7B48"/>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3A53169A"/>
  <w15:docId w15:val="{BACEFF09-A495-4494-B6D8-8EFA45D0C1F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B110AD"/>
    <w:pPr>
      <w:spacing w:after="0" w:line="240" w:lineRule="auto"/>
    </w:pPr>
    <w:rPr>
      <w:rFonts w:ascii="Times New Roman" w:eastAsia="Times New Roman" w:hAnsi="Times New Roman" w:cs="Times New Roman"/>
      <w:sz w:val="24"/>
      <w:szCs w:val="24"/>
      <w:lang w:eastAsia="en-GB"/>
    </w:rPr>
  </w:style>
  <w:style w:type="paragraph" w:styleId="Heading1">
    <w:name w:val="heading 1"/>
    <w:basedOn w:val="Normal"/>
    <w:link w:val="Heading1Char"/>
    <w:uiPriority w:val="9"/>
    <w:qFormat/>
    <w:rsid w:val="00D458D7"/>
    <w:pPr>
      <w:spacing w:before="100" w:beforeAutospacing="1" w:after="100" w:afterAutospacing="1"/>
      <w:outlineLvl w:val="0"/>
    </w:pPr>
    <w:rPr>
      <w:b/>
      <w:bCs/>
      <w:kern w:val="36"/>
      <w:szCs w:val="48"/>
    </w:rPr>
  </w:style>
  <w:style w:type="paragraph" w:styleId="Heading2">
    <w:name w:val="heading 2"/>
    <w:basedOn w:val="Normal"/>
    <w:link w:val="Heading2Char"/>
    <w:uiPriority w:val="9"/>
    <w:qFormat/>
    <w:rsid w:val="00D458D7"/>
    <w:pPr>
      <w:spacing w:before="100" w:beforeAutospacing="1" w:after="100" w:afterAutospacing="1"/>
      <w:outlineLvl w:val="1"/>
    </w:pPr>
    <w:rPr>
      <w:b/>
      <w:bCs/>
      <w:szCs w:val="36"/>
    </w:rPr>
  </w:style>
  <w:style w:type="paragraph" w:styleId="Heading3">
    <w:name w:val="heading 3"/>
    <w:basedOn w:val="Normal"/>
    <w:link w:val="Heading3Char"/>
    <w:uiPriority w:val="9"/>
    <w:qFormat/>
    <w:rsid w:val="00314F3E"/>
    <w:pPr>
      <w:spacing w:before="100" w:beforeAutospacing="1" w:after="100" w:afterAutospacing="1"/>
      <w:outlineLvl w:val="2"/>
    </w:pPr>
    <w:rPr>
      <w:b/>
      <w:bCs/>
      <w:sz w:val="22"/>
      <w:szCs w:val="27"/>
    </w:rPr>
  </w:style>
  <w:style w:type="paragraph" w:styleId="Heading4">
    <w:name w:val="heading 4"/>
    <w:basedOn w:val="Normal"/>
    <w:link w:val="Heading4Char"/>
    <w:uiPriority w:val="9"/>
    <w:qFormat/>
    <w:rsid w:val="00391BD0"/>
    <w:pPr>
      <w:spacing w:before="100" w:beforeAutospacing="1" w:after="100" w:afterAutospacing="1"/>
      <w:outlineLvl w:val="3"/>
    </w:pPr>
    <w:rPr>
      <w:b/>
      <w:bCs/>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D458D7"/>
    <w:rPr>
      <w:rFonts w:ascii="Times New Roman" w:eastAsia="Times New Roman" w:hAnsi="Times New Roman" w:cs="Times New Roman"/>
      <w:b/>
      <w:bCs/>
      <w:kern w:val="36"/>
      <w:sz w:val="24"/>
      <w:szCs w:val="48"/>
      <w:lang w:eastAsia="en-GB"/>
    </w:rPr>
  </w:style>
  <w:style w:type="character" w:customStyle="1" w:styleId="Heading2Char">
    <w:name w:val="Heading 2 Char"/>
    <w:basedOn w:val="DefaultParagraphFont"/>
    <w:link w:val="Heading2"/>
    <w:uiPriority w:val="9"/>
    <w:rsid w:val="00D458D7"/>
    <w:rPr>
      <w:rFonts w:ascii="Times New Roman" w:eastAsia="Times New Roman" w:hAnsi="Times New Roman" w:cs="Times New Roman"/>
      <w:b/>
      <w:bCs/>
      <w:sz w:val="24"/>
      <w:szCs w:val="36"/>
      <w:lang w:eastAsia="en-GB"/>
    </w:rPr>
  </w:style>
  <w:style w:type="character" w:customStyle="1" w:styleId="Heading3Char">
    <w:name w:val="Heading 3 Char"/>
    <w:basedOn w:val="DefaultParagraphFont"/>
    <w:link w:val="Heading3"/>
    <w:uiPriority w:val="9"/>
    <w:rsid w:val="00314F3E"/>
    <w:rPr>
      <w:rFonts w:ascii="Times New Roman" w:eastAsia="Times New Roman" w:hAnsi="Times New Roman" w:cs="Times New Roman"/>
      <w:b/>
      <w:bCs/>
      <w:szCs w:val="27"/>
      <w:lang w:eastAsia="en-GB"/>
    </w:rPr>
  </w:style>
  <w:style w:type="character" w:customStyle="1" w:styleId="Heading4Char">
    <w:name w:val="Heading 4 Char"/>
    <w:basedOn w:val="DefaultParagraphFont"/>
    <w:link w:val="Heading4"/>
    <w:uiPriority w:val="9"/>
    <w:rsid w:val="00391BD0"/>
    <w:rPr>
      <w:rFonts w:ascii="Times New Roman" w:eastAsia="Times New Roman" w:hAnsi="Times New Roman" w:cs="Times New Roman"/>
      <w:b/>
      <w:bCs/>
      <w:sz w:val="24"/>
      <w:szCs w:val="24"/>
      <w:lang w:eastAsia="en-GB"/>
    </w:rPr>
  </w:style>
  <w:style w:type="character" w:styleId="Hyperlink">
    <w:name w:val="Hyperlink"/>
    <w:basedOn w:val="DefaultParagraphFont"/>
    <w:uiPriority w:val="99"/>
    <w:unhideWhenUsed/>
    <w:rsid w:val="00391BD0"/>
    <w:rPr>
      <w:color w:val="0000FF"/>
      <w:u w:val="single"/>
    </w:rPr>
  </w:style>
  <w:style w:type="character" w:styleId="FollowedHyperlink">
    <w:name w:val="FollowedHyperlink"/>
    <w:basedOn w:val="DefaultParagraphFont"/>
    <w:uiPriority w:val="99"/>
    <w:semiHidden/>
    <w:unhideWhenUsed/>
    <w:rsid w:val="00391BD0"/>
    <w:rPr>
      <w:color w:val="800080"/>
      <w:u w:val="single"/>
    </w:rPr>
  </w:style>
  <w:style w:type="character" w:customStyle="1" w:styleId="float-caption-standard">
    <w:name w:val="float-caption-standard"/>
    <w:basedOn w:val="DefaultParagraphFont"/>
    <w:rsid w:val="00391BD0"/>
  </w:style>
  <w:style w:type="character" w:customStyle="1" w:styleId="sectionlabel">
    <w:name w:val="section_label"/>
    <w:basedOn w:val="DefaultParagraphFont"/>
    <w:rsid w:val="00391BD0"/>
  </w:style>
  <w:style w:type="character" w:customStyle="1" w:styleId="subsectionlabel">
    <w:name w:val="subsection_label"/>
    <w:basedOn w:val="DefaultParagraphFont"/>
    <w:rsid w:val="00391BD0"/>
  </w:style>
  <w:style w:type="character" w:customStyle="1" w:styleId="subsubsectionlabel">
    <w:name w:val="subsubsection_label"/>
    <w:basedOn w:val="DefaultParagraphFont"/>
    <w:rsid w:val="00391BD0"/>
  </w:style>
  <w:style w:type="character" w:styleId="LineNumber">
    <w:name w:val="line number"/>
    <w:basedOn w:val="DefaultParagraphFont"/>
    <w:uiPriority w:val="99"/>
    <w:semiHidden/>
    <w:unhideWhenUsed/>
    <w:rsid w:val="00A15B27"/>
  </w:style>
  <w:style w:type="paragraph" w:styleId="ListParagraph">
    <w:name w:val="List Paragraph"/>
    <w:basedOn w:val="Normal"/>
    <w:uiPriority w:val="34"/>
    <w:qFormat/>
    <w:rsid w:val="00EC0126"/>
    <w:pPr>
      <w:spacing w:after="200" w:line="276" w:lineRule="auto"/>
      <w:ind w:left="720"/>
      <w:contextualSpacing/>
    </w:pPr>
    <w:rPr>
      <w:rFonts w:asciiTheme="minorHAnsi" w:eastAsiaTheme="minorHAnsi" w:hAnsiTheme="minorHAnsi" w:cstheme="minorBidi"/>
      <w:sz w:val="22"/>
      <w:szCs w:val="22"/>
      <w:lang w:eastAsia="en-US"/>
    </w:rPr>
  </w:style>
  <w:style w:type="paragraph" w:styleId="BalloonText">
    <w:name w:val="Balloon Text"/>
    <w:basedOn w:val="Normal"/>
    <w:link w:val="BalloonTextChar"/>
    <w:uiPriority w:val="99"/>
    <w:semiHidden/>
    <w:unhideWhenUsed/>
    <w:rsid w:val="00E8341C"/>
    <w:rPr>
      <w:rFonts w:ascii="Tahoma" w:eastAsiaTheme="minorHAnsi" w:hAnsi="Tahoma" w:cs="Tahoma"/>
      <w:sz w:val="16"/>
      <w:szCs w:val="16"/>
      <w:lang w:eastAsia="en-US"/>
    </w:rPr>
  </w:style>
  <w:style w:type="character" w:customStyle="1" w:styleId="BalloonTextChar">
    <w:name w:val="Balloon Text Char"/>
    <w:basedOn w:val="DefaultParagraphFont"/>
    <w:link w:val="BalloonText"/>
    <w:uiPriority w:val="99"/>
    <w:semiHidden/>
    <w:rsid w:val="00E8341C"/>
    <w:rPr>
      <w:rFonts w:ascii="Tahoma" w:hAnsi="Tahoma" w:cs="Tahoma"/>
      <w:sz w:val="16"/>
      <w:szCs w:val="16"/>
    </w:rPr>
  </w:style>
  <w:style w:type="paragraph" w:styleId="Bibliography">
    <w:name w:val="Bibliography"/>
    <w:basedOn w:val="Normal"/>
    <w:next w:val="Normal"/>
    <w:uiPriority w:val="37"/>
    <w:unhideWhenUsed/>
    <w:rsid w:val="000B795B"/>
    <w:pPr>
      <w:spacing w:after="240"/>
      <w:ind w:left="720" w:hanging="720"/>
    </w:pPr>
    <w:rPr>
      <w:rFonts w:asciiTheme="minorHAnsi" w:eastAsiaTheme="minorHAnsi" w:hAnsiTheme="minorHAnsi" w:cstheme="minorBidi"/>
      <w:sz w:val="22"/>
      <w:szCs w:val="22"/>
      <w:lang w:eastAsia="en-US"/>
    </w:rPr>
  </w:style>
  <w:style w:type="paragraph" w:styleId="Caption">
    <w:name w:val="caption"/>
    <w:basedOn w:val="Normal"/>
    <w:next w:val="Normal"/>
    <w:uiPriority w:val="35"/>
    <w:unhideWhenUsed/>
    <w:qFormat/>
    <w:rsid w:val="002A4447"/>
    <w:pPr>
      <w:spacing w:after="200"/>
    </w:pPr>
    <w:rPr>
      <w:rFonts w:asciiTheme="minorHAnsi" w:eastAsiaTheme="minorHAnsi" w:hAnsiTheme="minorHAnsi" w:cstheme="minorBidi"/>
      <w:b/>
      <w:bCs/>
      <w:color w:val="4F81BD" w:themeColor="accent1"/>
      <w:sz w:val="18"/>
      <w:szCs w:val="18"/>
      <w:lang w:eastAsia="en-US"/>
    </w:rPr>
  </w:style>
  <w:style w:type="paragraph" w:styleId="Header">
    <w:name w:val="header"/>
    <w:basedOn w:val="Normal"/>
    <w:link w:val="HeaderChar"/>
    <w:uiPriority w:val="99"/>
    <w:unhideWhenUsed/>
    <w:rsid w:val="003A5E98"/>
    <w:pPr>
      <w:tabs>
        <w:tab w:val="center" w:pos="4513"/>
        <w:tab w:val="right" w:pos="9026"/>
      </w:tabs>
    </w:pPr>
    <w:rPr>
      <w:rFonts w:asciiTheme="minorHAnsi" w:eastAsiaTheme="minorHAnsi" w:hAnsiTheme="minorHAnsi" w:cstheme="minorBidi"/>
      <w:sz w:val="22"/>
      <w:szCs w:val="22"/>
      <w:lang w:eastAsia="en-US"/>
    </w:rPr>
  </w:style>
  <w:style w:type="character" w:customStyle="1" w:styleId="HeaderChar">
    <w:name w:val="Header Char"/>
    <w:basedOn w:val="DefaultParagraphFont"/>
    <w:link w:val="Header"/>
    <w:uiPriority w:val="99"/>
    <w:rsid w:val="003A5E98"/>
  </w:style>
  <w:style w:type="paragraph" w:styleId="Footer">
    <w:name w:val="footer"/>
    <w:basedOn w:val="Normal"/>
    <w:link w:val="FooterChar"/>
    <w:uiPriority w:val="99"/>
    <w:unhideWhenUsed/>
    <w:rsid w:val="003A5E98"/>
    <w:pPr>
      <w:tabs>
        <w:tab w:val="center" w:pos="4513"/>
        <w:tab w:val="right" w:pos="9026"/>
      </w:tabs>
    </w:pPr>
    <w:rPr>
      <w:rFonts w:asciiTheme="minorHAnsi" w:eastAsiaTheme="minorHAnsi" w:hAnsiTheme="minorHAnsi" w:cstheme="minorBidi"/>
      <w:sz w:val="22"/>
      <w:szCs w:val="22"/>
      <w:lang w:eastAsia="en-US"/>
    </w:rPr>
  </w:style>
  <w:style w:type="character" w:customStyle="1" w:styleId="FooterChar">
    <w:name w:val="Footer Char"/>
    <w:basedOn w:val="DefaultParagraphFont"/>
    <w:link w:val="Footer"/>
    <w:uiPriority w:val="99"/>
    <w:rsid w:val="003A5E98"/>
  </w:style>
  <w:style w:type="character" w:styleId="CommentReference">
    <w:name w:val="annotation reference"/>
    <w:basedOn w:val="DefaultParagraphFont"/>
    <w:uiPriority w:val="99"/>
    <w:semiHidden/>
    <w:unhideWhenUsed/>
    <w:rsid w:val="00003CC9"/>
    <w:rPr>
      <w:sz w:val="16"/>
      <w:szCs w:val="16"/>
    </w:rPr>
  </w:style>
  <w:style w:type="paragraph" w:styleId="CommentText">
    <w:name w:val="annotation text"/>
    <w:basedOn w:val="Normal"/>
    <w:link w:val="CommentTextChar"/>
    <w:uiPriority w:val="99"/>
    <w:semiHidden/>
    <w:unhideWhenUsed/>
    <w:rsid w:val="00003CC9"/>
    <w:pPr>
      <w:spacing w:after="200"/>
    </w:pPr>
    <w:rPr>
      <w:rFonts w:asciiTheme="minorHAnsi" w:eastAsiaTheme="minorHAnsi" w:hAnsiTheme="minorHAnsi" w:cstheme="minorBidi"/>
      <w:sz w:val="20"/>
      <w:szCs w:val="20"/>
      <w:lang w:eastAsia="en-US"/>
    </w:rPr>
  </w:style>
  <w:style w:type="character" w:customStyle="1" w:styleId="CommentTextChar">
    <w:name w:val="Comment Text Char"/>
    <w:basedOn w:val="DefaultParagraphFont"/>
    <w:link w:val="CommentText"/>
    <w:uiPriority w:val="99"/>
    <w:semiHidden/>
    <w:rsid w:val="00003CC9"/>
    <w:rPr>
      <w:sz w:val="20"/>
      <w:szCs w:val="20"/>
    </w:rPr>
  </w:style>
  <w:style w:type="paragraph" w:styleId="CommentSubject">
    <w:name w:val="annotation subject"/>
    <w:basedOn w:val="CommentText"/>
    <w:next w:val="CommentText"/>
    <w:link w:val="CommentSubjectChar"/>
    <w:uiPriority w:val="99"/>
    <w:semiHidden/>
    <w:unhideWhenUsed/>
    <w:rsid w:val="00003CC9"/>
    <w:rPr>
      <w:b/>
      <w:bCs/>
    </w:rPr>
  </w:style>
  <w:style w:type="character" w:customStyle="1" w:styleId="CommentSubjectChar">
    <w:name w:val="Comment Subject Char"/>
    <w:basedOn w:val="CommentTextChar"/>
    <w:link w:val="CommentSubject"/>
    <w:uiPriority w:val="99"/>
    <w:semiHidden/>
    <w:rsid w:val="00003CC9"/>
    <w:rPr>
      <w:b/>
      <w:bCs/>
      <w:sz w:val="20"/>
      <w:szCs w:val="20"/>
    </w:rPr>
  </w:style>
  <w:style w:type="character" w:styleId="PlaceholderText">
    <w:name w:val="Placeholder Text"/>
    <w:basedOn w:val="DefaultParagraphFont"/>
    <w:uiPriority w:val="99"/>
    <w:semiHidden/>
    <w:rsid w:val="00E85888"/>
    <w:rPr>
      <w:color w:val="808080"/>
    </w:rPr>
  </w:style>
  <w:style w:type="paragraph" w:styleId="Revision">
    <w:name w:val="Revision"/>
    <w:hidden/>
    <w:uiPriority w:val="99"/>
    <w:semiHidden/>
    <w:rsid w:val="00D71E4B"/>
    <w:pPr>
      <w:spacing w:after="0" w:line="240" w:lineRule="auto"/>
    </w:pPr>
  </w:style>
  <w:style w:type="paragraph" w:styleId="DocumentMap">
    <w:name w:val="Document Map"/>
    <w:basedOn w:val="Normal"/>
    <w:link w:val="DocumentMapChar"/>
    <w:uiPriority w:val="99"/>
    <w:semiHidden/>
    <w:unhideWhenUsed/>
    <w:rsid w:val="00B77B94"/>
  </w:style>
  <w:style w:type="character" w:customStyle="1" w:styleId="DocumentMapChar">
    <w:name w:val="Document Map Char"/>
    <w:basedOn w:val="DefaultParagraphFont"/>
    <w:link w:val="DocumentMap"/>
    <w:uiPriority w:val="99"/>
    <w:semiHidden/>
    <w:rsid w:val="00B77B94"/>
    <w:rPr>
      <w:rFonts w:ascii="Times New Roman" w:hAnsi="Times New Roman" w:cs="Times New Roman"/>
      <w:sz w:val="24"/>
      <w:szCs w:val="24"/>
      <w:lang w:eastAsia="en-GB"/>
    </w:rPr>
  </w:style>
  <w:style w:type="character" w:styleId="Strong">
    <w:name w:val="Strong"/>
    <w:basedOn w:val="DefaultParagraphFont"/>
    <w:uiPriority w:val="22"/>
    <w:qFormat/>
    <w:rsid w:val="007668FD"/>
    <w:rPr>
      <w:b/>
      <w:bCs/>
    </w:rPr>
  </w:style>
  <w:style w:type="character" w:customStyle="1" w:styleId="stack">
    <w:name w:val="stack"/>
    <w:basedOn w:val="DefaultParagraphFont"/>
    <w:rsid w:val="00E9350A"/>
  </w:style>
  <w:style w:type="character" w:styleId="Emphasis">
    <w:name w:val="Emphasis"/>
    <w:basedOn w:val="DefaultParagraphFont"/>
    <w:uiPriority w:val="20"/>
    <w:qFormat/>
    <w:rsid w:val="002C48D9"/>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31407779">
      <w:bodyDiv w:val="1"/>
      <w:marLeft w:val="0"/>
      <w:marRight w:val="0"/>
      <w:marTop w:val="0"/>
      <w:marBottom w:val="0"/>
      <w:divBdr>
        <w:top w:val="none" w:sz="0" w:space="0" w:color="auto"/>
        <w:left w:val="none" w:sz="0" w:space="0" w:color="auto"/>
        <w:bottom w:val="none" w:sz="0" w:space="0" w:color="auto"/>
        <w:right w:val="none" w:sz="0" w:space="0" w:color="auto"/>
      </w:divBdr>
    </w:div>
    <w:div w:id="162672579">
      <w:bodyDiv w:val="1"/>
      <w:marLeft w:val="0"/>
      <w:marRight w:val="0"/>
      <w:marTop w:val="0"/>
      <w:marBottom w:val="0"/>
      <w:divBdr>
        <w:top w:val="none" w:sz="0" w:space="0" w:color="auto"/>
        <w:left w:val="none" w:sz="0" w:space="0" w:color="auto"/>
        <w:bottom w:val="none" w:sz="0" w:space="0" w:color="auto"/>
        <w:right w:val="none" w:sz="0" w:space="0" w:color="auto"/>
      </w:divBdr>
    </w:div>
    <w:div w:id="251399853">
      <w:bodyDiv w:val="1"/>
      <w:marLeft w:val="0"/>
      <w:marRight w:val="0"/>
      <w:marTop w:val="0"/>
      <w:marBottom w:val="0"/>
      <w:divBdr>
        <w:top w:val="none" w:sz="0" w:space="0" w:color="auto"/>
        <w:left w:val="none" w:sz="0" w:space="0" w:color="auto"/>
        <w:bottom w:val="none" w:sz="0" w:space="0" w:color="auto"/>
        <w:right w:val="none" w:sz="0" w:space="0" w:color="auto"/>
      </w:divBdr>
      <w:divsChild>
        <w:div w:id="413867287">
          <w:marLeft w:val="0"/>
          <w:marRight w:val="0"/>
          <w:marTop w:val="0"/>
          <w:marBottom w:val="0"/>
          <w:divBdr>
            <w:top w:val="none" w:sz="0" w:space="0" w:color="auto"/>
            <w:left w:val="none" w:sz="0" w:space="0" w:color="auto"/>
            <w:bottom w:val="none" w:sz="0" w:space="0" w:color="auto"/>
            <w:right w:val="none" w:sz="0" w:space="0" w:color="auto"/>
          </w:divBdr>
        </w:div>
        <w:div w:id="181937214">
          <w:marLeft w:val="0"/>
          <w:marRight w:val="0"/>
          <w:marTop w:val="0"/>
          <w:marBottom w:val="0"/>
          <w:divBdr>
            <w:top w:val="none" w:sz="0" w:space="0" w:color="auto"/>
            <w:left w:val="none" w:sz="0" w:space="0" w:color="auto"/>
            <w:bottom w:val="none" w:sz="0" w:space="0" w:color="auto"/>
            <w:right w:val="none" w:sz="0" w:space="0" w:color="auto"/>
          </w:divBdr>
        </w:div>
        <w:div w:id="1744571643">
          <w:marLeft w:val="0"/>
          <w:marRight w:val="0"/>
          <w:marTop w:val="0"/>
          <w:marBottom w:val="0"/>
          <w:divBdr>
            <w:top w:val="none" w:sz="0" w:space="0" w:color="auto"/>
            <w:left w:val="none" w:sz="0" w:space="0" w:color="auto"/>
            <w:bottom w:val="none" w:sz="0" w:space="0" w:color="auto"/>
            <w:right w:val="none" w:sz="0" w:space="0" w:color="auto"/>
          </w:divBdr>
        </w:div>
      </w:divsChild>
    </w:div>
    <w:div w:id="270478689">
      <w:bodyDiv w:val="1"/>
      <w:marLeft w:val="0"/>
      <w:marRight w:val="0"/>
      <w:marTop w:val="0"/>
      <w:marBottom w:val="0"/>
      <w:divBdr>
        <w:top w:val="none" w:sz="0" w:space="0" w:color="auto"/>
        <w:left w:val="none" w:sz="0" w:space="0" w:color="auto"/>
        <w:bottom w:val="none" w:sz="0" w:space="0" w:color="auto"/>
        <w:right w:val="none" w:sz="0" w:space="0" w:color="auto"/>
      </w:divBdr>
    </w:div>
    <w:div w:id="418908768">
      <w:bodyDiv w:val="1"/>
      <w:marLeft w:val="0"/>
      <w:marRight w:val="0"/>
      <w:marTop w:val="0"/>
      <w:marBottom w:val="0"/>
      <w:divBdr>
        <w:top w:val="none" w:sz="0" w:space="0" w:color="auto"/>
        <w:left w:val="none" w:sz="0" w:space="0" w:color="auto"/>
        <w:bottom w:val="none" w:sz="0" w:space="0" w:color="auto"/>
        <w:right w:val="none" w:sz="0" w:space="0" w:color="auto"/>
      </w:divBdr>
    </w:div>
    <w:div w:id="439571159">
      <w:bodyDiv w:val="1"/>
      <w:marLeft w:val="0"/>
      <w:marRight w:val="0"/>
      <w:marTop w:val="0"/>
      <w:marBottom w:val="0"/>
      <w:divBdr>
        <w:top w:val="none" w:sz="0" w:space="0" w:color="auto"/>
        <w:left w:val="none" w:sz="0" w:space="0" w:color="auto"/>
        <w:bottom w:val="none" w:sz="0" w:space="0" w:color="auto"/>
        <w:right w:val="none" w:sz="0" w:space="0" w:color="auto"/>
      </w:divBdr>
    </w:div>
    <w:div w:id="478152280">
      <w:bodyDiv w:val="1"/>
      <w:marLeft w:val="0"/>
      <w:marRight w:val="0"/>
      <w:marTop w:val="0"/>
      <w:marBottom w:val="0"/>
      <w:divBdr>
        <w:top w:val="none" w:sz="0" w:space="0" w:color="auto"/>
        <w:left w:val="none" w:sz="0" w:space="0" w:color="auto"/>
        <w:bottom w:val="none" w:sz="0" w:space="0" w:color="auto"/>
        <w:right w:val="none" w:sz="0" w:space="0" w:color="auto"/>
      </w:divBdr>
    </w:div>
    <w:div w:id="489638842">
      <w:bodyDiv w:val="1"/>
      <w:marLeft w:val="0"/>
      <w:marRight w:val="0"/>
      <w:marTop w:val="0"/>
      <w:marBottom w:val="0"/>
      <w:divBdr>
        <w:top w:val="none" w:sz="0" w:space="0" w:color="auto"/>
        <w:left w:val="none" w:sz="0" w:space="0" w:color="auto"/>
        <w:bottom w:val="none" w:sz="0" w:space="0" w:color="auto"/>
        <w:right w:val="none" w:sz="0" w:space="0" w:color="auto"/>
      </w:divBdr>
    </w:div>
    <w:div w:id="545484126">
      <w:bodyDiv w:val="1"/>
      <w:marLeft w:val="0"/>
      <w:marRight w:val="0"/>
      <w:marTop w:val="0"/>
      <w:marBottom w:val="0"/>
      <w:divBdr>
        <w:top w:val="none" w:sz="0" w:space="0" w:color="auto"/>
        <w:left w:val="none" w:sz="0" w:space="0" w:color="auto"/>
        <w:bottom w:val="none" w:sz="0" w:space="0" w:color="auto"/>
        <w:right w:val="none" w:sz="0" w:space="0" w:color="auto"/>
      </w:divBdr>
    </w:div>
    <w:div w:id="586231627">
      <w:bodyDiv w:val="1"/>
      <w:marLeft w:val="0"/>
      <w:marRight w:val="0"/>
      <w:marTop w:val="0"/>
      <w:marBottom w:val="0"/>
      <w:divBdr>
        <w:top w:val="none" w:sz="0" w:space="0" w:color="auto"/>
        <w:left w:val="none" w:sz="0" w:space="0" w:color="auto"/>
        <w:bottom w:val="none" w:sz="0" w:space="0" w:color="auto"/>
        <w:right w:val="none" w:sz="0" w:space="0" w:color="auto"/>
      </w:divBdr>
    </w:div>
    <w:div w:id="711032551">
      <w:bodyDiv w:val="1"/>
      <w:marLeft w:val="0"/>
      <w:marRight w:val="0"/>
      <w:marTop w:val="0"/>
      <w:marBottom w:val="0"/>
      <w:divBdr>
        <w:top w:val="none" w:sz="0" w:space="0" w:color="auto"/>
        <w:left w:val="none" w:sz="0" w:space="0" w:color="auto"/>
        <w:bottom w:val="none" w:sz="0" w:space="0" w:color="auto"/>
        <w:right w:val="none" w:sz="0" w:space="0" w:color="auto"/>
      </w:divBdr>
    </w:div>
    <w:div w:id="767504228">
      <w:bodyDiv w:val="1"/>
      <w:marLeft w:val="0"/>
      <w:marRight w:val="0"/>
      <w:marTop w:val="0"/>
      <w:marBottom w:val="0"/>
      <w:divBdr>
        <w:top w:val="none" w:sz="0" w:space="0" w:color="auto"/>
        <w:left w:val="none" w:sz="0" w:space="0" w:color="auto"/>
        <w:bottom w:val="none" w:sz="0" w:space="0" w:color="auto"/>
        <w:right w:val="none" w:sz="0" w:space="0" w:color="auto"/>
      </w:divBdr>
    </w:div>
    <w:div w:id="823812369">
      <w:bodyDiv w:val="1"/>
      <w:marLeft w:val="0"/>
      <w:marRight w:val="0"/>
      <w:marTop w:val="0"/>
      <w:marBottom w:val="0"/>
      <w:divBdr>
        <w:top w:val="none" w:sz="0" w:space="0" w:color="auto"/>
        <w:left w:val="none" w:sz="0" w:space="0" w:color="auto"/>
        <w:bottom w:val="none" w:sz="0" w:space="0" w:color="auto"/>
        <w:right w:val="none" w:sz="0" w:space="0" w:color="auto"/>
      </w:divBdr>
    </w:div>
    <w:div w:id="834371216">
      <w:bodyDiv w:val="1"/>
      <w:marLeft w:val="0"/>
      <w:marRight w:val="0"/>
      <w:marTop w:val="0"/>
      <w:marBottom w:val="0"/>
      <w:divBdr>
        <w:top w:val="none" w:sz="0" w:space="0" w:color="auto"/>
        <w:left w:val="none" w:sz="0" w:space="0" w:color="auto"/>
        <w:bottom w:val="none" w:sz="0" w:space="0" w:color="auto"/>
        <w:right w:val="none" w:sz="0" w:space="0" w:color="auto"/>
      </w:divBdr>
    </w:div>
    <w:div w:id="890580917">
      <w:bodyDiv w:val="1"/>
      <w:marLeft w:val="0"/>
      <w:marRight w:val="0"/>
      <w:marTop w:val="0"/>
      <w:marBottom w:val="0"/>
      <w:divBdr>
        <w:top w:val="none" w:sz="0" w:space="0" w:color="auto"/>
        <w:left w:val="none" w:sz="0" w:space="0" w:color="auto"/>
        <w:bottom w:val="none" w:sz="0" w:space="0" w:color="auto"/>
        <w:right w:val="none" w:sz="0" w:space="0" w:color="auto"/>
      </w:divBdr>
    </w:div>
    <w:div w:id="953252729">
      <w:bodyDiv w:val="1"/>
      <w:marLeft w:val="0"/>
      <w:marRight w:val="0"/>
      <w:marTop w:val="0"/>
      <w:marBottom w:val="0"/>
      <w:divBdr>
        <w:top w:val="none" w:sz="0" w:space="0" w:color="auto"/>
        <w:left w:val="none" w:sz="0" w:space="0" w:color="auto"/>
        <w:bottom w:val="none" w:sz="0" w:space="0" w:color="auto"/>
        <w:right w:val="none" w:sz="0" w:space="0" w:color="auto"/>
      </w:divBdr>
    </w:div>
    <w:div w:id="956646814">
      <w:bodyDiv w:val="1"/>
      <w:marLeft w:val="0"/>
      <w:marRight w:val="0"/>
      <w:marTop w:val="0"/>
      <w:marBottom w:val="0"/>
      <w:divBdr>
        <w:top w:val="none" w:sz="0" w:space="0" w:color="auto"/>
        <w:left w:val="none" w:sz="0" w:space="0" w:color="auto"/>
        <w:bottom w:val="none" w:sz="0" w:space="0" w:color="auto"/>
        <w:right w:val="none" w:sz="0" w:space="0" w:color="auto"/>
      </w:divBdr>
      <w:divsChild>
        <w:div w:id="1279218005">
          <w:marLeft w:val="480"/>
          <w:marRight w:val="0"/>
          <w:marTop w:val="0"/>
          <w:marBottom w:val="0"/>
          <w:divBdr>
            <w:top w:val="none" w:sz="0" w:space="0" w:color="auto"/>
            <w:left w:val="none" w:sz="0" w:space="0" w:color="auto"/>
            <w:bottom w:val="none" w:sz="0" w:space="0" w:color="auto"/>
            <w:right w:val="none" w:sz="0" w:space="0" w:color="auto"/>
          </w:divBdr>
          <w:divsChild>
            <w:div w:id="21058070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62804619">
      <w:bodyDiv w:val="1"/>
      <w:marLeft w:val="0"/>
      <w:marRight w:val="0"/>
      <w:marTop w:val="0"/>
      <w:marBottom w:val="0"/>
      <w:divBdr>
        <w:top w:val="none" w:sz="0" w:space="0" w:color="auto"/>
        <w:left w:val="none" w:sz="0" w:space="0" w:color="auto"/>
        <w:bottom w:val="none" w:sz="0" w:space="0" w:color="auto"/>
        <w:right w:val="none" w:sz="0" w:space="0" w:color="auto"/>
      </w:divBdr>
      <w:divsChild>
        <w:div w:id="1200786">
          <w:marLeft w:val="0"/>
          <w:marRight w:val="0"/>
          <w:marTop w:val="0"/>
          <w:marBottom w:val="240"/>
          <w:divBdr>
            <w:top w:val="none" w:sz="0" w:space="0" w:color="auto"/>
            <w:left w:val="none" w:sz="0" w:space="0" w:color="auto"/>
            <w:bottom w:val="none" w:sz="0" w:space="0" w:color="auto"/>
            <w:right w:val="none" w:sz="0" w:space="0" w:color="auto"/>
          </w:divBdr>
        </w:div>
        <w:div w:id="6106858">
          <w:marLeft w:val="0"/>
          <w:marRight w:val="0"/>
          <w:marTop w:val="0"/>
          <w:marBottom w:val="240"/>
          <w:divBdr>
            <w:top w:val="none" w:sz="0" w:space="0" w:color="auto"/>
            <w:left w:val="none" w:sz="0" w:space="0" w:color="auto"/>
            <w:bottom w:val="none" w:sz="0" w:space="0" w:color="auto"/>
            <w:right w:val="none" w:sz="0" w:space="0" w:color="auto"/>
          </w:divBdr>
        </w:div>
        <w:div w:id="55664522">
          <w:marLeft w:val="0"/>
          <w:marRight w:val="0"/>
          <w:marTop w:val="0"/>
          <w:marBottom w:val="0"/>
          <w:divBdr>
            <w:top w:val="single" w:sz="12" w:space="0" w:color="000000"/>
            <w:left w:val="single" w:sz="12" w:space="0" w:color="000000"/>
            <w:bottom w:val="single" w:sz="12" w:space="0" w:color="000000"/>
            <w:right w:val="single" w:sz="12" w:space="0" w:color="000000"/>
          </w:divBdr>
        </w:div>
        <w:div w:id="76826844">
          <w:marLeft w:val="0"/>
          <w:marRight w:val="0"/>
          <w:marTop w:val="0"/>
          <w:marBottom w:val="240"/>
          <w:divBdr>
            <w:top w:val="none" w:sz="0" w:space="0" w:color="auto"/>
            <w:left w:val="none" w:sz="0" w:space="0" w:color="auto"/>
            <w:bottom w:val="none" w:sz="0" w:space="0" w:color="auto"/>
            <w:right w:val="none" w:sz="0" w:space="0" w:color="auto"/>
          </w:divBdr>
        </w:div>
        <w:div w:id="111167773">
          <w:marLeft w:val="0"/>
          <w:marRight w:val="0"/>
          <w:marTop w:val="0"/>
          <w:marBottom w:val="240"/>
          <w:divBdr>
            <w:top w:val="none" w:sz="0" w:space="0" w:color="auto"/>
            <w:left w:val="none" w:sz="0" w:space="0" w:color="auto"/>
            <w:bottom w:val="none" w:sz="0" w:space="0" w:color="auto"/>
            <w:right w:val="none" w:sz="0" w:space="0" w:color="auto"/>
          </w:divBdr>
        </w:div>
        <w:div w:id="138422645">
          <w:marLeft w:val="0"/>
          <w:marRight w:val="0"/>
          <w:marTop w:val="0"/>
          <w:marBottom w:val="240"/>
          <w:divBdr>
            <w:top w:val="none" w:sz="0" w:space="0" w:color="auto"/>
            <w:left w:val="none" w:sz="0" w:space="0" w:color="auto"/>
            <w:bottom w:val="none" w:sz="0" w:space="0" w:color="auto"/>
            <w:right w:val="none" w:sz="0" w:space="0" w:color="auto"/>
          </w:divBdr>
        </w:div>
        <w:div w:id="214585839">
          <w:marLeft w:val="0"/>
          <w:marRight w:val="0"/>
          <w:marTop w:val="0"/>
          <w:marBottom w:val="0"/>
          <w:divBdr>
            <w:top w:val="single" w:sz="12" w:space="0" w:color="000000"/>
            <w:left w:val="single" w:sz="12" w:space="0" w:color="000000"/>
            <w:bottom w:val="single" w:sz="12" w:space="0" w:color="000000"/>
            <w:right w:val="single" w:sz="12" w:space="0" w:color="000000"/>
          </w:divBdr>
        </w:div>
        <w:div w:id="231739620">
          <w:marLeft w:val="0"/>
          <w:marRight w:val="0"/>
          <w:marTop w:val="0"/>
          <w:marBottom w:val="240"/>
          <w:divBdr>
            <w:top w:val="none" w:sz="0" w:space="0" w:color="auto"/>
            <w:left w:val="none" w:sz="0" w:space="0" w:color="auto"/>
            <w:bottom w:val="none" w:sz="0" w:space="0" w:color="auto"/>
            <w:right w:val="none" w:sz="0" w:space="0" w:color="auto"/>
          </w:divBdr>
        </w:div>
        <w:div w:id="287900580">
          <w:marLeft w:val="0"/>
          <w:marRight w:val="0"/>
          <w:marTop w:val="0"/>
          <w:marBottom w:val="240"/>
          <w:divBdr>
            <w:top w:val="none" w:sz="0" w:space="0" w:color="auto"/>
            <w:left w:val="none" w:sz="0" w:space="0" w:color="auto"/>
            <w:bottom w:val="none" w:sz="0" w:space="0" w:color="auto"/>
            <w:right w:val="none" w:sz="0" w:space="0" w:color="auto"/>
          </w:divBdr>
        </w:div>
        <w:div w:id="325671880">
          <w:marLeft w:val="0"/>
          <w:marRight w:val="0"/>
          <w:marTop w:val="0"/>
          <w:marBottom w:val="0"/>
          <w:divBdr>
            <w:top w:val="single" w:sz="12" w:space="0" w:color="000000"/>
            <w:left w:val="single" w:sz="12" w:space="0" w:color="000000"/>
            <w:bottom w:val="single" w:sz="12" w:space="0" w:color="000000"/>
            <w:right w:val="single" w:sz="12" w:space="0" w:color="000000"/>
          </w:divBdr>
        </w:div>
        <w:div w:id="408042957">
          <w:marLeft w:val="0"/>
          <w:marRight w:val="0"/>
          <w:marTop w:val="0"/>
          <w:marBottom w:val="0"/>
          <w:divBdr>
            <w:top w:val="none" w:sz="0" w:space="0" w:color="auto"/>
            <w:left w:val="none" w:sz="0" w:space="0" w:color="auto"/>
            <w:bottom w:val="none" w:sz="0" w:space="0" w:color="auto"/>
            <w:right w:val="none" w:sz="0" w:space="0" w:color="auto"/>
          </w:divBdr>
        </w:div>
        <w:div w:id="414015946">
          <w:marLeft w:val="0"/>
          <w:marRight w:val="0"/>
          <w:marTop w:val="0"/>
          <w:marBottom w:val="240"/>
          <w:divBdr>
            <w:top w:val="none" w:sz="0" w:space="0" w:color="auto"/>
            <w:left w:val="none" w:sz="0" w:space="0" w:color="auto"/>
            <w:bottom w:val="none" w:sz="0" w:space="0" w:color="auto"/>
            <w:right w:val="none" w:sz="0" w:space="0" w:color="auto"/>
          </w:divBdr>
        </w:div>
        <w:div w:id="478881170">
          <w:marLeft w:val="0"/>
          <w:marRight w:val="0"/>
          <w:marTop w:val="0"/>
          <w:marBottom w:val="240"/>
          <w:divBdr>
            <w:top w:val="none" w:sz="0" w:space="0" w:color="auto"/>
            <w:left w:val="none" w:sz="0" w:space="0" w:color="auto"/>
            <w:bottom w:val="none" w:sz="0" w:space="0" w:color="auto"/>
            <w:right w:val="none" w:sz="0" w:space="0" w:color="auto"/>
          </w:divBdr>
        </w:div>
        <w:div w:id="497425084">
          <w:marLeft w:val="0"/>
          <w:marRight w:val="0"/>
          <w:marTop w:val="0"/>
          <w:marBottom w:val="240"/>
          <w:divBdr>
            <w:top w:val="none" w:sz="0" w:space="0" w:color="auto"/>
            <w:left w:val="none" w:sz="0" w:space="0" w:color="auto"/>
            <w:bottom w:val="none" w:sz="0" w:space="0" w:color="auto"/>
            <w:right w:val="none" w:sz="0" w:space="0" w:color="auto"/>
          </w:divBdr>
        </w:div>
        <w:div w:id="523132435">
          <w:marLeft w:val="0"/>
          <w:marRight w:val="0"/>
          <w:marTop w:val="0"/>
          <w:marBottom w:val="240"/>
          <w:divBdr>
            <w:top w:val="none" w:sz="0" w:space="0" w:color="auto"/>
            <w:left w:val="none" w:sz="0" w:space="0" w:color="auto"/>
            <w:bottom w:val="none" w:sz="0" w:space="0" w:color="auto"/>
            <w:right w:val="none" w:sz="0" w:space="0" w:color="auto"/>
          </w:divBdr>
        </w:div>
        <w:div w:id="618882253">
          <w:marLeft w:val="0"/>
          <w:marRight w:val="0"/>
          <w:marTop w:val="0"/>
          <w:marBottom w:val="0"/>
          <w:divBdr>
            <w:top w:val="single" w:sz="12" w:space="0" w:color="000000"/>
            <w:left w:val="single" w:sz="12" w:space="0" w:color="000000"/>
            <w:bottom w:val="single" w:sz="12" w:space="0" w:color="000000"/>
            <w:right w:val="single" w:sz="12" w:space="0" w:color="000000"/>
          </w:divBdr>
        </w:div>
        <w:div w:id="659041221">
          <w:marLeft w:val="0"/>
          <w:marRight w:val="0"/>
          <w:marTop w:val="0"/>
          <w:marBottom w:val="240"/>
          <w:divBdr>
            <w:top w:val="none" w:sz="0" w:space="0" w:color="auto"/>
            <w:left w:val="none" w:sz="0" w:space="0" w:color="auto"/>
            <w:bottom w:val="none" w:sz="0" w:space="0" w:color="auto"/>
            <w:right w:val="none" w:sz="0" w:space="0" w:color="auto"/>
          </w:divBdr>
        </w:div>
        <w:div w:id="667370735">
          <w:marLeft w:val="0"/>
          <w:marRight w:val="0"/>
          <w:marTop w:val="0"/>
          <w:marBottom w:val="240"/>
          <w:divBdr>
            <w:top w:val="none" w:sz="0" w:space="0" w:color="auto"/>
            <w:left w:val="none" w:sz="0" w:space="0" w:color="auto"/>
            <w:bottom w:val="none" w:sz="0" w:space="0" w:color="auto"/>
            <w:right w:val="none" w:sz="0" w:space="0" w:color="auto"/>
          </w:divBdr>
        </w:div>
        <w:div w:id="705448491">
          <w:marLeft w:val="0"/>
          <w:marRight w:val="0"/>
          <w:marTop w:val="0"/>
          <w:marBottom w:val="240"/>
          <w:divBdr>
            <w:top w:val="none" w:sz="0" w:space="0" w:color="auto"/>
            <w:left w:val="none" w:sz="0" w:space="0" w:color="auto"/>
            <w:bottom w:val="none" w:sz="0" w:space="0" w:color="auto"/>
            <w:right w:val="none" w:sz="0" w:space="0" w:color="auto"/>
          </w:divBdr>
        </w:div>
        <w:div w:id="731123158">
          <w:marLeft w:val="0"/>
          <w:marRight w:val="0"/>
          <w:marTop w:val="0"/>
          <w:marBottom w:val="240"/>
          <w:divBdr>
            <w:top w:val="none" w:sz="0" w:space="0" w:color="auto"/>
            <w:left w:val="none" w:sz="0" w:space="0" w:color="auto"/>
            <w:bottom w:val="none" w:sz="0" w:space="0" w:color="auto"/>
            <w:right w:val="none" w:sz="0" w:space="0" w:color="auto"/>
          </w:divBdr>
        </w:div>
        <w:div w:id="767042136">
          <w:marLeft w:val="0"/>
          <w:marRight w:val="0"/>
          <w:marTop w:val="0"/>
          <w:marBottom w:val="0"/>
          <w:divBdr>
            <w:top w:val="single" w:sz="12" w:space="0" w:color="000000"/>
            <w:left w:val="single" w:sz="12" w:space="0" w:color="000000"/>
            <w:bottom w:val="single" w:sz="12" w:space="0" w:color="000000"/>
            <w:right w:val="single" w:sz="12" w:space="0" w:color="000000"/>
          </w:divBdr>
        </w:div>
        <w:div w:id="767576003">
          <w:marLeft w:val="0"/>
          <w:marRight w:val="0"/>
          <w:marTop w:val="0"/>
          <w:marBottom w:val="240"/>
          <w:divBdr>
            <w:top w:val="none" w:sz="0" w:space="0" w:color="auto"/>
            <w:left w:val="none" w:sz="0" w:space="0" w:color="auto"/>
            <w:bottom w:val="none" w:sz="0" w:space="0" w:color="auto"/>
            <w:right w:val="none" w:sz="0" w:space="0" w:color="auto"/>
          </w:divBdr>
        </w:div>
        <w:div w:id="773281089">
          <w:marLeft w:val="0"/>
          <w:marRight w:val="0"/>
          <w:marTop w:val="0"/>
          <w:marBottom w:val="240"/>
          <w:divBdr>
            <w:top w:val="none" w:sz="0" w:space="0" w:color="auto"/>
            <w:left w:val="none" w:sz="0" w:space="0" w:color="auto"/>
            <w:bottom w:val="none" w:sz="0" w:space="0" w:color="auto"/>
            <w:right w:val="none" w:sz="0" w:space="0" w:color="auto"/>
          </w:divBdr>
        </w:div>
        <w:div w:id="774637066">
          <w:marLeft w:val="0"/>
          <w:marRight w:val="0"/>
          <w:marTop w:val="0"/>
          <w:marBottom w:val="240"/>
          <w:divBdr>
            <w:top w:val="none" w:sz="0" w:space="0" w:color="auto"/>
            <w:left w:val="none" w:sz="0" w:space="0" w:color="auto"/>
            <w:bottom w:val="none" w:sz="0" w:space="0" w:color="auto"/>
            <w:right w:val="none" w:sz="0" w:space="0" w:color="auto"/>
          </w:divBdr>
        </w:div>
        <w:div w:id="784231398">
          <w:marLeft w:val="0"/>
          <w:marRight w:val="0"/>
          <w:marTop w:val="0"/>
          <w:marBottom w:val="0"/>
          <w:divBdr>
            <w:top w:val="single" w:sz="12" w:space="0" w:color="000000"/>
            <w:left w:val="single" w:sz="12" w:space="0" w:color="000000"/>
            <w:bottom w:val="single" w:sz="12" w:space="0" w:color="000000"/>
            <w:right w:val="single" w:sz="12" w:space="0" w:color="000000"/>
          </w:divBdr>
        </w:div>
        <w:div w:id="810098875">
          <w:marLeft w:val="0"/>
          <w:marRight w:val="0"/>
          <w:marTop w:val="0"/>
          <w:marBottom w:val="0"/>
          <w:divBdr>
            <w:top w:val="single" w:sz="12" w:space="0" w:color="000000"/>
            <w:left w:val="single" w:sz="12" w:space="0" w:color="000000"/>
            <w:bottom w:val="single" w:sz="12" w:space="0" w:color="000000"/>
            <w:right w:val="single" w:sz="12" w:space="0" w:color="000000"/>
          </w:divBdr>
        </w:div>
        <w:div w:id="862670938">
          <w:marLeft w:val="0"/>
          <w:marRight w:val="0"/>
          <w:marTop w:val="0"/>
          <w:marBottom w:val="0"/>
          <w:divBdr>
            <w:top w:val="single" w:sz="12" w:space="0" w:color="000000"/>
            <w:left w:val="single" w:sz="12" w:space="0" w:color="000000"/>
            <w:bottom w:val="single" w:sz="12" w:space="0" w:color="000000"/>
            <w:right w:val="single" w:sz="12" w:space="0" w:color="000000"/>
          </w:divBdr>
        </w:div>
        <w:div w:id="903877060">
          <w:marLeft w:val="0"/>
          <w:marRight w:val="0"/>
          <w:marTop w:val="0"/>
          <w:marBottom w:val="240"/>
          <w:divBdr>
            <w:top w:val="none" w:sz="0" w:space="0" w:color="auto"/>
            <w:left w:val="none" w:sz="0" w:space="0" w:color="auto"/>
            <w:bottom w:val="none" w:sz="0" w:space="0" w:color="auto"/>
            <w:right w:val="none" w:sz="0" w:space="0" w:color="auto"/>
          </w:divBdr>
        </w:div>
        <w:div w:id="967859350">
          <w:marLeft w:val="0"/>
          <w:marRight w:val="0"/>
          <w:marTop w:val="0"/>
          <w:marBottom w:val="240"/>
          <w:divBdr>
            <w:top w:val="none" w:sz="0" w:space="0" w:color="auto"/>
            <w:left w:val="none" w:sz="0" w:space="0" w:color="auto"/>
            <w:bottom w:val="none" w:sz="0" w:space="0" w:color="auto"/>
            <w:right w:val="none" w:sz="0" w:space="0" w:color="auto"/>
          </w:divBdr>
        </w:div>
        <w:div w:id="975452150">
          <w:marLeft w:val="0"/>
          <w:marRight w:val="0"/>
          <w:marTop w:val="0"/>
          <w:marBottom w:val="240"/>
          <w:divBdr>
            <w:top w:val="none" w:sz="0" w:space="0" w:color="auto"/>
            <w:left w:val="none" w:sz="0" w:space="0" w:color="auto"/>
            <w:bottom w:val="none" w:sz="0" w:space="0" w:color="auto"/>
            <w:right w:val="none" w:sz="0" w:space="0" w:color="auto"/>
          </w:divBdr>
        </w:div>
        <w:div w:id="1024939656">
          <w:marLeft w:val="0"/>
          <w:marRight w:val="0"/>
          <w:marTop w:val="0"/>
          <w:marBottom w:val="240"/>
          <w:divBdr>
            <w:top w:val="none" w:sz="0" w:space="0" w:color="auto"/>
            <w:left w:val="none" w:sz="0" w:space="0" w:color="auto"/>
            <w:bottom w:val="none" w:sz="0" w:space="0" w:color="auto"/>
            <w:right w:val="none" w:sz="0" w:space="0" w:color="auto"/>
          </w:divBdr>
        </w:div>
        <w:div w:id="1035809052">
          <w:marLeft w:val="0"/>
          <w:marRight w:val="0"/>
          <w:marTop w:val="0"/>
          <w:marBottom w:val="0"/>
          <w:divBdr>
            <w:top w:val="single" w:sz="12" w:space="0" w:color="000000"/>
            <w:left w:val="single" w:sz="12" w:space="0" w:color="000000"/>
            <w:bottom w:val="single" w:sz="12" w:space="0" w:color="000000"/>
            <w:right w:val="single" w:sz="12" w:space="0" w:color="000000"/>
          </w:divBdr>
        </w:div>
        <w:div w:id="1072581348">
          <w:marLeft w:val="0"/>
          <w:marRight w:val="0"/>
          <w:marTop w:val="0"/>
          <w:marBottom w:val="240"/>
          <w:divBdr>
            <w:top w:val="none" w:sz="0" w:space="0" w:color="auto"/>
            <w:left w:val="none" w:sz="0" w:space="0" w:color="auto"/>
            <w:bottom w:val="none" w:sz="0" w:space="0" w:color="auto"/>
            <w:right w:val="none" w:sz="0" w:space="0" w:color="auto"/>
          </w:divBdr>
        </w:div>
        <w:div w:id="1101529106">
          <w:marLeft w:val="0"/>
          <w:marRight w:val="0"/>
          <w:marTop w:val="0"/>
          <w:marBottom w:val="240"/>
          <w:divBdr>
            <w:top w:val="none" w:sz="0" w:space="0" w:color="auto"/>
            <w:left w:val="none" w:sz="0" w:space="0" w:color="auto"/>
            <w:bottom w:val="none" w:sz="0" w:space="0" w:color="auto"/>
            <w:right w:val="none" w:sz="0" w:space="0" w:color="auto"/>
          </w:divBdr>
        </w:div>
        <w:div w:id="1134063903">
          <w:marLeft w:val="0"/>
          <w:marRight w:val="0"/>
          <w:marTop w:val="0"/>
          <w:marBottom w:val="240"/>
          <w:divBdr>
            <w:top w:val="none" w:sz="0" w:space="0" w:color="auto"/>
            <w:left w:val="none" w:sz="0" w:space="0" w:color="auto"/>
            <w:bottom w:val="none" w:sz="0" w:space="0" w:color="auto"/>
            <w:right w:val="none" w:sz="0" w:space="0" w:color="auto"/>
          </w:divBdr>
        </w:div>
        <w:div w:id="1164393690">
          <w:marLeft w:val="0"/>
          <w:marRight w:val="0"/>
          <w:marTop w:val="0"/>
          <w:marBottom w:val="240"/>
          <w:divBdr>
            <w:top w:val="none" w:sz="0" w:space="0" w:color="auto"/>
            <w:left w:val="none" w:sz="0" w:space="0" w:color="auto"/>
            <w:bottom w:val="none" w:sz="0" w:space="0" w:color="auto"/>
            <w:right w:val="none" w:sz="0" w:space="0" w:color="auto"/>
          </w:divBdr>
        </w:div>
        <w:div w:id="1208108097">
          <w:marLeft w:val="0"/>
          <w:marRight w:val="0"/>
          <w:marTop w:val="0"/>
          <w:marBottom w:val="240"/>
          <w:divBdr>
            <w:top w:val="none" w:sz="0" w:space="0" w:color="auto"/>
            <w:left w:val="none" w:sz="0" w:space="0" w:color="auto"/>
            <w:bottom w:val="none" w:sz="0" w:space="0" w:color="auto"/>
            <w:right w:val="none" w:sz="0" w:space="0" w:color="auto"/>
          </w:divBdr>
        </w:div>
        <w:div w:id="1317147078">
          <w:marLeft w:val="0"/>
          <w:marRight w:val="0"/>
          <w:marTop w:val="0"/>
          <w:marBottom w:val="240"/>
          <w:divBdr>
            <w:top w:val="none" w:sz="0" w:space="0" w:color="auto"/>
            <w:left w:val="none" w:sz="0" w:space="0" w:color="auto"/>
            <w:bottom w:val="none" w:sz="0" w:space="0" w:color="auto"/>
            <w:right w:val="none" w:sz="0" w:space="0" w:color="auto"/>
          </w:divBdr>
        </w:div>
        <w:div w:id="1352757268">
          <w:marLeft w:val="0"/>
          <w:marRight w:val="0"/>
          <w:marTop w:val="0"/>
          <w:marBottom w:val="240"/>
          <w:divBdr>
            <w:top w:val="none" w:sz="0" w:space="0" w:color="auto"/>
            <w:left w:val="none" w:sz="0" w:space="0" w:color="auto"/>
            <w:bottom w:val="none" w:sz="0" w:space="0" w:color="auto"/>
            <w:right w:val="none" w:sz="0" w:space="0" w:color="auto"/>
          </w:divBdr>
        </w:div>
        <w:div w:id="1369912783">
          <w:marLeft w:val="0"/>
          <w:marRight w:val="0"/>
          <w:marTop w:val="0"/>
          <w:marBottom w:val="240"/>
          <w:divBdr>
            <w:top w:val="none" w:sz="0" w:space="0" w:color="auto"/>
            <w:left w:val="none" w:sz="0" w:space="0" w:color="auto"/>
            <w:bottom w:val="none" w:sz="0" w:space="0" w:color="auto"/>
            <w:right w:val="none" w:sz="0" w:space="0" w:color="auto"/>
          </w:divBdr>
        </w:div>
        <w:div w:id="1418400446">
          <w:marLeft w:val="0"/>
          <w:marRight w:val="0"/>
          <w:marTop w:val="0"/>
          <w:marBottom w:val="240"/>
          <w:divBdr>
            <w:top w:val="none" w:sz="0" w:space="0" w:color="auto"/>
            <w:left w:val="none" w:sz="0" w:space="0" w:color="auto"/>
            <w:bottom w:val="none" w:sz="0" w:space="0" w:color="auto"/>
            <w:right w:val="none" w:sz="0" w:space="0" w:color="auto"/>
          </w:divBdr>
        </w:div>
        <w:div w:id="1427462690">
          <w:marLeft w:val="0"/>
          <w:marRight w:val="0"/>
          <w:marTop w:val="0"/>
          <w:marBottom w:val="240"/>
          <w:divBdr>
            <w:top w:val="none" w:sz="0" w:space="0" w:color="auto"/>
            <w:left w:val="none" w:sz="0" w:space="0" w:color="auto"/>
            <w:bottom w:val="none" w:sz="0" w:space="0" w:color="auto"/>
            <w:right w:val="none" w:sz="0" w:space="0" w:color="auto"/>
          </w:divBdr>
        </w:div>
        <w:div w:id="1498182811">
          <w:marLeft w:val="0"/>
          <w:marRight w:val="0"/>
          <w:marTop w:val="0"/>
          <w:marBottom w:val="0"/>
          <w:divBdr>
            <w:top w:val="single" w:sz="12" w:space="0" w:color="000000"/>
            <w:left w:val="single" w:sz="12" w:space="0" w:color="000000"/>
            <w:bottom w:val="single" w:sz="12" w:space="0" w:color="000000"/>
            <w:right w:val="single" w:sz="12" w:space="0" w:color="000000"/>
          </w:divBdr>
        </w:div>
        <w:div w:id="1592080310">
          <w:marLeft w:val="0"/>
          <w:marRight w:val="0"/>
          <w:marTop w:val="0"/>
          <w:marBottom w:val="240"/>
          <w:divBdr>
            <w:top w:val="none" w:sz="0" w:space="0" w:color="auto"/>
            <w:left w:val="none" w:sz="0" w:space="0" w:color="auto"/>
            <w:bottom w:val="none" w:sz="0" w:space="0" w:color="auto"/>
            <w:right w:val="none" w:sz="0" w:space="0" w:color="auto"/>
          </w:divBdr>
        </w:div>
        <w:div w:id="1593658092">
          <w:marLeft w:val="0"/>
          <w:marRight w:val="0"/>
          <w:marTop w:val="0"/>
          <w:marBottom w:val="0"/>
          <w:divBdr>
            <w:top w:val="single" w:sz="12" w:space="0" w:color="000000"/>
            <w:left w:val="single" w:sz="12" w:space="0" w:color="000000"/>
            <w:bottom w:val="single" w:sz="12" w:space="0" w:color="000000"/>
            <w:right w:val="single" w:sz="12" w:space="0" w:color="000000"/>
          </w:divBdr>
        </w:div>
        <w:div w:id="1633562926">
          <w:marLeft w:val="0"/>
          <w:marRight w:val="0"/>
          <w:marTop w:val="0"/>
          <w:marBottom w:val="240"/>
          <w:divBdr>
            <w:top w:val="none" w:sz="0" w:space="0" w:color="auto"/>
            <w:left w:val="none" w:sz="0" w:space="0" w:color="auto"/>
            <w:bottom w:val="none" w:sz="0" w:space="0" w:color="auto"/>
            <w:right w:val="none" w:sz="0" w:space="0" w:color="auto"/>
          </w:divBdr>
        </w:div>
        <w:div w:id="1660160045">
          <w:marLeft w:val="0"/>
          <w:marRight w:val="0"/>
          <w:marTop w:val="0"/>
          <w:marBottom w:val="240"/>
          <w:divBdr>
            <w:top w:val="none" w:sz="0" w:space="0" w:color="auto"/>
            <w:left w:val="none" w:sz="0" w:space="0" w:color="auto"/>
            <w:bottom w:val="none" w:sz="0" w:space="0" w:color="auto"/>
            <w:right w:val="none" w:sz="0" w:space="0" w:color="auto"/>
          </w:divBdr>
        </w:div>
        <w:div w:id="1667784367">
          <w:marLeft w:val="0"/>
          <w:marRight w:val="0"/>
          <w:marTop w:val="0"/>
          <w:marBottom w:val="240"/>
          <w:divBdr>
            <w:top w:val="none" w:sz="0" w:space="0" w:color="auto"/>
            <w:left w:val="none" w:sz="0" w:space="0" w:color="auto"/>
            <w:bottom w:val="none" w:sz="0" w:space="0" w:color="auto"/>
            <w:right w:val="none" w:sz="0" w:space="0" w:color="auto"/>
          </w:divBdr>
        </w:div>
        <w:div w:id="1678726182">
          <w:marLeft w:val="0"/>
          <w:marRight w:val="0"/>
          <w:marTop w:val="0"/>
          <w:marBottom w:val="0"/>
          <w:divBdr>
            <w:top w:val="single" w:sz="12" w:space="0" w:color="000000"/>
            <w:left w:val="single" w:sz="12" w:space="0" w:color="000000"/>
            <w:bottom w:val="single" w:sz="12" w:space="0" w:color="000000"/>
            <w:right w:val="single" w:sz="12" w:space="0" w:color="000000"/>
          </w:divBdr>
        </w:div>
        <w:div w:id="1712804314">
          <w:marLeft w:val="0"/>
          <w:marRight w:val="0"/>
          <w:marTop w:val="0"/>
          <w:marBottom w:val="240"/>
          <w:divBdr>
            <w:top w:val="none" w:sz="0" w:space="0" w:color="auto"/>
            <w:left w:val="none" w:sz="0" w:space="0" w:color="auto"/>
            <w:bottom w:val="none" w:sz="0" w:space="0" w:color="auto"/>
            <w:right w:val="none" w:sz="0" w:space="0" w:color="auto"/>
          </w:divBdr>
        </w:div>
        <w:div w:id="1713386660">
          <w:marLeft w:val="0"/>
          <w:marRight w:val="0"/>
          <w:marTop w:val="0"/>
          <w:marBottom w:val="240"/>
          <w:divBdr>
            <w:top w:val="none" w:sz="0" w:space="0" w:color="auto"/>
            <w:left w:val="none" w:sz="0" w:space="0" w:color="auto"/>
            <w:bottom w:val="none" w:sz="0" w:space="0" w:color="auto"/>
            <w:right w:val="none" w:sz="0" w:space="0" w:color="auto"/>
          </w:divBdr>
        </w:div>
        <w:div w:id="1723282801">
          <w:marLeft w:val="0"/>
          <w:marRight w:val="0"/>
          <w:marTop w:val="0"/>
          <w:marBottom w:val="240"/>
          <w:divBdr>
            <w:top w:val="none" w:sz="0" w:space="0" w:color="auto"/>
            <w:left w:val="none" w:sz="0" w:space="0" w:color="auto"/>
            <w:bottom w:val="none" w:sz="0" w:space="0" w:color="auto"/>
            <w:right w:val="none" w:sz="0" w:space="0" w:color="auto"/>
          </w:divBdr>
        </w:div>
        <w:div w:id="1752502232">
          <w:marLeft w:val="0"/>
          <w:marRight w:val="0"/>
          <w:marTop w:val="0"/>
          <w:marBottom w:val="0"/>
          <w:divBdr>
            <w:top w:val="single" w:sz="12" w:space="0" w:color="000000"/>
            <w:left w:val="single" w:sz="12" w:space="0" w:color="000000"/>
            <w:bottom w:val="single" w:sz="12" w:space="0" w:color="000000"/>
            <w:right w:val="single" w:sz="12" w:space="0" w:color="000000"/>
          </w:divBdr>
        </w:div>
        <w:div w:id="1756971846">
          <w:marLeft w:val="0"/>
          <w:marRight w:val="0"/>
          <w:marTop w:val="0"/>
          <w:marBottom w:val="240"/>
          <w:divBdr>
            <w:top w:val="none" w:sz="0" w:space="0" w:color="auto"/>
            <w:left w:val="none" w:sz="0" w:space="0" w:color="auto"/>
            <w:bottom w:val="none" w:sz="0" w:space="0" w:color="auto"/>
            <w:right w:val="none" w:sz="0" w:space="0" w:color="auto"/>
          </w:divBdr>
        </w:div>
        <w:div w:id="1818263036">
          <w:marLeft w:val="0"/>
          <w:marRight w:val="0"/>
          <w:marTop w:val="0"/>
          <w:marBottom w:val="240"/>
          <w:divBdr>
            <w:top w:val="none" w:sz="0" w:space="0" w:color="auto"/>
            <w:left w:val="none" w:sz="0" w:space="0" w:color="auto"/>
            <w:bottom w:val="none" w:sz="0" w:space="0" w:color="auto"/>
            <w:right w:val="none" w:sz="0" w:space="0" w:color="auto"/>
          </w:divBdr>
        </w:div>
        <w:div w:id="1831864647">
          <w:marLeft w:val="0"/>
          <w:marRight w:val="0"/>
          <w:marTop w:val="0"/>
          <w:marBottom w:val="240"/>
          <w:divBdr>
            <w:top w:val="none" w:sz="0" w:space="0" w:color="auto"/>
            <w:left w:val="none" w:sz="0" w:space="0" w:color="auto"/>
            <w:bottom w:val="none" w:sz="0" w:space="0" w:color="auto"/>
            <w:right w:val="none" w:sz="0" w:space="0" w:color="auto"/>
          </w:divBdr>
        </w:div>
        <w:div w:id="1922904004">
          <w:marLeft w:val="0"/>
          <w:marRight w:val="0"/>
          <w:marTop w:val="0"/>
          <w:marBottom w:val="240"/>
          <w:divBdr>
            <w:top w:val="none" w:sz="0" w:space="0" w:color="auto"/>
            <w:left w:val="none" w:sz="0" w:space="0" w:color="auto"/>
            <w:bottom w:val="none" w:sz="0" w:space="0" w:color="auto"/>
            <w:right w:val="none" w:sz="0" w:space="0" w:color="auto"/>
          </w:divBdr>
        </w:div>
        <w:div w:id="2006665841">
          <w:marLeft w:val="0"/>
          <w:marRight w:val="0"/>
          <w:marTop w:val="0"/>
          <w:marBottom w:val="240"/>
          <w:divBdr>
            <w:top w:val="none" w:sz="0" w:space="0" w:color="auto"/>
            <w:left w:val="none" w:sz="0" w:space="0" w:color="auto"/>
            <w:bottom w:val="none" w:sz="0" w:space="0" w:color="auto"/>
            <w:right w:val="none" w:sz="0" w:space="0" w:color="auto"/>
          </w:divBdr>
        </w:div>
        <w:div w:id="2020738735">
          <w:marLeft w:val="0"/>
          <w:marRight w:val="0"/>
          <w:marTop w:val="0"/>
          <w:marBottom w:val="0"/>
          <w:divBdr>
            <w:top w:val="single" w:sz="12" w:space="0" w:color="000000"/>
            <w:left w:val="single" w:sz="12" w:space="0" w:color="000000"/>
            <w:bottom w:val="single" w:sz="12" w:space="0" w:color="000000"/>
            <w:right w:val="single" w:sz="12" w:space="0" w:color="000000"/>
          </w:divBdr>
        </w:div>
        <w:div w:id="2031878333">
          <w:marLeft w:val="0"/>
          <w:marRight w:val="0"/>
          <w:marTop w:val="0"/>
          <w:marBottom w:val="240"/>
          <w:divBdr>
            <w:top w:val="none" w:sz="0" w:space="0" w:color="auto"/>
            <w:left w:val="none" w:sz="0" w:space="0" w:color="auto"/>
            <w:bottom w:val="none" w:sz="0" w:space="0" w:color="auto"/>
            <w:right w:val="none" w:sz="0" w:space="0" w:color="auto"/>
          </w:divBdr>
        </w:div>
        <w:div w:id="2120369908">
          <w:marLeft w:val="0"/>
          <w:marRight w:val="0"/>
          <w:marTop w:val="0"/>
          <w:marBottom w:val="240"/>
          <w:divBdr>
            <w:top w:val="none" w:sz="0" w:space="0" w:color="auto"/>
            <w:left w:val="none" w:sz="0" w:space="0" w:color="auto"/>
            <w:bottom w:val="none" w:sz="0" w:space="0" w:color="auto"/>
            <w:right w:val="none" w:sz="0" w:space="0" w:color="auto"/>
          </w:divBdr>
        </w:div>
        <w:div w:id="2134210983">
          <w:marLeft w:val="0"/>
          <w:marRight w:val="0"/>
          <w:marTop w:val="0"/>
          <w:marBottom w:val="240"/>
          <w:divBdr>
            <w:top w:val="none" w:sz="0" w:space="0" w:color="auto"/>
            <w:left w:val="none" w:sz="0" w:space="0" w:color="auto"/>
            <w:bottom w:val="none" w:sz="0" w:space="0" w:color="auto"/>
            <w:right w:val="none" w:sz="0" w:space="0" w:color="auto"/>
          </w:divBdr>
        </w:div>
      </w:divsChild>
    </w:div>
    <w:div w:id="1007292434">
      <w:bodyDiv w:val="1"/>
      <w:marLeft w:val="0"/>
      <w:marRight w:val="0"/>
      <w:marTop w:val="0"/>
      <w:marBottom w:val="0"/>
      <w:divBdr>
        <w:top w:val="none" w:sz="0" w:space="0" w:color="auto"/>
        <w:left w:val="none" w:sz="0" w:space="0" w:color="auto"/>
        <w:bottom w:val="none" w:sz="0" w:space="0" w:color="auto"/>
        <w:right w:val="none" w:sz="0" w:space="0" w:color="auto"/>
      </w:divBdr>
    </w:div>
    <w:div w:id="1046679833">
      <w:bodyDiv w:val="1"/>
      <w:marLeft w:val="0"/>
      <w:marRight w:val="0"/>
      <w:marTop w:val="0"/>
      <w:marBottom w:val="0"/>
      <w:divBdr>
        <w:top w:val="none" w:sz="0" w:space="0" w:color="auto"/>
        <w:left w:val="none" w:sz="0" w:space="0" w:color="auto"/>
        <w:bottom w:val="none" w:sz="0" w:space="0" w:color="auto"/>
        <w:right w:val="none" w:sz="0" w:space="0" w:color="auto"/>
      </w:divBdr>
      <w:divsChild>
        <w:div w:id="1571379404">
          <w:marLeft w:val="0"/>
          <w:marRight w:val="0"/>
          <w:marTop w:val="0"/>
          <w:marBottom w:val="240"/>
          <w:divBdr>
            <w:top w:val="none" w:sz="0" w:space="0" w:color="auto"/>
            <w:left w:val="none" w:sz="0" w:space="0" w:color="auto"/>
            <w:bottom w:val="none" w:sz="0" w:space="0" w:color="auto"/>
            <w:right w:val="none" w:sz="0" w:space="0" w:color="auto"/>
          </w:divBdr>
        </w:div>
      </w:divsChild>
    </w:div>
    <w:div w:id="1050232675">
      <w:bodyDiv w:val="1"/>
      <w:marLeft w:val="0"/>
      <w:marRight w:val="0"/>
      <w:marTop w:val="0"/>
      <w:marBottom w:val="0"/>
      <w:divBdr>
        <w:top w:val="none" w:sz="0" w:space="0" w:color="auto"/>
        <w:left w:val="none" w:sz="0" w:space="0" w:color="auto"/>
        <w:bottom w:val="none" w:sz="0" w:space="0" w:color="auto"/>
        <w:right w:val="none" w:sz="0" w:space="0" w:color="auto"/>
      </w:divBdr>
    </w:div>
    <w:div w:id="1068261226">
      <w:bodyDiv w:val="1"/>
      <w:marLeft w:val="0"/>
      <w:marRight w:val="0"/>
      <w:marTop w:val="0"/>
      <w:marBottom w:val="0"/>
      <w:divBdr>
        <w:top w:val="none" w:sz="0" w:space="0" w:color="auto"/>
        <w:left w:val="none" w:sz="0" w:space="0" w:color="auto"/>
        <w:bottom w:val="none" w:sz="0" w:space="0" w:color="auto"/>
        <w:right w:val="none" w:sz="0" w:space="0" w:color="auto"/>
      </w:divBdr>
    </w:div>
    <w:div w:id="1178304339">
      <w:bodyDiv w:val="1"/>
      <w:marLeft w:val="0"/>
      <w:marRight w:val="0"/>
      <w:marTop w:val="0"/>
      <w:marBottom w:val="0"/>
      <w:divBdr>
        <w:top w:val="none" w:sz="0" w:space="0" w:color="auto"/>
        <w:left w:val="none" w:sz="0" w:space="0" w:color="auto"/>
        <w:bottom w:val="none" w:sz="0" w:space="0" w:color="auto"/>
        <w:right w:val="none" w:sz="0" w:space="0" w:color="auto"/>
      </w:divBdr>
    </w:div>
    <w:div w:id="1216162436">
      <w:bodyDiv w:val="1"/>
      <w:marLeft w:val="0"/>
      <w:marRight w:val="0"/>
      <w:marTop w:val="0"/>
      <w:marBottom w:val="0"/>
      <w:divBdr>
        <w:top w:val="none" w:sz="0" w:space="0" w:color="auto"/>
        <w:left w:val="none" w:sz="0" w:space="0" w:color="auto"/>
        <w:bottom w:val="none" w:sz="0" w:space="0" w:color="auto"/>
        <w:right w:val="none" w:sz="0" w:space="0" w:color="auto"/>
      </w:divBdr>
    </w:div>
    <w:div w:id="1230850574">
      <w:bodyDiv w:val="1"/>
      <w:marLeft w:val="0"/>
      <w:marRight w:val="0"/>
      <w:marTop w:val="0"/>
      <w:marBottom w:val="0"/>
      <w:divBdr>
        <w:top w:val="none" w:sz="0" w:space="0" w:color="auto"/>
        <w:left w:val="none" w:sz="0" w:space="0" w:color="auto"/>
        <w:bottom w:val="none" w:sz="0" w:space="0" w:color="auto"/>
        <w:right w:val="none" w:sz="0" w:space="0" w:color="auto"/>
      </w:divBdr>
    </w:div>
    <w:div w:id="1318607713">
      <w:bodyDiv w:val="1"/>
      <w:marLeft w:val="0"/>
      <w:marRight w:val="0"/>
      <w:marTop w:val="0"/>
      <w:marBottom w:val="0"/>
      <w:divBdr>
        <w:top w:val="none" w:sz="0" w:space="0" w:color="auto"/>
        <w:left w:val="none" w:sz="0" w:space="0" w:color="auto"/>
        <w:bottom w:val="none" w:sz="0" w:space="0" w:color="auto"/>
        <w:right w:val="none" w:sz="0" w:space="0" w:color="auto"/>
      </w:divBdr>
      <w:divsChild>
        <w:div w:id="1273632465">
          <w:marLeft w:val="480"/>
          <w:marRight w:val="0"/>
          <w:marTop w:val="0"/>
          <w:marBottom w:val="0"/>
          <w:divBdr>
            <w:top w:val="none" w:sz="0" w:space="0" w:color="auto"/>
            <w:left w:val="none" w:sz="0" w:space="0" w:color="auto"/>
            <w:bottom w:val="none" w:sz="0" w:space="0" w:color="auto"/>
            <w:right w:val="none" w:sz="0" w:space="0" w:color="auto"/>
          </w:divBdr>
          <w:divsChild>
            <w:div w:id="18947274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23703919">
      <w:bodyDiv w:val="1"/>
      <w:marLeft w:val="0"/>
      <w:marRight w:val="0"/>
      <w:marTop w:val="0"/>
      <w:marBottom w:val="0"/>
      <w:divBdr>
        <w:top w:val="none" w:sz="0" w:space="0" w:color="auto"/>
        <w:left w:val="none" w:sz="0" w:space="0" w:color="auto"/>
        <w:bottom w:val="none" w:sz="0" w:space="0" w:color="auto"/>
        <w:right w:val="none" w:sz="0" w:space="0" w:color="auto"/>
      </w:divBdr>
    </w:div>
    <w:div w:id="1335913167">
      <w:bodyDiv w:val="1"/>
      <w:marLeft w:val="0"/>
      <w:marRight w:val="0"/>
      <w:marTop w:val="0"/>
      <w:marBottom w:val="0"/>
      <w:divBdr>
        <w:top w:val="none" w:sz="0" w:space="0" w:color="auto"/>
        <w:left w:val="none" w:sz="0" w:space="0" w:color="auto"/>
        <w:bottom w:val="none" w:sz="0" w:space="0" w:color="auto"/>
        <w:right w:val="none" w:sz="0" w:space="0" w:color="auto"/>
      </w:divBdr>
    </w:div>
    <w:div w:id="1396393658">
      <w:bodyDiv w:val="1"/>
      <w:marLeft w:val="0"/>
      <w:marRight w:val="0"/>
      <w:marTop w:val="0"/>
      <w:marBottom w:val="0"/>
      <w:divBdr>
        <w:top w:val="none" w:sz="0" w:space="0" w:color="auto"/>
        <w:left w:val="none" w:sz="0" w:space="0" w:color="auto"/>
        <w:bottom w:val="none" w:sz="0" w:space="0" w:color="auto"/>
        <w:right w:val="none" w:sz="0" w:space="0" w:color="auto"/>
      </w:divBdr>
    </w:div>
    <w:div w:id="1406101922">
      <w:bodyDiv w:val="1"/>
      <w:marLeft w:val="0"/>
      <w:marRight w:val="0"/>
      <w:marTop w:val="0"/>
      <w:marBottom w:val="0"/>
      <w:divBdr>
        <w:top w:val="none" w:sz="0" w:space="0" w:color="auto"/>
        <w:left w:val="none" w:sz="0" w:space="0" w:color="auto"/>
        <w:bottom w:val="none" w:sz="0" w:space="0" w:color="auto"/>
        <w:right w:val="none" w:sz="0" w:space="0" w:color="auto"/>
      </w:divBdr>
    </w:div>
    <w:div w:id="1442264301">
      <w:bodyDiv w:val="1"/>
      <w:marLeft w:val="0"/>
      <w:marRight w:val="0"/>
      <w:marTop w:val="0"/>
      <w:marBottom w:val="0"/>
      <w:divBdr>
        <w:top w:val="none" w:sz="0" w:space="0" w:color="auto"/>
        <w:left w:val="none" w:sz="0" w:space="0" w:color="auto"/>
        <w:bottom w:val="none" w:sz="0" w:space="0" w:color="auto"/>
        <w:right w:val="none" w:sz="0" w:space="0" w:color="auto"/>
      </w:divBdr>
    </w:div>
    <w:div w:id="1448155242">
      <w:bodyDiv w:val="1"/>
      <w:marLeft w:val="0"/>
      <w:marRight w:val="0"/>
      <w:marTop w:val="0"/>
      <w:marBottom w:val="0"/>
      <w:divBdr>
        <w:top w:val="none" w:sz="0" w:space="0" w:color="auto"/>
        <w:left w:val="none" w:sz="0" w:space="0" w:color="auto"/>
        <w:bottom w:val="none" w:sz="0" w:space="0" w:color="auto"/>
        <w:right w:val="none" w:sz="0" w:space="0" w:color="auto"/>
      </w:divBdr>
    </w:div>
    <w:div w:id="1486778374">
      <w:bodyDiv w:val="1"/>
      <w:marLeft w:val="0"/>
      <w:marRight w:val="0"/>
      <w:marTop w:val="0"/>
      <w:marBottom w:val="0"/>
      <w:divBdr>
        <w:top w:val="none" w:sz="0" w:space="0" w:color="auto"/>
        <w:left w:val="none" w:sz="0" w:space="0" w:color="auto"/>
        <w:bottom w:val="none" w:sz="0" w:space="0" w:color="auto"/>
        <w:right w:val="none" w:sz="0" w:space="0" w:color="auto"/>
      </w:divBdr>
    </w:div>
    <w:div w:id="1492210757">
      <w:bodyDiv w:val="1"/>
      <w:marLeft w:val="0"/>
      <w:marRight w:val="0"/>
      <w:marTop w:val="0"/>
      <w:marBottom w:val="0"/>
      <w:divBdr>
        <w:top w:val="none" w:sz="0" w:space="0" w:color="auto"/>
        <w:left w:val="none" w:sz="0" w:space="0" w:color="auto"/>
        <w:bottom w:val="none" w:sz="0" w:space="0" w:color="auto"/>
        <w:right w:val="none" w:sz="0" w:space="0" w:color="auto"/>
      </w:divBdr>
      <w:divsChild>
        <w:div w:id="417411621">
          <w:marLeft w:val="0"/>
          <w:marRight w:val="0"/>
          <w:marTop w:val="0"/>
          <w:marBottom w:val="240"/>
          <w:divBdr>
            <w:top w:val="none" w:sz="0" w:space="0" w:color="auto"/>
            <w:left w:val="none" w:sz="0" w:space="0" w:color="auto"/>
            <w:bottom w:val="none" w:sz="0" w:space="0" w:color="auto"/>
            <w:right w:val="none" w:sz="0" w:space="0" w:color="auto"/>
          </w:divBdr>
        </w:div>
        <w:div w:id="473177458">
          <w:marLeft w:val="0"/>
          <w:marRight w:val="0"/>
          <w:marTop w:val="0"/>
          <w:marBottom w:val="240"/>
          <w:divBdr>
            <w:top w:val="none" w:sz="0" w:space="0" w:color="auto"/>
            <w:left w:val="none" w:sz="0" w:space="0" w:color="auto"/>
            <w:bottom w:val="none" w:sz="0" w:space="0" w:color="auto"/>
            <w:right w:val="none" w:sz="0" w:space="0" w:color="auto"/>
          </w:divBdr>
        </w:div>
        <w:div w:id="693655450">
          <w:marLeft w:val="0"/>
          <w:marRight w:val="0"/>
          <w:marTop w:val="0"/>
          <w:marBottom w:val="240"/>
          <w:divBdr>
            <w:top w:val="none" w:sz="0" w:space="0" w:color="auto"/>
            <w:left w:val="none" w:sz="0" w:space="0" w:color="auto"/>
            <w:bottom w:val="none" w:sz="0" w:space="0" w:color="auto"/>
            <w:right w:val="none" w:sz="0" w:space="0" w:color="auto"/>
          </w:divBdr>
        </w:div>
        <w:div w:id="1308389565">
          <w:marLeft w:val="0"/>
          <w:marRight w:val="0"/>
          <w:marTop w:val="0"/>
          <w:marBottom w:val="240"/>
          <w:divBdr>
            <w:top w:val="none" w:sz="0" w:space="0" w:color="auto"/>
            <w:left w:val="none" w:sz="0" w:space="0" w:color="auto"/>
            <w:bottom w:val="none" w:sz="0" w:space="0" w:color="auto"/>
            <w:right w:val="none" w:sz="0" w:space="0" w:color="auto"/>
          </w:divBdr>
        </w:div>
        <w:div w:id="1341129471">
          <w:marLeft w:val="0"/>
          <w:marRight w:val="0"/>
          <w:marTop w:val="0"/>
          <w:marBottom w:val="240"/>
          <w:divBdr>
            <w:top w:val="none" w:sz="0" w:space="0" w:color="auto"/>
            <w:left w:val="none" w:sz="0" w:space="0" w:color="auto"/>
            <w:bottom w:val="none" w:sz="0" w:space="0" w:color="auto"/>
            <w:right w:val="none" w:sz="0" w:space="0" w:color="auto"/>
          </w:divBdr>
        </w:div>
        <w:div w:id="1973904790">
          <w:marLeft w:val="0"/>
          <w:marRight w:val="0"/>
          <w:marTop w:val="0"/>
          <w:marBottom w:val="0"/>
          <w:divBdr>
            <w:top w:val="single" w:sz="12" w:space="0" w:color="000000"/>
            <w:left w:val="single" w:sz="12" w:space="0" w:color="000000"/>
            <w:bottom w:val="single" w:sz="12" w:space="0" w:color="000000"/>
            <w:right w:val="single" w:sz="12" w:space="0" w:color="000000"/>
          </w:divBdr>
        </w:div>
      </w:divsChild>
    </w:div>
    <w:div w:id="1628076147">
      <w:bodyDiv w:val="1"/>
      <w:marLeft w:val="0"/>
      <w:marRight w:val="0"/>
      <w:marTop w:val="0"/>
      <w:marBottom w:val="0"/>
      <w:divBdr>
        <w:top w:val="none" w:sz="0" w:space="0" w:color="auto"/>
        <w:left w:val="none" w:sz="0" w:space="0" w:color="auto"/>
        <w:bottom w:val="none" w:sz="0" w:space="0" w:color="auto"/>
        <w:right w:val="none" w:sz="0" w:space="0" w:color="auto"/>
      </w:divBdr>
    </w:div>
    <w:div w:id="1720741238">
      <w:bodyDiv w:val="1"/>
      <w:marLeft w:val="0"/>
      <w:marRight w:val="0"/>
      <w:marTop w:val="0"/>
      <w:marBottom w:val="0"/>
      <w:divBdr>
        <w:top w:val="none" w:sz="0" w:space="0" w:color="auto"/>
        <w:left w:val="none" w:sz="0" w:space="0" w:color="auto"/>
        <w:bottom w:val="none" w:sz="0" w:space="0" w:color="auto"/>
        <w:right w:val="none" w:sz="0" w:space="0" w:color="auto"/>
      </w:divBdr>
    </w:div>
    <w:div w:id="1907762795">
      <w:bodyDiv w:val="1"/>
      <w:marLeft w:val="0"/>
      <w:marRight w:val="0"/>
      <w:marTop w:val="0"/>
      <w:marBottom w:val="0"/>
      <w:divBdr>
        <w:top w:val="none" w:sz="0" w:space="0" w:color="auto"/>
        <w:left w:val="none" w:sz="0" w:space="0" w:color="auto"/>
        <w:bottom w:val="none" w:sz="0" w:space="0" w:color="auto"/>
        <w:right w:val="none" w:sz="0" w:space="0" w:color="auto"/>
      </w:divBdr>
    </w:div>
    <w:div w:id="1946812684">
      <w:bodyDiv w:val="1"/>
      <w:marLeft w:val="0"/>
      <w:marRight w:val="0"/>
      <w:marTop w:val="0"/>
      <w:marBottom w:val="0"/>
      <w:divBdr>
        <w:top w:val="none" w:sz="0" w:space="0" w:color="auto"/>
        <w:left w:val="none" w:sz="0" w:space="0" w:color="auto"/>
        <w:bottom w:val="none" w:sz="0" w:space="0" w:color="auto"/>
        <w:right w:val="none" w:sz="0" w:space="0" w:color="auto"/>
      </w:divBdr>
    </w:div>
    <w:div w:id="1992706518">
      <w:bodyDiv w:val="1"/>
      <w:marLeft w:val="0"/>
      <w:marRight w:val="0"/>
      <w:marTop w:val="0"/>
      <w:marBottom w:val="0"/>
      <w:divBdr>
        <w:top w:val="none" w:sz="0" w:space="0" w:color="auto"/>
        <w:left w:val="none" w:sz="0" w:space="0" w:color="auto"/>
        <w:bottom w:val="none" w:sz="0" w:space="0" w:color="auto"/>
        <w:right w:val="none" w:sz="0" w:space="0" w:color="auto"/>
      </w:divBdr>
    </w:div>
    <w:div w:id="2014918784">
      <w:bodyDiv w:val="1"/>
      <w:marLeft w:val="0"/>
      <w:marRight w:val="0"/>
      <w:marTop w:val="0"/>
      <w:marBottom w:val="0"/>
      <w:divBdr>
        <w:top w:val="none" w:sz="0" w:space="0" w:color="auto"/>
        <w:left w:val="none" w:sz="0" w:space="0" w:color="auto"/>
        <w:bottom w:val="none" w:sz="0" w:space="0" w:color="auto"/>
        <w:right w:val="none" w:sz="0" w:space="0" w:color="auto"/>
      </w:divBdr>
    </w:div>
    <w:div w:id="204493647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 Id="rId14" Type="http://schemas.microsoft.com/office/2016/09/relationships/commentsIds" Target="commentsId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4DFF85B-DEEE-42A1-9E00-67B0C844D1D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48</Pages>
  <Words>121862</Words>
  <Characters>694617</Characters>
  <Application>Microsoft Office Word</Application>
  <DocSecurity>0</DocSecurity>
  <Lines>5788</Lines>
  <Paragraphs>1629</Paragraphs>
  <ScaleCrop>false</ScaleCrop>
  <HeadingPairs>
    <vt:vector size="2" baseType="variant">
      <vt:variant>
        <vt:lpstr>Title</vt:lpstr>
      </vt:variant>
      <vt:variant>
        <vt:i4>1</vt:i4>
      </vt:variant>
    </vt:vector>
  </HeadingPairs>
  <TitlesOfParts>
    <vt:vector size="1" baseType="lpstr">
      <vt:lpstr/>
    </vt:vector>
  </TitlesOfParts>
  <Company>University of Cambridge</Company>
  <LinksUpToDate>false</LinksUpToDate>
  <CharactersWithSpaces>814850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Sally A Gibson</dc:creator>
  <cp:lastModifiedBy>Sally Gibson</cp:lastModifiedBy>
  <cp:revision>6</cp:revision>
  <cp:lastPrinted>2019-10-07T16:50:00Z</cp:lastPrinted>
  <dcterms:created xsi:type="dcterms:W3CDTF">2020-02-07T12:53:00Z</dcterms:created>
  <dcterms:modified xsi:type="dcterms:W3CDTF">2020-02-11T09:24:00Z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zotero-version="5.0.82"&gt;&lt;session id="4YmRUp4L"/&gt;&lt;style id="http://www.zotero.org/styles/geochimica-et-cosmochimica-acta" hasBibliography="1" bibliographyStyleHasBeenSet="1"/&gt;&lt;prefs&gt;&lt;pref name="fieldType" value="Field"/&gt;&lt;pref name="s</vt:lpwstr>
  </property>
  <property fmtid="{D5CDD505-2E9C-101B-9397-08002B2CF9AE}" pid="3" name="ZOTERO_PREF_2">
    <vt:lpwstr>toreReferences" value="true"/&gt;&lt;pref name="dontAskDelayCitationUpdates" value="true"/&gt;&lt;/prefs&gt;&lt;/data&gt;</vt:lpwstr>
  </property>
</Properties>
</file>