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1BE823" w14:textId="77777777" w:rsidR="009B2AA7" w:rsidRPr="006E7EEC" w:rsidRDefault="009B2AA7" w:rsidP="009B2AA7">
      <w:pPr>
        <w:outlineLvl w:val="0"/>
        <w:rPr>
          <w:rFonts w:asciiTheme="majorHAnsi" w:hAnsiTheme="majorHAnsi"/>
          <w:b/>
        </w:rPr>
      </w:pPr>
      <w:bookmarkStart w:id="0" w:name="_GoBack"/>
      <w:bookmarkEnd w:id="0"/>
      <w:r w:rsidRPr="006E7EEC">
        <w:rPr>
          <w:rFonts w:asciiTheme="majorHAnsi" w:hAnsiTheme="majorHAnsi"/>
          <w:b/>
        </w:rPr>
        <w:t>TITLE</w:t>
      </w:r>
    </w:p>
    <w:p w14:paraId="29A5607B" w14:textId="77777777" w:rsidR="009B2AA7" w:rsidRPr="006E7EEC" w:rsidRDefault="009B2AA7" w:rsidP="009B2AA7">
      <w:pPr>
        <w:outlineLvl w:val="0"/>
        <w:rPr>
          <w:rFonts w:asciiTheme="majorHAnsi" w:hAnsiTheme="majorHAnsi"/>
        </w:rPr>
      </w:pPr>
      <w:r w:rsidRPr="006E7EEC">
        <w:rPr>
          <w:rFonts w:asciiTheme="majorHAnsi" w:hAnsiTheme="majorHAnsi"/>
        </w:rPr>
        <w:t>Genomic Surveillance of MRSA associated with bloodstream infection in England</w:t>
      </w:r>
    </w:p>
    <w:p w14:paraId="48731963" w14:textId="77777777" w:rsidR="009B2AA7" w:rsidRPr="006E7EEC" w:rsidRDefault="009B2AA7" w:rsidP="009B2AA7">
      <w:pPr>
        <w:tabs>
          <w:tab w:val="left" w:pos="970"/>
        </w:tabs>
        <w:rPr>
          <w:rFonts w:asciiTheme="majorHAnsi" w:hAnsiTheme="majorHAnsi"/>
        </w:rPr>
      </w:pPr>
      <w:r w:rsidRPr="006E7EEC">
        <w:rPr>
          <w:rFonts w:asciiTheme="majorHAnsi" w:hAnsiTheme="majorHAnsi"/>
        </w:rPr>
        <w:tab/>
      </w:r>
    </w:p>
    <w:p w14:paraId="02A1C87B" w14:textId="77777777" w:rsidR="009B2AA7" w:rsidRPr="006E7EEC" w:rsidRDefault="009B2AA7" w:rsidP="009B2AA7">
      <w:pPr>
        <w:jc w:val="both"/>
        <w:outlineLvl w:val="0"/>
        <w:rPr>
          <w:rFonts w:asciiTheme="majorHAnsi" w:hAnsiTheme="majorHAnsi"/>
          <w:b/>
        </w:rPr>
      </w:pPr>
      <w:r w:rsidRPr="006E7EEC">
        <w:rPr>
          <w:rFonts w:asciiTheme="majorHAnsi" w:hAnsiTheme="majorHAnsi"/>
          <w:b/>
        </w:rPr>
        <w:t>AUTHORS</w:t>
      </w:r>
    </w:p>
    <w:p w14:paraId="1394BE2D" w14:textId="0797D6CA" w:rsidR="009B2AA7" w:rsidRPr="006E7EEC" w:rsidRDefault="009B2AA7" w:rsidP="009B2AA7">
      <w:pPr>
        <w:jc w:val="both"/>
        <w:rPr>
          <w:rFonts w:asciiTheme="majorHAnsi" w:hAnsiTheme="majorHAnsi"/>
        </w:rPr>
      </w:pPr>
      <w:r w:rsidRPr="006E7EEC">
        <w:rPr>
          <w:rFonts w:asciiTheme="majorHAnsi" w:hAnsiTheme="majorHAnsi"/>
        </w:rPr>
        <w:t>Michelle S. Toleman</w:t>
      </w:r>
      <w:r w:rsidRPr="006E7EEC">
        <w:rPr>
          <w:rFonts w:asciiTheme="majorHAnsi" w:hAnsiTheme="majorHAnsi"/>
          <w:vertAlign w:val="superscript"/>
        </w:rPr>
        <w:t>1,2,3</w:t>
      </w:r>
      <w:r w:rsidRPr="006E7EEC">
        <w:rPr>
          <w:rFonts w:asciiTheme="majorHAnsi" w:hAnsiTheme="majorHAnsi"/>
        </w:rPr>
        <w:t>, Sandra Reuter</w:t>
      </w:r>
      <w:r w:rsidRPr="006E7EEC">
        <w:rPr>
          <w:rFonts w:asciiTheme="majorHAnsi" w:hAnsiTheme="majorHAnsi"/>
          <w:vertAlign w:val="superscript"/>
        </w:rPr>
        <w:t>4</w:t>
      </w:r>
      <w:r w:rsidRPr="006E7EEC">
        <w:rPr>
          <w:rFonts w:asciiTheme="majorHAnsi" w:hAnsiTheme="majorHAnsi"/>
        </w:rPr>
        <w:t>, Dorota Jamrozy</w:t>
      </w:r>
      <w:r w:rsidRPr="006E7EEC">
        <w:rPr>
          <w:rFonts w:asciiTheme="majorHAnsi" w:hAnsiTheme="majorHAnsi"/>
          <w:vertAlign w:val="superscript"/>
        </w:rPr>
        <w:t>2</w:t>
      </w:r>
      <w:r w:rsidRPr="006E7EEC">
        <w:rPr>
          <w:rFonts w:asciiTheme="majorHAnsi" w:hAnsiTheme="majorHAnsi"/>
        </w:rPr>
        <w:t xml:space="preserve">, Hayley J. </w:t>
      </w:r>
      <w:r w:rsidR="006E7EEC">
        <w:rPr>
          <w:rFonts w:asciiTheme="majorHAnsi" w:hAnsiTheme="majorHAnsi"/>
        </w:rPr>
        <w:t>Wilson</w:t>
      </w:r>
      <w:r w:rsidR="006E7EEC" w:rsidRPr="006E7EEC">
        <w:rPr>
          <w:rFonts w:asciiTheme="majorHAnsi" w:hAnsiTheme="majorHAnsi"/>
          <w:vertAlign w:val="superscript"/>
        </w:rPr>
        <w:t>1</w:t>
      </w:r>
      <w:r w:rsidRPr="006E7EEC">
        <w:rPr>
          <w:rFonts w:asciiTheme="majorHAnsi" w:hAnsiTheme="majorHAnsi"/>
        </w:rPr>
        <w:t>, Beth Blane</w:t>
      </w:r>
      <w:r w:rsidRPr="006E7EEC">
        <w:rPr>
          <w:rFonts w:asciiTheme="majorHAnsi" w:hAnsiTheme="majorHAnsi"/>
          <w:vertAlign w:val="superscript"/>
        </w:rPr>
        <w:t>1</w:t>
      </w:r>
      <w:r w:rsidRPr="006E7EEC">
        <w:rPr>
          <w:rFonts w:asciiTheme="majorHAnsi" w:hAnsiTheme="majorHAnsi"/>
        </w:rPr>
        <w:t>, Ewan M Harrison</w:t>
      </w:r>
      <w:r w:rsidRPr="006E7EEC">
        <w:rPr>
          <w:rFonts w:asciiTheme="majorHAnsi" w:hAnsiTheme="majorHAnsi"/>
          <w:vertAlign w:val="superscript"/>
        </w:rPr>
        <w:t>1</w:t>
      </w:r>
      <w:r w:rsidRPr="006E7EEC">
        <w:rPr>
          <w:rFonts w:asciiTheme="majorHAnsi" w:hAnsiTheme="majorHAnsi"/>
        </w:rPr>
        <w:t>, Francesc Coll</w:t>
      </w:r>
      <w:r w:rsidRPr="006E7EEC">
        <w:rPr>
          <w:rFonts w:asciiTheme="majorHAnsi" w:hAnsiTheme="majorHAnsi"/>
          <w:vertAlign w:val="superscript"/>
        </w:rPr>
        <w:t>6</w:t>
      </w:r>
      <w:r w:rsidRPr="006E7EEC">
        <w:rPr>
          <w:rFonts w:asciiTheme="majorHAnsi" w:hAnsiTheme="majorHAnsi"/>
        </w:rPr>
        <w:t>, Russell J. Hope</w:t>
      </w:r>
      <w:r w:rsidRPr="006E7EEC">
        <w:rPr>
          <w:rFonts w:asciiTheme="majorHAnsi" w:hAnsiTheme="majorHAnsi"/>
          <w:vertAlign w:val="superscript"/>
        </w:rPr>
        <w:t>5</w:t>
      </w:r>
      <w:r w:rsidRPr="006E7EEC">
        <w:rPr>
          <w:rFonts w:asciiTheme="majorHAnsi" w:hAnsiTheme="majorHAnsi"/>
        </w:rPr>
        <w:t>, Angela Kearns</w:t>
      </w:r>
      <w:r w:rsidRPr="006E7EEC">
        <w:rPr>
          <w:rFonts w:asciiTheme="majorHAnsi" w:hAnsiTheme="majorHAnsi"/>
          <w:vertAlign w:val="superscript"/>
        </w:rPr>
        <w:t>5</w:t>
      </w:r>
      <w:r w:rsidRPr="006E7EEC">
        <w:rPr>
          <w:rFonts w:asciiTheme="majorHAnsi" w:hAnsiTheme="majorHAnsi"/>
        </w:rPr>
        <w:t>, Julian Parkhill</w:t>
      </w:r>
      <w:r w:rsidRPr="006E7EEC">
        <w:rPr>
          <w:rFonts w:asciiTheme="majorHAnsi" w:hAnsiTheme="majorHAnsi"/>
          <w:vertAlign w:val="superscript"/>
        </w:rPr>
        <w:t>2</w:t>
      </w:r>
      <w:r w:rsidRPr="006E7EEC">
        <w:rPr>
          <w:rFonts w:asciiTheme="majorHAnsi" w:hAnsiTheme="majorHAnsi"/>
        </w:rPr>
        <w:t>, Sharon J. Peacock</w:t>
      </w:r>
      <w:r w:rsidRPr="006E7EEC">
        <w:rPr>
          <w:rFonts w:asciiTheme="majorHAnsi" w:hAnsiTheme="majorHAnsi"/>
          <w:vertAlign w:val="superscript"/>
        </w:rPr>
        <w:t>1,2,3,6</w:t>
      </w:r>
      <w:r w:rsidRPr="006E7EEC">
        <w:rPr>
          <w:rFonts w:asciiTheme="majorHAnsi" w:hAnsiTheme="majorHAnsi"/>
        </w:rPr>
        <w:t>, M. Estée Török</w:t>
      </w:r>
      <w:r w:rsidRPr="006E7EEC">
        <w:rPr>
          <w:rFonts w:asciiTheme="majorHAnsi" w:hAnsiTheme="majorHAnsi"/>
          <w:vertAlign w:val="superscript"/>
        </w:rPr>
        <w:t>1,3,7</w:t>
      </w:r>
      <w:r w:rsidRPr="006E7EEC">
        <w:rPr>
          <w:rFonts w:asciiTheme="majorHAnsi" w:hAnsiTheme="majorHAnsi"/>
        </w:rPr>
        <w:t xml:space="preserve"> </w:t>
      </w:r>
    </w:p>
    <w:p w14:paraId="4C506D43" w14:textId="77777777" w:rsidR="009B2AA7" w:rsidRPr="006E7EEC" w:rsidRDefault="009B2AA7" w:rsidP="009B2AA7">
      <w:pPr>
        <w:jc w:val="both"/>
        <w:rPr>
          <w:rFonts w:asciiTheme="majorHAnsi" w:hAnsiTheme="majorHAnsi"/>
          <w:b/>
        </w:rPr>
      </w:pPr>
    </w:p>
    <w:p w14:paraId="447C7490" w14:textId="77777777" w:rsidR="009B2AA7" w:rsidRPr="006E7EEC" w:rsidRDefault="009B2AA7" w:rsidP="009B2AA7">
      <w:pPr>
        <w:jc w:val="both"/>
        <w:outlineLvl w:val="0"/>
        <w:rPr>
          <w:rFonts w:asciiTheme="majorHAnsi" w:hAnsiTheme="majorHAnsi"/>
          <w:b/>
        </w:rPr>
      </w:pPr>
      <w:r w:rsidRPr="006E7EEC">
        <w:rPr>
          <w:rFonts w:asciiTheme="majorHAnsi" w:hAnsiTheme="majorHAnsi"/>
          <w:b/>
        </w:rPr>
        <w:t>AFFILIATIONS</w:t>
      </w:r>
    </w:p>
    <w:p w14:paraId="75908E41" w14:textId="77777777" w:rsidR="009B2AA7" w:rsidRPr="006E7EEC" w:rsidRDefault="009B2AA7" w:rsidP="009B2AA7">
      <w:pPr>
        <w:jc w:val="both"/>
        <w:rPr>
          <w:rFonts w:asciiTheme="majorHAnsi" w:hAnsiTheme="majorHAnsi"/>
        </w:rPr>
      </w:pPr>
      <w:r w:rsidRPr="006E7EEC">
        <w:rPr>
          <w:rFonts w:asciiTheme="majorHAnsi" w:hAnsiTheme="majorHAnsi"/>
        </w:rPr>
        <w:t>1. University of Cambridge, Department of Medicine, Cambridge, United Kingdom</w:t>
      </w:r>
    </w:p>
    <w:p w14:paraId="45AE3A91" w14:textId="77777777" w:rsidR="009B2AA7" w:rsidRPr="006E7EEC" w:rsidRDefault="009B2AA7" w:rsidP="009B2AA7">
      <w:pPr>
        <w:jc w:val="both"/>
        <w:rPr>
          <w:rFonts w:asciiTheme="majorHAnsi" w:hAnsiTheme="majorHAnsi"/>
        </w:rPr>
      </w:pPr>
      <w:r w:rsidRPr="006E7EEC">
        <w:rPr>
          <w:rFonts w:asciiTheme="majorHAnsi" w:hAnsiTheme="majorHAnsi"/>
        </w:rPr>
        <w:t xml:space="preserve">2. </w:t>
      </w:r>
      <w:proofErr w:type="spellStart"/>
      <w:r w:rsidRPr="006E7EEC">
        <w:rPr>
          <w:rFonts w:asciiTheme="majorHAnsi" w:hAnsiTheme="majorHAnsi"/>
        </w:rPr>
        <w:t>Wellcome</w:t>
      </w:r>
      <w:proofErr w:type="spellEnd"/>
      <w:r w:rsidRPr="006E7EEC">
        <w:rPr>
          <w:rFonts w:asciiTheme="majorHAnsi" w:hAnsiTheme="majorHAnsi"/>
        </w:rPr>
        <w:t xml:space="preserve"> Sanger Institute, </w:t>
      </w:r>
      <w:proofErr w:type="spellStart"/>
      <w:r w:rsidRPr="006E7EEC">
        <w:rPr>
          <w:rFonts w:asciiTheme="majorHAnsi" w:hAnsiTheme="majorHAnsi"/>
        </w:rPr>
        <w:t>Hinxton</w:t>
      </w:r>
      <w:proofErr w:type="spellEnd"/>
      <w:r w:rsidRPr="006E7EEC">
        <w:rPr>
          <w:rFonts w:asciiTheme="majorHAnsi" w:hAnsiTheme="majorHAnsi"/>
        </w:rPr>
        <w:t>, United Kingdom</w:t>
      </w:r>
    </w:p>
    <w:p w14:paraId="48099655" w14:textId="77777777" w:rsidR="009B2AA7" w:rsidRPr="006E7EEC" w:rsidRDefault="009B2AA7" w:rsidP="009B2AA7">
      <w:pPr>
        <w:jc w:val="both"/>
        <w:rPr>
          <w:rFonts w:asciiTheme="majorHAnsi" w:hAnsiTheme="majorHAnsi"/>
        </w:rPr>
      </w:pPr>
      <w:r w:rsidRPr="006E7EEC">
        <w:rPr>
          <w:rFonts w:asciiTheme="majorHAnsi" w:hAnsiTheme="majorHAnsi"/>
        </w:rPr>
        <w:t>3. Cambridge University Hospitals NHS Foundation Trust, Cambridge, United Kingdom</w:t>
      </w:r>
    </w:p>
    <w:p w14:paraId="26DF0197" w14:textId="19E71C90" w:rsidR="00F8608A" w:rsidRPr="006E7EEC" w:rsidRDefault="009B2AA7" w:rsidP="00F8608A">
      <w:pPr>
        <w:jc w:val="both"/>
        <w:rPr>
          <w:rFonts w:asciiTheme="majorHAnsi" w:eastAsia="Times New Roman" w:hAnsiTheme="majorHAnsi" w:cs="Times New Roman"/>
        </w:rPr>
      </w:pPr>
      <w:r w:rsidRPr="006E7EEC">
        <w:rPr>
          <w:rFonts w:asciiTheme="majorHAnsi" w:hAnsiTheme="majorHAnsi"/>
        </w:rPr>
        <w:t>4.</w:t>
      </w:r>
      <w:r w:rsidR="00F8608A" w:rsidRPr="006E7EEC">
        <w:rPr>
          <w:rFonts w:asciiTheme="majorHAnsi" w:eastAsia="Times New Roman" w:hAnsiTheme="majorHAnsi" w:cs="Times New Roman"/>
        </w:rPr>
        <w:t xml:space="preserve"> University of Freiburg, Institute for Infection Prevention and Hospital Epidemiology, Freiburg, Germany</w:t>
      </w:r>
    </w:p>
    <w:p w14:paraId="4A6A6622" w14:textId="77777777" w:rsidR="009B2AA7" w:rsidRPr="006E7EEC" w:rsidRDefault="009B2AA7" w:rsidP="009B2AA7">
      <w:pPr>
        <w:jc w:val="both"/>
        <w:rPr>
          <w:rFonts w:asciiTheme="majorHAnsi" w:hAnsiTheme="majorHAnsi"/>
        </w:rPr>
      </w:pPr>
      <w:r w:rsidRPr="006E7EEC">
        <w:rPr>
          <w:rFonts w:asciiTheme="majorHAnsi" w:hAnsiTheme="majorHAnsi"/>
        </w:rPr>
        <w:t>5. Public Health England, National Infection Service, Colindale, London, United Kingdom</w:t>
      </w:r>
    </w:p>
    <w:p w14:paraId="6EDCF061" w14:textId="77777777" w:rsidR="009B2AA7" w:rsidRPr="006E7EEC" w:rsidRDefault="009B2AA7" w:rsidP="009B2AA7">
      <w:pPr>
        <w:jc w:val="both"/>
        <w:rPr>
          <w:rFonts w:asciiTheme="majorHAnsi" w:hAnsiTheme="majorHAnsi"/>
        </w:rPr>
      </w:pPr>
      <w:r w:rsidRPr="006E7EEC">
        <w:rPr>
          <w:rFonts w:asciiTheme="majorHAnsi" w:hAnsiTheme="majorHAnsi"/>
        </w:rPr>
        <w:t>6. London School of Hygiene and Tropical Medicine, United Kingdom</w:t>
      </w:r>
    </w:p>
    <w:p w14:paraId="2CFEA4C3" w14:textId="77777777" w:rsidR="009B2AA7" w:rsidRPr="006E7EEC" w:rsidRDefault="009B2AA7" w:rsidP="009B2AA7">
      <w:pPr>
        <w:jc w:val="both"/>
        <w:rPr>
          <w:rFonts w:asciiTheme="majorHAnsi" w:hAnsiTheme="majorHAnsi"/>
        </w:rPr>
      </w:pPr>
      <w:r w:rsidRPr="006E7EEC">
        <w:rPr>
          <w:rFonts w:asciiTheme="majorHAnsi" w:hAnsiTheme="majorHAnsi"/>
        </w:rPr>
        <w:t>7. Public Health England, Clinical Microbiology and Public Health Laboratory, Cambridge, United Kingdom</w:t>
      </w:r>
    </w:p>
    <w:p w14:paraId="4003997E" w14:textId="77777777" w:rsidR="009B2AA7" w:rsidRPr="006E7EEC" w:rsidRDefault="009B2AA7" w:rsidP="009B2AA7">
      <w:pPr>
        <w:jc w:val="both"/>
        <w:rPr>
          <w:rFonts w:asciiTheme="majorHAnsi" w:hAnsiTheme="majorHAnsi"/>
        </w:rPr>
      </w:pPr>
    </w:p>
    <w:p w14:paraId="652449A4" w14:textId="77777777" w:rsidR="009B2AA7" w:rsidRPr="006E7EEC" w:rsidRDefault="009B2AA7" w:rsidP="009B2AA7">
      <w:pPr>
        <w:outlineLvl w:val="0"/>
        <w:rPr>
          <w:rFonts w:asciiTheme="majorHAnsi" w:hAnsiTheme="majorHAnsi"/>
          <w:b/>
        </w:rPr>
      </w:pPr>
      <w:r w:rsidRPr="006E7EEC">
        <w:rPr>
          <w:rFonts w:asciiTheme="majorHAnsi" w:hAnsiTheme="majorHAnsi"/>
          <w:b/>
        </w:rPr>
        <w:t>CORRESPONDENCE</w:t>
      </w:r>
    </w:p>
    <w:p w14:paraId="3C2A14BC" w14:textId="77777777" w:rsidR="009B2AA7" w:rsidRPr="006E7EEC" w:rsidRDefault="009B2AA7" w:rsidP="009B2AA7">
      <w:pPr>
        <w:outlineLvl w:val="0"/>
        <w:rPr>
          <w:rFonts w:asciiTheme="majorHAnsi" w:hAnsiTheme="majorHAnsi"/>
        </w:rPr>
      </w:pPr>
      <w:r w:rsidRPr="006E7EEC">
        <w:rPr>
          <w:rFonts w:asciiTheme="majorHAnsi" w:hAnsiTheme="majorHAnsi"/>
        </w:rPr>
        <w:t>Dr Michelle Toleman</w:t>
      </w:r>
    </w:p>
    <w:p w14:paraId="356A4950" w14:textId="77777777" w:rsidR="009B2AA7" w:rsidRPr="006E7EEC" w:rsidRDefault="009B2AA7" w:rsidP="009B2AA7">
      <w:pPr>
        <w:jc w:val="both"/>
        <w:rPr>
          <w:rFonts w:asciiTheme="majorHAnsi" w:hAnsiTheme="majorHAnsi"/>
        </w:rPr>
      </w:pPr>
      <w:r w:rsidRPr="006E7EEC">
        <w:rPr>
          <w:rFonts w:asciiTheme="majorHAnsi" w:hAnsiTheme="majorHAnsi"/>
        </w:rPr>
        <w:t xml:space="preserve">University of Cambridge, Department of Medicine, Box 157, Addenbrooke’s Hospital, </w:t>
      </w:r>
    </w:p>
    <w:p w14:paraId="498B53CF" w14:textId="77777777" w:rsidR="009B2AA7" w:rsidRPr="006E7EEC" w:rsidRDefault="009B2AA7" w:rsidP="009B2AA7">
      <w:pPr>
        <w:rPr>
          <w:rFonts w:asciiTheme="majorHAnsi" w:hAnsiTheme="majorHAnsi"/>
        </w:rPr>
      </w:pPr>
      <w:r w:rsidRPr="006E7EEC">
        <w:rPr>
          <w:rFonts w:asciiTheme="majorHAnsi" w:hAnsiTheme="majorHAnsi"/>
        </w:rPr>
        <w:t>Hills Road, Cambridge CB2 0QQ, United Kingdom</w:t>
      </w:r>
    </w:p>
    <w:p w14:paraId="011B0C90" w14:textId="77777777" w:rsidR="009B2AA7" w:rsidRPr="006E7EEC" w:rsidRDefault="009B2AA7" w:rsidP="009B2AA7">
      <w:pPr>
        <w:rPr>
          <w:rFonts w:asciiTheme="majorHAnsi" w:hAnsiTheme="majorHAnsi"/>
        </w:rPr>
      </w:pPr>
      <w:r w:rsidRPr="006E7EEC">
        <w:rPr>
          <w:rFonts w:asciiTheme="majorHAnsi" w:hAnsiTheme="majorHAnsi"/>
        </w:rPr>
        <w:t>Tel: +44 (0)1223 336845</w:t>
      </w:r>
    </w:p>
    <w:p w14:paraId="05BD940F" w14:textId="77777777" w:rsidR="009B2AA7" w:rsidRPr="006E7EEC" w:rsidRDefault="009B2AA7" w:rsidP="009B2AA7">
      <w:pPr>
        <w:rPr>
          <w:rFonts w:asciiTheme="majorHAnsi" w:hAnsiTheme="majorHAnsi"/>
        </w:rPr>
      </w:pPr>
      <w:r w:rsidRPr="006E7EEC">
        <w:rPr>
          <w:rFonts w:asciiTheme="majorHAnsi" w:hAnsiTheme="majorHAnsi"/>
        </w:rPr>
        <w:t>Fax: +44 (0)1223 336846</w:t>
      </w:r>
    </w:p>
    <w:p w14:paraId="54E5A937" w14:textId="5B238BD6" w:rsidR="009B2AA7" w:rsidRPr="006E7EEC" w:rsidRDefault="009B2AA7" w:rsidP="009B2AA7">
      <w:pPr>
        <w:outlineLvl w:val="0"/>
        <w:rPr>
          <w:rFonts w:asciiTheme="majorHAnsi" w:hAnsiTheme="majorHAnsi"/>
        </w:rPr>
      </w:pPr>
      <w:r w:rsidRPr="006E7EEC">
        <w:rPr>
          <w:rFonts w:asciiTheme="majorHAnsi" w:hAnsiTheme="majorHAnsi"/>
        </w:rPr>
        <w:t>Email: mst39@cam.ac.uk</w:t>
      </w:r>
    </w:p>
    <w:p w14:paraId="099976F0" w14:textId="77777777" w:rsidR="009B2AA7" w:rsidRPr="006E7EEC" w:rsidRDefault="009B2AA7" w:rsidP="009B2AA7">
      <w:pPr>
        <w:rPr>
          <w:rFonts w:asciiTheme="majorHAnsi" w:hAnsiTheme="majorHAnsi"/>
        </w:rPr>
      </w:pPr>
    </w:p>
    <w:p w14:paraId="5F748225" w14:textId="77777777" w:rsidR="009B2AA7" w:rsidRPr="006E7EEC" w:rsidRDefault="009B2AA7" w:rsidP="009B2AA7">
      <w:pPr>
        <w:outlineLvl w:val="0"/>
        <w:rPr>
          <w:rFonts w:asciiTheme="majorHAnsi" w:hAnsiTheme="majorHAnsi"/>
          <w:b/>
        </w:rPr>
      </w:pPr>
      <w:r w:rsidRPr="006E7EEC">
        <w:rPr>
          <w:rFonts w:asciiTheme="majorHAnsi" w:hAnsiTheme="majorHAnsi"/>
          <w:b/>
        </w:rPr>
        <w:t>WORD COUNT</w:t>
      </w:r>
    </w:p>
    <w:p w14:paraId="13B19EAF" w14:textId="49B90C7D" w:rsidR="009B2AA7" w:rsidRPr="00F57275" w:rsidRDefault="009B2AA7" w:rsidP="009B2AA7">
      <w:pPr>
        <w:rPr>
          <w:rFonts w:asciiTheme="majorHAnsi" w:hAnsiTheme="majorHAnsi"/>
        </w:rPr>
      </w:pPr>
      <w:r w:rsidRPr="00F57275">
        <w:rPr>
          <w:rFonts w:asciiTheme="majorHAnsi" w:hAnsiTheme="majorHAnsi"/>
        </w:rPr>
        <w:t xml:space="preserve">Abstract:  </w:t>
      </w:r>
      <w:r w:rsidR="00F57275">
        <w:rPr>
          <w:rFonts w:asciiTheme="majorHAnsi" w:hAnsiTheme="majorHAnsi"/>
        </w:rPr>
        <w:t>246</w:t>
      </w:r>
    </w:p>
    <w:p w14:paraId="20865007" w14:textId="2163C3FC" w:rsidR="00775EE5" w:rsidRPr="00F57275" w:rsidRDefault="00775EE5" w:rsidP="009B2AA7">
      <w:pPr>
        <w:rPr>
          <w:rFonts w:asciiTheme="majorHAnsi" w:hAnsiTheme="majorHAnsi"/>
        </w:rPr>
      </w:pPr>
      <w:r w:rsidRPr="00F57275">
        <w:rPr>
          <w:rFonts w:asciiTheme="majorHAnsi" w:hAnsiTheme="majorHAnsi"/>
        </w:rPr>
        <w:t>Main text</w:t>
      </w:r>
      <w:r w:rsidR="009B2AA7" w:rsidRPr="00F57275">
        <w:rPr>
          <w:rFonts w:asciiTheme="majorHAnsi" w:hAnsiTheme="majorHAnsi"/>
        </w:rPr>
        <w:t xml:space="preserve">: </w:t>
      </w:r>
      <w:r w:rsidR="002440CA">
        <w:rPr>
          <w:rFonts w:asciiTheme="majorHAnsi" w:hAnsiTheme="majorHAnsi"/>
        </w:rPr>
        <w:t>302</w:t>
      </w:r>
      <w:r w:rsidR="002B3C9B">
        <w:rPr>
          <w:rFonts w:asciiTheme="majorHAnsi" w:hAnsiTheme="majorHAnsi"/>
        </w:rPr>
        <w:t>4</w:t>
      </w:r>
      <w:r w:rsidR="006E7EEC" w:rsidRPr="00F57275">
        <w:rPr>
          <w:rFonts w:asciiTheme="majorHAnsi" w:hAnsiTheme="majorHAnsi"/>
        </w:rPr>
        <w:t xml:space="preserve"> </w:t>
      </w:r>
      <w:r w:rsidR="007368A6" w:rsidRPr="00F57275">
        <w:rPr>
          <w:rFonts w:asciiTheme="majorHAnsi" w:hAnsiTheme="majorHAnsi"/>
        </w:rPr>
        <w:t>(excluding references)</w:t>
      </w:r>
    </w:p>
    <w:p w14:paraId="20215FDD" w14:textId="5C7B7CB4" w:rsidR="009B2AA7" w:rsidRPr="00F57275" w:rsidRDefault="00775EE5" w:rsidP="009B2AA7">
      <w:pPr>
        <w:rPr>
          <w:rFonts w:asciiTheme="majorHAnsi" w:hAnsiTheme="majorHAnsi"/>
        </w:rPr>
      </w:pPr>
      <w:r w:rsidRPr="00F57275">
        <w:rPr>
          <w:rFonts w:asciiTheme="majorHAnsi" w:hAnsiTheme="majorHAnsi"/>
        </w:rPr>
        <w:t>Figures: 6</w:t>
      </w:r>
      <w:r w:rsidR="009B2AA7" w:rsidRPr="00F57275">
        <w:rPr>
          <w:rFonts w:asciiTheme="majorHAnsi" w:hAnsiTheme="majorHAnsi"/>
        </w:rPr>
        <w:t xml:space="preserve"> </w:t>
      </w:r>
    </w:p>
    <w:p w14:paraId="6A66F037" w14:textId="44836A9F" w:rsidR="002F32BA" w:rsidRDefault="00775EE5" w:rsidP="002F32BA">
      <w:pPr>
        <w:rPr>
          <w:rFonts w:asciiTheme="majorHAnsi" w:hAnsiTheme="majorHAnsi"/>
        </w:rPr>
      </w:pPr>
      <w:r w:rsidRPr="00F57275">
        <w:rPr>
          <w:rFonts w:asciiTheme="majorHAnsi" w:hAnsiTheme="majorHAnsi"/>
        </w:rPr>
        <w:t xml:space="preserve">Supplementary </w:t>
      </w:r>
      <w:r w:rsidR="002F32BA">
        <w:rPr>
          <w:rFonts w:asciiTheme="majorHAnsi" w:hAnsiTheme="majorHAnsi"/>
        </w:rPr>
        <w:t>tables: 2</w:t>
      </w:r>
    </w:p>
    <w:p w14:paraId="12EC7AB0" w14:textId="5B20FFEF" w:rsidR="002F32BA" w:rsidRPr="006E7EEC" w:rsidRDefault="002F32BA" w:rsidP="002F32BA">
      <w:pPr>
        <w:rPr>
          <w:rFonts w:asciiTheme="majorHAnsi" w:hAnsiTheme="majorHAnsi"/>
        </w:rPr>
      </w:pPr>
      <w:r>
        <w:rPr>
          <w:rFonts w:asciiTheme="majorHAnsi" w:hAnsiTheme="majorHAnsi"/>
        </w:rPr>
        <w:t>Supplementary figures: 1</w:t>
      </w:r>
    </w:p>
    <w:p w14:paraId="3B677548" w14:textId="77777777" w:rsidR="009B2AA7" w:rsidRPr="006E7EEC" w:rsidRDefault="009B2AA7" w:rsidP="009B2AA7">
      <w:pPr>
        <w:rPr>
          <w:rFonts w:asciiTheme="majorHAnsi" w:hAnsiTheme="majorHAnsi"/>
        </w:rPr>
      </w:pPr>
    </w:p>
    <w:p w14:paraId="0B0B1663" w14:textId="77777777" w:rsidR="009B2AA7" w:rsidRPr="006E7EEC" w:rsidRDefault="009B2AA7" w:rsidP="009B2AA7">
      <w:pPr>
        <w:rPr>
          <w:rFonts w:asciiTheme="majorHAnsi" w:hAnsiTheme="majorHAnsi"/>
        </w:rPr>
      </w:pPr>
    </w:p>
    <w:p w14:paraId="43669587" w14:textId="427F1646" w:rsidR="009B2AA7" w:rsidRPr="006E7EEC" w:rsidRDefault="00775EE5" w:rsidP="009B2AA7">
      <w:pPr>
        <w:rPr>
          <w:rFonts w:asciiTheme="majorHAnsi" w:hAnsiTheme="majorHAnsi"/>
          <w:b/>
        </w:rPr>
      </w:pPr>
      <w:r w:rsidRPr="006E7EEC">
        <w:rPr>
          <w:rFonts w:asciiTheme="majorHAnsi" w:hAnsiTheme="majorHAnsi"/>
          <w:b/>
        </w:rPr>
        <w:t>KEY WORDS</w:t>
      </w:r>
    </w:p>
    <w:p w14:paraId="51833369" w14:textId="4D7D04DB" w:rsidR="009B2AA7" w:rsidRPr="006E7EEC" w:rsidRDefault="007368A6" w:rsidP="009B2AA7">
      <w:pPr>
        <w:rPr>
          <w:rFonts w:asciiTheme="majorHAnsi" w:hAnsiTheme="majorHAnsi"/>
        </w:rPr>
      </w:pPr>
      <w:r w:rsidRPr="006E7EEC">
        <w:rPr>
          <w:rFonts w:asciiTheme="majorHAnsi" w:hAnsiTheme="majorHAnsi"/>
        </w:rPr>
        <w:t>MRSA;</w:t>
      </w:r>
      <w:r w:rsidR="009B2AA7" w:rsidRPr="006E7EEC">
        <w:rPr>
          <w:rFonts w:asciiTheme="majorHAnsi" w:hAnsiTheme="majorHAnsi"/>
        </w:rPr>
        <w:t xml:space="preserve"> </w:t>
      </w:r>
      <w:r w:rsidRPr="006E7EEC">
        <w:rPr>
          <w:rFonts w:asciiTheme="majorHAnsi" w:hAnsiTheme="majorHAnsi"/>
        </w:rPr>
        <w:t xml:space="preserve">bacteraemia; surveillance; epidemiology; public health; </w:t>
      </w:r>
      <w:r w:rsidR="008977CC" w:rsidRPr="006E7EEC">
        <w:rPr>
          <w:rFonts w:asciiTheme="majorHAnsi" w:hAnsiTheme="majorHAnsi"/>
        </w:rPr>
        <w:t>whole-genome sequencing</w:t>
      </w:r>
    </w:p>
    <w:p w14:paraId="3158150B" w14:textId="77777777" w:rsidR="009B2AA7" w:rsidRPr="006E7EEC" w:rsidRDefault="009B2AA7" w:rsidP="009B2AA7">
      <w:pPr>
        <w:rPr>
          <w:rFonts w:asciiTheme="majorHAnsi" w:hAnsiTheme="majorHAnsi"/>
          <w:b/>
        </w:rPr>
      </w:pPr>
    </w:p>
    <w:p w14:paraId="1B2C0EEE" w14:textId="77777777" w:rsidR="009B2AA7" w:rsidRPr="006E7EEC" w:rsidRDefault="009B2AA7">
      <w:pPr>
        <w:rPr>
          <w:rFonts w:asciiTheme="majorHAnsi" w:hAnsiTheme="majorHAnsi"/>
          <w:b/>
        </w:rPr>
      </w:pPr>
      <w:r w:rsidRPr="006E7EEC">
        <w:rPr>
          <w:rFonts w:asciiTheme="majorHAnsi" w:hAnsiTheme="majorHAnsi"/>
          <w:b/>
        </w:rPr>
        <w:br w:type="page"/>
      </w:r>
    </w:p>
    <w:p w14:paraId="04458254"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lastRenderedPageBreak/>
        <w:t>ABSTRACT</w:t>
      </w:r>
    </w:p>
    <w:p w14:paraId="79A57707"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Background: </w:t>
      </w:r>
    </w:p>
    <w:p w14:paraId="5BD42F51" w14:textId="6717B116" w:rsidR="009B2AA7" w:rsidRPr="006E7EEC" w:rsidRDefault="00775EE5" w:rsidP="009B2AA7">
      <w:pPr>
        <w:spacing w:line="360" w:lineRule="auto"/>
        <w:jc w:val="both"/>
        <w:rPr>
          <w:rFonts w:asciiTheme="majorHAnsi" w:hAnsiTheme="majorHAnsi"/>
        </w:rPr>
      </w:pPr>
      <w:r w:rsidRPr="006E7EEC">
        <w:rPr>
          <w:rFonts w:asciiTheme="majorHAnsi" w:hAnsiTheme="majorHAnsi"/>
        </w:rPr>
        <w:t>Mandatory</w:t>
      </w:r>
      <w:r w:rsidR="009B2AA7" w:rsidRPr="006E7EEC">
        <w:rPr>
          <w:rFonts w:asciiTheme="majorHAnsi" w:hAnsiTheme="majorHAnsi"/>
        </w:rPr>
        <w:t xml:space="preserve"> reporting of MRSA blood stream infections (BSI)</w:t>
      </w:r>
      <w:r w:rsidRPr="006E7EEC">
        <w:rPr>
          <w:rFonts w:asciiTheme="majorHAnsi" w:hAnsiTheme="majorHAnsi"/>
        </w:rPr>
        <w:t xml:space="preserve"> has </w:t>
      </w:r>
      <w:r w:rsidR="00193BA5" w:rsidRPr="006E7EEC">
        <w:rPr>
          <w:rFonts w:asciiTheme="majorHAnsi" w:hAnsiTheme="majorHAnsi"/>
        </w:rPr>
        <w:t>occurred</w:t>
      </w:r>
      <w:r w:rsidRPr="006E7EEC">
        <w:rPr>
          <w:rFonts w:asciiTheme="majorHAnsi" w:hAnsiTheme="majorHAnsi"/>
        </w:rPr>
        <w:t xml:space="preserve"> in England for </w:t>
      </w:r>
      <w:r w:rsidR="00193BA5" w:rsidRPr="006E7EEC">
        <w:rPr>
          <w:rFonts w:asciiTheme="majorHAnsi" w:hAnsiTheme="majorHAnsi"/>
        </w:rPr>
        <w:t>over 15 years.</w:t>
      </w:r>
      <w:r w:rsidR="009B2AA7" w:rsidRPr="006E7EEC">
        <w:rPr>
          <w:rFonts w:asciiTheme="majorHAnsi" w:hAnsiTheme="majorHAnsi"/>
        </w:rPr>
        <w:t xml:space="preserve"> </w:t>
      </w:r>
      <w:r w:rsidRPr="006E7EEC">
        <w:rPr>
          <w:rFonts w:asciiTheme="majorHAnsi" w:hAnsiTheme="majorHAnsi"/>
        </w:rPr>
        <w:t>Epidemiological information is recorded</w:t>
      </w:r>
      <w:r w:rsidR="00193BA5" w:rsidRPr="006E7EEC">
        <w:rPr>
          <w:rFonts w:asciiTheme="majorHAnsi" w:hAnsiTheme="majorHAnsi"/>
        </w:rPr>
        <w:t>,</w:t>
      </w:r>
      <w:r w:rsidRPr="006E7EEC">
        <w:rPr>
          <w:rFonts w:asciiTheme="majorHAnsi" w:hAnsiTheme="majorHAnsi"/>
        </w:rPr>
        <w:t xml:space="preserve"> but routine collection of isolates for characterisation has not been undertaken. </w:t>
      </w:r>
      <w:r w:rsidR="009B2AA7" w:rsidRPr="006E7EEC">
        <w:rPr>
          <w:rFonts w:asciiTheme="majorHAnsi" w:hAnsiTheme="majorHAnsi"/>
        </w:rPr>
        <w:t xml:space="preserve">Simultaneously, </w:t>
      </w:r>
      <w:r w:rsidRPr="006E7EEC">
        <w:rPr>
          <w:rFonts w:asciiTheme="majorHAnsi" w:hAnsiTheme="majorHAnsi"/>
        </w:rPr>
        <w:t xml:space="preserve">developments in </w:t>
      </w:r>
      <w:r w:rsidR="009B2AA7" w:rsidRPr="006E7EEC">
        <w:rPr>
          <w:rFonts w:asciiTheme="majorHAnsi" w:hAnsiTheme="majorHAnsi"/>
        </w:rPr>
        <w:t xml:space="preserve">whole-genome sequencing (WGS) </w:t>
      </w:r>
      <w:r w:rsidRPr="006E7EEC">
        <w:rPr>
          <w:rFonts w:asciiTheme="majorHAnsi" w:hAnsiTheme="majorHAnsi"/>
        </w:rPr>
        <w:t>have enabled it to be used for</w:t>
      </w:r>
      <w:r w:rsidR="009B2AA7" w:rsidRPr="006E7EEC">
        <w:rPr>
          <w:rFonts w:asciiTheme="majorHAnsi" w:hAnsiTheme="majorHAnsi"/>
        </w:rPr>
        <w:t xml:space="preserve"> </w:t>
      </w:r>
      <w:r w:rsidRPr="006E7EEC">
        <w:rPr>
          <w:rFonts w:asciiTheme="majorHAnsi" w:hAnsiTheme="majorHAnsi"/>
        </w:rPr>
        <w:t xml:space="preserve">investigation of </w:t>
      </w:r>
      <w:r w:rsidR="009B2AA7" w:rsidRPr="006E7EEC">
        <w:rPr>
          <w:rFonts w:asciiTheme="majorHAnsi" w:hAnsiTheme="majorHAnsi"/>
        </w:rPr>
        <w:t>outbreaks</w:t>
      </w:r>
      <w:r w:rsidRPr="006E7EEC">
        <w:rPr>
          <w:rFonts w:asciiTheme="majorHAnsi" w:hAnsiTheme="majorHAnsi"/>
        </w:rPr>
        <w:t xml:space="preserve"> and spread of antimicrobial resistance, and to </w:t>
      </w:r>
      <w:r w:rsidR="009B2AA7" w:rsidRPr="006E7EEC">
        <w:rPr>
          <w:rFonts w:asciiTheme="majorHAnsi" w:hAnsiTheme="majorHAnsi"/>
        </w:rPr>
        <w:t>determin</w:t>
      </w:r>
      <w:r w:rsidRPr="006E7EEC">
        <w:rPr>
          <w:rFonts w:asciiTheme="majorHAnsi" w:hAnsiTheme="majorHAnsi"/>
        </w:rPr>
        <w:t xml:space="preserve">e bacterial population structure. </w:t>
      </w:r>
      <w:r w:rsidR="009B2AA7" w:rsidRPr="006E7EEC">
        <w:rPr>
          <w:rFonts w:asciiTheme="majorHAnsi" w:hAnsiTheme="majorHAnsi"/>
        </w:rPr>
        <w:t xml:space="preserve">The </w:t>
      </w:r>
      <w:r w:rsidRPr="006E7EEC">
        <w:rPr>
          <w:rFonts w:asciiTheme="majorHAnsi" w:hAnsiTheme="majorHAnsi"/>
        </w:rPr>
        <w:t>potential benefits of</w:t>
      </w:r>
      <w:r w:rsidR="009B2AA7" w:rsidRPr="006E7EEC">
        <w:rPr>
          <w:rFonts w:asciiTheme="majorHAnsi" w:hAnsiTheme="majorHAnsi"/>
        </w:rPr>
        <w:t xml:space="preserve"> adding genomic</w:t>
      </w:r>
      <w:r w:rsidR="00193BA5" w:rsidRPr="006E7EEC">
        <w:rPr>
          <w:rFonts w:asciiTheme="majorHAnsi" w:hAnsiTheme="majorHAnsi"/>
        </w:rPr>
        <w:t xml:space="preserve">s </w:t>
      </w:r>
      <w:r w:rsidR="009B2AA7" w:rsidRPr="006E7EEC">
        <w:rPr>
          <w:rFonts w:asciiTheme="majorHAnsi" w:hAnsiTheme="majorHAnsi"/>
        </w:rPr>
        <w:t xml:space="preserve">to epidemiological surveillance </w:t>
      </w:r>
      <w:r w:rsidR="00A83F24">
        <w:rPr>
          <w:rFonts w:asciiTheme="majorHAnsi" w:hAnsiTheme="majorHAnsi"/>
        </w:rPr>
        <w:t>are</w:t>
      </w:r>
      <w:r w:rsidR="009B2AA7" w:rsidRPr="006E7EEC">
        <w:rPr>
          <w:rFonts w:asciiTheme="majorHAnsi" w:hAnsiTheme="majorHAnsi"/>
        </w:rPr>
        <w:t xml:space="preserve"> unknown. </w:t>
      </w:r>
    </w:p>
    <w:p w14:paraId="7628264A"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Methods:</w:t>
      </w:r>
    </w:p>
    <w:p w14:paraId="7D51EC5A" w14:textId="3A2DFA3D" w:rsidR="009B2AA7" w:rsidRPr="006E7EEC" w:rsidRDefault="009B2AA7" w:rsidP="009B2AA7">
      <w:pPr>
        <w:spacing w:line="360" w:lineRule="auto"/>
        <w:jc w:val="both"/>
        <w:rPr>
          <w:rFonts w:asciiTheme="majorHAnsi" w:hAnsiTheme="majorHAnsi"/>
        </w:rPr>
      </w:pPr>
      <w:r w:rsidRPr="006E7EEC">
        <w:rPr>
          <w:rFonts w:asciiTheme="majorHAnsi" w:hAnsiTheme="majorHAnsi"/>
        </w:rPr>
        <w:t>We conducted a combined epidemiological and genomic survey of MRSA BSI in England over a one-year period</w:t>
      </w:r>
      <w:r w:rsidR="00775EE5" w:rsidRPr="006E7EEC">
        <w:rPr>
          <w:rFonts w:asciiTheme="majorHAnsi" w:hAnsiTheme="majorHAnsi"/>
        </w:rPr>
        <w:t>,</w:t>
      </w:r>
      <w:r w:rsidRPr="006E7EEC">
        <w:rPr>
          <w:rFonts w:asciiTheme="majorHAnsi" w:hAnsiTheme="majorHAnsi"/>
        </w:rPr>
        <w:t xml:space="preserve"> to determine the feasibil</w:t>
      </w:r>
      <w:r w:rsidR="00775EE5" w:rsidRPr="006E7EEC">
        <w:rPr>
          <w:rFonts w:asciiTheme="majorHAnsi" w:hAnsiTheme="majorHAnsi"/>
        </w:rPr>
        <w:t xml:space="preserve">ity and </w:t>
      </w:r>
      <w:r w:rsidR="00193BA5" w:rsidRPr="006E7EEC">
        <w:rPr>
          <w:rFonts w:asciiTheme="majorHAnsi" w:hAnsiTheme="majorHAnsi"/>
        </w:rPr>
        <w:t>potential utility</w:t>
      </w:r>
      <w:r w:rsidR="00775EE5" w:rsidRPr="006E7EEC">
        <w:rPr>
          <w:rFonts w:asciiTheme="majorHAnsi" w:hAnsiTheme="majorHAnsi"/>
        </w:rPr>
        <w:t xml:space="preserve"> of this </w:t>
      </w:r>
      <w:r w:rsidRPr="006E7EEC">
        <w:rPr>
          <w:rFonts w:asciiTheme="majorHAnsi" w:hAnsiTheme="majorHAnsi"/>
        </w:rPr>
        <w:t xml:space="preserve">approach. </w:t>
      </w:r>
    </w:p>
    <w:p w14:paraId="4AE5221E"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Results:</w:t>
      </w:r>
    </w:p>
    <w:p w14:paraId="535AC89E" w14:textId="222B903E" w:rsidR="009B2AA7" w:rsidRPr="006E7EEC" w:rsidRDefault="00A55CBA" w:rsidP="009B2AA7">
      <w:pPr>
        <w:spacing w:line="360" w:lineRule="auto"/>
        <w:jc w:val="both"/>
        <w:rPr>
          <w:rFonts w:asciiTheme="majorHAnsi" w:hAnsiTheme="majorHAnsi"/>
          <w:sz w:val="22"/>
          <w:szCs w:val="20"/>
        </w:rPr>
      </w:pPr>
      <w:r w:rsidRPr="006E7EEC">
        <w:rPr>
          <w:rFonts w:asciiTheme="majorHAnsi" w:hAnsiTheme="majorHAnsi"/>
        </w:rPr>
        <w:t>903</w:t>
      </w:r>
      <w:r w:rsidR="009B2AA7" w:rsidRPr="006E7EEC">
        <w:rPr>
          <w:rFonts w:asciiTheme="majorHAnsi" w:hAnsiTheme="majorHAnsi"/>
        </w:rPr>
        <w:t xml:space="preserve"> </w:t>
      </w:r>
      <w:r w:rsidR="00257A01" w:rsidRPr="006E7EEC">
        <w:rPr>
          <w:rFonts w:asciiTheme="majorHAnsi" w:hAnsiTheme="majorHAnsi"/>
        </w:rPr>
        <w:t xml:space="preserve">cases of </w:t>
      </w:r>
      <w:r w:rsidR="009B2AA7" w:rsidRPr="006E7EEC">
        <w:rPr>
          <w:rFonts w:asciiTheme="majorHAnsi" w:hAnsiTheme="majorHAnsi"/>
        </w:rPr>
        <w:t xml:space="preserve">MRSA </w:t>
      </w:r>
      <w:r w:rsidR="00257A01" w:rsidRPr="006E7EEC">
        <w:rPr>
          <w:rFonts w:asciiTheme="majorHAnsi" w:hAnsiTheme="majorHAnsi"/>
        </w:rPr>
        <w:t xml:space="preserve">BSI </w:t>
      </w:r>
      <w:r w:rsidR="009B2AA7" w:rsidRPr="006E7EEC">
        <w:rPr>
          <w:rFonts w:asciiTheme="majorHAnsi" w:hAnsiTheme="majorHAnsi"/>
        </w:rPr>
        <w:t xml:space="preserve">were reported </w:t>
      </w:r>
      <w:r w:rsidR="00E55A54" w:rsidRPr="006E7EEC">
        <w:rPr>
          <w:rFonts w:asciiTheme="majorHAnsi" w:hAnsiTheme="majorHAnsi"/>
        </w:rPr>
        <w:t>during the study period</w:t>
      </w:r>
      <w:r w:rsidR="009B2AA7" w:rsidRPr="006E7EEC">
        <w:rPr>
          <w:rFonts w:asciiTheme="majorHAnsi" w:hAnsiTheme="majorHAnsi"/>
        </w:rPr>
        <w:t xml:space="preserve">, and 425 isolates were </w:t>
      </w:r>
      <w:r w:rsidR="00775EE5" w:rsidRPr="006E7EEC">
        <w:rPr>
          <w:rFonts w:asciiTheme="majorHAnsi" w:hAnsiTheme="majorHAnsi"/>
        </w:rPr>
        <w:t>available for sequencing</w:t>
      </w:r>
      <w:r w:rsidR="009B2AA7" w:rsidRPr="006E7EEC">
        <w:rPr>
          <w:rFonts w:asciiTheme="majorHAnsi" w:hAnsiTheme="majorHAnsi"/>
        </w:rPr>
        <w:t xml:space="preserve">. </w:t>
      </w:r>
      <w:r w:rsidR="00193BA5" w:rsidRPr="006E7EEC">
        <w:rPr>
          <w:rFonts w:asciiTheme="majorHAnsi" w:hAnsiTheme="majorHAnsi"/>
        </w:rPr>
        <w:t xml:space="preserve">276 (65%) isolates </w:t>
      </w:r>
      <w:r w:rsidR="009B2AA7" w:rsidRPr="006E7EEC">
        <w:rPr>
          <w:rFonts w:asciiTheme="majorHAnsi" w:hAnsiTheme="majorHAnsi"/>
        </w:rPr>
        <w:t>were clonal complex</w:t>
      </w:r>
      <w:r w:rsidR="00193BA5" w:rsidRPr="006E7EEC">
        <w:rPr>
          <w:rFonts w:asciiTheme="majorHAnsi" w:hAnsiTheme="majorHAnsi"/>
        </w:rPr>
        <w:t xml:space="preserve"> (CC) 22</w:t>
      </w:r>
      <w:r w:rsidR="009B2AA7" w:rsidRPr="006E7EEC">
        <w:rPr>
          <w:rFonts w:asciiTheme="majorHAnsi" w:hAnsiTheme="majorHAnsi"/>
        </w:rPr>
        <w:t xml:space="preserve">. </w:t>
      </w:r>
      <w:r w:rsidR="00193BA5" w:rsidRPr="006E7EEC">
        <w:rPr>
          <w:rFonts w:asciiTheme="majorHAnsi" w:hAnsiTheme="majorHAnsi"/>
        </w:rPr>
        <w:t xml:space="preserve">Addition of a </w:t>
      </w:r>
      <w:r w:rsidR="009B2AA7" w:rsidRPr="006E7EEC">
        <w:rPr>
          <w:rFonts w:asciiTheme="majorHAnsi" w:hAnsiTheme="majorHAnsi"/>
        </w:rPr>
        <w:t xml:space="preserve">further 64 MRSA genomes from published outbreak investigations, showed that the study genomes </w:t>
      </w:r>
      <w:r w:rsidR="00193BA5" w:rsidRPr="006E7EEC">
        <w:rPr>
          <w:rFonts w:asciiTheme="majorHAnsi" w:hAnsiTheme="majorHAnsi"/>
        </w:rPr>
        <w:t xml:space="preserve">could provide </w:t>
      </w:r>
      <w:r w:rsidR="009B2AA7" w:rsidRPr="006E7EEC">
        <w:rPr>
          <w:rFonts w:asciiTheme="majorHAnsi" w:hAnsiTheme="majorHAnsi"/>
        </w:rPr>
        <w:t xml:space="preserve">context for outbreak isolates and supported cluster identification. Comparison to other </w:t>
      </w:r>
      <w:r w:rsidR="00193BA5" w:rsidRPr="006E7EEC">
        <w:rPr>
          <w:rFonts w:asciiTheme="majorHAnsi" w:hAnsiTheme="majorHAnsi"/>
        </w:rPr>
        <w:t xml:space="preserve">MRSA </w:t>
      </w:r>
      <w:r w:rsidR="009B2AA7" w:rsidRPr="006E7EEC">
        <w:rPr>
          <w:rFonts w:asciiTheme="majorHAnsi" w:hAnsiTheme="majorHAnsi"/>
        </w:rPr>
        <w:t xml:space="preserve">collections demonstrated variation in the clonal diversity achieved through different sampling strategies, and </w:t>
      </w:r>
      <w:r w:rsidR="00193BA5" w:rsidRPr="006E7EEC">
        <w:rPr>
          <w:rFonts w:asciiTheme="majorHAnsi" w:hAnsiTheme="majorHAnsi"/>
        </w:rPr>
        <w:t xml:space="preserve">identified </w:t>
      </w:r>
      <w:r w:rsidR="009B2AA7" w:rsidRPr="006E7EEC">
        <w:rPr>
          <w:rFonts w:asciiTheme="majorHAnsi" w:hAnsiTheme="majorHAnsi"/>
        </w:rPr>
        <w:t>potentially high-risk clones such as USA300</w:t>
      </w:r>
      <w:r w:rsidR="00193BA5" w:rsidRPr="006E7EEC">
        <w:rPr>
          <w:rFonts w:asciiTheme="majorHAnsi" w:hAnsiTheme="majorHAnsi"/>
        </w:rPr>
        <w:t>,</w:t>
      </w:r>
      <w:r w:rsidR="009B2AA7" w:rsidRPr="006E7EEC">
        <w:rPr>
          <w:rFonts w:asciiTheme="majorHAnsi" w:hAnsiTheme="majorHAnsi"/>
        </w:rPr>
        <w:t xml:space="preserve"> and a local expansion of </w:t>
      </w:r>
      <w:r w:rsidR="00193BA5" w:rsidRPr="006E7EEC">
        <w:rPr>
          <w:rFonts w:asciiTheme="majorHAnsi" w:hAnsiTheme="majorHAnsi"/>
        </w:rPr>
        <w:t>CC5</w:t>
      </w:r>
      <w:r w:rsidR="009B2AA7" w:rsidRPr="006E7EEC">
        <w:rPr>
          <w:rFonts w:asciiTheme="majorHAnsi" w:hAnsiTheme="majorHAnsi"/>
        </w:rPr>
        <w:t xml:space="preserve"> MRSA in the South West region</w:t>
      </w:r>
      <w:r w:rsidR="00193BA5" w:rsidRPr="006E7EEC">
        <w:rPr>
          <w:rFonts w:asciiTheme="majorHAnsi" w:hAnsiTheme="majorHAnsi"/>
        </w:rPr>
        <w:t>.</w:t>
      </w:r>
      <w:r w:rsidR="009B2AA7" w:rsidRPr="006E7EEC" w:rsidDel="00094CF5">
        <w:rPr>
          <w:rFonts w:asciiTheme="majorHAnsi" w:hAnsiTheme="majorHAnsi"/>
        </w:rPr>
        <w:t xml:space="preserve"> </w:t>
      </w:r>
    </w:p>
    <w:p w14:paraId="5CCF2891" w14:textId="6AC9E0D7" w:rsidR="009B2AA7" w:rsidRPr="006E7EEC" w:rsidRDefault="009B2AA7" w:rsidP="009B2AA7">
      <w:pPr>
        <w:spacing w:line="360" w:lineRule="auto"/>
        <w:jc w:val="both"/>
        <w:rPr>
          <w:rFonts w:asciiTheme="majorHAnsi" w:hAnsiTheme="majorHAnsi"/>
        </w:rPr>
      </w:pPr>
      <w:r w:rsidRPr="006E7EEC">
        <w:rPr>
          <w:rFonts w:asciiTheme="majorHAnsi" w:hAnsiTheme="majorHAnsi"/>
        </w:rPr>
        <w:t>Conclusion</w:t>
      </w:r>
      <w:r w:rsidR="006D39A6">
        <w:rPr>
          <w:rFonts w:asciiTheme="majorHAnsi" w:hAnsiTheme="majorHAnsi"/>
        </w:rPr>
        <w:t>s</w:t>
      </w:r>
      <w:r w:rsidRPr="006E7EEC">
        <w:rPr>
          <w:rFonts w:asciiTheme="majorHAnsi" w:hAnsiTheme="majorHAnsi"/>
        </w:rPr>
        <w:t>:</w:t>
      </w:r>
    </w:p>
    <w:p w14:paraId="12543458" w14:textId="401F62F6" w:rsidR="009B2AA7" w:rsidRPr="006E7EEC" w:rsidRDefault="00193BA5" w:rsidP="009B2AA7">
      <w:pPr>
        <w:spacing w:line="360" w:lineRule="auto"/>
        <w:jc w:val="both"/>
        <w:rPr>
          <w:rFonts w:asciiTheme="majorHAnsi" w:hAnsiTheme="majorHAnsi"/>
        </w:rPr>
      </w:pPr>
      <w:r w:rsidRPr="006E7EEC">
        <w:rPr>
          <w:rFonts w:asciiTheme="majorHAnsi" w:hAnsiTheme="majorHAnsi"/>
        </w:rPr>
        <w:t>This study demonstrates the</w:t>
      </w:r>
      <w:r w:rsidR="009B2AA7" w:rsidRPr="006E7EEC">
        <w:rPr>
          <w:rFonts w:asciiTheme="majorHAnsi" w:hAnsiTheme="majorHAnsi"/>
        </w:rPr>
        <w:t xml:space="preserve"> potential utility of combined epidemiological and genomic </w:t>
      </w:r>
      <w:r w:rsidRPr="006E7EEC">
        <w:rPr>
          <w:rFonts w:asciiTheme="majorHAnsi" w:hAnsiTheme="majorHAnsi"/>
        </w:rPr>
        <w:t xml:space="preserve">MRSA BSI </w:t>
      </w:r>
      <w:r w:rsidR="009B2AA7" w:rsidRPr="006E7EEC">
        <w:rPr>
          <w:rFonts w:asciiTheme="majorHAnsi" w:hAnsiTheme="majorHAnsi"/>
        </w:rPr>
        <w:t>surveillance</w:t>
      </w:r>
      <w:r w:rsidRPr="006E7EEC">
        <w:rPr>
          <w:rFonts w:asciiTheme="majorHAnsi" w:hAnsiTheme="majorHAnsi"/>
        </w:rPr>
        <w:t xml:space="preserve"> in determining the national </w:t>
      </w:r>
      <w:r w:rsidR="009B2AA7" w:rsidRPr="006E7EEC">
        <w:rPr>
          <w:rFonts w:asciiTheme="majorHAnsi" w:hAnsiTheme="majorHAnsi"/>
        </w:rPr>
        <w:t>population structure of MRSA</w:t>
      </w:r>
      <w:r w:rsidRPr="006E7EEC">
        <w:rPr>
          <w:rFonts w:asciiTheme="majorHAnsi" w:hAnsiTheme="majorHAnsi"/>
        </w:rPr>
        <w:t>, co</w:t>
      </w:r>
      <w:r w:rsidR="009B2AA7" w:rsidRPr="006E7EEC">
        <w:rPr>
          <w:rFonts w:asciiTheme="majorHAnsi" w:hAnsiTheme="majorHAnsi"/>
        </w:rPr>
        <w:t>ntextualis</w:t>
      </w:r>
      <w:r w:rsidRPr="006E7EEC">
        <w:rPr>
          <w:rFonts w:asciiTheme="majorHAnsi" w:hAnsiTheme="majorHAnsi"/>
        </w:rPr>
        <w:t xml:space="preserve">ing previously </w:t>
      </w:r>
      <w:r w:rsidR="009B2AA7" w:rsidRPr="006E7EEC">
        <w:rPr>
          <w:rFonts w:asciiTheme="majorHAnsi" w:hAnsiTheme="majorHAnsi"/>
        </w:rPr>
        <w:t>recognised MRSA outbreaks, and</w:t>
      </w:r>
      <w:r w:rsidRPr="006E7EEC">
        <w:rPr>
          <w:rFonts w:asciiTheme="majorHAnsi" w:hAnsiTheme="majorHAnsi"/>
        </w:rPr>
        <w:t xml:space="preserve"> </w:t>
      </w:r>
      <w:r w:rsidR="00A83F24">
        <w:rPr>
          <w:rFonts w:asciiTheme="majorHAnsi" w:hAnsiTheme="majorHAnsi"/>
        </w:rPr>
        <w:t xml:space="preserve">in </w:t>
      </w:r>
      <w:r w:rsidRPr="006E7EEC">
        <w:rPr>
          <w:rFonts w:asciiTheme="majorHAnsi" w:hAnsiTheme="majorHAnsi"/>
        </w:rPr>
        <w:t>detection</w:t>
      </w:r>
      <w:r w:rsidR="009B2AA7" w:rsidRPr="006E7EEC">
        <w:rPr>
          <w:rFonts w:asciiTheme="majorHAnsi" w:hAnsiTheme="majorHAnsi"/>
        </w:rPr>
        <w:t xml:space="preserve"> </w:t>
      </w:r>
      <w:r w:rsidRPr="006E7EEC">
        <w:rPr>
          <w:rFonts w:asciiTheme="majorHAnsi" w:hAnsiTheme="majorHAnsi"/>
        </w:rPr>
        <w:t xml:space="preserve">of </w:t>
      </w:r>
      <w:r w:rsidR="009B2AA7" w:rsidRPr="006E7EEC">
        <w:rPr>
          <w:rFonts w:asciiTheme="majorHAnsi" w:hAnsiTheme="majorHAnsi"/>
        </w:rPr>
        <w:t>potentially high-risk lineages</w:t>
      </w:r>
      <w:r w:rsidRPr="006E7EEC">
        <w:rPr>
          <w:rFonts w:asciiTheme="majorHAnsi" w:hAnsiTheme="majorHAnsi"/>
        </w:rPr>
        <w:t xml:space="preserve">. </w:t>
      </w:r>
      <w:r w:rsidR="009B2AA7" w:rsidRPr="006E7EEC">
        <w:rPr>
          <w:rFonts w:asciiTheme="majorHAnsi" w:hAnsiTheme="majorHAnsi"/>
        </w:rPr>
        <w:t xml:space="preserve">These findings support the integration of epidemiological and genomic surveillance for MRSA BSI as a first step towards a comprehensive surveillance programme in England. </w:t>
      </w:r>
    </w:p>
    <w:p w14:paraId="4368DC80" w14:textId="77777777" w:rsidR="009B2AA7" w:rsidRPr="006E7EEC" w:rsidRDefault="009B2AA7">
      <w:pPr>
        <w:rPr>
          <w:rFonts w:asciiTheme="majorHAnsi" w:hAnsiTheme="majorHAnsi"/>
          <w:b/>
        </w:rPr>
      </w:pPr>
      <w:r w:rsidRPr="006E7EEC">
        <w:rPr>
          <w:rFonts w:asciiTheme="majorHAnsi" w:hAnsiTheme="majorHAnsi"/>
          <w:b/>
        </w:rPr>
        <w:br w:type="page"/>
      </w:r>
    </w:p>
    <w:p w14:paraId="28DFEDBF" w14:textId="77777777" w:rsidR="009B2AA7" w:rsidRPr="006E7EEC" w:rsidRDefault="009B2AA7" w:rsidP="009B2AA7">
      <w:pPr>
        <w:spacing w:line="360" w:lineRule="auto"/>
        <w:outlineLvl w:val="0"/>
        <w:rPr>
          <w:rFonts w:asciiTheme="majorHAnsi" w:hAnsiTheme="majorHAnsi"/>
        </w:rPr>
      </w:pPr>
      <w:r w:rsidRPr="006E7EEC">
        <w:rPr>
          <w:rFonts w:asciiTheme="majorHAnsi" w:hAnsiTheme="majorHAnsi"/>
          <w:b/>
        </w:rPr>
        <w:lastRenderedPageBreak/>
        <w:t>Introduction</w:t>
      </w:r>
    </w:p>
    <w:p w14:paraId="31B08AA9" w14:textId="5869B207" w:rsidR="009B2AA7" w:rsidRPr="006E7EEC" w:rsidRDefault="006D39A6" w:rsidP="009B2AA7">
      <w:pPr>
        <w:spacing w:line="360" w:lineRule="auto"/>
        <w:jc w:val="both"/>
        <w:rPr>
          <w:rFonts w:asciiTheme="majorHAnsi" w:hAnsiTheme="majorHAnsi"/>
        </w:rPr>
      </w:pPr>
      <w:r>
        <w:rPr>
          <w:rFonts w:asciiTheme="majorHAnsi" w:hAnsiTheme="majorHAnsi"/>
        </w:rPr>
        <w:t>In 2011, f</w:t>
      </w:r>
      <w:r w:rsidRPr="006E7EEC">
        <w:rPr>
          <w:rFonts w:asciiTheme="majorHAnsi" w:hAnsiTheme="majorHAnsi"/>
        </w:rPr>
        <w:t xml:space="preserve">aced </w:t>
      </w:r>
      <w:r w:rsidR="009B2AA7" w:rsidRPr="006E7EEC">
        <w:rPr>
          <w:rFonts w:asciiTheme="majorHAnsi" w:hAnsiTheme="majorHAnsi"/>
        </w:rPr>
        <w:t>with increasingly high-rates of methicillin-resistant S</w:t>
      </w:r>
      <w:r w:rsidR="009B2AA7" w:rsidRPr="006E7EEC">
        <w:rPr>
          <w:rFonts w:asciiTheme="majorHAnsi" w:hAnsiTheme="majorHAnsi"/>
          <w:i/>
        </w:rPr>
        <w:t xml:space="preserve">taphylococcus aureus </w:t>
      </w:r>
      <w:r w:rsidR="009B2AA7" w:rsidRPr="006E7EEC">
        <w:rPr>
          <w:rFonts w:asciiTheme="majorHAnsi" w:hAnsiTheme="majorHAnsi"/>
        </w:rPr>
        <w:t>(MRSA) bloodstream infections (BSI) at the turn of the century, the UK Department of Health mandated surveillance of MRSA BSI in England</w:t>
      </w:r>
      <w:r>
        <w:rPr>
          <w:rFonts w:asciiTheme="majorHAnsi" w:hAnsiTheme="majorHAnsi"/>
        </w:rPr>
        <w:t>.</w:t>
      </w:r>
      <w:r w:rsidR="009B2AA7" w:rsidRPr="006E7EEC">
        <w:rPr>
          <w:rFonts w:asciiTheme="majorHAnsi" w:hAnsiTheme="majorHAnsi"/>
        </w:rPr>
        <w:t xml:space="preserve"> This was followed in 2005 by enhanced surveillance to collect clinical and epidemiological information </w:t>
      </w:r>
      <w:r w:rsidR="009B2AA7" w:rsidRPr="006E7EEC">
        <w:rPr>
          <w:rFonts w:asciiTheme="majorHAnsi" w:hAnsiTheme="majorHAnsi"/>
          <w:noProof/>
        </w:rPr>
        <w:t>(1, 2)</w:t>
      </w:r>
      <w:r w:rsidR="009B2AA7" w:rsidRPr="006E7EEC">
        <w:rPr>
          <w:rFonts w:asciiTheme="majorHAnsi" w:hAnsiTheme="majorHAnsi"/>
        </w:rPr>
        <w:t xml:space="preserve">. A raft of infection prevention and control (IPC) measures including were also introduced, such as strengthened antibiotic stewardship, MRSA screening with decolonisation of all emergency hospital admissions </w:t>
      </w:r>
      <w:r w:rsidR="009B2AA7" w:rsidRPr="006E7EEC">
        <w:rPr>
          <w:rFonts w:asciiTheme="majorHAnsi" w:hAnsiTheme="majorHAnsi"/>
          <w:noProof/>
        </w:rPr>
        <w:t>(3)</w:t>
      </w:r>
      <w:r w:rsidR="009B2AA7" w:rsidRPr="006E7EEC">
        <w:rPr>
          <w:rFonts w:asciiTheme="majorHAnsi" w:hAnsiTheme="majorHAnsi"/>
        </w:rPr>
        <w:t xml:space="preserve">, and use of care bundles for patients with intravascular catheters and indwelling urinary catheters </w:t>
      </w:r>
      <w:r w:rsidR="009B2AA7" w:rsidRPr="006E7EEC">
        <w:rPr>
          <w:rFonts w:asciiTheme="majorHAnsi" w:hAnsiTheme="majorHAnsi"/>
          <w:noProof/>
        </w:rPr>
        <w:t>(4)</w:t>
      </w:r>
      <w:r w:rsidR="009B2AA7" w:rsidRPr="006E7EEC">
        <w:rPr>
          <w:rFonts w:asciiTheme="majorHAnsi" w:hAnsiTheme="majorHAnsi"/>
        </w:rPr>
        <w:t xml:space="preserve">. Over the past decade there has been a remarkable decline in the incidence of MRSA BSI in England </w:t>
      </w:r>
      <w:r w:rsidR="009B2AA7" w:rsidRPr="006E7EEC">
        <w:rPr>
          <w:rFonts w:asciiTheme="majorHAnsi" w:hAnsiTheme="majorHAnsi"/>
          <w:noProof/>
        </w:rPr>
        <w:t>(1, 2)</w:t>
      </w:r>
      <w:r w:rsidR="009B2AA7" w:rsidRPr="006E7EEC">
        <w:rPr>
          <w:rFonts w:asciiTheme="majorHAnsi" w:hAnsiTheme="majorHAnsi"/>
        </w:rPr>
        <w:t xml:space="preserve">. Surveillance and IPC interventions are likely to have played a major role in this success, although the contribution of </w:t>
      </w:r>
      <w:r>
        <w:rPr>
          <w:rFonts w:asciiTheme="majorHAnsi" w:hAnsiTheme="majorHAnsi"/>
        </w:rPr>
        <w:t xml:space="preserve">changes </w:t>
      </w:r>
      <w:r w:rsidR="009B2AA7" w:rsidRPr="006E7EEC">
        <w:rPr>
          <w:rFonts w:asciiTheme="majorHAnsi" w:hAnsiTheme="majorHAnsi"/>
        </w:rPr>
        <w:t xml:space="preserve">in the epidemiology of MRSA remains uncertain </w:t>
      </w:r>
      <w:r w:rsidR="009B2AA7" w:rsidRPr="006E7EEC">
        <w:rPr>
          <w:rFonts w:asciiTheme="majorHAnsi" w:hAnsiTheme="majorHAnsi"/>
          <w:noProof/>
        </w:rPr>
        <w:t>(5, 6)</w:t>
      </w:r>
      <w:r w:rsidR="009B2AA7" w:rsidRPr="006E7EEC">
        <w:rPr>
          <w:rFonts w:asciiTheme="majorHAnsi" w:hAnsiTheme="majorHAnsi"/>
        </w:rPr>
        <w:t xml:space="preserve">. </w:t>
      </w:r>
    </w:p>
    <w:p w14:paraId="5CC439CD" w14:textId="77777777" w:rsidR="009B2AA7" w:rsidRPr="006E7EEC" w:rsidRDefault="009B2AA7" w:rsidP="009B2AA7">
      <w:pPr>
        <w:spacing w:line="360" w:lineRule="auto"/>
        <w:jc w:val="both"/>
        <w:rPr>
          <w:rFonts w:asciiTheme="majorHAnsi" w:hAnsiTheme="majorHAnsi"/>
        </w:rPr>
      </w:pPr>
    </w:p>
    <w:p w14:paraId="6EEA6774" w14:textId="735CEF4C"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The national MRSA </w:t>
      </w:r>
      <w:r w:rsidR="009A3412" w:rsidRPr="006E7EEC">
        <w:rPr>
          <w:rFonts w:asciiTheme="majorHAnsi" w:hAnsiTheme="majorHAnsi"/>
        </w:rPr>
        <w:t>BSI</w:t>
      </w:r>
      <w:r w:rsidRPr="006E7EEC">
        <w:rPr>
          <w:rFonts w:asciiTheme="majorHAnsi" w:hAnsiTheme="majorHAnsi"/>
        </w:rPr>
        <w:t xml:space="preserve"> surveillance programme conducted by Public Health England (PHE) did not include routine submission of isolates for characterisation. Isolates submitted to the PHE Staphylococcal Reference Service </w:t>
      </w:r>
      <w:r w:rsidR="006D39A6">
        <w:rPr>
          <w:rFonts w:asciiTheme="majorHAnsi" w:hAnsiTheme="majorHAnsi"/>
        </w:rPr>
        <w:t>were</w:t>
      </w:r>
      <w:r w:rsidR="006D39A6" w:rsidRPr="006E7EEC">
        <w:rPr>
          <w:rFonts w:asciiTheme="majorHAnsi" w:hAnsiTheme="majorHAnsi"/>
        </w:rPr>
        <w:t xml:space="preserve"> </w:t>
      </w:r>
      <w:r w:rsidRPr="006E7EEC">
        <w:rPr>
          <w:rFonts w:asciiTheme="majorHAnsi" w:hAnsiTheme="majorHAnsi"/>
        </w:rPr>
        <w:t xml:space="preserve">highly selected, and </w:t>
      </w:r>
      <w:r w:rsidR="006D39A6">
        <w:rPr>
          <w:rFonts w:asciiTheme="majorHAnsi" w:hAnsiTheme="majorHAnsi"/>
        </w:rPr>
        <w:t xml:space="preserve">were </w:t>
      </w:r>
      <w:r w:rsidRPr="006E7EEC">
        <w:rPr>
          <w:rFonts w:asciiTheme="majorHAnsi" w:hAnsiTheme="majorHAnsi"/>
        </w:rPr>
        <w:t xml:space="preserve">submitted in order to type isolates </w:t>
      </w:r>
      <w:r w:rsidR="006D39A6">
        <w:rPr>
          <w:rFonts w:asciiTheme="majorHAnsi" w:hAnsiTheme="majorHAnsi"/>
        </w:rPr>
        <w:t>for the investigation</w:t>
      </w:r>
      <w:r w:rsidRPr="006E7EEC">
        <w:rPr>
          <w:rFonts w:asciiTheme="majorHAnsi" w:hAnsiTheme="majorHAnsi"/>
        </w:rPr>
        <w:t xml:space="preserve"> of suspected </w:t>
      </w:r>
      <w:r w:rsidR="006D39A6">
        <w:rPr>
          <w:rFonts w:asciiTheme="majorHAnsi" w:hAnsiTheme="majorHAnsi"/>
        </w:rPr>
        <w:t xml:space="preserve">nosocomial and community </w:t>
      </w:r>
      <w:r w:rsidRPr="006E7EEC">
        <w:rPr>
          <w:rFonts w:asciiTheme="majorHAnsi" w:hAnsiTheme="majorHAnsi"/>
        </w:rPr>
        <w:t>outbreak</w:t>
      </w:r>
      <w:r w:rsidR="006D39A6">
        <w:rPr>
          <w:rFonts w:asciiTheme="majorHAnsi" w:hAnsiTheme="majorHAnsi"/>
        </w:rPr>
        <w:t>s</w:t>
      </w:r>
      <w:r w:rsidRPr="006E7EEC">
        <w:rPr>
          <w:rFonts w:asciiTheme="majorHAnsi" w:hAnsiTheme="majorHAnsi"/>
        </w:rPr>
        <w:t xml:space="preserve">, </w:t>
      </w:r>
      <w:r w:rsidR="006D39A6">
        <w:rPr>
          <w:rFonts w:asciiTheme="majorHAnsi" w:hAnsiTheme="majorHAnsi"/>
        </w:rPr>
        <w:t xml:space="preserve">for </w:t>
      </w:r>
      <w:r w:rsidR="00032660" w:rsidRPr="006E7EEC">
        <w:rPr>
          <w:rFonts w:asciiTheme="majorHAnsi" w:hAnsiTheme="majorHAnsi"/>
        </w:rPr>
        <w:t xml:space="preserve">selected </w:t>
      </w:r>
      <w:r w:rsidR="00B25DF6" w:rsidRPr="006E7EEC">
        <w:rPr>
          <w:rFonts w:asciiTheme="majorHAnsi" w:hAnsiTheme="majorHAnsi"/>
        </w:rPr>
        <w:t xml:space="preserve">sentinel surveillance programmes, </w:t>
      </w:r>
      <w:r w:rsidRPr="006E7EEC">
        <w:rPr>
          <w:rFonts w:asciiTheme="majorHAnsi" w:hAnsiTheme="majorHAnsi"/>
        </w:rPr>
        <w:t xml:space="preserve">and/or to detect specific genes in isolates from patients with suspected toxin-mediated disease. Strain characterisation </w:t>
      </w:r>
      <w:r w:rsidR="006D39A6">
        <w:rPr>
          <w:rFonts w:asciiTheme="majorHAnsi" w:hAnsiTheme="majorHAnsi"/>
        </w:rPr>
        <w:t>was</w:t>
      </w:r>
      <w:r w:rsidR="006D39A6" w:rsidRPr="006E7EEC">
        <w:rPr>
          <w:rFonts w:asciiTheme="majorHAnsi" w:hAnsiTheme="majorHAnsi"/>
        </w:rPr>
        <w:t xml:space="preserve"> </w:t>
      </w:r>
      <w:r w:rsidRPr="006E7EEC">
        <w:rPr>
          <w:rFonts w:asciiTheme="majorHAnsi" w:hAnsiTheme="majorHAnsi"/>
        </w:rPr>
        <w:t xml:space="preserve">undertaken </w:t>
      </w:r>
      <w:r w:rsidR="006F6E65" w:rsidRPr="006E7EEC">
        <w:rPr>
          <w:rFonts w:asciiTheme="majorHAnsi" w:hAnsiTheme="majorHAnsi"/>
        </w:rPr>
        <w:t>using</w:t>
      </w:r>
      <w:r w:rsidRPr="006E7EEC">
        <w:rPr>
          <w:rFonts w:asciiTheme="majorHAnsi" w:hAnsiTheme="majorHAnsi"/>
        </w:rPr>
        <w:t xml:space="preserve"> staphylococcal protein A (</w:t>
      </w:r>
      <w:r w:rsidRPr="006E7EEC">
        <w:rPr>
          <w:rFonts w:asciiTheme="majorHAnsi" w:hAnsiTheme="majorHAnsi"/>
          <w:i/>
        </w:rPr>
        <w:t>spa</w:t>
      </w:r>
      <w:r w:rsidRPr="006E7EEC">
        <w:rPr>
          <w:rFonts w:asciiTheme="majorHAnsi" w:hAnsiTheme="majorHAnsi"/>
        </w:rPr>
        <w:t xml:space="preserve">-) typing, multi-locus sequence typing (MLST), </w:t>
      </w:r>
      <w:proofErr w:type="spellStart"/>
      <w:r w:rsidRPr="006E7EEC">
        <w:rPr>
          <w:rFonts w:asciiTheme="majorHAnsi" w:hAnsiTheme="majorHAnsi"/>
        </w:rPr>
        <w:t>SCC</w:t>
      </w:r>
      <w:r w:rsidRPr="006E7EEC">
        <w:rPr>
          <w:rFonts w:asciiTheme="majorHAnsi" w:hAnsiTheme="majorHAnsi"/>
          <w:i/>
        </w:rPr>
        <w:t>mec</w:t>
      </w:r>
      <w:proofErr w:type="spellEnd"/>
      <w:r w:rsidRPr="006E7EEC">
        <w:rPr>
          <w:rFonts w:asciiTheme="majorHAnsi" w:hAnsiTheme="majorHAnsi"/>
        </w:rPr>
        <w:t xml:space="preserve">-subtyping, </w:t>
      </w:r>
      <w:r w:rsidR="006F6E65" w:rsidRPr="006E7EEC">
        <w:rPr>
          <w:rFonts w:asciiTheme="majorHAnsi" w:hAnsiTheme="majorHAnsi"/>
        </w:rPr>
        <w:t xml:space="preserve">and </w:t>
      </w:r>
      <w:r w:rsidRPr="006E7EEC">
        <w:rPr>
          <w:rFonts w:asciiTheme="majorHAnsi" w:hAnsiTheme="majorHAnsi"/>
        </w:rPr>
        <w:t>toxin gene profiling</w:t>
      </w:r>
      <w:r w:rsidR="006F6E65" w:rsidRPr="006E7EEC">
        <w:rPr>
          <w:rFonts w:asciiTheme="majorHAnsi" w:hAnsiTheme="majorHAnsi"/>
        </w:rPr>
        <w:t xml:space="preserve">. It </w:t>
      </w:r>
      <w:r w:rsidRPr="006E7EEC">
        <w:rPr>
          <w:rFonts w:asciiTheme="majorHAnsi" w:hAnsiTheme="majorHAnsi"/>
        </w:rPr>
        <w:t xml:space="preserve">is possible that a large amount of information regarding the population of disease-causing MRSA in England may have been missed as a result of </w:t>
      </w:r>
      <w:r w:rsidR="00A83F24">
        <w:rPr>
          <w:rFonts w:asciiTheme="majorHAnsi" w:hAnsiTheme="majorHAnsi"/>
        </w:rPr>
        <w:t xml:space="preserve">this </w:t>
      </w:r>
      <w:r w:rsidRPr="006E7EEC">
        <w:rPr>
          <w:rFonts w:asciiTheme="majorHAnsi" w:hAnsiTheme="majorHAnsi"/>
          <w:i/>
        </w:rPr>
        <w:t>ad hoc</w:t>
      </w:r>
      <w:r w:rsidRPr="006E7EEC">
        <w:rPr>
          <w:rFonts w:asciiTheme="majorHAnsi" w:hAnsiTheme="majorHAnsi"/>
        </w:rPr>
        <w:t xml:space="preserve"> </w:t>
      </w:r>
      <w:r w:rsidR="006F6E65" w:rsidRPr="006E7EEC">
        <w:rPr>
          <w:rFonts w:asciiTheme="majorHAnsi" w:hAnsiTheme="majorHAnsi"/>
        </w:rPr>
        <w:t>approach.</w:t>
      </w:r>
      <w:r w:rsidRPr="006E7EEC">
        <w:rPr>
          <w:rFonts w:asciiTheme="majorHAnsi" w:hAnsiTheme="majorHAnsi"/>
        </w:rPr>
        <w:t xml:space="preserve"> </w:t>
      </w:r>
      <w:r w:rsidRPr="006E7EEC" w:rsidDel="00060108">
        <w:rPr>
          <w:rFonts w:asciiTheme="majorHAnsi" w:hAnsiTheme="majorHAnsi"/>
        </w:rPr>
        <w:t xml:space="preserve"> </w:t>
      </w:r>
    </w:p>
    <w:p w14:paraId="318FC241" w14:textId="77777777" w:rsidR="009B2AA7" w:rsidRPr="006E7EEC" w:rsidRDefault="009B2AA7" w:rsidP="009B2AA7">
      <w:pPr>
        <w:spacing w:line="360" w:lineRule="auto"/>
        <w:jc w:val="both"/>
        <w:rPr>
          <w:rFonts w:asciiTheme="majorHAnsi" w:hAnsiTheme="majorHAnsi"/>
        </w:rPr>
      </w:pPr>
    </w:p>
    <w:p w14:paraId="731C0DDA" w14:textId="0754CE04"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Microbial WGS provides increased discriminatory power to resolve outbreaks and identify emerging MRSA lineages compared with conventional typing methods </w:t>
      </w:r>
      <w:r w:rsidRPr="006E7EEC">
        <w:rPr>
          <w:rFonts w:asciiTheme="majorHAnsi" w:hAnsiTheme="majorHAnsi"/>
          <w:noProof/>
        </w:rPr>
        <w:t>(7)</w:t>
      </w:r>
      <w:r w:rsidRPr="006E7EEC">
        <w:rPr>
          <w:rFonts w:asciiTheme="majorHAnsi" w:hAnsiTheme="majorHAnsi"/>
        </w:rPr>
        <w:t xml:space="preserve">. WGS has been used to investigate MRSA outbreaks in the UK </w:t>
      </w:r>
      <w:r w:rsidRPr="006E7EEC">
        <w:rPr>
          <w:rFonts w:asciiTheme="majorHAnsi" w:hAnsiTheme="majorHAnsi"/>
          <w:noProof/>
        </w:rPr>
        <w:t>(8-12)</w:t>
      </w:r>
      <w:r w:rsidRPr="006E7EEC">
        <w:rPr>
          <w:rFonts w:asciiTheme="majorHAnsi" w:hAnsiTheme="majorHAnsi"/>
        </w:rPr>
        <w:t xml:space="preserve">, and to examine the population genetic structure of MRSA in the UK and globally </w:t>
      </w:r>
      <w:r w:rsidRPr="006E7EEC">
        <w:rPr>
          <w:rFonts w:asciiTheme="majorHAnsi" w:hAnsiTheme="majorHAnsi"/>
          <w:noProof/>
        </w:rPr>
        <w:t>(13, 14)</w:t>
      </w:r>
      <w:r w:rsidRPr="006E7EEC">
        <w:rPr>
          <w:rFonts w:asciiTheme="majorHAnsi" w:hAnsiTheme="majorHAnsi"/>
        </w:rPr>
        <w:t>. These studies have largely been conducted through grant-funded academic research</w:t>
      </w:r>
      <w:r w:rsidR="006F6E65" w:rsidRPr="006E7EEC">
        <w:rPr>
          <w:rFonts w:asciiTheme="majorHAnsi" w:hAnsiTheme="majorHAnsi"/>
        </w:rPr>
        <w:t>,</w:t>
      </w:r>
      <w:r w:rsidRPr="006E7EEC">
        <w:rPr>
          <w:rFonts w:asciiTheme="majorHAnsi" w:hAnsiTheme="majorHAnsi"/>
        </w:rPr>
        <w:t xml:space="preserve"> rather than by public health programmes, and used isolates from surveillance programmes such as the British Society of Antimicrobial Chemotherapy (BSAC) Antibiotic Resistance Surveillance Programme </w:t>
      </w:r>
      <w:r w:rsidRPr="006E7EEC">
        <w:rPr>
          <w:rFonts w:asciiTheme="majorHAnsi" w:hAnsiTheme="majorHAnsi"/>
          <w:noProof/>
        </w:rPr>
        <w:t>(13)</w:t>
      </w:r>
      <w:r w:rsidRPr="006E7EEC">
        <w:rPr>
          <w:rFonts w:asciiTheme="majorHAnsi" w:hAnsiTheme="majorHAnsi"/>
        </w:rPr>
        <w:t xml:space="preserve"> or the European Antimicrobial Resistance Surveillance Network, EARS-Net </w:t>
      </w:r>
      <w:r w:rsidRPr="006E7EEC">
        <w:rPr>
          <w:rFonts w:asciiTheme="majorHAnsi" w:hAnsiTheme="majorHAnsi"/>
          <w:noProof/>
        </w:rPr>
        <w:t>(15)</w:t>
      </w:r>
      <w:r w:rsidRPr="006E7EEC">
        <w:rPr>
          <w:rFonts w:asciiTheme="majorHAnsi" w:hAnsiTheme="majorHAnsi"/>
        </w:rPr>
        <w:t xml:space="preserve">. Both </w:t>
      </w:r>
      <w:r w:rsidR="006F6E65" w:rsidRPr="006E7EEC">
        <w:rPr>
          <w:rFonts w:asciiTheme="majorHAnsi" w:hAnsiTheme="majorHAnsi"/>
        </w:rPr>
        <w:t xml:space="preserve">programmes </w:t>
      </w:r>
      <w:r w:rsidRPr="006E7EEC">
        <w:rPr>
          <w:rFonts w:asciiTheme="majorHAnsi" w:hAnsiTheme="majorHAnsi"/>
        </w:rPr>
        <w:t>systematically collect a subset of blood stream isolates from sentinel laboratories</w:t>
      </w:r>
      <w:r w:rsidR="006D39A6">
        <w:rPr>
          <w:rFonts w:asciiTheme="majorHAnsi" w:hAnsiTheme="majorHAnsi"/>
        </w:rPr>
        <w:t>,</w:t>
      </w:r>
      <w:r w:rsidRPr="006E7EEC">
        <w:rPr>
          <w:rFonts w:asciiTheme="majorHAnsi" w:hAnsiTheme="majorHAnsi"/>
        </w:rPr>
        <w:t xml:space="preserve"> and routinely undertake phenotypic typing methods. Both programmes were established</w:t>
      </w:r>
      <w:r w:rsidR="006F6E65" w:rsidRPr="006E7EEC">
        <w:rPr>
          <w:rFonts w:asciiTheme="majorHAnsi" w:hAnsiTheme="majorHAnsi"/>
        </w:rPr>
        <w:t xml:space="preserve"> to monitor antimicrobial resistance,</w:t>
      </w:r>
      <w:r w:rsidRPr="006E7EEC">
        <w:rPr>
          <w:rFonts w:asciiTheme="majorHAnsi" w:hAnsiTheme="majorHAnsi"/>
        </w:rPr>
        <w:t xml:space="preserve"> prior to the widespread use of WGS</w:t>
      </w:r>
      <w:r w:rsidR="006F6E65" w:rsidRPr="006E7EEC">
        <w:rPr>
          <w:rFonts w:asciiTheme="majorHAnsi" w:hAnsiTheme="majorHAnsi"/>
        </w:rPr>
        <w:t>.</w:t>
      </w:r>
    </w:p>
    <w:p w14:paraId="164C6706" w14:textId="77777777" w:rsidR="009B2AA7" w:rsidRPr="006E7EEC" w:rsidRDefault="009B2AA7" w:rsidP="009B2AA7">
      <w:pPr>
        <w:spacing w:line="360" w:lineRule="auto"/>
        <w:jc w:val="both"/>
        <w:rPr>
          <w:rFonts w:asciiTheme="majorHAnsi" w:hAnsiTheme="majorHAnsi"/>
        </w:rPr>
      </w:pPr>
    </w:p>
    <w:p w14:paraId="0C190A5A" w14:textId="42596BED"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Combined with </w:t>
      </w:r>
      <w:r w:rsidR="006F6E65" w:rsidRPr="006E7EEC">
        <w:rPr>
          <w:rFonts w:asciiTheme="majorHAnsi" w:hAnsiTheme="majorHAnsi"/>
        </w:rPr>
        <w:t>comprehensive, systematic</w:t>
      </w:r>
      <w:r w:rsidRPr="006E7EEC">
        <w:rPr>
          <w:rFonts w:asciiTheme="majorHAnsi" w:hAnsiTheme="majorHAnsi"/>
        </w:rPr>
        <w:t xml:space="preserve"> sampling regimens, WGS technologies now provide the opportunity to study the natural history of successful MRSA clones at great resolution, and </w:t>
      </w:r>
      <w:r w:rsidR="006D39A6">
        <w:rPr>
          <w:rFonts w:asciiTheme="majorHAnsi" w:hAnsiTheme="majorHAnsi"/>
        </w:rPr>
        <w:t xml:space="preserve">to </w:t>
      </w:r>
      <w:r w:rsidRPr="006E7EEC">
        <w:rPr>
          <w:rFonts w:asciiTheme="majorHAnsi" w:hAnsiTheme="majorHAnsi"/>
        </w:rPr>
        <w:t>identify clonal expansions to monitor in case of widespread dissemination</w:t>
      </w:r>
      <w:r w:rsidR="00A83F24">
        <w:rPr>
          <w:rFonts w:asciiTheme="majorHAnsi" w:hAnsiTheme="majorHAnsi"/>
        </w:rPr>
        <w:t xml:space="preserve"> </w:t>
      </w:r>
      <w:r w:rsidRPr="006E7EEC">
        <w:rPr>
          <w:rFonts w:asciiTheme="majorHAnsi" w:hAnsiTheme="majorHAnsi"/>
          <w:noProof/>
        </w:rPr>
        <w:t>(16)</w:t>
      </w:r>
      <w:r w:rsidR="006D39A6">
        <w:rPr>
          <w:rFonts w:asciiTheme="majorHAnsi" w:hAnsiTheme="majorHAnsi"/>
          <w:noProof/>
        </w:rPr>
        <w:t>.</w:t>
      </w:r>
      <w:r w:rsidRPr="006E7EEC">
        <w:rPr>
          <w:rFonts w:asciiTheme="majorHAnsi" w:hAnsiTheme="majorHAnsi"/>
        </w:rPr>
        <w:t xml:space="preserve"> National BSI surveillance was originally introduced in England to compare MRSA rates between hospitals and then enhanced to aid direction of clinical interventions</w:t>
      </w:r>
      <w:r w:rsidR="00A83F24">
        <w:rPr>
          <w:rFonts w:asciiTheme="majorHAnsi" w:hAnsiTheme="majorHAnsi"/>
        </w:rPr>
        <w:t xml:space="preserve"> </w:t>
      </w:r>
      <w:r w:rsidRPr="006E7EEC">
        <w:rPr>
          <w:rFonts w:asciiTheme="majorHAnsi" w:hAnsiTheme="majorHAnsi"/>
          <w:noProof/>
        </w:rPr>
        <w:t>(2)</w:t>
      </w:r>
      <w:r w:rsidR="006D39A6">
        <w:rPr>
          <w:rFonts w:asciiTheme="majorHAnsi" w:hAnsiTheme="majorHAnsi"/>
          <w:noProof/>
        </w:rPr>
        <w:t>.</w:t>
      </w:r>
      <w:r w:rsidRPr="006E7EEC">
        <w:rPr>
          <w:rFonts w:asciiTheme="majorHAnsi" w:hAnsiTheme="majorHAnsi"/>
        </w:rPr>
        <w:t xml:space="preserve"> </w:t>
      </w:r>
      <w:r w:rsidR="006D39A6">
        <w:rPr>
          <w:rFonts w:asciiTheme="majorHAnsi" w:hAnsiTheme="majorHAnsi"/>
        </w:rPr>
        <w:t>We</w:t>
      </w:r>
      <w:r w:rsidRPr="006E7EEC">
        <w:rPr>
          <w:rFonts w:asciiTheme="majorHAnsi" w:hAnsiTheme="majorHAnsi"/>
        </w:rPr>
        <w:t xml:space="preserve"> conducted a proof-of-principle study to determine the feasibility and potential benefits of combining prospective epidemiological and genomic surveillance of MRSA BSI on a national scale within a public health organisation.  We aimed to determine what information could be gathered by combining epidemiological surveillance and routine whole-genome sequencing of isolates, and to identify the potential obstacles to implementation of this strategy.</w:t>
      </w:r>
    </w:p>
    <w:p w14:paraId="37AEE8E0" w14:textId="77777777" w:rsidR="009B2AA7" w:rsidRPr="006E7EEC" w:rsidRDefault="009B2AA7" w:rsidP="009B2AA7">
      <w:pPr>
        <w:spacing w:line="360" w:lineRule="auto"/>
        <w:jc w:val="both"/>
        <w:rPr>
          <w:rFonts w:asciiTheme="majorHAnsi" w:hAnsiTheme="majorHAnsi"/>
        </w:rPr>
      </w:pPr>
    </w:p>
    <w:p w14:paraId="4C28AC78" w14:textId="77777777" w:rsidR="009B2AA7" w:rsidRPr="006E7EEC" w:rsidRDefault="009B2AA7" w:rsidP="009B2AA7">
      <w:pPr>
        <w:spacing w:line="360" w:lineRule="auto"/>
        <w:jc w:val="both"/>
        <w:rPr>
          <w:rFonts w:asciiTheme="majorHAnsi" w:hAnsiTheme="majorHAnsi"/>
          <w:b/>
        </w:rPr>
      </w:pPr>
      <w:r w:rsidRPr="006E7EEC">
        <w:rPr>
          <w:rFonts w:asciiTheme="majorHAnsi" w:hAnsiTheme="majorHAnsi"/>
          <w:b/>
        </w:rPr>
        <w:t>METHODS</w:t>
      </w:r>
      <w:r w:rsidRPr="006E7EEC">
        <w:rPr>
          <w:rFonts w:asciiTheme="majorHAnsi" w:hAnsiTheme="majorHAnsi"/>
          <w:b/>
        </w:rPr>
        <w:br/>
        <w:t>Study design, setting and participants</w:t>
      </w:r>
    </w:p>
    <w:p w14:paraId="4F6D624B" w14:textId="68D7AA8B" w:rsidR="009B2AA7" w:rsidRPr="006E7EEC" w:rsidRDefault="009B2AA7" w:rsidP="009B2AA7">
      <w:pPr>
        <w:spacing w:line="360" w:lineRule="auto"/>
        <w:jc w:val="both"/>
        <w:rPr>
          <w:rFonts w:asciiTheme="majorHAnsi" w:eastAsia="Times New Roman" w:hAnsiTheme="majorHAnsi" w:cs="Times New Roman"/>
        </w:rPr>
      </w:pPr>
      <w:r w:rsidRPr="006E7EEC">
        <w:rPr>
          <w:rFonts w:asciiTheme="majorHAnsi" w:hAnsiTheme="majorHAnsi"/>
        </w:rPr>
        <w:t xml:space="preserve">We conducted a prospective, observational cohort study of all cases of MRSA BSI in England from 1 October 2012 to 30 September 2013. Linked, anonymised epidemiological and microbiological data were submitted electronically to the mandatory enhanced surveillance scheme (MESS) by infection control teams in acute National Health Service (NHS) Trusts, in accordance with national policy. Mandatory data variables included patient demographics, details of hospital admission, date of </w:t>
      </w:r>
      <w:r w:rsidR="009A3412" w:rsidRPr="006E7EEC">
        <w:rPr>
          <w:rFonts w:asciiTheme="majorHAnsi" w:hAnsiTheme="majorHAnsi"/>
        </w:rPr>
        <w:t>BSI</w:t>
      </w:r>
      <w:r w:rsidRPr="006E7EEC">
        <w:rPr>
          <w:rFonts w:asciiTheme="majorHAnsi" w:hAnsiTheme="majorHAnsi"/>
        </w:rPr>
        <w:t xml:space="preserve">, </w:t>
      </w:r>
      <w:r w:rsidR="004736A2" w:rsidRPr="006E7EEC">
        <w:rPr>
          <w:rFonts w:asciiTheme="majorHAnsi" w:hAnsiTheme="majorHAnsi"/>
        </w:rPr>
        <w:t xml:space="preserve">and </w:t>
      </w:r>
      <w:r w:rsidRPr="006E7EEC">
        <w:rPr>
          <w:rFonts w:asciiTheme="majorHAnsi" w:hAnsiTheme="majorHAnsi"/>
        </w:rPr>
        <w:t>location of acquisition (community or hospital)</w:t>
      </w:r>
      <w:r w:rsidR="004736A2" w:rsidRPr="006E7EEC">
        <w:rPr>
          <w:rFonts w:asciiTheme="majorHAnsi" w:hAnsiTheme="majorHAnsi"/>
        </w:rPr>
        <w:t>.</w:t>
      </w:r>
      <w:r w:rsidRPr="006E7EEC">
        <w:rPr>
          <w:rFonts w:asciiTheme="majorHAnsi" w:hAnsiTheme="majorHAnsi"/>
        </w:rPr>
        <w:t xml:space="preserve"> </w:t>
      </w:r>
    </w:p>
    <w:p w14:paraId="3260A3E6" w14:textId="77777777" w:rsidR="009B2AA7" w:rsidRPr="006E7EEC" w:rsidRDefault="009B2AA7" w:rsidP="009B2AA7">
      <w:pPr>
        <w:spacing w:line="360" w:lineRule="auto"/>
        <w:jc w:val="both"/>
        <w:rPr>
          <w:rFonts w:asciiTheme="majorHAnsi" w:hAnsiTheme="majorHAnsi"/>
        </w:rPr>
      </w:pPr>
    </w:p>
    <w:p w14:paraId="407C816D"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Isolate collection and laboratory testing</w:t>
      </w:r>
    </w:p>
    <w:p w14:paraId="037E0865" w14:textId="2691BFCD" w:rsidR="009B2AA7" w:rsidRPr="006E7EEC" w:rsidRDefault="009B2AA7" w:rsidP="009B2AA7">
      <w:pPr>
        <w:pStyle w:val="PlainText"/>
        <w:spacing w:line="360" w:lineRule="auto"/>
        <w:jc w:val="both"/>
        <w:rPr>
          <w:rFonts w:asciiTheme="majorHAnsi" w:hAnsiTheme="majorHAnsi"/>
          <w:sz w:val="24"/>
          <w:szCs w:val="24"/>
        </w:rPr>
      </w:pPr>
      <w:r w:rsidRPr="006E7EEC">
        <w:rPr>
          <w:rFonts w:asciiTheme="majorHAnsi" w:hAnsiTheme="majorHAnsi"/>
          <w:sz w:val="24"/>
          <w:szCs w:val="24"/>
        </w:rPr>
        <w:t xml:space="preserve">During the study period, all NHS diagnostic microbiology laboratories in England were invited to submit MRSA bloodstream isolates to the Staphylococcal Reference Laboratory, PHE Colindale, for characterisation. Isolates were cultured on nutrient agar and underwent </w:t>
      </w:r>
      <w:r w:rsidRPr="006E7EEC">
        <w:rPr>
          <w:rFonts w:asciiTheme="majorHAnsi" w:hAnsiTheme="majorHAnsi"/>
          <w:i/>
          <w:sz w:val="24"/>
          <w:szCs w:val="24"/>
        </w:rPr>
        <w:t>spa</w:t>
      </w:r>
      <w:r w:rsidR="00F8608A" w:rsidRPr="006E7EEC">
        <w:rPr>
          <w:rFonts w:asciiTheme="majorHAnsi" w:hAnsiTheme="majorHAnsi"/>
          <w:sz w:val="24"/>
          <w:szCs w:val="24"/>
        </w:rPr>
        <w:t>-</w:t>
      </w:r>
      <w:r w:rsidRPr="006E7EEC">
        <w:rPr>
          <w:rFonts w:asciiTheme="majorHAnsi" w:hAnsiTheme="majorHAnsi"/>
          <w:sz w:val="24"/>
          <w:szCs w:val="24"/>
        </w:rPr>
        <w:t xml:space="preserve">typing </w:t>
      </w:r>
      <w:r w:rsidRPr="006E7EEC">
        <w:rPr>
          <w:rFonts w:asciiTheme="majorHAnsi" w:hAnsiTheme="majorHAnsi"/>
          <w:noProof/>
          <w:sz w:val="24"/>
          <w:szCs w:val="24"/>
        </w:rPr>
        <w:t>(17)</w:t>
      </w:r>
      <w:r w:rsidRPr="006E7EEC">
        <w:rPr>
          <w:rFonts w:asciiTheme="majorHAnsi" w:hAnsiTheme="majorHAnsi"/>
          <w:sz w:val="24"/>
          <w:szCs w:val="24"/>
        </w:rPr>
        <w:t xml:space="preserve"> and multiplex polymerase chain reaction (PCR) to confirm species identification and determination of the </w:t>
      </w:r>
      <w:proofErr w:type="spellStart"/>
      <w:r w:rsidRPr="006E7EEC">
        <w:rPr>
          <w:rFonts w:asciiTheme="majorHAnsi" w:hAnsiTheme="majorHAnsi"/>
          <w:i/>
          <w:sz w:val="24"/>
          <w:szCs w:val="24"/>
        </w:rPr>
        <w:t>mecA</w:t>
      </w:r>
      <w:proofErr w:type="spellEnd"/>
      <w:r w:rsidRPr="006E7EEC">
        <w:rPr>
          <w:rFonts w:asciiTheme="majorHAnsi" w:hAnsiTheme="majorHAnsi"/>
          <w:sz w:val="24"/>
          <w:szCs w:val="24"/>
        </w:rPr>
        <w:t xml:space="preserve"> and </w:t>
      </w:r>
      <w:proofErr w:type="spellStart"/>
      <w:r w:rsidRPr="006E7EEC">
        <w:rPr>
          <w:rFonts w:asciiTheme="majorHAnsi" w:hAnsiTheme="majorHAnsi"/>
          <w:i/>
          <w:sz w:val="24"/>
          <w:szCs w:val="24"/>
        </w:rPr>
        <w:t>luk</w:t>
      </w:r>
      <w:proofErr w:type="spellEnd"/>
      <w:r w:rsidRPr="006E7EEC">
        <w:rPr>
          <w:rFonts w:asciiTheme="majorHAnsi" w:hAnsiTheme="majorHAnsi"/>
          <w:i/>
          <w:sz w:val="24"/>
          <w:szCs w:val="24"/>
        </w:rPr>
        <w:t>-PV</w:t>
      </w:r>
      <w:r w:rsidRPr="006E7EEC">
        <w:rPr>
          <w:rFonts w:asciiTheme="majorHAnsi" w:hAnsiTheme="majorHAnsi"/>
          <w:sz w:val="24"/>
          <w:szCs w:val="24"/>
        </w:rPr>
        <w:t xml:space="preserve"> status</w:t>
      </w:r>
      <w:r w:rsidR="002B3C9B">
        <w:rPr>
          <w:rFonts w:asciiTheme="majorHAnsi" w:hAnsiTheme="majorHAnsi"/>
          <w:sz w:val="24"/>
          <w:szCs w:val="24"/>
        </w:rPr>
        <w:t xml:space="preserve"> </w:t>
      </w:r>
      <w:r w:rsidRPr="006E7EEC">
        <w:rPr>
          <w:rFonts w:asciiTheme="majorHAnsi" w:hAnsiTheme="majorHAnsi"/>
          <w:noProof/>
          <w:sz w:val="24"/>
          <w:szCs w:val="24"/>
        </w:rPr>
        <w:t>(18)</w:t>
      </w:r>
      <w:r w:rsidRPr="006E7EEC">
        <w:rPr>
          <w:rFonts w:asciiTheme="majorHAnsi" w:hAnsiTheme="majorHAnsi"/>
          <w:sz w:val="24"/>
          <w:szCs w:val="24"/>
        </w:rPr>
        <w:t>.  Isolates were stored at -80°C using Microbank</w:t>
      </w:r>
      <w:r w:rsidRPr="006E7EEC">
        <w:rPr>
          <w:rFonts w:asciiTheme="majorHAnsi" w:hAnsiTheme="majorHAnsi"/>
          <w:sz w:val="24"/>
          <w:szCs w:val="24"/>
        </w:rPr>
        <w:sym w:font="Symbol" w:char="F0D4"/>
      </w:r>
      <w:r w:rsidRPr="006E7EEC">
        <w:rPr>
          <w:rFonts w:asciiTheme="majorHAnsi" w:hAnsiTheme="majorHAnsi"/>
          <w:sz w:val="24"/>
          <w:szCs w:val="24"/>
        </w:rPr>
        <w:t>cryovials (Pro-Lab Diagnostics, Cheshire, UK) pending further analyses.</w:t>
      </w:r>
    </w:p>
    <w:p w14:paraId="1514BD59" w14:textId="77777777" w:rsidR="009B2AA7" w:rsidRPr="006E7EEC" w:rsidRDefault="009B2AA7" w:rsidP="009B2AA7">
      <w:pPr>
        <w:pStyle w:val="PlainText"/>
        <w:spacing w:line="360" w:lineRule="auto"/>
        <w:jc w:val="both"/>
        <w:rPr>
          <w:rFonts w:asciiTheme="majorHAnsi" w:hAnsiTheme="majorHAnsi"/>
          <w:sz w:val="24"/>
          <w:szCs w:val="24"/>
        </w:rPr>
      </w:pPr>
    </w:p>
    <w:p w14:paraId="57B0AAB7" w14:textId="69DF8E48"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A total of 559 MRSA bloodstream isolates were received. Following quality control procedures 134 isolates were excluded, </w:t>
      </w:r>
      <w:r w:rsidR="006D39A6">
        <w:rPr>
          <w:rFonts w:asciiTheme="majorHAnsi" w:hAnsiTheme="majorHAnsi"/>
        </w:rPr>
        <w:t xml:space="preserve">and </w:t>
      </w:r>
      <w:r w:rsidRPr="006E7EEC">
        <w:rPr>
          <w:rFonts w:asciiTheme="majorHAnsi" w:hAnsiTheme="majorHAnsi"/>
        </w:rPr>
        <w:t xml:space="preserve">425 isolates </w:t>
      </w:r>
      <w:r w:rsidR="006D39A6">
        <w:rPr>
          <w:rFonts w:asciiTheme="majorHAnsi" w:hAnsiTheme="majorHAnsi"/>
        </w:rPr>
        <w:t xml:space="preserve">were included </w:t>
      </w:r>
      <w:r w:rsidRPr="006E7EEC">
        <w:rPr>
          <w:rFonts w:asciiTheme="majorHAnsi" w:hAnsiTheme="majorHAnsi"/>
        </w:rPr>
        <w:t>in the analysis. The reasons of exclusion were as follows: duplicate isolates (n=50); not MRSA (n=15); inadequate isolate growth (n=2); isolates collected outside of the study dates (n=16); isolates submitted in error (n=3); non-bloodstream isolates (n=2); isolates from Wales (n=28); and isolates from Northern Ireland (n=18).</w:t>
      </w:r>
      <w:r w:rsidRPr="006E7EEC">
        <w:rPr>
          <w:rFonts w:asciiTheme="majorHAnsi" w:hAnsiTheme="majorHAnsi"/>
          <w:b/>
        </w:rPr>
        <w:t xml:space="preserve"> </w:t>
      </w:r>
    </w:p>
    <w:p w14:paraId="2F920ED7" w14:textId="77777777" w:rsidR="009B2AA7" w:rsidRPr="006E7EEC" w:rsidRDefault="009B2AA7" w:rsidP="009B2AA7">
      <w:pPr>
        <w:spacing w:line="360" w:lineRule="auto"/>
        <w:jc w:val="both"/>
        <w:rPr>
          <w:rFonts w:asciiTheme="majorHAnsi" w:hAnsiTheme="majorHAnsi"/>
        </w:rPr>
      </w:pPr>
    </w:p>
    <w:p w14:paraId="11501836"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DNA extraction and whole-genome sequencing</w:t>
      </w:r>
    </w:p>
    <w:p w14:paraId="48BD9BBE" w14:textId="77777777" w:rsidR="009B2AA7" w:rsidRPr="006E7EEC" w:rsidRDefault="009B2AA7" w:rsidP="009B2AA7">
      <w:pPr>
        <w:widowControl w:val="0"/>
        <w:autoSpaceDE w:val="0"/>
        <w:autoSpaceDN w:val="0"/>
        <w:adjustRightInd w:val="0"/>
        <w:spacing w:line="360" w:lineRule="auto"/>
        <w:jc w:val="both"/>
        <w:rPr>
          <w:rFonts w:asciiTheme="majorHAnsi" w:hAnsiTheme="majorHAnsi" w:cs="Times New Roman"/>
          <w:lang w:val="en-US"/>
        </w:rPr>
      </w:pPr>
      <w:r w:rsidRPr="006E7EEC">
        <w:rPr>
          <w:rFonts w:asciiTheme="majorHAnsi" w:hAnsiTheme="majorHAnsi"/>
        </w:rPr>
        <w:t xml:space="preserve">Isolates were retrieved from storage, sub-cultured onto nutrient agar slopes, and transferred to the Department of Medicine at the University of Cambridge. Each sample was cultured </w:t>
      </w:r>
      <w:r w:rsidRPr="006E7EEC">
        <w:rPr>
          <w:rFonts w:asciiTheme="majorHAnsi" w:hAnsiTheme="majorHAnsi" w:cs="Times"/>
        </w:rPr>
        <w:t>onto Columbia Blood Agar (</w:t>
      </w:r>
      <w:proofErr w:type="spellStart"/>
      <w:r w:rsidRPr="006E7EEC">
        <w:rPr>
          <w:rFonts w:asciiTheme="majorHAnsi" w:hAnsiTheme="majorHAnsi" w:cs="Times"/>
        </w:rPr>
        <w:t>Oxoid</w:t>
      </w:r>
      <w:proofErr w:type="spellEnd"/>
      <w:r w:rsidRPr="006E7EEC">
        <w:rPr>
          <w:rFonts w:asciiTheme="majorHAnsi" w:hAnsiTheme="majorHAnsi" w:cs="Times"/>
        </w:rPr>
        <w:t>, Basingstoke, UK) and identified using a commercial latex agglutination kit (</w:t>
      </w:r>
      <w:proofErr w:type="spellStart"/>
      <w:r w:rsidRPr="006E7EEC">
        <w:rPr>
          <w:rFonts w:asciiTheme="majorHAnsi" w:hAnsiTheme="majorHAnsi" w:cs="Times"/>
        </w:rPr>
        <w:t>Pastorex</w:t>
      </w:r>
      <w:proofErr w:type="spellEnd"/>
      <w:r w:rsidRPr="006E7EEC">
        <w:rPr>
          <w:rFonts w:asciiTheme="majorHAnsi" w:hAnsiTheme="majorHAnsi" w:cs="Times"/>
        </w:rPr>
        <w:t xml:space="preserve"> Staph Plus, Bio Rad Laboratories, Hemel Hempstead, UK). Antimicrobial susceptibility testing was performed using the Vitek-2 system </w:t>
      </w:r>
      <w:r w:rsidRPr="006E7EEC">
        <w:rPr>
          <w:rFonts w:asciiTheme="majorHAnsi" w:hAnsiTheme="majorHAnsi"/>
        </w:rPr>
        <w:t>(</w:t>
      </w:r>
      <w:proofErr w:type="spellStart"/>
      <w:r w:rsidRPr="006E7EEC">
        <w:rPr>
          <w:rFonts w:asciiTheme="majorHAnsi" w:hAnsiTheme="majorHAnsi"/>
        </w:rPr>
        <w:t>bioMérieux</w:t>
      </w:r>
      <w:proofErr w:type="spellEnd"/>
      <w:r w:rsidRPr="006E7EEC">
        <w:rPr>
          <w:rFonts w:asciiTheme="majorHAnsi" w:hAnsiTheme="majorHAnsi"/>
        </w:rPr>
        <w:t xml:space="preserve">, Marcy </w:t>
      </w:r>
      <w:proofErr w:type="spellStart"/>
      <w:r w:rsidRPr="006E7EEC">
        <w:rPr>
          <w:rFonts w:asciiTheme="majorHAnsi" w:hAnsiTheme="majorHAnsi"/>
        </w:rPr>
        <w:t>l’Etoile</w:t>
      </w:r>
      <w:proofErr w:type="spellEnd"/>
      <w:r w:rsidRPr="006E7EEC">
        <w:rPr>
          <w:rFonts w:asciiTheme="majorHAnsi" w:hAnsiTheme="majorHAnsi"/>
        </w:rPr>
        <w:t xml:space="preserve">, France). </w:t>
      </w:r>
      <w:r w:rsidRPr="006E7EEC">
        <w:rPr>
          <w:rFonts w:asciiTheme="majorHAnsi" w:hAnsiTheme="majorHAnsi" w:cs="Times New Roman"/>
        </w:rPr>
        <w:t xml:space="preserve">DNA was extracted, libraries prepared, and 150-bp paired-end sequences determined on an Illumina HiSeq2000 as previously described </w:t>
      </w:r>
      <w:r w:rsidRPr="006E7EEC">
        <w:rPr>
          <w:rFonts w:asciiTheme="majorHAnsi" w:hAnsiTheme="majorHAnsi" w:cs="Times New Roman"/>
          <w:noProof/>
        </w:rPr>
        <w:t>(19)</w:t>
      </w:r>
      <w:r w:rsidRPr="006E7EEC">
        <w:rPr>
          <w:rFonts w:asciiTheme="majorHAnsi" w:hAnsiTheme="majorHAnsi" w:cs="Times New Roman"/>
        </w:rPr>
        <w:t>.</w:t>
      </w:r>
    </w:p>
    <w:p w14:paraId="2D0CB6D8" w14:textId="77777777" w:rsidR="009B2AA7" w:rsidRPr="006E7EEC" w:rsidRDefault="009B2AA7" w:rsidP="009B2AA7">
      <w:pPr>
        <w:spacing w:line="360" w:lineRule="auto"/>
        <w:jc w:val="both"/>
        <w:rPr>
          <w:rFonts w:asciiTheme="majorHAnsi" w:hAnsiTheme="majorHAnsi"/>
        </w:rPr>
      </w:pPr>
    </w:p>
    <w:p w14:paraId="5BCF48BF" w14:textId="77777777" w:rsidR="009B2AA7" w:rsidRPr="006E7EEC" w:rsidRDefault="009B2AA7" w:rsidP="009B2AA7">
      <w:pPr>
        <w:spacing w:line="360" w:lineRule="auto"/>
        <w:jc w:val="both"/>
        <w:outlineLvl w:val="0"/>
        <w:rPr>
          <w:rFonts w:asciiTheme="majorHAnsi" w:hAnsiTheme="majorHAnsi"/>
        </w:rPr>
      </w:pPr>
      <w:r w:rsidRPr="006E7EEC">
        <w:rPr>
          <w:rFonts w:asciiTheme="majorHAnsi" w:hAnsiTheme="majorHAnsi"/>
          <w:b/>
        </w:rPr>
        <w:t>Integration of datasets</w:t>
      </w:r>
    </w:p>
    <w:p w14:paraId="3A269DC8" w14:textId="4CC4D7D6" w:rsidR="009B2AA7" w:rsidRPr="006E7EEC" w:rsidRDefault="009B2AA7" w:rsidP="009B2AA7">
      <w:pPr>
        <w:spacing w:line="360" w:lineRule="auto"/>
        <w:jc w:val="both"/>
        <w:rPr>
          <w:rFonts w:asciiTheme="majorHAnsi" w:hAnsiTheme="majorHAnsi"/>
        </w:rPr>
      </w:pPr>
      <w:r w:rsidRPr="006E7EEC">
        <w:rPr>
          <w:rFonts w:asciiTheme="majorHAnsi" w:hAnsiTheme="majorHAnsi"/>
        </w:rPr>
        <w:t>PHE reference laboratory test results were initially linked with demographic, clinical and geographic information from the MESS, and then anonymised</w:t>
      </w:r>
      <w:r w:rsidR="006D39A6">
        <w:rPr>
          <w:rFonts w:asciiTheme="majorHAnsi" w:hAnsiTheme="majorHAnsi"/>
        </w:rPr>
        <w:t xml:space="preserve"> by PHE staff. Anonymised data were subsequently</w:t>
      </w:r>
      <w:r w:rsidRPr="006E7EEC">
        <w:rPr>
          <w:rFonts w:asciiTheme="majorHAnsi" w:hAnsiTheme="majorHAnsi"/>
        </w:rPr>
        <w:t xml:space="preserve"> </w:t>
      </w:r>
      <w:r w:rsidR="006D39A6">
        <w:rPr>
          <w:rFonts w:asciiTheme="majorHAnsi" w:hAnsiTheme="majorHAnsi"/>
        </w:rPr>
        <w:t>linked</w:t>
      </w:r>
      <w:r w:rsidRPr="006E7EEC">
        <w:rPr>
          <w:rFonts w:asciiTheme="majorHAnsi" w:hAnsiTheme="majorHAnsi"/>
        </w:rPr>
        <w:t xml:space="preserve"> to DNA sequence data</w:t>
      </w:r>
      <w:r w:rsidR="00A83F24">
        <w:rPr>
          <w:rFonts w:asciiTheme="majorHAnsi" w:hAnsiTheme="majorHAnsi"/>
        </w:rPr>
        <w:t xml:space="preserve"> by</w:t>
      </w:r>
      <w:r w:rsidRPr="006E7EEC">
        <w:rPr>
          <w:rFonts w:asciiTheme="majorHAnsi" w:hAnsiTheme="majorHAnsi"/>
        </w:rPr>
        <w:t xml:space="preserve"> University of Cambridge</w:t>
      </w:r>
      <w:r w:rsidR="006D39A6">
        <w:rPr>
          <w:rFonts w:asciiTheme="majorHAnsi" w:hAnsiTheme="majorHAnsi"/>
        </w:rPr>
        <w:t xml:space="preserve"> staff</w:t>
      </w:r>
      <w:r w:rsidRPr="006E7EEC">
        <w:rPr>
          <w:rFonts w:asciiTheme="majorHAnsi" w:hAnsiTheme="majorHAnsi"/>
        </w:rPr>
        <w:t xml:space="preserve">. </w:t>
      </w:r>
    </w:p>
    <w:p w14:paraId="767FC5B0" w14:textId="77777777" w:rsidR="009B2AA7" w:rsidRPr="006E7EEC" w:rsidRDefault="009B2AA7" w:rsidP="009B2AA7">
      <w:pPr>
        <w:spacing w:line="360" w:lineRule="auto"/>
        <w:jc w:val="both"/>
        <w:rPr>
          <w:rFonts w:asciiTheme="majorHAnsi" w:hAnsiTheme="majorHAnsi"/>
        </w:rPr>
      </w:pPr>
    </w:p>
    <w:p w14:paraId="1ECFEE72"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Genomic analysis</w:t>
      </w:r>
    </w:p>
    <w:p w14:paraId="29FB487B" w14:textId="3AE1A313"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Genomes were assembled using an assembly and improvement pipeline </w:t>
      </w:r>
      <w:r w:rsidRPr="006E7EEC">
        <w:rPr>
          <w:rFonts w:asciiTheme="majorHAnsi" w:hAnsiTheme="majorHAnsi"/>
          <w:noProof/>
        </w:rPr>
        <w:t>(20)</w:t>
      </w:r>
      <w:r w:rsidRPr="006E7EEC">
        <w:rPr>
          <w:rFonts w:asciiTheme="majorHAnsi" w:hAnsiTheme="majorHAnsi"/>
        </w:rPr>
        <w:t xml:space="preserve">. MLST sequence types (STs) were assigned from the sequence data </w:t>
      </w:r>
      <w:r w:rsidRPr="006E7EEC">
        <w:rPr>
          <w:rFonts w:asciiTheme="majorHAnsi" w:hAnsiTheme="majorHAnsi"/>
          <w:noProof/>
        </w:rPr>
        <w:t>(21)</w:t>
      </w:r>
      <w:r w:rsidRPr="006E7EEC">
        <w:rPr>
          <w:rFonts w:asciiTheme="majorHAnsi" w:hAnsiTheme="majorHAnsi"/>
        </w:rPr>
        <w:t xml:space="preserve"> (</w:t>
      </w:r>
      <w:r w:rsidRPr="006E7EEC">
        <w:rPr>
          <w:rFonts w:asciiTheme="majorHAnsi" w:hAnsiTheme="majorHAnsi" w:cs="Times New Roman"/>
          <w:noProof/>
          <w:lang w:eastAsia="en-GB"/>
        </w:rPr>
        <w:t>https://github.com/sanger-pathogens/mlst_check)</w:t>
      </w:r>
      <w:r w:rsidRPr="006E7EEC">
        <w:rPr>
          <w:rFonts w:asciiTheme="majorHAnsi" w:hAnsiTheme="majorHAnsi"/>
        </w:rPr>
        <w:t>, and STs were assigned to clonal complexes (CC). Sequence data were m</w:t>
      </w:r>
      <w:r w:rsidRPr="006E7EEC">
        <w:rPr>
          <w:rFonts w:asciiTheme="majorHAnsi" w:hAnsiTheme="majorHAnsi" w:cs="Times New Roman"/>
        </w:rPr>
        <w:t xml:space="preserve">apped using SMALT (http://www.sanger.ac.uk/science/tools/smalt-0) to the reference genome for </w:t>
      </w:r>
      <w:r w:rsidR="00A94B07" w:rsidRPr="006E7EEC">
        <w:rPr>
          <w:rFonts w:asciiTheme="majorHAnsi" w:hAnsiTheme="majorHAnsi" w:cs="Times New Roman"/>
        </w:rPr>
        <w:t xml:space="preserve">particular </w:t>
      </w:r>
      <w:r w:rsidRPr="006E7EEC">
        <w:rPr>
          <w:rFonts w:asciiTheme="majorHAnsi" w:hAnsiTheme="majorHAnsi" w:cs="Times New Roman"/>
        </w:rPr>
        <w:t>CC</w:t>
      </w:r>
      <w:r w:rsidR="00A94B07" w:rsidRPr="006E7EEC">
        <w:rPr>
          <w:rFonts w:asciiTheme="majorHAnsi" w:hAnsiTheme="majorHAnsi" w:cs="Times New Roman"/>
        </w:rPr>
        <w:t>s</w:t>
      </w:r>
      <w:r w:rsidRPr="006E7EEC">
        <w:rPr>
          <w:rFonts w:asciiTheme="majorHAnsi" w:hAnsiTheme="majorHAnsi" w:cs="Times New Roman"/>
        </w:rPr>
        <w:t xml:space="preserve"> (CC5, N315,</w:t>
      </w:r>
      <w:r w:rsidRPr="006E7EEC">
        <w:rPr>
          <w:rStyle w:val="st"/>
          <w:rFonts w:asciiTheme="majorHAnsi" w:eastAsia="Times New Roman" w:hAnsiTheme="majorHAnsi" w:cs="Times New Roman"/>
        </w:rPr>
        <w:t xml:space="preserve"> GenBank </w:t>
      </w:r>
      <w:r w:rsidRPr="006E7EEC">
        <w:rPr>
          <w:rStyle w:val="Emphasis"/>
          <w:rFonts w:asciiTheme="majorHAnsi" w:eastAsia="Times New Roman" w:hAnsiTheme="majorHAnsi" w:cs="Times New Roman"/>
        </w:rPr>
        <w:t>accession</w:t>
      </w:r>
      <w:r w:rsidRPr="006E7EEC">
        <w:rPr>
          <w:rStyle w:val="st"/>
          <w:rFonts w:asciiTheme="majorHAnsi" w:eastAsia="Times New Roman" w:hAnsiTheme="majorHAnsi" w:cs="Times New Roman"/>
        </w:rPr>
        <w:t xml:space="preserve"> number</w:t>
      </w:r>
      <w:r w:rsidRPr="006E7EEC">
        <w:rPr>
          <w:rFonts w:asciiTheme="majorHAnsi" w:hAnsiTheme="majorHAnsi" w:cs="Times New Roman"/>
        </w:rPr>
        <w:t xml:space="preserve"> </w:t>
      </w:r>
      <w:r w:rsidRPr="006E7EEC">
        <w:rPr>
          <w:rFonts w:asciiTheme="majorHAnsi" w:hAnsiTheme="majorHAnsi" w:cs="Times New Roman"/>
          <w:lang w:val="en-US"/>
        </w:rPr>
        <w:t>BA000018</w:t>
      </w:r>
      <w:r w:rsidRPr="006E7EEC">
        <w:rPr>
          <w:rFonts w:asciiTheme="majorHAnsi" w:hAnsiTheme="majorHAnsi" w:cs="Times New Roman"/>
        </w:rPr>
        <w:t xml:space="preserve">; CC8, </w:t>
      </w:r>
      <w:r w:rsidRPr="006E7EEC">
        <w:rPr>
          <w:rFonts w:asciiTheme="majorHAnsi" w:eastAsia="Times New Roman" w:hAnsiTheme="majorHAnsi" w:cs="Times New Roman"/>
        </w:rPr>
        <w:t xml:space="preserve">FPR3757, </w:t>
      </w:r>
      <w:r w:rsidRPr="006E7EEC">
        <w:rPr>
          <w:rStyle w:val="st"/>
          <w:rFonts w:asciiTheme="majorHAnsi" w:eastAsia="Times New Roman" w:hAnsiTheme="majorHAnsi" w:cs="Times New Roman"/>
        </w:rPr>
        <w:t xml:space="preserve">GenBank </w:t>
      </w:r>
      <w:r w:rsidRPr="006E7EEC">
        <w:rPr>
          <w:rStyle w:val="Emphasis"/>
          <w:rFonts w:asciiTheme="majorHAnsi" w:eastAsia="Times New Roman" w:hAnsiTheme="majorHAnsi" w:cs="Times New Roman"/>
        </w:rPr>
        <w:t>accession</w:t>
      </w:r>
      <w:r w:rsidRPr="006E7EEC">
        <w:rPr>
          <w:rStyle w:val="st"/>
          <w:rFonts w:asciiTheme="majorHAnsi" w:eastAsia="Times New Roman" w:hAnsiTheme="majorHAnsi" w:cs="Times New Roman"/>
        </w:rPr>
        <w:t xml:space="preserve"> number CP000255</w:t>
      </w:r>
      <w:r w:rsidRPr="006E7EEC">
        <w:rPr>
          <w:rFonts w:asciiTheme="majorHAnsi" w:eastAsia="Times New Roman" w:hAnsiTheme="majorHAnsi" w:cs="Times New Roman"/>
        </w:rPr>
        <w:t>;</w:t>
      </w:r>
      <w:r w:rsidRPr="006E7EEC">
        <w:rPr>
          <w:rFonts w:asciiTheme="majorHAnsi" w:hAnsiTheme="majorHAnsi"/>
        </w:rPr>
        <w:t xml:space="preserve"> </w:t>
      </w:r>
      <w:r w:rsidRPr="006E7EEC">
        <w:rPr>
          <w:rFonts w:asciiTheme="majorHAnsi" w:hAnsiTheme="majorHAnsi" w:cs="Times New Roman"/>
        </w:rPr>
        <w:t xml:space="preserve">CC22, EMRSA15, </w:t>
      </w:r>
      <w:r w:rsidRPr="006E7EEC">
        <w:rPr>
          <w:rStyle w:val="st"/>
          <w:rFonts w:asciiTheme="majorHAnsi" w:eastAsia="Times New Roman" w:hAnsiTheme="majorHAnsi" w:cs="Times New Roman"/>
        </w:rPr>
        <w:t xml:space="preserve">GenBank </w:t>
      </w:r>
      <w:r w:rsidRPr="006E7EEC">
        <w:rPr>
          <w:rStyle w:val="Emphasis"/>
          <w:rFonts w:asciiTheme="majorHAnsi" w:eastAsia="Times New Roman" w:hAnsiTheme="majorHAnsi" w:cs="Times New Roman"/>
        </w:rPr>
        <w:t>accession</w:t>
      </w:r>
      <w:r w:rsidRPr="006E7EEC">
        <w:rPr>
          <w:rStyle w:val="st"/>
          <w:rFonts w:asciiTheme="majorHAnsi" w:eastAsia="Times New Roman" w:hAnsiTheme="majorHAnsi" w:cs="Times New Roman"/>
        </w:rPr>
        <w:t xml:space="preserve"> number </w:t>
      </w:r>
      <w:r w:rsidRPr="006E7EEC">
        <w:rPr>
          <w:rFonts w:asciiTheme="majorHAnsi" w:hAnsiTheme="majorHAnsi" w:cs="Times New Roman"/>
          <w:lang w:val="en-US"/>
        </w:rPr>
        <w:t>HE681097</w:t>
      </w:r>
      <w:r w:rsidRPr="006E7EEC">
        <w:rPr>
          <w:rFonts w:asciiTheme="majorHAnsi" w:hAnsiTheme="majorHAnsi" w:cs="Times New Roman"/>
        </w:rPr>
        <w:t xml:space="preserve">). </w:t>
      </w:r>
      <w:r w:rsidRPr="006E7EEC">
        <w:rPr>
          <w:rFonts w:asciiTheme="majorHAnsi" w:eastAsia="Times New Roman" w:hAnsiTheme="majorHAnsi" w:cs="Arial"/>
          <w:lang w:val="en-US"/>
        </w:rPr>
        <w:t xml:space="preserve">The core genome alignment excluding mobile genetic elements, indels and repetitive regions was generated for each clonal complex and was used in phylogenetic estimates using </w:t>
      </w:r>
      <w:proofErr w:type="spellStart"/>
      <w:r w:rsidRPr="006E7EEC">
        <w:rPr>
          <w:rFonts w:asciiTheme="majorHAnsi" w:eastAsia="Times New Roman" w:hAnsiTheme="majorHAnsi" w:cs="Arial"/>
          <w:lang w:val="en-US"/>
        </w:rPr>
        <w:t>RAxML</w:t>
      </w:r>
      <w:proofErr w:type="spellEnd"/>
      <w:r w:rsidRPr="006E7EEC">
        <w:rPr>
          <w:rFonts w:asciiTheme="majorHAnsi" w:eastAsia="Times New Roman" w:hAnsiTheme="majorHAnsi" w:cs="Arial"/>
          <w:lang w:val="en-US"/>
        </w:rPr>
        <w:t xml:space="preserve"> with 100 bootstraps</w:t>
      </w:r>
      <w:r w:rsidR="006D39A6">
        <w:rPr>
          <w:rFonts w:asciiTheme="majorHAnsi" w:eastAsia="Times New Roman" w:hAnsiTheme="majorHAnsi" w:cs="Arial"/>
          <w:lang w:val="en-US"/>
        </w:rPr>
        <w:t xml:space="preserve"> </w:t>
      </w:r>
      <w:r w:rsidRPr="006E7EEC">
        <w:rPr>
          <w:rFonts w:asciiTheme="majorHAnsi" w:hAnsiTheme="majorHAnsi"/>
          <w:noProof/>
        </w:rPr>
        <w:t>(22)</w:t>
      </w:r>
      <w:r w:rsidRPr="006E7EEC">
        <w:rPr>
          <w:rFonts w:asciiTheme="majorHAnsi" w:hAnsiTheme="majorHAnsi"/>
        </w:rPr>
        <w:t>.</w:t>
      </w:r>
      <w:r w:rsidRPr="006E7EEC">
        <w:rPr>
          <w:rFonts w:asciiTheme="majorHAnsi" w:hAnsiTheme="majorHAnsi" w:cs="Times New Roman"/>
        </w:rPr>
        <w:t xml:space="preserve"> </w:t>
      </w:r>
      <w:r w:rsidRPr="006E7EEC">
        <w:rPr>
          <w:rFonts w:asciiTheme="majorHAnsi" w:hAnsiTheme="majorHAnsi"/>
        </w:rPr>
        <w:t>Phylogenetic trees were visuali</w:t>
      </w:r>
      <w:r w:rsidR="006F6E65" w:rsidRPr="006E7EEC">
        <w:rPr>
          <w:rFonts w:asciiTheme="majorHAnsi" w:hAnsiTheme="majorHAnsi"/>
        </w:rPr>
        <w:t>s</w:t>
      </w:r>
      <w:r w:rsidRPr="006E7EEC">
        <w:rPr>
          <w:rFonts w:asciiTheme="majorHAnsi" w:hAnsiTheme="majorHAnsi"/>
        </w:rPr>
        <w:t xml:space="preserve">ed using </w:t>
      </w:r>
      <w:proofErr w:type="spellStart"/>
      <w:r w:rsidRPr="006E7EEC">
        <w:rPr>
          <w:rFonts w:asciiTheme="majorHAnsi" w:hAnsiTheme="majorHAnsi"/>
        </w:rPr>
        <w:t>FigTree</w:t>
      </w:r>
      <w:proofErr w:type="spellEnd"/>
      <w:r w:rsidRPr="006E7EEC">
        <w:rPr>
          <w:rFonts w:asciiTheme="majorHAnsi" w:hAnsiTheme="majorHAnsi"/>
        </w:rPr>
        <w:t xml:space="preserve"> (</w:t>
      </w:r>
      <w:r w:rsidRPr="006E7EEC">
        <w:rPr>
          <w:rFonts w:asciiTheme="majorHAnsi" w:hAnsiTheme="majorHAnsi"/>
          <w:lang w:val="en-US"/>
        </w:rPr>
        <w:t>http://tree.bio.ed.ac.uk/software/</w:t>
      </w:r>
      <w:r w:rsidRPr="006E7EEC">
        <w:rPr>
          <w:rFonts w:asciiTheme="majorHAnsi" w:hAnsiTheme="majorHAnsi"/>
          <w:bCs/>
          <w:lang w:val="en-US"/>
        </w:rPr>
        <w:t>figtree</w:t>
      </w:r>
      <w:r w:rsidRPr="006E7EEC">
        <w:rPr>
          <w:rFonts w:asciiTheme="majorHAnsi" w:hAnsiTheme="majorHAnsi"/>
          <w:lang w:val="en-US"/>
        </w:rPr>
        <w:t>/)</w:t>
      </w:r>
      <w:r w:rsidRPr="006E7EEC">
        <w:rPr>
          <w:rFonts w:asciiTheme="majorHAnsi" w:hAnsiTheme="majorHAnsi"/>
        </w:rPr>
        <w:t xml:space="preserve"> and </w:t>
      </w:r>
      <w:proofErr w:type="spellStart"/>
      <w:r w:rsidRPr="006E7EEC">
        <w:rPr>
          <w:rFonts w:asciiTheme="majorHAnsi" w:hAnsiTheme="majorHAnsi"/>
        </w:rPr>
        <w:t>iTOL</w:t>
      </w:r>
      <w:proofErr w:type="spellEnd"/>
      <w:r w:rsidRPr="006E7EEC">
        <w:rPr>
          <w:rFonts w:asciiTheme="majorHAnsi" w:hAnsiTheme="majorHAnsi"/>
        </w:rPr>
        <w:t xml:space="preserve"> </w:t>
      </w:r>
      <w:r w:rsidRPr="006E7EEC">
        <w:rPr>
          <w:rFonts w:asciiTheme="majorHAnsi" w:hAnsiTheme="majorHAnsi" w:cs="Consolas"/>
        </w:rPr>
        <w:t>(http://itol.embl.de/).</w:t>
      </w:r>
      <w:r w:rsidRPr="006E7EEC">
        <w:rPr>
          <w:rFonts w:asciiTheme="majorHAnsi" w:hAnsiTheme="majorHAnsi"/>
        </w:rPr>
        <w:t xml:space="preserve">  </w:t>
      </w:r>
    </w:p>
    <w:p w14:paraId="281871F3" w14:textId="77777777" w:rsidR="009B2AA7" w:rsidRPr="006E7EEC" w:rsidRDefault="009B2AA7" w:rsidP="009B2AA7">
      <w:pPr>
        <w:spacing w:line="360" w:lineRule="auto"/>
        <w:jc w:val="both"/>
        <w:rPr>
          <w:rFonts w:asciiTheme="majorHAnsi" w:hAnsiTheme="majorHAnsi" w:cs="Times New Roman"/>
        </w:rPr>
      </w:pPr>
    </w:p>
    <w:p w14:paraId="4CD833E5"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Isolates were </w:t>
      </w:r>
      <w:r w:rsidRPr="006E7EEC">
        <w:rPr>
          <w:rFonts w:asciiTheme="majorHAnsi" w:hAnsiTheme="majorHAnsi"/>
          <w:i/>
        </w:rPr>
        <w:t>spa</w:t>
      </w:r>
      <w:r w:rsidRPr="006E7EEC">
        <w:rPr>
          <w:rFonts w:asciiTheme="majorHAnsi" w:hAnsiTheme="majorHAnsi"/>
        </w:rPr>
        <w:t xml:space="preserve"> genotyped using </w:t>
      </w:r>
      <w:r w:rsidRPr="006E7EEC">
        <w:rPr>
          <w:rFonts w:asciiTheme="majorHAnsi" w:hAnsiTheme="majorHAnsi"/>
          <w:i/>
        </w:rPr>
        <w:t>in-silico</w:t>
      </w:r>
      <w:r w:rsidRPr="006E7EEC">
        <w:rPr>
          <w:rFonts w:asciiTheme="majorHAnsi" w:hAnsiTheme="majorHAnsi"/>
        </w:rPr>
        <w:t xml:space="preserve"> polymerase chain reaction (PCR) to extract the </w:t>
      </w:r>
      <w:r w:rsidRPr="006E7EEC">
        <w:rPr>
          <w:rFonts w:asciiTheme="majorHAnsi" w:hAnsiTheme="majorHAnsi"/>
          <w:i/>
        </w:rPr>
        <w:t>spa</w:t>
      </w:r>
      <w:r w:rsidRPr="006E7EEC">
        <w:rPr>
          <w:rFonts w:asciiTheme="majorHAnsi" w:hAnsiTheme="majorHAnsi"/>
        </w:rPr>
        <w:t xml:space="preserve"> gene X region from assembled genomes using previously described primers </w:t>
      </w:r>
      <w:r w:rsidRPr="006E7EEC">
        <w:rPr>
          <w:rFonts w:asciiTheme="majorHAnsi" w:hAnsiTheme="majorHAnsi"/>
          <w:noProof/>
        </w:rPr>
        <w:t>(23)</w:t>
      </w:r>
      <w:r w:rsidRPr="006E7EEC">
        <w:rPr>
          <w:rFonts w:asciiTheme="majorHAnsi" w:hAnsiTheme="majorHAnsi"/>
        </w:rPr>
        <w:t xml:space="preserve">. The </w:t>
      </w:r>
      <w:r w:rsidRPr="006E7EEC">
        <w:rPr>
          <w:rFonts w:asciiTheme="majorHAnsi" w:hAnsiTheme="majorHAnsi"/>
          <w:i/>
        </w:rPr>
        <w:t>spa</w:t>
      </w:r>
      <w:r w:rsidRPr="006E7EEC">
        <w:rPr>
          <w:rFonts w:asciiTheme="majorHAnsi" w:hAnsiTheme="majorHAnsi"/>
        </w:rPr>
        <w:t xml:space="preserve">-type was determined using an online </w:t>
      </w:r>
      <w:r w:rsidRPr="006E7EEC">
        <w:rPr>
          <w:rFonts w:asciiTheme="majorHAnsi" w:hAnsiTheme="majorHAnsi"/>
          <w:i/>
        </w:rPr>
        <w:t>spa</w:t>
      </w:r>
      <w:r w:rsidRPr="006E7EEC">
        <w:rPr>
          <w:rFonts w:asciiTheme="majorHAnsi" w:hAnsiTheme="majorHAnsi"/>
        </w:rPr>
        <w:t>-</w:t>
      </w:r>
      <w:proofErr w:type="spellStart"/>
      <w:r w:rsidRPr="006E7EEC">
        <w:rPr>
          <w:rFonts w:asciiTheme="majorHAnsi" w:hAnsiTheme="majorHAnsi"/>
        </w:rPr>
        <w:t>typer</w:t>
      </w:r>
      <w:proofErr w:type="spellEnd"/>
      <w:r w:rsidRPr="006E7EEC">
        <w:rPr>
          <w:rFonts w:asciiTheme="majorHAnsi" w:hAnsiTheme="majorHAnsi"/>
        </w:rPr>
        <w:t xml:space="preserve"> tool (http://spatyper.fortinbras.us/). </w:t>
      </w:r>
      <w:r w:rsidRPr="006E7EEC">
        <w:rPr>
          <w:rFonts w:asciiTheme="majorHAnsi" w:hAnsiTheme="majorHAnsi"/>
          <w:noProof/>
        </w:rPr>
        <w:t xml:space="preserve"> The types generated through s</w:t>
      </w:r>
      <w:r w:rsidRPr="006E7EEC">
        <w:rPr>
          <w:rFonts w:asciiTheme="majorHAnsi" w:hAnsiTheme="majorHAnsi"/>
          <w:i/>
          <w:noProof/>
        </w:rPr>
        <w:t>pa</w:t>
      </w:r>
      <w:r w:rsidRPr="006E7EEC">
        <w:rPr>
          <w:rFonts w:asciiTheme="majorHAnsi" w:hAnsiTheme="majorHAnsi"/>
          <w:noProof/>
        </w:rPr>
        <w:t>-genotype and laboratory determined</w:t>
      </w:r>
      <w:r w:rsidRPr="006E7EEC">
        <w:rPr>
          <w:rFonts w:asciiTheme="majorHAnsi" w:hAnsiTheme="majorHAnsi"/>
          <w:i/>
          <w:noProof/>
        </w:rPr>
        <w:t xml:space="preserve"> spa</w:t>
      </w:r>
      <w:r w:rsidRPr="006E7EEC">
        <w:rPr>
          <w:rFonts w:asciiTheme="majorHAnsi" w:hAnsiTheme="majorHAnsi"/>
          <w:noProof/>
        </w:rPr>
        <w:t>-typing methods were compared to determine concordance.</w:t>
      </w:r>
    </w:p>
    <w:p w14:paraId="1D4BB003" w14:textId="77777777" w:rsidR="009B2AA7" w:rsidRPr="006E7EEC" w:rsidRDefault="009B2AA7" w:rsidP="009B2AA7">
      <w:pPr>
        <w:spacing w:line="360" w:lineRule="auto"/>
        <w:jc w:val="both"/>
        <w:rPr>
          <w:rFonts w:asciiTheme="majorHAnsi" w:hAnsiTheme="majorHAnsi"/>
        </w:rPr>
      </w:pPr>
    </w:p>
    <w:p w14:paraId="7BAC1211" w14:textId="799C6463"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Bacterial DNA sequences were deposited in the European Nucleotide Archive (ENA), https://www.ebi.ac.uk/ena, under study number </w:t>
      </w:r>
      <w:r w:rsidRPr="006E7EEC">
        <w:rPr>
          <w:rFonts w:asciiTheme="majorHAnsi" w:eastAsia="Times New Roman" w:hAnsiTheme="majorHAnsi" w:cs="Times New Roman"/>
        </w:rPr>
        <w:t>ERP005128</w:t>
      </w:r>
      <w:r w:rsidRPr="006E7EEC">
        <w:rPr>
          <w:rFonts w:asciiTheme="majorHAnsi" w:hAnsiTheme="majorHAnsi"/>
        </w:rPr>
        <w:t xml:space="preserve">. </w:t>
      </w:r>
      <w:r w:rsidRPr="006E7EEC">
        <w:rPr>
          <w:rFonts w:asciiTheme="majorHAnsi" w:eastAsia="Times New Roman" w:hAnsiTheme="majorHAnsi" w:cs="Times New Roman"/>
        </w:rPr>
        <w:t>Accession numbers, details of reads, depth of coverage and N50 are provided in Supplementary Table S</w:t>
      </w:r>
      <w:r w:rsidR="006F6E65" w:rsidRPr="006E7EEC">
        <w:rPr>
          <w:rFonts w:asciiTheme="majorHAnsi" w:eastAsia="Times New Roman" w:hAnsiTheme="majorHAnsi" w:cs="Times New Roman"/>
        </w:rPr>
        <w:t>1</w:t>
      </w:r>
      <w:r w:rsidRPr="006E7EEC">
        <w:rPr>
          <w:rFonts w:asciiTheme="majorHAnsi" w:eastAsia="Times New Roman" w:hAnsiTheme="majorHAnsi" w:cs="Times New Roman"/>
        </w:rPr>
        <w:t>.</w:t>
      </w:r>
      <w:r w:rsidRPr="006E7EEC">
        <w:rPr>
          <w:rFonts w:asciiTheme="majorHAnsi" w:hAnsiTheme="majorHAnsi"/>
        </w:rPr>
        <w:t xml:space="preserve">  For subsequent analyses we sourced MRSA sequence data </w:t>
      </w:r>
      <w:r w:rsidR="006F6E65" w:rsidRPr="006E7EEC">
        <w:rPr>
          <w:rFonts w:asciiTheme="majorHAnsi" w:hAnsiTheme="majorHAnsi"/>
        </w:rPr>
        <w:t>from previously published studies</w:t>
      </w:r>
      <w:r w:rsidRPr="006E7EEC">
        <w:rPr>
          <w:rFonts w:asciiTheme="majorHAnsi" w:hAnsiTheme="majorHAnsi"/>
        </w:rPr>
        <w:t xml:space="preserve">. These included: </w:t>
      </w:r>
      <w:proofErr w:type="spellStart"/>
      <w:r w:rsidRPr="006E7EEC">
        <w:rPr>
          <w:rFonts w:asciiTheme="majorHAnsi" w:hAnsiTheme="majorHAnsi"/>
        </w:rPr>
        <w:t>i</w:t>
      </w:r>
      <w:proofErr w:type="spellEnd"/>
      <w:r w:rsidRPr="006E7EEC">
        <w:rPr>
          <w:rFonts w:asciiTheme="majorHAnsi" w:hAnsiTheme="majorHAnsi"/>
        </w:rPr>
        <w:t xml:space="preserve">) a prospective observational cohort study of </w:t>
      </w:r>
      <w:r w:rsidR="00404EDA" w:rsidRPr="006E7EEC">
        <w:rPr>
          <w:rFonts w:asciiTheme="majorHAnsi" w:hAnsiTheme="majorHAnsi"/>
        </w:rPr>
        <w:t xml:space="preserve">all </w:t>
      </w:r>
      <w:r w:rsidRPr="006E7EEC">
        <w:rPr>
          <w:rFonts w:asciiTheme="majorHAnsi" w:hAnsiTheme="majorHAnsi"/>
        </w:rPr>
        <w:t xml:space="preserve">MRSA </w:t>
      </w:r>
      <w:r w:rsidR="008606EA" w:rsidRPr="006E7EEC">
        <w:rPr>
          <w:rFonts w:asciiTheme="majorHAnsi" w:hAnsiTheme="majorHAnsi"/>
        </w:rPr>
        <w:t>carriage</w:t>
      </w:r>
      <w:r w:rsidRPr="006E7EEC">
        <w:rPr>
          <w:rFonts w:asciiTheme="majorHAnsi" w:hAnsiTheme="majorHAnsi"/>
        </w:rPr>
        <w:t xml:space="preserve"> and clinical isolates </w:t>
      </w:r>
      <w:r w:rsidR="00404EDA" w:rsidRPr="006E7EEC">
        <w:rPr>
          <w:rFonts w:asciiTheme="majorHAnsi" w:hAnsiTheme="majorHAnsi"/>
        </w:rPr>
        <w:t xml:space="preserve">submitted and processed in Cambridge University Hospital NHS Foundation Trust, </w:t>
      </w:r>
      <w:r w:rsidRPr="006E7EEC">
        <w:rPr>
          <w:rFonts w:asciiTheme="majorHAnsi" w:hAnsiTheme="majorHAnsi"/>
        </w:rPr>
        <w:t xml:space="preserve">Cambridgeshire, United Kingdom </w:t>
      </w:r>
      <w:r w:rsidR="00404EDA" w:rsidRPr="006E7EEC">
        <w:rPr>
          <w:rFonts w:asciiTheme="majorHAnsi" w:hAnsiTheme="majorHAnsi"/>
        </w:rPr>
        <w:t>between</w:t>
      </w:r>
      <w:r w:rsidRPr="006E7EEC">
        <w:rPr>
          <w:rFonts w:asciiTheme="majorHAnsi" w:hAnsiTheme="majorHAnsi"/>
        </w:rPr>
        <w:t xml:space="preserve"> 2012-2013 </w:t>
      </w:r>
      <w:r w:rsidRPr="006E7EEC">
        <w:rPr>
          <w:rFonts w:asciiTheme="majorHAnsi" w:hAnsiTheme="majorHAnsi"/>
          <w:noProof/>
        </w:rPr>
        <w:t>(24)</w:t>
      </w:r>
      <w:r w:rsidRPr="006E7EEC">
        <w:rPr>
          <w:rFonts w:asciiTheme="majorHAnsi" w:hAnsiTheme="majorHAnsi" w:cs="Arial"/>
        </w:rPr>
        <w:t xml:space="preserve">; ii) MRSA bloodstream isolates collected </w:t>
      </w:r>
      <w:r w:rsidRPr="006E7EEC">
        <w:rPr>
          <w:rFonts w:asciiTheme="majorHAnsi" w:hAnsiTheme="majorHAnsi"/>
        </w:rPr>
        <w:t xml:space="preserve">by the British Society of Antimicrobial Chemotherapy (BSAC) </w:t>
      </w:r>
      <w:r w:rsidR="009A3412" w:rsidRPr="006E7EEC">
        <w:rPr>
          <w:rFonts w:asciiTheme="majorHAnsi" w:hAnsiTheme="majorHAnsi"/>
        </w:rPr>
        <w:t xml:space="preserve">BSI </w:t>
      </w:r>
      <w:r w:rsidRPr="006E7EEC">
        <w:rPr>
          <w:rFonts w:asciiTheme="majorHAnsi" w:hAnsiTheme="majorHAnsi"/>
        </w:rPr>
        <w:t>Surveillance Programme between 2001 and 2010</w:t>
      </w:r>
      <w:r w:rsidRPr="006E7EEC">
        <w:rPr>
          <w:rFonts w:asciiTheme="majorHAnsi" w:hAnsiTheme="majorHAnsi"/>
          <w:i/>
        </w:rPr>
        <w:t xml:space="preserve"> </w:t>
      </w:r>
      <w:r w:rsidRPr="006E7EEC">
        <w:rPr>
          <w:rFonts w:asciiTheme="majorHAnsi" w:hAnsiTheme="majorHAnsi"/>
          <w:noProof/>
        </w:rPr>
        <w:t>(13)</w:t>
      </w:r>
      <w:r w:rsidRPr="006E7EEC">
        <w:rPr>
          <w:rFonts w:asciiTheme="majorHAnsi" w:hAnsiTheme="majorHAnsi"/>
        </w:rPr>
        <w:t xml:space="preserve">; iii) USA-300 isolates collected in New York, United States of America between 2009 and 2011 </w:t>
      </w:r>
      <w:r w:rsidRPr="006E7EEC">
        <w:rPr>
          <w:rFonts w:asciiTheme="majorHAnsi" w:hAnsiTheme="majorHAnsi"/>
          <w:noProof/>
        </w:rPr>
        <w:t>(25)</w:t>
      </w:r>
      <w:r w:rsidRPr="006E7EEC">
        <w:rPr>
          <w:rFonts w:asciiTheme="majorHAnsi" w:hAnsiTheme="majorHAnsi"/>
        </w:rPr>
        <w:t xml:space="preserve">; iv) MRSA isolates from outbreak investigations at a UK hospital </w:t>
      </w:r>
      <w:r w:rsidRPr="006E7EEC">
        <w:rPr>
          <w:rFonts w:asciiTheme="majorHAnsi" w:hAnsiTheme="majorHAnsi"/>
          <w:noProof/>
        </w:rPr>
        <w:t>(9, 10, 12)</w:t>
      </w:r>
      <w:r w:rsidRPr="006E7EEC">
        <w:rPr>
          <w:rFonts w:asciiTheme="majorHAnsi" w:hAnsiTheme="majorHAnsi"/>
        </w:rPr>
        <w:t>.</w:t>
      </w:r>
    </w:p>
    <w:p w14:paraId="133E121C" w14:textId="77777777" w:rsidR="009B2AA7" w:rsidRPr="006E7EEC" w:rsidRDefault="009B2AA7" w:rsidP="009B2AA7">
      <w:pPr>
        <w:spacing w:line="360" w:lineRule="auto"/>
        <w:rPr>
          <w:rFonts w:asciiTheme="majorHAnsi" w:hAnsiTheme="majorHAnsi"/>
          <w:b/>
          <w:i/>
        </w:rPr>
      </w:pPr>
    </w:p>
    <w:p w14:paraId="4F49806E" w14:textId="77777777" w:rsidR="009B2AA7" w:rsidRPr="006E7EEC" w:rsidRDefault="009B2AA7" w:rsidP="009B2AA7">
      <w:pPr>
        <w:spacing w:line="360" w:lineRule="auto"/>
        <w:outlineLvl w:val="0"/>
        <w:rPr>
          <w:rFonts w:asciiTheme="majorHAnsi" w:hAnsiTheme="majorHAnsi"/>
          <w:b/>
        </w:rPr>
      </w:pPr>
      <w:r w:rsidRPr="006E7EEC">
        <w:rPr>
          <w:rFonts w:asciiTheme="majorHAnsi" w:hAnsiTheme="majorHAnsi"/>
          <w:b/>
        </w:rPr>
        <w:t>RESULTS</w:t>
      </w:r>
    </w:p>
    <w:p w14:paraId="37FD1D08" w14:textId="7DF4CCDB" w:rsidR="001E1012" w:rsidRPr="006E7EEC" w:rsidRDefault="001E1012" w:rsidP="001E1012">
      <w:pPr>
        <w:spacing w:line="360" w:lineRule="auto"/>
        <w:jc w:val="both"/>
        <w:rPr>
          <w:rFonts w:asciiTheme="majorHAnsi" w:hAnsiTheme="majorHAnsi"/>
        </w:rPr>
      </w:pPr>
      <w:r w:rsidRPr="006E7EEC">
        <w:rPr>
          <w:rFonts w:asciiTheme="majorHAnsi" w:hAnsiTheme="majorHAnsi"/>
        </w:rPr>
        <w:t xml:space="preserve">A total of 903 MRSA </w:t>
      </w:r>
      <w:r w:rsidR="009A3412" w:rsidRPr="006E7EEC">
        <w:rPr>
          <w:rFonts w:asciiTheme="majorHAnsi" w:hAnsiTheme="majorHAnsi"/>
        </w:rPr>
        <w:t>BSI</w:t>
      </w:r>
      <w:r w:rsidRPr="006E7EEC">
        <w:rPr>
          <w:rFonts w:asciiTheme="majorHAnsi" w:hAnsiTheme="majorHAnsi"/>
        </w:rPr>
        <w:t xml:space="preserve"> cases were reported to MESS at the time of extract (Figure S1). Gender was </w:t>
      </w:r>
      <w:r w:rsidR="006D39A6">
        <w:rPr>
          <w:rFonts w:asciiTheme="majorHAnsi" w:hAnsiTheme="majorHAnsi"/>
        </w:rPr>
        <w:t>recorded</w:t>
      </w:r>
      <w:r w:rsidR="006D39A6" w:rsidRPr="006E7EEC">
        <w:rPr>
          <w:rFonts w:asciiTheme="majorHAnsi" w:hAnsiTheme="majorHAnsi"/>
        </w:rPr>
        <w:t xml:space="preserve"> </w:t>
      </w:r>
      <w:r w:rsidRPr="006E7EEC">
        <w:rPr>
          <w:rFonts w:asciiTheme="majorHAnsi" w:hAnsiTheme="majorHAnsi"/>
        </w:rPr>
        <w:t>for 98% of cases, and 584 (65%) of cases were male. Age was recorded for all but two cases, with a median age of 72 years (range 0</w:t>
      </w:r>
      <w:r w:rsidR="006D39A6">
        <w:rPr>
          <w:rFonts w:asciiTheme="majorHAnsi" w:hAnsiTheme="majorHAnsi"/>
        </w:rPr>
        <w:t xml:space="preserve"> to </w:t>
      </w:r>
      <w:r w:rsidRPr="006E7EEC">
        <w:rPr>
          <w:rFonts w:asciiTheme="majorHAnsi" w:hAnsiTheme="majorHAnsi"/>
        </w:rPr>
        <w:t>103 years; interquartile range (IQR) 56</w:t>
      </w:r>
      <w:r w:rsidR="006D39A6">
        <w:rPr>
          <w:rFonts w:asciiTheme="majorHAnsi" w:hAnsiTheme="majorHAnsi"/>
        </w:rPr>
        <w:t xml:space="preserve"> to </w:t>
      </w:r>
      <w:r w:rsidRPr="006E7EEC">
        <w:rPr>
          <w:rFonts w:asciiTheme="majorHAnsi" w:hAnsiTheme="majorHAnsi"/>
        </w:rPr>
        <w:t xml:space="preserve">84 years). A total of 111 laboratories participated in the study. Forty-seven per cent (425/903) of reported BSI cases occurring in England during the study period had isolates that </w:t>
      </w:r>
      <w:r w:rsidRPr="003E1207">
        <w:rPr>
          <w:rFonts w:asciiTheme="majorHAnsi" w:hAnsiTheme="majorHAnsi"/>
        </w:rPr>
        <w:t>were sequenced and analysed (Figure 1).  All of the 425 sequenced isolates were</w:t>
      </w:r>
      <w:r w:rsidRPr="003E1207">
        <w:rPr>
          <w:rFonts w:asciiTheme="majorHAnsi" w:hAnsiTheme="majorHAnsi"/>
          <w:i/>
        </w:rPr>
        <w:t xml:space="preserve"> </w:t>
      </w:r>
      <w:proofErr w:type="spellStart"/>
      <w:r w:rsidRPr="003E1207">
        <w:rPr>
          <w:rFonts w:asciiTheme="majorHAnsi" w:hAnsiTheme="majorHAnsi"/>
          <w:i/>
        </w:rPr>
        <w:t>mecA</w:t>
      </w:r>
      <w:proofErr w:type="spellEnd"/>
      <w:r w:rsidRPr="003E1207">
        <w:rPr>
          <w:rFonts w:asciiTheme="majorHAnsi" w:hAnsiTheme="majorHAnsi"/>
        </w:rPr>
        <w:t xml:space="preserve"> positive by laboratory-PCR. </w:t>
      </w:r>
      <w:r w:rsidR="003E1207" w:rsidRPr="003E1207">
        <w:rPr>
          <w:rFonts w:asciiTheme="majorHAnsi" w:hAnsiTheme="majorHAnsi"/>
        </w:rPr>
        <w:t>PCR testing identified 8.7% (n=37) of the isolates as PVL</w:t>
      </w:r>
      <w:r w:rsidR="003E1207">
        <w:rPr>
          <w:rFonts w:asciiTheme="majorHAnsi" w:hAnsiTheme="majorHAnsi"/>
        </w:rPr>
        <w:t>-</w:t>
      </w:r>
      <w:r w:rsidR="003E1207" w:rsidRPr="003E1207">
        <w:rPr>
          <w:rFonts w:asciiTheme="majorHAnsi" w:hAnsiTheme="majorHAnsi"/>
        </w:rPr>
        <w:t xml:space="preserve">positive. </w:t>
      </w:r>
      <w:r w:rsidRPr="003E1207">
        <w:rPr>
          <w:rFonts w:asciiTheme="majorHAnsi" w:hAnsiTheme="majorHAnsi"/>
        </w:rPr>
        <w:t>Based on</w:t>
      </w:r>
      <w:r w:rsidRPr="006E7EEC">
        <w:rPr>
          <w:rFonts w:asciiTheme="majorHAnsi" w:hAnsiTheme="majorHAnsi"/>
        </w:rPr>
        <w:t xml:space="preserve"> sequence data, 65% (n=276) were assigned to clonal complex 22 (CC22)</w:t>
      </w:r>
      <w:r w:rsidR="006C11F0" w:rsidRPr="006E7EEC">
        <w:rPr>
          <w:rFonts w:asciiTheme="majorHAnsi" w:hAnsiTheme="majorHAnsi"/>
        </w:rPr>
        <w:t>.</w:t>
      </w:r>
      <w:r w:rsidR="00F8608A" w:rsidRPr="006E7EEC">
        <w:rPr>
          <w:rFonts w:asciiTheme="majorHAnsi" w:hAnsiTheme="majorHAnsi"/>
        </w:rPr>
        <w:t xml:space="preserve"> </w:t>
      </w:r>
      <w:r w:rsidRPr="006E7EEC">
        <w:rPr>
          <w:rFonts w:asciiTheme="majorHAnsi" w:hAnsiTheme="majorHAnsi"/>
        </w:rPr>
        <w:t xml:space="preserve">Other CCs were represented at lower frequencies: CC5 n=42; CC30 n=33; CC8 n=22; CC1 n=19; CC59 n=9; CC45 n=7; other/unknown CCs n=17. </w:t>
      </w:r>
      <w:r w:rsidR="00FD5663">
        <w:rPr>
          <w:rFonts w:asciiTheme="majorHAnsi" w:hAnsiTheme="majorHAnsi"/>
        </w:rPr>
        <w:t xml:space="preserve">The number of isolates and </w:t>
      </w:r>
      <w:r w:rsidRPr="006E7EEC">
        <w:rPr>
          <w:rFonts w:asciiTheme="majorHAnsi" w:hAnsiTheme="majorHAnsi"/>
        </w:rPr>
        <w:t xml:space="preserve">variation in the CCs isolated from each region is shown in </w:t>
      </w:r>
      <w:r w:rsidR="006D39A6">
        <w:rPr>
          <w:rFonts w:asciiTheme="majorHAnsi" w:hAnsiTheme="majorHAnsi"/>
        </w:rPr>
        <w:t>F</w:t>
      </w:r>
      <w:r w:rsidRPr="006E7EEC">
        <w:rPr>
          <w:rFonts w:asciiTheme="majorHAnsi" w:hAnsiTheme="majorHAnsi"/>
        </w:rPr>
        <w:t>igure 1</w:t>
      </w:r>
      <w:r w:rsidR="00FD5663">
        <w:rPr>
          <w:rFonts w:asciiTheme="majorHAnsi" w:hAnsiTheme="majorHAnsi"/>
        </w:rPr>
        <w:t xml:space="preserve">. </w:t>
      </w:r>
      <w:r w:rsidRPr="006E7EEC">
        <w:rPr>
          <w:rFonts w:asciiTheme="majorHAnsi" w:hAnsiTheme="majorHAnsi"/>
        </w:rPr>
        <w:t xml:space="preserve">No associations were found between particular CCs and community versus hospital onset (Table S2). </w:t>
      </w:r>
    </w:p>
    <w:p w14:paraId="56616BB8" w14:textId="77777777" w:rsidR="009B2AA7" w:rsidRPr="006E7EEC" w:rsidRDefault="009B2AA7" w:rsidP="009B2AA7">
      <w:pPr>
        <w:spacing w:line="360" w:lineRule="auto"/>
        <w:jc w:val="both"/>
        <w:rPr>
          <w:rFonts w:asciiTheme="majorHAnsi" w:hAnsiTheme="majorHAnsi"/>
          <w:b/>
        </w:rPr>
      </w:pPr>
    </w:p>
    <w:p w14:paraId="726E4742"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Comparison of BSI surveillance and universal MRSA sampling</w:t>
      </w:r>
    </w:p>
    <w:p w14:paraId="0BB0B1E1" w14:textId="1C601230" w:rsidR="009B2AA7" w:rsidRPr="006E7EEC" w:rsidRDefault="009B2AA7" w:rsidP="009B2AA7">
      <w:pPr>
        <w:spacing w:line="360" w:lineRule="auto"/>
        <w:jc w:val="both"/>
        <w:rPr>
          <w:rFonts w:asciiTheme="majorHAnsi" w:hAnsiTheme="majorHAnsi"/>
        </w:rPr>
      </w:pPr>
      <w:r w:rsidRPr="006E7EEC">
        <w:rPr>
          <w:rFonts w:asciiTheme="majorHAnsi" w:hAnsiTheme="majorHAnsi"/>
        </w:rPr>
        <w:t>We compared the</w:t>
      </w:r>
      <w:r w:rsidR="00FD5663">
        <w:rPr>
          <w:rFonts w:asciiTheme="majorHAnsi" w:hAnsiTheme="majorHAnsi"/>
        </w:rPr>
        <w:t xml:space="preserve"> most common</w:t>
      </w:r>
      <w:r w:rsidRPr="006E7EEC">
        <w:rPr>
          <w:rFonts w:asciiTheme="majorHAnsi" w:hAnsiTheme="majorHAnsi"/>
        </w:rPr>
        <w:t xml:space="preserve"> clone in our collection, CC22 (n=276), with CC22 genomes generated by a prospective study that sequenced MRSA isolates from every positive case (carriage and clinical samples) identified at a single diagnostic microbiology laboratory that processed samples from three hospitals and 75 GP surgeries in Cambridgeshire between April 2012 and April 2013 </w:t>
      </w:r>
      <w:r w:rsidRPr="006E7EEC">
        <w:rPr>
          <w:rFonts w:asciiTheme="majorHAnsi" w:hAnsiTheme="majorHAnsi"/>
          <w:noProof/>
        </w:rPr>
        <w:t>(24)</w:t>
      </w:r>
      <w:r w:rsidRPr="006E7EEC">
        <w:rPr>
          <w:rFonts w:asciiTheme="majorHAnsi" w:hAnsiTheme="majorHAnsi"/>
        </w:rPr>
        <w:t xml:space="preserve">.  This Cambridgeshire collection was used to represent the diversity of carriage and clinical isolates within a defined geographical area, as a national collection of carriage and clinical isolates was not available. </w:t>
      </w:r>
      <w:r w:rsidR="00F8608A" w:rsidRPr="006E7EEC">
        <w:rPr>
          <w:rFonts w:asciiTheme="majorHAnsi" w:hAnsiTheme="majorHAnsi"/>
        </w:rPr>
        <w:t xml:space="preserve">A </w:t>
      </w:r>
      <w:r w:rsidRPr="006E7EEC">
        <w:rPr>
          <w:rFonts w:asciiTheme="majorHAnsi" w:hAnsiTheme="majorHAnsi"/>
        </w:rPr>
        <w:t>phylogen</w:t>
      </w:r>
      <w:r w:rsidR="00F8608A" w:rsidRPr="006E7EEC">
        <w:rPr>
          <w:rFonts w:asciiTheme="majorHAnsi" w:hAnsiTheme="majorHAnsi"/>
        </w:rPr>
        <w:t>y</w:t>
      </w:r>
      <w:r w:rsidRPr="006E7EEC">
        <w:rPr>
          <w:rFonts w:asciiTheme="majorHAnsi" w:hAnsiTheme="majorHAnsi"/>
        </w:rPr>
        <w:t xml:space="preserve"> </w:t>
      </w:r>
      <w:r w:rsidR="00F8608A" w:rsidRPr="006E7EEC">
        <w:rPr>
          <w:rFonts w:asciiTheme="majorHAnsi" w:hAnsiTheme="majorHAnsi"/>
        </w:rPr>
        <w:t>was</w:t>
      </w:r>
      <w:r w:rsidRPr="006E7EEC">
        <w:rPr>
          <w:rFonts w:asciiTheme="majorHAnsi" w:hAnsiTheme="majorHAnsi"/>
        </w:rPr>
        <w:t xml:space="preserve"> constructed for the genomes from the national BSI collection within th</w:t>
      </w:r>
      <w:r w:rsidR="00F8608A" w:rsidRPr="006E7EEC">
        <w:rPr>
          <w:rFonts w:asciiTheme="majorHAnsi" w:hAnsiTheme="majorHAnsi"/>
        </w:rPr>
        <w:t>is</w:t>
      </w:r>
      <w:r w:rsidRPr="006E7EEC">
        <w:rPr>
          <w:rFonts w:asciiTheme="majorHAnsi" w:hAnsiTheme="majorHAnsi"/>
        </w:rPr>
        <w:t xml:space="preserve"> Cambridgeshire </w:t>
      </w:r>
      <w:r w:rsidR="00F8608A" w:rsidRPr="006E7EEC">
        <w:rPr>
          <w:rFonts w:asciiTheme="majorHAnsi" w:hAnsiTheme="majorHAnsi"/>
        </w:rPr>
        <w:t xml:space="preserve">collection </w:t>
      </w:r>
      <w:r w:rsidRPr="006E7EEC">
        <w:rPr>
          <w:rFonts w:asciiTheme="majorHAnsi" w:hAnsiTheme="majorHAnsi"/>
        </w:rPr>
        <w:t xml:space="preserve">(Figure 2), in order to determine whether those isolates causing BSI </w:t>
      </w:r>
      <w:r w:rsidR="00FD5663">
        <w:rPr>
          <w:rFonts w:asciiTheme="majorHAnsi" w:hAnsiTheme="majorHAnsi"/>
        </w:rPr>
        <w:t>were</w:t>
      </w:r>
      <w:r w:rsidR="00FD5663" w:rsidRPr="006E7EEC">
        <w:rPr>
          <w:rFonts w:asciiTheme="majorHAnsi" w:hAnsiTheme="majorHAnsi"/>
        </w:rPr>
        <w:t xml:space="preserve"> </w:t>
      </w:r>
      <w:r w:rsidRPr="006E7EEC">
        <w:rPr>
          <w:rFonts w:asciiTheme="majorHAnsi" w:hAnsiTheme="majorHAnsi"/>
        </w:rPr>
        <w:t xml:space="preserve">clonally related, or distributed throughout the phylogenetic tree. </w:t>
      </w:r>
    </w:p>
    <w:p w14:paraId="14A4C4CE" w14:textId="77777777" w:rsidR="009B2AA7" w:rsidRPr="006E7EEC" w:rsidRDefault="009B2AA7" w:rsidP="009B2AA7">
      <w:pPr>
        <w:spacing w:line="360" w:lineRule="auto"/>
        <w:jc w:val="both"/>
        <w:rPr>
          <w:rFonts w:asciiTheme="majorHAnsi" w:hAnsiTheme="majorHAnsi"/>
        </w:rPr>
      </w:pPr>
    </w:p>
    <w:p w14:paraId="101ED1EE" w14:textId="702EF91C"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As shown in Figure 2, isolates from our national MRSA </w:t>
      </w:r>
      <w:r w:rsidR="009A3412" w:rsidRPr="006E7EEC">
        <w:rPr>
          <w:rFonts w:asciiTheme="majorHAnsi" w:hAnsiTheme="majorHAnsi"/>
        </w:rPr>
        <w:t xml:space="preserve">BSI </w:t>
      </w:r>
      <w:r w:rsidRPr="006E7EEC">
        <w:rPr>
          <w:rFonts w:asciiTheme="majorHAnsi" w:hAnsiTheme="majorHAnsi"/>
        </w:rPr>
        <w:t xml:space="preserve">collection were dispersed throughout </w:t>
      </w:r>
      <w:r w:rsidR="00F8608A" w:rsidRPr="006E7EEC">
        <w:rPr>
          <w:rFonts w:asciiTheme="majorHAnsi" w:hAnsiTheme="majorHAnsi"/>
        </w:rPr>
        <w:t xml:space="preserve">the </w:t>
      </w:r>
      <w:r w:rsidRPr="006E7EEC">
        <w:rPr>
          <w:rFonts w:asciiTheme="majorHAnsi" w:hAnsiTheme="majorHAnsi"/>
        </w:rPr>
        <w:t>Cambridgeshire phylogen</w:t>
      </w:r>
      <w:r w:rsidR="00F8608A" w:rsidRPr="006E7EEC">
        <w:rPr>
          <w:rFonts w:asciiTheme="majorHAnsi" w:hAnsiTheme="majorHAnsi"/>
        </w:rPr>
        <w:t>y</w:t>
      </w:r>
      <w:r w:rsidRPr="006E7EEC">
        <w:rPr>
          <w:rFonts w:asciiTheme="majorHAnsi" w:hAnsiTheme="majorHAnsi"/>
        </w:rPr>
        <w:t>, ruling out any association between a particular lineage and BSI. Comparing the national BSI collection to WGS of universal sampling in Cambridgeshire also demonstrates that some lineages are under-represented when undertaking BSI based (rather than clinical</w:t>
      </w:r>
      <w:r w:rsidR="00F8608A" w:rsidRPr="006E7EEC">
        <w:rPr>
          <w:rFonts w:asciiTheme="majorHAnsi" w:hAnsiTheme="majorHAnsi"/>
        </w:rPr>
        <w:t>/</w:t>
      </w:r>
      <w:r w:rsidRPr="006E7EEC">
        <w:rPr>
          <w:rFonts w:asciiTheme="majorHAnsi" w:hAnsiTheme="majorHAnsi"/>
        </w:rPr>
        <w:t>carriage based) surveillance. For example, a large expansion (indicated</w:t>
      </w:r>
      <w:r w:rsidR="00CD64BA" w:rsidRPr="006E7EEC">
        <w:rPr>
          <w:rFonts w:asciiTheme="majorHAnsi" w:hAnsiTheme="majorHAnsi"/>
        </w:rPr>
        <w:t xml:space="preserve"> with an arc on the figure</w:t>
      </w:r>
      <w:r w:rsidRPr="006E7EEC">
        <w:rPr>
          <w:rFonts w:asciiTheme="majorHAnsi" w:hAnsiTheme="majorHAnsi"/>
        </w:rPr>
        <w:t xml:space="preserve">) was seen in </w:t>
      </w:r>
      <w:r w:rsidR="00F8608A" w:rsidRPr="006E7EEC">
        <w:rPr>
          <w:rFonts w:asciiTheme="majorHAnsi" w:hAnsiTheme="majorHAnsi"/>
        </w:rPr>
        <w:t xml:space="preserve">the </w:t>
      </w:r>
      <w:r w:rsidRPr="006E7EEC">
        <w:rPr>
          <w:rFonts w:asciiTheme="majorHAnsi" w:hAnsiTheme="majorHAnsi"/>
        </w:rPr>
        <w:t>Cambridgeshire phylogen</w:t>
      </w:r>
      <w:r w:rsidR="00F8608A" w:rsidRPr="006E7EEC">
        <w:rPr>
          <w:rFonts w:asciiTheme="majorHAnsi" w:hAnsiTheme="majorHAnsi"/>
        </w:rPr>
        <w:t>y</w:t>
      </w:r>
      <w:r w:rsidRPr="006E7EEC">
        <w:rPr>
          <w:rFonts w:asciiTheme="majorHAnsi" w:hAnsiTheme="majorHAnsi"/>
        </w:rPr>
        <w:t xml:space="preserve">, with only </w:t>
      </w:r>
      <w:r w:rsidR="00611F91" w:rsidRPr="006E7EEC">
        <w:rPr>
          <w:rFonts w:asciiTheme="majorHAnsi" w:hAnsiTheme="majorHAnsi"/>
        </w:rPr>
        <w:t>eight</w:t>
      </w:r>
      <w:r w:rsidRPr="006E7EEC">
        <w:rPr>
          <w:rFonts w:asciiTheme="majorHAnsi" w:hAnsiTheme="majorHAnsi"/>
        </w:rPr>
        <w:t xml:space="preserve"> of the Cambridgeshire isolates within the national MRSA BSI collection from the East of England. </w:t>
      </w:r>
    </w:p>
    <w:p w14:paraId="096848B1" w14:textId="77777777" w:rsidR="009B2AA7" w:rsidRPr="006E7EEC" w:rsidRDefault="009B2AA7" w:rsidP="009B2AA7">
      <w:pPr>
        <w:spacing w:line="360" w:lineRule="auto"/>
        <w:jc w:val="both"/>
        <w:rPr>
          <w:rFonts w:asciiTheme="majorHAnsi" w:hAnsiTheme="majorHAnsi"/>
        </w:rPr>
      </w:pPr>
    </w:p>
    <w:p w14:paraId="00B96EBE" w14:textId="7A499985"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To explore the effect of different sampling strategies on MRSA lineage diversity we conducted a comparison of CCs within three different MRSA collections: this national MRSA BSI collection (2012-2013), </w:t>
      </w:r>
      <w:r w:rsidR="00F8608A" w:rsidRPr="006E7EEC">
        <w:rPr>
          <w:rFonts w:asciiTheme="majorHAnsi" w:hAnsiTheme="majorHAnsi"/>
        </w:rPr>
        <w:t>isolates from the</w:t>
      </w:r>
      <w:r w:rsidRPr="006E7EEC">
        <w:rPr>
          <w:rFonts w:asciiTheme="majorHAnsi" w:hAnsiTheme="majorHAnsi"/>
        </w:rPr>
        <w:t xml:space="preserve"> Cambridgeshire study (2012-2013)</w:t>
      </w:r>
      <w:r w:rsidRPr="006E7EEC">
        <w:rPr>
          <w:rFonts w:asciiTheme="majorHAnsi" w:hAnsiTheme="majorHAnsi"/>
          <w:noProof/>
        </w:rPr>
        <w:t>(24)</w:t>
      </w:r>
      <w:r w:rsidR="00CD64BA" w:rsidRPr="006E7EEC">
        <w:rPr>
          <w:rFonts w:asciiTheme="majorHAnsi" w:hAnsiTheme="majorHAnsi"/>
          <w:noProof/>
        </w:rPr>
        <w:t>,</w:t>
      </w:r>
      <w:r w:rsidRPr="006E7EEC">
        <w:rPr>
          <w:rFonts w:asciiTheme="majorHAnsi" w:hAnsiTheme="majorHAnsi"/>
        </w:rPr>
        <w:t xml:space="preserve"> and MRSA BSI isolates from the British Society of Antimicrobial Chemotherapy (BSAC) </w:t>
      </w:r>
      <w:r w:rsidR="009A3412" w:rsidRPr="006E7EEC">
        <w:rPr>
          <w:rFonts w:asciiTheme="majorHAnsi" w:hAnsiTheme="majorHAnsi"/>
        </w:rPr>
        <w:t xml:space="preserve">BSI </w:t>
      </w:r>
      <w:r w:rsidRPr="006E7EEC">
        <w:rPr>
          <w:rFonts w:asciiTheme="majorHAnsi" w:hAnsiTheme="majorHAnsi"/>
        </w:rPr>
        <w:t xml:space="preserve">Surveillance Programme </w:t>
      </w:r>
      <w:r w:rsidR="009A3412" w:rsidRPr="006E7EEC">
        <w:rPr>
          <w:rFonts w:asciiTheme="majorHAnsi" w:hAnsiTheme="majorHAnsi"/>
        </w:rPr>
        <w:t xml:space="preserve">from </w:t>
      </w:r>
      <w:r w:rsidRPr="006E7EEC">
        <w:rPr>
          <w:rFonts w:asciiTheme="majorHAnsi" w:hAnsiTheme="majorHAnsi"/>
        </w:rPr>
        <w:t xml:space="preserve">2000-2010 </w:t>
      </w:r>
      <w:r w:rsidRPr="006E7EEC">
        <w:rPr>
          <w:rFonts w:asciiTheme="majorHAnsi" w:hAnsiTheme="majorHAnsi"/>
          <w:noProof/>
        </w:rPr>
        <w:t>(13)</w:t>
      </w:r>
      <w:r w:rsidR="00FD5663">
        <w:rPr>
          <w:rFonts w:asciiTheme="majorHAnsi" w:hAnsiTheme="majorHAnsi"/>
          <w:noProof/>
        </w:rPr>
        <w:t xml:space="preserve"> </w:t>
      </w:r>
      <w:r w:rsidRPr="006E7EEC">
        <w:rPr>
          <w:rFonts w:asciiTheme="majorHAnsi" w:hAnsiTheme="majorHAnsi"/>
        </w:rPr>
        <w:t xml:space="preserve">(Figure 3). </w:t>
      </w:r>
      <w:r w:rsidR="00FD5663">
        <w:rPr>
          <w:rFonts w:asciiTheme="majorHAnsi" w:hAnsiTheme="majorHAnsi"/>
        </w:rPr>
        <w:t>Despite</w:t>
      </w:r>
      <w:r w:rsidRPr="006E7EEC">
        <w:rPr>
          <w:rFonts w:asciiTheme="majorHAnsi" w:hAnsiTheme="majorHAnsi"/>
        </w:rPr>
        <w:t xml:space="preserve"> </w:t>
      </w:r>
      <w:r w:rsidR="00FD5663">
        <w:rPr>
          <w:rFonts w:asciiTheme="majorHAnsi" w:hAnsiTheme="majorHAnsi"/>
        </w:rPr>
        <w:t xml:space="preserve">the </w:t>
      </w:r>
      <w:r w:rsidRPr="006E7EEC">
        <w:rPr>
          <w:rFonts w:asciiTheme="majorHAnsi" w:hAnsiTheme="majorHAnsi"/>
        </w:rPr>
        <w:t xml:space="preserve">different sampling </w:t>
      </w:r>
      <w:r w:rsidR="00FD5663">
        <w:rPr>
          <w:rFonts w:asciiTheme="majorHAnsi" w:hAnsiTheme="majorHAnsi"/>
        </w:rPr>
        <w:t>strategies</w:t>
      </w:r>
      <w:r w:rsidR="00FD5663" w:rsidRPr="006E7EEC">
        <w:rPr>
          <w:rFonts w:asciiTheme="majorHAnsi" w:hAnsiTheme="majorHAnsi"/>
        </w:rPr>
        <w:t xml:space="preserve"> </w:t>
      </w:r>
      <w:r w:rsidRPr="006E7EEC">
        <w:rPr>
          <w:rFonts w:asciiTheme="majorHAnsi" w:hAnsiTheme="majorHAnsi"/>
        </w:rPr>
        <w:t>and time frames, we found that CC22 was the dominant lineage</w:t>
      </w:r>
      <w:r w:rsidR="00FD5663">
        <w:rPr>
          <w:rFonts w:asciiTheme="majorHAnsi" w:hAnsiTheme="majorHAnsi"/>
        </w:rPr>
        <w:t xml:space="preserve"> in all collections</w:t>
      </w:r>
      <w:r w:rsidRPr="006E7EEC">
        <w:rPr>
          <w:rFonts w:asciiTheme="majorHAnsi" w:hAnsiTheme="majorHAnsi"/>
        </w:rPr>
        <w:t xml:space="preserve">. </w:t>
      </w:r>
      <w:r w:rsidR="00F8608A" w:rsidRPr="006E7EEC">
        <w:rPr>
          <w:rFonts w:asciiTheme="majorHAnsi" w:hAnsiTheme="majorHAnsi"/>
        </w:rPr>
        <w:t>B</w:t>
      </w:r>
      <w:r w:rsidRPr="006E7EEC">
        <w:rPr>
          <w:rFonts w:asciiTheme="majorHAnsi" w:hAnsiTheme="majorHAnsi"/>
        </w:rPr>
        <w:t xml:space="preserve">oth of the BSI-based collections showed </w:t>
      </w:r>
      <w:r w:rsidR="00FD5663">
        <w:rPr>
          <w:rFonts w:asciiTheme="majorHAnsi" w:hAnsiTheme="majorHAnsi"/>
        </w:rPr>
        <w:t xml:space="preserve">a </w:t>
      </w:r>
      <w:r w:rsidRPr="006E7EEC">
        <w:rPr>
          <w:rFonts w:asciiTheme="majorHAnsi" w:hAnsiTheme="majorHAnsi"/>
        </w:rPr>
        <w:t>lower diversity of lineages</w:t>
      </w:r>
      <w:r w:rsidR="00F8608A" w:rsidRPr="006E7EEC">
        <w:rPr>
          <w:rFonts w:asciiTheme="majorHAnsi" w:hAnsiTheme="majorHAnsi"/>
        </w:rPr>
        <w:t xml:space="preserve"> than seen in the one-year Cambridgeshire study</w:t>
      </w:r>
      <w:r w:rsidRPr="006E7EEC">
        <w:rPr>
          <w:rFonts w:asciiTheme="majorHAnsi" w:hAnsiTheme="majorHAnsi"/>
        </w:rPr>
        <w:t>. Furthermore, the BSAC collection, which collected BSI from up to 40 laboratories in the UK between 2001 and 2010</w:t>
      </w:r>
      <w:r w:rsidR="00FD5663">
        <w:rPr>
          <w:rFonts w:asciiTheme="majorHAnsi" w:hAnsiTheme="majorHAnsi"/>
        </w:rPr>
        <w:t>,</w:t>
      </w:r>
      <w:r w:rsidRPr="006E7EEC">
        <w:rPr>
          <w:rFonts w:asciiTheme="majorHAnsi" w:hAnsiTheme="majorHAnsi"/>
        </w:rPr>
        <w:t xml:space="preserve"> showed the most limited diversity. </w:t>
      </w:r>
      <w:r w:rsidR="00CD64BA" w:rsidRPr="006E7EEC">
        <w:rPr>
          <w:rFonts w:asciiTheme="majorHAnsi" w:hAnsiTheme="majorHAnsi"/>
        </w:rPr>
        <w:t xml:space="preserve">This may have resulted from </w:t>
      </w:r>
      <w:r w:rsidR="00FD5663">
        <w:rPr>
          <w:rFonts w:asciiTheme="majorHAnsi" w:hAnsiTheme="majorHAnsi"/>
        </w:rPr>
        <w:t xml:space="preserve">a </w:t>
      </w:r>
      <w:r w:rsidR="00CD64BA" w:rsidRPr="006E7EEC">
        <w:rPr>
          <w:rFonts w:asciiTheme="majorHAnsi" w:hAnsiTheme="majorHAnsi"/>
        </w:rPr>
        <w:t xml:space="preserve">decline in certain lineages e.g. EMRSA-16 (CC30) during the </w:t>
      </w:r>
      <w:r w:rsidR="00B54EFC" w:rsidRPr="006E7EEC">
        <w:rPr>
          <w:rFonts w:asciiTheme="majorHAnsi" w:hAnsiTheme="majorHAnsi"/>
        </w:rPr>
        <w:t>10</w:t>
      </w:r>
      <w:r w:rsidR="00A94B07" w:rsidRPr="006E7EEC">
        <w:rPr>
          <w:rFonts w:asciiTheme="majorHAnsi" w:hAnsiTheme="majorHAnsi"/>
        </w:rPr>
        <w:t>-</w:t>
      </w:r>
      <w:r w:rsidR="00B54EFC" w:rsidRPr="006E7EEC">
        <w:rPr>
          <w:rFonts w:asciiTheme="majorHAnsi" w:hAnsiTheme="majorHAnsi"/>
        </w:rPr>
        <w:t xml:space="preserve">year </w:t>
      </w:r>
      <w:r w:rsidR="00CD64BA" w:rsidRPr="006E7EEC">
        <w:rPr>
          <w:rFonts w:asciiTheme="majorHAnsi" w:hAnsiTheme="majorHAnsi"/>
        </w:rPr>
        <w:t>collection period.</w:t>
      </w:r>
    </w:p>
    <w:p w14:paraId="64DA2A97" w14:textId="77777777" w:rsidR="009B2AA7" w:rsidRPr="006E7EEC" w:rsidRDefault="009B2AA7" w:rsidP="009B2AA7">
      <w:pPr>
        <w:spacing w:line="360" w:lineRule="auto"/>
        <w:jc w:val="both"/>
        <w:rPr>
          <w:rFonts w:asciiTheme="majorHAnsi" w:hAnsiTheme="majorHAnsi"/>
          <w:b/>
        </w:rPr>
      </w:pPr>
    </w:p>
    <w:p w14:paraId="20A0CC35"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Contextualisation of previously recognised outbreaks</w:t>
      </w:r>
    </w:p>
    <w:p w14:paraId="53C6DB07" w14:textId="5A547532"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Reuter </w:t>
      </w:r>
      <w:r w:rsidRPr="006E7EEC">
        <w:rPr>
          <w:rFonts w:asciiTheme="majorHAnsi" w:hAnsiTheme="majorHAnsi"/>
          <w:i/>
        </w:rPr>
        <w:t>et al</w:t>
      </w:r>
      <w:r w:rsidRPr="006E7EEC">
        <w:rPr>
          <w:rFonts w:asciiTheme="majorHAnsi" w:hAnsiTheme="majorHAnsi"/>
        </w:rPr>
        <w:t xml:space="preserve"> have previously demonstrated that it is possible to use sequence data from BSAC MRSA BSI collection (2001 to 2010) to provide genomic context for local MRSA outbreaks within a single hospital setting </w:t>
      </w:r>
      <w:r w:rsidRPr="006E7EEC">
        <w:rPr>
          <w:rFonts w:asciiTheme="majorHAnsi" w:hAnsiTheme="majorHAnsi"/>
          <w:noProof/>
        </w:rPr>
        <w:t>(13)</w:t>
      </w:r>
      <w:r w:rsidRPr="006E7EEC">
        <w:rPr>
          <w:rFonts w:asciiTheme="majorHAnsi" w:hAnsiTheme="majorHAnsi"/>
        </w:rPr>
        <w:t xml:space="preserve">.  We conducted a similar analysis, using the national MRSA BSI collection as context, to see if this might be feasible using a smaller sample of BSI collected during over the shorter time period of one year. We found that previous outbreaks in a neonatal intensive care unit </w:t>
      </w:r>
      <w:r w:rsidRPr="006E7EEC">
        <w:rPr>
          <w:rFonts w:asciiTheme="majorHAnsi" w:hAnsiTheme="majorHAnsi"/>
          <w:noProof/>
        </w:rPr>
        <w:t>(10)</w:t>
      </w:r>
      <w:r w:rsidRPr="006E7EEC">
        <w:rPr>
          <w:rFonts w:asciiTheme="majorHAnsi" w:hAnsiTheme="majorHAnsi"/>
        </w:rPr>
        <w:t xml:space="preserve"> and a paediatric intensive care unit </w:t>
      </w:r>
      <w:r w:rsidRPr="006E7EEC">
        <w:rPr>
          <w:rFonts w:asciiTheme="majorHAnsi" w:hAnsiTheme="majorHAnsi"/>
          <w:noProof/>
        </w:rPr>
        <w:t>(9)</w:t>
      </w:r>
      <w:r w:rsidRPr="006E7EEC">
        <w:rPr>
          <w:rFonts w:asciiTheme="majorHAnsi" w:hAnsiTheme="majorHAnsi"/>
        </w:rPr>
        <w:t xml:space="preserve"> were easily identifiable as discrete clusters</w:t>
      </w:r>
      <w:r w:rsidR="00FD5663">
        <w:rPr>
          <w:rFonts w:asciiTheme="majorHAnsi" w:hAnsiTheme="majorHAnsi"/>
        </w:rPr>
        <w:t>,</w:t>
      </w:r>
      <w:r w:rsidRPr="006E7EEC">
        <w:rPr>
          <w:rFonts w:asciiTheme="majorHAnsi" w:hAnsiTheme="majorHAnsi"/>
        </w:rPr>
        <w:t xml:space="preserve"> as shown in Figure 4. Furthermore, MRSA isolates from a</w:t>
      </w:r>
      <w:r w:rsidR="00FD5663">
        <w:rPr>
          <w:rFonts w:asciiTheme="majorHAnsi" w:hAnsiTheme="majorHAnsi"/>
        </w:rPr>
        <w:t xml:space="preserve"> suspected </w:t>
      </w:r>
      <w:r w:rsidRPr="006E7EEC">
        <w:rPr>
          <w:rFonts w:asciiTheme="majorHAnsi" w:hAnsiTheme="majorHAnsi"/>
        </w:rPr>
        <w:t xml:space="preserve">outbreak on a hepatology ward </w:t>
      </w:r>
      <w:r w:rsidRPr="006E7EEC">
        <w:rPr>
          <w:rFonts w:asciiTheme="majorHAnsi" w:hAnsiTheme="majorHAnsi"/>
          <w:noProof/>
        </w:rPr>
        <w:t>(12)</w:t>
      </w:r>
      <w:r w:rsidRPr="006E7EEC">
        <w:rPr>
          <w:rFonts w:asciiTheme="majorHAnsi" w:hAnsiTheme="majorHAnsi"/>
        </w:rPr>
        <w:t xml:space="preserve"> were scattered throughout the phylogeny</w:t>
      </w:r>
      <w:r w:rsidR="00FD5663">
        <w:rPr>
          <w:rFonts w:asciiTheme="majorHAnsi" w:hAnsiTheme="majorHAnsi"/>
        </w:rPr>
        <w:t>, refuting the outbreak.</w:t>
      </w:r>
    </w:p>
    <w:p w14:paraId="0ECD8A37" w14:textId="77777777" w:rsidR="009B2AA7" w:rsidRPr="006E7EEC" w:rsidRDefault="009B2AA7" w:rsidP="009B2AA7">
      <w:pPr>
        <w:spacing w:line="360" w:lineRule="auto"/>
        <w:jc w:val="both"/>
        <w:rPr>
          <w:rFonts w:asciiTheme="majorHAnsi" w:hAnsiTheme="majorHAnsi"/>
          <w:b/>
        </w:rPr>
      </w:pPr>
    </w:p>
    <w:p w14:paraId="7E3C1E51"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Monitoring and detection of emerging or high-risk lineages</w:t>
      </w:r>
    </w:p>
    <w:p w14:paraId="63640E6C" w14:textId="0C761BE5"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One key aim of a national MRSA surveillance is the identification and monitoring of emerging and/or high-risk MRSA lineages.  One such lineage is the USA300 lineage, which was first identified in 1999, and has </w:t>
      </w:r>
      <w:r w:rsidR="00FD5663">
        <w:rPr>
          <w:rFonts w:asciiTheme="majorHAnsi" w:hAnsiTheme="majorHAnsi"/>
        </w:rPr>
        <w:t xml:space="preserve">subsequently </w:t>
      </w:r>
      <w:r w:rsidRPr="006E7EEC">
        <w:rPr>
          <w:rFonts w:asciiTheme="majorHAnsi" w:hAnsiTheme="majorHAnsi"/>
        </w:rPr>
        <w:t xml:space="preserve">caused an epidemic of skin and soft tissue infection (SSTI) in the USA </w:t>
      </w:r>
      <w:r w:rsidRPr="006E7EEC">
        <w:rPr>
          <w:rFonts w:asciiTheme="majorHAnsi" w:hAnsiTheme="majorHAnsi"/>
          <w:noProof/>
        </w:rPr>
        <w:t>(26, 27)</w:t>
      </w:r>
      <w:r w:rsidRPr="006E7EEC">
        <w:rPr>
          <w:rFonts w:asciiTheme="majorHAnsi" w:hAnsiTheme="majorHAnsi"/>
        </w:rPr>
        <w:t xml:space="preserve">. </w:t>
      </w:r>
      <w:r w:rsidR="00FD5663">
        <w:rPr>
          <w:rFonts w:asciiTheme="majorHAnsi" w:hAnsiTheme="majorHAnsi"/>
        </w:rPr>
        <w:t>The</w:t>
      </w:r>
      <w:r w:rsidR="00FD5663" w:rsidRPr="006E7EEC">
        <w:rPr>
          <w:rFonts w:asciiTheme="majorHAnsi" w:hAnsiTheme="majorHAnsi"/>
        </w:rPr>
        <w:t xml:space="preserve"> </w:t>
      </w:r>
      <w:r w:rsidRPr="006E7EEC">
        <w:rPr>
          <w:rFonts w:asciiTheme="majorHAnsi" w:hAnsiTheme="majorHAnsi"/>
        </w:rPr>
        <w:t>widespread dissemination</w:t>
      </w:r>
      <w:r w:rsidR="00FD5663">
        <w:rPr>
          <w:rFonts w:asciiTheme="majorHAnsi" w:hAnsiTheme="majorHAnsi"/>
        </w:rPr>
        <w:t xml:space="preserve"> of USA300</w:t>
      </w:r>
      <w:r w:rsidRPr="006E7EEC">
        <w:rPr>
          <w:rFonts w:asciiTheme="majorHAnsi" w:hAnsiTheme="majorHAnsi"/>
        </w:rPr>
        <w:t xml:space="preserve"> in otherwise healthy people, and its spread into hospitals has made this a high-risk strain. However, despite multiple introductions into a number of countries, genomic surveillance has shown that to date, minimal transmission of USA300 has occurred in Europe </w:t>
      </w:r>
      <w:r w:rsidRPr="006E7EEC">
        <w:rPr>
          <w:rFonts w:asciiTheme="majorHAnsi" w:hAnsiTheme="majorHAnsi"/>
          <w:noProof/>
        </w:rPr>
        <w:t>(28-32)</w:t>
      </w:r>
      <w:r w:rsidRPr="006E7EEC">
        <w:rPr>
          <w:rFonts w:asciiTheme="majorHAnsi" w:hAnsiTheme="majorHAnsi"/>
        </w:rPr>
        <w:t xml:space="preserve">. </w:t>
      </w:r>
      <w:r w:rsidR="005817D6" w:rsidRPr="002B7179">
        <w:rPr>
          <w:rFonts w:asciiTheme="majorHAnsi" w:hAnsiTheme="majorHAnsi"/>
        </w:rPr>
        <w:t>We examined the national MRSA BSI collection and fou</w:t>
      </w:r>
      <w:r w:rsidR="00AC6D6F">
        <w:rPr>
          <w:rFonts w:asciiTheme="majorHAnsi" w:hAnsiTheme="majorHAnsi"/>
        </w:rPr>
        <w:t xml:space="preserve">nd that </w:t>
      </w:r>
      <w:r w:rsidR="005817D6" w:rsidRPr="002B7179">
        <w:rPr>
          <w:rFonts w:asciiTheme="majorHAnsi" w:hAnsiTheme="majorHAnsi"/>
        </w:rPr>
        <w:t>s</w:t>
      </w:r>
      <w:r w:rsidR="00AC6D6F">
        <w:rPr>
          <w:rFonts w:asciiTheme="majorHAnsi" w:hAnsiTheme="majorHAnsi"/>
        </w:rPr>
        <w:t xml:space="preserve">ix of the 22 CC8 isolates </w:t>
      </w:r>
      <w:r w:rsidR="005817D6" w:rsidRPr="002B7179">
        <w:rPr>
          <w:rFonts w:asciiTheme="majorHAnsi" w:hAnsiTheme="majorHAnsi"/>
        </w:rPr>
        <w:t xml:space="preserve">were phylogenetically defined as USA300 </w:t>
      </w:r>
      <w:r w:rsidR="00AC6D6F">
        <w:rPr>
          <w:rFonts w:asciiTheme="majorHAnsi" w:hAnsiTheme="majorHAnsi"/>
        </w:rPr>
        <w:t xml:space="preserve">and </w:t>
      </w:r>
      <w:r w:rsidR="005817D6" w:rsidRPr="002B7179">
        <w:rPr>
          <w:rFonts w:asciiTheme="majorHAnsi" w:hAnsiTheme="majorHAnsi"/>
        </w:rPr>
        <w:t>were widely dispersed throughout the collection, indicating multiple introductions of USA300 into England (Figure 5)</w:t>
      </w:r>
      <w:r w:rsidRPr="006E7EEC">
        <w:rPr>
          <w:rFonts w:asciiTheme="majorHAnsi" w:hAnsiTheme="majorHAnsi"/>
        </w:rPr>
        <w:t xml:space="preserve">. Given the observation that USA300 is commonly associated with SSTI (which are rarely sampled), and the limitations of BSI-based sampling, it is likely that the prevalence of USA300 in the UK may be higher than detected here.   </w:t>
      </w:r>
    </w:p>
    <w:p w14:paraId="108A2EF6" w14:textId="77777777" w:rsidR="009B2AA7" w:rsidRPr="006E7EEC" w:rsidRDefault="009B2AA7" w:rsidP="009B2AA7">
      <w:pPr>
        <w:spacing w:line="360" w:lineRule="auto"/>
        <w:jc w:val="both"/>
        <w:rPr>
          <w:rFonts w:asciiTheme="majorHAnsi" w:hAnsiTheme="majorHAnsi"/>
          <w:i/>
        </w:rPr>
      </w:pPr>
    </w:p>
    <w:p w14:paraId="20385229" w14:textId="76F3AF96"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Another potential benefit of having access to national surveillance data is the ability to identify and explore changes in molecular epidemiology on a local scale. By way of an example, we found an expansion of CC5 in the South West region </w:t>
      </w:r>
      <w:r w:rsidR="00A83F24">
        <w:rPr>
          <w:rFonts w:asciiTheme="majorHAnsi" w:hAnsiTheme="majorHAnsi"/>
        </w:rPr>
        <w:t xml:space="preserve">of England </w:t>
      </w:r>
      <w:r w:rsidRPr="006E7EEC">
        <w:rPr>
          <w:rFonts w:asciiTheme="majorHAnsi" w:hAnsiTheme="majorHAnsi"/>
        </w:rPr>
        <w:t xml:space="preserve">(Figure 6), which was genetically distinct from a CC5 expansion in Wales identified in the BSAC collection, </w:t>
      </w:r>
      <w:r w:rsidRPr="006E7EEC">
        <w:rPr>
          <w:rFonts w:asciiTheme="majorHAnsi" w:hAnsiTheme="majorHAnsi"/>
          <w:noProof/>
        </w:rPr>
        <w:t>(13)</w:t>
      </w:r>
      <w:r w:rsidRPr="006E7EEC">
        <w:rPr>
          <w:rFonts w:asciiTheme="majorHAnsi" w:hAnsiTheme="majorHAnsi"/>
        </w:rPr>
        <w:t xml:space="preserve"> despite their close geographic proximity. </w:t>
      </w:r>
    </w:p>
    <w:p w14:paraId="2BB4AA9D" w14:textId="77777777" w:rsidR="009B2AA7" w:rsidRPr="006E7EEC" w:rsidRDefault="009B2AA7" w:rsidP="009B2AA7">
      <w:pPr>
        <w:spacing w:line="360" w:lineRule="auto"/>
        <w:jc w:val="both"/>
        <w:rPr>
          <w:rFonts w:asciiTheme="majorHAnsi" w:hAnsiTheme="majorHAnsi"/>
        </w:rPr>
      </w:pPr>
    </w:p>
    <w:p w14:paraId="4D0219F5"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Backward compatibility of typing methods</w:t>
      </w:r>
    </w:p>
    <w:p w14:paraId="64AAAC6F" w14:textId="2A18DA43"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Globally, PCR determination of </w:t>
      </w:r>
      <w:r w:rsidRPr="006E7EEC">
        <w:rPr>
          <w:rFonts w:asciiTheme="majorHAnsi" w:hAnsiTheme="majorHAnsi"/>
          <w:i/>
        </w:rPr>
        <w:t>spa</w:t>
      </w:r>
      <w:r w:rsidRPr="006E7EEC">
        <w:rPr>
          <w:rFonts w:asciiTheme="majorHAnsi" w:hAnsiTheme="majorHAnsi"/>
        </w:rPr>
        <w:t xml:space="preserve">-type is a commonly used typing method. However, as some laboratories transition to WGS-based typing, it is important that </w:t>
      </w:r>
      <w:r w:rsidR="00B54EFC" w:rsidRPr="006E7EEC">
        <w:rPr>
          <w:rFonts w:asciiTheme="majorHAnsi" w:hAnsiTheme="majorHAnsi"/>
        </w:rPr>
        <w:t xml:space="preserve">typing </w:t>
      </w:r>
      <w:r w:rsidRPr="006E7EEC">
        <w:rPr>
          <w:rFonts w:asciiTheme="majorHAnsi" w:hAnsiTheme="majorHAnsi"/>
        </w:rPr>
        <w:t>methods remain compatible. We examined the concordance between these two methods in the national MRSA BSI collection. Of the 425 isolates we found a 98.4% concordance rate (Table S</w:t>
      </w:r>
      <w:r w:rsidR="00B54EFC" w:rsidRPr="006E7EEC">
        <w:rPr>
          <w:rFonts w:asciiTheme="majorHAnsi" w:hAnsiTheme="majorHAnsi"/>
        </w:rPr>
        <w:t>2</w:t>
      </w:r>
      <w:r w:rsidRPr="006E7EEC">
        <w:rPr>
          <w:rFonts w:asciiTheme="majorHAnsi" w:hAnsiTheme="majorHAnsi"/>
        </w:rPr>
        <w:t xml:space="preserve">), comparable to </w:t>
      </w:r>
      <w:r w:rsidR="00FD5663">
        <w:rPr>
          <w:rFonts w:asciiTheme="majorHAnsi" w:hAnsiTheme="majorHAnsi"/>
        </w:rPr>
        <w:t xml:space="preserve">previous </w:t>
      </w:r>
      <w:r w:rsidRPr="006E7EEC">
        <w:rPr>
          <w:rFonts w:asciiTheme="majorHAnsi" w:hAnsiTheme="majorHAnsi"/>
        </w:rPr>
        <w:t>studies</w:t>
      </w:r>
      <w:r w:rsidR="00B54EFC" w:rsidRPr="006E7EEC">
        <w:rPr>
          <w:rFonts w:asciiTheme="majorHAnsi" w:hAnsiTheme="majorHAnsi"/>
        </w:rPr>
        <w:t xml:space="preserve"> </w:t>
      </w:r>
      <w:r w:rsidRPr="006E7EEC">
        <w:rPr>
          <w:rFonts w:asciiTheme="majorHAnsi" w:hAnsiTheme="majorHAnsi"/>
          <w:noProof/>
        </w:rPr>
        <w:t>(33, 34)</w:t>
      </w:r>
      <w:r w:rsidRPr="006E7EEC">
        <w:rPr>
          <w:rFonts w:asciiTheme="majorHAnsi" w:hAnsiTheme="majorHAnsi"/>
        </w:rPr>
        <w:t xml:space="preserve">. Of the seven isolates with discordant results, there were </w:t>
      </w:r>
      <w:r w:rsidRPr="006E7EEC">
        <w:rPr>
          <w:rFonts w:asciiTheme="majorHAnsi" w:hAnsiTheme="majorHAnsi"/>
          <w:color w:val="000000"/>
        </w:rPr>
        <w:t xml:space="preserve">deletions/rearrangements within the </w:t>
      </w:r>
      <w:r w:rsidRPr="006E7EEC">
        <w:rPr>
          <w:rFonts w:asciiTheme="majorHAnsi" w:hAnsiTheme="majorHAnsi"/>
          <w:i/>
          <w:color w:val="000000"/>
        </w:rPr>
        <w:t>spa</w:t>
      </w:r>
      <w:r w:rsidRPr="006E7EEC">
        <w:rPr>
          <w:rFonts w:asciiTheme="majorHAnsi" w:hAnsiTheme="majorHAnsi"/>
          <w:color w:val="000000"/>
        </w:rPr>
        <w:t xml:space="preserve"> gene of the </w:t>
      </w:r>
      <w:r w:rsidRPr="006E7EEC">
        <w:rPr>
          <w:rFonts w:asciiTheme="majorHAnsi" w:hAnsiTheme="majorHAnsi"/>
        </w:rPr>
        <w:t xml:space="preserve">short read assemblies </w:t>
      </w:r>
      <w:r w:rsidR="00B54EFC" w:rsidRPr="006E7EEC">
        <w:rPr>
          <w:rFonts w:asciiTheme="majorHAnsi" w:hAnsiTheme="majorHAnsi"/>
        </w:rPr>
        <w:t>that</w:t>
      </w:r>
      <w:r w:rsidRPr="006E7EEC">
        <w:rPr>
          <w:rFonts w:asciiTheme="majorHAnsi" w:hAnsiTheme="majorHAnsi"/>
        </w:rPr>
        <w:t xml:space="preserve"> resulted in</w:t>
      </w:r>
      <w:r w:rsidRPr="006E7EEC">
        <w:rPr>
          <w:rFonts w:asciiTheme="majorHAnsi" w:hAnsiTheme="majorHAnsi"/>
          <w:color w:val="000000"/>
        </w:rPr>
        <w:t xml:space="preserve"> loss of sequence complementary to forward primer</w:t>
      </w:r>
      <w:r w:rsidR="00B54EFC" w:rsidRPr="006E7EEC">
        <w:rPr>
          <w:rFonts w:asciiTheme="majorHAnsi" w:hAnsiTheme="majorHAnsi"/>
          <w:color w:val="000000"/>
        </w:rPr>
        <w:t>,</w:t>
      </w:r>
      <w:r w:rsidRPr="006E7EEC">
        <w:rPr>
          <w:rFonts w:asciiTheme="majorHAnsi" w:hAnsiTheme="majorHAnsi"/>
        </w:rPr>
        <w:t xml:space="preserve"> and</w:t>
      </w:r>
      <w:r w:rsidRPr="006E7EEC">
        <w:rPr>
          <w:rFonts w:asciiTheme="majorHAnsi" w:hAnsiTheme="majorHAnsi"/>
          <w:color w:val="000000"/>
        </w:rPr>
        <w:t xml:space="preserve"> thus failure to amplify the gene region targeted by genomic </w:t>
      </w:r>
      <w:r w:rsidRPr="006E7EEC">
        <w:rPr>
          <w:rFonts w:asciiTheme="majorHAnsi" w:hAnsiTheme="majorHAnsi"/>
          <w:i/>
          <w:color w:val="000000"/>
        </w:rPr>
        <w:t>spa</w:t>
      </w:r>
      <w:r w:rsidRPr="006E7EEC">
        <w:rPr>
          <w:rFonts w:asciiTheme="majorHAnsi" w:hAnsiTheme="majorHAnsi"/>
          <w:color w:val="000000"/>
        </w:rPr>
        <w:t>-typing</w:t>
      </w:r>
      <w:r w:rsidRPr="006E7EEC">
        <w:rPr>
          <w:rFonts w:asciiTheme="majorHAnsi" w:hAnsiTheme="majorHAnsi"/>
        </w:rPr>
        <w:t xml:space="preserve">. </w:t>
      </w:r>
    </w:p>
    <w:p w14:paraId="02A615C4" w14:textId="77777777" w:rsidR="009B2AA7" w:rsidRPr="006E7EEC" w:rsidRDefault="009B2AA7" w:rsidP="009B2AA7">
      <w:pPr>
        <w:spacing w:line="360" w:lineRule="auto"/>
        <w:jc w:val="both"/>
        <w:rPr>
          <w:rFonts w:asciiTheme="majorHAnsi" w:hAnsiTheme="majorHAnsi"/>
          <w:b/>
        </w:rPr>
      </w:pPr>
    </w:p>
    <w:p w14:paraId="389DA1D9" w14:textId="77777777" w:rsidR="009B2AA7" w:rsidRPr="006E7EEC" w:rsidRDefault="009B2AA7" w:rsidP="009B2AA7">
      <w:pPr>
        <w:spacing w:line="360" w:lineRule="auto"/>
        <w:jc w:val="both"/>
        <w:outlineLvl w:val="0"/>
        <w:rPr>
          <w:rFonts w:asciiTheme="majorHAnsi" w:hAnsiTheme="majorHAnsi"/>
        </w:rPr>
      </w:pPr>
      <w:r w:rsidRPr="006E7EEC">
        <w:rPr>
          <w:rFonts w:asciiTheme="majorHAnsi" w:hAnsiTheme="majorHAnsi"/>
          <w:b/>
        </w:rPr>
        <w:t>DISCUSSION</w:t>
      </w:r>
    </w:p>
    <w:p w14:paraId="1256CAAB" w14:textId="06A38DA6" w:rsidR="009B2AA7" w:rsidRPr="006E7EEC" w:rsidRDefault="009B2AA7" w:rsidP="009B2AA7">
      <w:pPr>
        <w:spacing w:line="360" w:lineRule="auto"/>
        <w:jc w:val="both"/>
        <w:rPr>
          <w:rFonts w:asciiTheme="majorHAnsi" w:hAnsiTheme="majorHAnsi"/>
        </w:rPr>
      </w:pPr>
      <w:r w:rsidRPr="006E7EEC">
        <w:rPr>
          <w:rFonts w:asciiTheme="majorHAnsi" w:hAnsiTheme="majorHAnsi"/>
        </w:rPr>
        <w:t>Mandatory enhanced surveillance for MRSA BSI in England has provided in-depth information on the national decline of MRSA BSI</w:t>
      </w:r>
      <w:r w:rsidR="00B54EFC" w:rsidRPr="006E7EEC">
        <w:rPr>
          <w:rFonts w:asciiTheme="majorHAnsi" w:hAnsiTheme="majorHAnsi"/>
        </w:rPr>
        <w:t>,</w:t>
      </w:r>
      <w:r w:rsidRPr="006E7EEC">
        <w:rPr>
          <w:rFonts w:asciiTheme="majorHAnsi" w:hAnsiTheme="majorHAnsi"/>
        </w:rPr>
        <w:t xml:space="preserve"> and the changes in patient-level epidemiology </w:t>
      </w:r>
      <w:r w:rsidR="00B54EFC" w:rsidRPr="006E7EEC">
        <w:rPr>
          <w:rFonts w:asciiTheme="majorHAnsi" w:hAnsiTheme="majorHAnsi"/>
        </w:rPr>
        <w:t>that</w:t>
      </w:r>
      <w:r w:rsidRPr="006E7EEC">
        <w:rPr>
          <w:rFonts w:asciiTheme="majorHAnsi" w:hAnsiTheme="majorHAnsi"/>
        </w:rPr>
        <w:t xml:space="preserve"> have accompanied it. However, without characterisation of systematically collected isolates, </w:t>
      </w:r>
      <w:r w:rsidR="00B54EFC" w:rsidRPr="006E7EEC">
        <w:rPr>
          <w:rFonts w:asciiTheme="majorHAnsi" w:hAnsiTheme="majorHAnsi"/>
        </w:rPr>
        <w:t>bacterial</w:t>
      </w:r>
      <w:r w:rsidRPr="006E7EEC">
        <w:rPr>
          <w:rFonts w:asciiTheme="majorHAnsi" w:hAnsiTheme="majorHAnsi"/>
        </w:rPr>
        <w:t xml:space="preserve"> </w:t>
      </w:r>
      <w:r w:rsidR="00B54EFC" w:rsidRPr="006E7EEC">
        <w:rPr>
          <w:rFonts w:asciiTheme="majorHAnsi" w:hAnsiTheme="majorHAnsi"/>
        </w:rPr>
        <w:t xml:space="preserve">molecular </w:t>
      </w:r>
      <w:r w:rsidRPr="006E7EEC">
        <w:rPr>
          <w:rFonts w:asciiTheme="majorHAnsi" w:hAnsiTheme="majorHAnsi"/>
        </w:rPr>
        <w:t xml:space="preserve">epidemiology cannot be studied. </w:t>
      </w:r>
      <w:r w:rsidR="00B54EFC" w:rsidRPr="006E7EEC">
        <w:rPr>
          <w:rFonts w:asciiTheme="majorHAnsi" w:hAnsiTheme="majorHAnsi"/>
        </w:rPr>
        <w:t xml:space="preserve">This </w:t>
      </w:r>
      <w:r w:rsidRPr="006E7EEC">
        <w:rPr>
          <w:rFonts w:asciiTheme="majorHAnsi" w:hAnsiTheme="majorHAnsi"/>
        </w:rPr>
        <w:t>study aimed to investigate whether it was feasible to undertake combined epidemiological and genomic surveillance of MRSA bloodstream infections in England</w:t>
      </w:r>
      <w:r w:rsidR="00B54EFC" w:rsidRPr="006E7EEC">
        <w:rPr>
          <w:rFonts w:asciiTheme="majorHAnsi" w:hAnsiTheme="majorHAnsi"/>
        </w:rPr>
        <w:t xml:space="preserve"> in order to address this issue.</w:t>
      </w:r>
      <w:r w:rsidRPr="006E7EEC">
        <w:rPr>
          <w:rFonts w:asciiTheme="majorHAnsi" w:hAnsiTheme="majorHAnsi"/>
        </w:rPr>
        <w:t xml:space="preserve"> </w:t>
      </w:r>
    </w:p>
    <w:p w14:paraId="26A9BB85" w14:textId="77777777" w:rsidR="009B2AA7" w:rsidRPr="006E7EEC" w:rsidRDefault="009B2AA7" w:rsidP="009B2AA7">
      <w:pPr>
        <w:spacing w:line="360" w:lineRule="auto"/>
        <w:jc w:val="both"/>
        <w:rPr>
          <w:rFonts w:asciiTheme="majorHAnsi" w:hAnsiTheme="majorHAnsi"/>
        </w:rPr>
      </w:pPr>
    </w:p>
    <w:p w14:paraId="588B9609" w14:textId="3FACBDD6" w:rsidR="009B2AA7" w:rsidRPr="006E7EEC" w:rsidRDefault="00974DD7" w:rsidP="009B2AA7">
      <w:pPr>
        <w:spacing w:line="360" w:lineRule="auto"/>
        <w:jc w:val="both"/>
        <w:rPr>
          <w:rFonts w:asciiTheme="majorHAnsi" w:hAnsiTheme="majorHAnsi"/>
        </w:rPr>
      </w:pPr>
      <w:r w:rsidRPr="006E7EEC">
        <w:rPr>
          <w:rFonts w:asciiTheme="majorHAnsi" w:hAnsiTheme="majorHAnsi"/>
        </w:rPr>
        <w:t xml:space="preserve">We encountered some </w:t>
      </w:r>
      <w:r w:rsidR="00B54EFC" w:rsidRPr="006E7EEC">
        <w:rPr>
          <w:rFonts w:asciiTheme="majorHAnsi" w:hAnsiTheme="majorHAnsi"/>
        </w:rPr>
        <w:t>challenges including</w:t>
      </w:r>
      <w:r w:rsidR="009B2AA7" w:rsidRPr="006E7EEC">
        <w:rPr>
          <w:rFonts w:asciiTheme="majorHAnsi" w:hAnsiTheme="majorHAnsi"/>
        </w:rPr>
        <w:t xml:space="preserve"> obtaining bloodstream isolates from all participating hospitals (as submission was voluntary), and integrating two datasets collected through different methods (epidemiological data collected through an online database submission and isolates sent via post/courier). Despite this, we demonstrated the feasibility of this approach. We were able to construct the known population structure and diversity of MRSA in England, even with an incomplete collection of bloodstream isolates collected over a one-year period. We found a greater diversity of clones than that seen in a ten-year national collection of MRSA bloodstream isolates (BSAC collection) with a limited sampling strategy, but less diversity than that seen in a one-year regional collection of carriage and clinical isolates (Cambridgeshire study). </w:t>
      </w:r>
      <w:r w:rsidRPr="006E7EEC">
        <w:rPr>
          <w:rFonts w:asciiTheme="majorHAnsi" w:hAnsiTheme="majorHAnsi"/>
        </w:rPr>
        <w:t>A</w:t>
      </w:r>
      <w:r w:rsidR="009B2AA7" w:rsidRPr="006E7EEC">
        <w:rPr>
          <w:rFonts w:asciiTheme="majorHAnsi" w:hAnsiTheme="majorHAnsi"/>
        </w:rPr>
        <w:t xml:space="preserve"> sensible first step in MRSA surveillance is to as</w:t>
      </w:r>
      <w:r w:rsidRPr="006E7EEC">
        <w:rPr>
          <w:rFonts w:asciiTheme="majorHAnsi" w:hAnsiTheme="majorHAnsi"/>
        </w:rPr>
        <w:t xml:space="preserve">sess existing genomic diversity </w:t>
      </w:r>
      <w:r w:rsidR="009B2AA7" w:rsidRPr="006E7EEC">
        <w:rPr>
          <w:rFonts w:asciiTheme="majorHAnsi" w:hAnsiTheme="majorHAnsi"/>
          <w:noProof/>
        </w:rPr>
        <w:t>(16)</w:t>
      </w:r>
      <w:r w:rsidRPr="006E7EEC">
        <w:rPr>
          <w:rFonts w:asciiTheme="majorHAnsi" w:hAnsiTheme="majorHAnsi"/>
          <w:noProof/>
        </w:rPr>
        <w:t xml:space="preserve"> and our study demonstrates that this can be achieved and could feasibly be </w:t>
      </w:r>
      <w:r w:rsidRPr="006E7EEC">
        <w:rPr>
          <w:rFonts w:asciiTheme="majorHAnsi" w:hAnsiTheme="majorHAnsi"/>
        </w:rPr>
        <w:t>e</w:t>
      </w:r>
      <w:r w:rsidR="009B2AA7" w:rsidRPr="006E7EEC">
        <w:rPr>
          <w:rFonts w:asciiTheme="majorHAnsi" w:hAnsiTheme="majorHAnsi"/>
        </w:rPr>
        <w:t>xtended over time to generate a comprehensive national genomic database to monitor changes in clonal diversity.</w:t>
      </w:r>
    </w:p>
    <w:p w14:paraId="7E07C45D" w14:textId="77777777" w:rsidR="009B2AA7" w:rsidRPr="006E7EEC" w:rsidRDefault="009B2AA7" w:rsidP="009B2AA7">
      <w:pPr>
        <w:spacing w:line="360" w:lineRule="auto"/>
        <w:jc w:val="both"/>
        <w:rPr>
          <w:rFonts w:asciiTheme="majorHAnsi" w:hAnsiTheme="majorHAnsi"/>
        </w:rPr>
      </w:pPr>
    </w:p>
    <w:p w14:paraId="0B050F9C" w14:textId="31B270B2"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Prior to April 2017, any MRSA BSI isolates submitted to PHE were routinely characterised by </w:t>
      </w:r>
      <w:r w:rsidRPr="006E7EEC">
        <w:rPr>
          <w:rFonts w:asciiTheme="majorHAnsi" w:hAnsiTheme="majorHAnsi"/>
          <w:i/>
        </w:rPr>
        <w:t>spa</w:t>
      </w:r>
      <w:r w:rsidRPr="006E7EEC">
        <w:rPr>
          <w:rFonts w:asciiTheme="majorHAnsi" w:hAnsiTheme="majorHAnsi"/>
        </w:rPr>
        <w:t xml:space="preserve">-typing and PCR to confirm species identification alongside determination of </w:t>
      </w:r>
      <w:proofErr w:type="spellStart"/>
      <w:r w:rsidRPr="006E7EEC">
        <w:rPr>
          <w:rFonts w:asciiTheme="majorHAnsi" w:hAnsiTheme="majorHAnsi"/>
          <w:i/>
        </w:rPr>
        <w:t>mecA</w:t>
      </w:r>
      <w:proofErr w:type="spellEnd"/>
      <w:r w:rsidRPr="006E7EEC">
        <w:rPr>
          <w:rFonts w:asciiTheme="majorHAnsi" w:hAnsiTheme="majorHAnsi"/>
          <w:i/>
        </w:rPr>
        <w:t>/C</w:t>
      </w:r>
      <w:r w:rsidRPr="006E7EEC">
        <w:rPr>
          <w:rFonts w:asciiTheme="majorHAnsi" w:hAnsiTheme="majorHAnsi"/>
        </w:rPr>
        <w:t xml:space="preserve"> and </w:t>
      </w:r>
      <w:proofErr w:type="spellStart"/>
      <w:r w:rsidRPr="006E7EEC">
        <w:rPr>
          <w:rFonts w:asciiTheme="majorHAnsi" w:hAnsiTheme="majorHAnsi"/>
          <w:i/>
        </w:rPr>
        <w:t>luk</w:t>
      </w:r>
      <w:proofErr w:type="spellEnd"/>
      <w:r w:rsidRPr="006E7EEC">
        <w:rPr>
          <w:rFonts w:asciiTheme="majorHAnsi" w:hAnsiTheme="majorHAnsi"/>
          <w:i/>
        </w:rPr>
        <w:t>-PV</w:t>
      </w:r>
      <w:r w:rsidRPr="006E7EEC">
        <w:rPr>
          <w:rFonts w:asciiTheme="majorHAnsi" w:hAnsiTheme="majorHAnsi"/>
        </w:rPr>
        <w:t xml:space="preserve"> status </w:t>
      </w:r>
      <w:r w:rsidRPr="006E7EEC">
        <w:rPr>
          <w:rFonts w:asciiTheme="majorHAnsi" w:hAnsiTheme="majorHAnsi"/>
          <w:noProof/>
        </w:rPr>
        <w:t>(17, 18)</w:t>
      </w:r>
      <w:r w:rsidRPr="006E7EEC">
        <w:rPr>
          <w:rFonts w:asciiTheme="majorHAnsi" w:hAnsiTheme="majorHAnsi"/>
        </w:rPr>
        <w:t xml:space="preserve">. As typing methods evolve and WGS becomes increasingly routine, backward compatibility with previous methods ensures the continued utility of typed historical collections. Laboratory </w:t>
      </w:r>
      <w:r w:rsidRPr="006E7EEC">
        <w:rPr>
          <w:rFonts w:asciiTheme="majorHAnsi" w:hAnsiTheme="majorHAnsi"/>
          <w:i/>
        </w:rPr>
        <w:t>spa</w:t>
      </w:r>
      <w:r w:rsidRPr="006E7EEC">
        <w:rPr>
          <w:rFonts w:asciiTheme="majorHAnsi" w:hAnsiTheme="majorHAnsi"/>
        </w:rPr>
        <w:t xml:space="preserve">-typing and </w:t>
      </w:r>
      <w:r w:rsidRPr="006E7EEC">
        <w:rPr>
          <w:rFonts w:asciiTheme="majorHAnsi" w:hAnsiTheme="majorHAnsi"/>
          <w:i/>
        </w:rPr>
        <w:t>spa</w:t>
      </w:r>
      <w:r w:rsidRPr="006E7EEC">
        <w:rPr>
          <w:rFonts w:asciiTheme="majorHAnsi" w:hAnsiTheme="majorHAnsi"/>
        </w:rPr>
        <w:t xml:space="preserve">-genotyping from short read WGS data have been shown to be largely comparable in a limited number of studies </w:t>
      </w:r>
      <w:r w:rsidRPr="006E7EEC">
        <w:rPr>
          <w:rFonts w:asciiTheme="majorHAnsi" w:hAnsiTheme="majorHAnsi"/>
          <w:noProof/>
        </w:rPr>
        <w:t>(33, 34)</w:t>
      </w:r>
      <w:r w:rsidRPr="006E7EEC">
        <w:rPr>
          <w:rFonts w:asciiTheme="majorHAnsi" w:hAnsiTheme="majorHAnsi"/>
        </w:rPr>
        <w:t xml:space="preserve">, despite the high density of repeats within the </w:t>
      </w:r>
      <w:r w:rsidRPr="006E7EEC">
        <w:rPr>
          <w:rFonts w:asciiTheme="majorHAnsi" w:hAnsiTheme="majorHAnsi"/>
          <w:i/>
        </w:rPr>
        <w:t>spa</w:t>
      </w:r>
      <w:r w:rsidRPr="006E7EEC">
        <w:rPr>
          <w:rFonts w:asciiTheme="majorHAnsi" w:hAnsiTheme="majorHAnsi"/>
        </w:rPr>
        <w:t xml:space="preserve"> gene region. We showed </w:t>
      </w:r>
      <w:r w:rsidR="0097477F" w:rsidRPr="006E7EEC">
        <w:rPr>
          <w:rFonts w:asciiTheme="majorHAnsi" w:hAnsiTheme="majorHAnsi"/>
        </w:rPr>
        <w:t>over 98</w:t>
      </w:r>
      <w:r w:rsidRPr="006E7EEC">
        <w:rPr>
          <w:rFonts w:asciiTheme="majorHAnsi" w:hAnsiTheme="majorHAnsi"/>
        </w:rPr>
        <w:t>% concordance between laboratory and genomic spa-typing methods</w:t>
      </w:r>
      <w:r w:rsidR="00632063" w:rsidRPr="006E7EEC">
        <w:rPr>
          <w:rFonts w:asciiTheme="majorHAnsi" w:hAnsiTheme="majorHAnsi"/>
        </w:rPr>
        <w:t xml:space="preserve"> </w:t>
      </w:r>
      <w:r w:rsidRPr="006E7EEC">
        <w:rPr>
          <w:rFonts w:asciiTheme="majorHAnsi" w:hAnsiTheme="majorHAnsi"/>
        </w:rPr>
        <w:t>which</w:t>
      </w:r>
      <w:r w:rsidR="00632063" w:rsidRPr="006E7EEC">
        <w:rPr>
          <w:rFonts w:asciiTheme="majorHAnsi" w:hAnsiTheme="majorHAnsi"/>
        </w:rPr>
        <w:t>, reassuringly,</w:t>
      </w:r>
      <w:r w:rsidRPr="006E7EEC">
        <w:rPr>
          <w:rFonts w:asciiTheme="majorHAnsi" w:hAnsiTheme="majorHAnsi"/>
        </w:rPr>
        <w:t xml:space="preserve"> confirms compatibility with historical data</w:t>
      </w:r>
      <w:r w:rsidR="00632063" w:rsidRPr="006E7EEC">
        <w:rPr>
          <w:rFonts w:asciiTheme="majorHAnsi" w:hAnsiTheme="majorHAnsi"/>
        </w:rPr>
        <w:t>.</w:t>
      </w:r>
    </w:p>
    <w:p w14:paraId="5C3495D5" w14:textId="77777777" w:rsidR="009B2AA7" w:rsidRPr="006E7EEC" w:rsidRDefault="009B2AA7" w:rsidP="009B2AA7">
      <w:pPr>
        <w:spacing w:line="360" w:lineRule="auto"/>
        <w:jc w:val="both"/>
        <w:rPr>
          <w:rFonts w:asciiTheme="majorHAnsi" w:hAnsiTheme="majorHAnsi"/>
        </w:rPr>
      </w:pPr>
    </w:p>
    <w:p w14:paraId="6864F520" w14:textId="5F59A5FC" w:rsidR="009B2AA7" w:rsidRPr="00D96E77" w:rsidRDefault="009B2AA7" w:rsidP="003F184E">
      <w:pPr>
        <w:autoSpaceDE w:val="0"/>
        <w:autoSpaceDN w:val="0"/>
        <w:adjustRightInd w:val="0"/>
        <w:spacing w:line="360" w:lineRule="auto"/>
        <w:jc w:val="both"/>
        <w:rPr>
          <w:rFonts w:asciiTheme="majorHAnsi" w:hAnsiTheme="majorHAnsi" w:cs="AppleSystemUIFont"/>
          <w:i/>
        </w:rPr>
      </w:pPr>
      <w:r w:rsidRPr="006E7EEC">
        <w:rPr>
          <w:rFonts w:asciiTheme="majorHAnsi" w:hAnsiTheme="majorHAnsi"/>
        </w:rPr>
        <w:t xml:space="preserve">A further potential benefit of prospective sequencing of MRSA bloodstream isolates and a centralised national database is the ability </w:t>
      </w:r>
      <w:r w:rsidRPr="00D96E77">
        <w:rPr>
          <w:rFonts w:asciiTheme="majorHAnsi" w:hAnsiTheme="majorHAnsi"/>
        </w:rPr>
        <w:t xml:space="preserve">to provide genomic context to confirm or refute outbreaks on a local or a national scale. </w:t>
      </w:r>
      <w:r w:rsidR="00D96E77" w:rsidRPr="00D96E77">
        <w:rPr>
          <w:rFonts w:asciiTheme="majorHAnsi" w:hAnsiTheme="majorHAnsi"/>
        </w:rPr>
        <w:t>This would be an invaluable resource as long as there is open access to anonymised (non-identifiable) data and to bioinformatics tools to analyse them rapidly and easily. The challenges will be to ensure standardised methods, development of strategies to avoid duplication of samples, and establishment of a large, comprehensive, open access, anonymised database where data could be deposited, curated, and accessible for public health benefit.</w:t>
      </w:r>
      <w:r w:rsidR="00D96E77">
        <w:rPr>
          <w:rFonts w:asciiTheme="majorHAnsi" w:hAnsiTheme="majorHAnsi" w:cs="AppleSystemUIFont"/>
          <w:i/>
        </w:rPr>
        <w:t xml:space="preserve"> </w:t>
      </w:r>
      <w:r w:rsidRPr="006E7EEC">
        <w:rPr>
          <w:rFonts w:asciiTheme="majorHAnsi" w:hAnsiTheme="majorHAnsi"/>
        </w:rPr>
        <w:t>Web-based</w:t>
      </w:r>
      <w:r w:rsidR="00632063" w:rsidRPr="006E7EEC">
        <w:rPr>
          <w:rFonts w:asciiTheme="majorHAnsi" w:hAnsiTheme="majorHAnsi"/>
        </w:rPr>
        <w:t>,</w:t>
      </w:r>
      <w:r w:rsidRPr="006E7EEC">
        <w:rPr>
          <w:rFonts w:asciiTheme="majorHAnsi" w:hAnsiTheme="majorHAnsi"/>
        </w:rPr>
        <w:t xml:space="preserve"> open-access software packages that are potentially suitable for this purp</w:t>
      </w:r>
      <w:r w:rsidR="00632063" w:rsidRPr="006E7EEC">
        <w:rPr>
          <w:rFonts w:asciiTheme="majorHAnsi" w:hAnsiTheme="majorHAnsi"/>
        </w:rPr>
        <w:t xml:space="preserve">ose are already being developed </w:t>
      </w:r>
      <w:r w:rsidRPr="006E7EEC">
        <w:rPr>
          <w:rFonts w:asciiTheme="majorHAnsi" w:hAnsiTheme="majorHAnsi"/>
          <w:noProof/>
        </w:rPr>
        <w:t>(35, 36)</w:t>
      </w:r>
      <w:r w:rsidR="00632063" w:rsidRPr="006E7EEC">
        <w:rPr>
          <w:rFonts w:asciiTheme="majorHAnsi" w:hAnsiTheme="majorHAnsi"/>
          <w:noProof/>
        </w:rPr>
        <w:t>.</w:t>
      </w:r>
      <w:r w:rsidRPr="006E7EEC">
        <w:rPr>
          <w:rFonts w:asciiTheme="majorHAnsi" w:hAnsiTheme="majorHAnsi"/>
        </w:rPr>
        <w:t xml:space="preserve"> Apart from the ability to detect emerging or potentially high-risk MRSA clones retrospectively, on-going sampling and analysis will enable detection in real-time.  In this study we found that that the high-risk USA300 lineage, an epidemic cause of SSTI in the USA, has spread to the UK and is causing bloodstream infections across England. Whilst the genomic data suggest multiple introductions of USA300, the use of BSI rather than clinical isolate-based surveillance limits our ability to analyse this further. However, using the PHE BSI collection it was possible to identify a local expansion of CC5 causing BSI in the South West region</w:t>
      </w:r>
      <w:r w:rsidR="00A83F24">
        <w:rPr>
          <w:rFonts w:asciiTheme="majorHAnsi" w:hAnsiTheme="majorHAnsi"/>
        </w:rPr>
        <w:t xml:space="preserve"> of England</w:t>
      </w:r>
      <w:r w:rsidRPr="006E7EEC">
        <w:rPr>
          <w:rFonts w:asciiTheme="majorHAnsi" w:hAnsiTheme="majorHAnsi"/>
        </w:rPr>
        <w:t>, where local investigations suggest this clone has been problematic</w:t>
      </w:r>
      <w:r w:rsidR="00632063" w:rsidRPr="006E7EEC">
        <w:rPr>
          <w:rFonts w:asciiTheme="majorHAnsi" w:hAnsiTheme="majorHAnsi"/>
        </w:rPr>
        <w:t xml:space="preserve"> </w:t>
      </w:r>
      <w:r w:rsidRPr="006E7EEC">
        <w:rPr>
          <w:rFonts w:asciiTheme="majorHAnsi" w:hAnsiTheme="majorHAnsi"/>
          <w:noProof/>
        </w:rPr>
        <w:t>(37)</w:t>
      </w:r>
      <w:r w:rsidRPr="006E7EEC">
        <w:rPr>
          <w:rFonts w:asciiTheme="majorHAnsi" w:hAnsiTheme="majorHAnsi"/>
        </w:rPr>
        <w:t>. Thus timely, routine WGS of PHE BSI isolates combined with local epidemiological data could potentially identify novel and/or pathogenic lineages in real time, and could be used to trigger local /regional investigations and interventions.</w:t>
      </w:r>
    </w:p>
    <w:p w14:paraId="041CCA49" w14:textId="77777777" w:rsidR="009B2AA7" w:rsidRPr="006E7EEC" w:rsidRDefault="009B2AA7" w:rsidP="009B2AA7">
      <w:pPr>
        <w:spacing w:line="360" w:lineRule="auto"/>
        <w:jc w:val="both"/>
        <w:rPr>
          <w:rFonts w:asciiTheme="majorHAnsi" w:hAnsiTheme="majorHAnsi"/>
        </w:rPr>
      </w:pPr>
    </w:p>
    <w:p w14:paraId="5F88F715" w14:textId="167A0D6A"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A major advantage of sequencing MRSA isolates is the ability to share and collate genome sequence data to build up national and international databases. A number of BSI surveillance systems already exist e.g. the English mandatory enhanced surveillance system, the voluntary British Society of Antimicrobial Chemotherapy </w:t>
      </w:r>
      <w:r w:rsidR="009A3412" w:rsidRPr="006E7EEC">
        <w:rPr>
          <w:rFonts w:asciiTheme="majorHAnsi" w:hAnsiTheme="majorHAnsi"/>
        </w:rPr>
        <w:t xml:space="preserve">BSI </w:t>
      </w:r>
      <w:r w:rsidRPr="006E7EEC">
        <w:rPr>
          <w:rFonts w:asciiTheme="majorHAnsi" w:hAnsiTheme="majorHAnsi"/>
        </w:rPr>
        <w:t xml:space="preserve">Surveillance Programme, and the voluntary European Antimicrobial </w:t>
      </w:r>
      <w:r w:rsidR="008977CC" w:rsidRPr="006E7EEC">
        <w:rPr>
          <w:rFonts w:asciiTheme="majorHAnsi" w:hAnsiTheme="majorHAnsi"/>
        </w:rPr>
        <w:t>Resistance Surveillance Network</w:t>
      </w:r>
      <w:r w:rsidRPr="006E7EEC">
        <w:rPr>
          <w:rFonts w:asciiTheme="majorHAnsi" w:hAnsiTheme="majorHAnsi"/>
        </w:rPr>
        <w:t xml:space="preserve">. Whilst each system has different aims and objectives, sampling criteria and data collection methods, the digital interchangeability of sequence data creates an opportunity to collaborate and share genome sequence data whilst producing a sustainable, on-going resource if </w:t>
      </w:r>
      <w:r w:rsidR="00632063" w:rsidRPr="006E7EEC">
        <w:rPr>
          <w:rFonts w:asciiTheme="majorHAnsi" w:hAnsiTheme="majorHAnsi"/>
        </w:rPr>
        <w:t>the isolates were sequenced</w:t>
      </w:r>
      <w:r w:rsidRPr="006E7EEC">
        <w:rPr>
          <w:rFonts w:asciiTheme="majorHAnsi" w:hAnsiTheme="majorHAnsi"/>
        </w:rPr>
        <w:t>. The challenges will be to ensure standardised methods, develop</w:t>
      </w:r>
      <w:r w:rsidR="00632063" w:rsidRPr="006E7EEC">
        <w:rPr>
          <w:rFonts w:asciiTheme="majorHAnsi" w:hAnsiTheme="majorHAnsi"/>
        </w:rPr>
        <w:t>ment of</w:t>
      </w:r>
      <w:r w:rsidRPr="006E7EEC">
        <w:rPr>
          <w:rFonts w:asciiTheme="majorHAnsi" w:hAnsiTheme="majorHAnsi"/>
        </w:rPr>
        <w:t xml:space="preserve"> strategies to avoid duplication of samples</w:t>
      </w:r>
      <w:r w:rsidR="00632063" w:rsidRPr="006E7EEC">
        <w:rPr>
          <w:rFonts w:asciiTheme="majorHAnsi" w:hAnsiTheme="majorHAnsi"/>
        </w:rPr>
        <w:t>,</w:t>
      </w:r>
      <w:r w:rsidRPr="006E7EEC">
        <w:rPr>
          <w:rFonts w:asciiTheme="majorHAnsi" w:hAnsiTheme="majorHAnsi"/>
        </w:rPr>
        <w:t xml:space="preserve"> and </w:t>
      </w:r>
      <w:r w:rsidR="00632063" w:rsidRPr="006E7EEC">
        <w:rPr>
          <w:rFonts w:asciiTheme="majorHAnsi" w:hAnsiTheme="majorHAnsi"/>
        </w:rPr>
        <w:t>establishment of a large</w:t>
      </w:r>
      <w:r w:rsidRPr="006E7EEC">
        <w:rPr>
          <w:rFonts w:asciiTheme="majorHAnsi" w:hAnsiTheme="majorHAnsi"/>
        </w:rPr>
        <w:t>, comprehensive, open</w:t>
      </w:r>
      <w:r w:rsidR="00FD5663">
        <w:rPr>
          <w:rFonts w:asciiTheme="majorHAnsi" w:hAnsiTheme="majorHAnsi"/>
        </w:rPr>
        <w:t>-</w:t>
      </w:r>
      <w:r w:rsidRPr="006E7EEC">
        <w:rPr>
          <w:rFonts w:asciiTheme="majorHAnsi" w:hAnsiTheme="majorHAnsi"/>
        </w:rPr>
        <w:t xml:space="preserve">access database where </w:t>
      </w:r>
      <w:r w:rsidR="00624B03">
        <w:rPr>
          <w:rFonts w:asciiTheme="majorHAnsi" w:hAnsiTheme="majorHAnsi"/>
        </w:rPr>
        <w:t xml:space="preserve">anonymised </w:t>
      </w:r>
      <w:r w:rsidRPr="006E7EEC">
        <w:rPr>
          <w:rFonts w:asciiTheme="majorHAnsi" w:hAnsiTheme="majorHAnsi"/>
        </w:rPr>
        <w:t>data could be deposited, curated</w:t>
      </w:r>
      <w:r w:rsidR="00632063" w:rsidRPr="006E7EEC">
        <w:rPr>
          <w:rFonts w:asciiTheme="majorHAnsi" w:hAnsiTheme="majorHAnsi"/>
        </w:rPr>
        <w:t>,</w:t>
      </w:r>
      <w:r w:rsidRPr="006E7EEC">
        <w:rPr>
          <w:rFonts w:asciiTheme="majorHAnsi" w:hAnsiTheme="majorHAnsi"/>
        </w:rPr>
        <w:t xml:space="preserve"> and accessible for public health benefit.</w:t>
      </w:r>
    </w:p>
    <w:p w14:paraId="247BD30C" w14:textId="77777777" w:rsidR="009B2AA7" w:rsidRPr="006E7EEC" w:rsidRDefault="009B2AA7" w:rsidP="009B2AA7">
      <w:pPr>
        <w:spacing w:line="360" w:lineRule="auto"/>
        <w:jc w:val="both"/>
        <w:rPr>
          <w:rFonts w:asciiTheme="majorHAnsi" w:hAnsiTheme="majorHAnsi"/>
        </w:rPr>
      </w:pPr>
    </w:p>
    <w:p w14:paraId="3D5C34D9" w14:textId="1C61CC1D"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We acknowledge several limitations in our study. The systems for collecting epidemiological data and bacterial isolates were separate and different, leading to high rates of sample exclusion. This challenge of capturing and integrating both types of data could be </w:t>
      </w:r>
      <w:r w:rsidR="00632063" w:rsidRPr="006E7EEC">
        <w:rPr>
          <w:rFonts w:asciiTheme="majorHAnsi" w:hAnsiTheme="majorHAnsi"/>
        </w:rPr>
        <w:t>overcome</w:t>
      </w:r>
      <w:r w:rsidRPr="006E7EEC">
        <w:rPr>
          <w:rFonts w:asciiTheme="majorHAnsi" w:hAnsiTheme="majorHAnsi"/>
        </w:rPr>
        <w:t xml:space="preserve"> in practice by submitting epidemiological and laboratory data to a single data collection system. Submission of bloodstream isolates was voluntary, with many reported cases having no corresponding isolate referred for characterisation</w:t>
      </w:r>
      <w:r w:rsidR="00632063" w:rsidRPr="006E7EEC">
        <w:rPr>
          <w:rFonts w:asciiTheme="majorHAnsi" w:hAnsiTheme="majorHAnsi"/>
        </w:rPr>
        <w:t>; this</w:t>
      </w:r>
      <w:r w:rsidRPr="006E7EEC">
        <w:rPr>
          <w:rFonts w:asciiTheme="majorHAnsi" w:hAnsiTheme="majorHAnsi"/>
        </w:rPr>
        <w:t xml:space="preserve"> may have introduced bias into the analysis. This could be </w:t>
      </w:r>
      <w:r w:rsidR="00634DB3" w:rsidRPr="006E7EEC">
        <w:rPr>
          <w:rFonts w:asciiTheme="majorHAnsi" w:hAnsiTheme="majorHAnsi"/>
        </w:rPr>
        <w:t>addressed</w:t>
      </w:r>
      <w:r w:rsidRPr="006E7EEC">
        <w:rPr>
          <w:rFonts w:asciiTheme="majorHAnsi" w:hAnsiTheme="majorHAnsi"/>
        </w:rPr>
        <w:t xml:space="preserve"> by having mandatory submission of isolates for all reported cases. Finally, we did not conduct a cost/benefit analysis of this approach. Despite these limitations, we have demonstrated that prospective epidemiological and genomic surveillance of MRSA bloodstream infections is feasible, has numerous potential benefits, and could provide a valuable public health resource in England and beyond. </w:t>
      </w:r>
    </w:p>
    <w:p w14:paraId="1564393C" w14:textId="77777777" w:rsidR="009B2AA7" w:rsidRPr="006E7EEC" w:rsidRDefault="009B2AA7" w:rsidP="009B2AA7">
      <w:pPr>
        <w:spacing w:line="360" w:lineRule="auto"/>
        <w:jc w:val="both"/>
        <w:rPr>
          <w:rFonts w:asciiTheme="majorHAnsi" w:eastAsia="Times New Roman" w:hAnsiTheme="majorHAnsi" w:cs="Times New Roman"/>
          <w:b/>
          <w:lang w:val="en-US"/>
        </w:rPr>
      </w:pPr>
    </w:p>
    <w:p w14:paraId="40F46274" w14:textId="77777777" w:rsidR="009B2AA7" w:rsidRPr="006E7EEC" w:rsidRDefault="009B2AA7" w:rsidP="009B2AA7">
      <w:pPr>
        <w:spacing w:line="360" w:lineRule="auto"/>
        <w:jc w:val="both"/>
        <w:outlineLvl w:val="0"/>
        <w:rPr>
          <w:rFonts w:asciiTheme="majorHAnsi" w:eastAsia="Times New Roman" w:hAnsiTheme="majorHAnsi" w:cs="Times New Roman"/>
          <w:b/>
          <w:lang w:val="en-US"/>
        </w:rPr>
      </w:pPr>
      <w:r w:rsidRPr="006E7EEC">
        <w:rPr>
          <w:rFonts w:asciiTheme="majorHAnsi" w:eastAsia="Times New Roman" w:hAnsiTheme="majorHAnsi" w:cs="Times New Roman"/>
          <w:b/>
          <w:lang w:val="en-US"/>
        </w:rPr>
        <w:t>Conflicts of Interest</w:t>
      </w:r>
    </w:p>
    <w:p w14:paraId="7A71C3B2" w14:textId="63616383" w:rsidR="009B2AA7" w:rsidRPr="006E7EEC" w:rsidRDefault="009B2AA7" w:rsidP="009B2AA7">
      <w:pPr>
        <w:spacing w:line="360" w:lineRule="auto"/>
        <w:jc w:val="both"/>
        <w:rPr>
          <w:rFonts w:asciiTheme="majorHAnsi" w:eastAsia="Times New Roman" w:hAnsiTheme="majorHAnsi" w:cs="Times New Roman"/>
          <w:lang w:val="en-US"/>
        </w:rPr>
      </w:pPr>
      <w:r w:rsidRPr="006E7EEC">
        <w:rPr>
          <w:rFonts w:asciiTheme="majorHAnsi" w:eastAsia="Times New Roman" w:hAnsiTheme="majorHAnsi" w:cs="Times New Roman"/>
          <w:lang w:val="en-US"/>
        </w:rPr>
        <w:t xml:space="preserve">JP and SJP are paid consultants to </w:t>
      </w:r>
      <w:r w:rsidR="00A83F24">
        <w:rPr>
          <w:rFonts w:asciiTheme="majorHAnsi" w:eastAsia="Times New Roman" w:hAnsiTheme="majorHAnsi" w:cs="Times New Roman"/>
          <w:lang w:val="en-US"/>
        </w:rPr>
        <w:t>Next Gen Diagnostics</w:t>
      </w:r>
      <w:r w:rsidRPr="006E7EEC">
        <w:rPr>
          <w:rFonts w:asciiTheme="majorHAnsi" w:eastAsia="Times New Roman" w:hAnsiTheme="majorHAnsi" w:cs="Times New Roman"/>
          <w:lang w:val="en-US"/>
        </w:rPr>
        <w:t xml:space="preserve"> LLC. All other authors declare no conflicts of interest.</w:t>
      </w:r>
    </w:p>
    <w:p w14:paraId="796D6F68" w14:textId="77777777" w:rsidR="009B2AA7" w:rsidRPr="006E7EEC" w:rsidRDefault="009B2AA7" w:rsidP="009B2AA7">
      <w:pPr>
        <w:spacing w:line="360" w:lineRule="auto"/>
        <w:jc w:val="both"/>
        <w:rPr>
          <w:rFonts w:asciiTheme="majorHAnsi" w:hAnsiTheme="majorHAnsi"/>
          <w:b/>
        </w:rPr>
      </w:pPr>
    </w:p>
    <w:p w14:paraId="7657F0C6"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Funding</w:t>
      </w:r>
    </w:p>
    <w:p w14:paraId="26BCCFD8" w14:textId="171E4375" w:rsidR="009B2AA7" w:rsidRPr="006E7EEC" w:rsidRDefault="009B2AA7" w:rsidP="009B2AA7">
      <w:pPr>
        <w:spacing w:line="360" w:lineRule="auto"/>
        <w:jc w:val="both"/>
        <w:rPr>
          <w:rStyle w:val="apple-style-span"/>
          <w:rFonts w:asciiTheme="majorHAnsi" w:hAnsiTheme="majorHAnsi"/>
          <w:bCs/>
        </w:rPr>
      </w:pPr>
      <w:r w:rsidRPr="006E7EEC">
        <w:rPr>
          <w:rStyle w:val="apple-style-span"/>
          <w:rFonts w:asciiTheme="majorHAnsi" w:hAnsiTheme="majorHAnsi"/>
          <w:bCs/>
        </w:rPr>
        <w:t xml:space="preserve">This work was supported by grants from the </w:t>
      </w:r>
      <w:r w:rsidRPr="006E7EEC">
        <w:rPr>
          <w:rFonts w:asciiTheme="majorHAnsi" w:hAnsiTheme="majorHAnsi"/>
        </w:rPr>
        <w:t xml:space="preserve">UK Clinical Research Collaboration Translational Infection Research Initiative, and the Medical Research Council (Grant Number </w:t>
      </w:r>
      <w:r w:rsidRPr="006E7EEC">
        <w:rPr>
          <w:rFonts w:asciiTheme="majorHAnsi" w:hAnsiTheme="majorHAnsi"/>
          <w:noProof/>
        </w:rPr>
        <w:t>G1000803</w:t>
      </w:r>
      <w:r w:rsidRPr="006E7EEC">
        <w:rPr>
          <w:rFonts w:asciiTheme="majorHAnsi" w:hAnsiTheme="majorHAnsi"/>
        </w:rPr>
        <w:t>) with contributions to the Grant from the Biotechnology and Biological Sciences Research Council, the National Institute for Health Research on behalf of the Department of Health, and the Chief Scientist Office of the Scottish Government Health Directorate (to Prof</w:t>
      </w:r>
      <w:r w:rsidR="00FD5663">
        <w:rPr>
          <w:rFonts w:asciiTheme="majorHAnsi" w:hAnsiTheme="majorHAnsi"/>
        </w:rPr>
        <w:t>essor</w:t>
      </w:r>
      <w:r w:rsidR="00FD5663" w:rsidRPr="006E7EEC">
        <w:rPr>
          <w:rFonts w:asciiTheme="majorHAnsi" w:hAnsiTheme="majorHAnsi"/>
        </w:rPr>
        <w:t xml:space="preserve"> </w:t>
      </w:r>
      <w:r w:rsidRPr="006E7EEC">
        <w:rPr>
          <w:rFonts w:asciiTheme="majorHAnsi" w:hAnsiTheme="majorHAnsi"/>
        </w:rPr>
        <w:t xml:space="preserve">Peacock); </w:t>
      </w:r>
      <w:r w:rsidRPr="006E7EEC">
        <w:rPr>
          <w:rStyle w:val="apple-style-span"/>
          <w:rFonts w:asciiTheme="majorHAnsi" w:hAnsiTheme="majorHAnsi"/>
          <w:bCs/>
        </w:rPr>
        <w:t xml:space="preserve">and the </w:t>
      </w:r>
      <w:proofErr w:type="spellStart"/>
      <w:r w:rsidRPr="006E7EEC">
        <w:rPr>
          <w:rStyle w:val="apple-style-span"/>
          <w:rFonts w:asciiTheme="majorHAnsi" w:hAnsiTheme="majorHAnsi"/>
          <w:bCs/>
        </w:rPr>
        <w:t>Wellcome</w:t>
      </w:r>
      <w:proofErr w:type="spellEnd"/>
      <w:r w:rsidRPr="006E7EEC">
        <w:rPr>
          <w:rStyle w:val="apple-style-span"/>
          <w:rFonts w:asciiTheme="majorHAnsi" w:hAnsiTheme="majorHAnsi"/>
          <w:bCs/>
        </w:rPr>
        <w:t xml:space="preserve"> Trust (to Prof</w:t>
      </w:r>
      <w:r w:rsidR="00FD5663">
        <w:rPr>
          <w:rStyle w:val="apple-style-span"/>
          <w:rFonts w:asciiTheme="majorHAnsi" w:hAnsiTheme="majorHAnsi"/>
          <w:bCs/>
        </w:rPr>
        <w:t>essor</w:t>
      </w:r>
      <w:r w:rsidRPr="006E7EEC">
        <w:rPr>
          <w:rStyle w:val="apple-style-span"/>
          <w:rFonts w:asciiTheme="majorHAnsi" w:hAnsiTheme="majorHAnsi"/>
          <w:bCs/>
        </w:rPr>
        <w:t xml:space="preserve"> Parkhill [Grant 098051], Prof</w:t>
      </w:r>
      <w:r w:rsidR="00FD5663">
        <w:rPr>
          <w:rStyle w:val="apple-style-span"/>
          <w:rFonts w:asciiTheme="majorHAnsi" w:hAnsiTheme="majorHAnsi"/>
          <w:bCs/>
        </w:rPr>
        <w:t>essor</w:t>
      </w:r>
      <w:r w:rsidRPr="006E7EEC">
        <w:rPr>
          <w:rStyle w:val="apple-style-span"/>
          <w:rFonts w:asciiTheme="majorHAnsi" w:hAnsiTheme="majorHAnsi"/>
          <w:bCs/>
        </w:rPr>
        <w:t xml:space="preserve"> Peacock). MST is a </w:t>
      </w:r>
      <w:proofErr w:type="spellStart"/>
      <w:r w:rsidRPr="006E7EEC">
        <w:rPr>
          <w:rStyle w:val="apple-style-span"/>
          <w:rFonts w:asciiTheme="majorHAnsi" w:hAnsiTheme="majorHAnsi"/>
          <w:bCs/>
        </w:rPr>
        <w:t>Wellcome</w:t>
      </w:r>
      <w:proofErr w:type="spellEnd"/>
      <w:r w:rsidRPr="006E7EEC">
        <w:rPr>
          <w:rStyle w:val="apple-style-span"/>
          <w:rFonts w:asciiTheme="majorHAnsi" w:hAnsiTheme="majorHAnsi"/>
          <w:bCs/>
        </w:rPr>
        <w:t xml:space="preserve"> Trust Clinical PhD Fellow at the University of Cambridge. MET is a Clinician Scientist Fellow, supported by the Academy of Medical Sciences and the Health Foundation, and by the </w:t>
      </w:r>
      <w:r w:rsidRPr="006E7EEC">
        <w:rPr>
          <w:rFonts w:asciiTheme="majorHAnsi" w:hAnsiTheme="majorHAnsi"/>
        </w:rPr>
        <w:t>National Institute for Health Research</w:t>
      </w:r>
      <w:r w:rsidRPr="006E7EEC">
        <w:rPr>
          <w:rStyle w:val="apple-style-span"/>
          <w:rFonts w:asciiTheme="majorHAnsi" w:hAnsiTheme="majorHAnsi"/>
          <w:bCs/>
        </w:rPr>
        <w:t xml:space="preserve"> Cambridge Biomedical Research Centre. FC is supported by the </w:t>
      </w:r>
      <w:proofErr w:type="spellStart"/>
      <w:r w:rsidRPr="006E7EEC">
        <w:rPr>
          <w:rStyle w:val="apple-style-span"/>
          <w:rFonts w:asciiTheme="majorHAnsi" w:hAnsiTheme="majorHAnsi"/>
          <w:bCs/>
        </w:rPr>
        <w:t>Wellcome</w:t>
      </w:r>
      <w:proofErr w:type="spellEnd"/>
      <w:r w:rsidRPr="006E7EEC">
        <w:rPr>
          <w:rStyle w:val="apple-style-span"/>
          <w:rFonts w:asciiTheme="majorHAnsi" w:hAnsiTheme="majorHAnsi"/>
          <w:bCs/>
        </w:rPr>
        <w:t xml:space="preserve"> Trust (201344/Z/16/Z).</w:t>
      </w:r>
    </w:p>
    <w:p w14:paraId="347E6B4F" w14:textId="77777777" w:rsidR="009B2AA7" w:rsidRPr="006E7EEC" w:rsidRDefault="009B2AA7" w:rsidP="009B2AA7">
      <w:pPr>
        <w:spacing w:line="360" w:lineRule="auto"/>
        <w:jc w:val="both"/>
        <w:rPr>
          <w:rFonts w:asciiTheme="majorHAnsi" w:hAnsiTheme="majorHAnsi"/>
          <w:b/>
        </w:rPr>
      </w:pPr>
    </w:p>
    <w:p w14:paraId="70E7875E"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Ethical statement</w:t>
      </w:r>
    </w:p>
    <w:p w14:paraId="7D4120E6" w14:textId="3D09036E" w:rsidR="009B2AA7" w:rsidRPr="006E7EEC" w:rsidRDefault="009B2AA7" w:rsidP="009B2AA7">
      <w:pPr>
        <w:spacing w:line="360" w:lineRule="auto"/>
        <w:jc w:val="both"/>
        <w:rPr>
          <w:rFonts w:asciiTheme="majorHAnsi" w:hAnsiTheme="majorHAnsi"/>
        </w:rPr>
      </w:pPr>
      <w:r w:rsidRPr="006E7EEC">
        <w:rPr>
          <w:rFonts w:asciiTheme="majorHAnsi" w:hAnsiTheme="majorHAnsi"/>
        </w:rPr>
        <w:t>Written informed consent was not required for this study as data and isolates were collected as part of national surveillance programme for MRSA bloodstream infections, which is exempt from this requirement. The study protocol was approved by the National Research E</w:t>
      </w:r>
      <w:r w:rsidR="00634DB3" w:rsidRPr="006E7EEC">
        <w:rPr>
          <w:rFonts w:asciiTheme="majorHAnsi" w:hAnsiTheme="majorHAnsi"/>
        </w:rPr>
        <w:t xml:space="preserve">thics Service (ref: 11/EE/0499), </w:t>
      </w:r>
      <w:r w:rsidRPr="006E7EEC">
        <w:rPr>
          <w:rFonts w:asciiTheme="majorHAnsi" w:hAnsiTheme="majorHAnsi"/>
        </w:rPr>
        <w:t xml:space="preserve">and by the Cambridge University Hospitals NHS Foundation Trust R&amp;D Department (ref: A092428). </w:t>
      </w:r>
    </w:p>
    <w:p w14:paraId="46980C38" w14:textId="77777777" w:rsidR="009B2AA7" w:rsidRPr="006E7EEC" w:rsidRDefault="009B2AA7" w:rsidP="009B2AA7">
      <w:pPr>
        <w:spacing w:line="360" w:lineRule="auto"/>
        <w:jc w:val="both"/>
        <w:rPr>
          <w:rFonts w:asciiTheme="majorHAnsi" w:hAnsiTheme="majorHAnsi"/>
          <w:b/>
        </w:rPr>
      </w:pPr>
    </w:p>
    <w:p w14:paraId="52199324" w14:textId="77777777" w:rsidR="009B2AA7" w:rsidRPr="006E7EEC" w:rsidRDefault="009B2AA7" w:rsidP="009B2AA7">
      <w:pPr>
        <w:spacing w:line="360" w:lineRule="auto"/>
        <w:jc w:val="both"/>
        <w:outlineLvl w:val="0"/>
        <w:rPr>
          <w:rFonts w:asciiTheme="majorHAnsi" w:hAnsiTheme="majorHAnsi"/>
        </w:rPr>
      </w:pPr>
      <w:r w:rsidRPr="006E7EEC">
        <w:rPr>
          <w:rFonts w:asciiTheme="majorHAnsi" w:hAnsiTheme="majorHAnsi"/>
          <w:b/>
        </w:rPr>
        <w:t>Role of sponsor/funders</w:t>
      </w:r>
      <w:r w:rsidRPr="006E7EEC">
        <w:rPr>
          <w:rFonts w:asciiTheme="majorHAnsi" w:hAnsiTheme="majorHAnsi"/>
        </w:rPr>
        <w:t xml:space="preserve"> </w:t>
      </w:r>
    </w:p>
    <w:p w14:paraId="3A2E9AE7"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The sponsors had no involvement in the design of the study, access to data, analysis of data, drafting of the manuscript, or the decision to submit for publication.</w:t>
      </w:r>
    </w:p>
    <w:p w14:paraId="28F96D0E" w14:textId="77777777" w:rsidR="009B2AA7" w:rsidRPr="006E7EEC" w:rsidRDefault="009B2AA7" w:rsidP="009B2AA7">
      <w:pPr>
        <w:spacing w:line="360" w:lineRule="auto"/>
        <w:jc w:val="both"/>
        <w:rPr>
          <w:rFonts w:asciiTheme="majorHAnsi" w:hAnsiTheme="majorHAnsi"/>
          <w:b/>
        </w:rPr>
      </w:pPr>
    </w:p>
    <w:p w14:paraId="03D98376"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 xml:space="preserve">Authors’ contributions </w:t>
      </w:r>
    </w:p>
    <w:p w14:paraId="4A950362" w14:textId="453BB1E2" w:rsidR="009B2AA7" w:rsidRPr="006E7EEC" w:rsidRDefault="009B2AA7" w:rsidP="009B2AA7">
      <w:pPr>
        <w:spacing w:line="360" w:lineRule="auto"/>
        <w:jc w:val="both"/>
        <w:rPr>
          <w:rFonts w:asciiTheme="majorHAnsi" w:hAnsiTheme="majorHAnsi"/>
        </w:rPr>
      </w:pPr>
      <w:r w:rsidRPr="006E7EEC">
        <w:rPr>
          <w:rFonts w:asciiTheme="majorHAnsi" w:hAnsiTheme="majorHAnsi"/>
        </w:rPr>
        <w:t xml:space="preserve">MET designed the study, wrote the protocol, and obtained ethical and R&amp;D approvals for the study. MET, JP and SJP supervised the study. BB and HJB performed the laboratory work in Cambridge. RH and AK co-ordinated the collection and characterisation of isolates and provided the epidemiological and laboratory data from PHE Colindale. MST, MET, </w:t>
      </w:r>
      <w:r w:rsidR="00884103" w:rsidRPr="006E7EEC">
        <w:rPr>
          <w:rFonts w:asciiTheme="majorHAnsi" w:hAnsiTheme="majorHAnsi"/>
        </w:rPr>
        <w:t xml:space="preserve">SR, FC, EH and DJ provided data, advice and </w:t>
      </w:r>
      <w:r w:rsidRPr="006E7EEC">
        <w:rPr>
          <w:rFonts w:asciiTheme="majorHAnsi" w:hAnsiTheme="majorHAnsi"/>
        </w:rPr>
        <w:t xml:space="preserve">performed data analyses. MST and MET wrote the first draft of the manuscript; all authors contributed to and approved the final manuscript. </w:t>
      </w:r>
    </w:p>
    <w:p w14:paraId="51AFA54F" w14:textId="77777777" w:rsidR="009B2AA7" w:rsidRPr="006E7EEC" w:rsidRDefault="009B2AA7" w:rsidP="009B2AA7">
      <w:pPr>
        <w:spacing w:line="360" w:lineRule="auto"/>
        <w:jc w:val="both"/>
        <w:rPr>
          <w:rFonts w:asciiTheme="majorHAnsi" w:hAnsiTheme="majorHAnsi"/>
          <w:b/>
        </w:rPr>
      </w:pPr>
    </w:p>
    <w:p w14:paraId="5A65B851" w14:textId="77777777" w:rsidR="009B2AA7" w:rsidRPr="006E7EEC" w:rsidRDefault="009B2AA7" w:rsidP="009B2AA7">
      <w:pPr>
        <w:spacing w:line="360" w:lineRule="auto"/>
        <w:jc w:val="both"/>
        <w:outlineLvl w:val="0"/>
        <w:rPr>
          <w:rFonts w:asciiTheme="majorHAnsi" w:hAnsiTheme="majorHAnsi"/>
          <w:b/>
        </w:rPr>
      </w:pPr>
      <w:r w:rsidRPr="006E7EEC">
        <w:rPr>
          <w:rFonts w:asciiTheme="majorHAnsi" w:hAnsiTheme="majorHAnsi"/>
          <w:b/>
        </w:rPr>
        <w:t>Acknowledgements</w:t>
      </w:r>
    </w:p>
    <w:p w14:paraId="0B5CD57E" w14:textId="77777777" w:rsidR="009B2AA7" w:rsidRPr="006E7EEC" w:rsidRDefault="009B2AA7" w:rsidP="009B2AA7">
      <w:pPr>
        <w:spacing w:line="360" w:lineRule="auto"/>
        <w:jc w:val="both"/>
        <w:rPr>
          <w:rFonts w:asciiTheme="majorHAnsi" w:hAnsiTheme="majorHAnsi"/>
        </w:rPr>
      </w:pPr>
      <w:r w:rsidRPr="006E7EEC">
        <w:rPr>
          <w:rFonts w:asciiTheme="majorHAnsi" w:hAnsiTheme="majorHAnsi"/>
        </w:rPr>
        <w:t>We</w:t>
      </w:r>
      <w:r w:rsidRPr="006E7EEC">
        <w:rPr>
          <w:rStyle w:val="apple-style-span"/>
          <w:rFonts w:asciiTheme="majorHAnsi" w:hAnsiTheme="majorHAnsi" w:cs="Calibri"/>
          <w:bCs/>
        </w:rPr>
        <w:t xml:space="preserve"> thank participating NHS hospital and laboratory staff for submitting epidemiological data and bacterial isolates to the mandatory enhanced surveillance system and the National Staphylococcal Reference Laboratory, respectively. We also thank the Sequencing and Pathogen Informatics groups at the </w:t>
      </w:r>
      <w:proofErr w:type="spellStart"/>
      <w:r w:rsidRPr="006E7EEC">
        <w:rPr>
          <w:rStyle w:val="apple-style-span"/>
          <w:rFonts w:asciiTheme="majorHAnsi" w:hAnsiTheme="majorHAnsi" w:cs="Calibri"/>
          <w:bCs/>
        </w:rPr>
        <w:t>Wellcome</w:t>
      </w:r>
      <w:proofErr w:type="spellEnd"/>
      <w:r w:rsidRPr="006E7EEC">
        <w:rPr>
          <w:rStyle w:val="apple-style-span"/>
          <w:rFonts w:asciiTheme="majorHAnsi" w:hAnsiTheme="majorHAnsi" w:cs="Calibri"/>
          <w:bCs/>
        </w:rPr>
        <w:t xml:space="preserve"> Sanger Institute for their support. </w:t>
      </w:r>
    </w:p>
    <w:p w14:paraId="037702FE" w14:textId="77777777" w:rsidR="009B2AA7" w:rsidRPr="006E7EEC" w:rsidRDefault="009B2AA7" w:rsidP="009B2AA7">
      <w:pPr>
        <w:spacing w:line="360" w:lineRule="auto"/>
        <w:jc w:val="both"/>
        <w:rPr>
          <w:rFonts w:asciiTheme="majorHAnsi" w:hAnsiTheme="majorHAnsi"/>
          <w:b/>
        </w:rPr>
      </w:pPr>
    </w:p>
    <w:p w14:paraId="07BA70F1" w14:textId="77777777" w:rsidR="009B2AA7" w:rsidRPr="006E7EEC" w:rsidRDefault="009B2AA7" w:rsidP="009B2AA7">
      <w:pPr>
        <w:jc w:val="both"/>
        <w:rPr>
          <w:rFonts w:asciiTheme="majorHAnsi" w:hAnsiTheme="majorHAnsi"/>
          <w:b/>
        </w:rPr>
      </w:pPr>
      <w:r w:rsidRPr="006E7EEC">
        <w:rPr>
          <w:rFonts w:asciiTheme="majorHAnsi" w:hAnsiTheme="majorHAnsi"/>
          <w:b/>
        </w:rPr>
        <w:br w:type="page"/>
      </w:r>
    </w:p>
    <w:p w14:paraId="168B768A" w14:textId="77777777" w:rsidR="009B2AA7" w:rsidRPr="006E7EEC" w:rsidRDefault="009B2AA7" w:rsidP="009B2AA7">
      <w:pPr>
        <w:outlineLvl w:val="0"/>
        <w:rPr>
          <w:rFonts w:asciiTheme="majorHAnsi" w:hAnsiTheme="majorHAnsi"/>
          <w:b/>
        </w:rPr>
      </w:pPr>
      <w:r w:rsidRPr="006E7EEC">
        <w:rPr>
          <w:rFonts w:asciiTheme="majorHAnsi" w:hAnsiTheme="majorHAnsi"/>
          <w:b/>
        </w:rPr>
        <w:t>Tables and Figures</w:t>
      </w:r>
    </w:p>
    <w:p w14:paraId="7F4F4D51" w14:textId="77777777" w:rsidR="009B2AA7" w:rsidRPr="00A83F24" w:rsidRDefault="009B2AA7" w:rsidP="009B2AA7">
      <w:pPr>
        <w:rPr>
          <w:rFonts w:asciiTheme="majorHAnsi" w:hAnsiTheme="majorHAnsi"/>
          <w:b/>
        </w:rPr>
      </w:pPr>
    </w:p>
    <w:p w14:paraId="20561DAE" w14:textId="61F2FBFB" w:rsidR="009B2AA7" w:rsidRPr="006E7EEC" w:rsidRDefault="001E1012" w:rsidP="001E1012">
      <w:pPr>
        <w:rPr>
          <w:rFonts w:asciiTheme="majorHAnsi" w:hAnsiTheme="majorHAnsi"/>
          <w:b/>
        </w:rPr>
      </w:pPr>
      <w:r w:rsidRPr="006E7EEC">
        <w:rPr>
          <w:rFonts w:asciiTheme="majorHAnsi" w:hAnsiTheme="majorHAnsi"/>
          <w:b/>
        </w:rPr>
        <w:t xml:space="preserve">Figure 1: </w:t>
      </w:r>
      <w:r w:rsidRPr="006E7EEC">
        <w:rPr>
          <w:rFonts w:asciiTheme="majorHAnsi" w:hAnsiTheme="majorHAnsi"/>
        </w:rPr>
        <w:t>Map of England with breakdown of the proportions of each CC within the sequenced PHE BSI isolates from submitting regions. The number of isolates received from each of the labelled regions is indicated in brackets. 13 isolates did not have a region assigned.</w:t>
      </w:r>
    </w:p>
    <w:p w14:paraId="22BD5C6D" w14:textId="77777777" w:rsidR="009B2AA7" w:rsidRPr="006E7EEC" w:rsidRDefault="009B2AA7" w:rsidP="009B2AA7">
      <w:pPr>
        <w:rPr>
          <w:rFonts w:asciiTheme="majorHAnsi" w:hAnsiTheme="majorHAnsi"/>
          <w:b/>
        </w:rPr>
      </w:pPr>
    </w:p>
    <w:p w14:paraId="558F8E9F" w14:textId="6BA8EDD6" w:rsidR="009B2AA7" w:rsidRPr="002440CA" w:rsidRDefault="009B2AA7" w:rsidP="009B2AA7">
      <w:pPr>
        <w:rPr>
          <w:rFonts w:asciiTheme="majorHAnsi" w:hAnsiTheme="majorHAnsi" w:cs="Calibri"/>
        </w:rPr>
      </w:pPr>
      <w:r w:rsidRPr="001072FF">
        <w:rPr>
          <w:rFonts w:asciiTheme="majorHAnsi" w:hAnsiTheme="majorHAnsi"/>
          <w:b/>
        </w:rPr>
        <w:t xml:space="preserve">Figure 2: </w:t>
      </w:r>
      <w:r w:rsidR="001072FF" w:rsidRPr="001072FF">
        <w:rPr>
          <w:rFonts w:asciiTheme="majorHAnsi" w:hAnsiTheme="majorHAnsi"/>
        </w:rPr>
        <w:t>Comparison of</w:t>
      </w:r>
      <w:r w:rsidR="001072FF" w:rsidRPr="001072FF">
        <w:rPr>
          <w:rFonts w:asciiTheme="majorHAnsi" w:hAnsiTheme="majorHAnsi"/>
          <w:b/>
        </w:rPr>
        <w:t xml:space="preserve"> </w:t>
      </w:r>
      <w:r w:rsidR="001072FF" w:rsidRPr="001072FF">
        <w:rPr>
          <w:rFonts w:asciiTheme="majorHAnsi" w:hAnsiTheme="majorHAnsi" w:cs="Calibri"/>
        </w:rPr>
        <w:t>PHE BSI CC22 isolates (n=276, red branches) to the first isolate from each patient from the previously published universal sample collection from Cambridgeshire (n=1035, blue branches</w:t>
      </w:r>
      <w:proofErr w:type="gramStart"/>
      <w:r w:rsidR="001072FF" w:rsidRPr="001072FF">
        <w:rPr>
          <w:rFonts w:asciiTheme="majorHAnsi" w:hAnsiTheme="majorHAnsi" w:cs="Calibri"/>
        </w:rPr>
        <w:t>)</w:t>
      </w:r>
      <w:r w:rsidR="001072FF" w:rsidRPr="001072FF">
        <w:rPr>
          <w:rFonts w:asciiTheme="majorHAnsi" w:hAnsiTheme="majorHAnsi" w:cs="Calibri"/>
          <w:noProof/>
        </w:rPr>
        <w:t>(</w:t>
      </w:r>
      <w:proofErr w:type="gramEnd"/>
      <w:r w:rsidR="001072FF" w:rsidRPr="001072FF">
        <w:rPr>
          <w:rFonts w:asciiTheme="majorHAnsi" w:hAnsiTheme="majorHAnsi" w:cs="Calibri"/>
          <w:noProof/>
        </w:rPr>
        <w:t>24)</w:t>
      </w:r>
      <w:r w:rsidR="001072FF" w:rsidRPr="001072FF">
        <w:rPr>
          <w:rFonts w:asciiTheme="majorHAnsi" w:hAnsiTheme="majorHAnsi" w:cs="Calibri"/>
        </w:rPr>
        <w:t xml:space="preserve">. Mid-point rooted maximum likelihood tree based on single nucleotide polymorphisms in the core genome alignment generated after mapping against the reference genome EMRSA-15. The inner ring denotes the collection, and the outer represents referral network of submitting laboratory. The arc indicates a large expansion in the Cambridgeshire region, which is underrepresented in the BSI only surveillance. </w:t>
      </w:r>
    </w:p>
    <w:p w14:paraId="7F5F5F78" w14:textId="77777777" w:rsidR="009B2AA7" w:rsidRPr="006E7EEC" w:rsidRDefault="009B2AA7" w:rsidP="009B2AA7">
      <w:pPr>
        <w:rPr>
          <w:rFonts w:asciiTheme="majorHAnsi" w:hAnsiTheme="majorHAnsi"/>
          <w:b/>
        </w:rPr>
      </w:pPr>
    </w:p>
    <w:p w14:paraId="08DE8C83" w14:textId="0B56C64C" w:rsidR="009B2AA7" w:rsidRPr="006E7EEC" w:rsidRDefault="009B2AA7" w:rsidP="009B2AA7">
      <w:pPr>
        <w:rPr>
          <w:rFonts w:asciiTheme="majorHAnsi" w:hAnsiTheme="majorHAnsi"/>
        </w:rPr>
      </w:pPr>
      <w:r w:rsidRPr="006E7EEC">
        <w:rPr>
          <w:rFonts w:asciiTheme="majorHAnsi" w:hAnsiTheme="majorHAnsi"/>
          <w:b/>
        </w:rPr>
        <w:t>Figure 3:</w:t>
      </w:r>
      <w:r w:rsidRPr="006E7EEC">
        <w:rPr>
          <w:rFonts w:asciiTheme="majorHAnsi" w:hAnsiTheme="majorHAnsi"/>
        </w:rPr>
        <w:t xml:space="preserve"> Showing diversity of lineages (CCs) within four collections: </w:t>
      </w:r>
      <w:r w:rsidR="008606EA" w:rsidRPr="006E7EEC">
        <w:rPr>
          <w:rFonts w:asciiTheme="majorHAnsi" w:hAnsiTheme="majorHAnsi"/>
        </w:rPr>
        <w:t xml:space="preserve">Carriage </w:t>
      </w:r>
      <w:r w:rsidRPr="006E7EEC">
        <w:rPr>
          <w:rFonts w:asciiTheme="majorHAnsi" w:hAnsiTheme="majorHAnsi"/>
        </w:rPr>
        <w:t xml:space="preserve">and clinical samples from a year-long Cambridgeshire study of MRSA </w:t>
      </w:r>
      <w:r w:rsidRPr="006E7EEC">
        <w:rPr>
          <w:rFonts w:asciiTheme="majorHAnsi" w:hAnsiTheme="majorHAnsi"/>
          <w:noProof/>
        </w:rPr>
        <w:t>(24)</w:t>
      </w:r>
      <w:r w:rsidRPr="006E7EEC">
        <w:rPr>
          <w:rFonts w:asciiTheme="majorHAnsi" w:hAnsiTheme="majorHAnsi"/>
        </w:rPr>
        <w:t>; the national PHE BSI collection and a national BSAC BSI collection</w:t>
      </w:r>
      <w:r w:rsidR="00634DB3" w:rsidRPr="006E7EEC">
        <w:rPr>
          <w:rFonts w:asciiTheme="majorHAnsi" w:hAnsiTheme="majorHAnsi"/>
        </w:rPr>
        <w:t xml:space="preserve"> </w:t>
      </w:r>
      <w:r w:rsidRPr="006E7EEC">
        <w:rPr>
          <w:rFonts w:asciiTheme="majorHAnsi" w:hAnsiTheme="majorHAnsi"/>
          <w:noProof/>
        </w:rPr>
        <w:t>(13)</w:t>
      </w:r>
      <w:r w:rsidRPr="006E7EEC">
        <w:rPr>
          <w:rFonts w:asciiTheme="majorHAnsi" w:hAnsiTheme="majorHAnsi"/>
        </w:rPr>
        <w:t xml:space="preserve">. Colours represent clonal complexes. </w:t>
      </w:r>
    </w:p>
    <w:p w14:paraId="5CC13243" w14:textId="77777777" w:rsidR="009B2AA7" w:rsidRPr="006E7EEC" w:rsidRDefault="009B2AA7" w:rsidP="009B2AA7">
      <w:pPr>
        <w:rPr>
          <w:rFonts w:asciiTheme="majorHAnsi" w:hAnsiTheme="majorHAnsi"/>
          <w:b/>
        </w:rPr>
      </w:pPr>
    </w:p>
    <w:p w14:paraId="7AB228C6" w14:textId="77777777" w:rsidR="009B2AA7" w:rsidRPr="006E7EEC" w:rsidRDefault="009B2AA7" w:rsidP="009B2AA7">
      <w:pPr>
        <w:rPr>
          <w:rFonts w:asciiTheme="majorHAnsi" w:hAnsiTheme="majorHAnsi"/>
        </w:rPr>
      </w:pPr>
      <w:r w:rsidRPr="006E7EEC">
        <w:rPr>
          <w:rFonts w:asciiTheme="majorHAnsi" w:hAnsiTheme="majorHAnsi"/>
          <w:b/>
        </w:rPr>
        <w:t xml:space="preserve">Figure 4: </w:t>
      </w:r>
      <w:r w:rsidRPr="006E7EEC">
        <w:rPr>
          <w:rFonts w:asciiTheme="majorHAnsi" w:hAnsiTheme="majorHAnsi"/>
        </w:rPr>
        <w:t>Mid-point rooted, maximum-likelihood phylogenetic tree based on SNPs in the core genome providing contextualisation of previously published outbreaks at Cambridge University Hospitals: Isolates from an outbreak on a neonatal intensive care unit (n=7, green)</w:t>
      </w:r>
      <w:r w:rsidRPr="006E7EEC">
        <w:rPr>
          <w:rFonts w:asciiTheme="majorHAnsi" w:hAnsiTheme="majorHAnsi"/>
          <w:noProof/>
        </w:rPr>
        <w:t>(10)</w:t>
      </w:r>
      <w:r w:rsidRPr="006E7EEC">
        <w:rPr>
          <w:rFonts w:asciiTheme="majorHAnsi" w:hAnsiTheme="majorHAnsi"/>
        </w:rPr>
        <w:t xml:space="preserve">, isolates from an outbreak on a special care baby unit which extended into epidemiologically linked cases in the community (n=15, purple) </w:t>
      </w:r>
      <w:r w:rsidRPr="006E7EEC">
        <w:rPr>
          <w:rFonts w:asciiTheme="majorHAnsi" w:hAnsiTheme="majorHAnsi"/>
          <w:noProof/>
        </w:rPr>
        <w:t>(9)</w:t>
      </w:r>
      <w:r w:rsidRPr="006E7EEC">
        <w:rPr>
          <w:rFonts w:asciiTheme="majorHAnsi" w:hAnsiTheme="majorHAnsi"/>
        </w:rPr>
        <w:t xml:space="preserve"> and isolates from a suspected but disproven outbreak on a hepatology ward (n=42, blue) </w:t>
      </w:r>
      <w:r w:rsidRPr="006E7EEC">
        <w:rPr>
          <w:rFonts w:asciiTheme="majorHAnsi" w:hAnsiTheme="majorHAnsi"/>
          <w:noProof/>
        </w:rPr>
        <w:t>(12)</w:t>
      </w:r>
      <w:r w:rsidRPr="006E7EEC">
        <w:rPr>
          <w:rFonts w:asciiTheme="majorHAnsi" w:hAnsiTheme="majorHAnsi"/>
        </w:rPr>
        <w:t>.</w:t>
      </w:r>
    </w:p>
    <w:p w14:paraId="1FD33E79" w14:textId="77777777" w:rsidR="009B2AA7" w:rsidRPr="006E7EEC" w:rsidRDefault="009B2AA7" w:rsidP="009B2AA7">
      <w:pPr>
        <w:jc w:val="both"/>
        <w:rPr>
          <w:rFonts w:asciiTheme="majorHAnsi" w:hAnsiTheme="majorHAnsi"/>
          <w:b/>
        </w:rPr>
      </w:pPr>
    </w:p>
    <w:p w14:paraId="06107C41" w14:textId="5A7D3B61" w:rsidR="009B2AA7" w:rsidRPr="006E7EEC" w:rsidRDefault="009B2AA7" w:rsidP="009B2AA7">
      <w:pPr>
        <w:jc w:val="both"/>
        <w:rPr>
          <w:rFonts w:asciiTheme="majorHAnsi" w:hAnsiTheme="majorHAnsi"/>
          <w:b/>
        </w:rPr>
      </w:pPr>
      <w:r w:rsidRPr="006E7EEC">
        <w:rPr>
          <w:rFonts w:asciiTheme="majorHAnsi" w:hAnsiTheme="majorHAnsi"/>
          <w:b/>
        </w:rPr>
        <w:t>Figure 5:</w:t>
      </w:r>
      <w:r w:rsidR="001908A8" w:rsidRPr="006E7EEC">
        <w:rPr>
          <w:rFonts w:asciiTheme="majorHAnsi" w:eastAsia="Times New Roman" w:hAnsiTheme="majorHAnsi" w:cs="Times New Roman"/>
        </w:rPr>
        <w:t xml:space="preserve"> </w:t>
      </w:r>
      <w:r w:rsidRPr="006E7EEC">
        <w:rPr>
          <w:rFonts w:asciiTheme="majorHAnsi" w:eastAsia="Times New Roman" w:hAnsiTheme="majorHAnsi" w:cs="Times New Roman"/>
        </w:rPr>
        <w:t xml:space="preserve">Comparison of the </w:t>
      </w:r>
      <w:r w:rsidR="001908A8" w:rsidRPr="006E7EEC">
        <w:rPr>
          <w:rFonts w:asciiTheme="majorHAnsi" w:eastAsia="Times New Roman" w:hAnsiTheme="majorHAnsi" w:cs="Times New Roman"/>
        </w:rPr>
        <w:t xml:space="preserve">PHE BSI </w:t>
      </w:r>
      <w:r w:rsidRPr="006E7EEC">
        <w:rPr>
          <w:rFonts w:asciiTheme="majorHAnsi" w:eastAsia="Times New Roman" w:hAnsiTheme="majorHAnsi" w:cs="Times New Roman"/>
        </w:rPr>
        <w:t xml:space="preserve">USA300 isolates (n=6, red) to previously published USA300 isolates from a universal sample collection in Cambridgeshire (n=24, orange) </w:t>
      </w:r>
      <w:r w:rsidRPr="006E7EEC">
        <w:rPr>
          <w:rFonts w:asciiTheme="majorHAnsi" w:eastAsia="Times New Roman" w:hAnsiTheme="majorHAnsi" w:cs="Times New Roman"/>
          <w:noProof/>
        </w:rPr>
        <w:t>(24)</w:t>
      </w:r>
      <w:r w:rsidR="00634DB3" w:rsidRPr="006E7EEC">
        <w:rPr>
          <w:rFonts w:asciiTheme="majorHAnsi" w:eastAsia="Times New Roman" w:hAnsiTheme="majorHAnsi" w:cs="Times New Roman"/>
          <w:noProof/>
        </w:rPr>
        <w:t xml:space="preserve"> </w:t>
      </w:r>
      <w:r w:rsidRPr="006E7EEC">
        <w:rPr>
          <w:rFonts w:asciiTheme="majorHAnsi" w:eastAsia="Times New Roman" w:hAnsiTheme="majorHAnsi" w:cs="Times New Roman"/>
        </w:rPr>
        <w:t xml:space="preserve">and from </w:t>
      </w:r>
      <w:r w:rsidRPr="006E7EEC">
        <w:rPr>
          <w:rFonts w:asciiTheme="majorHAnsi" w:hAnsiTheme="majorHAnsi"/>
        </w:rPr>
        <w:t>the US</w:t>
      </w:r>
      <w:r w:rsidR="00634DB3" w:rsidRPr="006E7EEC">
        <w:rPr>
          <w:rFonts w:asciiTheme="majorHAnsi" w:eastAsia="Times New Roman" w:hAnsiTheme="majorHAnsi" w:cs="Times New Roman"/>
        </w:rPr>
        <w:t xml:space="preserve"> (n=348, blue) </w:t>
      </w:r>
      <w:r w:rsidRPr="006E7EEC">
        <w:rPr>
          <w:rFonts w:asciiTheme="majorHAnsi" w:eastAsia="Times New Roman" w:hAnsiTheme="majorHAnsi" w:cs="Times New Roman"/>
          <w:noProof/>
        </w:rPr>
        <w:t>(25)</w:t>
      </w:r>
      <w:r w:rsidR="00634DB3" w:rsidRPr="006E7EEC">
        <w:rPr>
          <w:rFonts w:asciiTheme="majorHAnsi" w:eastAsia="Times New Roman" w:hAnsiTheme="majorHAnsi" w:cs="Times New Roman"/>
          <w:noProof/>
        </w:rPr>
        <w:t>.</w:t>
      </w:r>
      <w:r w:rsidRPr="006E7EEC">
        <w:rPr>
          <w:rFonts w:asciiTheme="majorHAnsi" w:eastAsia="Times New Roman" w:hAnsiTheme="majorHAnsi" w:cs="Times New Roman"/>
        </w:rPr>
        <w:t xml:space="preserve"> Mid-point rooted maximum likelihood tree based on SNPs in the core genome alignment generated after mapping against the</w:t>
      </w:r>
      <w:r w:rsidR="001908A8" w:rsidRPr="006E7EEC">
        <w:rPr>
          <w:rFonts w:asciiTheme="majorHAnsi" w:eastAsia="Times New Roman" w:hAnsiTheme="majorHAnsi" w:cs="Times New Roman"/>
        </w:rPr>
        <w:t xml:space="preserve"> </w:t>
      </w:r>
      <w:r w:rsidRPr="006E7EEC">
        <w:rPr>
          <w:rFonts w:asciiTheme="majorHAnsi" w:eastAsia="Times New Roman" w:hAnsiTheme="majorHAnsi" w:cs="Times New Roman"/>
        </w:rPr>
        <w:t xml:space="preserve">reference genome FPR3757 (black). </w:t>
      </w:r>
    </w:p>
    <w:p w14:paraId="417B8A5A" w14:textId="77777777" w:rsidR="009B2AA7" w:rsidRPr="006E7EEC" w:rsidRDefault="009B2AA7" w:rsidP="009B2AA7">
      <w:pPr>
        <w:rPr>
          <w:rFonts w:asciiTheme="majorHAnsi" w:hAnsiTheme="majorHAnsi"/>
          <w:b/>
        </w:rPr>
      </w:pPr>
    </w:p>
    <w:p w14:paraId="3B777623" w14:textId="4AB91717" w:rsidR="009B2AA7" w:rsidRPr="006E7EEC" w:rsidRDefault="009B2AA7" w:rsidP="009B2AA7">
      <w:pPr>
        <w:rPr>
          <w:rFonts w:asciiTheme="majorHAnsi" w:hAnsiTheme="majorHAnsi" w:cs="Calibri"/>
        </w:rPr>
      </w:pPr>
      <w:r w:rsidRPr="00A83F24">
        <w:rPr>
          <w:rFonts w:asciiTheme="majorHAnsi" w:hAnsiTheme="majorHAnsi"/>
          <w:b/>
        </w:rPr>
        <w:t xml:space="preserve">Figure 6: </w:t>
      </w:r>
      <w:r w:rsidRPr="00A83F24">
        <w:rPr>
          <w:rFonts w:asciiTheme="majorHAnsi" w:hAnsiTheme="majorHAnsi"/>
        </w:rPr>
        <w:t>Comparison of</w:t>
      </w:r>
      <w:r w:rsidRPr="00A83F24">
        <w:rPr>
          <w:rFonts w:asciiTheme="majorHAnsi" w:hAnsiTheme="majorHAnsi"/>
          <w:b/>
        </w:rPr>
        <w:t xml:space="preserve"> </w:t>
      </w:r>
      <w:r w:rsidRPr="00A83F24">
        <w:rPr>
          <w:rFonts w:asciiTheme="majorHAnsi" w:hAnsiTheme="majorHAnsi"/>
        </w:rPr>
        <w:t xml:space="preserve">PHE BSI CC5 isolates (n=42, red branches) to those from the previously published national BSI BSAC collection (BSAC, n=28, blue branches)(13). Mid-point rooted maximum likelihood tree based on single nucleotide polymorphisms in the core genome alignment generated after mapping against the CC5 reference genome N315. Coloured bar represents referral network of submitting laboratory. Expansions within the South West </w:t>
      </w:r>
      <w:r w:rsidR="00A83F24">
        <w:rPr>
          <w:rFonts w:asciiTheme="majorHAnsi" w:hAnsiTheme="majorHAnsi"/>
        </w:rPr>
        <w:t>of England</w:t>
      </w:r>
      <w:r w:rsidRPr="00A83F24">
        <w:rPr>
          <w:rFonts w:asciiTheme="majorHAnsi" w:hAnsiTheme="majorHAnsi"/>
        </w:rPr>
        <w:t xml:space="preserve"> and Welsh region</w:t>
      </w:r>
      <w:r w:rsidR="00A83F24">
        <w:rPr>
          <w:rFonts w:asciiTheme="majorHAnsi" w:hAnsiTheme="majorHAnsi"/>
        </w:rPr>
        <w:t>s</w:t>
      </w:r>
      <w:r w:rsidRPr="00A83F24">
        <w:rPr>
          <w:rFonts w:asciiTheme="majorHAnsi" w:hAnsiTheme="majorHAnsi"/>
        </w:rPr>
        <w:t xml:space="preserve"> highlighted.</w:t>
      </w:r>
      <w:r w:rsidRPr="006E7EEC">
        <w:rPr>
          <w:rFonts w:asciiTheme="majorHAnsi" w:hAnsiTheme="majorHAnsi" w:cs="Calibri"/>
        </w:rPr>
        <w:t xml:space="preserve"> </w:t>
      </w:r>
    </w:p>
    <w:p w14:paraId="70FBF594" w14:textId="77777777" w:rsidR="009B2AA7" w:rsidRPr="00A83F24" w:rsidRDefault="009B2AA7" w:rsidP="009B2AA7">
      <w:pPr>
        <w:rPr>
          <w:rFonts w:asciiTheme="majorHAnsi" w:hAnsiTheme="majorHAnsi"/>
          <w:b/>
        </w:rPr>
      </w:pPr>
    </w:p>
    <w:p w14:paraId="7B5BE39C" w14:textId="77777777" w:rsidR="001E1012" w:rsidRPr="006E7EEC" w:rsidRDefault="001E1012" w:rsidP="001E1012">
      <w:pPr>
        <w:outlineLvl w:val="0"/>
        <w:rPr>
          <w:rFonts w:asciiTheme="majorHAnsi" w:hAnsiTheme="majorHAnsi"/>
          <w:b/>
        </w:rPr>
      </w:pPr>
      <w:r w:rsidRPr="006E7EEC">
        <w:rPr>
          <w:rFonts w:asciiTheme="majorHAnsi" w:hAnsiTheme="majorHAnsi"/>
          <w:b/>
        </w:rPr>
        <w:t>Supplementary files</w:t>
      </w:r>
    </w:p>
    <w:p w14:paraId="0F37C6CB" w14:textId="77777777" w:rsidR="001E1012" w:rsidRPr="006E7EEC" w:rsidRDefault="001E1012" w:rsidP="001E1012">
      <w:pPr>
        <w:rPr>
          <w:rFonts w:asciiTheme="majorHAnsi" w:hAnsiTheme="majorHAnsi"/>
        </w:rPr>
      </w:pPr>
      <w:r w:rsidRPr="006E7EEC">
        <w:rPr>
          <w:rFonts w:asciiTheme="majorHAnsi" w:hAnsiTheme="majorHAnsi"/>
          <w:b/>
        </w:rPr>
        <w:t xml:space="preserve">Table S1: </w:t>
      </w:r>
      <w:r w:rsidRPr="006E7EEC">
        <w:rPr>
          <w:rFonts w:asciiTheme="majorHAnsi" w:hAnsiTheme="majorHAnsi"/>
        </w:rPr>
        <w:t>Accession numbers and assembly statistics for isolates.</w:t>
      </w:r>
    </w:p>
    <w:p w14:paraId="69D21B9B" w14:textId="77777777" w:rsidR="001E1012" w:rsidRPr="006E7EEC" w:rsidRDefault="001E1012" w:rsidP="001E1012">
      <w:pPr>
        <w:rPr>
          <w:rFonts w:asciiTheme="majorHAnsi" w:hAnsiTheme="majorHAnsi"/>
        </w:rPr>
      </w:pPr>
      <w:r w:rsidRPr="006E7EEC">
        <w:rPr>
          <w:rFonts w:asciiTheme="majorHAnsi" w:hAnsiTheme="majorHAnsi"/>
          <w:b/>
        </w:rPr>
        <w:t>Table S2:</w:t>
      </w:r>
      <w:r w:rsidRPr="006E7EEC">
        <w:rPr>
          <w:rFonts w:asciiTheme="majorHAnsi" w:hAnsiTheme="majorHAnsi"/>
        </w:rPr>
        <w:t xml:space="preserve"> Combined genomic and epidemiological data.</w:t>
      </w:r>
    </w:p>
    <w:p w14:paraId="3C79FC8D" w14:textId="77777777" w:rsidR="001E1012" w:rsidRPr="006E7EEC" w:rsidRDefault="001E1012" w:rsidP="001E1012">
      <w:pPr>
        <w:outlineLvl w:val="0"/>
        <w:rPr>
          <w:rFonts w:asciiTheme="majorHAnsi" w:hAnsiTheme="majorHAnsi"/>
        </w:rPr>
      </w:pPr>
      <w:r w:rsidRPr="006E7EEC">
        <w:rPr>
          <w:rFonts w:asciiTheme="majorHAnsi" w:hAnsiTheme="majorHAnsi"/>
          <w:b/>
        </w:rPr>
        <w:t xml:space="preserve">Figure S1: </w:t>
      </w:r>
      <w:r w:rsidRPr="006E7EEC">
        <w:rPr>
          <w:rFonts w:asciiTheme="majorHAnsi" w:hAnsiTheme="majorHAnsi"/>
        </w:rPr>
        <w:t>Flowchart of sample processing and analysis.</w:t>
      </w:r>
    </w:p>
    <w:p w14:paraId="2EDA6EA3" w14:textId="77777777" w:rsidR="001E1012" w:rsidRPr="006E7EEC" w:rsidRDefault="001E1012" w:rsidP="009750B7">
      <w:pPr>
        <w:jc w:val="both"/>
        <w:outlineLvl w:val="0"/>
        <w:rPr>
          <w:rFonts w:asciiTheme="majorHAnsi" w:hAnsiTheme="majorHAnsi"/>
          <w:b/>
        </w:rPr>
      </w:pPr>
    </w:p>
    <w:p w14:paraId="3F1734B9" w14:textId="77777777" w:rsidR="009B2AA7" w:rsidRPr="006E7EEC" w:rsidRDefault="009B2AA7" w:rsidP="009750B7">
      <w:pPr>
        <w:jc w:val="both"/>
        <w:outlineLvl w:val="0"/>
        <w:rPr>
          <w:rFonts w:asciiTheme="majorHAnsi" w:hAnsiTheme="majorHAnsi"/>
          <w:b/>
        </w:rPr>
      </w:pPr>
      <w:r w:rsidRPr="006E7EEC">
        <w:rPr>
          <w:rFonts w:asciiTheme="majorHAnsi" w:hAnsiTheme="majorHAnsi"/>
          <w:b/>
        </w:rPr>
        <w:t>References</w:t>
      </w:r>
    </w:p>
    <w:p w14:paraId="784E68E2"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w:t>
      </w:r>
      <w:r w:rsidRPr="006E7EEC">
        <w:rPr>
          <w:rFonts w:asciiTheme="majorHAnsi" w:hAnsiTheme="majorHAnsi"/>
          <w:noProof/>
        </w:rPr>
        <w:tab/>
        <w:t xml:space="preserve">Duerden B, Fry C, Johnson AP, Wilcox MH. The Control of Methicillin-Resistant </w:t>
      </w:r>
      <w:r w:rsidRPr="006E7EEC">
        <w:rPr>
          <w:rFonts w:asciiTheme="majorHAnsi" w:hAnsiTheme="majorHAnsi"/>
          <w:i/>
          <w:noProof/>
        </w:rPr>
        <w:t>Staphylococcus aureus</w:t>
      </w:r>
      <w:r w:rsidRPr="006E7EEC">
        <w:rPr>
          <w:rFonts w:asciiTheme="majorHAnsi" w:hAnsiTheme="majorHAnsi"/>
          <w:noProof/>
        </w:rPr>
        <w:t xml:space="preserve"> Blood Stream Infections in England. Open Forum Infect Dis. 2015;2(2):ofv035.</w:t>
      </w:r>
    </w:p>
    <w:p w14:paraId="731A9179"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w:t>
      </w:r>
      <w:r w:rsidRPr="006E7EEC">
        <w:rPr>
          <w:rFonts w:asciiTheme="majorHAnsi" w:hAnsiTheme="majorHAnsi"/>
          <w:noProof/>
        </w:rPr>
        <w:tab/>
        <w:t xml:space="preserve">Johnson AP, Davies J, Guy R, Abernethy J, Sheridan E, Pearson A, et al. Mandatory surveillance of methicillin-resistant </w:t>
      </w:r>
      <w:r w:rsidRPr="006E7EEC">
        <w:rPr>
          <w:rFonts w:asciiTheme="majorHAnsi" w:hAnsiTheme="majorHAnsi"/>
          <w:i/>
          <w:noProof/>
        </w:rPr>
        <w:t>Staphylococcus aureus</w:t>
      </w:r>
      <w:r w:rsidRPr="006E7EEC">
        <w:rPr>
          <w:rFonts w:asciiTheme="majorHAnsi" w:hAnsiTheme="majorHAnsi"/>
          <w:noProof/>
        </w:rPr>
        <w:t xml:space="preserve"> (MRSA) bacteraemia in England: the first 10 years. J Antimicrob Chemother.  2012;67(4):802-9.</w:t>
      </w:r>
    </w:p>
    <w:p w14:paraId="5D4BB409"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w:t>
      </w:r>
      <w:r w:rsidRPr="006E7EEC">
        <w:rPr>
          <w:rFonts w:asciiTheme="majorHAnsi" w:hAnsiTheme="majorHAnsi"/>
          <w:noProof/>
        </w:rPr>
        <w:tab/>
        <w:t xml:space="preserve">Coia JE, Duckworth GJ, Edwards DI, Farrington M, Fry C, Humphreys H, et al. Guidelines for the control and prevention of meticillin-resistant </w:t>
      </w:r>
      <w:r w:rsidRPr="006E7EEC">
        <w:rPr>
          <w:rFonts w:asciiTheme="majorHAnsi" w:hAnsiTheme="majorHAnsi"/>
          <w:i/>
          <w:noProof/>
        </w:rPr>
        <w:t>Staphylococcus aureus</w:t>
      </w:r>
      <w:r w:rsidRPr="006E7EEC">
        <w:rPr>
          <w:rFonts w:asciiTheme="majorHAnsi" w:hAnsiTheme="majorHAnsi"/>
          <w:noProof/>
        </w:rPr>
        <w:t xml:space="preserve"> (MRSA) in healthcare facilities. J Hosp Inf. 2006;63 Suppl 1:S1-44.</w:t>
      </w:r>
    </w:p>
    <w:p w14:paraId="3C469875"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4.</w:t>
      </w:r>
      <w:r w:rsidRPr="006E7EEC">
        <w:rPr>
          <w:rFonts w:asciiTheme="majorHAnsi" w:hAnsiTheme="majorHAnsi"/>
          <w:noProof/>
        </w:rPr>
        <w:tab/>
        <w:t>Wilson M. Addressing the problems of long-term urethral catheterization: part 2. Brit J Nurs. 2012;21(1):16, 8-20</w:t>
      </w:r>
      <w:r w:rsidR="00FF676E" w:rsidRPr="006E7EEC">
        <w:rPr>
          <w:rFonts w:asciiTheme="majorHAnsi" w:hAnsiTheme="majorHAnsi"/>
          <w:noProof/>
        </w:rPr>
        <w:t>.</w:t>
      </w:r>
    </w:p>
    <w:p w14:paraId="7B539C83"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5.</w:t>
      </w:r>
      <w:r w:rsidRPr="006E7EEC">
        <w:rPr>
          <w:rFonts w:asciiTheme="majorHAnsi" w:hAnsiTheme="majorHAnsi"/>
          <w:noProof/>
        </w:rPr>
        <w:tab/>
        <w:t>Wyllie D, Paul J, Crook D. Waves of trouble: MRSA strain dynamics and assessment of the impact of infection control. J Antimicrob Chemother. 2011;66(12):2685-8.</w:t>
      </w:r>
    </w:p>
    <w:p w14:paraId="51A84FE4"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6.</w:t>
      </w:r>
      <w:r w:rsidRPr="006E7EEC">
        <w:rPr>
          <w:rFonts w:asciiTheme="majorHAnsi" w:hAnsiTheme="majorHAnsi"/>
          <w:noProof/>
        </w:rPr>
        <w:tab/>
        <w:t>Lawes T, Lopez-Lozano JM, Nebot C, Macartney G, Subbarao-Sharma R, Dare CR, et al. Turning the tide or riding the waves? Impacts of antibiotic stewardship and infection control on MRSA strain dynamics in a Scottish region over 16 years: non-linear time series analysis. BMJ open. 2015;5(3):e006596.</w:t>
      </w:r>
    </w:p>
    <w:p w14:paraId="410DB2DF"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7.</w:t>
      </w:r>
      <w:r w:rsidRPr="006E7EEC">
        <w:rPr>
          <w:rFonts w:asciiTheme="majorHAnsi" w:hAnsiTheme="majorHAnsi"/>
          <w:noProof/>
        </w:rPr>
        <w:tab/>
        <w:t xml:space="preserve">Price JR, Didelot X, Crook DW, Llewelyn MJ, Paul J. Whole genome sequencing in the prevention and control of </w:t>
      </w:r>
      <w:r w:rsidRPr="006E7EEC">
        <w:rPr>
          <w:rFonts w:asciiTheme="majorHAnsi" w:hAnsiTheme="majorHAnsi"/>
          <w:i/>
          <w:noProof/>
        </w:rPr>
        <w:t>Staphylococcus aureus</w:t>
      </w:r>
      <w:r w:rsidRPr="006E7EEC">
        <w:rPr>
          <w:rFonts w:asciiTheme="majorHAnsi" w:hAnsiTheme="majorHAnsi"/>
          <w:noProof/>
        </w:rPr>
        <w:t xml:space="preserve"> infection. J Hosp Inf. 2013;83(1):14-21.</w:t>
      </w:r>
    </w:p>
    <w:p w14:paraId="4593F512"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8.</w:t>
      </w:r>
      <w:r w:rsidRPr="006E7EEC">
        <w:rPr>
          <w:rFonts w:asciiTheme="majorHAnsi" w:hAnsiTheme="majorHAnsi"/>
          <w:noProof/>
        </w:rPr>
        <w:tab/>
        <w:t xml:space="preserve">Garvey MI, Pichon B, Bradley CW, Moiemen NS, Oppenheim B, Kearns AM. Improved understanding of an outbreak of meticillin-resistant </w:t>
      </w:r>
      <w:r w:rsidRPr="006E7EEC">
        <w:rPr>
          <w:rFonts w:asciiTheme="majorHAnsi" w:hAnsiTheme="majorHAnsi"/>
          <w:i/>
          <w:noProof/>
        </w:rPr>
        <w:t xml:space="preserve">Staphylococcus aureus </w:t>
      </w:r>
      <w:r w:rsidRPr="006E7EEC">
        <w:rPr>
          <w:rFonts w:asciiTheme="majorHAnsi" w:hAnsiTheme="majorHAnsi"/>
          <w:noProof/>
        </w:rPr>
        <w:t>in a regional burns centre via whole-genome sequencing. J Hosp Inf. 2016;94(4):401-4.</w:t>
      </w:r>
    </w:p>
    <w:p w14:paraId="582D8822"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9.</w:t>
      </w:r>
      <w:r w:rsidRPr="006E7EEC">
        <w:rPr>
          <w:rFonts w:asciiTheme="majorHAnsi" w:hAnsiTheme="majorHAnsi"/>
          <w:noProof/>
        </w:rPr>
        <w:tab/>
        <w:t xml:space="preserve">Harris SR, Cartwright EJ, Torok ME, Holden MT, Brown NM, Ogilvy-Stuart AL, et al. Whole-genome sequencing for analysis of an outbreak of meticillin-resistant </w:t>
      </w:r>
      <w:r w:rsidRPr="006E7EEC">
        <w:rPr>
          <w:rFonts w:asciiTheme="majorHAnsi" w:hAnsiTheme="majorHAnsi"/>
          <w:i/>
          <w:noProof/>
        </w:rPr>
        <w:t>Staphylococcus aureus</w:t>
      </w:r>
      <w:r w:rsidRPr="006E7EEC">
        <w:rPr>
          <w:rFonts w:asciiTheme="majorHAnsi" w:hAnsiTheme="majorHAnsi"/>
          <w:noProof/>
        </w:rPr>
        <w:t>: a descriptive study. Lancet Inf Dis. 2013;13(2):130-6.</w:t>
      </w:r>
    </w:p>
    <w:p w14:paraId="65CC5CF6"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10.</w:t>
      </w:r>
      <w:r w:rsidRPr="006E7EEC">
        <w:rPr>
          <w:rFonts w:asciiTheme="majorHAnsi" w:hAnsiTheme="majorHAnsi"/>
          <w:noProof/>
        </w:rPr>
        <w:tab/>
        <w:t>Koser CU, Holden MT, Ellington MJ, Cartwright EJ, Brown NM, Ogilvy-Stuart AL, et al. Rapid whole-genome sequencing for investigation of a neonatal MRSA outbreak. New Eng J Med. 2012;366(24):2267-75.</w:t>
      </w:r>
    </w:p>
    <w:p w14:paraId="6C1736AF"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11.</w:t>
      </w:r>
      <w:r w:rsidRPr="006E7EEC">
        <w:rPr>
          <w:rFonts w:asciiTheme="majorHAnsi" w:hAnsiTheme="majorHAnsi"/>
          <w:noProof/>
        </w:rPr>
        <w:tab/>
        <w:t xml:space="preserve">Price JR, Golubchik T, Cole K, Wilson DJ, Crook DW, Thwaites GE, et al. Whole-genome sequencing shows that patient-to-patient transmission rarely accounts for acquisition of </w:t>
      </w:r>
      <w:r w:rsidRPr="006E7EEC">
        <w:rPr>
          <w:rFonts w:asciiTheme="majorHAnsi" w:hAnsiTheme="majorHAnsi"/>
          <w:i/>
          <w:noProof/>
        </w:rPr>
        <w:t>Staphylococcus aureus</w:t>
      </w:r>
      <w:r w:rsidRPr="006E7EEC">
        <w:rPr>
          <w:rFonts w:asciiTheme="majorHAnsi" w:hAnsiTheme="majorHAnsi"/>
          <w:noProof/>
        </w:rPr>
        <w:t xml:space="preserve"> in an intensive care unit. Clin Inf Dis 2014;58(5):609-18.</w:t>
      </w:r>
    </w:p>
    <w:p w14:paraId="5199D84D"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12.</w:t>
      </w:r>
      <w:r w:rsidRPr="006E7EEC">
        <w:rPr>
          <w:rFonts w:asciiTheme="majorHAnsi" w:hAnsiTheme="majorHAnsi"/>
          <w:noProof/>
        </w:rPr>
        <w:tab/>
        <w:t>Torok ME, Harris SR, Cartwright EJ, Raven KE, Brown NM, Allison ME, et al. Zero tolerance for healthcare-associated MRSA bacteraemia: is it realistic? J Antimicrob Chemother. 2014;69(8):2238-45.</w:t>
      </w:r>
    </w:p>
    <w:p w14:paraId="160BDE36"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13.</w:t>
      </w:r>
      <w:r w:rsidRPr="006E7EEC">
        <w:rPr>
          <w:rFonts w:asciiTheme="majorHAnsi" w:hAnsiTheme="majorHAnsi"/>
          <w:noProof/>
        </w:rPr>
        <w:tab/>
        <w:t>Reuter S, Török ME, Holden MTG, Reynolds R, Raven KE, Blane B, et al. Building a genomic framework for prospective MRSA surveillance in the United Kingdom and the Republic of Ireland. Genome Res. 2016;26(2):263-70.</w:t>
      </w:r>
    </w:p>
    <w:p w14:paraId="60588818"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14.</w:t>
      </w:r>
      <w:r w:rsidRPr="006E7EEC">
        <w:rPr>
          <w:rFonts w:asciiTheme="majorHAnsi" w:hAnsiTheme="majorHAnsi"/>
          <w:noProof/>
        </w:rPr>
        <w:tab/>
        <w:t xml:space="preserve">Holden MT, Hsu LY, Kurt K, Weinert LA, Mather AE, Harris SR, et al. A genomic portrait of the emergence, evolution, and global spread of a methicillin-resistant </w:t>
      </w:r>
      <w:r w:rsidRPr="006E7EEC">
        <w:rPr>
          <w:rFonts w:asciiTheme="majorHAnsi" w:hAnsiTheme="majorHAnsi"/>
          <w:i/>
          <w:noProof/>
        </w:rPr>
        <w:t>Staphylococcus aureus</w:t>
      </w:r>
      <w:r w:rsidRPr="006E7EEC">
        <w:rPr>
          <w:rFonts w:asciiTheme="majorHAnsi" w:hAnsiTheme="majorHAnsi"/>
          <w:noProof/>
        </w:rPr>
        <w:t xml:space="preserve"> pandemic. Genome Res. 2013;23(4):653-64.</w:t>
      </w:r>
    </w:p>
    <w:p w14:paraId="3F69EFB0"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15.</w:t>
      </w:r>
      <w:r w:rsidRPr="006E7EEC">
        <w:rPr>
          <w:rFonts w:asciiTheme="majorHAnsi" w:hAnsiTheme="majorHAnsi"/>
          <w:noProof/>
        </w:rPr>
        <w:tab/>
        <w:t xml:space="preserve">Grundmann H, Schouls LM, Aanensen DM, Pluister GN, Tami A, Chlebowicz M, et al. The dynamic changes of dominant clones of </w:t>
      </w:r>
      <w:r w:rsidRPr="006E7EEC">
        <w:rPr>
          <w:rFonts w:asciiTheme="majorHAnsi" w:hAnsiTheme="majorHAnsi"/>
          <w:i/>
          <w:noProof/>
        </w:rPr>
        <w:t>Staphylococcus aureus</w:t>
      </w:r>
      <w:r w:rsidRPr="006E7EEC">
        <w:rPr>
          <w:rFonts w:asciiTheme="majorHAnsi" w:hAnsiTheme="majorHAnsi"/>
          <w:noProof/>
        </w:rPr>
        <w:t xml:space="preserve"> causing bloodstream infections in the European region: results of a second structured survey. Euro Surveill. 2014;19(49).</w:t>
      </w:r>
    </w:p>
    <w:p w14:paraId="5E1D0D26"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16.</w:t>
      </w:r>
      <w:r w:rsidRPr="006E7EEC">
        <w:rPr>
          <w:rFonts w:asciiTheme="majorHAnsi" w:hAnsiTheme="majorHAnsi"/>
          <w:noProof/>
        </w:rPr>
        <w:tab/>
        <w:t>Planet PJ. Life After USA300: The Rise and Fall of a Superbug. J Inf Dis. 2017;215(suppl_1):S71-S7.</w:t>
      </w:r>
    </w:p>
    <w:p w14:paraId="1B8E5F52"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17.</w:t>
      </w:r>
      <w:r w:rsidRPr="006E7EEC">
        <w:rPr>
          <w:rFonts w:asciiTheme="majorHAnsi" w:hAnsiTheme="majorHAnsi"/>
          <w:noProof/>
        </w:rPr>
        <w:tab/>
        <w:t xml:space="preserve">Holmes A GM, McGuane S, Pitt TL, Cookson BD, Kearns AM. </w:t>
      </w:r>
      <w:r w:rsidRPr="006E7EEC">
        <w:rPr>
          <w:rFonts w:asciiTheme="majorHAnsi" w:hAnsiTheme="majorHAnsi"/>
          <w:i/>
          <w:noProof/>
        </w:rPr>
        <w:t>Staphylococcus aureus</w:t>
      </w:r>
      <w:r w:rsidRPr="006E7EEC">
        <w:rPr>
          <w:rFonts w:asciiTheme="majorHAnsi" w:hAnsiTheme="majorHAnsi"/>
          <w:noProof/>
        </w:rPr>
        <w:t xml:space="preserve"> isolates carrying Panton-Valentine leucocidin genes in England and Wales: frequency, characterization, and association with clinical disease. J Clin Micro. 2005;43(5):2384-90.</w:t>
      </w:r>
    </w:p>
    <w:p w14:paraId="3FEB9193"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18.</w:t>
      </w:r>
      <w:r w:rsidRPr="006E7EEC">
        <w:rPr>
          <w:rFonts w:asciiTheme="majorHAnsi" w:hAnsiTheme="majorHAnsi"/>
          <w:noProof/>
        </w:rPr>
        <w:tab/>
        <w:t>Pichon B HR, Laurent F, Larsen AR, Skov RL, Holmes M, et al. Development of a real-time quadruplex PCR assay for simultaneous detection of nuc, Panton-Valentine leucocidin (PVL), mecA and homologue mecALGA251. J Antimicrob Chemother. 2012;67(10):2338-41.</w:t>
      </w:r>
    </w:p>
    <w:p w14:paraId="4B3C8480"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19.</w:t>
      </w:r>
      <w:r w:rsidRPr="006E7EEC">
        <w:rPr>
          <w:rFonts w:asciiTheme="majorHAnsi" w:hAnsiTheme="majorHAnsi"/>
          <w:noProof/>
        </w:rPr>
        <w:tab/>
        <w:t>Reuter S, Ellington MJ, Cartwright EJ, Koser CU, Torok ME, Gouliouris T, et al. Rapid bacterial whole-genome sequencing to enhance diagnostic and public health microbiology. JAMA Int Med. 2013;173(15):1397-404.</w:t>
      </w:r>
    </w:p>
    <w:p w14:paraId="6BB40301"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20.</w:t>
      </w:r>
      <w:r w:rsidRPr="006E7EEC">
        <w:rPr>
          <w:rFonts w:asciiTheme="majorHAnsi" w:hAnsiTheme="majorHAnsi"/>
          <w:noProof/>
        </w:rPr>
        <w:tab/>
        <w:t>Page, AJ, De Silva, N, Hunt, M., Quail, MA, Parkhill, J, Harris, SR, Otto, TD, Keane, JA. Robust high throughput prokaryote de novo assembly</w:t>
      </w:r>
    </w:p>
    <w:p w14:paraId="73E43BC4"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and improvement pipeline for Illumina data, Microb Genom 2016, 2(8): e000083</w:t>
      </w:r>
    </w:p>
    <w:p w14:paraId="15D5B887"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PMID: 28348874.</w:t>
      </w:r>
    </w:p>
    <w:p w14:paraId="4314E34B"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21.</w:t>
      </w:r>
      <w:r w:rsidRPr="006E7EEC">
        <w:rPr>
          <w:rFonts w:asciiTheme="majorHAnsi" w:hAnsiTheme="majorHAnsi"/>
          <w:noProof/>
        </w:rPr>
        <w:tab/>
        <w:t xml:space="preserve">Multilocus sequence typing by blast from de novo assemblies against PubMLST", Andrew J. Page, Ben Taylor, Jacqueline A. Keane. JOSS (2016). doi: </w:t>
      </w:r>
      <w:r w:rsidRPr="006E7EEC">
        <w:rPr>
          <w:rFonts w:asciiTheme="majorHAnsi" w:hAnsiTheme="majorHAnsi"/>
          <w:noProof/>
          <w:lang w:val="en-GB"/>
        </w:rPr>
        <w:t>http://dx.doi.org/10.21105/joss.00118</w:t>
      </w:r>
      <w:r w:rsidRPr="006E7EEC">
        <w:rPr>
          <w:rFonts w:asciiTheme="majorHAnsi" w:hAnsiTheme="majorHAnsi"/>
          <w:noProof/>
        </w:rPr>
        <w:t>.</w:t>
      </w:r>
    </w:p>
    <w:p w14:paraId="13607C55"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22.</w:t>
      </w:r>
      <w:r w:rsidRPr="006E7EEC">
        <w:rPr>
          <w:rFonts w:asciiTheme="majorHAnsi" w:hAnsiTheme="majorHAnsi"/>
          <w:noProof/>
        </w:rPr>
        <w:tab/>
        <w:t>Stamatakis A, Ludwig T, Meier H. RAxML-III: a fast program for maximum likelihood-based inference of large phylogenetic trees. Bioinf. 2005;21(4):456-63.</w:t>
      </w:r>
    </w:p>
    <w:p w14:paraId="778E7250"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23.</w:t>
      </w:r>
      <w:r w:rsidRPr="006E7EEC">
        <w:rPr>
          <w:rFonts w:asciiTheme="majorHAnsi" w:hAnsiTheme="majorHAnsi"/>
          <w:noProof/>
        </w:rPr>
        <w:tab/>
        <w:t xml:space="preserve">Kahl BC, Mellmann A, Deiwick S, Peters G, Harmsen D. Variation of the polymorphic region X of the protein A gene during persistent airway infection of cystic fibrosis patients reflects two independent mechanisms of genetic change in </w:t>
      </w:r>
      <w:r w:rsidRPr="006E7EEC">
        <w:rPr>
          <w:rFonts w:asciiTheme="majorHAnsi" w:hAnsiTheme="majorHAnsi"/>
          <w:i/>
          <w:noProof/>
        </w:rPr>
        <w:t>Staphylococcus aureus</w:t>
      </w:r>
      <w:r w:rsidRPr="006E7EEC">
        <w:rPr>
          <w:rFonts w:asciiTheme="majorHAnsi" w:hAnsiTheme="majorHAnsi"/>
          <w:noProof/>
        </w:rPr>
        <w:t>. J Clin Micro. 2005;43(1):502-5.</w:t>
      </w:r>
    </w:p>
    <w:p w14:paraId="2EC45210"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24.</w:t>
      </w:r>
      <w:r w:rsidRPr="006E7EEC">
        <w:rPr>
          <w:rFonts w:asciiTheme="majorHAnsi" w:hAnsiTheme="majorHAnsi"/>
          <w:noProof/>
        </w:rPr>
        <w:tab/>
        <w:t>Coll F, Harrison EM, Toleman MS, Reuter S, Raven KE, Blane B, et al. Longitudinal genomic surveillance of MRSA in the UK reveals transmission patterns in hospitals and the community. Science Trans Med. 2017;9(413).</w:t>
      </w:r>
    </w:p>
    <w:p w14:paraId="3C8CF1FA"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25.</w:t>
      </w:r>
      <w:r w:rsidRPr="006E7EEC">
        <w:rPr>
          <w:rFonts w:asciiTheme="majorHAnsi" w:hAnsiTheme="majorHAnsi"/>
          <w:noProof/>
        </w:rPr>
        <w:tab/>
        <w:t xml:space="preserve">Uhlemann A-C, Dordel J, Knox JR, Raven KE, Parkhill J, Holden MTG, et al. Molecular tracing of the emergence, diversification, and transmission of </w:t>
      </w:r>
      <w:r w:rsidRPr="006E7EEC">
        <w:rPr>
          <w:rFonts w:asciiTheme="majorHAnsi" w:hAnsiTheme="majorHAnsi"/>
          <w:i/>
          <w:noProof/>
        </w:rPr>
        <w:t>S. aureus</w:t>
      </w:r>
      <w:r w:rsidRPr="006E7EEC">
        <w:rPr>
          <w:rFonts w:asciiTheme="majorHAnsi" w:hAnsiTheme="majorHAnsi"/>
          <w:noProof/>
        </w:rPr>
        <w:t xml:space="preserve"> sequence type 8 in a New York community. PNAS. 2014;111(18):6738-43.</w:t>
      </w:r>
    </w:p>
    <w:p w14:paraId="062BC636"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26.</w:t>
      </w:r>
      <w:r w:rsidRPr="006E7EEC">
        <w:rPr>
          <w:rFonts w:asciiTheme="majorHAnsi" w:hAnsiTheme="majorHAnsi"/>
          <w:noProof/>
        </w:rPr>
        <w:tab/>
        <w:t xml:space="preserve">David MZ, Daum RS. Community-associated methicillin-resistant </w:t>
      </w:r>
      <w:r w:rsidRPr="006E7EEC">
        <w:rPr>
          <w:rFonts w:asciiTheme="majorHAnsi" w:hAnsiTheme="majorHAnsi"/>
          <w:i/>
          <w:noProof/>
        </w:rPr>
        <w:t>Staphylococcus aureus</w:t>
      </w:r>
      <w:r w:rsidRPr="006E7EEC">
        <w:rPr>
          <w:rFonts w:asciiTheme="majorHAnsi" w:hAnsiTheme="majorHAnsi"/>
          <w:noProof/>
        </w:rPr>
        <w:t>: epidemiology and clinical consequences of an emerging epidemic. Clin Micro Rev. 2010;23(3):616-87.</w:t>
      </w:r>
    </w:p>
    <w:p w14:paraId="585FB68B"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27.</w:t>
      </w:r>
      <w:r w:rsidRPr="006E7EEC">
        <w:rPr>
          <w:rFonts w:asciiTheme="majorHAnsi" w:hAnsiTheme="majorHAnsi"/>
          <w:noProof/>
        </w:rPr>
        <w:tab/>
        <w:t xml:space="preserve">Centers for Disease Control and Prevention (CDC). Methicillin-resistant </w:t>
      </w:r>
      <w:r w:rsidRPr="006E7EEC">
        <w:rPr>
          <w:rFonts w:asciiTheme="majorHAnsi" w:hAnsiTheme="majorHAnsi"/>
          <w:i/>
          <w:noProof/>
        </w:rPr>
        <w:t>Staphylococcus aureus</w:t>
      </w:r>
      <w:r w:rsidRPr="006E7EEC">
        <w:rPr>
          <w:rFonts w:asciiTheme="majorHAnsi" w:hAnsiTheme="majorHAnsi"/>
          <w:noProof/>
        </w:rPr>
        <w:t xml:space="preserve"> skin or soft tissue infections in a state prison - Mississippi, 2000. MMWR Morb Mortal Wkly Rep. 2001(50):919-22.</w:t>
      </w:r>
    </w:p>
    <w:p w14:paraId="6AEAE3C9"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28.</w:t>
      </w:r>
      <w:r w:rsidRPr="006E7EEC">
        <w:rPr>
          <w:rFonts w:asciiTheme="majorHAnsi" w:hAnsiTheme="majorHAnsi"/>
          <w:noProof/>
        </w:rPr>
        <w:tab/>
        <w:t xml:space="preserve">Seidl K, Leimer N, Palheiros Marques M, Furrer A, Senn G, Holzmann-Burgel A, et al. USA300 methicillin-resistant </w:t>
      </w:r>
      <w:r w:rsidRPr="006E7EEC">
        <w:rPr>
          <w:rFonts w:asciiTheme="majorHAnsi" w:hAnsiTheme="majorHAnsi"/>
          <w:i/>
          <w:noProof/>
        </w:rPr>
        <w:t>Staphylococcus aureus</w:t>
      </w:r>
      <w:r w:rsidRPr="006E7EEC">
        <w:rPr>
          <w:rFonts w:asciiTheme="majorHAnsi" w:hAnsiTheme="majorHAnsi"/>
          <w:noProof/>
        </w:rPr>
        <w:t xml:space="preserve"> in Zurich, Switzerland between 2001 and 2013. IJMM 2014;304(8):1118-22.</w:t>
      </w:r>
    </w:p>
    <w:p w14:paraId="5031886F"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29.</w:t>
      </w:r>
      <w:r w:rsidRPr="006E7EEC">
        <w:rPr>
          <w:rFonts w:asciiTheme="majorHAnsi" w:hAnsiTheme="majorHAnsi"/>
          <w:noProof/>
        </w:rPr>
        <w:tab/>
        <w:t>Baud O, Giron S, Aumeran C, Mouly D, Bardon G, Besson M, et al. First outbreak of community-acquired MRSA USA300 in France: failure to suppress prolonged MRSA carriage despite decontamination procedures. Eur J Clin Microbiol Inf Dis. 2014;33(10):1757-62.</w:t>
      </w:r>
    </w:p>
    <w:p w14:paraId="174BF241"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30.</w:t>
      </w:r>
      <w:r w:rsidRPr="006E7EEC">
        <w:rPr>
          <w:rFonts w:asciiTheme="majorHAnsi" w:hAnsiTheme="majorHAnsi"/>
          <w:noProof/>
        </w:rPr>
        <w:tab/>
        <w:t xml:space="preserve">Blanco R, Tristan A, Ezpeleta G, Larsen AR, Bes M, Etienne J, et al. Molecular epidemiology of Panton-Valentine leukocidin-positive </w:t>
      </w:r>
      <w:r w:rsidRPr="006E7EEC">
        <w:rPr>
          <w:rFonts w:asciiTheme="majorHAnsi" w:hAnsiTheme="majorHAnsi"/>
          <w:i/>
          <w:noProof/>
        </w:rPr>
        <w:t>Staphylococcus aureus</w:t>
      </w:r>
      <w:r w:rsidRPr="006E7EEC">
        <w:rPr>
          <w:rFonts w:asciiTheme="majorHAnsi" w:hAnsiTheme="majorHAnsi"/>
          <w:noProof/>
        </w:rPr>
        <w:t xml:space="preserve"> in Spain: emergence of the USA300 clone in an autochthonous population. J Clin Micro. 2011;49(1):433-6.</w:t>
      </w:r>
    </w:p>
    <w:p w14:paraId="5799589E"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31.</w:t>
      </w:r>
      <w:r w:rsidRPr="006E7EEC">
        <w:rPr>
          <w:rFonts w:asciiTheme="majorHAnsi" w:hAnsiTheme="majorHAnsi"/>
          <w:noProof/>
        </w:rPr>
        <w:tab/>
        <w:t xml:space="preserve">van der Mee-Marquet N, Poisson DM, Lavigne JP, Francia T, Tristan A, Vandenesch F, et al. The incidence of </w:t>
      </w:r>
      <w:r w:rsidRPr="006E7EEC">
        <w:rPr>
          <w:rFonts w:asciiTheme="majorHAnsi" w:hAnsiTheme="majorHAnsi"/>
          <w:i/>
          <w:noProof/>
        </w:rPr>
        <w:t>Staphylococcus aureus</w:t>
      </w:r>
      <w:r w:rsidRPr="006E7EEC">
        <w:rPr>
          <w:rFonts w:asciiTheme="majorHAnsi" w:hAnsiTheme="majorHAnsi"/>
          <w:noProof/>
        </w:rPr>
        <w:t xml:space="preserve"> ST8-USA300 among French pediatric inpatients is rising. Eur J Clin Microbiol Inf Dis. 2015.</w:t>
      </w:r>
    </w:p>
    <w:p w14:paraId="30E9774C"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32.</w:t>
      </w:r>
      <w:r w:rsidRPr="006E7EEC">
        <w:rPr>
          <w:rFonts w:asciiTheme="majorHAnsi" w:hAnsiTheme="majorHAnsi"/>
          <w:noProof/>
        </w:rPr>
        <w:tab/>
        <w:t xml:space="preserve">Toleman MS, Reuter S, Coll F, Harrison EM, Blane B, Brown NM, et al. Systematic Surveillance Detects Multiple Silent Introductions and Household Transmission of Methicillin-Resistant </w:t>
      </w:r>
      <w:r w:rsidRPr="006E7EEC">
        <w:rPr>
          <w:rFonts w:asciiTheme="majorHAnsi" w:hAnsiTheme="majorHAnsi"/>
          <w:i/>
          <w:noProof/>
        </w:rPr>
        <w:t>Staphylococcus aureus</w:t>
      </w:r>
      <w:r w:rsidRPr="006E7EEC">
        <w:rPr>
          <w:rFonts w:asciiTheme="majorHAnsi" w:hAnsiTheme="majorHAnsi"/>
          <w:noProof/>
        </w:rPr>
        <w:t xml:space="preserve"> USA300 in the East of England. J Inf Dis. 2016;214(3):447-53.</w:t>
      </w:r>
    </w:p>
    <w:p w14:paraId="0792668B"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33.</w:t>
      </w:r>
      <w:r w:rsidRPr="006E7EEC">
        <w:rPr>
          <w:rFonts w:asciiTheme="majorHAnsi" w:hAnsiTheme="majorHAnsi"/>
          <w:noProof/>
        </w:rPr>
        <w:tab/>
        <w:t xml:space="preserve">Bartels MD, Petersen A, Worning P, Nielsen JB, Larner-Svensson H, Johansen HK, et al. Comparing whole-genome sequencing with Sanger sequencing for spa typing of methicillin-resistant </w:t>
      </w:r>
      <w:r w:rsidRPr="006E7EEC">
        <w:rPr>
          <w:rFonts w:asciiTheme="majorHAnsi" w:hAnsiTheme="majorHAnsi"/>
          <w:i/>
          <w:noProof/>
        </w:rPr>
        <w:t>Staphylococcus aureus</w:t>
      </w:r>
      <w:r w:rsidRPr="006E7EEC">
        <w:rPr>
          <w:rFonts w:asciiTheme="majorHAnsi" w:hAnsiTheme="majorHAnsi"/>
          <w:noProof/>
        </w:rPr>
        <w:t>. J Clin Microbiol. 2014;52(12):4305-8.</w:t>
      </w:r>
    </w:p>
    <w:p w14:paraId="1674A45C"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34.</w:t>
      </w:r>
      <w:r w:rsidRPr="006E7EEC">
        <w:rPr>
          <w:rFonts w:asciiTheme="majorHAnsi" w:hAnsiTheme="majorHAnsi"/>
          <w:noProof/>
        </w:rPr>
        <w:tab/>
        <w:t>Bletz S, Mellmann A, Rothgänger J, Harmsen D. Ensuring backwards compatibility: traditional genotyping efforts in the era of whole genome sequencing. Clin Microbiol Inf.21(4):347.e1-.e4.</w:t>
      </w:r>
    </w:p>
    <w:p w14:paraId="13D22A4D"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35.</w:t>
      </w:r>
      <w:r w:rsidRPr="006E7EEC">
        <w:rPr>
          <w:rFonts w:asciiTheme="majorHAnsi" w:hAnsiTheme="majorHAnsi"/>
          <w:noProof/>
        </w:rPr>
        <w:tab/>
        <w:t>Argimon S, Abudahab K, Goater RJ, Fedosejev A, Bhai J, Glasner C, et al. Microreact: visualizing and sharing data for genomic epidemiology and phylogeography. M Gen. 2016;2(11):e000093.</w:t>
      </w:r>
    </w:p>
    <w:p w14:paraId="00AD8D64" w14:textId="77777777" w:rsidR="009B2AA7" w:rsidRPr="006E7EEC" w:rsidRDefault="009B2AA7" w:rsidP="009750B7">
      <w:pPr>
        <w:pStyle w:val="EndNoteBibliography"/>
        <w:jc w:val="both"/>
        <w:rPr>
          <w:rFonts w:asciiTheme="majorHAnsi" w:hAnsiTheme="majorHAnsi"/>
          <w:noProof/>
        </w:rPr>
      </w:pPr>
      <w:r w:rsidRPr="006E7EEC">
        <w:rPr>
          <w:rFonts w:asciiTheme="majorHAnsi" w:hAnsiTheme="majorHAnsi"/>
          <w:noProof/>
        </w:rPr>
        <w:t>36.</w:t>
      </w:r>
      <w:r w:rsidRPr="006E7EEC">
        <w:rPr>
          <w:rFonts w:asciiTheme="majorHAnsi" w:hAnsiTheme="majorHAnsi"/>
          <w:noProof/>
        </w:rPr>
        <w:tab/>
        <w:t>Jolley KA, Maiden MC. BIGSdb: Scalable analysis of bacterial genome variation at the population level. BMC bioinf. 2010;11:595.</w:t>
      </w:r>
    </w:p>
    <w:p w14:paraId="1D15D866" w14:textId="77777777" w:rsidR="009B2AA7" w:rsidRPr="00FF676E" w:rsidRDefault="009B2AA7" w:rsidP="009750B7">
      <w:pPr>
        <w:pStyle w:val="EndNoteBibliography"/>
        <w:jc w:val="both"/>
        <w:rPr>
          <w:rFonts w:asciiTheme="majorHAnsi" w:hAnsiTheme="majorHAnsi"/>
          <w:noProof/>
        </w:rPr>
      </w:pPr>
      <w:r w:rsidRPr="006E7EEC">
        <w:rPr>
          <w:rFonts w:asciiTheme="majorHAnsi" w:hAnsiTheme="majorHAnsi"/>
          <w:noProof/>
        </w:rPr>
        <w:t>37.</w:t>
      </w:r>
      <w:r w:rsidRPr="006E7EEC">
        <w:rPr>
          <w:rFonts w:asciiTheme="majorHAnsi" w:hAnsiTheme="majorHAnsi"/>
          <w:noProof/>
        </w:rPr>
        <w:tab/>
        <w:t>Packer S TS, Buunaaisie C, Neale J, Hopewell-Kelly N, Telfer M, Williams OM, Desai M, Kearns A, Hope V, Hickman M, Gobin M. A prevalence survey investigating factors associated with MRSA colonisation in people who inject drugs in Bristol, UK. Poster presentation at Research and Applied Epidemiology Scientific Conference, Warwick University, UK, March 2017.</w:t>
      </w:r>
    </w:p>
    <w:p w14:paraId="6A1B74D4" w14:textId="77777777" w:rsidR="009B2AA7" w:rsidRPr="00FF676E" w:rsidRDefault="009B2AA7" w:rsidP="009B2AA7">
      <w:pPr>
        <w:rPr>
          <w:rFonts w:asciiTheme="majorHAnsi" w:hAnsiTheme="majorHAnsi"/>
        </w:rPr>
      </w:pPr>
    </w:p>
    <w:p w14:paraId="3A5DE210" w14:textId="77777777" w:rsidR="00DD526C" w:rsidRPr="00FF676E" w:rsidRDefault="00DD526C">
      <w:pPr>
        <w:rPr>
          <w:rFonts w:asciiTheme="majorHAnsi" w:hAnsiTheme="majorHAnsi"/>
        </w:rPr>
      </w:pPr>
    </w:p>
    <w:sectPr w:rsidR="00DD526C" w:rsidRPr="00FF676E" w:rsidSect="008606EA">
      <w:headerReference w:type="default" r:id="rId9"/>
      <w:footerReference w:type="even" r:id="rId10"/>
      <w:footerReference w:type="default" r:id="rId11"/>
      <w:pgSz w:w="12240" w:h="15840"/>
      <w:pgMar w:top="1440" w:right="1797" w:bottom="1440" w:left="1797"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B2951" w14:textId="77777777" w:rsidR="00EE55AA" w:rsidRDefault="00EE55AA" w:rsidP="00531399">
      <w:r>
        <w:separator/>
      </w:r>
    </w:p>
  </w:endnote>
  <w:endnote w:type="continuationSeparator" w:id="0">
    <w:p w14:paraId="2FA9A108" w14:textId="77777777" w:rsidR="00EE55AA" w:rsidRDefault="00EE55AA" w:rsidP="00531399">
      <w:r>
        <w:continuationSeparator/>
      </w:r>
    </w:p>
  </w:endnote>
  <w:endnote w:type="continuationNotice" w:id="1">
    <w:p w14:paraId="4B437FA1" w14:textId="77777777" w:rsidR="00EE55AA" w:rsidRDefault="00EE55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AppleSystemUIFont">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0257123"/>
      <w:docPartObj>
        <w:docPartGallery w:val="Page Numbers (Bottom of Page)"/>
        <w:docPartUnique/>
      </w:docPartObj>
    </w:sdtPr>
    <w:sdtEndPr>
      <w:rPr>
        <w:rStyle w:val="PageNumber"/>
      </w:rPr>
    </w:sdtEndPr>
    <w:sdtContent>
      <w:p w14:paraId="25E446E8" w14:textId="092BF2F4" w:rsidR="006D39A6" w:rsidRDefault="006D39A6" w:rsidP="006E7EE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306C5F0" w14:textId="77777777" w:rsidR="006D39A6" w:rsidRDefault="006D39A6" w:rsidP="006E7EE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Fonts w:asciiTheme="majorHAnsi" w:hAnsiTheme="majorHAnsi"/>
      </w:rPr>
      <w:id w:val="-639952790"/>
      <w:docPartObj>
        <w:docPartGallery w:val="Page Numbers (Bottom of Page)"/>
        <w:docPartUnique/>
      </w:docPartObj>
    </w:sdtPr>
    <w:sdtEndPr>
      <w:rPr>
        <w:rStyle w:val="PageNumber"/>
      </w:rPr>
    </w:sdtEndPr>
    <w:sdtContent>
      <w:p w14:paraId="52110196" w14:textId="69B9B7FA" w:rsidR="006D39A6" w:rsidRPr="006E7EEC" w:rsidRDefault="006D39A6" w:rsidP="006E7EEC">
        <w:pPr>
          <w:pStyle w:val="Footer"/>
          <w:framePr w:wrap="none" w:vAnchor="text" w:hAnchor="margin" w:xAlign="right" w:y="1"/>
          <w:rPr>
            <w:rStyle w:val="PageNumber"/>
            <w:rFonts w:asciiTheme="majorHAnsi" w:hAnsiTheme="majorHAnsi"/>
          </w:rPr>
        </w:pPr>
        <w:r w:rsidRPr="006E7EEC">
          <w:rPr>
            <w:rStyle w:val="PageNumber"/>
            <w:rFonts w:asciiTheme="majorHAnsi" w:hAnsiTheme="majorHAnsi"/>
          </w:rPr>
          <w:fldChar w:fldCharType="begin"/>
        </w:r>
        <w:r w:rsidRPr="006E7EEC">
          <w:rPr>
            <w:rStyle w:val="PageNumber"/>
            <w:rFonts w:asciiTheme="majorHAnsi" w:hAnsiTheme="majorHAnsi"/>
          </w:rPr>
          <w:instrText xml:space="preserve"> PAGE </w:instrText>
        </w:r>
        <w:r w:rsidRPr="006E7EEC">
          <w:rPr>
            <w:rStyle w:val="PageNumber"/>
            <w:rFonts w:asciiTheme="majorHAnsi" w:hAnsiTheme="majorHAnsi"/>
          </w:rPr>
          <w:fldChar w:fldCharType="separate"/>
        </w:r>
        <w:r w:rsidR="00D65DA3">
          <w:rPr>
            <w:rStyle w:val="PageNumber"/>
            <w:rFonts w:asciiTheme="majorHAnsi" w:hAnsiTheme="majorHAnsi"/>
            <w:noProof/>
          </w:rPr>
          <w:t>1</w:t>
        </w:r>
        <w:r w:rsidRPr="006E7EEC">
          <w:rPr>
            <w:rStyle w:val="PageNumber"/>
            <w:rFonts w:asciiTheme="majorHAnsi" w:hAnsiTheme="majorHAnsi"/>
          </w:rPr>
          <w:fldChar w:fldCharType="end"/>
        </w:r>
      </w:p>
    </w:sdtContent>
  </w:sdt>
  <w:p w14:paraId="5F7CCEA9" w14:textId="77777777" w:rsidR="006D39A6" w:rsidRDefault="006D39A6" w:rsidP="006E7EE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F981E1" w14:textId="77777777" w:rsidR="00EE55AA" w:rsidRDefault="00EE55AA" w:rsidP="00531399">
      <w:r>
        <w:separator/>
      </w:r>
    </w:p>
  </w:footnote>
  <w:footnote w:type="continuationSeparator" w:id="0">
    <w:p w14:paraId="02836348" w14:textId="77777777" w:rsidR="00EE55AA" w:rsidRDefault="00EE55AA" w:rsidP="00531399">
      <w:r>
        <w:continuationSeparator/>
      </w:r>
    </w:p>
  </w:footnote>
  <w:footnote w:type="continuationNotice" w:id="1">
    <w:p w14:paraId="42817ECC" w14:textId="77777777" w:rsidR="00EE55AA" w:rsidRDefault="00EE55A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29CB0" w14:textId="77777777" w:rsidR="002F32BA" w:rsidRDefault="002F32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C324A4"/>
    <w:multiLevelType w:val="hybridMultilevel"/>
    <w:tmpl w:val="CD24637A"/>
    <w:lvl w:ilvl="0" w:tplc="FF9A45EC">
      <w:start w:val="2012"/>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9B2AA7"/>
    <w:rsid w:val="00023C32"/>
    <w:rsid w:val="00032660"/>
    <w:rsid w:val="00053968"/>
    <w:rsid w:val="000A12B1"/>
    <w:rsid w:val="001072FF"/>
    <w:rsid w:val="001908A8"/>
    <w:rsid w:val="00193BA5"/>
    <w:rsid w:val="001A6E0F"/>
    <w:rsid w:val="001E1012"/>
    <w:rsid w:val="002440CA"/>
    <w:rsid w:val="00257A01"/>
    <w:rsid w:val="002B3C9B"/>
    <w:rsid w:val="002F32BA"/>
    <w:rsid w:val="00341467"/>
    <w:rsid w:val="003E1207"/>
    <w:rsid w:val="003F184E"/>
    <w:rsid w:val="00404EDA"/>
    <w:rsid w:val="004736A2"/>
    <w:rsid w:val="00524A4E"/>
    <w:rsid w:val="00531399"/>
    <w:rsid w:val="005817D6"/>
    <w:rsid w:val="0058798D"/>
    <w:rsid w:val="005D1C6F"/>
    <w:rsid w:val="00611F91"/>
    <w:rsid w:val="00624B03"/>
    <w:rsid w:val="00632063"/>
    <w:rsid w:val="00634DB3"/>
    <w:rsid w:val="00640120"/>
    <w:rsid w:val="006B2F28"/>
    <w:rsid w:val="006C11F0"/>
    <w:rsid w:val="006D39A6"/>
    <w:rsid w:val="006E7EEC"/>
    <w:rsid w:val="006F6E65"/>
    <w:rsid w:val="007368A6"/>
    <w:rsid w:val="00775EE5"/>
    <w:rsid w:val="008553A4"/>
    <w:rsid w:val="008606EA"/>
    <w:rsid w:val="00884103"/>
    <w:rsid w:val="008977CC"/>
    <w:rsid w:val="008C1578"/>
    <w:rsid w:val="0097477F"/>
    <w:rsid w:val="00974DD7"/>
    <w:rsid w:val="009750B7"/>
    <w:rsid w:val="009A3412"/>
    <w:rsid w:val="009B2AA7"/>
    <w:rsid w:val="009B68FB"/>
    <w:rsid w:val="00A55CBA"/>
    <w:rsid w:val="00A83F24"/>
    <w:rsid w:val="00A94B07"/>
    <w:rsid w:val="00AC5D78"/>
    <w:rsid w:val="00AC6D6F"/>
    <w:rsid w:val="00B000BD"/>
    <w:rsid w:val="00B25DF6"/>
    <w:rsid w:val="00B54EFC"/>
    <w:rsid w:val="00C82454"/>
    <w:rsid w:val="00CD64BA"/>
    <w:rsid w:val="00D65DA3"/>
    <w:rsid w:val="00D96E77"/>
    <w:rsid w:val="00DD526C"/>
    <w:rsid w:val="00E55A54"/>
    <w:rsid w:val="00EB3D6C"/>
    <w:rsid w:val="00EE55AA"/>
    <w:rsid w:val="00EF1C83"/>
    <w:rsid w:val="00F0404F"/>
    <w:rsid w:val="00F57275"/>
    <w:rsid w:val="00F842FB"/>
    <w:rsid w:val="00F8608A"/>
    <w:rsid w:val="00FC3411"/>
    <w:rsid w:val="00FD5663"/>
    <w:rsid w:val="00FF67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82EBDBA"/>
  <w14:defaultImageDpi w14:val="300"/>
  <w15:docId w15:val="{AACBEA41-8C17-164B-8F4F-C81B7A501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2AA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2AA7"/>
    <w:pPr>
      <w:ind w:left="720"/>
      <w:contextualSpacing/>
    </w:pPr>
  </w:style>
  <w:style w:type="character" w:styleId="CommentReference">
    <w:name w:val="annotation reference"/>
    <w:basedOn w:val="DefaultParagraphFont"/>
    <w:uiPriority w:val="99"/>
    <w:semiHidden/>
    <w:unhideWhenUsed/>
    <w:rsid w:val="009B2AA7"/>
    <w:rPr>
      <w:sz w:val="18"/>
      <w:szCs w:val="18"/>
    </w:rPr>
  </w:style>
  <w:style w:type="paragraph" w:styleId="CommentText">
    <w:name w:val="annotation text"/>
    <w:basedOn w:val="Normal"/>
    <w:link w:val="CommentTextChar"/>
    <w:uiPriority w:val="99"/>
    <w:unhideWhenUsed/>
    <w:rsid w:val="009B2AA7"/>
  </w:style>
  <w:style w:type="character" w:customStyle="1" w:styleId="CommentTextChar">
    <w:name w:val="Comment Text Char"/>
    <w:basedOn w:val="DefaultParagraphFont"/>
    <w:link w:val="CommentText"/>
    <w:uiPriority w:val="99"/>
    <w:rsid w:val="009B2AA7"/>
    <w:rPr>
      <w:lang w:val="en-GB"/>
    </w:rPr>
  </w:style>
  <w:style w:type="paragraph" w:styleId="CommentSubject">
    <w:name w:val="annotation subject"/>
    <w:basedOn w:val="CommentText"/>
    <w:next w:val="CommentText"/>
    <w:link w:val="CommentSubjectChar"/>
    <w:uiPriority w:val="99"/>
    <w:semiHidden/>
    <w:unhideWhenUsed/>
    <w:rsid w:val="009B2AA7"/>
    <w:rPr>
      <w:b/>
      <w:bCs/>
      <w:sz w:val="20"/>
      <w:szCs w:val="20"/>
    </w:rPr>
  </w:style>
  <w:style w:type="character" w:customStyle="1" w:styleId="CommentSubjectChar">
    <w:name w:val="Comment Subject Char"/>
    <w:basedOn w:val="CommentTextChar"/>
    <w:link w:val="CommentSubject"/>
    <w:uiPriority w:val="99"/>
    <w:semiHidden/>
    <w:rsid w:val="009B2AA7"/>
    <w:rPr>
      <w:b/>
      <w:bCs/>
      <w:sz w:val="20"/>
      <w:szCs w:val="20"/>
      <w:lang w:val="en-GB"/>
    </w:rPr>
  </w:style>
  <w:style w:type="paragraph" w:styleId="BalloonText">
    <w:name w:val="Balloon Text"/>
    <w:basedOn w:val="Normal"/>
    <w:link w:val="BalloonTextChar"/>
    <w:uiPriority w:val="99"/>
    <w:semiHidden/>
    <w:unhideWhenUsed/>
    <w:rsid w:val="009B2AA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B2AA7"/>
    <w:rPr>
      <w:rFonts w:ascii="Lucida Grande" w:hAnsi="Lucida Grande" w:cs="Lucida Grande"/>
      <w:sz w:val="18"/>
      <w:szCs w:val="18"/>
      <w:lang w:val="en-GB"/>
    </w:rPr>
  </w:style>
  <w:style w:type="paragraph" w:customStyle="1" w:styleId="EndNoteBibliographyTitle">
    <w:name w:val="EndNote Bibliography Title"/>
    <w:basedOn w:val="Normal"/>
    <w:rsid w:val="009B2AA7"/>
    <w:pPr>
      <w:jc w:val="center"/>
    </w:pPr>
    <w:rPr>
      <w:rFonts w:ascii="Cambria" w:hAnsi="Cambria"/>
      <w:lang w:val="en-US"/>
    </w:rPr>
  </w:style>
  <w:style w:type="paragraph" w:customStyle="1" w:styleId="EndNoteBibliography">
    <w:name w:val="EndNote Bibliography"/>
    <w:basedOn w:val="Normal"/>
    <w:rsid w:val="009B2AA7"/>
    <w:rPr>
      <w:rFonts w:ascii="Cambria" w:hAnsi="Cambria"/>
      <w:lang w:val="en-US"/>
    </w:rPr>
  </w:style>
  <w:style w:type="character" w:styleId="Hyperlink">
    <w:name w:val="Hyperlink"/>
    <w:basedOn w:val="DefaultParagraphFont"/>
    <w:uiPriority w:val="99"/>
    <w:unhideWhenUsed/>
    <w:rsid w:val="009B2AA7"/>
    <w:rPr>
      <w:color w:val="0000FF" w:themeColor="hyperlink"/>
      <w:u w:val="single"/>
    </w:rPr>
  </w:style>
  <w:style w:type="character" w:customStyle="1" w:styleId="apple-style-span">
    <w:name w:val="apple-style-span"/>
    <w:basedOn w:val="DefaultParagraphFont"/>
    <w:rsid w:val="009B2AA7"/>
  </w:style>
  <w:style w:type="paragraph" w:styleId="Revision">
    <w:name w:val="Revision"/>
    <w:hidden/>
    <w:uiPriority w:val="99"/>
    <w:semiHidden/>
    <w:rsid w:val="009B2AA7"/>
    <w:rPr>
      <w:lang w:val="en-GB"/>
    </w:rPr>
  </w:style>
  <w:style w:type="character" w:styleId="FollowedHyperlink">
    <w:name w:val="FollowedHyperlink"/>
    <w:basedOn w:val="DefaultParagraphFont"/>
    <w:uiPriority w:val="99"/>
    <w:semiHidden/>
    <w:unhideWhenUsed/>
    <w:rsid w:val="009B2AA7"/>
    <w:rPr>
      <w:color w:val="800080" w:themeColor="followedHyperlink"/>
      <w:u w:val="single"/>
    </w:rPr>
  </w:style>
  <w:style w:type="paragraph" w:styleId="PlainText">
    <w:name w:val="Plain Text"/>
    <w:basedOn w:val="Normal"/>
    <w:link w:val="PlainTextChar"/>
    <w:uiPriority w:val="99"/>
    <w:unhideWhenUsed/>
    <w:rsid w:val="009B2AA7"/>
    <w:rPr>
      <w:rFonts w:ascii="Calibri" w:eastAsiaTheme="minorHAnsi" w:hAnsi="Calibri"/>
      <w:sz w:val="22"/>
      <w:szCs w:val="21"/>
    </w:rPr>
  </w:style>
  <w:style w:type="character" w:customStyle="1" w:styleId="PlainTextChar">
    <w:name w:val="Plain Text Char"/>
    <w:basedOn w:val="DefaultParagraphFont"/>
    <w:link w:val="PlainText"/>
    <w:uiPriority w:val="99"/>
    <w:rsid w:val="009B2AA7"/>
    <w:rPr>
      <w:rFonts w:ascii="Calibri" w:eastAsiaTheme="minorHAnsi" w:hAnsi="Calibri"/>
      <w:sz w:val="22"/>
      <w:szCs w:val="21"/>
      <w:lang w:val="en-GB"/>
    </w:rPr>
  </w:style>
  <w:style w:type="paragraph" w:styleId="NormalWeb">
    <w:name w:val="Normal (Web)"/>
    <w:basedOn w:val="Normal"/>
    <w:uiPriority w:val="99"/>
    <w:semiHidden/>
    <w:unhideWhenUsed/>
    <w:rsid w:val="009B2AA7"/>
    <w:pPr>
      <w:spacing w:before="100" w:beforeAutospacing="1" w:after="100" w:afterAutospacing="1"/>
    </w:pPr>
    <w:rPr>
      <w:rFonts w:ascii="Times" w:hAnsi="Times" w:cs="Times New Roman"/>
      <w:sz w:val="20"/>
      <w:szCs w:val="20"/>
      <w:lang w:val="en-US"/>
    </w:rPr>
  </w:style>
  <w:style w:type="paragraph" w:styleId="Header">
    <w:name w:val="header"/>
    <w:basedOn w:val="Normal"/>
    <w:link w:val="HeaderChar"/>
    <w:uiPriority w:val="99"/>
    <w:unhideWhenUsed/>
    <w:rsid w:val="009B2AA7"/>
    <w:pPr>
      <w:tabs>
        <w:tab w:val="center" w:pos="4320"/>
        <w:tab w:val="right" w:pos="8640"/>
      </w:tabs>
    </w:pPr>
  </w:style>
  <w:style w:type="character" w:customStyle="1" w:styleId="HeaderChar">
    <w:name w:val="Header Char"/>
    <w:basedOn w:val="DefaultParagraphFont"/>
    <w:link w:val="Header"/>
    <w:uiPriority w:val="99"/>
    <w:rsid w:val="009B2AA7"/>
    <w:rPr>
      <w:lang w:val="en-GB"/>
    </w:rPr>
  </w:style>
  <w:style w:type="paragraph" w:styleId="Footer">
    <w:name w:val="footer"/>
    <w:basedOn w:val="Normal"/>
    <w:link w:val="FooterChar"/>
    <w:uiPriority w:val="99"/>
    <w:unhideWhenUsed/>
    <w:rsid w:val="009B2AA7"/>
    <w:pPr>
      <w:tabs>
        <w:tab w:val="center" w:pos="4320"/>
        <w:tab w:val="right" w:pos="8640"/>
      </w:tabs>
    </w:pPr>
  </w:style>
  <w:style w:type="character" w:customStyle="1" w:styleId="FooterChar">
    <w:name w:val="Footer Char"/>
    <w:basedOn w:val="DefaultParagraphFont"/>
    <w:link w:val="Footer"/>
    <w:uiPriority w:val="99"/>
    <w:rsid w:val="009B2AA7"/>
    <w:rPr>
      <w:lang w:val="en-GB"/>
    </w:rPr>
  </w:style>
  <w:style w:type="character" w:customStyle="1" w:styleId="st">
    <w:name w:val="st"/>
    <w:basedOn w:val="DefaultParagraphFont"/>
    <w:rsid w:val="009B2AA7"/>
  </w:style>
  <w:style w:type="character" w:styleId="Emphasis">
    <w:name w:val="Emphasis"/>
    <w:basedOn w:val="DefaultParagraphFont"/>
    <w:uiPriority w:val="20"/>
    <w:qFormat/>
    <w:rsid w:val="009B2AA7"/>
    <w:rPr>
      <w:i/>
      <w:iCs/>
    </w:rPr>
  </w:style>
  <w:style w:type="character" w:styleId="PageNumber">
    <w:name w:val="page number"/>
    <w:basedOn w:val="DefaultParagraphFont"/>
    <w:uiPriority w:val="99"/>
    <w:semiHidden/>
    <w:unhideWhenUsed/>
    <w:rsid w:val="00531399"/>
  </w:style>
  <w:style w:type="character" w:styleId="LineNumber">
    <w:name w:val="line number"/>
    <w:basedOn w:val="DefaultParagraphFont"/>
    <w:uiPriority w:val="99"/>
    <w:semiHidden/>
    <w:unhideWhenUsed/>
    <w:rsid w:val="008606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FCF1C-CD3E-411B-9AE7-BB71A8F96030}">
  <ds:schemaRefs>
    <ds:schemaRef ds:uri="http://schemas.openxmlformats.org/officeDocument/2006/bibliography"/>
  </ds:schemaRefs>
</ds:datastoreItem>
</file>

<file path=customXml/itemProps2.xml><?xml version="1.0" encoding="utf-8"?>
<ds:datastoreItem xmlns:ds="http://schemas.openxmlformats.org/officeDocument/2006/customXml" ds:itemID="{05662723-4EA4-4725-86E6-3F989011A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5631</Words>
  <Characters>32097</Characters>
  <Application>Microsoft Office Word</Application>
  <DocSecurity>4</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dc:creator>
  <cp:keywords/>
  <dc:description/>
  <cp:lastModifiedBy>Carol Churcher</cp:lastModifiedBy>
  <cp:revision>2</cp:revision>
  <dcterms:created xsi:type="dcterms:W3CDTF">2018-11-13T07:08:00Z</dcterms:created>
  <dcterms:modified xsi:type="dcterms:W3CDTF">2018-11-13T07:08:00Z</dcterms:modified>
</cp:coreProperties>
</file>