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BAD330" w14:textId="37DE3F5A" w:rsidR="00DF69F3" w:rsidRPr="00704CAA" w:rsidRDefault="005766F9" w:rsidP="006B17AF">
      <w:pPr>
        <w:pStyle w:val="Title"/>
      </w:pPr>
      <w:bookmarkStart w:id="0" w:name="_GoBack"/>
      <w:bookmarkEnd w:id="0"/>
      <w:r w:rsidRPr="00704CAA">
        <w:t>Interleukin-</w:t>
      </w:r>
      <w:r w:rsidR="004C5A5C" w:rsidRPr="00704CAA">
        <w:t xml:space="preserve">6 as </w:t>
      </w:r>
      <w:r w:rsidR="00BC78D3" w:rsidRPr="00704CAA">
        <w:t xml:space="preserve">potential </w:t>
      </w:r>
      <w:r w:rsidR="004C5A5C" w:rsidRPr="00704CAA">
        <w:t xml:space="preserve">mediator of </w:t>
      </w:r>
      <w:r w:rsidR="00427235" w:rsidRPr="00704CAA">
        <w:t xml:space="preserve">long-term </w:t>
      </w:r>
      <w:r w:rsidR="00BD60E0">
        <w:t xml:space="preserve">neuropsychiatric </w:t>
      </w:r>
      <w:r w:rsidR="0073311E">
        <w:t xml:space="preserve">symptoms of </w:t>
      </w:r>
      <w:r w:rsidR="00427235" w:rsidRPr="00704CAA">
        <w:t>COVID-19</w:t>
      </w:r>
    </w:p>
    <w:p w14:paraId="56F25088" w14:textId="77777777" w:rsidR="00783B0C" w:rsidRPr="00704CAA" w:rsidRDefault="00783B0C" w:rsidP="00783B0C"/>
    <w:p w14:paraId="29085C2E" w14:textId="5AC24A59" w:rsidR="00783B0C" w:rsidRPr="006B17AF" w:rsidRDefault="00783B0C" w:rsidP="00783B0C">
      <w:pPr>
        <w:rPr>
          <w:lang w:val="de-DE"/>
        </w:rPr>
      </w:pPr>
      <w:r w:rsidRPr="006B17AF">
        <w:rPr>
          <w:lang w:val="de-DE"/>
        </w:rPr>
        <w:t>Nils Kappelmann</w:t>
      </w:r>
      <w:r w:rsidRPr="006B17AF">
        <w:rPr>
          <w:vertAlign w:val="superscript"/>
          <w:lang w:val="de-DE"/>
        </w:rPr>
        <w:t>1,2</w:t>
      </w:r>
      <w:r w:rsidRPr="006B17AF">
        <w:rPr>
          <w:lang w:val="de-DE"/>
        </w:rPr>
        <w:t xml:space="preserve">, </w:t>
      </w:r>
      <w:r w:rsidR="007E7DB9" w:rsidRPr="006B17AF">
        <w:rPr>
          <w:lang w:val="de-DE"/>
        </w:rPr>
        <w:t>Robert Dantzer</w:t>
      </w:r>
      <w:r w:rsidR="007E7DB9" w:rsidRPr="006B17AF">
        <w:rPr>
          <w:vertAlign w:val="superscript"/>
          <w:lang w:val="de-DE"/>
        </w:rPr>
        <w:t>3</w:t>
      </w:r>
      <w:r w:rsidRPr="006B17AF">
        <w:rPr>
          <w:lang w:val="de-DE"/>
        </w:rPr>
        <w:t>, Golam M. Khandaker</w:t>
      </w:r>
      <w:r w:rsidR="005D33F6" w:rsidRPr="006B17AF">
        <w:rPr>
          <w:vertAlign w:val="superscript"/>
          <w:lang w:val="de-DE"/>
        </w:rPr>
        <w:t>4</w:t>
      </w:r>
      <w:r w:rsidRPr="006B17AF">
        <w:rPr>
          <w:vertAlign w:val="superscript"/>
          <w:lang w:val="de-DE"/>
        </w:rPr>
        <w:t>,</w:t>
      </w:r>
      <w:r w:rsidR="005D33F6" w:rsidRPr="006B17AF">
        <w:rPr>
          <w:vertAlign w:val="superscript"/>
          <w:lang w:val="de-DE"/>
        </w:rPr>
        <w:t>5</w:t>
      </w:r>
      <w:r w:rsidR="00F1589D" w:rsidRPr="006B17AF">
        <w:rPr>
          <w:vertAlign w:val="superscript"/>
          <w:lang w:val="de-DE"/>
        </w:rPr>
        <w:t>,6,7</w:t>
      </w:r>
    </w:p>
    <w:p w14:paraId="40C52455" w14:textId="77777777" w:rsidR="00783B0C" w:rsidRPr="00704CAA" w:rsidRDefault="00783B0C" w:rsidP="00C06663">
      <w:pPr>
        <w:spacing w:after="0" w:line="240" w:lineRule="auto"/>
      </w:pPr>
      <w:r w:rsidRPr="00704CAA">
        <w:rPr>
          <w:vertAlign w:val="superscript"/>
        </w:rPr>
        <w:t>1</w:t>
      </w:r>
      <w:r w:rsidRPr="00704CAA">
        <w:t>Department of Research in Translational Psychiatry, Max-Planck-Institute of Psychiatry, Munich, Germany</w:t>
      </w:r>
    </w:p>
    <w:p w14:paraId="660F9FA0" w14:textId="77777777" w:rsidR="00783B0C" w:rsidRPr="00704CAA" w:rsidRDefault="00783B0C" w:rsidP="00C06663">
      <w:pPr>
        <w:spacing w:after="0" w:line="240" w:lineRule="auto"/>
      </w:pPr>
      <w:r w:rsidRPr="00704CAA">
        <w:rPr>
          <w:vertAlign w:val="superscript"/>
        </w:rPr>
        <w:t>2</w:t>
      </w:r>
      <w:r w:rsidRPr="00704CAA">
        <w:t>International Max Planck Research School for Translational Psychiatry (IMPRS-TP), Munich, Germany</w:t>
      </w:r>
    </w:p>
    <w:p w14:paraId="7F64F32F" w14:textId="4F214A32" w:rsidR="00783B0C" w:rsidRPr="00704CAA" w:rsidRDefault="00783B0C" w:rsidP="00C06663">
      <w:pPr>
        <w:spacing w:after="0" w:line="240" w:lineRule="auto"/>
      </w:pPr>
      <w:r w:rsidRPr="00704CAA">
        <w:rPr>
          <w:vertAlign w:val="superscript"/>
        </w:rPr>
        <w:t>3</w:t>
      </w:r>
      <w:r w:rsidR="007E7DB9" w:rsidRPr="00704CAA">
        <w:t>Department of Symptom Research, University of Texas MD Anderson Cancer Centre, Houston, Texas, USA</w:t>
      </w:r>
    </w:p>
    <w:p w14:paraId="79104F4C" w14:textId="23EFC115" w:rsidR="00BB31FA" w:rsidRPr="00704CAA" w:rsidRDefault="00E0761E" w:rsidP="00C06663">
      <w:pPr>
        <w:spacing w:after="0" w:line="240" w:lineRule="auto"/>
      </w:pPr>
      <w:r>
        <w:rPr>
          <w:vertAlign w:val="superscript"/>
        </w:rPr>
        <w:t>4</w:t>
      </w:r>
      <w:r w:rsidR="00BB31FA" w:rsidRPr="00704CAA">
        <w:t xml:space="preserve">MRC Integrative Epidemiology Unit, Population Health Sciences, Bristol Medical School, University of Bristol, Bristol, </w:t>
      </w:r>
      <w:r w:rsidR="009A7BD0" w:rsidRPr="00704CAA">
        <w:t>UK</w:t>
      </w:r>
      <w:r w:rsidR="00BB31FA" w:rsidRPr="00704CAA">
        <w:t xml:space="preserve"> </w:t>
      </w:r>
    </w:p>
    <w:p w14:paraId="060A2CDB" w14:textId="3FCEFE6C" w:rsidR="00BB31FA" w:rsidRPr="00704CAA" w:rsidRDefault="00E0761E" w:rsidP="00C06663">
      <w:pPr>
        <w:spacing w:after="0" w:line="240" w:lineRule="auto"/>
      </w:pPr>
      <w:r>
        <w:rPr>
          <w:vertAlign w:val="superscript"/>
        </w:rPr>
        <w:t>5</w:t>
      </w:r>
      <w:r w:rsidR="00BB31FA" w:rsidRPr="00704CAA">
        <w:t xml:space="preserve">Centre for Academic Mental Health, Population Health Sciences, Bristol Medical School, University of Bristol, Bristol, </w:t>
      </w:r>
      <w:r w:rsidR="009A7BD0" w:rsidRPr="00704CAA">
        <w:t>UK</w:t>
      </w:r>
    </w:p>
    <w:p w14:paraId="4F3962C0" w14:textId="03034D21" w:rsidR="00E0761E" w:rsidRPr="00704CAA" w:rsidRDefault="00E0761E" w:rsidP="00E0761E">
      <w:pPr>
        <w:spacing w:after="0" w:line="240" w:lineRule="auto"/>
      </w:pPr>
      <w:r>
        <w:rPr>
          <w:vertAlign w:val="superscript"/>
        </w:rPr>
        <w:t>6</w:t>
      </w:r>
      <w:r w:rsidRPr="00704CAA">
        <w:t>Department of Psychiatry, University of Cambridge, Cambridge, UK</w:t>
      </w:r>
    </w:p>
    <w:p w14:paraId="678E46D9" w14:textId="30B2A0F0" w:rsidR="00E0761E" w:rsidRPr="00704CAA" w:rsidRDefault="00E0761E" w:rsidP="00E0761E">
      <w:pPr>
        <w:spacing w:after="0" w:line="240" w:lineRule="auto"/>
      </w:pPr>
      <w:r>
        <w:rPr>
          <w:vertAlign w:val="superscript"/>
        </w:rPr>
        <w:t>7</w:t>
      </w:r>
      <w:r w:rsidRPr="00704CAA">
        <w:t>Cambridgeshire and Peterborough NHS Foundation Trust, Cambridge, UK</w:t>
      </w:r>
    </w:p>
    <w:p w14:paraId="2A5B4584" w14:textId="77777777" w:rsidR="006B17AF" w:rsidRDefault="006B17AF" w:rsidP="006B17AF"/>
    <w:p w14:paraId="738D3248" w14:textId="77777777" w:rsidR="00EE4FA0" w:rsidRDefault="006B17AF" w:rsidP="00345A6E">
      <w:pPr>
        <w:spacing w:after="0"/>
      </w:pPr>
      <w:r w:rsidRPr="006B17AF">
        <w:rPr>
          <w:b/>
        </w:rPr>
        <w:t>Corresponding author</w:t>
      </w:r>
      <w:r>
        <w:t xml:space="preserve"> </w:t>
      </w:r>
    </w:p>
    <w:p w14:paraId="04F8B54C" w14:textId="4B3DA0CD" w:rsidR="00C07DD8" w:rsidRDefault="00EE4FA0" w:rsidP="00345A6E">
      <w:pPr>
        <w:spacing w:after="0"/>
      </w:pPr>
      <w:r>
        <w:t>Nils Kappelmann, Max-Planck-Institute of Psychiatry, Munich, Germany</w:t>
      </w:r>
    </w:p>
    <w:p w14:paraId="164EAD25" w14:textId="36F0E22C" w:rsidR="00EE4FA0" w:rsidRPr="00704CAA" w:rsidRDefault="00EE4FA0" w:rsidP="00345A6E">
      <w:pPr>
        <w:spacing w:after="0"/>
      </w:pPr>
      <w:r>
        <w:t>Email: n.kappelmann@gmail.com</w:t>
      </w:r>
    </w:p>
    <w:p w14:paraId="2D32A130" w14:textId="77777777" w:rsidR="00345A6E" w:rsidRDefault="00345A6E" w:rsidP="005F2A4A">
      <w:pPr>
        <w:rPr>
          <w:b/>
        </w:rPr>
      </w:pPr>
    </w:p>
    <w:p w14:paraId="08419228" w14:textId="77777777" w:rsidR="00C22928" w:rsidRDefault="00704CAA" w:rsidP="00C22928">
      <w:pPr>
        <w:spacing w:after="0"/>
      </w:pPr>
      <w:r w:rsidRPr="006B17AF">
        <w:rPr>
          <w:b/>
        </w:rPr>
        <w:t>Word count</w:t>
      </w:r>
    </w:p>
    <w:p w14:paraId="243AEB74" w14:textId="34C54DC2" w:rsidR="005F2A4A" w:rsidRDefault="00C22928" w:rsidP="00C22928">
      <w:pPr>
        <w:spacing w:after="0"/>
      </w:pPr>
      <w:r>
        <w:t xml:space="preserve">Abstract: </w:t>
      </w:r>
      <w:r w:rsidR="00470318">
        <w:t>21</w:t>
      </w:r>
      <w:r w:rsidR="00726AE9">
        <w:t>8</w:t>
      </w:r>
    </w:p>
    <w:p w14:paraId="1B1F7B9C" w14:textId="764F6D70" w:rsidR="00C22928" w:rsidRDefault="00C22928" w:rsidP="00C22928">
      <w:pPr>
        <w:spacing w:after="0"/>
      </w:pPr>
      <w:r>
        <w:t xml:space="preserve">Viewpoint: </w:t>
      </w:r>
      <w:r w:rsidR="0021081A">
        <w:t>2,</w:t>
      </w:r>
      <w:r w:rsidR="00C45D48">
        <w:t>1</w:t>
      </w:r>
      <w:r w:rsidR="00F03D01">
        <w:t>24</w:t>
      </w:r>
    </w:p>
    <w:p w14:paraId="10020812" w14:textId="77777777" w:rsidR="006B17AF" w:rsidRPr="00704CAA" w:rsidRDefault="006B17AF" w:rsidP="005F2A4A"/>
    <w:p w14:paraId="7CDFBD76" w14:textId="77777777" w:rsidR="00C22928" w:rsidRDefault="00C22928" w:rsidP="0084798D">
      <w:pPr>
        <w:pStyle w:val="Heading1"/>
        <w:sectPr w:rsidR="00C22928">
          <w:pgSz w:w="11906" w:h="16838"/>
          <w:pgMar w:top="1440" w:right="1440" w:bottom="1440" w:left="1440" w:header="708" w:footer="708" w:gutter="0"/>
          <w:cols w:space="708"/>
          <w:docGrid w:linePitch="360"/>
        </w:sectPr>
      </w:pPr>
    </w:p>
    <w:p w14:paraId="1E7CDC17" w14:textId="3A6CD979" w:rsidR="006B17AF" w:rsidRDefault="006B17AF" w:rsidP="0084798D">
      <w:pPr>
        <w:pStyle w:val="Heading1"/>
      </w:pPr>
      <w:r>
        <w:lastRenderedPageBreak/>
        <w:t>Abstract</w:t>
      </w:r>
    </w:p>
    <w:p w14:paraId="0C4B2C18" w14:textId="21B81C11" w:rsidR="00345A6E" w:rsidRDefault="00BD60E0" w:rsidP="008E13BA">
      <w:pPr>
        <w:rPr>
          <w:lang w:eastAsia="en-GB"/>
        </w:rPr>
      </w:pPr>
      <w:r>
        <w:rPr>
          <w:lang w:eastAsia="en-GB"/>
        </w:rPr>
        <w:t>The m</w:t>
      </w:r>
      <w:r w:rsidR="00C22928">
        <w:rPr>
          <w:lang w:eastAsia="en-GB"/>
        </w:rPr>
        <w:t xml:space="preserve">ajority of </w:t>
      </w:r>
      <w:r w:rsidR="000C44DD">
        <w:rPr>
          <w:lang w:eastAsia="en-GB"/>
        </w:rPr>
        <w:t xml:space="preserve">COVID-19 </w:t>
      </w:r>
      <w:r w:rsidR="00E632C0">
        <w:rPr>
          <w:lang w:eastAsia="en-GB"/>
        </w:rPr>
        <w:t xml:space="preserve">survivors </w:t>
      </w:r>
      <w:r w:rsidR="000C44DD">
        <w:rPr>
          <w:lang w:eastAsia="en-GB"/>
        </w:rPr>
        <w:t xml:space="preserve">experience long-term neuropsychiatric symptoms </w:t>
      </w:r>
      <w:r w:rsidR="00C22928">
        <w:rPr>
          <w:lang w:eastAsia="en-GB"/>
        </w:rPr>
        <w:t xml:space="preserve">such as fatigue, sleeping difficulties, depression and anxiety. We </w:t>
      </w:r>
      <w:r w:rsidR="000C44DD">
        <w:rPr>
          <w:lang w:eastAsia="en-GB"/>
        </w:rPr>
        <w:t xml:space="preserve">propose </w:t>
      </w:r>
      <w:r w:rsidR="00C22928">
        <w:rPr>
          <w:lang w:eastAsia="en-GB"/>
        </w:rPr>
        <w:t>that</w:t>
      </w:r>
      <w:r w:rsidR="00E632C0" w:rsidRPr="00704CAA">
        <w:rPr>
          <w:lang w:eastAsia="en-GB"/>
        </w:rPr>
        <w:t xml:space="preserve"> neuroimmune cross-talk via inflammatory cytokines such as interleukin-6 (IL-6) could underpin these long-term </w:t>
      </w:r>
      <w:r w:rsidR="00AE0FD8" w:rsidRPr="00704CAA">
        <w:rPr>
          <w:lang w:eastAsia="en-GB"/>
        </w:rPr>
        <w:t>COVID-19</w:t>
      </w:r>
      <w:r w:rsidR="00AE0FD8">
        <w:rPr>
          <w:lang w:eastAsia="en-GB"/>
        </w:rPr>
        <w:t xml:space="preserve"> </w:t>
      </w:r>
      <w:r w:rsidR="00E632C0" w:rsidRPr="00704CAA">
        <w:rPr>
          <w:lang w:eastAsia="en-GB"/>
        </w:rPr>
        <w:t>symptoms.</w:t>
      </w:r>
      <w:r w:rsidR="00C22928">
        <w:rPr>
          <w:lang w:eastAsia="en-GB"/>
        </w:rPr>
        <w:t xml:space="preserve"> </w:t>
      </w:r>
      <w:r w:rsidR="007C0578">
        <w:rPr>
          <w:lang w:eastAsia="en-GB"/>
        </w:rPr>
        <w:t>Th</w:t>
      </w:r>
      <w:r w:rsidR="00713CD0">
        <w:rPr>
          <w:lang w:eastAsia="en-GB"/>
        </w:rPr>
        <w:t xml:space="preserve">is hypothesis is supported by several lines of research, including </w:t>
      </w:r>
      <w:r w:rsidR="000C44DD">
        <w:rPr>
          <w:lang w:eastAsia="en-GB"/>
        </w:rPr>
        <w:t xml:space="preserve">population-based cohort and genetic </w:t>
      </w:r>
      <w:r w:rsidR="000C44DD" w:rsidRPr="00704CAA">
        <w:rPr>
          <w:lang w:eastAsia="en-GB"/>
        </w:rPr>
        <w:t xml:space="preserve">Mendelian Randomisation </w:t>
      </w:r>
      <w:r w:rsidR="000C44DD">
        <w:rPr>
          <w:lang w:eastAsia="en-GB"/>
        </w:rPr>
        <w:t>studies suggest</w:t>
      </w:r>
      <w:r w:rsidR="00713CD0">
        <w:rPr>
          <w:lang w:eastAsia="en-GB"/>
        </w:rPr>
        <w:t>ing</w:t>
      </w:r>
      <w:r w:rsidR="000C44DD">
        <w:rPr>
          <w:lang w:eastAsia="en-GB"/>
        </w:rPr>
        <w:t xml:space="preserve"> </w:t>
      </w:r>
      <w:r w:rsidR="000C44DD" w:rsidRPr="00704CAA">
        <w:rPr>
          <w:lang w:eastAsia="en-GB"/>
        </w:rPr>
        <w:t xml:space="preserve">that </w:t>
      </w:r>
      <w:r w:rsidR="000C44DD">
        <w:rPr>
          <w:lang w:eastAsia="en-GB"/>
        </w:rPr>
        <w:t xml:space="preserve">inflammation </w:t>
      </w:r>
      <w:r w:rsidR="000C44DD" w:rsidRPr="00704CAA">
        <w:rPr>
          <w:lang w:eastAsia="en-GB"/>
        </w:rPr>
        <w:t xml:space="preserve">is associated with fatigue and sleeping </w:t>
      </w:r>
      <w:r w:rsidR="007C0578" w:rsidRPr="00704CAA">
        <w:rPr>
          <w:lang w:eastAsia="en-GB"/>
        </w:rPr>
        <w:t>difficulties</w:t>
      </w:r>
      <w:r w:rsidR="00713CD0">
        <w:rPr>
          <w:lang w:eastAsia="en-GB"/>
        </w:rPr>
        <w:t>,</w:t>
      </w:r>
      <w:r w:rsidR="000C44DD" w:rsidRPr="00704CAA">
        <w:rPr>
          <w:lang w:eastAsia="en-GB"/>
        </w:rPr>
        <w:t xml:space="preserve"> </w:t>
      </w:r>
      <w:r w:rsidR="000C44DD">
        <w:rPr>
          <w:lang w:eastAsia="en-GB"/>
        </w:rPr>
        <w:t xml:space="preserve">and </w:t>
      </w:r>
      <w:r w:rsidR="007C0578">
        <w:rPr>
          <w:lang w:eastAsia="en-GB"/>
        </w:rPr>
        <w:t xml:space="preserve">that </w:t>
      </w:r>
      <w:r w:rsidR="000C44DD" w:rsidRPr="00704CAA">
        <w:rPr>
          <w:lang w:eastAsia="en-GB"/>
        </w:rPr>
        <w:t xml:space="preserve">IL-6 could represent </w:t>
      </w:r>
      <w:r w:rsidR="000C44DD">
        <w:rPr>
          <w:lang w:eastAsia="en-GB"/>
        </w:rPr>
        <w:t xml:space="preserve">a possible </w:t>
      </w:r>
      <w:r w:rsidR="000C44DD" w:rsidRPr="00704CAA">
        <w:rPr>
          <w:lang w:eastAsia="en-GB"/>
        </w:rPr>
        <w:t>causal driver for these symptoms.</w:t>
      </w:r>
      <w:r w:rsidR="007C0578">
        <w:rPr>
          <w:lang w:eastAsia="en-GB"/>
        </w:rPr>
        <w:t xml:space="preserve"> Immune activation following COVID-19 </w:t>
      </w:r>
      <w:r w:rsidR="00E632C0" w:rsidRPr="00704CAA">
        <w:rPr>
          <w:lang w:eastAsia="en-GB"/>
        </w:rPr>
        <w:t xml:space="preserve">can </w:t>
      </w:r>
      <w:r w:rsidR="00B55648">
        <w:rPr>
          <w:lang w:eastAsia="en-GB"/>
        </w:rPr>
        <w:t>disrupt T helper 17 (T</w:t>
      </w:r>
      <w:r w:rsidR="00B55648" w:rsidRPr="00B55648">
        <w:rPr>
          <w:vertAlign w:val="subscript"/>
          <w:lang w:eastAsia="en-GB"/>
        </w:rPr>
        <w:t>H</w:t>
      </w:r>
      <w:r w:rsidR="00B55648">
        <w:rPr>
          <w:lang w:eastAsia="en-GB"/>
        </w:rPr>
        <w:t>17) and regulatory T (T</w:t>
      </w:r>
      <w:r w:rsidR="00B55648" w:rsidRPr="00B55648">
        <w:rPr>
          <w:vertAlign w:val="subscript"/>
          <w:lang w:eastAsia="en-GB"/>
        </w:rPr>
        <w:t>reg</w:t>
      </w:r>
      <w:r w:rsidR="00B55648">
        <w:rPr>
          <w:lang w:eastAsia="en-GB"/>
        </w:rPr>
        <w:t>) cell responses</w:t>
      </w:r>
      <w:r w:rsidR="003A54F4">
        <w:rPr>
          <w:lang w:eastAsia="en-GB"/>
        </w:rPr>
        <w:t>, affect central learning and emotional processes,</w:t>
      </w:r>
      <w:r w:rsidR="00B55648">
        <w:rPr>
          <w:lang w:eastAsia="en-GB"/>
        </w:rPr>
        <w:t xml:space="preserve"> and </w:t>
      </w:r>
      <w:r w:rsidR="00E632C0" w:rsidRPr="00704CAA">
        <w:rPr>
          <w:lang w:eastAsia="en-GB"/>
        </w:rPr>
        <w:t>lead to a vicious c</w:t>
      </w:r>
      <w:r w:rsidR="00A4739E">
        <w:rPr>
          <w:lang w:eastAsia="en-GB"/>
        </w:rPr>
        <w:t>y</w:t>
      </w:r>
      <w:r w:rsidR="00E632C0" w:rsidRPr="00704CAA">
        <w:rPr>
          <w:lang w:eastAsia="en-GB"/>
        </w:rPr>
        <w:t xml:space="preserve">cle of inflammation and mitochondrial dysfunction that amplifies the inflammatory process and results in immuno-metabolic constraints on neuronal energy metabolism, </w:t>
      </w:r>
      <w:r w:rsidR="00B65FD4">
        <w:rPr>
          <w:lang w:eastAsia="en-GB"/>
        </w:rPr>
        <w:t>with</w:t>
      </w:r>
      <w:r w:rsidR="00E632C0" w:rsidRPr="00704CAA">
        <w:rPr>
          <w:lang w:eastAsia="en-GB"/>
        </w:rPr>
        <w:t xml:space="preserve"> fatigue</w:t>
      </w:r>
      <w:r w:rsidR="00B65FD4">
        <w:rPr>
          <w:lang w:eastAsia="en-GB"/>
        </w:rPr>
        <w:t xml:space="preserve"> </w:t>
      </w:r>
      <w:r w:rsidR="003027A7">
        <w:rPr>
          <w:lang w:eastAsia="en-GB"/>
        </w:rPr>
        <w:t xml:space="preserve">being </w:t>
      </w:r>
      <w:r w:rsidR="00B65FD4">
        <w:rPr>
          <w:lang w:eastAsia="en-GB"/>
        </w:rPr>
        <w:t>the ultimate result</w:t>
      </w:r>
      <w:r w:rsidR="00E632C0" w:rsidRPr="00704CAA">
        <w:rPr>
          <w:lang w:eastAsia="en-GB"/>
        </w:rPr>
        <w:t>. Increased cytokine activity drives this process and c</w:t>
      </w:r>
      <w:r w:rsidR="00D40FFE">
        <w:rPr>
          <w:lang w:eastAsia="en-GB"/>
        </w:rPr>
        <w:t>ould</w:t>
      </w:r>
      <w:r w:rsidR="00E632C0" w:rsidRPr="00704CAA">
        <w:rPr>
          <w:lang w:eastAsia="en-GB"/>
        </w:rPr>
        <w:t xml:space="preserve"> be targeted to interrupt it. </w:t>
      </w:r>
      <w:r w:rsidR="00A4739E">
        <w:rPr>
          <w:lang w:eastAsia="en-GB"/>
        </w:rPr>
        <w:t xml:space="preserve">Therefore, </w:t>
      </w:r>
      <w:r w:rsidR="00A4739E" w:rsidRPr="00704CAA">
        <w:rPr>
          <w:lang w:eastAsia="en-GB"/>
        </w:rPr>
        <w:t>whether persistent IL-6 dysregulation contributes to COVID-19-related long-term fatigue, sleeping difficulties, depression</w:t>
      </w:r>
      <w:r w:rsidR="000E7153">
        <w:rPr>
          <w:lang w:eastAsia="en-GB"/>
        </w:rPr>
        <w:t>,</w:t>
      </w:r>
      <w:r w:rsidR="00A4739E" w:rsidRPr="00704CAA">
        <w:rPr>
          <w:lang w:eastAsia="en-GB"/>
        </w:rPr>
        <w:t xml:space="preserve"> </w:t>
      </w:r>
      <w:r w:rsidR="000E7153" w:rsidRPr="00704CAA">
        <w:rPr>
          <w:lang w:eastAsia="en-GB"/>
        </w:rPr>
        <w:t xml:space="preserve">and </w:t>
      </w:r>
      <w:r w:rsidR="00A4739E" w:rsidRPr="00704CAA">
        <w:rPr>
          <w:lang w:eastAsia="en-GB"/>
        </w:rPr>
        <w:t>anxiety</w:t>
      </w:r>
      <w:r w:rsidR="000E7153">
        <w:rPr>
          <w:lang w:eastAsia="en-GB"/>
        </w:rPr>
        <w:t>,</w:t>
      </w:r>
      <w:r w:rsidR="00A4739E" w:rsidRPr="00704CAA">
        <w:rPr>
          <w:lang w:eastAsia="en-GB"/>
        </w:rPr>
        <w:t xml:space="preserve"> </w:t>
      </w:r>
      <w:r w:rsidR="00713CD0">
        <w:rPr>
          <w:lang w:eastAsia="en-GB"/>
        </w:rPr>
        <w:t xml:space="preserve">and whether targeting </w:t>
      </w:r>
      <w:r w:rsidR="00AE0FD8">
        <w:rPr>
          <w:lang w:eastAsia="en-GB"/>
        </w:rPr>
        <w:t>IL-6</w:t>
      </w:r>
      <w:r w:rsidR="00713CD0">
        <w:rPr>
          <w:lang w:eastAsia="en-GB"/>
        </w:rPr>
        <w:t xml:space="preserve"> pathway</w:t>
      </w:r>
      <w:r w:rsidR="00AE0FD8">
        <w:rPr>
          <w:lang w:eastAsia="en-GB"/>
        </w:rPr>
        <w:t>s</w:t>
      </w:r>
      <w:r w:rsidR="00713CD0">
        <w:rPr>
          <w:lang w:eastAsia="en-GB"/>
        </w:rPr>
        <w:t xml:space="preserve"> could be helpful for treatment and </w:t>
      </w:r>
      <w:r w:rsidR="000E7153">
        <w:rPr>
          <w:lang w:eastAsia="en-GB"/>
        </w:rPr>
        <w:t>prevention</w:t>
      </w:r>
      <w:r w:rsidR="00713CD0">
        <w:rPr>
          <w:lang w:eastAsia="en-GB"/>
        </w:rPr>
        <w:t xml:space="preserve"> of long COVID are </w:t>
      </w:r>
      <w:r w:rsidR="00A4739E" w:rsidRPr="00704CAA">
        <w:rPr>
          <w:lang w:eastAsia="en-GB"/>
        </w:rPr>
        <w:t xml:space="preserve">important </w:t>
      </w:r>
      <w:r w:rsidR="00713CD0">
        <w:rPr>
          <w:lang w:eastAsia="en-GB"/>
        </w:rPr>
        <w:t xml:space="preserve">questions </w:t>
      </w:r>
      <w:r w:rsidR="00A4739E" w:rsidRPr="00704CAA">
        <w:rPr>
          <w:lang w:eastAsia="en-GB"/>
        </w:rPr>
        <w:t>that require investigation.</w:t>
      </w:r>
      <w:r w:rsidR="00A4739E">
        <w:rPr>
          <w:lang w:eastAsia="en-GB"/>
        </w:rPr>
        <w:t xml:space="preserve"> This line of research could inform new approaches for treatment and prevention of long</w:t>
      </w:r>
      <w:r w:rsidR="004D13C0">
        <w:rPr>
          <w:lang w:eastAsia="en-GB"/>
        </w:rPr>
        <w:t>-</w:t>
      </w:r>
      <w:r w:rsidR="00D40FFE">
        <w:rPr>
          <w:lang w:eastAsia="en-GB"/>
        </w:rPr>
        <w:t xml:space="preserve">term neuropsychiatric symptoms of </w:t>
      </w:r>
      <w:r w:rsidR="00A4739E">
        <w:rPr>
          <w:lang w:eastAsia="en-GB"/>
        </w:rPr>
        <w:t>COVID</w:t>
      </w:r>
      <w:r w:rsidR="00596291">
        <w:rPr>
          <w:lang w:eastAsia="en-GB"/>
        </w:rPr>
        <w:t>-19</w:t>
      </w:r>
      <w:r w:rsidR="00A4739E">
        <w:rPr>
          <w:lang w:eastAsia="en-GB"/>
        </w:rPr>
        <w:t xml:space="preserve">. </w:t>
      </w:r>
      <w:r w:rsidR="00713CD0">
        <w:rPr>
          <w:lang w:eastAsia="en-GB"/>
        </w:rPr>
        <w:t xml:space="preserve">Effective treatment and prevention of this condition </w:t>
      </w:r>
      <w:r w:rsidR="000E7153">
        <w:rPr>
          <w:lang w:eastAsia="en-GB"/>
        </w:rPr>
        <w:t>could</w:t>
      </w:r>
      <w:r w:rsidR="00713CD0">
        <w:rPr>
          <w:lang w:eastAsia="en-GB"/>
        </w:rPr>
        <w:t xml:space="preserve"> </w:t>
      </w:r>
      <w:r w:rsidR="0067287A">
        <w:rPr>
          <w:lang w:eastAsia="en-GB"/>
        </w:rPr>
        <w:t xml:space="preserve">also help to </w:t>
      </w:r>
      <w:r w:rsidR="00872599">
        <w:rPr>
          <w:lang w:eastAsia="en-GB"/>
        </w:rPr>
        <w:t xml:space="preserve">stem the </w:t>
      </w:r>
      <w:r w:rsidR="0067287A">
        <w:rPr>
          <w:lang w:eastAsia="en-GB"/>
        </w:rPr>
        <w:t xml:space="preserve">anticipated </w:t>
      </w:r>
      <w:r w:rsidR="00872599">
        <w:rPr>
          <w:lang w:eastAsia="en-GB"/>
        </w:rPr>
        <w:t xml:space="preserve">rise in depression and </w:t>
      </w:r>
      <w:r w:rsidR="00164919">
        <w:rPr>
          <w:lang w:eastAsia="en-GB"/>
        </w:rPr>
        <w:t xml:space="preserve">other </w:t>
      </w:r>
      <w:r w:rsidR="00713CD0">
        <w:rPr>
          <w:lang w:eastAsia="en-GB"/>
        </w:rPr>
        <w:t xml:space="preserve">mental </w:t>
      </w:r>
      <w:r w:rsidR="00164919">
        <w:rPr>
          <w:lang w:eastAsia="en-GB"/>
        </w:rPr>
        <w:t>illnesses</w:t>
      </w:r>
      <w:r w:rsidR="00713CD0">
        <w:rPr>
          <w:lang w:eastAsia="en-GB"/>
        </w:rPr>
        <w:t xml:space="preserve"> </w:t>
      </w:r>
      <w:r w:rsidR="000E7153">
        <w:rPr>
          <w:lang w:eastAsia="en-GB"/>
        </w:rPr>
        <w:t xml:space="preserve">ensuing </w:t>
      </w:r>
      <w:r w:rsidR="00713CD0">
        <w:rPr>
          <w:lang w:eastAsia="en-GB"/>
        </w:rPr>
        <w:t>this pandemic</w:t>
      </w:r>
      <w:r w:rsidR="00E632C0" w:rsidRPr="00704CAA">
        <w:rPr>
          <w:lang w:eastAsia="en-GB"/>
        </w:rPr>
        <w:t>.</w:t>
      </w:r>
    </w:p>
    <w:p w14:paraId="2623CA57" w14:textId="0F411994" w:rsidR="008E13BA" w:rsidRPr="008E13BA" w:rsidRDefault="008E13BA" w:rsidP="008E13BA">
      <w:pPr>
        <w:sectPr w:rsidR="008E13BA" w:rsidRPr="008E13BA">
          <w:pgSz w:w="11906" w:h="16838"/>
          <w:pgMar w:top="1440" w:right="1440" w:bottom="1440" w:left="1440" w:header="708" w:footer="708" w:gutter="0"/>
          <w:cols w:space="708"/>
          <w:docGrid w:linePitch="360"/>
        </w:sectPr>
      </w:pPr>
      <w:r w:rsidRPr="00C32ECF">
        <w:rPr>
          <w:i/>
        </w:rPr>
        <w:t>Keywords</w:t>
      </w:r>
      <w:r>
        <w:t>:  COVID-19; long COVID; interleukin-6; fatigue; sleep; depression</w:t>
      </w:r>
    </w:p>
    <w:p w14:paraId="502051A3" w14:textId="6307325B" w:rsidR="0018002C" w:rsidRPr="00704CAA" w:rsidRDefault="006B17AF" w:rsidP="0084798D">
      <w:pPr>
        <w:pStyle w:val="Heading1"/>
      </w:pPr>
      <w:r>
        <w:lastRenderedPageBreak/>
        <w:t>Viewpoint</w:t>
      </w:r>
    </w:p>
    <w:p w14:paraId="2D246EE7" w14:textId="56641B33" w:rsidR="003B267F" w:rsidRDefault="006A3A25" w:rsidP="003B267F">
      <w:pPr>
        <w:rPr>
          <w:lang w:eastAsia="en-GB"/>
        </w:rPr>
      </w:pPr>
      <w:r>
        <w:rPr>
          <w:lang w:eastAsia="en-GB"/>
        </w:rPr>
        <w:t>A</w:t>
      </w:r>
      <w:r w:rsidR="000325A3">
        <w:rPr>
          <w:lang w:eastAsia="en-GB"/>
        </w:rPr>
        <w:t xml:space="preserve"> notable proportion of </w:t>
      </w:r>
      <w:r w:rsidR="00E57A45">
        <w:rPr>
          <w:lang w:eastAsia="en-GB"/>
        </w:rPr>
        <w:t xml:space="preserve">acute COVID-19 </w:t>
      </w:r>
      <w:r w:rsidR="00AD38EA">
        <w:rPr>
          <w:lang w:eastAsia="en-GB"/>
        </w:rPr>
        <w:t xml:space="preserve">survivors experience </w:t>
      </w:r>
      <w:r w:rsidR="005E4B32">
        <w:rPr>
          <w:lang w:eastAsia="en-GB"/>
        </w:rPr>
        <w:t>long-term physical and neuropsychiatric symptoms</w:t>
      </w:r>
      <w:r w:rsidR="00C425FD">
        <w:rPr>
          <w:lang w:eastAsia="en-GB"/>
        </w:rPr>
        <w:t xml:space="preserve"> </w:t>
      </w:r>
      <w:r w:rsidR="00C425FD" w:rsidRPr="00704CAA">
        <w:rPr>
          <w:lang w:eastAsia="en-GB"/>
        </w:rPr>
        <w:fldChar w:fldCharType="begin" w:fldLock="1"/>
      </w:r>
      <w:r w:rsidR="00D13554">
        <w:rPr>
          <w:lang w:eastAsia="en-GB"/>
        </w:rPr>
        <w:instrText>ADDIN CSL_CITATION {"citationItems":[{"id":"ITEM-1","itemData":{"DOI":"10.1016/S0140-6736(20)32656-8","ISSN":"01406736","author":[{"dropping-particle":"","family":"Huang","given":"Chaolin","non-dropping-particle":"","parse-names":false,"suffix":""},{"dropping-particle":"","family":"Huang","given":"Lixue","non-dropping-particle":"","parse-names":false,"suffix":""},{"dropping-particle":"","family":"Wang","given":"Yeming","non-dropping-particle":"","parse-names":false,"suffix":""},{"dropping-particle":"","family":"Li","given":"Xia","non-dropping-particle":"","parse-names":false,"suffix":""},{"dropping-particle":"","family":"Ren","given":"Lili","non-dropping-particle":"","parse-names":false,"suffix":""},{"dropping-particle":"","family":"Gu","given":"Xiaoying","non-dropping-particle":"","parse-names":false,"suffix":""},{"dropping-particle":"","family":"Kang","given":"Liang","non-dropping-particle":"","parse-names":false,"suffix":""},{"dropping-particle":"","family":"Guo","given":"Li","non-dropping-particle":"","parse-names":false,"suffix":""},{"dropping-particle":"","family":"Liu","given":"Min","non-dropping-particle":"","parse-names":false,"suffix":""},{"dropping-particle":"","family":"Zhou","given":"Xing","non-dropping-particle":"","parse-names":false,"suffix":""},{"dropping-particle":"","family":"Luo","given":"Jianfeng","non-dropping-particle":"","parse-names":false,"suffix":""},{"dropping-particle":"","family":"Huang","given":"Zhenghui","non-dropping-particle":"","parse-names":false,"suffix":""},{"dropping-particle":"","family":"Tu","given":"Shengjin","non-dropping-particle":"","parse-names":false,"suffix":""},{"dropping-particle":"","family":"Zhao","given":"Yue","non-dropping-particle":"","parse-names":false,"suffix":""},{"dropping-particle":"","family":"Chen","given":"Li","non-dropping-particle":"","parse-names":false,"suffix":""},{"dropping-particle":"","family":"Xu","given":"Decui","non-dropping-particle":"","parse-names":false,"suffix":""},{"dropping-particle":"","family":"Li","given":"Yanping","non-dropping-particle":"","parse-names":false,"suffix":""},{"dropping-particle":"","family":"Li","given":"Caihong","non-dropping-particle":"","parse-names":false,"suffix":""},{"dropping-particle":"","family":"Peng","given":"Lu","non-dropping-particle":"","parse-names":false,"suffix":""},{"dropping-particle":"","family":"Li","given":"Yong","non-dropping-particle":"","parse-names":false,"suffix":""},{"dropping-particle":"","family":"Xie","given":"Wuxiang","non-dropping-particle":"","parse-names":false,"suffix":""},{"dropping-particle":"","family":"Cui","given":"Dan","non-dropping-particle":"","parse-names":false,"suffix":""},{"dropping-particle":"","family":"Shang","given":"Lianhan","non-dropping-particle":"","parse-names":false,"suffix":""},{"dropping-particle":"","family":"Fan","given":"Guohui","non-dropping-particle":"","parse-names":false,"suffix":""},{"dropping-particle":"","family":"Xu","given":"Jiuyang","non-dropping-particle":"","parse-names":false,"suffix":""},{"dropping-particle":"","family":"Wang","given":"Geng","non-dropping-particle":"","parse-names":false,"suffix":""},{"dropping-particle":"","family":"Wang","given":"Ying","non-dropping-particle":"","parse-names":false,"suffix":""},{"dropping-particle":"","family":"Zhong","given":"Jingchuan","non-dropping-particle":"","parse-names":false,"suffix":""},{"dropping-particle":"","family":"Wang","given":"Chen","non-dropping-particle":"","parse-names":false,"suffix":""},{"dropping-particle":"","family":"Wang","given":"Jianwei","non-dropping-particle":"","parse-names":false,"suffix":""},{"dropping-particle":"","family":"Zhang","given":"Dingyu","non-dropping-particle":"","parse-names":false,"suffix":""},{"dropping-particle":"","family":"Cao","given":"Bin","non-dropping-particle":"","parse-names":false,"suffix":""}],"container-title":"The Lancet","id":"ITEM-1","issue":"10270","issued":{"date-parts":[["2021","1"]]},"page":"220-232","publisher":"Elsevier Ltd","title":"6-month consequences of COVID-19 in patients discharged from hospital: a cohort study","type":"article-journal","volume":"397"},"uris":["http://www.mendeley.com/documents/?uuid=df485d0c-4b2f-420c-955e-13073b393876"]},{"id":"ITEM-2","itemData":{"DOI":"10.7326/M21-1043","ISSN":"0003-4819","abstract":"Over the past year, the SARS-CoV-2 pandemic has swept the globe, resulting in an enormous worldwide burden of infection and mortality. However, the additional toll resulting from long-term consequences of the pandemic has yet to be tallied. Heterogeneous disease manifestations and syndromes are now recognized among some persons after their initial recovery from SARS-CoV-2 infection, representing in the broadest sense a failure to return to a baseline state of health after acute SARS-CoV-2 infection. On 3 to 4 December 2020, the National Institute of Allergy and Infectious Diseases, in collaboration with other Institutes and Centers of the National Institutes of Health, convened a virtual workshop to summarize existing knowledge on postacute COVID-19 and to identify key knowledge gaps regarding this condition.","author":[{"dropping-particle":"","family":"Lerner","given":"Andrea M","non-dropping-particle":"","parse-names":false,"suffix":""},{"dropping-particle":"","family":"Robinson","given":"Daphne A","non-dropping-particle":"","parse-names":false,"suffix":""},{"dropping-particle":"","family":"Yang","given":"Linda","non-dropping-particle":"","parse-names":false,"suffix":""},{"dropping-particle":"","family":"Williams","given":"Carolyn F","non-dropping-particle":"","parse-names":false,"suffix":""},{"dropping-particle":"","family":"Newman","given":"Lori M","non-dropping-particle":"","parse-names":false,"suffix":""},{"dropping-particle":"","family":"Breen","given":"Joseph J","non-dropping-particle":"","parse-names":false,"suffix":""},{"dropping-particle":"","family":"Eisinger","given":"Robert W","non-dropping-particle":"","parse-names":false,"suffix":""},{"dropping-particle":"","family":"Schneider","given":"Johanna S","non-dropping-particle":"","parse-names":false,"suffix":""},{"dropping-particle":"","family":"Adimora","given":"Adaora A","non-dropping-particle":"","parse-names":false,"suffix":""},{"dropping-particle":"","family":"Erbelding","given":"Emily J","non-dropping-particle":"","parse-names":false,"suffix":""}],"container-title":"Annals of Internal Medicine","id":"ITEM-2","issued":{"date-parts":[["2021","3","30"]]},"note":"doi: 10.7326/M21-1043","page":"M21-1043","publisher":"American College of Physicians","title":"Toward Understanding COVID-19 Recovery: National Institutes of Health Workshop on Postacute COVID-19","type":"article-journal"},"uris":["http://www.mendeley.com/documents/?uuid=4a57dff0-2725-42fd-bfc8-3ba155794feb"]}],"mendeley":{"formattedCitation":"(Huang et al., 2021; Lerner et al., 2021)","plainTextFormattedCitation":"(Huang et al., 2021; Lerner et al., 2021)","previouslyFormattedCitation":"(Huang et al., 2021)"},"properties":{"noteIndex":0},"schema":"https://github.com/citation-style-language/schema/raw/master/csl-citation.json"}</w:instrText>
      </w:r>
      <w:r w:rsidR="00C425FD" w:rsidRPr="00704CAA">
        <w:rPr>
          <w:lang w:eastAsia="en-GB"/>
        </w:rPr>
        <w:fldChar w:fldCharType="separate"/>
      </w:r>
      <w:r w:rsidR="00D13554" w:rsidRPr="00D13554">
        <w:rPr>
          <w:noProof/>
          <w:lang w:eastAsia="en-GB"/>
        </w:rPr>
        <w:t>(Huang et al., 2021; Lerner et al., 2021)</w:t>
      </w:r>
      <w:r w:rsidR="00C425FD" w:rsidRPr="00704CAA">
        <w:rPr>
          <w:lang w:eastAsia="en-GB"/>
        </w:rPr>
        <w:fldChar w:fldCharType="end"/>
      </w:r>
      <w:r w:rsidR="005E4B32">
        <w:rPr>
          <w:lang w:eastAsia="en-GB"/>
        </w:rPr>
        <w:t>, which according to the UK National Institute for Health and Care Excellence (NICE) can be classed as “</w:t>
      </w:r>
      <w:r w:rsidR="005E4B32" w:rsidRPr="006325D2">
        <w:rPr>
          <w:lang w:eastAsia="en-GB"/>
        </w:rPr>
        <w:t>ongoing symptomatic COVID-19</w:t>
      </w:r>
      <w:r w:rsidR="005E4B32">
        <w:rPr>
          <w:lang w:eastAsia="en-GB"/>
        </w:rPr>
        <w:t>” (symptoms persisting for 4-12 weeks after illness onset) and as “</w:t>
      </w:r>
      <w:r w:rsidR="005E4B32" w:rsidRPr="006325D2">
        <w:rPr>
          <w:lang w:eastAsia="en-GB"/>
        </w:rPr>
        <w:t>post-COVID-19 syndrome</w:t>
      </w:r>
      <w:r w:rsidR="005E4B32">
        <w:rPr>
          <w:lang w:eastAsia="en-GB"/>
        </w:rPr>
        <w:t xml:space="preserve">” or “long COVID” (symptoms persisting </w:t>
      </w:r>
      <w:r w:rsidR="009C38D7">
        <w:rPr>
          <w:lang w:eastAsia="en-GB"/>
        </w:rPr>
        <w:t>&gt;</w:t>
      </w:r>
      <w:r w:rsidR="005E4B32">
        <w:rPr>
          <w:lang w:eastAsia="en-GB"/>
        </w:rPr>
        <w:t xml:space="preserve">12 weeks) </w:t>
      </w:r>
      <w:r w:rsidR="005E4B32">
        <w:rPr>
          <w:lang w:eastAsia="en-GB"/>
        </w:rPr>
        <w:fldChar w:fldCharType="begin" w:fldLock="1"/>
      </w:r>
      <w:r w:rsidR="005E4B32">
        <w:rPr>
          <w:lang w:eastAsia="en-GB"/>
        </w:rPr>
        <w:instrText>ADDIN CSL_CITATION {"citationItems":[{"id":"ITEM-1","itemData":{"DOI":"10.1016/S2213-2600(21)00031-X","ISSN":"22132600","abstract":"As the global COVID-19 pandemic has progressed, evidence has emerged that some patients are experiencing prolonged multiorgan symptoms and complications beyond the initial period of acute infection and illness. The list of persisting and new symptoms reported by patients is extensive, including chronic cough, shortness of breath, chest tightness, cognitive dysfunction, and extreme fatigue. Termed long COVID or post-COVID-19 syndrome, the implications and consequences of such ongoing clinical manifestations are a growing health concern. In the UK, as of Jan 10, 2021, there have been around 3·02 million confirmed cases of COVID-19. As the scope of testing widens, the number of patients reporting long COVID symptoms is also increasing. In a survey by the UK Government's Office for National Statistics in November, 2020, around one in five people who tested positive for COVID-19 had symptoms that lasted for 5 weeks or longer, and one in ten people had symptoms that lasted for 12 weeks or longer. These figures equate to an estimated 186 000 individuals (95% CI 153 000–221 000) in England who had symptoms persisting between 5 and 12 weeks.","author":[{"dropping-particle":"","family":"Venkatesan","given":"Priya","non-dropping-particle":"","parse-names":false,"suffix":""}],"container-title":"The Lancet Respiratory Medicine","id":"ITEM-1","issue":"2","issued":{"date-parts":[["2021","2"]]},"page":"129","publisher":"Elsevier Ltd","title":"NICE guideline on long COVID","type":"article-journal","volume":"9"},"uris":["http://www.mendeley.com/documents/?uuid=d4407c71-65fb-4338-8f24-c770b247b251"]}],"mendeley":{"formattedCitation":"(Venkatesan, 2021)","plainTextFormattedCitation":"(Venkatesan, 2021)","previouslyFormattedCitation":"(Venkatesan, 2021)"},"properties":{"noteIndex":0},"schema":"https://github.com/citation-style-language/schema/raw/master/csl-citation.json"}</w:instrText>
      </w:r>
      <w:r w:rsidR="005E4B32">
        <w:rPr>
          <w:lang w:eastAsia="en-GB"/>
        </w:rPr>
        <w:fldChar w:fldCharType="separate"/>
      </w:r>
      <w:r w:rsidR="005E4B32" w:rsidRPr="006325D2">
        <w:rPr>
          <w:noProof/>
          <w:lang w:eastAsia="en-GB"/>
        </w:rPr>
        <w:t>(Venkatesan, 2021)</w:t>
      </w:r>
      <w:r w:rsidR="005E4B32">
        <w:rPr>
          <w:lang w:eastAsia="en-GB"/>
        </w:rPr>
        <w:fldChar w:fldCharType="end"/>
      </w:r>
      <w:r w:rsidR="005E4B32">
        <w:rPr>
          <w:lang w:eastAsia="en-GB"/>
        </w:rPr>
        <w:t xml:space="preserve">. </w:t>
      </w:r>
      <w:r w:rsidR="008F481D">
        <w:rPr>
          <w:lang w:eastAsia="en-GB"/>
        </w:rPr>
        <w:t>These ongoing symptoms broadly fall into two categories: respiratory (e.g., cough, shortness of breath, chest tightness) and neuropsychiatric (e.g., fatigue, cognitive dysfunction, sleeping difficulties, depression, and anxiety</w:t>
      </w:r>
      <w:r w:rsidR="00612757">
        <w:rPr>
          <w:lang w:eastAsia="en-GB"/>
        </w:rPr>
        <w:t>)</w:t>
      </w:r>
      <w:r w:rsidR="00BD60E0" w:rsidRPr="00E30BE2">
        <w:rPr>
          <w:lang w:val="en-US" w:eastAsia="en-GB"/>
        </w:rPr>
        <w:t xml:space="preserve"> </w:t>
      </w:r>
      <w:r w:rsidR="00BD60E0">
        <w:rPr>
          <w:lang w:val="fr-FR" w:eastAsia="en-GB"/>
        </w:rPr>
        <w:fldChar w:fldCharType="begin" w:fldLock="1"/>
      </w:r>
      <w:r w:rsidR="00EE2803">
        <w:rPr>
          <w:lang w:val="en-US" w:eastAsia="en-GB"/>
        </w:rPr>
        <w:instrText>ADDIN CSL_CITATION {"citationItems":[{"id":"ITEM-1","itemData":{"DOI":"10.1001/jama.2020.12603","ISSN":"0098-7484","PMID":"32444460","abstract":"AbstractObjective To characterise the clinical features of patients admitted to hospital with coronavirus disease 2019 (covid-19) in the United Kingdom during the growth phase of the first wave of this outbreak who were enrolled in the International Severe Acute Respiratory and emerging Infections Consortium (ISARIC) World Health Organization (WHO) Clinical Characterisation Protocol UK (CCP-UK) study, and to explore risk factors associated with mortality in hospital. Design Prospective observational cohort study with rapid data gathering and near real time analysis. Setting 208 acute care hospitals in England, Wales, and Scotland between 6 February and 19 April 2020. A case report form developed by ISARIC and WHO was used to collect clinical data. A minimal follow-up time of two weeks (to 3 May 2020) allowed most patients to complete their hospital admission. Participants 20 133 hospital inpatients with covid-19. Main outcome measures Admission to critical care (high dependency unit or intensive care unit) and mortality in hospital. Results The median age of patients admitted to hospital with covid-19, or with a diagnosis of covid-19 made in hospital, was 73 years (interquartile range 58-82, range 0-104). More men were admitted than women (men 60%, n=12 068; women 40%, n=8065). The median duration of symptoms before admission was 4 days (interquartile range 1-8). The commonest comorbidities were chronic cardiac disease (31%, 5469/17 702), uncomplicated diabetes (21%, 3650/17 599), non-asthmatic chronic pulmonary disease (18%, 3128/17 634), and chronic kidney disease (16%, 2830/17 506); 23% (4161/18 525) had no reported major comorbidity. Overall, 41% (8199/20 133) of patients were discharged alive, 26% (5165/20 133) died, and 34% (6769/20 133) continued to receive care at the reporting date. 17% (3001/18 183) required admission to high dependency or intensive care units; of these, 28% (826/3001) were discharged alive, 32% (958/3001) died, and 41% (1217/3001) continued to receive care at the reporting date. Of those receiving mechanical ventilation, 17% (276/1658) were discharged alive, 37% (618/1658) died, and 46% (764/1658) remained in hospital. Increasing age, male sex, and comorbidities including chronic cardiac disease, non-asthmatic chronic pulmonary disease, chronic kidney disease, liver disease and obesity were associated with higher mortality in hospital. Conclusions ISARIC WHO CCP-UK is a large prospective cohort study of patients in hospital w…","author":[{"dropping-particle":"","family":"Carfì","given":"Angelo","non-dropping-particle":"","parse-names":false,"suffix":""},{"dropping-particle":"","family":"Bernabei","given":"Roberto","non-dropping-particle":"","parse-names":false,"suffix":""},{"dropping-particle":"","family":"Landi","given":"Francesco","non-dropping-particle":"","parse-names":false,"suffix":""}],"container-title":"JAMA","id":"ITEM-1","issued":{"date-parts":[["2020","7","9"]]},"page":"9-10","title":"Persistent Symptoms in Patients After Acute COVID-19","type":"article-journal","volume":"369"},"uris":["http://www.mendeley.com/documents/?uuid=ef2aabc4-83a1-449a-a8ee-21b01d5b41ae"]},{"id":"ITEM-2","itemData":{"DOI":"10.1101/2020.12.24.20248802","abstract":"Objective. To characterize the symptom profile and time course in patients with Long COVID, along with the impact on daily life, work, and return to baseline health. Design. International web-based survey of suspected and confirmed COVID-19 cases with illness lasting over 28 days and onset prior to June 2020. Setting. Survey distribution via online COVID-19 support groups and social media Participants. 3,762 respondents from 56 countries completed the survey. 1166 (33.7%) were 40-49 years old, 937 (27.1%) were 50-59 years old, and 905 (26.1%) were 30-39 years old. 2961 (78.9%) were women, 718 (19.1%) were men, and 63 (1.7%) were nonbinary. 8.4% reported being hospitalized. 27% reported receiving a laboratory-confirmed diagnosis of COVID-19. 96% reported symptoms beyond 90 days. Results. Prevalence of 205 symptoms in 10 organ systems was estimated in this cohort, with 66 symptoms traced over seven months. Respondents experienced symptoms in an average of 9.08 (95% confidence interval 9.04 to 9.13) organ systems. The most frequent symptoms reported after month 6 were: fatigue (77.7%, 74.9% to 80.3%), post-exertional malaise (72.2%, 69.3% to 75.0%), and cognitive dysfunction (55.4%, 52.4% to 58.8%). These three symptoms were also the three most commonly reported overall. In those who recovered in less than 90 days, the average number of symptoms peaked at week 2 (11.4, 9.4 to 13.6), and in those who did not recover in 90 days, the average number of symptoms peaked at month 2 (17.2, 16.5 to 17.8). Respondents with symptoms over 6 months experienced an average of 13.8 (12.7 to 14.9) symptoms in month 7. 85.9% (84.8% to 87.0%) experienced relapses, with exercise, physical or mental activity, and stress as the main triggers. 86.7% (85.6% to 92.5%) of unrecovered respondents were experiencing fatigue at the time of survey, compared to 44.7% (38.5% to 50.5%) of recovered respondents. 45.2% (42.9% to 47.2%) reported requiring a reduced work schedule compared to pre-illness and 22.3% (20.5% to 24.3%) were not working at the time of survey due to their health conditions. Conclusions. Patients with Long COVID report prolonged multisystem involvement and significant disability. Most had not returned to previous levels of work by 6 months. Many patients are not recovered by 7 months, and continue to experience significant symptom burden.","author":[{"dropping-particle":"","family":"Davis","given":"Hannah E.","non-dropping-particle":"","parse-names":false,"suffix":""},{"dropping-particle":"","family":"Assaf","given":"Gina S.","non-dropping-particle":"","parse-names":false,"suffix":""},{"dropping-particle":"","family":"McCorkell","given":"Lisa","non-dropping-particle":"","parse-names":false,"suffix":""},{"dropping-particle":"","family":"Wei","given":"Hannah","non-dropping-particle":"","parse-names":false,"suffix":""},{"dropping-particle":"","family":"Low","given":"Ryan J.","non-dropping-particle":"","parse-names":false,"suffix":""},{"dropping-particle":"","family":"Re’em","given":"Yochai","non-dropping-particle":"","parse-names":false,"suffix":""},{"dropping-particle":"","family":"Redfield","given":"Signe","non-dropping-particle":"","parse-names":false,"suffix":""},{"dropping-particle":"","family":"Austin","given":"Jared P.","non-dropping-particle":"","parse-names":false,"suffix":""},{"dropping-particle":"","family":"Akrami","given":"Athena","non-dropping-particle":"","parse-names":false,"suffix":""}],"container-title":"medRxiv","id":"ITEM-2","issued":{"date-parts":[["2020"]]},"title":"Characterizing long COVID in an international cohort: 7 months of symptoms and their impact","type":"article-journal"},"uris":["http://www.mendeley.com/documents/?uuid=a931d0a9-aa0c-4c5d-ac58-76913374781c"]},{"id":"ITEM-3","itemData":{"DOI":"10.1016/S0140-6736(20)32656-8","ISSN":"01406736","author":[{"dropping-particle":"","family":"Huang","given":"Chaolin","non-dropping-particle":"","parse-names":false,"suffix":""},{"dropping-particle":"","family":"Huang","given":"Lixue","non-dropping-particle":"","parse-names":false,"suffix":""},{"dropping-particle":"","family":"Wang","given":"Yeming","non-dropping-particle":"","parse-names":false,"suffix":""},{"dropping-particle":"","family":"Li","given":"Xia","non-dropping-particle":"","parse-names":false,"suffix":""},{"dropping-particle":"","family":"Ren","given":"Lili","non-dropping-particle":"","parse-names":false,"suffix":""},{"dropping-particle":"","family":"Gu","given":"Xiaoying","non-dropping-particle":"","parse-names":false,"suffix":""},{"dropping-particle":"","family":"Kang","given":"Liang","non-dropping-particle":"","parse-names":false,"suffix":""},{"dropping-particle":"","family":"Guo","given":"Li","non-dropping-particle":"","parse-names":false,"suffix":""},{"dropping-particle":"","family":"Liu","given":"Min","non-dropping-particle":"","parse-names":false,"suffix":""},{"dropping-particle":"","family":"Zhou","given":"Xing","non-dropping-particle":"","parse-names":false,"suffix":""},{"dropping-particle":"","family":"Luo","given":"Jianfeng","non-dropping-particle":"","parse-names":false,"suffix":""},{"dropping-particle":"","family":"Huang","given":"Zhenghui","non-dropping-particle":"","parse-names":false,"suffix":""},{"dropping-particle":"","family":"Tu","given":"Shengjin","non-dropping-particle":"","parse-names":false,"suffix":""},{"dropping-particle":"","family":"Zhao","given":"Yue","non-dropping-particle":"","parse-names":false,"suffix":""},{"dropping-particle":"","family":"Chen","given":"Li","non-dropping-particle":"","parse-names":false,"suffix":""},{"dropping-particle":"","family":"Xu","given":"Decui","non-dropping-particle":"","parse-names":false,"suffix":""},{"dropping-particle":"","family":"Li","given":"Yanping","non-dropping-particle":"","parse-names":false,"suffix":""},{"dropping-particle":"","family":"Li","given":"Caihong","non-dropping-particle":"","parse-names":false,"suffix":""},{"dropping-particle":"","family":"Peng","given":"Lu","non-dropping-particle":"","parse-names":false,"suffix":""},{"dropping-particle":"","family":"Li","given":"Yong","non-dropping-particle":"","parse-names":false,"suffix":""},{"dropping-particle":"","family":"Xie","given":"Wuxiang","non-dropping-particle":"","parse-names":false,"suffix":""},{"dropping-particle":"","family":"Cui","given":"Dan","non-dropping-particle":"","parse-names":false,"suffix":""},{"dropping-particle":"","family":"Shang","given":"Lianhan","non-dropping-particle":"","parse-names":false,"suffix":""},{"dropping-particle":"","family":"Fan","given":"Guohui","non-dropping-particle":"","parse-names":false,"suffix":""},{"dropping-particle":"","family":"Xu","given":"Jiuyang","non-dropping-particle":"","parse-names":false,"suffix":""},{"dropping-particle":"","family":"Wang","given":"Geng","non-dropping-particle":"","parse-names":false,"suffix":""},{"dropping-particle":"","family":"Wang","given":"Ying","non-dropping-particle":"","parse-names":false,"suffix":""},{"dropping-particle":"","family":"Zhong","given":"Jingchuan","non-dropping-particle":"","parse-names":false,"suffix":""},{"dropping-particle":"","family":"Wang","given":"Chen","non-dropping-particle":"","parse-names":false,"suffix":""},{"dropping-particle":"","family":"Wang","given":"Jianwei","non-dropping-particle":"","parse-names":false,"suffix":""},{"dropping-particle":"","family":"Zhang","given":"Dingyu","non-dropping-particle":"","parse-names":false,"suffix":""},{"dropping-particle":"","family":"Cao","given":"Bin","non-dropping-particle":"","parse-names":false,"suffix":""}],"container-title":"The Lancet","id":"ITEM-3","issue":"10270","issued":{"date-parts":[["2021","1"]]},"page":"220-232","publisher":"Elsevier Ltd","title":"6-month consequences of COVID-19 in patients discharged from hospital: a cohort study","type":"article-journal","volume":"397"},"uris":["http://www.mendeley.com/documents/?uuid=df485d0c-4b2f-420c-955e-13073b393876"]},{"id":"ITEM-4","itemData":{"DOI":"10.1101/2021.01.27.21250617","ISBN":"0000000175043","PMID":"33532785","abstract":"COVID-19, caused by SARS-CoV-2, can involve sequelae and other medical complications that last weeks to months after initial recovery, which has come to be called Long-COVID or COVID long-haulers. This systematic review and meta-analysis aims to identify studies assessing long-term effects of COVID-19 and estimates the prevalence of each symptom, sign, or laboratory parameter of patients at a post-COVID-19 stage. LitCOVID (PubMed and Medline) and Embase were searched by two independent researchers. All articles with original data for detecting long-term COVID-19 published before 1st of January 2021 and with a minimum of 100 patients were included. For effects reported in two or more studies, meta-analyses using a random-effects model were performed using the MetaXL software to estimate the pooled prevalence with 95% CI. Heterogeneity was assessed using I2 statistics. The Preferred Reporting Items for Systematic Reviewers and Meta-analysis (PRISMA) reporting guideline was followed. A total of 18,251 publications were identified, of which 15 met the inclusion criteria. The prevalence of 55 long-term effects was estimated, 21 meta-analyses were performed, and 47,910 patients were included. The follow-up time ranged from 15 to 110 days post-viral infection. The age of the study participants ranged between 17 and 87 years. It was estimated that 80% (95% CI 65-92) of the patients that were infected with SARS-CoV-2 developed one or more long-term symptoms. The five most common symptoms were fatigue (58%), headache (44%), attention disorder (27%), hair loss (25%), and dyspnea (24%). All meta-analyses showed medium (n=2) to high heterogeneity (n=13). In order to have a better understanding, future studies need to stratify by sex, age, previous comorbidities, severity of COVID-19 (ranging from asymptomatic to severe), and duration of each symptom. From the clinical perspective, multi-disciplinary teams are crucial to developing preventive measures, rehabilitation techniques, and clinical management strategies with whole-patient perspectives designed to address long COVID-19 care.","author":[{"dropping-particle":"","family":"Lopez-Leon","given":"Sandra","non-dropping-particle":"","parse-names":false,"suffix":""},{"dropping-particle":"","family":"Wegman-Ostrosky","given":"Talia","non-dropping-particle":"","parse-names":false,"suffix":""},{"dropping-particle":"","family":"Perelman","given":"Carol","non-dropping-particle":"","parse-names":false,"suffix":""},{"dropping-particle":"","family":"Sepulveda","given":"Rosalinda","non-dropping-particle":"","parse-names":false,"suffix":""},{"dropping-particle":"","family":"Rebolledo","given":"Paulina A","non-dropping-particle":"","parse-names":false,"suffix":""},{"dropping-particle":"","family":"Cuapio","given":"Angelica","non-dropping-particle":"","parse-names":false,"suffix":""},{"dropping-particle":"","family":"Villapol","given":"Sonia","non-dropping-particle":"","parse-names":false,"suffix":""}],"container-title":"medRxiv","id":"ITEM-4","issued":{"date-parts":[["2021"]]},"page":"1-22","title":"More than 50 Long-term effects of COVID-19: a systematic review and meta-analysis.","type":"article-journal"},"uris":["http://www.mendeley.com/documents/?uuid=294b3dab-ef5c-4337-be1a-0dd338a5307e"]},{"id":"ITEM-5","itemData":{"DOI":"10.1016/j.bbi.2020.07.037","ISSN":"08891591","PMID":"32738287","abstract":"Infection-triggered perturbation of the immune system could induce psychopathology, and psychiatric sequelae were observed after previous coronavirus outbreaks. The spreading of the Severe Acute Respiratory Syndrome Coronavirus (COVID-19) pandemic could be associated with psychiatric implications. We investigated the psychopathological impact of COVID-19 in survivors, also considering the effect of clinical and inflammatory predictors. We screened for psychiatric symptoms 402 adults surviving COVID-19 (265 male, mean age 58), at one month follow-up after hospital treatment. A clinical interview and a battery of self-report questionnaires were used to investigate post-traumatic stress disorder (PTSD), depression, anxiety, insomnia, and obsessive-compulsive (OC) symptomatology. We collected sociodemographic information, clinical data, baseline inflammatory markers and follow-up oxygen saturation levels. A significant proportion of patients self-rated in the psychopathological range: 28% for PTSD, 31% for depression, 42% for anxiety, 20% for OC symptoms, and 40% for insomnia. Overall, 56% scored in the pathological range in at least one clinical dimension. Despite significantly lower levels of baseline inflammatory markers, females suffered more for both anxiety and depression. Patients with a positive previous psychiatric diagnosis showed increased scores on most psychopathological measures, with similar baseline inflammation. Baseline systemic immune-inflammation index (SII), which reflects the immune response and systemic inflammation based on peripheral lymphocyte, neutrophil, and platelet counts, positively associated with scores of depression and anxiety at follow-up. PTSD, major depression, and anxiety, are all high-burden non-communicable conditions associated with years of life lived with disability. Considering the alarming impact of COVID-19 infection on mental health, the current insights on inflammation in psychiatry, and the present observation of worse inflammation leading to worse depression, we recommend to assess psychopathology of COVID-19 survivors and to deepen research on inflammatory biomarkers, in order to diagnose and treat emergent psychiatric conditions.","author":[{"dropping-particle":"","family":"Mazza","given":"Mario Gennaro","non-dropping-particle":"","parse-names":false,"suffix":""},{"dropping-particle":"","family":"Lorenzo","given":"Rebecca","non-dropping-particle":"De","parse-names":false,"suffix":""},{"dropping-particle":"","family":"Conte","given":"Caterina","non-dropping-particle":"","parse-names":false,"suffix":""},{"dropping-particle":"","family":"Poletti","given":"Sara","non-dropping-particle":"","parse-names":false,"suffix":""},{"dropping-particle":"","family":"Vai","given":"Benedetta","non-dropping-particle":"","parse-names":false,"suffix":""},{"dropping-particle":"","family":"Bollettini","given":"Irene","non-dropping-particle":"","parse-names":false,"suffix":""},{"dropping-particle":"","family":"Melloni","given":"Elisa Maria Teresa","non-dropping-particle":"","parse-names":false,"suffix":""},{"dropping-particle":"","family":"Furlan","given":"Roberto","non-dropping-particle":"","parse-names":false,"suffix":""},{"dropping-particle":"","family":"Ciceri","given":"Fabio","non-dropping-particle":"","parse-names":false,"suffix":""},{"dropping-particle":"","family":"Rovere-Querini","given":"Patrizia","non-dropping-particle":"","parse-names":false,"suffix":""},{"dropping-particle":"","family":"Benedetti","given":"Francesco","non-dropping-particle":"","parse-names":false,"suffix":""}],"container-title":"Brain, Behavior, and Immunity","id":"ITEM-5","issue":"July","issued":{"date-parts":[["2020","10"]]},"page":"594-600","publisher":"Elsevier","title":"Anxiety and depression in COVID-19 survivors: Role of inflammatory and clinical predictors","type":"article-journal","volume":"89"},"uris":["http://www.mendeley.com/documents/?uuid=82874562-389c-40db-9078-c92158fe5977"]},{"id":"ITEM-6","itemData":{"DOI":"10.1016/S2215-0366(20)30462-4","ISSN":"22150366","author":[{"dropping-particle":"","family":"Taquet","given":"Maxime","non-dropping-particle":"","parse-names":false,"suffix":""},{"dropping-particle":"","family":"Luciano","given":"Sierra","non-dropping-particle":"","parse-names":false,"suffix":""},{"dropping-particle":"","family":"Geddes","given":"John R","non-dropping-particle":"","parse-names":false,"suffix":""},{"dropping-particle":"","family":"Harrison","given":"Paul J","non-dropping-particle":"","parse-names":false,"suffix":""}],"container-title":"The Lancet Psychiatry","id":"ITEM-6","issue":"20","issued":{"date-parts":[["2020","11"]]},"page":"1-11","publisher":"The Author(s). Published by Elsevier Ltd. This is an Open Access article under the CC BY 4.0 license","title":"Bidirectional associations between COVID-19 and psychiatric disorder: retrospective cohort studies of 62 354 COVID-19 cases in the USA","type":"article-journal","volume":"0366"},"uris":["http://www.mendeley.com/documents/?uuid=4cc0c763-adcf-4ce6-acf5-5ae7d0a41ca4"]},{"id":"ITEM-7","itemData":{"DOI":"10.1016/S2215-0366(21)00084-5","ISSN":"22150366","author":[{"dropping-particle":"","family":"Taquet","given":"Maxime","non-dropping-particle":"","parse-names":false,"suffix":""},{"dropping-particle":"","family":"Geddes","given":"John R","non-dropping-</w:instrText>
      </w:r>
      <w:r w:rsidR="00EE2803" w:rsidRPr="00E30BE2">
        <w:rPr>
          <w:lang w:val="en-US" w:eastAsia="en-GB"/>
        </w:rPr>
        <w:instrText>particle":"","parse-names":false,"suffix":""},{"dropping-particle":"","family":"Husain","given":"Masud","non-dropping-particle":"","parse-names":false,"suffix":""},{"dropping-particle":"","family":"Luciano","given":"Sierra","non-dropping-particle":"","parse-names":false,"suffix":""},{"dropping-particle":"","family":"Harrison","given":"Paul J","non-dropping-particle":"","parse-names":false,"suffix":""}],"container-title":"The Lancet Psychiatry","id":"ITEM-7","issued":{"date-parts":[["2021","4"]]},"publisher":"The Author(s). Published by Elsevier Ltd. This is an Open Access article under the CC BY 4.0 license","title":"6-month neurological and psychiatric outcomes in 236 379 survivors of COVID-19: a retrospective cohort study using electronic health records","type":"article-journal"},"uris":["http://www.mendeley.com/documents/?uuid=740cc0ef-492f-47b0-b52a-8075c87a1a00"]}],"mendeley":{"formattedCitation":"(Carfì et al., 2020; Davis et al., 2020; Huang et al., 2021; Lopez-Leon et al., 2021; Mazza et al., 2020; Taquet et al., 2021, 2020)","plainTextFormattedCitation":"(Carfì et al., 2020; Davis et al., 2020; Huang et al., 2021; Lopez-Leon et al., 2021; Mazza et al., 2020; Taquet et al., 2021, 2020)","previouslyFormattedCitation":"(Carfì et al., 2020; Davis et al., 2020; Huang et al., 2021; Lopez-Leon et al., 2021; Mazza et al., 2020; Taquet et al., 2021, 2020)"},"properties":{"noteIndex":0},"schema":"https://github.com/citation-style-language/schema/raw/master/csl-citation.json"}</w:instrText>
      </w:r>
      <w:r w:rsidR="00BD60E0">
        <w:rPr>
          <w:lang w:val="fr-FR" w:eastAsia="en-GB"/>
        </w:rPr>
        <w:fldChar w:fldCharType="separate"/>
      </w:r>
      <w:r w:rsidR="00E427B5" w:rsidRPr="00E427B5">
        <w:rPr>
          <w:noProof/>
          <w:lang w:val="fr-FR" w:eastAsia="en-GB"/>
        </w:rPr>
        <w:t>(Carfì et al., 2020; Davis et al., 2020; Huang et al., 2021; Lopez-Leon et al., 2021; Mazza et al., 2020; Taquet et al., 2021, 2020)</w:t>
      </w:r>
      <w:r w:rsidR="00BD60E0">
        <w:rPr>
          <w:lang w:val="fr-FR" w:eastAsia="en-GB"/>
        </w:rPr>
        <w:fldChar w:fldCharType="end"/>
      </w:r>
      <w:r w:rsidR="008F481D" w:rsidRPr="00BD60E0">
        <w:rPr>
          <w:lang w:val="fr-FR" w:eastAsia="en-GB"/>
        </w:rPr>
        <w:t xml:space="preserve">. </w:t>
      </w:r>
      <w:r w:rsidR="004D769B">
        <w:rPr>
          <w:lang w:eastAsia="en-GB"/>
        </w:rPr>
        <w:t xml:space="preserve">A recent cohort </w:t>
      </w:r>
      <w:r w:rsidR="002A0B72">
        <w:rPr>
          <w:lang w:eastAsia="en-GB"/>
        </w:rPr>
        <w:t xml:space="preserve">study </w:t>
      </w:r>
      <w:r w:rsidR="005E4B32">
        <w:rPr>
          <w:lang w:eastAsia="en-GB"/>
        </w:rPr>
        <w:t xml:space="preserve">based on </w:t>
      </w:r>
      <w:r w:rsidR="00AB1E46">
        <w:rPr>
          <w:lang w:eastAsia="en-GB"/>
        </w:rPr>
        <w:t xml:space="preserve">data </w:t>
      </w:r>
      <w:r w:rsidR="005E4B32">
        <w:rPr>
          <w:lang w:eastAsia="en-GB"/>
        </w:rPr>
        <w:t>from</w:t>
      </w:r>
      <w:r w:rsidR="00E66118">
        <w:rPr>
          <w:lang w:eastAsia="en-GB"/>
        </w:rPr>
        <w:t xml:space="preserve"> 1,</w:t>
      </w:r>
      <w:r w:rsidR="00D52C1F">
        <w:rPr>
          <w:lang w:eastAsia="en-GB"/>
        </w:rPr>
        <w:t>733</w:t>
      </w:r>
      <w:r w:rsidR="00E66118">
        <w:rPr>
          <w:lang w:eastAsia="en-GB"/>
        </w:rPr>
        <w:t xml:space="preserve"> </w:t>
      </w:r>
      <w:r w:rsidR="004D769B">
        <w:rPr>
          <w:lang w:eastAsia="en-GB"/>
        </w:rPr>
        <w:t xml:space="preserve">hospital-discharged </w:t>
      </w:r>
      <w:r w:rsidR="00E66118">
        <w:rPr>
          <w:lang w:eastAsia="en-GB"/>
        </w:rPr>
        <w:t>patients</w:t>
      </w:r>
      <w:r w:rsidR="005E4B32">
        <w:rPr>
          <w:lang w:eastAsia="en-GB"/>
        </w:rPr>
        <w:t xml:space="preserve"> </w:t>
      </w:r>
      <w:r w:rsidR="004D769B">
        <w:rPr>
          <w:lang w:eastAsia="en-GB"/>
        </w:rPr>
        <w:t xml:space="preserve">from Wuhan, China, </w:t>
      </w:r>
      <w:r w:rsidR="005E4B32">
        <w:rPr>
          <w:lang w:eastAsia="en-GB"/>
        </w:rPr>
        <w:t>reported that</w:t>
      </w:r>
      <w:r w:rsidR="002A0B72">
        <w:rPr>
          <w:lang w:eastAsia="en-GB"/>
        </w:rPr>
        <w:t xml:space="preserve"> </w:t>
      </w:r>
      <w:r w:rsidR="00E66118">
        <w:rPr>
          <w:lang w:eastAsia="en-GB"/>
        </w:rPr>
        <w:t xml:space="preserve">about </w:t>
      </w:r>
      <w:r w:rsidR="004C76C0">
        <w:rPr>
          <w:lang w:eastAsia="en-GB"/>
        </w:rPr>
        <w:t xml:space="preserve">75% of </w:t>
      </w:r>
      <w:r w:rsidR="00E66118">
        <w:rPr>
          <w:lang w:eastAsia="en-GB"/>
        </w:rPr>
        <w:t xml:space="preserve">patients </w:t>
      </w:r>
      <w:r w:rsidR="000325A3">
        <w:rPr>
          <w:lang w:eastAsia="en-GB"/>
        </w:rPr>
        <w:t xml:space="preserve">still </w:t>
      </w:r>
      <w:r w:rsidR="002E5922">
        <w:rPr>
          <w:lang w:eastAsia="en-GB"/>
        </w:rPr>
        <w:t>experience</w:t>
      </w:r>
      <w:r w:rsidR="00E66118">
        <w:rPr>
          <w:lang w:eastAsia="en-GB"/>
        </w:rPr>
        <w:t xml:space="preserve"> at least one physical </w:t>
      </w:r>
      <w:r w:rsidR="004C76C0">
        <w:rPr>
          <w:lang w:eastAsia="en-GB"/>
        </w:rPr>
        <w:t>or</w:t>
      </w:r>
      <w:r w:rsidR="00E66118">
        <w:rPr>
          <w:lang w:eastAsia="en-GB"/>
        </w:rPr>
        <w:t xml:space="preserve"> mental health symptom</w:t>
      </w:r>
      <w:r w:rsidR="00792B4C">
        <w:rPr>
          <w:lang w:eastAsia="en-GB"/>
        </w:rPr>
        <w:t xml:space="preserve"> six months after hospitalisation</w:t>
      </w:r>
      <w:r w:rsidR="004C76C0">
        <w:rPr>
          <w:lang w:eastAsia="en-GB"/>
        </w:rPr>
        <w:t xml:space="preserve">, with </w:t>
      </w:r>
      <w:r w:rsidR="004C76C0" w:rsidRPr="00E66118">
        <w:rPr>
          <w:lang w:eastAsia="en-GB"/>
        </w:rPr>
        <w:t>fatigue</w:t>
      </w:r>
      <w:r w:rsidR="00B6346A">
        <w:rPr>
          <w:lang w:eastAsia="en-GB"/>
        </w:rPr>
        <w:t xml:space="preserve"> or </w:t>
      </w:r>
      <w:r w:rsidR="004C76C0" w:rsidRPr="00E66118">
        <w:rPr>
          <w:lang w:eastAsia="en-GB"/>
        </w:rPr>
        <w:t>muscle weakness (63%), sleeping difficulties (26%), and depression</w:t>
      </w:r>
      <w:r w:rsidR="00B6346A">
        <w:rPr>
          <w:lang w:eastAsia="en-GB"/>
        </w:rPr>
        <w:t xml:space="preserve"> or </w:t>
      </w:r>
      <w:r w:rsidR="004C76C0" w:rsidRPr="00E66118">
        <w:rPr>
          <w:lang w:eastAsia="en-GB"/>
        </w:rPr>
        <w:t>anxiety (23%)</w:t>
      </w:r>
      <w:r w:rsidR="00792B4C" w:rsidRPr="00704CAA">
        <w:rPr>
          <w:lang w:eastAsia="en-GB"/>
        </w:rPr>
        <w:t xml:space="preserve"> </w:t>
      </w:r>
      <w:r w:rsidR="004C76C0">
        <w:rPr>
          <w:lang w:eastAsia="en-GB"/>
        </w:rPr>
        <w:t xml:space="preserve">being the most common </w:t>
      </w:r>
      <w:r w:rsidR="00E66118" w:rsidRPr="00704CAA">
        <w:rPr>
          <w:lang w:eastAsia="en-GB"/>
        </w:rPr>
        <w:fldChar w:fldCharType="begin" w:fldLock="1"/>
      </w:r>
      <w:r w:rsidR="00773118">
        <w:rPr>
          <w:lang w:eastAsia="en-GB"/>
        </w:rPr>
        <w:instrText>ADDIN CSL_CITATION {"citationItems":[{"id":"ITEM-1","itemData":{"DOI":"10.1016/S0140-6736(20)32656-8","ISSN":"01406736","author":[{"dropping-particle":"","family":"Huang","given":"Chaolin","non-dropping-particle":"","parse-names":false,"suffix":""},{"dropping-particle":"","family":"Huang","given":"Lixue","non-dropping-particle":"","parse-names":false,"suffix":""},{"dropping-particle":"","family":"Wang","given":"Yeming","non-dropping-particle":"","parse-names":false,"suffix":""},{"dropping-particle":"","family":"Li","given":"Xia","non-dropping-particle":"","parse-names":false,"suffix":""},{"dropping-particle":"","family":"Ren","given":"Lili","non-dropping-particle":"","parse-names":false,"suffix":""},{"dropping-particle":"","family":"Gu","given":"Xiaoying","non-dropping-particle":"","parse-names":false,"suffix":""},{"dropping-particle":"","family":"Kang","given":"Liang","non-dropping-particle":"","parse-names":false,"suffix":""},{"dropping-particle":"","family":"Guo","given":"Li","non-dropping-particle":"","parse-names":false,"suffix":""},{"dropping-particle":"","family":"Liu","given":"Min","non-dropping-particle":"","parse-names":false,"suffix":""},{"dropping-particle":"","family":"Zhou","given":"Xing","non-dropping-particle":"","parse-names":false,"suffix":""},{"dropping-particle":"","family":"Luo","given":"Jianfeng","non-dropping-particle":"","parse-names":false,"suffix":""},{"dropping-particle":"","family":"Huang","given":"Zhenghui","non-dropping-particle":"","parse-names":false,"suffix":""},{"dropping-particle":"","family":"Tu","given":"Shengjin","non-dropping-particle":"","parse-names":false,"suffix":""},{"dropping-particle":"","family":"Zhao","given":"Yue","non-dropping-particle":"","parse-names":false,"suffix":""},{"dropping-particle":"","family":"Chen","given":"Li","non-dropping-particle":"","parse-names":false,"suffix":""},{"dropping-particle":"","family":"Xu","given":"Decui","non-dropping-particle":"","parse-names":false,"suffix":""},{"dropping-particle":"","family":"Li","given":"Yanping","non-dropping-particle":"","parse-names":false,"suffix":""},{"dropping-particle":"","family":"Li","given":"Caihong","non-dropping-particle":"","parse-names":false,"suffix":""},{"dropping-particle":"","family":"Peng","given":"Lu","non-dropping-particle":"","parse-names":false,"suffix":""},{"dropping-particle":"","family":"Li","given":"Yong","non-dropping-particle":"","parse-names":false,"suffix":""},{"dropping-particle":"","family":"Xie","given":"Wuxiang","non-dropping-particle":"","parse-names":false,"suffix":""},{"dropping-particle":"","family":"Cui","given":"Dan","non-dropping-particle":"","parse-names":false,"suffix":""},{"dropping-particle":"","family":"Shang","given":"Lianhan","non-dropping-particle":"","parse-names":false,"suffix":""},{"dropping-particle":"","family":"Fan","given":"Guohui","non-dropping-particle":"","parse-names":false,"suffix":""},{"dropping-particle":"","family":"Xu","given":"Jiuyang","non-dropping-particle":"","parse-names":false,"suffix":""},{"dropping-particle":"","family":"Wang","given":"Geng","non-dropping-particle":"","parse-names":false,"suffix":""},{"dropping-particle":"","family":"Wang","given":"Ying","non-dropping-particle":"","parse-names":false,"suffix":""},{"dropping-particle":"","family":"Zhong","given":"Jingchuan","non-dropping-particle":"","parse-names":false,"suffix":""},{"dropping-particle":"","family":"Wang","given":"Chen","non-dropping-particle":"","parse-names":false,"suffix":""},{"dropping-particle":"","family":"Wang","given":"Jianwei","non-dropping-particle":"","parse-names":false,"suffix":""},{"dropping-particle":"","family":"Zhang","given":"Dingyu","non-dropping-particle":"","parse-names":false,"suffix":""},{"dropping-particle":"","family":"Cao","given":"Bin","non-dropping-particle":"","parse-names":false,"suffix":""}],"container-title":"The Lancet","id":"ITEM-1","issue":"10270","issued":{"date-parts":[["2021","1"]]},"page":"220-232","publisher":"Elsevier Ltd","title":"6-month consequences of COVID-19 in patients discharged from hospital: a cohort study","type":"article-journal","volume":"397"},"uris":["http://www.mendeley.com/documents/?uuid=df485d0c-4b2f-420c-955e-13073b393876"]}],"mendeley":{"formattedCitation":"(Huang et al., 2021)","plainTextFormattedCitation":"(Huang et al., 2021)","previouslyFormattedCitation":"(Huang et al., 2021)"},"properties":{"noteIndex":0},"schema":"https://github.com/citation-style-language/schema/raw/master/csl-citation.json"}</w:instrText>
      </w:r>
      <w:r w:rsidR="00E66118" w:rsidRPr="00704CAA">
        <w:rPr>
          <w:lang w:eastAsia="en-GB"/>
        </w:rPr>
        <w:fldChar w:fldCharType="separate"/>
      </w:r>
      <w:r w:rsidR="00E66118" w:rsidRPr="00E66118">
        <w:rPr>
          <w:noProof/>
          <w:lang w:eastAsia="en-GB"/>
        </w:rPr>
        <w:t>(Huang et al., 2021)</w:t>
      </w:r>
      <w:r w:rsidR="00E66118" w:rsidRPr="00704CAA">
        <w:rPr>
          <w:lang w:eastAsia="en-GB"/>
        </w:rPr>
        <w:fldChar w:fldCharType="end"/>
      </w:r>
      <w:r w:rsidR="00E66118">
        <w:rPr>
          <w:lang w:eastAsia="en-GB"/>
        </w:rPr>
        <w:t xml:space="preserve">. </w:t>
      </w:r>
      <w:bookmarkStart w:id="1" w:name="_Hlk67575543"/>
      <w:r w:rsidR="002E5922">
        <w:rPr>
          <w:lang w:eastAsia="en-GB"/>
        </w:rPr>
        <w:t>A</w:t>
      </w:r>
      <w:r w:rsidR="004D769B">
        <w:rPr>
          <w:lang w:eastAsia="en-GB"/>
        </w:rPr>
        <w:t xml:space="preserve">nother cohort study </w:t>
      </w:r>
      <w:r w:rsidR="002E5922">
        <w:rPr>
          <w:lang w:eastAsia="en-GB"/>
        </w:rPr>
        <w:t>reported</w:t>
      </w:r>
      <w:r w:rsidR="004539CB">
        <w:rPr>
          <w:lang w:eastAsia="en-GB"/>
        </w:rPr>
        <w:t xml:space="preserve"> that COVID-19 survivors had a higher incidence of several psychiatric disorders compared with matched patients </w:t>
      </w:r>
      <w:r w:rsidR="000941FF">
        <w:rPr>
          <w:lang w:eastAsia="en-GB"/>
        </w:rPr>
        <w:t>with</w:t>
      </w:r>
      <w:r w:rsidR="004539CB">
        <w:rPr>
          <w:lang w:eastAsia="en-GB"/>
        </w:rPr>
        <w:t xml:space="preserve"> influenza or other respiratory tract infections, </w:t>
      </w:r>
      <w:r w:rsidR="002E5922">
        <w:rPr>
          <w:lang w:eastAsia="en-GB"/>
        </w:rPr>
        <w:t xml:space="preserve">indicating specific pathophysiologic mechanism(s) may underpin neuropsychiatric sequelae of </w:t>
      </w:r>
      <w:r w:rsidR="004539CB">
        <w:rPr>
          <w:lang w:eastAsia="en-GB"/>
        </w:rPr>
        <w:t>COVID</w:t>
      </w:r>
      <w:r w:rsidR="00EE2803">
        <w:rPr>
          <w:lang w:eastAsia="en-GB"/>
        </w:rPr>
        <w:t xml:space="preserve"> </w:t>
      </w:r>
      <w:r w:rsidR="00EE2803">
        <w:rPr>
          <w:lang w:eastAsia="en-GB"/>
        </w:rPr>
        <w:fldChar w:fldCharType="begin" w:fldLock="1"/>
      </w:r>
      <w:r w:rsidR="005E38D5">
        <w:rPr>
          <w:lang w:eastAsia="en-GB"/>
        </w:rPr>
        <w:instrText>ADDIN CSL_CITATION {"citationItems":[{"id":"ITEM-1","itemData":{"DOI":"10.1016/S2215-0366(21)00084-5","ISSN":"22150366","author":[{"dropping-particle":"","family":"Taquet","given":"Maxime","non-dropping-particle":"","parse-names":false,"suffix":""},{"dropping-particle":"","family":"Geddes","given":"John R","non-dropping-particle":"","parse-names":false,"suffix":""},{"dropping-particle":"","family":"Husain","given":"Masud","non-dropping-particle":"","parse-names":false,"suffix":""},{"dropping-particle":"","family":"Luciano","given":"Sierra","non-dropping-particle":"","parse-names":false,"suffix":""},{"dropping-particle":"","family":"Harrison","given":"Paul J","non-dropping-particle":"","parse-names":false,"suffix":""}],"container-title":"The Lancet Psychiatry","id":"ITEM-1","issued":{"date-parts":[["2021","4"]]},"publisher":"The Author(s). Published by Elsevier Ltd. This is an Open Access article under the CC BY 4.0 license","title":"6-month neurological and psychiatric outcomes in 236 379 survivors of COVID-19: a retrospective cohort study using electronic health records","type":"article-journal"},"uris":["http://www.mendeley.com/documents/?uuid=740cc0ef-492f-47b0-b52a-8075c87a1a00"]}],"mendeley":{"formattedCitation":"(Taquet et al., 2021)","plainTextFormattedCitation":"(Taquet et al., 2021)","previouslyFormattedCitation":"(Taquet et al., 2021)"},"properties":{"noteIndex":0},"schema":"https://github.com/citation-style-language/schema/raw/master/csl-citation.json"}</w:instrText>
      </w:r>
      <w:r w:rsidR="00EE2803">
        <w:rPr>
          <w:lang w:eastAsia="en-GB"/>
        </w:rPr>
        <w:fldChar w:fldCharType="separate"/>
      </w:r>
      <w:r w:rsidR="00EE2803" w:rsidRPr="00EE2803">
        <w:rPr>
          <w:noProof/>
          <w:lang w:eastAsia="en-GB"/>
        </w:rPr>
        <w:t>(Taquet et al., 2021)</w:t>
      </w:r>
      <w:r w:rsidR="00EE2803">
        <w:rPr>
          <w:lang w:eastAsia="en-GB"/>
        </w:rPr>
        <w:fldChar w:fldCharType="end"/>
      </w:r>
      <w:r w:rsidR="004539CB">
        <w:rPr>
          <w:lang w:eastAsia="en-GB"/>
        </w:rPr>
        <w:t>.</w:t>
      </w:r>
      <w:r w:rsidR="004D769B">
        <w:rPr>
          <w:lang w:eastAsia="en-GB"/>
        </w:rPr>
        <w:t xml:space="preserve"> </w:t>
      </w:r>
      <w:r w:rsidR="00E66118" w:rsidRPr="00704CAA">
        <w:rPr>
          <w:lang w:eastAsia="en-GB"/>
        </w:rPr>
        <w:t xml:space="preserve">While </w:t>
      </w:r>
      <w:r w:rsidR="00A85835">
        <w:rPr>
          <w:lang w:eastAsia="en-GB"/>
        </w:rPr>
        <w:t>compromised cardiopulmonary function</w:t>
      </w:r>
      <w:r w:rsidR="00CC7DD5">
        <w:rPr>
          <w:lang w:eastAsia="en-GB"/>
        </w:rPr>
        <w:t>, increased muscle catabolism</w:t>
      </w:r>
      <w:r w:rsidR="00A85835">
        <w:rPr>
          <w:lang w:eastAsia="en-GB"/>
        </w:rPr>
        <w:t xml:space="preserve"> and </w:t>
      </w:r>
      <w:r w:rsidR="00E66118" w:rsidRPr="00704CAA">
        <w:rPr>
          <w:lang w:eastAsia="en-GB"/>
        </w:rPr>
        <w:t xml:space="preserve">persistent breathing difficulties </w:t>
      </w:r>
      <w:r w:rsidR="009225F7">
        <w:rPr>
          <w:lang w:eastAsia="en-GB"/>
        </w:rPr>
        <w:t>are common</w:t>
      </w:r>
      <w:r w:rsidR="009225F7" w:rsidRPr="00704CAA">
        <w:rPr>
          <w:lang w:eastAsia="en-GB"/>
        </w:rPr>
        <w:t xml:space="preserve"> </w:t>
      </w:r>
      <w:r w:rsidR="009225F7">
        <w:rPr>
          <w:lang w:eastAsia="en-GB"/>
        </w:rPr>
        <w:t>after</w:t>
      </w:r>
      <w:r w:rsidR="00E66118" w:rsidRPr="00704CAA">
        <w:rPr>
          <w:lang w:eastAsia="en-GB"/>
        </w:rPr>
        <w:t xml:space="preserve"> pulmonary infections</w:t>
      </w:r>
      <w:r w:rsidR="00CC7DD5">
        <w:rPr>
          <w:lang w:eastAsia="en-GB"/>
        </w:rPr>
        <w:t xml:space="preserve"> and hospitalisation</w:t>
      </w:r>
      <w:r w:rsidR="00CA5A9F">
        <w:rPr>
          <w:lang w:eastAsia="en-GB"/>
        </w:rPr>
        <w:t xml:space="preserve">, and </w:t>
      </w:r>
      <w:r w:rsidR="00E66118" w:rsidRPr="00704CAA">
        <w:rPr>
          <w:lang w:eastAsia="en-GB"/>
        </w:rPr>
        <w:t xml:space="preserve">can contribute to </w:t>
      </w:r>
      <w:r w:rsidR="009225F7">
        <w:rPr>
          <w:lang w:eastAsia="en-GB"/>
        </w:rPr>
        <w:t xml:space="preserve">ongoing </w:t>
      </w:r>
      <w:r w:rsidR="00E66118" w:rsidRPr="00704CAA">
        <w:rPr>
          <w:lang w:eastAsia="en-GB"/>
        </w:rPr>
        <w:t>fatigue and sleeping difficulties</w:t>
      </w:r>
      <w:r w:rsidR="00CA5A9F">
        <w:rPr>
          <w:lang w:eastAsia="en-GB"/>
        </w:rPr>
        <w:t xml:space="preserve">, </w:t>
      </w:r>
      <w:r w:rsidR="002619B1">
        <w:rPr>
          <w:lang w:eastAsia="en-GB"/>
        </w:rPr>
        <w:t xml:space="preserve">we </w:t>
      </w:r>
      <w:r w:rsidR="00CA5A9F">
        <w:rPr>
          <w:lang w:eastAsia="en-GB"/>
        </w:rPr>
        <w:t xml:space="preserve">propose </w:t>
      </w:r>
      <w:r w:rsidR="002619B1">
        <w:rPr>
          <w:lang w:eastAsia="en-GB"/>
        </w:rPr>
        <w:t xml:space="preserve">that </w:t>
      </w:r>
      <w:r w:rsidR="00E66118" w:rsidRPr="00704CAA">
        <w:rPr>
          <w:lang w:eastAsia="en-GB"/>
        </w:rPr>
        <w:t xml:space="preserve">neuroimmune cross-talk via inflammatory cytokines such as interleukin-6 (IL-6) could underpin </w:t>
      </w:r>
      <w:r w:rsidR="00CA5A9F">
        <w:rPr>
          <w:lang w:eastAsia="en-GB"/>
        </w:rPr>
        <w:t xml:space="preserve">some of </w:t>
      </w:r>
      <w:r w:rsidR="00E66118" w:rsidRPr="00704CAA">
        <w:rPr>
          <w:lang w:eastAsia="en-GB"/>
        </w:rPr>
        <w:t>the</w:t>
      </w:r>
      <w:r w:rsidR="00CA5A9F">
        <w:rPr>
          <w:lang w:eastAsia="en-GB"/>
        </w:rPr>
        <w:t xml:space="preserve"> </w:t>
      </w:r>
      <w:r w:rsidR="00E66118" w:rsidRPr="00704CAA">
        <w:rPr>
          <w:lang w:eastAsia="en-GB"/>
        </w:rPr>
        <w:t xml:space="preserve">long-term </w:t>
      </w:r>
      <w:r w:rsidR="00CA5A9F">
        <w:rPr>
          <w:lang w:eastAsia="en-GB"/>
        </w:rPr>
        <w:t xml:space="preserve">neuropsychiatric features of </w:t>
      </w:r>
      <w:r w:rsidR="00E66118" w:rsidRPr="00704CAA">
        <w:rPr>
          <w:lang w:eastAsia="en-GB"/>
        </w:rPr>
        <w:t>COVID-19</w:t>
      </w:r>
      <w:r w:rsidR="00C130EE">
        <w:rPr>
          <w:lang w:eastAsia="en-GB"/>
        </w:rPr>
        <w:t>.</w:t>
      </w:r>
      <w:bookmarkEnd w:id="1"/>
      <w:r w:rsidR="005A0F3A">
        <w:rPr>
          <w:lang w:eastAsia="en-GB"/>
        </w:rPr>
        <w:t xml:space="preserve"> </w:t>
      </w:r>
      <w:bookmarkStart w:id="2" w:name="_Hlk67655478"/>
      <w:r w:rsidR="005A0F3A">
        <w:rPr>
          <w:lang w:eastAsia="en-GB"/>
        </w:rPr>
        <w:t>T</w:t>
      </w:r>
      <w:r w:rsidR="00115AD3">
        <w:rPr>
          <w:lang w:eastAsia="en-GB"/>
        </w:rPr>
        <w:t xml:space="preserve">he aim of this viewpoint is to provide a mechanistic framework on how IL-6 </w:t>
      </w:r>
      <w:r w:rsidR="00B774FF">
        <w:rPr>
          <w:lang w:eastAsia="en-GB"/>
        </w:rPr>
        <w:t>could</w:t>
      </w:r>
      <w:r w:rsidR="00115AD3">
        <w:rPr>
          <w:lang w:eastAsia="en-GB"/>
        </w:rPr>
        <w:t xml:space="preserve"> </w:t>
      </w:r>
      <w:r w:rsidR="00B774FF">
        <w:rPr>
          <w:lang w:eastAsia="en-GB"/>
        </w:rPr>
        <w:t>underlie</w:t>
      </w:r>
      <w:r w:rsidR="00115AD3">
        <w:rPr>
          <w:lang w:eastAsia="en-GB"/>
        </w:rPr>
        <w:t xml:space="preserve"> long-term neuropsychiatric </w:t>
      </w:r>
      <w:r w:rsidR="00B409CB">
        <w:rPr>
          <w:lang w:eastAsia="en-GB"/>
        </w:rPr>
        <w:t xml:space="preserve">COVID </w:t>
      </w:r>
      <w:r w:rsidR="00115AD3">
        <w:rPr>
          <w:lang w:eastAsia="en-GB"/>
        </w:rPr>
        <w:t xml:space="preserve">symptoms to </w:t>
      </w:r>
      <w:r w:rsidR="00846AAA">
        <w:rPr>
          <w:lang w:eastAsia="en-GB"/>
        </w:rPr>
        <w:t xml:space="preserve">inform </w:t>
      </w:r>
      <w:r w:rsidR="00115AD3">
        <w:rPr>
          <w:lang w:eastAsia="en-GB"/>
        </w:rPr>
        <w:t>future research and therapeutic approaches.</w:t>
      </w:r>
      <w:bookmarkEnd w:id="2"/>
    </w:p>
    <w:p w14:paraId="5B4349D0" w14:textId="0B72111A" w:rsidR="003B267F" w:rsidRDefault="006C1308" w:rsidP="0045005E">
      <w:pPr>
        <w:pStyle w:val="Heading2"/>
        <w:rPr>
          <w:lang w:eastAsia="en-GB"/>
        </w:rPr>
      </w:pPr>
      <w:r>
        <w:rPr>
          <w:lang w:eastAsia="en-GB"/>
        </w:rPr>
        <w:t>The neuroimmune basis of neuropsychiatric symptoms</w:t>
      </w:r>
    </w:p>
    <w:p w14:paraId="6B9B92CA" w14:textId="2252A7D3" w:rsidR="0023602B" w:rsidRPr="0045005E" w:rsidRDefault="002A1D0E">
      <w:r>
        <w:rPr>
          <w:lang w:eastAsia="en-GB"/>
        </w:rPr>
        <w:t xml:space="preserve">Animal and human studies employing different research designs </w:t>
      </w:r>
      <w:r w:rsidR="00542BC6">
        <w:rPr>
          <w:lang w:eastAsia="en-GB"/>
        </w:rPr>
        <w:t xml:space="preserve">have provided evidence </w:t>
      </w:r>
      <w:r>
        <w:rPr>
          <w:lang w:eastAsia="en-GB"/>
        </w:rPr>
        <w:t>that f</w:t>
      </w:r>
      <w:r w:rsidR="005C522A" w:rsidRPr="00704CAA">
        <w:rPr>
          <w:lang w:eastAsia="en-GB"/>
        </w:rPr>
        <w:t>atigue</w:t>
      </w:r>
      <w:r w:rsidR="00696F68">
        <w:rPr>
          <w:lang w:eastAsia="en-GB"/>
        </w:rPr>
        <w:t>,</w:t>
      </w:r>
      <w:r w:rsidR="005C522A" w:rsidRPr="00704CAA">
        <w:rPr>
          <w:lang w:eastAsia="en-GB"/>
        </w:rPr>
        <w:t xml:space="preserve"> sleeping difficulties </w:t>
      </w:r>
      <w:r w:rsidR="00696F68">
        <w:rPr>
          <w:lang w:eastAsia="en-GB"/>
        </w:rPr>
        <w:t xml:space="preserve">and </w:t>
      </w:r>
      <w:r w:rsidR="00542BC6">
        <w:rPr>
          <w:lang w:eastAsia="en-GB"/>
        </w:rPr>
        <w:t xml:space="preserve">other </w:t>
      </w:r>
      <w:r w:rsidR="00696F68">
        <w:rPr>
          <w:lang w:eastAsia="en-GB"/>
        </w:rPr>
        <w:t xml:space="preserve">mood symptoms </w:t>
      </w:r>
      <w:r w:rsidR="005C522A" w:rsidRPr="00704CAA">
        <w:rPr>
          <w:lang w:eastAsia="en-GB"/>
        </w:rPr>
        <w:t>have a neuroimmune basis</w:t>
      </w:r>
      <w:r w:rsidR="00B65FD4">
        <w:rPr>
          <w:lang w:eastAsia="en-GB"/>
        </w:rPr>
        <w:t xml:space="preserve"> </w:t>
      </w:r>
      <w:r w:rsidR="00465F16">
        <w:rPr>
          <w:lang w:eastAsia="en-GB"/>
        </w:rPr>
        <w:fldChar w:fldCharType="begin" w:fldLock="1"/>
      </w:r>
      <w:r w:rsidR="006325D2">
        <w:rPr>
          <w:lang w:eastAsia="en-GB"/>
        </w:rPr>
        <w:instrText>ADDIN CSL_CITATION {"citationItems":[{"id":"ITEM-1","itemData":{"DOI":"10.1016/j.tins.2013.10.003","ISSN":"01662236","abstract":"The exact nature and pathophysiology of fatigue remain largely elusive despite its high prevalence in physically ill patients. Studies on the relationship between the im- mune system and the central nervous system provide a new perspective on the mechanisms of fatigue. Inflam- matory mediators that are released by activated innate immune cells at the periphery and in the central nervous system alter the metabolism and activity of neurotrans- mitters, generate neurotoxic compounds, decrease neu- rotrophic factors, and profoundly disturb the neuronal environment. The resulting alterations in fronto-striatal networks together with the activation of insula by in- flammatory interoceptive stimuli underlie the many dimensions of fatigue including reduced incentive moti- vation, decreased behavioral flexibility, uncertainty about usefulness of actions, and awareness of fatigue.","author":[{"dropping-particle":"","family":"Dantzer","given":"Robert","non-dropping-particle":"","parse-names":false,"suffix":""},{"dropping-particle":"","family":"Heijnen","given":"Cobi Johanna","non-dropping-particle":"","parse-names":false,"suffix":""},{"dropping-particle":"","family":"Kavelaars","given":"Annemieke","non-dropping-particle":"","parse-names":false,"suffix":""},{"dropping-particle":"","family":"Laye","given":"Sophie","non-dropping-particle":"","parse-names":false,"suffix":""},{"dropping-particle":"","family":"Capuron","given":"Lucile","non-dropping-particle":"","parse-names":false,"suffix":""}],"container-title":"Trends in Neurosciences","id":"ITEM-1","issue":"1","issued":{"date-parts":[["2014","1"]]},"page":"39-46","title":"The neuroimmune basis of fatigue","type":"article-journal","volume":"37"},"uris":["http://www.mendeley.com/documents/?uuid=2972c544-51f7-38d6-bad0-b4a3bf2e1747"]}],"mendeley":{"formattedCitation":"(Dantzer et al., 2014)","plainTextFormattedCitation":"(Dantzer et al., 2014)","previouslyFormattedCitation":"(Dantzer et al., 2014)"},"properties":{"noteIndex":0},"schema":"https://github.com/citation-style-language/schema/raw/master/csl-citation.json"}</w:instrText>
      </w:r>
      <w:r w:rsidR="00465F16">
        <w:rPr>
          <w:lang w:eastAsia="en-GB"/>
        </w:rPr>
        <w:fldChar w:fldCharType="separate"/>
      </w:r>
      <w:r w:rsidR="00465F16" w:rsidRPr="00465F16">
        <w:rPr>
          <w:noProof/>
          <w:lang w:eastAsia="en-GB"/>
        </w:rPr>
        <w:t>(Dantzer et al., 2014)</w:t>
      </w:r>
      <w:r w:rsidR="00465F16">
        <w:rPr>
          <w:lang w:eastAsia="en-GB"/>
        </w:rPr>
        <w:fldChar w:fldCharType="end"/>
      </w:r>
      <w:r w:rsidR="00BD4E5D" w:rsidRPr="00704CAA">
        <w:rPr>
          <w:lang w:eastAsia="en-GB"/>
        </w:rPr>
        <w:t xml:space="preserve">. </w:t>
      </w:r>
      <w:r w:rsidR="00D01C82">
        <w:rPr>
          <w:lang w:eastAsia="en-GB"/>
        </w:rPr>
        <w:t xml:space="preserve">First, </w:t>
      </w:r>
      <w:r w:rsidR="00B07BA1">
        <w:rPr>
          <w:lang w:eastAsia="en-GB"/>
        </w:rPr>
        <w:t xml:space="preserve">it is well-known that sick </w:t>
      </w:r>
      <w:r w:rsidR="00D01C82">
        <w:rPr>
          <w:lang w:eastAsia="en-GB"/>
        </w:rPr>
        <w:t>animal</w:t>
      </w:r>
      <w:r w:rsidR="00B07BA1">
        <w:rPr>
          <w:lang w:eastAsia="en-GB"/>
        </w:rPr>
        <w:t>s</w:t>
      </w:r>
      <w:r w:rsidR="00D01C82">
        <w:rPr>
          <w:lang w:eastAsia="en-GB"/>
        </w:rPr>
        <w:t xml:space="preserve"> </w:t>
      </w:r>
      <w:r w:rsidR="00B07BA1">
        <w:rPr>
          <w:lang w:eastAsia="en-GB"/>
        </w:rPr>
        <w:t>exhibit a characteristic pattern of</w:t>
      </w:r>
      <w:r w:rsidR="00D01C82">
        <w:rPr>
          <w:lang w:eastAsia="en-GB"/>
        </w:rPr>
        <w:t xml:space="preserve"> behaviour</w:t>
      </w:r>
      <w:r w:rsidR="00B07BA1">
        <w:rPr>
          <w:lang w:eastAsia="en-GB"/>
        </w:rPr>
        <w:t>s</w:t>
      </w:r>
      <w:r w:rsidR="00D01C82">
        <w:rPr>
          <w:lang w:eastAsia="en-GB"/>
        </w:rPr>
        <w:t xml:space="preserve"> </w:t>
      </w:r>
      <w:r w:rsidR="00B07BA1">
        <w:rPr>
          <w:lang w:eastAsia="en-GB"/>
        </w:rPr>
        <w:t>such</w:t>
      </w:r>
      <w:r w:rsidR="00D01C82">
        <w:rPr>
          <w:lang w:eastAsia="en-GB"/>
        </w:rPr>
        <w:t xml:space="preserve"> as letharg</w:t>
      </w:r>
      <w:r w:rsidR="00B07BA1">
        <w:rPr>
          <w:lang w:eastAsia="en-GB"/>
        </w:rPr>
        <w:t>y</w:t>
      </w:r>
      <w:r w:rsidR="00D01C82">
        <w:rPr>
          <w:lang w:eastAsia="en-GB"/>
        </w:rPr>
        <w:t>, sleep</w:t>
      </w:r>
      <w:r w:rsidR="00B07BA1">
        <w:rPr>
          <w:lang w:eastAsia="en-GB"/>
        </w:rPr>
        <w:t>iness</w:t>
      </w:r>
      <w:r w:rsidR="00D01C82">
        <w:rPr>
          <w:lang w:eastAsia="en-GB"/>
        </w:rPr>
        <w:t xml:space="preserve">, </w:t>
      </w:r>
      <w:r w:rsidR="002D7763">
        <w:rPr>
          <w:lang w:eastAsia="en-GB"/>
        </w:rPr>
        <w:t xml:space="preserve">inactivity, </w:t>
      </w:r>
      <w:r w:rsidR="00D01C82">
        <w:rPr>
          <w:lang w:eastAsia="en-GB"/>
        </w:rPr>
        <w:t xml:space="preserve">and </w:t>
      </w:r>
      <w:r w:rsidR="00B07BA1">
        <w:rPr>
          <w:lang w:eastAsia="en-GB"/>
        </w:rPr>
        <w:t>disinterest</w:t>
      </w:r>
      <w:r w:rsidR="00D01C82">
        <w:rPr>
          <w:lang w:eastAsia="en-GB"/>
        </w:rPr>
        <w:t xml:space="preserve"> in surroundings</w:t>
      </w:r>
      <w:r w:rsidR="00295985">
        <w:rPr>
          <w:lang w:eastAsia="en-GB"/>
        </w:rPr>
        <w:t>, collectively known as sickness behaviour</w:t>
      </w:r>
      <w:r w:rsidR="00B07BA1">
        <w:rPr>
          <w:lang w:eastAsia="en-GB"/>
        </w:rPr>
        <w:t xml:space="preserve"> </w:t>
      </w:r>
      <w:r w:rsidR="00B07BA1">
        <w:rPr>
          <w:lang w:eastAsia="en-GB"/>
        </w:rPr>
        <w:fldChar w:fldCharType="begin" w:fldLock="1"/>
      </w:r>
      <w:r w:rsidR="00465F16">
        <w:rPr>
          <w:lang w:eastAsia="en-GB"/>
        </w:rPr>
        <w:instrText>ADDIN CSL_CITATION {"citationItems":[{"id":"ITEM-1","itemData":{"DOI":"10.1016/S0149-7634(88)80004-6","ISSN":"01497634","PMID":"2053246","abstract":"Dogs and cats that are ill with febrile diseases usually are depressed and anorexic. When viewed from the standpoint of the wild ancestors, it is apparent that the behavior of sick animals is adaptive and not necessarily a reflection of debilitation. A wild animal that is acutely ill with an infectious disease often is at a life-or-death juncture, and its behavioral mode may be seen as putting the animal's resources into facilitating the fever response in combating the pathogens.","author":[{"dropping-particle":"","family":"Hart","given":"Benjamin L.","non-dropping-particle":"","parse-names":false,"suffix":""}],"container-title":"Neuroscience &amp; Biobehavioral Reviews","id":"ITEM-1","issue":"2","issued":{"date-parts":[["1988","6"]]},"page":"123-137","title":"Biological basis of the behavior of sick animals","type":"article-journal","volume":"12"},"uris":["http://www.mendeley.com/documents/?uuid=b4f56eca-2ef4-42f3-b252-584cb8c79e72"]}],"mendeley":{"formattedCitation":"(Hart, 1988)","plainTextFormattedCitation":"(Hart, 1988)","previouslyFormattedCitation":"(Hart, 1988)"},"properties":{"noteIndex":0},"schema":"https://github.com/citation-style-language/schema/raw/master/csl-citation.json"}</w:instrText>
      </w:r>
      <w:r w:rsidR="00B07BA1">
        <w:rPr>
          <w:lang w:eastAsia="en-GB"/>
        </w:rPr>
        <w:fldChar w:fldCharType="separate"/>
      </w:r>
      <w:r w:rsidR="00B07BA1" w:rsidRPr="00B07BA1">
        <w:rPr>
          <w:noProof/>
          <w:lang w:eastAsia="en-GB"/>
        </w:rPr>
        <w:t>(Hart, 1988)</w:t>
      </w:r>
      <w:r w:rsidR="00B07BA1">
        <w:rPr>
          <w:lang w:eastAsia="en-GB"/>
        </w:rPr>
        <w:fldChar w:fldCharType="end"/>
      </w:r>
      <w:r w:rsidR="00295985">
        <w:rPr>
          <w:lang w:eastAsia="en-GB"/>
        </w:rPr>
        <w:t>, which resembles so-called somatic/neurovegetative symptoms of depression</w:t>
      </w:r>
      <w:r w:rsidR="00D01C82">
        <w:rPr>
          <w:lang w:eastAsia="en-GB"/>
        </w:rPr>
        <w:t>. Second</w:t>
      </w:r>
      <w:r>
        <w:rPr>
          <w:lang w:eastAsia="en-GB"/>
        </w:rPr>
        <w:t xml:space="preserve">, </w:t>
      </w:r>
      <w:r w:rsidR="00844D33" w:rsidRPr="00704CAA">
        <w:rPr>
          <w:lang w:eastAsia="en-GB"/>
        </w:rPr>
        <w:t xml:space="preserve">symptoms </w:t>
      </w:r>
      <w:r w:rsidR="00975E3A">
        <w:rPr>
          <w:lang w:eastAsia="en-GB"/>
        </w:rPr>
        <w:t xml:space="preserve">of fatigue and sleeping </w:t>
      </w:r>
      <w:r w:rsidR="00975E3A">
        <w:rPr>
          <w:lang w:eastAsia="en-GB"/>
        </w:rPr>
        <w:lastRenderedPageBreak/>
        <w:t xml:space="preserve">difficulties </w:t>
      </w:r>
      <w:r w:rsidR="00844D33" w:rsidRPr="00704CAA">
        <w:rPr>
          <w:lang w:eastAsia="en-GB"/>
        </w:rPr>
        <w:t xml:space="preserve">are </w:t>
      </w:r>
      <w:r w:rsidR="005B3C1F" w:rsidRPr="00704CAA">
        <w:rPr>
          <w:lang w:eastAsia="en-GB"/>
        </w:rPr>
        <w:t>common</w:t>
      </w:r>
      <w:r w:rsidR="00844D33" w:rsidRPr="00704CAA">
        <w:rPr>
          <w:lang w:eastAsia="en-GB"/>
        </w:rPr>
        <w:t xml:space="preserve"> in illnesses </w:t>
      </w:r>
      <w:r w:rsidR="00B13CC2" w:rsidRPr="00704CAA">
        <w:rPr>
          <w:lang w:eastAsia="en-GB"/>
        </w:rPr>
        <w:t>characterised</w:t>
      </w:r>
      <w:r w:rsidR="00844D33" w:rsidRPr="00704CAA">
        <w:rPr>
          <w:lang w:eastAsia="en-GB"/>
        </w:rPr>
        <w:t xml:space="preserve"> by inflammation such as </w:t>
      </w:r>
      <w:r w:rsidR="00D40FFE">
        <w:rPr>
          <w:lang w:eastAsia="en-GB"/>
        </w:rPr>
        <w:t>autoimmune diseases</w:t>
      </w:r>
      <w:r w:rsidR="00844D33" w:rsidRPr="00704CAA">
        <w:rPr>
          <w:lang w:eastAsia="en-GB"/>
        </w:rPr>
        <w:t xml:space="preserve">, cardiometabolic </w:t>
      </w:r>
      <w:r w:rsidR="00E4493D">
        <w:rPr>
          <w:lang w:eastAsia="en-GB"/>
        </w:rPr>
        <w:t>disease</w:t>
      </w:r>
      <w:r w:rsidR="00844D33" w:rsidRPr="00704CAA">
        <w:rPr>
          <w:lang w:eastAsia="en-GB"/>
        </w:rPr>
        <w:t xml:space="preserve">, or </w:t>
      </w:r>
      <w:r w:rsidR="00D40FFE">
        <w:rPr>
          <w:lang w:eastAsia="en-GB"/>
        </w:rPr>
        <w:t>microbial</w:t>
      </w:r>
      <w:r w:rsidR="00D40FFE" w:rsidRPr="00704CAA">
        <w:rPr>
          <w:lang w:eastAsia="en-GB"/>
        </w:rPr>
        <w:t xml:space="preserve"> </w:t>
      </w:r>
      <w:r w:rsidR="00844D33" w:rsidRPr="00704CAA">
        <w:rPr>
          <w:lang w:eastAsia="en-GB"/>
        </w:rPr>
        <w:t>infections</w:t>
      </w:r>
      <w:r w:rsidR="00474538">
        <w:rPr>
          <w:lang w:eastAsia="en-GB"/>
        </w:rPr>
        <w:t xml:space="preserve"> </w:t>
      </w:r>
      <w:r w:rsidR="00445C65" w:rsidRPr="00704CAA">
        <w:rPr>
          <w:lang w:eastAsia="en-GB"/>
        </w:rPr>
        <w:fldChar w:fldCharType="begin" w:fldLock="1"/>
      </w:r>
      <w:r w:rsidR="00773118">
        <w:rPr>
          <w:lang w:eastAsia="en-GB"/>
        </w:rPr>
        <w:instrText>ADDIN CSL_CITATION {"citationItems":[{"id":"ITEM-1","itemData":{"DOI":"10.1038/nrn2297","ISBN":"1471-0048 (Electronic) 1471-003X (Linking)","PMID":"18073775","author":[{"dropping-particle":"","family":"Dantzer","given":"Robert","non-dropping-particle":"","parse-names":false,"suffix":""},{"dropping-particle":"","family":"O'Connor","given":"J C","non-dropping-particle":"","parse-names":false,"suffix":""},{"dropping-particle":"","family":"Freund","given":"G G","non-dropping-particle":"","parse-names":false,"suffix":""},{"dropping-particle":"","family":"Johnson","given":"R W","non-dropping-particle":"","parse-names":false,"suffix":""},{"dropping-particle":"","family":"Kelley","given":"K W","non-dropping-particle":"","parse-names":false,"suffix":""}],"container-title":"Nature Reviews Neuroscience","id":"ITEM-1","issue":"1","issued":{"date-parts":[["2008"]]},"page":"46-56","title":"From inflammation to sickness and depression: when the immune system subjugates the brain","type":"article-journal","volume":"9"},"uris":["http://www.mendeley.com/documents/?uuid=e0d8376d-ae37-4e97-88f4-51d40de3eaac"]}],"mendeley":{"formattedCitation":"(Dantzer et al., 2008)","plainTextFormattedCitation":"(Dantzer et al., 2008)","previouslyFormattedCitation":"(Dantzer et al., 2008)"},"properties":{"noteIndex":0},"schema":"https://github.com/citation-style-language/schema/raw/master/csl-citation.json"}</w:instrText>
      </w:r>
      <w:r w:rsidR="00445C65" w:rsidRPr="00704CAA">
        <w:rPr>
          <w:lang w:eastAsia="en-GB"/>
        </w:rPr>
        <w:fldChar w:fldCharType="separate"/>
      </w:r>
      <w:r w:rsidR="00474538" w:rsidRPr="00474538">
        <w:rPr>
          <w:noProof/>
          <w:lang w:eastAsia="en-GB"/>
        </w:rPr>
        <w:t>(Dantzer et al., 2008)</w:t>
      </w:r>
      <w:r w:rsidR="00445C65" w:rsidRPr="00704CAA">
        <w:rPr>
          <w:lang w:eastAsia="en-GB"/>
        </w:rPr>
        <w:fldChar w:fldCharType="end"/>
      </w:r>
      <w:r w:rsidR="00474538">
        <w:rPr>
          <w:lang w:eastAsia="en-GB"/>
        </w:rPr>
        <w:t>.</w:t>
      </w:r>
      <w:r w:rsidR="00844D33" w:rsidRPr="00704CAA">
        <w:rPr>
          <w:lang w:eastAsia="en-GB"/>
        </w:rPr>
        <w:t xml:space="preserve"> </w:t>
      </w:r>
      <w:r w:rsidR="00D01C82">
        <w:rPr>
          <w:lang w:eastAsia="en-GB"/>
        </w:rPr>
        <w:t>Third</w:t>
      </w:r>
      <w:r w:rsidR="00150DD5">
        <w:rPr>
          <w:lang w:eastAsia="en-GB"/>
        </w:rPr>
        <w:t xml:space="preserve">, </w:t>
      </w:r>
      <w:r w:rsidR="00C7595B">
        <w:rPr>
          <w:lang w:eastAsia="en-GB"/>
        </w:rPr>
        <w:t>treatment with pro-inflammatory interferon-</w:t>
      </w:r>
      <w:r w:rsidR="00C7595B">
        <w:rPr>
          <w:rFonts w:cs="Times New Roman"/>
          <w:lang w:eastAsia="en-GB"/>
        </w:rPr>
        <w:t>α</w:t>
      </w:r>
      <w:r w:rsidR="00C7595B">
        <w:rPr>
          <w:lang w:eastAsia="en-GB"/>
        </w:rPr>
        <w:t xml:space="preserve"> induces fatigue </w:t>
      </w:r>
      <w:r w:rsidR="007950FB">
        <w:rPr>
          <w:lang w:eastAsia="en-GB"/>
        </w:rPr>
        <w:t xml:space="preserve">in cancer patients </w:t>
      </w:r>
      <w:r w:rsidR="00773118">
        <w:rPr>
          <w:lang w:eastAsia="en-GB"/>
        </w:rPr>
        <w:fldChar w:fldCharType="begin" w:fldLock="1"/>
      </w:r>
      <w:r w:rsidR="009348C7">
        <w:rPr>
          <w:lang w:eastAsia="en-GB"/>
        </w:rPr>
        <w:instrText>ADDIN CSL_CITATION {"citationItems":[{"id":"ITEM-1","itemData":{"DOI":"10.1016/S0893-133X(01)00407-9","ISSN":"0893133X","PMID":"11927189","abstract":"We have previously shown that the risk of major depression in patients with malignant melanoma undergoing interferon-α (IFN-α) therapy can be reduced by pretreatment with the antidepressant, paroxetine. Using dimensional analyses, the present study assessed the expression and treatment responsiveness of specific clusters of neuropsychiatric symptoms over the first three months of IFN-α therapy. Forty patients with malignant melanoma eligible for IFN-α treatment were randomly assigned to receive either paroxetine or placebo in a double-blind design. Neuropsychiatric assessments were conducted at regular intervals during the first twelve weeks of IFN-α therapy and included the 21-item Hamilton Depression Rating Scale, the 14-item Hamilton Anxiety Rating Scale and the Neurotoxicity Rating Scale. Neurovegetative and somatic symptoms including anorexia, fatigue and pain appeared within two weeks of IFN-α therapy in a large proportion of patients. In contrast, symptoms of depressed mood, anxiety and cognitive dysfunction appeared later during IFN-α treatment and more specifically in patients who met DSM-IV criteria for major depression. Symptoms of depression, anxiety, cognitive dysfunction and pain were more responsive, whereas symptoms of fatigue and anorexia were less responsive, to paroxetine treatment. These data demonstrate distinct phenomenology and treatment responsiveness of symptom dimensions induced by IFN-α, and suggest that different mechanisms mediate the various behavioral manifestations of cytokine-induced \"sickness behavior.\" © 2002 American College of Neuropsychopharmacology. Published by Elsevier Science Inc.","author":[{"dropping-particle":"","family":"Capuron","given":"Lucile","non-dropping-particle":"","parse-names":false,"suffix":""},{"dropping-particle":"","family":"Gumnick","given":"Jane F","non-dropping-particle":"","parse-names":false,"suffix":""},{"dropping-particle":"","family":"Musselman","given":"Dominique L","non-dropping-particle":"","parse-names":false,"suffix":""},{"dropping-particle":"","family":"Lawson","given":"David H","non-dropping-particle":"","parse-names":false,"suffix":""},{"dropping-particle":"","family":"Reemsnyder","given":"Andrea","non-dropping-particle":"","parse-names":false,"suffix":""},{"dropping-particle":"","family":"Nemeroff","given":"Charles B","non-dropping-particle":"","parse-names":false,"suffix":""},{"dropping-particle":"","family":"Miller","given":"Andrew H","non-dropping-particle":"","parse-names":false,"suffix":""}],"container-title":"Neuropsychopharmacology","id":"ITEM-1","issue":"5","issued":{"date-parts":[["2002","5"]]},"page":"643-652","title":"Neurobehavioral Effects of Interferon-α in Cancer Patients Phenomenology and Paroxetine Responsiveness of Symptom Dimensions","type":"article-journal","volume":"26"},"uris":["http://www.mendeley.com/documents/?uuid=63dd7341-2bfc-454f-b976-4f7d8c787f54"]}],"mendeley":{"formattedCitation":"(Capuron et al., 2002)","plainTextFormattedCitation":"(Capuron et al., 2002)","previouslyFormattedCitation":"(Capuron et al., 2002)"},"properties":{"noteIndex":0},"schema":"https://github.com/citation-style-language/schema/raw/master/csl-citation.json"}</w:instrText>
      </w:r>
      <w:r w:rsidR="00773118">
        <w:rPr>
          <w:lang w:eastAsia="en-GB"/>
        </w:rPr>
        <w:fldChar w:fldCharType="separate"/>
      </w:r>
      <w:r w:rsidR="00773118" w:rsidRPr="00773118">
        <w:rPr>
          <w:noProof/>
          <w:lang w:eastAsia="en-GB"/>
        </w:rPr>
        <w:t>(Capuron et al., 2002)</w:t>
      </w:r>
      <w:r w:rsidR="00773118">
        <w:rPr>
          <w:lang w:eastAsia="en-GB"/>
        </w:rPr>
        <w:fldChar w:fldCharType="end"/>
      </w:r>
      <w:r w:rsidR="00773118">
        <w:rPr>
          <w:lang w:eastAsia="en-GB"/>
        </w:rPr>
        <w:t xml:space="preserve"> </w:t>
      </w:r>
      <w:r w:rsidR="00C7595B">
        <w:rPr>
          <w:lang w:eastAsia="en-GB"/>
        </w:rPr>
        <w:t xml:space="preserve">while treatment with </w:t>
      </w:r>
      <w:r w:rsidR="009348C7">
        <w:rPr>
          <w:lang w:eastAsia="en-GB"/>
        </w:rPr>
        <w:t>the anti-tumour necrosis factor (TNF)-</w:t>
      </w:r>
      <w:r w:rsidR="009348C7">
        <w:rPr>
          <w:rFonts w:cs="Times New Roman"/>
          <w:lang w:eastAsia="en-GB"/>
        </w:rPr>
        <w:t xml:space="preserve">α </w:t>
      </w:r>
      <w:r w:rsidR="008D3957">
        <w:rPr>
          <w:rFonts w:cs="Times New Roman"/>
          <w:lang w:eastAsia="en-GB"/>
        </w:rPr>
        <w:t xml:space="preserve">drug </w:t>
      </w:r>
      <w:r w:rsidR="009348C7">
        <w:rPr>
          <w:rFonts w:cs="Times New Roman"/>
          <w:lang w:eastAsia="en-GB"/>
        </w:rPr>
        <w:t xml:space="preserve">etanercept reduces fatigue in patients with psoriasis </w:t>
      </w:r>
      <w:r w:rsidR="009348C7">
        <w:rPr>
          <w:rFonts w:cs="Times New Roman"/>
          <w:lang w:eastAsia="en-GB"/>
        </w:rPr>
        <w:fldChar w:fldCharType="begin" w:fldLock="1"/>
      </w:r>
      <w:r w:rsidR="00507683">
        <w:rPr>
          <w:rFonts w:cs="Times New Roman"/>
          <w:lang w:eastAsia="en-GB"/>
        </w:rPr>
        <w:instrText>ADDIN CSL_CITATION {"citationItems":[{"id":"ITEM-1","itemData":{"DOI":"10.1016/S0140-6736(05)67763-X","ISBN":"0140-6736","abstract":"SummaryBackground Psoriasis has substantial psychological and emotional effects. We assessed the effect of etanercept, an effective treatment for the clinical symptoms of psoriasis, on fatigue and symptoms of depression associated with the condition. Methods 618 patients with moderate to severe psoriasis received double-blind treatment with placebo or 50 mg twice-weekly etanercept. The primary efficacy endpoint was a 75% or greater improvement from baseline in psoriasis area and severity index score (PASI 75) at week 12. Secondary and other endpoints included the functional assessment of chronic illness therapy fatigue (FACIT-F) scale, the Hamilton rating scale for depression (Ham-D), the Beck depression inventory (BDI), and adverse events. Efficacy analyses were based on the allocated treatment. Analyses and summaries of safety data were based on the actual treatment received. This study is registered with ClinicalTrials.gov with the identifier NCT00111449. Findings 47% (147 of 311) of patients achieved PASI 75 at week 12, compared with 5% (15 of 306) of those receiving placebo (p&amp;lt;0·0001; difference 42%, 95% CI 36–48). Greater proportions of patients receiving etanercept had at least a 50% improvement in Ham-D or BDI at week 12 compared with the placebo group; patients treated with etanercept also had significant and clinically meaningful improvements in fatigue (mean FACIT-F improvement 5·0 vs 1·9; p&amp;lt;0·0001, difference 3·0, 95% CI 1·6–4·5). Improvements in fatigue were correlated with decreasing joint pain, whereas improvements in symptoms of depression were less correlated with objective measures of skin clearance or joint pain. Interpretation Etanercept treatment might relieve fatigue and symptoms of depression associated with this chronic disease.","author":[{"dropping-particle":"","family":"Tyring","given":"Stephen","non-dropping-particle":"","parse-names":false,"suffix":""},{"dropping-particle":"","family":"Gottlieb","given":"Alice","non-dropping-particle":"","parse-names":false,"suffix":""},{"dropping-particle":"","family":"Papp","given":"Kim","non-dropping-particle":"","parse-names":false,"suffix":""},{"dropping-particle":"","family":"Gordon","given":"Ken","non-dropping-particle":"","parse-names":false,"suffix":""},{"dropping-particle":"","family":"Leonardi","given":"Craig","non-dropping-particle":"","parse-names":false,"suffix":""},{"dropping-particle":"","family":"Wang","given":"Andrea","non-dropping-particle":"","parse-names":false,"suffix":""},{"dropping-particle":"","family":"Lalla","given":"Deepa","non-dropping-particle":"","parse-names":false,"suffix":""},{"dropping-particle":"","family":"Woolley","given":"Michael","non-dropping-particle":"","parse-names":false,"suffix":""},{"dropping-particle":"","family":"Jahreis","given":"Angelika","non-dropping-particle":"","parse-names":false,"suffix":""},{"dropping-particle":"","family":"Zitnik","given":"Ralph","non-dropping-particle":"","parse-names":false,"suffix":""},{"dropping-particle":"","family":"Cella","given":"David","non-dropping-particle":"","parse-names":false,"suffix":""},{"dropping-particle":"","family":"Krishnan","given":"Ranga","non-dropping-particle":"","parse-names":false,"suffix":""}],"container-title":"The Lancet","id":"ITEM-1","issue":"9504","issued":{"date-parts":[["2006"]]},"page":"29-35","title":"Etanercept and clinical outcomes, fatigue, and depression in psoriasis: double-blind placebo-controlled randomised phase III trial","type":"article-journal","volume":"367"},"uris":["http://www.mendeley.com/documents/?uuid=ad9b557a-9798-4d56-83b6-15641eefcd95"]}],"mendeley":{"formattedCitation":"(Tyring et al., 2006)","plainTextFormattedCitation":"(Tyring et al., 2006)","previouslyFormattedCitation":"(Tyring et al., 2006)"},"properties":{"noteIndex":0},"schema":"https://github.com/citation-style-language/schema/raw/master/csl-citation.json"}</w:instrText>
      </w:r>
      <w:r w:rsidR="009348C7">
        <w:rPr>
          <w:rFonts w:cs="Times New Roman"/>
          <w:lang w:eastAsia="en-GB"/>
        </w:rPr>
        <w:fldChar w:fldCharType="separate"/>
      </w:r>
      <w:r w:rsidR="009348C7" w:rsidRPr="009348C7">
        <w:rPr>
          <w:rFonts w:cs="Times New Roman"/>
          <w:noProof/>
          <w:lang w:eastAsia="en-GB"/>
        </w:rPr>
        <w:t>(Tyring et al., 2006)</w:t>
      </w:r>
      <w:r w:rsidR="009348C7">
        <w:rPr>
          <w:rFonts w:cs="Times New Roman"/>
          <w:lang w:eastAsia="en-GB"/>
        </w:rPr>
        <w:fldChar w:fldCharType="end"/>
      </w:r>
      <w:r w:rsidR="009348C7">
        <w:rPr>
          <w:rFonts w:cs="Times New Roman"/>
          <w:lang w:eastAsia="en-GB"/>
        </w:rPr>
        <w:t>.</w:t>
      </w:r>
      <w:r w:rsidR="00930C1C">
        <w:rPr>
          <w:rFonts w:cs="Times New Roman"/>
          <w:lang w:eastAsia="en-GB"/>
        </w:rPr>
        <w:t xml:space="preserve"> </w:t>
      </w:r>
    </w:p>
    <w:p w14:paraId="38BB49F1" w14:textId="57FD1D6C" w:rsidR="007950FB" w:rsidRDefault="009544D7" w:rsidP="008A1542">
      <w:pPr>
        <w:rPr>
          <w:rFonts w:cs="Times New Roman"/>
          <w:lang w:eastAsia="en-GB"/>
        </w:rPr>
      </w:pPr>
      <w:r w:rsidRPr="009544D7">
        <w:rPr>
          <w:rFonts w:cs="Times New Roman"/>
          <w:lang w:eastAsia="en-GB"/>
        </w:rPr>
        <w:t>Recent large-scale population-based epidemiological and genetic studies a</w:t>
      </w:r>
      <w:r w:rsidR="00E4493D">
        <w:rPr>
          <w:rFonts w:cs="Times New Roman"/>
          <w:lang w:eastAsia="en-GB"/>
        </w:rPr>
        <w:t>lso</w:t>
      </w:r>
      <w:r w:rsidRPr="009544D7">
        <w:rPr>
          <w:rFonts w:cs="Times New Roman"/>
          <w:lang w:eastAsia="en-GB"/>
        </w:rPr>
        <w:t xml:space="preserve"> </w:t>
      </w:r>
      <w:r w:rsidR="00E4493D">
        <w:rPr>
          <w:rFonts w:cs="Times New Roman"/>
          <w:lang w:eastAsia="en-GB"/>
        </w:rPr>
        <w:t>support a role of inflammatory cytokines in</w:t>
      </w:r>
      <w:r w:rsidRPr="009544D7">
        <w:rPr>
          <w:rFonts w:cs="Times New Roman"/>
          <w:lang w:eastAsia="en-GB"/>
        </w:rPr>
        <w:t xml:space="preserve"> </w:t>
      </w:r>
      <w:r w:rsidR="00E4493D">
        <w:rPr>
          <w:rFonts w:cs="Times New Roman"/>
          <w:lang w:eastAsia="en-GB"/>
        </w:rPr>
        <w:t xml:space="preserve">the aetiology of neuropsychiatric symptoms typically seen </w:t>
      </w:r>
      <w:r w:rsidR="002B32DF" w:rsidRPr="002B32DF">
        <w:rPr>
          <w:rFonts w:cs="Times New Roman"/>
          <w:lang w:eastAsia="en-GB"/>
        </w:rPr>
        <w:t>in patients with ongoing symp</w:t>
      </w:r>
      <w:r w:rsidR="002B32DF">
        <w:rPr>
          <w:rFonts w:cs="Times New Roman"/>
          <w:lang w:eastAsia="en-GB"/>
        </w:rPr>
        <w:t>tomatic COVID-19 and long COVID</w:t>
      </w:r>
      <w:r w:rsidRPr="009544D7">
        <w:rPr>
          <w:rFonts w:cs="Times New Roman"/>
          <w:lang w:eastAsia="en-GB"/>
        </w:rPr>
        <w:t>.</w:t>
      </w:r>
      <w:r w:rsidR="00C470AD">
        <w:rPr>
          <w:rFonts w:cs="Times New Roman"/>
          <w:lang w:eastAsia="en-GB"/>
        </w:rPr>
        <w:t xml:space="preserve"> </w:t>
      </w:r>
      <w:r w:rsidR="007950FB">
        <w:rPr>
          <w:rFonts w:cs="Times New Roman"/>
          <w:lang w:eastAsia="en-GB"/>
        </w:rPr>
        <w:t>S</w:t>
      </w:r>
      <w:r w:rsidR="00397284">
        <w:rPr>
          <w:rFonts w:cs="Times New Roman"/>
          <w:lang w:eastAsia="en-GB"/>
        </w:rPr>
        <w:t xml:space="preserve">tudies based on general </w:t>
      </w:r>
      <w:r w:rsidR="0021215B">
        <w:rPr>
          <w:rFonts w:cs="Times New Roman"/>
          <w:lang w:eastAsia="en-GB"/>
        </w:rPr>
        <w:t>population</w:t>
      </w:r>
      <w:r w:rsidR="00397284">
        <w:rPr>
          <w:rFonts w:cs="Times New Roman"/>
          <w:lang w:eastAsia="en-GB"/>
        </w:rPr>
        <w:t xml:space="preserve"> samples </w:t>
      </w:r>
      <w:r w:rsidR="0021215B">
        <w:rPr>
          <w:rFonts w:cs="Times New Roman"/>
          <w:lang w:eastAsia="en-GB"/>
        </w:rPr>
        <w:t>have demonstrated associations between</w:t>
      </w:r>
      <w:r w:rsidR="00397284">
        <w:rPr>
          <w:rFonts w:cs="Times New Roman"/>
          <w:lang w:eastAsia="en-GB"/>
        </w:rPr>
        <w:t xml:space="preserve"> elevated concentrations of circulating</w:t>
      </w:r>
      <w:r w:rsidR="0021215B">
        <w:rPr>
          <w:rFonts w:cs="Times New Roman"/>
          <w:lang w:eastAsia="en-GB"/>
        </w:rPr>
        <w:t xml:space="preserve"> inflammatory markers</w:t>
      </w:r>
      <w:r w:rsidR="00397284">
        <w:rPr>
          <w:rFonts w:cs="Times New Roman"/>
          <w:lang w:eastAsia="en-GB"/>
        </w:rPr>
        <w:t>,</w:t>
      </w:r>
      <w:r w:rsidR="0021215B">
        <w:rPr>
          <w:rFonts w:cs="Times New Roman"/>
          <w:lang w:eastAsia="en-GB"/>
        </w:rPr>
        <w:t xml:space="preserve"> such as </w:t>
      </w:r>
      <w:r w:rsidR="00AA79B3">
        <w:rPr>
          <w:lang w:eastAsia="en-GB"/>
        </w:rPr>
        <w:t>C-reactive protein (CRP)</w:t>
      </w:r>
      <w:r w:rsidR="0021215B">
        <w:rPr>
          <w:rFonts w:cs="Times New Roman"/>
          <w:lang w:eastAsia="en-GB"/>
        </w:rPr>
        <w:t>, IL-6, and TNF</w:t>
      </w:r>
      <w:r w:rsidR="0021215B">
        <w:rPr>
          <w:lang w:eastAsia="en-GB"/>
        </w:rPr>
        <w:t>-</w:t>
      </w:r>
      <w:r w:rsidR="0021215B">
        <w:rPr>
          <w:rFonts w:cs="Times New Roman"/>
          <w:lang w:eastAsia="en-GB"/>
        </w:rPr>
        <w:t xml:space="preserve">α with </w:t>
      </w:r>
      <w:r w:rsidR="001227F2">
        <w:rPr>
          <w:rFonts w:cs="Times New Roman"/>
          <w:lang w:eastAsia="en-GB"/>
        </w:rPr>
        <w:t xml:space="preserve">depressive symptoms generally </w:t>
      </w:r>
      <w:r w:rsidR="001227F2">
        <w:rPr>
          <w:rFonts w:cs="Times New Roman"/>
          <w:lang w:eastAsia="en-GB"/>
        </w:rPr>
        <w:fldChar w:fldCharType="begin" w:fldLock="1"/>
      </w:r>
      <w:r w:rsidR="001227F2">
        <w:rPr>
          <w:rFonts w:cs="Times New Roman"/>
          <w:lang w:eastAsia="en-GB"/>
        </w:rPr>
        <w:instrText>ADDIN CSL_CITATION {"citationItems":[{"id":"ITEM-1","itemData":{"DOI":"10.1001/2013.jamapsychiatry.102","ISSN":"2168-622X","abstract":"Context: The pathogenesis of depression is not fully understood, but studies suggest that low-grade systemic inflammation contributes to the development of depression. Objective: To test whether elevated plasma levels of C-reactive protein (CRP) are associated with psychological distress and depression. Design: We performed cross-sectional and prospective analyses of CRP levels in 4 clinically relevant categories using data from 2 general population studies. Setting: The Copenhagen General Population and the Copenhagen City Heart studies. Participants: We examined 73 131 men and women aged 20 to 100 years. Main Outcome Measures: We ascertained psychological distress with 2 single-item self-reports and depression using self-reported antidepressant use, register-based prescription of antidepressants, and register-based hospitalization with depression. Results: In cross-sectional analyses, increasing CRP levels were associated with increasing risk for psychological distress and depression (P=3 × 10-8 to P=4 × 10 -105 for trend). For self-reported use of antidepressants, the odds ratio was 1.38 (95% CI, 1.23-1.55) for CRP levels of 1.01 to 3.00 mg/L, 2.02 (1.77-2.30) for 3.01 to 10.00 mg/L, and 2.70 (2.25-3.25) for greater than 10.00 mg/L compared with 0.01 to 1.00 mg/L. For prescription of antidepressants, the corresponding odds ratios were 1.08 (95% CI, 0.99-1.17), 1.47 (1.33-1.62), and 1.77 (1.52-2.05), respectively; for hospitalization with depression, 1.30 (1.01-1.67), 1.84 (1.39-2.43), and 2.27 (1.54-3.32), respectively. In prospective analyses, increasing CRP levels were also associated with increasing risk for hospitalization with depression (P=4 × 10-8 for trend). Conclusions: Elevated levels of CRP are associated with increased risk for psychological distress and depression in the general population. © 2013 American Medical Association. All rights reserved.","author":[{"dropping-particle":"","family":"Wium-Andersen","given":"Marie Kim","non-dropping-particle":"","parse-names":false,"suffix":""},{"dropping-particle":"","family":"Ørsted","given":"David Dynnes","non-dropping-particle":"","parse-names":false,"suffix":""},{"dropping-particle":"","family":"Nielsen","given":"Sune Fallgaard","non-dropping-particle":"","parse-names":false,"suffix":""},{"dropping-particle":"","family":"Nordestgaard","given":"Børge Grønne","non-dropping-particle":"","parse-names":false,"suffix":""}],"container-title":"JAMA Psychiatry","id":"ITEM-1","issue":"2","issued":{"date-parts":[["2013","2","1"]]},"page":"176","title":"Elevated C-Reactive Protein Levels, Psychological Distress, and Depression in 73 131 Individuals","type":"article-journal","volume":"70"},"uris":["http://www.mendeley.com/documents/?uuid=7bdd8d99-25d1-4ef8-bc3d-362361c3f19c"]},{"id":"ITEM-2","itemData":{"DOI":"10.1001/jamapsychiatry.2014.1332","ISBN":"2168-6238 (Electronic) 2168-622X (Linking)","PMID":"25133871","abstract":"IMPORTANCE: Longitudinal studies have linked the systemic inflammatory markers interleukin 6 (IL-6) and C-reactive protein (CRP) with the risk of developing heart disease and diabetes mellitus, which are common comorbidities for depression and psychosis. Recent meta-analyses of cross-sectional studies have reported increased serum levels of these inflammatory markers in depression, first-episode psychosis, and acute psychotic relapse; however, the direction of the association has been unclear. OBJECTIVE: To test the hypothesis that higher serum levels of IL-6 and CRP in childhood would increase future risks for depression and psychosis. DESIGN, SETTING, AND PARTICIPANTS: The Avon Longitudinal Study of Parents and Children (ALSPAC)is a prospective general population birth cohort study based in Avon County, England. We have studied a subsample of approximately 4500 individuals from the cohort with data on childhood IL-6 and CRP levels and later psychiatric assessments. MEASUREMENT OF EXPOSURE: Levels of IL-6 and CRP were measured in nonfasting blood samples obtained in participants at age 9 years. MAIN OUTCOMES AND MEASURES: Participants were assessed at age 18 years. Depression was measured using the Clinical Interview Schedule-Revised (CIS-R) and Mood and Feelings Questionnaire (MFQ), thus allowing internal replication; psychotic experiences (PEs) and psychotic disorder were measured by a semistructured interview. RESULTS: After adjusting for sex, age, body mass index, ethnicity, social class, past psychological and behavioral problems, and maternal postpartum depression, participants in the top third of IL-6 values compared with the bottom third at age 9 years were more likely to be depressed (CIS-R) at age 18 years (adjusted odds ratio [OR], 1.55; 95% CI, 1.13-2.14). Results using the MFQ were similar. Risks of PEs and of psychotic disorder at age 18 years were also increased with higher IL-6 levels at baseline (adjusted OR, 1.81; 95% CI, 1.01-3.28; and adjusted OR, 2.40; 95% CI, 0.88-6.22, respectively). Higher IL-6 levels in childhood were associated with subsequent risks of depression and PEs in a dose-dependent manner. CONCLUSIONS AND RELEVANCE: Higher levels of the systemic inflammatory marker IL-6 in childhood are associated with an increased risk of developing depression and psychosis in young adulthood. Inflammatory pathways may provide important new intervention and prevention targets for these disorders. Inflammation might explain the high c…","author":[{"dropping-particle":"","family":"Khandaker","given":"Golam M","non-dropping-particle":"","parse-names":false,"suffix":""},{"dropping-particle":"","family":"Pearson","given":"R M","non-dropping-particle":"","parse-names":false,"suffix":""},{"dropping-particle":"","family":"Zammit","given":"S","non-dropping-particle":"","parse-names":false,"suffix":""},{"dropping-particle":"","family":"Lewis","given":"Glyn","non-dropping-particle":"","parse-names":false,"suffix":""},{"dropping-particle":"","family":"Jones","given":"Peter B","non-dropping-particle":"","parse-names":false,"suffix":""}],"container-title":"JAMA Psychiatry","edition":"2014/08/19","id":"ITEM-2","issue":"10","issued":{"date-parts":[["2014"]]},"language":"eng","note":"Khandaker, Golam M\nPearson, Rebecca M\nZammit, Stanley\nLewis, Glyn\nJones, Peter B\n084268/Z/07/Z/Wellcome Trust/United Kingdom\n088869/Z/09/Z/Wellcome Trust/United Kingdom\n092731/Wellcome Trust/United Kingdom\n095844/Wellcome Trust/United Kingdom\n095844/Z/11/Z/Wellcome Trust/United Kingdom\n102215/Wellcome Trust/United Kingdom\nG0701503/Medical Research Council/United Kingdom\nG1000183B/Medical Research Council/United Kingdom\nG9815508/Medical Research Council/United Kingdom\nResearch Support, Non-U.S. Gov't\nUnited States\nJAMA Psychiatry. 2014 Oct;71(10):1121-8. doi: 10.1001/jamapsychiatry.2014.1332.","page":"1121-1128","title":"Association of serum interleukin 6 and C-reactive protein in childhood with depression and psychosis in young adult life: a population-based longitudinal study","type":"article-journal","volume":"71"},"uris":["http://www.mendeley.com/documents/?uuid=2c36d36c-e4e6-4a8a-8f6b-7ead1e7540da"]}],"mendeley":{"formattedCitation":"(Khandaker et al., 2014; Wium-Andersen et al., 2013)","plainTextFormattedCitation":"(Khandaker et al., 2014; Wium-Andersen et al., 2013)","previouslyFormattedCitation":"(Khandaker et al., 2014; Wium-Andersen et al., 2013)"},"properties":{"noteIndex":0},"schema":"https://github.com/citation-style-language/schema/raw/master/csl-citation.json"}</w:instrText>
      </w:r>
      <w:r w:rsidR="001227F2">
        <w:rPr>
          <w:rFonts w:cs="Times New Roman"/>
          <w:lang w:eastAsia="en-GB"/>
        </w:rPr>
        <w:fldChar w:fldCharType="separate"/>
      </w:r>
      <w:r w:rsidR="001227F2" w:rsidRPr="001227F2">
        <w:rPr>
          <w:rFonts w:cs="Times New Roman"/>
          <w:noProof/>
          <w:lang w:eastAsia="en-GB"/>
        </w:rPr>
        <w:t>(Khandaker et al., 2014; Wium-Andersen et al., 2013)</w:t>
      </w:r>
      <w:r w:rsidR="001227F2">
        <w:rPr>
          <w:rFonts w:cs="Times New Roman"/>
          <w:lang w:eastAsia="en-GB"/>
        </w:rPr>
        <w:fldChar w:fldCharType="end"/>
      </w:r>
      <w:r w:rsidR="00397284">
        <w:rPr>
          <w:rFonts w:cs="Times New Roman"/>
          <w:lang w:eastAsia="en-GB"/>
        </w:rPr>
        <w:t>,</w:t>
      </w:r>
      <w:r w:rsidR="001227F2">
        <w:rPr>
          <w:rFonts w:cs="Times New Roman"/>
          <w:lang w:eastAsia="en-GB"/>
        </w:rPr>
        <w:t xml:space="preserve"> </w:t>
      </w:r>
      <w:r w:rsidR="00397284">
        <w:rPr>
          <w:rFonts w:cs="Times New Roman"/>
          <w:lang w:eastAsia="en-GB"/>
        </w:rPr>
        <w:t xml:space="preserve">and </w:t>
      </w:r>
      <w:r w:rsidR="00DC0FCD">
        <w:rPr>
          <w:rFonts w:cs="Times New Roman"/>
          <w:lang w:eastAsia="en-GB"/>
        </w:rPr>
        <w:t xml:space="preserve">specifically </w:t>
      </w:r>
      <w:r w:rsidR="00397284">
        <w:rPr>
          <w:rFonts w:cs="Times New Roman"/>
          <w:lang w:eastAsia="en-GB"/>
        </w:rPr>
        <w:t xml:space="preserve">with </w:t>
      </w:r>
      <w:r w:rsidR="00D40FFE">
        <w:rPr>
          <w:rFonts w:cs="Times New Roman"/>
          <w:lang w:eastAsia="en-GB"/>
        </w:rPr>
        <w:t>somatic symptoms of depression such as</w:t>
      </w:r>
      <w:r w:rsidR="0021215B">
        <w:rPr>
          <w:rFonts w:cs="Times New Roman"/>
          <w:lang w:eastAsia="en-GB"/>
        </w:rPr>
        <w:t xml:space="preserve"> fatigue, sleeping difficulties, and appetite alterations</w:t>
      </w:r>
      <w:r w:rsidR="0062705D">
        <w:rPr>
          <w:rFonts w:cs="Times New Roman"/>
          <w:lang w:eastAsia="en-GB"/>
        </w:rPr>
        <w:t xml:space="preserve"> among others</w:t>
      </w:r>
      <w:r w:rsidR="00BD60E0" w:rsidRPr="00E30BE2">
        <w:rPr>
          <w:rFonts w:cs="Times New Roman"/>
          <w:lang w:val="en-US" w:eastAsia="en-GB"/>
        </w:rPr>
        <w:t xml:space="preserve"> </w:t>
      </w:r>
      <w:r w:rsidR="00BD60E0">
        <w:rPr>
          <w:rFonts w:cs="Times New Roman"/>
          <w:lang w:val="fr-FR" w:eastAsia="en-GB"/>
        </w:rPr>
        <w:fldChar w:fldCharType="begin" w:fldLock="1"/>
      </w:r>
      <w:r w:rsidR="00D3620B" w:rsidRPr="00E30BE2">
        <w:rPr>
          <w:rFonts w:cs="Times New Roman"/>
          <w:lang w:val="en-US" w:eastAsia="en-GB"/>
        </w:rPr>
        <w:instrText xml:space="preserve">ADDIN CSL_CITATION {"citationItems":[{"id":"ITEM-1","itemData":{"DOI":"10.1017/S0033291719002770","ISSN":"0033-2917","abstract":"Background: Studies investigating the link between Major Depressive Disorder (MDD) and inflammation have yielded inconsistent results. This may be due to two factors. First, studies differed regarding the specific inflammatory markers studied and covariates accounted for. Second, specific depression symptoms may be differentially related to inflammation, and traditional analyses of symptom total scores or diagnostic status may obfuscate such associations. Here we test these two possibilities. Methods: In increasing levels of complexity, we estimated six regularized partial correlation networks in 2321 participants of the Netherlands Study of Depression and Anxiety study to explore the shared variance among depression modeled via sum-score, 9 DSM-5 symptoms, or 28 individual symptoms; inflammatory markers C-reactive protein (CRP), interleukin 6 (IL-6) and tumor necrosis factor </w:instrText>
      </w:r>
      <w:r w:rsidR="00D3620B">
        <w:rPr>
          <w:rFonts w:cs="Times New Roman"/>
          <w:lang w:val="fr-FR" w:eastAsia="en-GB"/>
        </w:rPr>
        <w:instrText>α</w:instrText>
      </w:r>
      <w:r w:rsidR="00D3620B" w:rsidRPr="00E30BE2">
        <w:rPr>
          <w:rFonts w:cs="Times New Roman"/>
          <w:lang w:val="en-US" w:eastAsia="en-GB"/>
        </w:rPr>
        <w:instrText xml:space="preserve"> (TNF- </w:instrText>
      </w:r>
      <w:r w:rsidR="00D3620B">
        <w:rPr>
          <w:rFonts w:cs="Times New Roman"/>
          <w:lang w:val="fr-FR" w:eastAsia="en-GB"/>
        </w:rPr>
        <w:instrText>α</w:instrText>
      </w:r>
      <w:r w:rsidR="00D3620B" w:rsidRPr="00E30BE2">
        <w:rPr>
          <w:rFonts w:cs="Times New Roman"/>
          <w:lang w:val="en-US" w:eastAsia="en-GB"/>
        </w:rPr>
        <w:instrText>); excluding and including the covariates sex, age, body mass index (BMI), exercise, smoking, alcohol, and chronic diseases Results: After covariate adjustment, the depression sum-score was associated with IL-6; all markers were related to sex; and CRP and IL-6 were associated with BMI. Wh</w:instrText>
      </w:r>
      <w:r w:rsidR="00D3620B">
        <w:rPr>
          <w:rFonts w:cs="Times New Roman"/>
          <w:lang w:val="fr-FR" w:eastAsia="en-GB"/>
        </w:rPr>
        <w:instrText>en modeling the 9 DSM-5 symptoms and CRP as replication of Jokela et al. (2016), CRP was associated with trouble sleeping, energy level, BMI, and sex. In a final adjusted model with all 28 individual symptoms, depression and inflammation were unrelated; CRP was associated with BMI and sex; IL-6 with BMI and age; and TNF- α with chronic diseases. Conclusions: Differential relations between markers, symptoms, and covariates emerged. Links between depression and inflammation were largely to completely attenuated after covariate adjustment.","author":[{"dropping-particle":"","family":"Fried","given":"Eiko I","non-dropping-particle":"","parse-names":false,"suffix":""},{"dropping-particle":"","family":"Stockert","given":"S.","non-dropping-particle":"von","parse-names":false,"suffix":""},{"dropping-particle":"","family":"Haslbeck","given":"Jonas M B","non-dropping-particle":"","parse-names":false,"suffix":""},{"dropping-particle":"","family":"Lamers","given":"Femke","non-dropping-particle":"","parse-names":false,"suffix":""},{"dropping-particle":"","family":"Schoevers","given":"Robert A","non-dropping-particle":"","parse-names":false,"suffix":""},{"dropping-particle":"","family":"Penninx","given":"Brenda W J H","non-dropping-particle":"","parse-names":false,"suffix":""}],"container-title":"Psychological Medicine","id":"ITEM-1","issued":{"date-parts":[["2019","10","28"]]},"page":"1-9","title":"Using network analysis to examine links between individual depressive symptoms, inflammatory markers, and covariates","type":"article-journal"},"uris":["http://www.mendeley.com/documents/?uuid=0db42247-bb51-4321-8b3e-9f559e1c7696"]},{"id":"ITEM-2","itemData":{"DOI":"10.1001/jamapsychiatry.2015.1977","ISBN":"2168-622X","abstract":"Elevated levels of inflammatory markers, such as C-reactive protein, are well-documented in people with depression.1,2 Raison and Miller3 suggested that this association may, in fact, be symptom-specific. Higher levels of inflammation are particularly likely to underlie depression symptoms that characterize sickness behavior, including fatigue, reduced appetite, withdrawal, and inhibited motivation. From an evolutionary perspective, such symptoms have the beneficial effect of preserving energy resources for use in fighting infection and promoting healing processes.4,5 Here, we tested the hypothesis that the association between C-reactive protein and depression is symptom-specific.","author":[{"dropping-particle":"","family":"Jokela","given":"M","non-dropping-particle":"","parse-names":false,"suffix":""},{"dropping-particle":"","family":"Virtanen","given":"M","non-dropping-particle":"","parse-names":false,"suffix":""},{"dropping-particle":"","family":"Batty","given":"G","non-dropping-particle":"","parse-names":false,"suffix":""},{"dropping-particle":"","family":"Kivimäki","given":"M","non-dropping-particle":"","parse-names":false,"suffix":""}],"container-title":"JAMA Psychiatry","id":"ITEM-2","issue":"1","issued":{"date-parts":[["2016"]]},"note":"10.1001/jamapsychiatry.2015.1977","page":"87-88","title":"Inflammation and specific symptoms of depression","type":"article-journal","volume":"73"},"uris":["http://www.mendeley.com/documents/?uuid=0ffe7f1d-9eb2-4360-b668-1305198ac317"]},{"id":"ITEM-3","itemData":{"DOI":"10.1101/2021.01.08.20248710","abstract":"We examined whether inflammation is uniformly associated with all depressive and anxiety symptoms, and whether these associations are potentially causal. Data was from 147,478 individuals from the UK Biobank (UKB) and 2,905 from the Netherlands Study of Depression and Anxiety (NESDA). Circulating C-reactive protein (CRP) was measured in both cohorts and interleukin-6 (IL-6) in NESDA. Genetic instruments for these proteins were obtained from published GWAS and UKB. Depressive and anxiety symptoms were assessed with self-report questionnaires. In NESDA, neurovegetative (appetite, sleep, psychomotor) symptoms were disaggregated as increased vs. decreased. In joint analyses, circulating CRP was associated with depressive symptoms of depressed mood (OR=1.06, 95%CI=1.05-1.08), altered appetite (OR=1.25, 95%CI=1.23-1.28), sleep problems (OR=1.05, 95%CI=1.04-1.06), and fatigue (OR=1.12, 95%CI=1.11-1.14), and with anxiety symptoms of irritability (OR=1.06, 95%CI=1.05-1.08) and worrying control (OR=1.03, 95%CI=1.02-1.04). Further analyses in NESDA using IL-6 as exposure confirmed associations with depressive symptoms, including anhedonia (OR=1.30, 95%CI=1.12-1.52). Both CRP (OR=1.27, 95%CI=1.13-1.43) and IL-6 (OR=1.26, 95%CI=1.07-1.49) were associated with increased sleep. CRP was associated with increased appetite (OR=1.21, 95%CI=1.08-1.35) while IL-6 with decreased appetite (OR=1.45, 95%CI=1.18-1.79). In Mendelian Randomization analyses, increased risk of fatigue (estimate=0.25, SE=0.08) and sleep problems (estimate=0.19, SE=0.07) were associated with genetically-predicted higher IL-6 activity. Inflammation was associated with core depressive symptoms of low mood and anhedonia and somatic/neurovegetative symptoms of fatigue, altered sleep and appetite changes. Less consistent associations were found for anxiety. The IL-6/IL-6R pathway could be causally linked to depression. Experimental studies are required to further evaluate causality, mechanisms, and usefulness of immunotherapies for depressive symptoms.","author":[{"dropping-particle":"","family":"Milaneschi","given":"Yuri","non-dropping-particle":"","parse-names":false,"suffix":""},{"dropping-particle":"","family":"Kappelmann","given":"Nils","non-dropping-particle":"","parse-names":false,"suffix":""},{"dropping-particle":"","family":"Ye","given":"Zheng","non-dropping-particle":"","parse-names":false,"suffix":""},{"dropping-particle":"","family":"Lamers","given":"Femke","non-dropping-particle":"","parse-names":false,"suffix":""},{"dropping-particle":"","family":"Moser","given":"Sylvain","non-dropping-particle":"","parse-names":false,"suffix":""},{"dropping-particle":"","family":"Jones","given":"Peter B","non-dropping-particle":"","parse-names":false,"suffix":""},{"dropping-particle":"","family":"Burgess","given":"Stephen","non-dropping-particle":"","parse-names":false,"suffix":""},{"dropping-particle":"","family":"Penninx","given":"Brenda W J H","non-dropping-particle":"","parse-names":false,"suffix":""},{"dropping-particle":"","family":"Khandaker","given":"Golam M","non-dropping-particle":"","parse-names":false,"suffix":""}],"container-title":"medRxiv","id":"ITEM-3","issued":{"date-parts":[["2021"]]},"title":"Association of Inflammation with Depression and Anxiety: Evidence for Symptom-Specificity and Potential Causality from UK Biobank and NESDA Cohorts","type":"article-journal"},"uris":["http://www.mendeley.com/documents/?uuid=f1a78e49-1852-4ac3-ba80-c441e86485ba"]},{"id":"ITEM-4","itemData":{"DOI":"10.1016/j.bbi.2020.10.020","ISSN":"08891591","author":[{"dropping-particle":"","family":"Moriarity","given":"Daniel P","non-dropping-particle":"","parse-names":false,"suffix":""},{"dropping-particle":"","family":"Horn","given":"Sarah R","non-dropping-particle":"","parse-names":false,"suffix":""},{"dropping-particle":"","family":"Kautz","given":"Marin M","non-dropping-particle":"","parse-names":false,"suffix":""},{"dropping-particle":"","family":"Haslbeck","given":"Jonas M.B.","non-dropping-particle":"","parse-names":false,"suffix":""},{"dropping-particle":"","family":"Alloy","given":"Lauren B","non-dropping-particle":"","parse-names":false,"suffix":""}],"container-title":"Brain, Behavior, and Immunity","id":"ITEM-4","issued":{"date-parts":[["2020","10"]]},"title":"How handling extreme C-reactive protein (CRP) values and regularization influences CRP and depression criteria associations in network analyses","type":"article-journal"},"uris":["http://www.mendeley.com/documents/?uuid=d293e1d1-9ad6-4d80-8bef-2f5498fa6c38"]},{"id":"ITEM-5","itemData":{"DOI":"10.1016/j.bbi.2016.08.012","ISSN":"08891591","abstract":"Elevated levels of inflammatory markers, such as C-reactive protein, are well documented in people with depression. Few studies have examined whether the association between inflammation and depression is symptom specific, and differs according to antidepressant treatment. Using data from the English Longitudinal Study of Ageing (N = 5909), cross-sectional analyses revealed a significant dose-response association between C-reactive protein and the symptoms of fatigue (P &lt; 0.001), restless sleep (P = 0.03), low energy (P = 0.02) and feeling depressed (P = 0.04), but not other symptoms. These associations were absent in users of anti-depressant medication. Our findings suggest the C-reactive protein-depression association is symptom-specific and modified by antidepressant treatment.","author":[{"dropping-particle":"","family":"White","given":"James","non-dropping-particle":"","parse-names":false,"suffix":""},{"dropping-particle":"","family":"Kivimäki","given":"Mika","non-dropping-particle":"","parse-names":false,"suffix":""},{"dropping-particle":"","family":"Jokela","given":"Markus","non-dropping-particle":"","parse-names":false,"suffix":""},{"dropping-particle":"","family":"Batty","given":"G. David","non-dropping-particle":"","parse-names":false,"suffix":""}],"container-title":"Brain, Behavior, and Immunity","id":"ITEM-5","issued":{"date-parts":[["2017","3"]]},"page":"27-30","publisher":"The Authors","title":"Association of inflammation with specific symptoms of depression in a general population of older people: The English Longitudinal Study of Ageing","type":"article-journal","volume":"61"},"uris":["http://www.mendeley.com/documents/?uuid=3a0d9c86-f49a-424e-abee-c60eee8d26e5"]}],"mendeley":{"formattedCitation":"(Fried et al., 2019; Jokela et al., 2016; Milaneschi et al., 2021; Moriarity et al., 2020; White et al., 2017)","plainTextFormattedCitation":"(Fried et al., 2019; Jokela et al., 2016; Milaneschi et al., 2021; Moriarity et al., 2020; White et al., 2017)","previouslyFormattedCitation":"(Fried et al., 2019; Jokela et al., 2016; Milaneschi et al., 2021; Moriarity et al., 2020; White et al., 2017)"},"properties":{"noteIndex":0},"schema":"https://github.com/citation-style-language/schema/raw/master/csl-citation.json"}</w:instrText>
      </w:r>
      <w:r w:rsidR="00BD60E0">
        <w:rPr>
          <w:rFonts w:cs="Times New Roman"/>
          <w:lang w:val="fr-FR" w:eastAsia="en-GB"/>
        </w:rPr>
        <w:fldChar w:fldCharType="separate"/>
      </w:r>
      <w:r w:rsidR="00BD60E0" w:rsidRPr="00BD60E0">
        <w:rPr>
          <w:rFonts w:cs="Times New Roman"/>
          <w:noProof/>
          <w:lang w:val="fr-FR" w:eastAsia="en-GB"/>
        </w:rPr>
        <w:t>(Fried et al., 2019; Jokela et al., 2016; Milaneschi et al., 2021; Moriarity et al., 2020; White et al., 2017)</w:t>
      </w:r>
      <w:r w:rsidR="00BD60E0">
        <w:rPr>
          <w:rFonts w:cs="Times New Roman"/>
          <w:lang w:val="fr-FR" w:eastAsia="en-GB"/>
        </w:rPr>
        <w:fldChar w:fldCharType="end"/>
      </w:r>
      <w:r w:rsidR="0021215B" w:rsidRPr="00E30BE2">
        <w:rPr>
          <w:rFonts w:cs="Times New Roman"/>
          <w:lang w:eastAsia="en-GB"/>
        </w:rPr>
        <w:t xml:space="preserve">. </w:t>
      </w:r>
      <w:r w:rsidR="00A533BE">
        <w:rPr>
          <w:rFonts w:cs="Times New Roman"/>
          <w:lang w:eastAsia="en-GB"/>
        </w:rPr>
        <w:t xml:space="preserve">Similar findings have </w:t>
      </w:r>
      <w:r w:rsidR="00542BC6">
        <w:rPr>
          <w:rFonts w:cs="Times New Roman"/>
          <w:lang w:eastAsia="en-GB"/>
        </w:rPr>
        <w:t xml:space="preserve">also </w:t>
      </w:r>
      <w:r w:rsidR="00A533BE">
        <w:rPr>
          <w:rFonts w:cs="Times New Roman"/>
          <w:lang w:eastAsia="en-GB"/>
        </w:rPr>
        <w:t xml:space="preserve">been reported </w:t>
      </w:r>
      <w:r w:rsidR="00397284">
        <w:rPr>
          <w:rFonts w:cs="Times New Roman"/>
          <w:lang w:eastAsia="en-GB"/>
        </w:rPr>
        <w:t>from</w:t>
      </w:r>
      <w:r w:rsidR="00A533BE">
        <w:rPr>
          <w:rFonts w:cs="Times New Roman"/>
          <w:lang w:eastAsia="en-GB"/>
        </w:rPr>
        <w:t xml:space="preserve"> studies </w:t>
      </w:r>
      <w:r w:rsidR="00F537C1">
        <w:rPr>
          <w:rFonts w:cs="Times New Roman"/>
          <w:lang w:eastAsia="en-GB"/>
        </w:rPr>
        <w:t xml:space="preserve">comparing individuals meeting clinical diagnosis of depression versus healthy controls </w:t>
      </w:r>
      <w:r w:rsidR="00F537C1">
        <w:rPr>
          <w:rFonts w:cs="Times New Roman"/>
          <w:lang w:eastAsia="en-GB"/>
        </w:rPr>
        <w:fldChar w:fldCharType="begin" w:fldLock="1"/>
      </w:r>
      <w:r w:rsidR="00BD60E0">
        <w:rPr>
          <w:rFonts w:cs="Times New Roman"/>
          <w:lang w:eastAsia="en-GB"/>
        </w:rPr>
        <w:instrText>ADDIN CSL_CITATION {"citationItems":[{"id":"ITEM-1","itemData":{"DOI":"10.1016/j.bbi.2020.04.002","ISSN":"08891591","abstract":"Background: Major depressive disorder (MDD) is linked to higher cardio-metabolic comorbidity that may in part be due to the low-grade inflammation and poorer metabolic health observed in MDD. Heterogeneity of MDD is however large, and immune-inflammatory and metabolic dysregulation is present in only part of the MDD cases. We examined the associations of four depression dimensional profilers (atypical energy-related symptom dimension, melancholic symptom dimension, childhood trauma severity, and anxious distress symptom dimension) with immuno-metabolic outcomes, both cross-sectionally and longitudinally. Methods: Three waves covering a 6-year follow-up (&gt;7000 observations) of the Netherlands Study of Depression and Anxiety (NESDA) were used. Depression profilers were based on the Inventory of Depressive Symptomatology, the Beck Anxiety Inventory, and the Childhood Trauma index. An inflammatory index (based on IL-6 and CRP), a metabolic syndrome index (based on the five metabolic syndrome components), and a combination of these two indices were constructed. Mixed models were used for cross-sectional and longitudinal models, controlling for covariates. Results: Of the four depression profilers, only the atypical, energy-related symptom dimension showed robust associations with higher scores on the inflammatory, metabolic syndrome and combined inflammatory-metabolic indexes cross-sectionally, as well as at follow-up. The melancholic symptom dimension was associated with lower scores on the metabolic syndrome index both cross-sectionally and longitudinally. Conclusion: The atypical energy-related symptom dimension was linked to poorer immune-inflammatory and metabolic health, while the melancholic symptom dimension was linked to relatively better metabolic health. Persons with high atypical energy-related symptom burden, representing an immuno-metabolic depression, may be the most important group to target in prevention programs for cardiometabolic disease, and may benefit most from treatments targeting immuno-metabolic pathways.","author":[{"dropping-particle":"","family":"Lamers","given":"Femke","non-dropping-particle":"","parse-names":false,"suffix":""},{"dropping-particle":"","family":"Milaneschi","given":"Yuri","non-dropping-particle":"","parse-names":false,"suffix":""},{"dropping-particle":"","family":"Vinkers","given":"Christiaan H.","non-dropping-particle":"","parse-names":false,"suffix":""},{"dropping-particle":"","family":"Schoevers","given":"Robert A.","non-dropping-particle":"","parse-names":false,"suffix":""},{"dropping-particle":"","family":"Giltay","given":"Erik J.","non-dropping-particle":"","parse-names":false,"suffix":""},{"dropping-particle":"","family":"Penninx","given":"Brenda W.J.H.","non-dropping-particle":"","parse-names":false,"suffix":""}],"container-title":"Brain, Behavior, and Immunity","id":"ITEM-1","issued":{"date-parts":[["2020","8"]]},"page":"174-183","title":"Depression profilers and immuno-metabolic dysregulation: Longitudinal results from the NESDA study","type":"article-journal","volume":"88"},"uris":["http://www.mendeley.com/documents/?uuid=1e101b52-9bf9-4399-b877-d765bfd4f481"]},{"id":"ITEM-2","itemData":{"DOI":"10.1017/S0033291720002342","ISSN":"0033-2917","abstract":"Background: Depression is a highly prevalent and heterogenous disorder. This study aims to determine whether depression with atypical features shows different heritability and different degree of overlap with polygenic risk for psychiatric and immuno-metabolic traits than other depression subgroups. Methods: Data included 30,069 European ancestry individuals from the UK Biobank who met criteria for lifetime major depression. Participants reporting both weight gain and hypersomnia were classified as ↑WS depression (N = 1,854) and the others as non-↑WS depression (N = 28,215). Cases with non-↑WS depression were further classified as ↓WS depression (i.e. weight loss and insomnia; N = 10,142). Polygenic risk scores (PRS) for 22 traits were generated using genome-wide summary statistics (Bonferroni corrected p=2.1x10-4). Single nucleotide polymorphism (SNP)-based heritability of depression subgroups was estimated. Results: ↑WS depression had a higher polygenic risk for BMI (OR=1.20, [1.15-1.26], p=2.37e-14) and C-reactive protein (OR=1.11, [1.06-1.17], p=8.86e-06) vs. non-↑WS depression and ↓WS depression. Leptin PRS was close to the significance threshold (p=2.99e-04), but the effect disappeared when considering GWAS summary statistics of leptin adjusted for BMI. PRS for daily alcohol use was inversely associated with ↑WS depression (OR=0.88, [0.83-0.93], p=1.04e-05) vs. non-↑WS depression. SNP-based heritability was not significantly different between ↑WS depression and ↓WS depression (14.3% and 12.2%, respectively). Conclusions: ↑WS depression shows evidence of distinct genetic predisposition to immune-metabolic traits and alcohol consumption. These genetic signals suggest that biological targets including immune-cardiometabolic pathways may be relevant to therapies in individuals with ↑WS depression. ### Competing Interest Statement Cathryn Lewis is a member of the Scientific Advisory Board of Myriad Neurosciences. Matthew Hotopf is principal investigator of RADAR-CNS (funded by European Commission, Janssen, Biogen, UCB, MSD and Lundbeck). ### Funding Statement This research was supported by the UK Medical Research Council (MR/N015746 and MR/S0151132). This paper represents independent research part-funded by the National Institute for Health Research (NIHR) Biomedical Research Centre at South London and Maudsley NHS Foundation Trust and King's College London. The views expressed are those of the author(s) and not necessarily those of the NHS, the NIHR o…","author":[{"dropping-particle":"","family":"Badini","given":"Isabella","non-dropping-particle":"","parse-names":false,"suffix":""},{"dropping-particle":"","family":"Coleman","given":"Jonathan RI","non-dropping-particle":"","parse-names":false,"suffix":""},{"dropping-particle":"","family":"Hagenaars","given":"Saskia P.","non-dropping-particle":"","parse-names":false,"suffix":""},{"dropping-particle":"","family":"Hotopf","given":"Matthew","non-dropping-particle":"","parse-names":false,"suffix":""},{"dropping-particle":"","family":"Breen","given":"Gerome","non-dropping-particle":"","parse-names":false,"suffix":""},{"dropping-particle":"","family":"Lewis","given":"Cathryn M.","non-dropping-particle":"","parse-names":false,"suffix":""},{"dropping-particle":"","family":"Fabbri","given":"Chiara","non-dropping-particle":"","parse-names":false,"suffix":""}],"container-title":"Psychological Medicine","id":"ITEM-2","issued":{"date-parts":[["2020","7","6"]]},"page":"1-11","title":"Depression with atypical neurovegetative symptoms shares genetic predisposition with immuno-metabolic traits and alcohol consumption","type":"article-journal"},"uris":["http://www.mendeley.com/documents/?uuid=322533f0-30ec-4772-9585-b97b952cf45e"]},{"id":"ITEM-3","itemData":{"DOI":"10.1111/acps.12698","ISSN":"0001690X","PMID":"28122130","abstract":"OBJECTIVE To conduct a systematic review and meta-analysis of studies that measured cytokine and chemokine levels in individuals with major depressive disorder (MDD) compared to healthy controls (HCs). METHOD The PubMed/MEDLINE, EMBASE, and PsycINFO databases were searched up until May 30, 2016. Effect sizes were estimated with random-effects models. RESULT Eighty-two studies comprising 3212 participants with MDD and 2798 HCs met inclusion criteria. Peripheral levels of interleukin-6 (IL-6), tumor necrosis factor (TNF)-alpha, IL-10, the soluble IL-2 receptor, C-C chemokine ligand 2, IL-13, IL-18, IL-12, the IL-1 receptor antagonist, and the soluble TNF receptor 2 were elevated in patients with MDD compared to HCs, whereas interferon-gamma levels were lower in MDD (Hedge's g = -0.477, P = 0.043). Levels of IL-1β, IL-2, IL-4, IL-8, the soluble IL-6 receptor (sIL-6R), IL-5, CCL-3, IL-17, and transforming growth factor-beta 1 were not significantly altered in individuals with MDD compared to HCs. Heterogeneity was large (I(2) : 51.6-97.7%), and sources of heterogeneity were explored (e.g., age, smoking status, and body mass index). CONCLUSION Our results further characterize a cytokine/chemokine profile associated with MDD. Future studies are warranted to further elucidate sources of heterogeneity, as well as biosignature cytokines secreted by other immune cells.","author":[{"dropping-particle":"","family":"Köhler","given":"Cristiano A","non-dropping-particle":"","parse-names":false,"suffix":""},{"dropping-particle":"","family":"Freitas","given":"T. H.","non-dropping-particle":"","parse-names":false,"suffix":""},{"dropping-particle":"","family":"Maes","given":"M.","non-dropping-particle":"","parse-names":false,"suffix":""},{"dropping-particle":"","family":"Andrade","given":"N. Q.","non-dropping-particle":"de","parse-names":false,"suffix":""},{"dropping-particle":"","family":"Liu","given":"C. S.","non-dropping-particle":"","parse-names":false,"suffix":""},{"dropping-particle":"","family":"Fernandes","given":"B. S.","non-dropping-particle":"","parse-names":false,"suffix":""},{"dropping-particle":"","family":"Stubbs","given":"B.","non-dropping-particle":"","parse-names":false,"suffix":""},{"dropping-particle":"","family":"Solmi","given":"M.","non-dropping-particle":"","parse-names":false,"suffix":""},{"dropping-particle":"","family":"Veronese","given":"N.","non-dropping-particle":"","parse-names":false,"suffix":""},{"dropping-particle":"","family":"Herrmann","given":"N.","non-dropping-particle":"","parse-names":false,"suffix":""},{"dropping-particle":"","family":"Raison","given":"Charles L","non-dropping-particle":"","parse-names":false,"suffix":""},{"dropping-particle":"","family":"Miller","given":"B. J.","non-dropping-particle":"","parse-names":false,"suffix":""},{"dropping-particle":"","family":"Lanctôt","given":"K. L.","non-dropping-particle":"","parse-names":false,"suffix":""},{"dropping-particle":"","family":"Carvalho","given":"A. F.","non-dropping-particle":"","parse-names":false,"suffix":""}],"container-title":"Acta Psychiatrica Scandinavica","id":"ITEM-3","issue":"5","issued":{"date-parts":[["2017","5"]]},"page":"373-387","title":"Peripheral cytokine and chemokine alterations in depression: a meta-analysis of 82 studies","type":"article-journal","volume":"135"},"uris":["http://www.mendeley.com/documents/?uuid=28b6c982-fc63-461f-9083-f05f65a848f2"]}],"mendeley":{"formattedCitation":"(Badini et al., 2020; Köhler et al., 2017; Lamers et al., 2020)","plainTextFormattedCitation":"(Badini et al., 2020; Köhler et al., 2017; Lamers et al., 2020)","previouslyFormattedCitation":"(Badini et al., 2020; Köhler et al., 2017; Lamers et al., 2020)"},"properties":{"noteIndex":0},"schema":"https://github.com/citation-style-language/schema/raw/master/csl-citation.json"}</w:instrText>
      </w:r>
      <w:r w:rsidR="00F537C1">
        <w:rPr>
          <w:rFonts w:cs="Times New Roman"/>
          <w:lang w:eastAsia="en-GB"/>
        </w:rPr>
        <w:fldChar w:fldCharType="separate"/>
      </w:r>
      <w:r w:rsidR="0005505F" w:rsidRPr="0005505F">
        <w:rPr>
          <w:rFonts w:cs="Times New Roman"/>
          <w:noProof/>
          <w:lang w:eastAsia="en-GB"/>
        </w:rPr>
        <w:t>(Badini et al., 2020; Köhler et al., 2017; Lamers et al., 2020)</w:t>
      </w:r>
      <w:r w:rsidR="00F537C1">
        <w:rPr>
          <w:rFonts w:cs="Times New Roman"/>
          <w:lang w:eastAsia="en-GB"/>
        </w:rPr>
        <w:fldChar w:fldCharType="end"/>
      </w:r>
      <w:r w:rsidR="00F537C1">
        <w:rPr>
          <w:rFonts w:cs="Times New Roman"/>
          <w:lang w:eastAsia="en-GB"/>
        </w:rPr>
        <w:t xml:space="preserve">. </w:t>
      </w:r>
    </w:p>
    <w:p w14:paraId="2EDA66DA" w14:textId="4F0543AA" w:rsidR="0084772C" w:rsidRDefault="0021215B" w:rsidP="008A1542">
      <w:pPr>
        <w:rPr>
          <w:lang w:eastAsia="en-GB"/>
        </w:rPr>
      </w:pPr>
      <w:r>
        <w:rPr>
          <w:rFonts w:cs="Times New Roman"/>
          <w:lang w:eastAsia="en-GB"/>
        </w:rPr>
        <w:t>Using</w:t>
      </w:r>
      <w:r w:rsidR="00241299">
        <w:rPr>
          <w:lang w:eastAsia="en-GB"/>
        </w:rPr>
        <w:t xml:space="preserve"> data from the </w:t>
      </w:r>
      <w:r w:rsidR="00A90C67">
        <w:rPr>
          <w:lang w:eastAsia="en-GB"/>
        </w:rPr>
        <w:t xml:space="preserve">UK Biobank and </w:t>
      </w:r>
      <w:r w:rsidR="00F537C1">
        <w:rPr>
          <w:lang w:eastAsia="en-GB"/>
        </w:rPr>
        <w:t xml:space="preserve">the </w:t>
      </w:r>
      <w:r w:rsidR="00241299">
        <w:rPr>
          <w:lang w:eastAsia="en-GB"/>
        </w:rPr>
        <w:t>Netherlands Study of Depression and Anxiety (NESDA)</w:t>
      </w:r>
      <w:r w:rsidR="00A90C67">
        <w:rPr>
          <w:lang w:eastAsia="en-GB"/>
        </w:rPr>
        <w:t xml:space="preserve"> cohorts</w:t>
      </w:r>
      <w:r w:rsidR="00241299">
        <w:rPr>
          <w:lang w:eastAsia="en-GB"/>
        </w:rPr>
        <w:t xml:space="preserve">, we have recently </w:t>
      </w:r>
      <w:r w:rsidR="0005505F">
        <w:rPr>
          <w:lang w:eastAsia="en-GB"/>
        </w:rPr>
        <w:t>shown</w:t>
      </w:r>
      <w:r w:rsidR="00241299">
        <w:rPr>
          <w:lang w:eastAsia="en-GB"/>
        </w:rPr>
        <w:t xml:space="preserve"> that fatigue and sleeping difficulties exhibit the most consistent </w:t>
      </w:r>
      <w:r w:rsidR="00397284">
        <w:rPr>
          <w:lang w:eastAsia="en-GB"/>
        </w:rPr>
        <w:t xml:space="preserve">links with inflammatory markers </w:t>
      </w:r>
      <w:r w:rsidR="00265577">
        <w:rPr>
          <w:lang w:eastAsia="en-GB"/>
        </w:rPr>
        <w:t xml:space="preserve">among </w:t>
      </w:r>
      <w:r w:rsidR="00397284">
        <w:rPr>
          <w:lang w:eastAsia="en-GB"/>
        </w:rPr>
        <w:t xml:space="preserve">all </w:t>
      </w:r>
      <w:r w:rsidR="00265577">
        <w:rPr>
          <w:lang w:eastAsia="en-GB"/>
        </w:rPr>
        <w:t>depressive and anxiety symptoms</w:t>
      </w:r>
      <w:r w:rsidR="007A7B54">
        <w:rPr>
          <w:lang w:eastAsia="en-GB"/>
        </w:rPr>
        <w:t>,</w:t>
      </w:r>
      <w:r w:rsidR="00265577">
        <w:rPr>
          <w:lang w:eastAsia="en-GB"/>
        </w:rPr>
        <w:t xml:space="preserve"> </w:t>
      </w:r>
      <w:r w:rsidR="007A7B54">
        <w:rPr>
          <w:lang w:eastAsia="en-GB"/>
        </w:rPr>
        <w:t xml:space="preserve">even after controlling for </w:t>
      </w:r>
      <w:r w:rsidR="00164919">
        <w:rPr>
          <w:lang w:eastAsia="en-GB"/>
        </w:rPr>
        <w:t>various</w:t>
      </w:r>
      <w:r w:rsidR="007A7B54">
        <w:rPr>
          <w:lang w:eastAsia="en-GB"/>
        </w:rPr>
        <w:t xml:space="preserve"> sociodemographic, lifestyle, and metabolic confounders</w:t>
      </w:r>
      <w:r w:rsidR="007A7B54" w:rsidRPr="00704CAA">
        <w:rPr>
          <w:lang w:eastAsia="en-GB"/>
        </w:rPr>
        <w:t xml:space="preserve"> </w:t>
      </w:r>
      <w:r w:rsidR="001C6B62" w:rsidRPr="00704CAA">
        <w:rPr>
          <w:lang w:eastAsia="en-GB"/>
        </w:rPr>
        <w:fldChar w:fldCharType="begin" w:fldLock="1"/>
      </w:r>
      <w:r w:rsidR="00773118">
        <w:rPr>
          <w:lang w:eastAsia="en-GB"/>
        </w:rPr>
        <w:instrText>ADDIN CSL_CITATION {"citationItems":[{"id":"ITEM-1","itemData":{"DOI":"10.1101/2021.01.08.20248710","abstract":"We examined whether inflammation is uniformly associated with all depressive and anxiety symptoms, and whether these associations are potentially causal. Data was from 147,478 individuals from the UK Biobank (UKB) and 2,905 from the Netherlands Study of Depression and Anxiety (NESDA). Circulating C-reactive protein (CRP) was measured in both cohorts and interleukin-6 (IL-6) in NESDA. Genetic instruments for these proteins were obtained from published GWAS and UKB. Depressive and anxiety symptoms were assessed with self-report questionnaires. In NESDA, neurovegetative (appetite, sleep, psychomotor) symptoms were disaggregated as increased vs. decreased. In joint analyses, circulating CRP was associated with depressive symptoms of depressed mood (OR=1.06, 95%CI=1.05-1.08), altered appetite (OR=1.25, 95%CI=1.23-1.28), sleep problems (OR=1.05, 95%CI=1.04-1.06), and fatigue (OR=1.12, 95%CI=1.11-1.14), and with anxiety symptoms of irritability (OR=1.06, 95%CI=1.05-1.08) and worrying control (OR=1.03, 95%CI=1.02-1.04). Further analyses in NESDA using IL-6 as exposure confirmed associations with depressive symptoms, including anhedonia (OR=1.30, 95%CI=1.12-1.52). Both CRP (OR=1.27, 95%CI=1.13-1.43) and IL-6 (OR=1.26, 95%CI=1.07-1.49) were associated with increased sleep. CRP was associated with increased appetite (OR=1.21, 95%CI=1.08-1.35) while IL-6 with decreased appetite (OR=1.45, 95%CI=1.18-1.79). In Mendelian Randomization analyses, increased risk of fatigue (estimate=0.25, SE=0.08) and sleep problems (estimate=0.19, SE=0.07) were associated with genetically-predicted higher IL-6 activity. Inflammation was associated with core depressive symptoms of low mood and anhedonia and somatic/neurovegetative symptoms of fatigue, altered sleep and appetite changes. Less consistent associations were found for anxiety. The IL-6/IL-6R pathway could be causally linked to depression. Experimental studies are required to further evaluate causality, mechanisms, and usefulness of immunotherapies for depressive symptoms.","author":[{"dropping-particle":"","family":"Milaneschi","given":"Yuri","non-dropping-particle":"","parse-names":false,"suffix":""},{"dropping-particle":"","family":"Kappelmann","given":"Nils","non-dropping-particle":"","parse-names":false,"suffix":""},{"dropping-particle":"","family":"Ye","given":"Zheng","non-dropping-particle":"","parse-names":false,"suffix":""},{"dropping-particle":"","family":"Lamers","given":"Femke","non-dropping-particle":"","parse-names":false,"suffix":""},{"dropping-particle":"","family":"Moser","given":"Sylvain","non-dropping-particle":"","parse-names":false,"suffix":""},{"dropping-particle":"","family":"Jones","given":"Peter B","non-dropping-particle":"","parse-names":false,"suffix":""},{"dropping-particle":"","family":"Burgess","given":"Stephen","non-dropping-particle":"","parse-names":false,"suffix":""},{"dropping-particle":"","family":"Penninx","given":"Brenda W J H","non-dropping-particle":"","parse-names":false,"suffix":""},{"dropping-particle":"","family":"Khandaker","given":"Golam M","non-dropping-particle":"","parse-names":false,"suffix":""}],"container-title":"medRxiv","id":"ITEM-1","issued":{"date-parts":[["2021"]]},"title":"Association of Inflammation with Depression and Anxiety: Evidence for Symptom-Specificity and Potential Causality from UK Biobank and NESDA Cohorts","type":"article-journal"},"uris":["http://www.mendeley.com/documents/?uuid=f1a78e49-1852-4ac3-ba80-c441e86485ba"]}],"mendeley":{"formattedCitation":"(Milaneschi et al., 2021)","plainTextFormattedCitation":"(Milaneschi et al., 2021)","previouslyFormattedCitation":"(Milaneschi et al., 2021)"},"properties":{"noteIndex":0},"schema":"https://github.com/citation-style-language/schema/raw/master/csl-citation.json"}</w:instrText>
      </w:r>
      <w:r w:rsidR="001C6B62" w:rsidRPr="00704CAA">
        <w:rPr>
          <w:lang w:eastAsia="en-GB"/>
        </w:rPr>
        <w:fldChar w:fldCharType="separate"/>
      </w:r>
      <w:r w:rsidR="001C6B62" w:rsidRPr="00474538">
        <w:rPr>
          <w:noProof/>
          <w:lang w:eastAsia="en-GB"/>
        </w:rPr>
        <w:t>(Milaneschi et al., 2021)</w:t>
      </w:r>
      <w:r w:rsidR="001C6B62" w:rsidRPr="00704CAA">
        <w:rPr>
          <w:lang w:eastAsia="en-GB"/>
        </w:rPr>
        <w:fldChar w:fldCharType="end"/>
      </w:r>
      <w:r w:rsidR="00241299">
        <w:rPr>
          <w:lang w:eastAsia="en-GB"/>
        </w:rPr>
        <w:t xml:space="preserve">. </w:t>
      </w:r>
      <w:r w:rsidR="00AA79B3">
        <w:rPr>
          <w:lang w:eastAsia="en-GB"/>
        </w:rPr>
        <w:t xml:space="preserve">Furthermore, </w:t>
      </w:r>
      <w:r w:rsidR="007C5CF5" w:rsidRPr="00704CAA">
        <w:rPr>
          <w:lang w:eastAsia="en-GB"/>
        </w:rPr>
        <w:t xml:space="preserve">Mendelian </w:t>
      </w:r>
      <w:r w:rsidR="00B83AE5">
        <w:rPr>
          <w:lang w:eastAsia="en-GB"/>
        </w:rPr>
        <w:t>r</w:t>
      </w:r>
      <w:r w:rsidR="007C5CF5" w:rsidRPr="00704CAA">
        <w:rPr>
          <w:lang w:eastAsia="en-GB"/>
        </w:rPr>
        <w:t>andomisation analysis</w:t>
      </w:r>
      <w:r w:rsidR="00215AFD">
        <w:rPr>
          <w:lang w:eastAsia="en-GB"/>
        </w:rPr>
        <w:t>,</w:t>
      </w:r>
      <w:r w:rsidR="00AA79B3">
        <w:rPr>
          <w:lang w:eastAsia="en-GB"/>
        </w:rPr>
        <w:t xml:space="preserve"> </w:t>
      </w:r>
      <w:r w:rsidR="00215AFD">
        <w:rPr>
          <w:lang w:eastAsia="en-GB"/>
        </w:rPr>
        <w:t xml:space="preserve">which </w:t>
      </w:r>
      <w:r w:rsidR="00AA79B3">
        <w:rPr>
          <w:lang w:eastAsia="en-GB"/>
        </w:rPr>
        <w:t>use</w:t>
      </w:r>
      <w:r w:rsidR="00215AFD">
        <w:rPr>
          <w:lang w:eastAsia="en-GB"/>
        </w:rPr>
        <w:t>s</w:t>
      </w:r>
      <w:r w:rsidR="00AA79B3">
        <w:rPr>
          <w:lang w:eastAsia="en-GB"/>
        </w:rPr>
        <w:t xml:space="preserve"> genetic variants as proxies to disen</w:t>
      </w:r>
      <w:r w:rsidR="00D3620B">
        <w:rPr>
          <w:lang w:eastAsia="en-GB"/>
        </w:rPr>
        <w:t>t</w:t>
      </w:r>
      <w:r w:rsidR="00AA79B3">
        <w:rPr>
          <w:lang w:eastAsia="en-GB"/>
        </w:rPr>
        <w:t>a</w:t>
      </w:r>
      <w:r w:rsidR="00D3620B">
        <w:rPr>
          <w:lang w:eastAsia="en-GB"/>
        </w:rPr>
        <w:t>ng</w:t>
      </w:r>
      <w:r w:rsidR="00AA79B3">
        <w:rPr>
          <w:lang w:eastAsia="en-GB"/>
        </w:rPr>
        <w:t>le the problems of reverse causation and residual confounding</w:t>
      </w:r>
      <w:r w:rsidR="00D3620B">
        <w:rPr>
          <w:lang w:eastAsia="en-GB"/>
        </w:rPr>
        <w:t xml:space="preserve"> </w:t>
      </w:r>
      <w:r w:rsidR="00D3620B">
        <w:rPr>
          <w:lang w:eastAsia="en-GB"/>
        </w:rPr>
        <w:fldChar w:fldCharType="begin" w:fldLock="1"/>
      </w:r>
      <w:r w:rsidR="00DC692D">
        <w:rPr>
          <w:lang w:eastAsia="en-GB"/>
        </w:rPr>
        <w:instrText>ADDIN CSL_CITATION {"citationItems":[{"id":"ITEM-1","itemData":{"DOI":"10.1002/sim.3034","ISSN":"02776715","abstract":"Although sample size calculations have become an important element in the design of research projects, such methods for studies involving current status data are scarce. Here, we propose a method for calculating power and sample size for studies using current status data. This method is based on a Weibull survival model for a two-group comparison. The Weibull model allows the investigator to specify a group difference in terms of a hazards ratio or a failure time ratio. We consider exponential, Weibull and uniformly distributed censoring distributions. We base our power calculations on a parametric approach with the Wald test because it is easy for medical investigators to conceptualize and specify the required input variables. As expected, studies with current status data have substantially less power than studies with the usual right-censored failure time data. Our simulation results demonstrate the merits of these proposed power calculations.","author":[{"dropping-particle":"","family":"Lawlor","given":"Debbie A.","non-dropping-particle":"","parse-names":false,"suffix":""},{"dropping-particle":"","family":"Harbord","given":"Roger M.","non-dropping-particle":"","parse-names":false,"suffix":""},{"dropping-particle":"","family":"Sterne","given":"Jonathan A. C.","non-dropping-particle":"","parse-names":false,"suffix":""},{"dropping-particle":"","family":"Timpson","given":"Nic","non-dropping-particle":"","parse-names":false,"suffix":""},{"dropping-particle":"","family":"Davey Smith","given":"George","non-dropping-particle":"","parse-names":false,"suffix":""}],"container-title":"Statistics in Medicine","id":"ITEM-1","issue":"8","issued":{"date-parts":[["2008","4","15"]]},"page":"1133-1163","title":"Mendelian randomization: Using genes as instruments for making causal inferences in epidemiology","type":"article-journal","volume":"27"},"uris":["http://www.mendeley.com/documents/?uuid=dbc8f426-59f8-434a-9254-eff8b155838c"]}],"mendeley":{"formattedCitation":"(Lawlor et al., 2008)","plainTextFormattedCitation":"(Lawlor et al., 2008)","previouslyFormattedCitation":"(Lawlor et al., 2008)"},"properties":{"noteIndex":0},"schema":"https://github.com/citation-style-language/schema/raw/master/csl-citation.json"}</w:instrText>
      </w:r>
      <w:r w:rsidR="00D3620B">
        <w:rPr>
          <w:lang w:eastAsia="en-GB"/>
        </w:rPr>
        <w:fldChar w:fldCharType="separate"/>
      </w:r>
      <w:r w:rsidR="00D3620B" w:rsidRPr="00D3620B">
        <w:rPr>
          <w:noProof/>
          <w:lang w:eastAsia="en-GB"/>
        </w:rPr>
        <w:t>(Lawlor et al., 2008)</w:t>
      </w:r>
      <w:r w:rsidR="00D3620B">
        <w:rPr>
          <w:lang w:eastAsia="en-GB"/>
        </w:rPr>
        <w:fldChar w:fldCharType="end"/>
      </w:r>
      <w:r w:rsidR="007C5CF5" w:rsidRPr="00704CAA">
        <w:rPr>
          <w:lang w:eastAsia="en-GB"/>
        </w:rPr>
        <w:t>,</w:t>
      </w:r>
      <w:r w:rsidR="00AA79B3">
        <w:rPr>
          <w:lang w:eastAsia="en-GB"/>
        </w:rPr>
        <w:t xml:space="preserve"> su</w:t>
      </w:r>
      <w:r w:rsidR="00BB12D1">
        <w:rPr>
          <w:lang w:eastAsia="en-GB"/>
        </w:rPr>
        <w:t>ggest</w:t>
      </w:r>
      <w:r w:rsidR="00215AFD">
        <w:rPr>
          <w:lang w:eastAsia="en-GB"/>
        </w:rPr>
        <w:t>s</w:t>
      </w:r>
      <w:r w:rsidR="00BB12D1">
        <w:rPr>
          <w:lang w:eastAsia="en-GB"/>
        </w:rPr>
        <w:t xml:space="preserve"> that </w:t>
      </w:r>
      <w:r w:rsidR="00AA79B3">
        <w:rPr>
          <w:lang w:eastAsia="en-GB"/>
        </w:rPr>
        <w:t xml:space="preserve">altered </w:t>
      </w:r>
      <w:r w:rsidR="007C5CF5" w:rsidRPr="00704CAA">
        <w:rPr>
          <w:lang w:eastAsia="en-GB"/>
        </w:rPr>
        <w:t>IL-6 activity</w:t>
      </w:r>
      <w:r w:rsidR="00D27953">
        <w:rPr>
          <w:lang w:eastAsia="en-GB"/>
        </w:rPr>
        <w:t xml:space="preserve"> </w:t>
      </w:r>
      <w:r w:rsidR="001C6B62" w:rsidRPr="00704CAA">
        <w:rPr>
          <w:lang w:eastAsia="en-GB"/>
        </w:rPr>
        <w:t xml:space="preserve">could represent one causal immunological driver for </w:t>
      </w:r>
      <w:r w:rsidR="00BB12D1" w:rsidRPr="00BB12D1">
        <w:rPr>
          <w:lang w:eastAsia="en-GB"/>
        </w:rPr>
        <w:t>fatigue and sleep</w:t>
      </w:r>
      <w:r w:rsidR="00EA33E3">
        <w:rPr>
          <w:lang w:eastAsia="en-GB"/>
        </w:rPr>
        <w:t>ing</w:t>
      </w:r>
      <w:r w:rsidR="00BB12D1" w:rsidRPr="00BB12D1">
        <w:rPr>
          <w:lang w:eastAsia="en-GB"/>
        </w:rPr>
        <w:t xml:space="preserve"> problems</w:t>
      </w:r>
      <w:r w:rsidR="00BB12D1">
        <w:rPr>
          <w:lang w:eastAsia="en-GB"/>
        </w:rPr>
        <w:t xml:space="preserve"> </w:t>
      </w:r>
      <w:r w:rsidR="00BB12D1" w:rsidRPr="00704CAA">
        <w:rPr>
          <w:lang w:eastAsia="en-GB"/>
        </w:rPr>
        <w:fldChar w:fldCharType="begin" w:fldLock="1"/>
      </w:r>
      <w:r w:rsidR="00BB12D1">
        <w:rPr>
          <w:lang w:eastAsia="en-GB"/>
        </w:rPr>
        <w:instrText>ADDIN CSL_CITATION {"citationItems":[{"id":"ITEM-1","itemData":{"DOI":"10.1101/2021.01.08.20248710","abstract":"We examined whether inflammation is uniformly associated with all depressive and anxiety symptoms, and whether these associations are potentially causal. Data was from 147,478 individuals from the UK Biobank (UKB) and 2,905 from the Netherlands Study of Depression and Anxiety (NESDA). Circulating C-reactive protein (CRP) was measured in both cohorts and interleukin-6 (IL-6) in NESDA. Genetic instruments for these proteins were obtained from published GWAS and UKB. Depressive and anxiety symptoms were assessed with self-report questionnaires. In NESDA, neurovegetative (appetite, sleep, psychomotor) symptoms were disaggregated as increased vs. decreased. In joint analyses, circulating CRP was associated with depressive symptoms of depressed mood (OR=1.06, 95%CI=1.05-1.08), altered appetite (OR=1.25, 95%CI=1.23-1.28), sleep problems (OR=1.05, 95%CI=1.04-1.06), and fatigue (OR=1.12, 95%CI=1.11-1.14), and with anxiety symptoms of irritability (OR=1.06, 95%CI=1.05-1.08) and worrying control (OR=1.03, 95%CI=1.02-1.04). Further analyses in NESDA using IL-6 as exposure confirmed associations with depressive symptoms, including anhedonia (OR=1.30, 95%CI=1.12-1.52). Both CRP (OR=1.27, 95%CI=1.13-1.43) and IL-6 (OR=1.26, 95%CI=1.07-1.49) were associated with increased sleep. CRP was associated with increased appetite (OR=1.21, 95%CI=1.08-1.35) while IL-6 with decreased appetite (OR=1.45, 95%CI=1.18-1.79). In Mendelian Randomization analyses, increased risk of fatigue (estimate=0.25, SE=0.08) and sleep problems (estimate=0.19, SE=0.07) were associated with genetically-predicted higher IL-6 activity. Inflammation was associated with core depressive symptoms of low mood and anhedonia and somatic/neurovegetative symptoms of fatigue, altered sleep and appetite changes. Less consistent associations were found for anxiety. The IL-6/IL-6R pathway could be causally linked to depression. Experimental studies are required to further evaluate causality, mechanisms, and usefulness of immunotherapies for depressive symptoms.","author":[{"dropping-particle":"","family":"Milaneschi","given":"Yuri","non-dropping-particle":"","parse-names":false,"suffix":""},{"dropping-particle":"","family":"Kappelmann","given":"Nils","non-dropping-particle":"","parse-names":false,"suffix":""},{"dropping-particle":"","family":"Ye","given":"Zheng","non-dropping-particle":"","parse-names":false,"suffix":""},{"dropping-particle":"","family":"Lamers","given":"Femke","non-dropping-particle":"","parse-names":false,"suffix":""},{"dropping-particle":"","family":"Moser","given":"Sylvain","non-dropping-particle":"","parse-names":false,"suffix":""},{"dropping-particle":"","family":"Jones","given":"Peter B","non-dropping-particle":"","parse-names":false,"suffix":""},{"dropping-particle":"","family":"Burgess","given":"Stephen","non-dropping-particle":"","parse-names":false,"suffix":""},{"dropping-particle":"","family":"Penninx","given":"Brenda W J H","non-dropping-particle":"","parse-names":false,"suffix":""},{"dropping-particle":"","family":"Khandaker","given":"Golam M","non-dropping-particle":"","parse-names":false,"suffix":""}],"container-title":"medRxiv","id":"ITEM-1","issued":{"date-parts":[["2021"]]},"title":"Association of Inflammation with Depression and Anxiety: Evidence for Symptom-Specificity and Potential Causality from UK Biobank and NESDA Cohorts","type":"article-journal"},"uris":["http://www.mendeley.com/documents/?uuid=f1a78e49-1852-4ac3-ba80-c441e86485ba"]}],"mendeley":{"formattedCitation":"(Milaneschi et al., 2021)","plainTextFormattedCitation":"(Milaneschi et al., 2021)","previouslyFormattedCitation":"(Milaneschi et al., 2021)"},"properties":{"noteIndex":0},"schema":"https://github.com/citation-style-language/schema/raw/master/csl-citation.json"}</w:instrText>
      </w:r>
      <w:r w:rsidR="00BB12D1" w:rsidRPr="00704CAA">
        <w:rPr>
          <w:lang w:eastAsia="en-GB"/>
        </w:rPr>
        <w:fldChar w:fldCharType="separate"/>
      </w:r>
      <w:r w:rsidR="00BB12D1" w:rsidRPr="00474538">
        <w:rPr>
          <w:noProof/>
          <w:lang w:eastAsia="en-GB"/>
        </w:rPr>
        <w:t>(Milaneschi et al., 2021)</w:t>
      </w:r>
      <w:r w:rsidR="00BB12D1" w:rsidRPr="00704CAA">
        <w:rPr>
          <w:lang w:eastAsia="en-GB"/>
        </w:rPr>
        <w:fldChar w:fldCharType="end"/>
      </w:r>
      <w:r w:rsidR="001C6B62" w:rsidRPr="00704CAA">
        <w:rPr>
          <w:lang w:eastAsia="en-GB"/>
        </w:rPr>
        <w:t xml:space="preserve">. </w:t>
      </w:r>
      <w:r w:rsidR="00D40FFE" w:rsidRPr="00704CAA">
        <w:rPr>
          <w:lang w:eastAsia="en-GB"/>
        </w:rPr>
        <w:t xml:space="preserve">Mendelian </w:t>
      </w:r>
      <w:r w:rsidR="00D40FFE">
        <w:rPr>
          <w:lang w:eastAsia="en-GB"/>
        </w:rPr>
        <w:t>r</w:t>
      </w:r>
      <w:r w:rsidR="00D40FFE" w:rsidRPr="00704CAA">
        <w:rPr>
          <w:lang w:eastAsia="en-GB"/>
        </w:rPr>
        <w:t xml:space="preserve">andomisation </w:t>
      </w:r>
      <w:r w:rsidR="004665EB">
        <w:rPr>
          <w:lang w:eastAsia="en-GB"/>
        </w:rPr>
        <w:t xml:space="preserve">studies </w:t>
      </w:r>
      <w:r w:rsidR="00DC692D">
        <w:rPr>
          <w:lang w:eastAsia="en-GB"/>
        </w:rPr>
        <w:t xml:space="preserve">using the same genetic variants as proxies for altered IL-6 activity </w:t>
      </w:r>
      <w:r w:rsidR="004665EB">
        <w:rPr>
          <w:lang w:eastAsia="en-GB"/>
        </w:rPr>
        <w:t xml:space="preserve">have </w:t>
      </w:r>
      <w:r w:rsidR="007950FB">
        <w:rPr>
          <w:lang w:eastAsia="en-GB"/>
        </w:rPr>
        <w:t xml:space="preserve">also </w:t>
      </w:r>
      <w:r w:rsidR="0029106B">
        <w:rPr>
          <w:lang w:eastAsia="en-GB"/>
        </w:rPr>
        <w:t xml:space="preserve">reported potentially causal </w:t>
      </w:r>
      <w:r w:rsidR="00507683">
        <w:rPr>
          <w:lang w:eastAsia="en-GB"/>
        </w:rPr>
        <w:t xml:space="preserve">associations </w:t>
      </w:r>
      <w:r w:rsidR="0029106B">
        <w:rPr>
          <w:lang w:eastAsia="en-GB"/>
        </w:rPr>
        <w:t xml:space="preserve">of </w:t>
      </w:r>
      <w:r w:rsidR="00B20818">
        <w:rPr>
          <w:lang w:eastAsia="en-GB"/>
        </w:rPr>
        <w:t xml:space="preserve">IL-6 </w:t>
      </w:r>
      <w:r w:rsidR="00507683">
        <w:rPr>
          <w:lang w:eastAsia="en-GB"/>
        </w:rPr>
        <w:t>with cardiovascular disease</w:t>
      </w:r>
      <w:r w:rsidR="00DC692D">
        <w:rPr>
          <w:lang w:eastAsia="en-GB"/>
        </w:rPr>
        <w:t>,</w:t>
      </w:r>
      <w:r w:rsidR="00507683">
        <w:rPr>
          <w:lang w:eastAsia="en-GB"/>
        </w:rPr>
        <w:t xml:space="preserve"> </w:t>
      </w:r>
      <w:r w:rsidR="00DE44CC">
        <w:rPr>
          <w:lang w:eastAsia="en-GB"/>
        </w:rPr>
        <w:t xml:space="preserve">type 2 diabetes, </w:t>
      </w:r>
      <w:r w:rsidR="00507683">
        <w:rPr>
          <w:lang w:eastAsia="en-GB"/>
        </w:rPr>
        <w:t>rheumatoid arthritis</w:t>
      </w:r>
      <w:r w:rsidR="00DC692D">
        <w:rPr>
          <w:lang w:eastAsia="en-GB"/>
        </w:rPr>
        <w:t>, and notably with COVID-19 hospitalisation</w:t>
      </w:r>
      <w:r w:rsidR="00507683">
        <w:rPr>
          <w:lang w:eastAsia="en-GB"/>
        </w:rPr>
        <w:t xml:space="preserve"> </w:t>
      </w:r>
      <w:r w:rsidR="00507683">
        <w:rPr>
          <w:lang w:eastAsia="en-GB"/>
        </w:rPr>
        <w:fldChar w:fldCharType="begin" w:fldLock="1"/>
      </w:r>
      <w:r w:rsidR="00CB5212">
        <w:rPr>
          <w:lang w:eastAsia="en-GB"/>
        </w:rPr>
        <w:instrText>ADDIN CSL_CITATION {"citationItems":[{"id":"ITEM-1","itemData":{"DOI":"10.1161/CIRCGEN.119.002872","ISSN":"2574-8300","abstract":"Background: Studies in humans and experimental models highlight a role of interleukin-6 (IL- 6) in cardiovascular disease. Indirect evidence suggests that inhibition of IL-6 signaling could lower risk of coronary artery disease. However, whether such an approach would be effective for ischemic stroke and other cardiovascular outcomes remains unknown. Methods: In a genome-wide association study (GWAS) of 204,402 European individuals, we identified genetic proxies for downregulated IL-6 signaling as genetic variants in the IL-6 receptor (IL6R) locus that were associated with lower C-reactive protein (CRP) levels, a downstream effector of IL-6 signaling. We then applied two-sample Mendelian randomization (MR) to explore associations with ischemic stroke and its major subtypes (large artery stroke, cardioembolic stroke, small vessel stroke) in the MEGASTROKE dataset (34,217 cases and 404,630 controls), with coronary artery disease in the CARDIoGRAMplusC4D dataset (60,801 cases and 123,504 control), and with other cardiovascular outcomes in the UK Biobank (up to 321,406 individuals) and in phenotype-specific GWAS datasets. All effect estimates were scaled to the CRP-decreasing effects of tocilizumab, a monoclonal antibody targeting IL-6R. ABSTRACT Background: Studies in humans and experimental models highlight a role of interleukin-6 (IL- 6) in cardiovascular disease. Indirect evidence suggests that inhibition of IL-6 signaling could lower risk of coronary artery disease. However, whether such an approach would be effective for ischemic stroke and other cardiovascular outcomes remains unknown. Methods: In a genome-wide association study (GWAS) of 204,402 European individuals, we identified genetic proxies for downregulated IL-6 signaling as genetic variants in the IL-6 receptor (IL6R) locus that were associated with lower C-reactive protein (CRP) levels, a downstream effector of IL-6 signaling. We then applied two-sample Mendelian randomization (MR) to explore associations with ischemic stroke and its major subtypes (large artery stroke, cardioembolic stroke, small vessel stroke) in the MEGASTROKE dataset (34,217 cases and 404,630 controls), with coronary artery disease in the CARDIoGRAMplusC4D dataset (60,801 cases and 123,504 control), and with other cardiovascular outcomes in the UK Biobank (up to 321,406 individuals) and in phenotype-specific GWAS datasets. All effect estimates were scaled to the CRP-decreasing effects of tocilizumab, a monoclonal antibo…","author":[{"dropping-particle":"","family":"Georgakis","given":"Marios K","non-dropping-particle":"","parse-names":false,"suffix":""},{"dropping-particle":"","family":"Malik","given":"Rainer","non-dropping-particle":"","parse-names":false,"suffix":""},{"dropping-particle":"","family":"Gill","given":"Dipender","non-dropping-particle":"","parse-names":false,"suffix":""},{"dropping-particle":"","family":"Franceschini","given":"Nora","non-dropping-particle":"","parse-names":false,"suffix":""},{"dropping-particle":"","family":"Sudlow","given":"Cathie L M","non-dropping-particle":"","parse-names":false,"suffix":""},{"dropping-particle":"","family":"Dichgans","given":"Martin","non-dropping-particle":"","parse-names":false,"suffix":""}],"container-title":"Circulation: Genomic and Precision Medicine","id":"ITEM-1","issued":{"date-parts":[["2020","5","12"]]},"title":"Interleukin-6 Signaling Effects on Ischemic Stroke and other Cardiovascular Outcomes: A Mendelian Randomization Study","type":"article-journal"},"uris":["http://www.mendeley.com/documents/?uuid=51067d85-d158-414a-888e-5c0b3b047003"]},{"id":"ITEM-2","itemData":{"DOI":"10.1016/S2665-9913(20)30345-3","ISSN":"26659913","author":[{"dropping-particle":"","family":"Bovijn","given":"Jonas","non-dropping-particle":"","parse-names":false,"suffix":""},{"dropping-particle":"","family":"Lindgren","given":"Cecilia M.","non-dropping-particle":"","parse-names":false,"suffix":""},{"dropping-particle":"V.","family":"Holmes","given":"Michael","non-dropping-particle":"","parse-names":false,"suffix":""}],"container-title":"The Lancet Rheumatology","id":"ITEM-2","issue":"11","issued":{"date-parts":[["2020","11"]]},"page":"e658-e659","publisher":"Elsevier Ltd","title":"Genetic variants mimicking therapeutic inhibition of IL-6 receptor signaling and risk of COVID-19","type":"article-journal","volume":"2"},"uris":["http://www.mendeley.com/documents/?uuid=02930cc0-bad5-4483-8d84-ca3af7792843"]},{"id":"ITEM-3","itemData":{"DOI":"10.1161/CIRCULATIONAHA.120.052604","ISSN":"0009-7322","author":[{"dropping-particle":"","family":"Georgakis","given":"Marios K","non-dropping-particle":"","parse-names":false,"suffix":""},{"dropping-particle":"","family":"Malik","given":"Rainer","non-dropping-particle":"","parse-names":false,"suffix":""},{"dropping-particle":"","family":"Li","given":"Xue","non-dropping-particle":"","parse-names":false,"suffix":""},{"dropping-particle":"","family":"Gill","given":"Dipender","non-dropping-particle":"","parse-names":false,"suffix":""},{"dropping-particle":"","family":"Levin","given":"Michael G.","non-dropping-particle":"","parse-names":false,"suffix":""},{"dropping-particle":"","family":"Vy","given":"Ha My T.","non-dropping-particle":"","parse-names":false,"suffix":""},{"dropping-particle":"","family":"Judy","given":"Renae","non-dropping-particle":"","parse-names":false,"suffix":""},{"dropping-particle":"","family":"Ritchie","given":"Marylyn","non-dropping-particle":"","parse-names":false,"suffix":""},{"dropping-particle":"","family":"Verma","given":"Shefali S.","non-dropping-particle":"","parse-names":false,"suffix":""},{"dropping-particle":"","family":"Nadkarni","given":"Girish N.","non-dropping-particle":"","parse-names":false,"suffix":""},{"dropping-particle":"","family":"Damrauer","given":"Scott M.","non-dropping-particle":"","parse-names":false,"suffix":""},{"dropping-particle":"","family":"Theodoratou","given":"Evropi","non-dropping-particle":"","parse-names":false,"suffix":""},{"dropping-particle":"","family":"Dichgans","given":"Martin","non-dropping-particle":"","parse-names":false,"suffix":""}],"container-title":"Circulation","id":"ITEM-3","issue":"11","issued":{"date-parts":[["2021","3","16"]]},"page":"1177-1180","title":"Genetically Downregulated Interleukin-6 Signaling Is Associated With a Favorable Cardiometabolic Profile","type":"article-journal","volume":"143"},"uris":["http://www.mendeley.com/documents/?uuid=60406d7c-b254-4661-80a6-16b009fadb02"]}],"mendeley":{"formattedCitation":"(Bovijn et al., 2020; Georgakis et al., 2021, 2020)","plainTextFormattedCitation":"(Bovijn et al., 2020; Georgakis et al., 2021, 2020)","previouslyFormattedCitation":"(Bovijn et al., 2020; Georgakis et al., 2021, 2020)"},"properties":{"noteIndex":0},"schema":"https://github.com/citation-style-language/schema/raw/master/csl-citation.json"}</w:instrText>
      </w:r>
      <w:r w:rsidR="00507683">
        <w:rPr>
          <w:lang w:eastAsia="en-GB"/>
        </w:rPr>
        <w:fldChar w:fldCharType="separate"/>
      </w:r>
      <w:r w:rsidR="00DE44CC" w:rsidRPr="00DE44CC">
        <w:rPr>
          <w:noProof/>
          <w:lang w:eastAsia="en-GB"/>
        </w:rPr>
        <w:t>(Bovijn et al., 2020; Georgakis et al., 2021, 2020)</w:t>
      </w:r>
      <w:r w:rsidR="00507683">
        <w:rPr>
          <w:lang w:eastAsia="en-GB"/>
        </w:rPr>
        <w:fldChar w:fldCharType="end"/>
      </w:r>
      <w:r w:rsidR="00507683">
        <w:rPr>
          <w:lang w:eastAsia="en-GB"/>
        </w:rPr>
        <w:t>.</w:t>
      </w:r>
      <w:r w:rsidR="0029106B">
        <w:rPr>
          <w:lang w:eastAsia="en-GB"/>
        </w:rPr>
        <w:t xml:space="preserve"> </w:t>
      </w:r>
      <w:r w:rsidR="00DC692D">
        <w:rPr>
          <w:lang w:eastAsia="en-GB"/>
        </w:rPr>
        <w:t xml:space="preserve">Cardiovascular disease and rheumatoid arthritis </w:t>
      </w:r>
      <w:r w:rsidR="0029106B">
        <w:rPr>
          <w:lang w:eastAsia="en-GB"/>
        </w:rPr>
        <w:t>have established immune basis/links, and are associated with severe COVID-19</w:t>
      </w:r>
      <w:r w:rsidR="00DC692D">
        <w:rPr>
          <w:lang w:eastAsia="en-GB"/>
        </w:rPr>
        <w:t xml:space="preserve"> </w:t>
      </w:r>
      <w:r w:rsidR="00DC692D">
        <w:rPr>
          <w:lang w:eastAsia="en-GB"/>
        </w:rPr>
        <w:fldChar w:fldCharType="begin" w:fldLock="1"/>
      </w:r>
      <w:r w:rsidR="00C06BC5">
        <w:rPr>
          <w:lang w:eastAsia="en-GB"/>
        </w:rPr>
        <w:instrText>ADDIN CSL_CITATION {"citationItems":[{"id":"ITEM-1","itemData":{"DOI":"10.1038/s41569-020-0413-9","ISSN":"1759-5002","author":[{"dropping-particle":"","family":"Nishiga","given":"Masataka","non-dropping-particle":"","parse-names":false,"suffix":""},{"dropping-particle":"","family":"Wang","given":"Dao Wen","non-dropping-particle":"","parse-names":false,"suffix":""},{"dropping-particle":"","family":"Han","given":"Yaling","non-dropping-particle":"","parse-names":false,"suffix":""},{"dropping-particle":"","family":"Lewis","given":"David B.","non-dropping-particle":"","parse-names":false,"suffix":""},{"dropping-particle":"","family":"Wu","given":"Joseph C","non-dropping-particle":"","parse-names":false,"suffix":""}],"container-title":"Nature Reviews Cardiology","id":"ITEM-1","issue":"9","issued":{"date-parts":[["2020","9","20"]]},"page":"543-558","publisher":"Springer US","title":"COVID-19 and cardiovascular disease: from basic mechanisms to clinical perspectives","type":"article-journal","volume":"17"},"uris":["http://www.mendeley.com/documents/?uuid=8fba80af-820c-48dc-9087-1faea5833470"]},{"id":"ITEM-2","itemData":{"DOI":"10.1038/s41584-020-00562-2","ISSN":"17594804","PMID":"33339986","author":[{"dropping-particle":"","family":"Hyrich","given":"Kimme L.","non-dropping-particle":"","parse-names":false,"suffix":""},{"dropping-particle":"","family":"Machado","given":"Pedro M.","non-dropping-particle":"","parse-names":false,"suffix":""}],"container-title":"Nature Reviews Rheumatology","id":"ITEM-2","issue":"2","issued":{"date-parts":[["2021"]]},"page":"71-72","title":"Rheumatic disease and COVID-19: epidemiology and outcomes","type":"article-journal","volume":"17"},"uris":["http://www.mendeley.com/documents/?uuid=1c839b93-23c7-4a75-93dc-f9d2f1817ef6"]}],"mendeley":{"formattedCitation":"(Hyrich and Machado, 2021; Nishiga et al., 2020)","plainTextFormattedCitation":"(Hyrich and Machado, 2021; Nishiga et al., 2020)","previouslyFormattedCitation":"(Hyrich and Machado, 2021; Nishiga et al., 2020)"},"properties":{"noteIndex":0},"schema":"https://github.com/citation-style-language/schema/raw/master/csl-citation.json"}</w:instrText>
      </w:r>
      <w:r w:rsidR="00DC692D">
        <w:rPr>
          <w:lang w:eastAsia="en-GB"/>
        </w:rPr>
        <w:fldChar w:fldCharType="separate"/>
      </w:r>
      <w:r w:rsidR="00DC692D" w:rsidRPr="00DC692D">
        <w:rPr>
          <w:noProof/>
          <w:lang w:eastAsia="en-GB"/>
        </w:rPr>
        <w:t>(Hyrich and Machado, 2021; Nishiga et al., 2020)</w:t>
      </w:r>
      <w:r w:rsidR="00DC692D">
        <w:rPr>
          <w:lang w:eastAsia="en-GB"/>
        </w:rPr>
        <w:fldChar w:fldCharType="end"/>
      </w:r>
      <w:r w:rsidR="0029106B">
        <w:rPr>
          <w:lang w:eastAsia="en-GB"/>
        </w:rPr>
        <w:t>. Taken together</w:t>
      </w:r>
      <w:r w:rsidR="00A909B8">
        <w:rPr>
          <w:lang w:eastAsia="en-GB"/>
        </w:rPr>
        <w:t>,</w:t>
      </w:r>
      <w:r w:rsidR="00CF3EAF">
        <w:rPr>
          <w:lang w:eastAsia="en-GB"/>
        </w:rPr>
        <w:t xml:space="preserve"> </w:t>
      </w:r>
      <w:r w:rsidR="002A0D1F">
        <w:rPr>
          <w:lang w:eastAsia="en-GB"/>
        </w:rPr>
        <w:t xml:space="preserve">this evidence </w:t>
      </w:r>
      <w:r w:rsidR="00CF3EAF">
        <w:rPr>
          <w:lang w:eastAsia="en-GB"/>
        </w:rPr>
        <w:t>su</w:t>
      </w:r>
      <w:r w:rsidR="0029106B">
        <w:rPr>
          <w:lang w:eastAsia="en-GB"/>
        </w:rPr>
        <w:t>pport</w:t>
      </w:r>
      <w:r w:rsidR="00A50998">
        <w:rPr>
          <w:lang w:eastAsia="en-GB"/>
        </w:rPr>
        <w:t>s</w:t>
      </w:r>
      <w:r w:rsidR="0029106B">
        <w:rPr>
          <w:lang w:eastAsia="en-GB"/>
        </w:rPr>
        <w:t xml:space="preserve"> </w:t>
      </w:r>
      <w:r w:rsidR="00CF3EAF">
        <w:rPr>
          <w:lang w:eastAsia="en-GB"/>
        </w:rPr>
        <w:t xml:space="preserve">a </w:t>
      </w:r>
      <w:r w:rsidR="0029106B">
        <w:rPr>
          <w:lang w:eastAsia="en-GB"/>
        </w:rPr>
        <w:t xml:space="preserve">potential </w:t>
      </w:r>
      <w:r w:rsidR="00CF3EAF">
        <w:rPr>
          <w:lang w:eastAsia="en-GB"/>
        </w:rPr>
        <w:t xml:space="preserve">neuroimmune </w:t>
      </w:r>
      <w:r w:rsidR="00AA79B3">
        <w:rPr>
          <w:lang w:eastAsia="en-GB"/>
        </w:rPr>
        <w:t xml:space="preserve">basis </w:t>
      </w:r>
      <w:r w:rsidR="0029106B">
        <w:rPr>
          <w:lang w:eastAsia="en-GB"/>
        </w:rPr>
        <w:t xml:space="preserve">for long-term neuropsychiatric </w:t>
      </w:r>
      <w:r w:rsidR="00CF3EAF">
        <w:rPr>
          <w:lang w:eastAsia="en-GB"/>
        </w:rPr>
        <w:t xml:space="preserve">symptoms </w:t>
      </w:r>
      <w:r w:rsidR="0029106B">
        <w:rPr>
          <w:lang w:eastAsia="en-GB"/>
        </w:rPr>
        <w:t xml:space="preserve">of </w:t>
      </w:r>
      <w:r w:rsidR="00CF3EAF">
        <w:rPr>
          <w:lang w:eastAsia="en-GB"/>
        </w:rPr>
        <w:t>COVID</w:t>
      </w:r>
      <w:r w:rsidR="0029106B">
        <w:rPr>
          <w:lang w:eastAsia="en-GB"/>
        </w:rPr>
        <w:t>-19</w:t>
      </w:r>
      <w:r w:rsidR="0087283F">
        <w:rPr>
          <w:lang w:eastAsia="en-GB"/>
        </w:rPr>
        <w:t xml:space="preserve"> </w:t>
      </w:r>
      <w:r w:rsidR="00B86FA5">
        <w:rPr>
          <w:lang w:eastAsia="en-GB"/>
        </w:rPr>
        <w:t xml:space="preserve">potentially </w:t>
      </w:r>
      <w:r w:rsidR="0087283F">
        <w:rPr>
          <w:lang w:eastAsia="en-GB"/>
        </w:rPr>
        <w:t>mediated by inflammatory cytokines such as IL-6</w:t>
      </w:r>
      <w:r w:rsidR="008A1542">
        <w:rPr>
          <w:lang w:eastAsia="en-GB"/>
        </w:rPr>
        <w:t>.</w:t>
      </w:r>
      <w:r w:rsidR="004D1933" w:rsidRPr="004D1933">
        <w:rPr>
          <w:lang w:eastAsia="en-GB"/>
        </w:rPr>
        <w:t xml:space="preserve"> </w:t>
      </w:r>
      <w:r w:rsidR="004D1933">
        <w:rPr>
          <w:lang w:eastAsia="en-GB"/>
        </w:rPr>
        <w:t>A better understanding of th</w:t>
      </w:r>
      <w:r w:rsidR="00066A3C">
        <w:rPr>
          <w:lang w:eastAsia="en-GB"/>
        </w:rPr>
        <w:t>is</w:t>
      </w:r>
      <w:r w:rsidR="004D1933">
        <w:rPr>
          <w:lang w:eastAsia="en-GB"/>
        </w:rPr>
        <w:t xml:space="preserve"> </w:t>
      </w:r>
      <w:r w:rsidR="004D1933">
        <w:rPr>
          <w:lang w:eastAsia="en-GB"/>
        </w:rPr>
        <w:lastRenderedPageBreak/>
        <w:t xml:space="preserve">neuroimmune basis may lead to </w:t>
      </w:r>
      <w:r w:rsidR="00B86FA5">
        <w:rPr>
          <w:lang w:eastAsia="en-GB"/>
        </w:rPr>
        <w:t xml:space="preserve">new approaches for </w:t>
      </w:r>
      <w:r w:rsidR="004D1933">
        <w:rPr>
          <w:lang w:eastAsia="en-GB"/>
        </w:rPr>
        <w:t xml:space="preserve">treatment and prevention </w:t>
      </w:r>
      <w:r w:rsidR="007C1D1C">
        <w:rPr>
          <w:lang w:eastAsia="en-GB"/>
        </w:rPr>
        <w:t>o</w:t>
      </w:r>
      <w:r w:rsidR="00066A3C">
        <w:rPr>
          <w:lang w:eastAsia="en-GB"/>
        </w:rPr>
        <w:t xml:space="preserve">f long-term symptoms of COVID-19 </w:t>
      </w:r>
      <w:r w:rsidR="004D1933">
        <w:rPr>
          <w:lang w:eastAsia="en-GB"/>
        </w:rPr>
        <w:fldChar w:fldCharType="begin" w:fldLock="1"/>
      </w:r>
      <w:r w:rsidR="004D1933">
        <w:rPr>
          <w:lang w:eastAsia="en-GB"/>
        </w:rPr>
        <w:instrText>ADDIN CSL_CITATION {"citationItems":[{"id":"ITEM-1","itemData":{"DOI":"10.1093/oxfimm/iqab004","author":[{"dropping-particle":"","family":"Mondelli","given":"Valeria","non-dropping-particle":"","parse-names":false,"suffix":""},{"dropping-particle":"","family":"Pariante","given":"Carmine M","non-dropping-particle":"","parse-names":false,"suffix":""}],"container-title":"Oxford Open Immunology","id":"ITEM-1","issue":"December 2020","issued":{"date-parts":[["2021"]]},"page":"1-5","title":"What can neuroimmunology teach us about the symptoms of long-COVID?","type":"article-journal","volume":"2"},"uris":["http://www.mendeley.com/documents/?uuid=1980640d-4ff0-4e5a-b359-1ac8a0a6a713"]}],"mendeley":{"formattedCitation":"(Mondelli and Pariante, 2021)","plainTextFormattedCitation":"(Mondelli and Pariante, 2021)","previouslyFormattedCitation":"(Mondelli and Pariante, 2021)"},"properties":{"noteIndex":0},"schema":"https://github.com/citation-style-language/schema/raw/master/csl-citation.json"}</w:instrText>
      </w:r>
      <w:r w:rsidR="004D1933">
        <w:rPr>
          <w:lang w:eastAsia="en-GB"/>
        </w:rPr>
        <w:fldChar w:fldCharType="separate"/>
      </w:r>
      <w:r w:rsidR="004D1933" w:rsidRPr="0063592C">
        <w:rPr>
          <w:noProof/>
          <w:lang w:eastAsia="en-GB"/>
        </w:rPr>
        <w:t>(Mondelli and Pariante, 2021)</w:t>
      </w:r>
      <w:r w:rsidR="004D1933">
        <w:rPr>
          <w:lang w:eastAsia="en-GB"/>
        </w:rPr>
        <w:fldChar w:fldCharType="end"/>
      </w:r>
      <w:r w:rsidR="004D1933">
        <w:rPr>
          <w:lang w:eastAsia="en-GB"/>
        </w:rPr>
        <w:t xml:space="preserve">. </w:t>
      </w:r>
    </w:p>
    <w:p w14:paraId="007DD643" w14:textId="7AA48326" w:rsidR="006C1308" w:rsidRPr="008A1542" w:rsidRDefault="001C6159" w:rsidP="0045005E">
      <w:pPr>
        <w:pStyle w:val="Heading2"/>
        <w:rPr>
          <w:lang w:eastAsia="en-GB"/>
        </w:rPr>
      </w:pPr>
      <w:r>
        <w:rPr>
          <w:lang w:eastAsia="en-GB"/>
        </w:rPr>
        <w:t xml:space="preserve">The </w:t>
      </w:r>
      <w:r w:rsidR="00C870B3">
        <w:rPr>
          <w:lang w:eastAsia="en-GB"/>
        </w:rPr>
        <w:t>i</w:t>
      </w:r>
      <w:r>
        <w:rPr>
          <w:lang w:eastAsia="en-GB"/>
        </w:rPr>
        <w:t xml:space="preserve">mmune </w:t>
      </w:r>
      <w:r w:rsidR="00C870B3">
        <w:rPr>
          <w:lang w:eastAsia="en-GB"/>
        </w:rPr>
        <w:t>s</w:t>
      </w:r>
      <w:r>
        <w:rPr>
          <w:lang w:eastAsia="en-GB"/>
        </w:rPr>
        <w:t xml:space="preserve">ignature of </w:t>
      </w:r>
      <w:r w:rsidR="006C1308">
        <w:rPr>
          <w:lang w:eastAsia="en-GB"/>
        </w:rPr>
        <w:t>COVID-19 and long COVID</w:t>
      </w:r>
    </w:p>
    <w:p w14:paraId="75F33373" w14:textId="2935F060" w:rsidR="004F017F" w:rsidRDefault="005E38D5">
      <w:pPr>
        <w:rPr>
          <w:lang w:eastAsia="en-GB"/>
        </w:rPr>
      </w:pPr>
      <w:r w:rsidRPr="00EE2803">
        <w:rPr>
          <w:rFonts w:cs="Times New Roman"/>
          <w:noProof/>
          <w:szCs w:val="24"/>
        </w:rPr>
        <w:t>SARS-CoV-2</w:t>
      </w:r>
      <w:r>
        <w:rPr>
          <w:rFonts w:cs="Times New Roman"/>
          <w:noProof/>
          <w:szCs w:val="24"/>
        </w:rPr>
        <w:t xml:space="preserve"> enters the body primarily through nasal cavity and pulmonary alveoli</w:t>
      </w:r>
      <w:r>
        <w:rPr>
          <w:lang w:eastAsia="en-GB"/>
        </w:rPr>
        <w:t xml:space="preserve"> </w:t>
      </w:r>
      <w:r w:rsidR="00376F58">
        <w:rPr>
          <w:lang w:eastAsia="en-GB"/>
        </w:rPr>
        <w:t>where</w:t>
      </w:r>
      <w:r>
        <w:rPr>
          <w:lang w:eastAsia="en-GB"/>
        </w:rPr>
        <w:t xml:space="preserve"> cellular infection triggers inflammatory and type I interferon-mediated antiviral responses </w:t>
      </w:r>
      <w:r>
        <w:rPr>
          <w:lang w:eastAsia="en-GB"/>
        </w:rPr>
        <w:fldChar w:fldCharType="begin" w:fldLock="1"/>
      </w:r>
      <w:r w:rsidR="00F9714E">
        <w:rPr>
          <w:lang w:eastAsia="en-GB"/>
        </w:rPr>
        <w:instrText>ADDIN CSL_CITATION {"citationItems":[{"id":"ITEM-1","itemData":{"DOI":"10.1016/j.cell.2021.02.029","ISSN":"00928674","PMID":"33743212","abstract":"The introduction of severe acute respiratory syndrome coronavirus 2 (SARS-CoV-2) into the human population represents a tremendous medical and economic crisis. Innate immunity-as the first line of defense of our immune system-plays a central role in combating this novel virus. Here, we provide a conceptual framework for the interaction of the human innate immune system with SARS-CoV-2 to link the clinical observations with experimental findings that have been made during the first year of the pandemic. We review evidence that variability in innate immune system components among humans is a main contributor to the heterogeneous disease courses observed for coronavirus disease 2019 (COVID-19), the disease spectrum induced by SARS-CoV-2. A better understanding of the pathophysiological mechanisms observed for cells and soluble mediators involved in innate immunity is a prerequisite for the development of diagnostic markers and therapeutic strategies targeting COVID-19. However, this will also require additional studies addressing causality of events, which so far are lagging behind.","author":[{"dropping-particle":"","family":"Schultze","given":"Joachim L.","non-dropping-particle":"","parse-names":false,"suffix":""},{"dropping-particle":"","family":"Aschenbrenner","given":"Anna C.","non-dropping-particle":"","parse-names":false,"suffix":""}],"container-title":"Cell","id":"ITEM-1","issue":"7","issued":{"date-parts":[["2021"]]},"page":"1671-1692","publisher":"Elsevier Inc.","title":"COVID-19 and the human innate immune system","type":"article-journal","volume":"184"},"uris":["http://www.mendeley.com/documents/?uuid=6f95a7d1-d4da-47d2-91f5-03b60f5288dc"]}],"mendeley":{"formattedCitation":"(Schultze and Aschenbrenner, 2021)","plainTextFormattedCitation":"(Schultze and Aschenbrenner, 2021)","previouslyFormattedCitation":"(Schultze and Aschenbrenner, 2021)"},"properties":{"noteIndex":0},"schema":"https://github.com/citation-style-language/schema/raw/master/csl-citation.json"}</w:instrText>
      </w:r>
      <w:r>
        <w:rPr>
          <w:lang w:eastAsia="en-GB"/>
        </w:rPr>
        <w:fldChar w:fldCharType="separate"/>
      </w:r>
      <w:r w:rsidRPr="005E38D5">
        <w:rPr>
          <w:noProof/>
          <w:lang w:eastAsia="en-GB"/>
        </w:rPr>
        <w:t>(Schultze and Aschenbrenner, 2021)</w:t>
      </w:r>
      <w:r>
        <w:rPr>
          <w:lang w:eastAsia="en-GB"/>
        </w:rPr>
        <w:fldChar w:fldCharType="end"/>
      </w:r>
      <w:r>
        <w:rPr>
          <w:lang w:eastAsia="en-GB"/>
        </w:rPr>
        <w:t xml:space="preserve">. </w:t>
      </w:r>
      <w:r w:rsidR="00F9714E">
        <w:rPr>
          <w:lang w:eastAsia="en-GB"/>
        </w:rPr>
        <w:t xml:space="preserve">In turn, adaptive immunity </w:t>
      </w:r>
      <w:r w:rsidR="004746A4">
        <w:rPr>
          <w:lang w:eastAsia="en-GB"/>
        </w:rPr>
        <w:t xml:space="preserve">develops following antigen-presentation of </w:t>
      </w:r>
      <w:r w:rsidR="00F9714E">
        <w:rPr>
          <w:lang w:eastAsia="en-GB"/>
        </w:rPr>
        <w:t xml:space="preserve">SARS-CoV-2 Spike and other </w:t>
      </w:r>
      <w:r w:rsidR="004746A4">
        <w:rPr>
          <w:lang w:eastAsia="en-GB"/>
        </w:rPr>
        <w:t xml:space="preserve">proteins leading to production of virus-specific neutralizing antibodies and </w:t>
      </w:r>
      <w:r w:rsidR="002D4DEE" w:rsidRPr="00E30BE2">
        <w:rPr>
          <w:lang w:eastAsia="en-GB"/>
        </w:rPr>
        <w:t>activation of</w:t>
      </w:r>
      <w:r w:rsidR="002D4DEE">
        <w:rPr>
          <w:lang w:eastAsia="en-GB"/>
        </w:rPr>
        <w:t xml:space="preserve"> </w:t>
      </w:r>
      <w:r w:rsidR="004746A4">
        <w:rPr>
          <w:lang w:eastAsia="en-GB"/>
        </w:rPr>
        <w:t>CD4</w:t>
      </w:r>
      <w:r w:rsidR="004746A4" w:rsidRPr="004746A4">
        <w:rPr>
          <w:vertAlign w:val="superscript"/>
          <w:lang w:eastAsia="en-GB"/>
        </w:rPr>
        <w:t>+</w:t>
      </w:r>
      <w:r w:rsidR="004746A4">
        <w:rPr>
          <w:lang w:eastAsia="en-GB"/>
        </w:rPr>
        <w:t xml:space="preserve"> and CD8</w:t>
      </w:r>
      <w:r w:rsidR="004746A4" w:rsidRPr="004746A4">
        <w:rPr>
          <w:vertAlign w:val="superscript"/>
          <w:lang w:eastAsia="en-GB"/>
        </w:rPr>
        <w:t>+</w:t>
      </w:r>
      <w:r w:rsidR="004746A4">
        <w:rPr>
          <w:lang w:eastAsia="en-GB"/>
        </w:rPr>
        <w:t xml:space="preserve"> T cells</w:t>
      </w:r>
      <w:r w:rsidR="00F9714E">
        <w:rPr>
          <w:lang w:eastAsia="en-GB"/>
        </w:rPr>
        <w:t xml:space="preserve"> </w:t>
      </w:r>
      <w:r w:rsidR="00F9714E">
        <w:rPr>
          <w:lang w:eastAsia="en-GB"/>
        </w:rPr>
        <w:fldChar w:fldCharType="begin" w:fldLock="1"/>
      </w:r>
      <w:r w:rsidR="00392865">
        <w:rPr>
          <w:lang w:eastAsia="en-GB"/>
        </w:rPr>
        <w:instrText>ADDIN CSL_CITATION {"citationItems":[{"id":"ITEM-1","itemData":{"DOI":"10.1016/j.cell.2021.01.007","ISSN":"00928674","PMID":"33497610","abstract":"The adaptive immune system is important for control of most viral infections. The three fundamental components of the adaptive immune system are B cells (the source of antibodies), CD4+ T cells, and CD8+ T cells. The armamentarium of B cells, CD4+ T cells, and CD8+ T cells has differing roles in different viral infections and in vaccines, and thus it is critical to directly study adaptive immunity to SARS-CoV-2 to understand COVID-19. Knowledge is now available on relationships between antigen-specific immune responses and SARS-CoV-2 infection. Although more studies are needed, a picture has begun to emerge that reveals that CD4+ T cells, CD8+ T cells, and neutralizing antibodies all contribute to control of SARS-CoV-2 in both non-hospitalized and hospitalized cases of COVID-19. The specific functions and kinetics of these adaptive immune responses are discussed, as well as their interplay with innate immunity and implications for COVID-19 vaccines and immune memory against re-infection.","author":[{"dropping-particle":"","family":"Sette","given":"Alessandro","non-dropping-particle":"","parse-names":false,"suffix":""},{"dropping-particle":"","family":"Crotty","given":"Shane","non-dropping-particle":"","parse-names":false,"suffix":""}],"container-title":"Cell","id":"ITEM-1","issue":"4","issued":{"date-parts":[["2021","2"]]},"page":"861-880","publisher":"Elsevier","title":"Adaptive immunity to SARS-CoV-2 and COVID-19","type":"article-journal","volume":"184"},"uris":["http://www.mendeley.com/documents/?uuid=5afa7d1f-dde2-43d4-a9b0-91e6df84750b"]}],"mendeley":{"formattedCitation":"(Sette and Crotty, 2021)","plainTextFormattedCitation":"(Sette and Crotty, 2021)","previouslyFormattedCitation":"(Sette and Crotty, 2021)"},"properties":{"noteIndex":0},"schema":"https://github.com/citation-style-language/schema/raw/master/csl-citation.json"}</w:instrText>
      </w:r>
      <w:r w:rsidR="00F9714E">
        <w:rPr>
          <w:lang w:eastAsia="en-GB"/>
        </w:rPr>
        <w:fldChar w:fldCharType="separate"/>
      </w:r>
      <w:r w:rsidR="00F9714E" w:rsidRPr="00F9714E">
        <w:rPr>
          <w:noProof/>
          <w:lang w:eastAsia="en-GB"/>
        </w:rPr>
        <w:t>(Sette and Crotty, 2021)</w:t>
      </w:r>
      <w:r w:rsidR="00F9714E">
        <w:rPr>
          <w:lang w:eastAsia="en-GB"/>
        </w:rPr>
        <w:fldChar w:fldCharType="end"/>
      </w:r>
      <w:r w:rsidR="00F9714E">
        <w:rPr>
          <w:lang w:eastAsia="en-GB"/>
        </w:rPr>
        <w:t xml:space="preserve">. </w:t>
      </w:r>
      <w:r w:rsidR="004746A4">
        <w:rPr>
          <w:lang w:eastAsia="en-GB"/>
        </w:rPr>
        <w:t xml:space="preserve">Clinically, asymptomatic and mild COVID-19 </w:t>
      </w:r>
      <w:r w:rsidR="009E30D6">
        <w:rPr>
          <w:lang w:eastAsia="en-GB"/>
        </w:rPr>
        <w:t>are</w:t>
      </w:r>
      <w:r w:rsidR="004746A4">
        <w:rPr>
          <w:lang w:eastAsia="en-GB"/>
        </w:rPr>
        <w:t xml:space="preserve"> thought to result from fast production of virus-specific antibodies and T cell responses</w:t>
      </w:r>
      <w:r w:rsidR="003B193F">
        <w:rPr>
          <w:lang w:eastAsia="en-GB"/>
        </w:rPr>
        <w:t xml:space="preserve"> while</w:t>
      </w:r>
      <w:r w:rsidR="00392865">
        <w:rPr>
          <w:lang w:eastAsia="en-GB"/>
        </w:rPr>
        <w:t xml:space="preserve"> severe disease is associated with delayed and unabated innate immune response</w:t>
      </w:r>
      <w:r w:rsidR="00C45A63">
        <w:rPr>
          <w:lang w:eastAsia="en-GB"/>
        </w:rPr>
        <w:t>,</w:t>
      </w:r>
      <w:r w:rsidR="00392865">
        <w:rPr>
          <w:lang w:eastAsia="en-GB"/>
        </w:rPr>
        <w:t xml:space="preserve"> deficient production of SARS-CoV-2-specific T cells</w:t>
      </w:r>
      <w:r w:rsidR="00C45A63">
        <w:rPr>
          <w:lang w:eastAsia="en-GB"/>
        </w:rPr>
        <w:t>, and direct</w:t>
      </w:r>
      <w:r w:rsidR="00392865">
        <w:rPr>
          <w:lang w:eastAsia="en-GB"/>
        </w:rPr>
        <w:t xml:space="preserve"> </w:t>
      </w:r>
      <w:r w:rsidR="00C45A63">
        <w:rPr>
          <w:lang w:eastAsia="en-GB"/>
        </w:rPr>
        <w:t xml:space="preserve">viral toxicity </w:t>
      </w:r>
      <w:r w:rsidR="00392865">
        <w:rPr>
          <w:lang w:eastAsia="en-GB"/>
        </w:rPr>
        <w:fldChar w:fldCharType="begin" w:fldLock="1"/>
      </w:r>
      <w:r w:rsidR="004F017F">
        <w:rPr>
          <w:lang w:eastAsia="en-GB"/>
        </w:rPr>
        <w:instrText>ADDIN CSL_CITATION {"citationItems":[{"id":"ITEM-1","itemData":{"DOI":"10.1016/j.cell.2021.01.007","ISSN":"00928674","PMID":"33497610","abstract":"The adaptive immune system is important for control of most viral infections. The three fundamental components of the adaptive immune system are B cells (the source of antibodies), CD4+ T cells, and CD8+ T cells. The armamentarium of B cells, CD4+ T cells, and CD8+ T cells has differing roles in different viral infections and in vaccines, and thus it is critical to directly study adaptive immunity to SARS-CoV-2 to understand COVID-19. Knowledge is now available on relationships between antigen-specific immune responses and SARS-CoV-2 infection. Although more studies are needed, a picture has begun to emerge that reveals that CD4+ T cells, CD8+ T cells, and neutralizing antibodies all contribute to control of SARS-CoV-2 in both non-hospitalized and hospitalized cases of COVID-19. The specific functions and kinetics of these adaptive immune responses are discussed, as well as their interplay with innate immunity and implications for COVID-19 vaccines and immune memory against re-infection.","author":[{"dropping-particle":"","family":"Sette","given":"Alessandro","non-dropping-particle":"","parse-names":false,"suffix":""},{"dropping-particle":"","family":"Crotty","given":"Shane","non-dropping-particle":"","parse-names":false,"suffix":""}],"container-title":"Cell","id":"ITEM-1","issue":"4","issued":{"date-parts":[["2021","2"]]},"page":"861-880","publisher":"Elsevier","title":"Adaptive immunity to SARS-CoV-2 and COVID-19","type":"article-journal","volume":"184"},"uris":["http://www.mendeley.com/documents/?uuid=5afa7d1f-dde2-43d4-a9b0-91e6df84750b"]}],"mendeley":{"formattedCitation":"(Sette and Crotty, 2021)","plainTextFormattedCitation":"(Sette and Crotty, 2021)","previouslyFormattedCitation":"(Sette and Crotty, 2021)"},"properties":{"noteIndex":0},"schema":"https://github.com/citation-style-language/schema/raw/master/csl-citation.json"}</w:instrText>
      </w:r>
      <w:r w:rsidR="00392865">
        <w:rPr>
          <w:lang w:eastAsia="en-GB"/>
        </w:rPr>
        <w:fldChar w:fldCharType="separate"/>
      </w:r>
      <w:r w:rsidR="00392865" w:rsidRPr="00392865">
        <w:rPr>
          <w:noProof/>
          <w:lang w:eastAsia="en-GB"/>
        </w:rPr>
        <w:t>(Sette and Crotty, 2021)</w:t>
      </w:r>
      <w:r w:rsidR="00392865">
        <w:rPr>
          <w:lang w:eastAsia="en-GB"/>
        </w:rPr>
        <w:fldChar w:fldCharType="end"/>
      </w:r>
      <w:r w:rsidR="00392865">
        <w:rPr>
          <w:lang w:eastAsia="en-GB"/>
        </w:rPr>
        <w:t>.</w:t>
      </w:r>
      <w:r w:rsidR="004746A4">
        <w:rPr>
          <w:lang w:eastAsia="en-GB"/>
        </w:rPr>
        <w:t xml:space="preserve"> </w:t>
      </w:r>
      <w:r w:rsidR="003D0534">
        <w:rPr>
          <w:lang w:eastAsia="en-GB"/>
        </w:rPr>
        <w:t>Studies have mainly characterised these</w:t>
      </w:r>
      <w:r w:rsidR="00392865">
        <w:rPr>
          <w:lang w:eastAsia="en-GB"/>
        </w:rPr>
        <w:t xml:space="preserve"> processes in patients with severe COVID-19</w:t>
      </w:r>
      <w:r w:rsidR="003D0534">
        <w:rPr>
          <w:lang w:eastAsia="en-GB"/>
        </w:rPr>
        <w:t>, wh</w:t>
      </w:r>
      <w:r w:rsidR="00D65F30">
        <w:rPr>
          <w:lang w:eastAsia="en-GB"/>
        </w:rPr>
        <w:t>o show</w:t>
      </w:r>
      <w:r w:rsidR="00392865">
        <w:rPr>
          <w:lang w:eastAsia="en-GB"/>
        </w:rPr>
        <w:t xml:space="preserve"> substantial immunological </w:t>
      </w:r>
      <w:r w:rsidR="004F017F">
        <w:rPr>
          <w:lang w:eastAsia="en-GB"/>
        </w:rPr>
        <w:t>diversity</w:t>
      </w:r>
      <w:r w:rsidR="00392865">
        <w:rPr>
          <w:lang w:eastAsia="en-GB"/>
        </w:rPr>
        <w:t xml:space="preserve"> </w:t>
      </w:r>
      <w:r w:rsidR="003D0534">
        <w:rPr>
          <w:lang w:eastAsia="en-GB"/>
        </w:rPr>
        <w:t>regarding</w:t>
      </w:r>
      <w:r w:rsidR="00392865">
        <w:rPr>
          <w:lang w:eastAsia="en-GB"/>
        </w:rPr>
        <w:t xml:space="preserve"> T cell dysregulation, dendritic and B cell composition, and </w:t>
      </w:r>
      <w:r w:rsidR="004F017F">
        <w:rPr>
          <w:lang w:eastAsia="en-GB"/>
        </w:rPr>
        <w:t xml:space="preserve">cytokine activity such as </w:t>
      </w:r>
      <w:r w:rsidR="00D65F30">
        <w:rPr>
          <w:lang w:eastAsia="en-GB"/>
        </w:rPr>
        <w:t xml:space="preserve">of </w:t>
      </w:r>
      <w:r w:rsidR="004F017F">
        <w:rPr>
          <w:lang w:eastAsia="en-GB"/>
        </w:rPr>
        <w:t>IL-6, IL-10, and i</w:t>
      </w:r>
      <w:r w:rsidR="004F017F" w:rsidRPr="004F017F">
        <w:rPr>
          <w:lang w:eastAsia="en-GB"/>
        </w:rPr>
        <w:t>nterferon</w:t>
      </w:r>
      <w:r w:rsidR="004F017F">
        <w:rPr>
          <w:lang w:eastAsia="en-GB"/>
        </w:rPr>
        <w:t>-</w:t>
      </w:r>
      <w:r w:rsidR="004F017F">
        <w:rPr>
          <w:rFonts w:cs="Times New Roman"/>
          <w:lang w:eastAsia="en-GB"/>
        </w:rPr>
        <w:t>γ</w:t>
      </w:r>
      <w:r w:rsidR="004F017F" w:rsidRPr="004F017F">
        <w:rPr>
          <w:lang w:eastAsia="en-GB"/>
        </w:rPr>
        <w:t>-induced protein</w:t>
      </w:r>
      <w:r w:rsidR="004F017F">
        <w:rPr>
          <w:lang w:eastAsia="en-GB"/>
        </w:rPr>
        <w:t xml:space="preserve"> (IP)-</w:t>
      </w:r>
      <w:r w:rsidR="004F017F" w:rsidRPr="004F017F">
        <w:rPr>
          <w:lang w:eastAsia="en-GB"/>
        </w:rPr>
        <w:t>10</w:t>
      </w:r>
      <w:r w:rsidR="004F017F">
        <w:rPr>
          <w:lang w:eastAsia="en-GB"/>
        </w:rPr>
        <w:t xml:space="preserve"> among others </w:t>
      </w:r>
      <w:r w:rsidR="004F017F">
        <w:rPr>
          <w:lang w:eastAsia="en-GB"/>
        </w:rPr>
        <w:fldChar w:fldCharType="begin" w:fldLock="1"/>
      </w:r>
      <w:r w:rsidR="00446FCE">
        <w:rPr>
          <w:lang w:eastAsia="en-GB"/>
        </w:rPr>
        <w:instrText>ADDIN CSL_CITATION {"citationItems":[{"id":"ITEM-1","itemData":{"DOI":"10.1016/j.cell.2021.02.029","ISSN":"00928674","PMID":"33743212","abstract":"The introduction of severe acute respiratory syndrome coronavirus 2 (SARS-CoV-2) into the human population represents a tremendous medical and economic crisis. Innate immunity-as the first line of defense of our immune system-plays a central role in combating this novel virus. Here, we provide a conceptual framework for the interaction of the human innate immune system with SARS-CoV-2 to link the clinical observations with experimental findings that have been made during the first year of the pandemic. We review evidence that variability in innate immune system components among humans is a main contributor to the heterogeneous disease courses observed for coronavirus disease 2019 (COVID-19), the disease spectrum induced by SARS-CoV-2. A better understanding of the pathophysiological mechanisms observed for cells and soluble mediators involved in innate immunity is a prerequisite for the development of diagnostic markers and therapeutic strategies targeting COVID-19. However, this will also require additional studies addressing causality of events, which so far are lagging behind.","author":[{"dropping-particle":"","family":"Schultze","given":"Joachim L.","non-dropping-particle":"","parse-names":false,"suffix":""},{"dropping-particle":"","family":"Aschenbrenner","given":"Anna C.","non-dropping-particle":"","parse-names":false,"suffix":""}],"container-title":"Cell","id":"ITEM-1","issue":"7","issued":{"date-parts":[["2021"]]},"page":"1671-1692","publisher":"Elsevier Inc.","title":"COVID-19 and the human innate immune system","type":"article-journal","volume":"184"},"uris":["http://www.mendeley.com/documents/?uuid=6f95a7d1-d4da-47d2-91f5-03b60f5288dc"]},{"id":"ITEM-2","itemData":{"DOI":"10.1038/s41591-020-1038-6","ISSN":"1078-8956","PMID":"32807934","abstract":"Improved understanding and management of COVID-19, a potentially life-threatening disease, could greatly reduce the threat posed by its etiologic agent, SARS-CoV-2. Toward this end, we have identified a core peripheral blood immune signature across 63 hospital-treated patients with COVID-19 who were otherwise highly heterogeneous. The signature includes discrete changes in B and myelomonocytic cell composition, profoundly altered T cell phenotypes, selective cytokine/chemokine upregulation and SARS-CoV-2-specific antibodies. Some signature traits identify links with other settings of immunoprotection and immunopathology; others, including basophil and plasmacytoid dendritic cell depletion, correlate strongly with disease severity; while a third set of traits, including a triad of IP-10, interleukin-10 and interleukin-6, anticipate subsequent clinical progression. Hence, contingent upon independent validation in other COVID-19 cohorts, individual traits within this signature may collectively and individually guide treatment options; offer insights into COVID-19 pathogenesis; and aid early, risk-based patient stratification that is particularly beneficial in phasic diseases such as COVID-19.","author":[{"dropping-particle":"","family":"Laing","given":"Adam G.","non-dropping-particle":"","parse-names":false,"suffix":""},{"dropping-particle":"","family":"Lorenc","given":"Anna","non-dropping-particle":"","parse-names":false,"suffix":""},{"dropping-particle":"","family":"Molino del Barrio","given":"Irene","non-dropping-particle":"del","parse-names":false,"suffix":""},{"dropping-particle":"","family":"Das","given":"Abhishek","non-dropping-particle":"","parse-names":false,"suffix":""},{"dropping-particle":"","family":"Fish","given":"Matthew","non-dropping-particle":"","parse-names":false,"suffix":""},{"dropping-particle":"","family":"Monin","given":"Leticia","non-dropping-particle":"","parse-names":false,"suffix":""},{"dropping-particle":"","family":"Muñoz-Ruiz","given":"Miguel","non-dropping-particle":"","parse-names":false,"suffix":""},{"dropping-particle":"","family":"McKenzie","given":"Duncan R.","non-dropping-particle":"","parse-names":false,"suffix":""},{"dropping-particle":"","family":"Hayday","given":"Thomas S.","non-dropping-particle":"","parse-names":false,"suffix":""},{"dropping-particle":"","family":"Francos-Quijorna","given":"Isaac","non-dropping-particle":"","parse-names":false,"suffix":""},{"dropping-particle":"","family":"Kamdar","given":"Shraddha","non-dropping-particle":"","parse-names":false,"suffix":""},{"dropping-particle":"","family":"Joseph","given":"Magdalene","non-dropping-particle":"","parse-names":false,"suffix":""},{"dropping-particle":"","family":"Davies","given":"Daniel","non-dropping-particle":"","parse-names":false,"suffix":""},{"dropping-particle":"","family":"Davis","given":"Richard","non-dropping-particle":"","parse-names":false,"suffix":""},{"dropping-particle":"","family":"Jennings","given":"Aislinn","non-dropping-particle":"","parse-names":false,"suffix":""},{"dropping-particle":"","family":"Zlatareva","given":"Iva","non-dropping-particle":"","parse-names":false,"suffix":""},{"dropping-particle":"","family":"Vantourout","given":"Pierre","non-dropping-particle":"","parse-names":false,"suffix":""},{"dropping-particle":"","family":"Wu","given":"Yin","non-dropping-particle":"","parse-names":false,"suffix":""},{"dropping-particle":"","family":"Sofra","given":"Vasiliki","non-dropping-particle":"","parse-names":false,"suffix":""},{"dropping-particle":"","family":"Cano","given":"Florencia","non-dropping-particle":"","parse-names":false,"suffix":""},{"dropping-particle":"","family":"Greco","given":"Maria","non-dropping-particle":"","parse-names":false,"suffix":""},{"dropping-particle":"","family":"Theodoridis","given":"Efstathios","non-dropping-particle":"","parse-names":false,"suffix":""},{"dropping-particle":"","family":"Freedman","given":"Joshua D.","non-dropping-particle":"","parse-names":false,"suffix":""},{"dropping-particle":"","family":"Gee","given":"Sarah","non-dropping-particle":"","parse-names":false,"suffix":""},{"dropping-particle":"","family":"Chan","given":"Julie Nuo En","non-dropping-particle":"","parse-names":false,"suffix":""},{"dropping-particle":"","family":"Ryan","given":"Sarah","non-dropping-particle":"","parse-names":false,"suffix":""},{"dropping-particle":"","family":"Bugallo-Blanco","given":"Eva","non-dropping-particle":"","parse-names":false,"suffix":""},{"dropping-particle":"","family":"Peterson","given":"Pärt","non-dropping-particle":"","parse-names":false,"suffix":""},{"dropping-particle":"","family":"Kisand","given":"Kai","non-dropping-particle":"","parse-names":false,"suffix":""},{"dropping-particle":"","family":"Haljasmägi","given":"Liis","non-dropping-particle":"","parse-names":false,"suffix":""},{"dropping-particle":"","family":"Chadli","given":"Loubna","non-dropping-particle":"","parse-names":false,"suffix":""},{"dropping-particle":"","family":"Moingeon","given":"Philippe","non-dropping-particle":"","parse-names":false,"suffix":""},{"dropping-particle":"","family":"Martinez","given":"Lauren","non-dropping-particle":"","parse-names":false,"suffix":""},{"dropping-particle":"","family":"Merrick","given":"Blair","non-dropping-particle":"","parse-names":false,"suffix":""},{"dropping-particle":"","family":"Bisnauthsing","given":"Karen","non-dropping-particle":"","parse-names":false,"suffix":""},{"dropping-particle":"","family":"Brooks","given":"Kate","non-dropping-particle":"","parse-names":false,"suffix":""},{"dropping-particle":"","family":"Ibrahim","given":"Mohammad A. A.","non-dropping-particle":"","parse-names":false,"suffix":""},{"dropping-particle":"","family":"Mason","given":"Jeremy","non-dropping-particle":"","parse-names":false,"suffix":""},{"dropping-particle":"","family":"Lopez Gomez","given":"Federico","non-dropping-particle":"","parse-names":false,"suffix":""},{"dropping-particle":"","family":"Babalola","given":"Kola","non-dropping-particle":"","parse-names":false,"suffix":""},{"dropping-particle":"","family":"Abdul-Jawad","given":"Sultan","non-dropping-particle":"","parse-names":false,"suffix":""},{"dropping-particle":"","family":"Cason","given":"John","non-dropping-particle":"","parse-names":false,"suffix":""},{"dropping-particle":"","family":"Mant","given":"Christine","non-dropping-particle":"","parse-names":false,"suffix":""},{"dropping-particle":"","family":"Seow","given":"Jeffrey","non-dropping-particle":"","parse-names":false,"suffix":""},{"dropping-particle":"","family":"Graham","given":"Carl","non-dropping-particle":"","parse-names":false,"suffix":""},{"dropping-particle":"","family":"Doores","given":"Katie J.","non-dropping-particle":"","parse-names":false,"suffix":""},{"dropping-particle":"","family":"Rosa","given":"Francesca","non-dropping-particle":"Di","parse-names":false,"suffix":""},{"dropping-particle":"","family":"Edgeworth","given":"Jonathan","non-dropping-particle":"","parse-names":false,"suffix":""},{"dropping-particle":"","family":"Shankar-Hari","given":"Manu","non-dropping-particle":"","parse-names":false,"suffix":""},{"dropping-particle":"","family":"Hayday","given":"Adrian C.","non-dropping-particle":"","parse-names":false,"suffix":""}],"container-title":"Nature Medicine","id":"ITEM-2","issue":"10","issued":{"date-parts":[["2020","10","17"]]},"page":"1623-1635","title":"A dynamic COVID-19 immune signature includes associations with poor prognosis","type":"article-journal","volume":"26"},"uris":["http://www.mendeley.com/documents/?uuid=2aaeb96e-38d0-4300-9952-5971a1a5b731"]},{"id":"ITEM-3","itemData":{"DOI":"10.1126/science.abc8511","ISSN":"0036-8075","PMID":"32511371","abstract":"COVID-19 is currently a global pandemic, but human immune responses to the virus remain poorly understood. We analyzed 125 COVID-19 patients, and compared recovered to healthy individuals using high dimensional cytometry. Integrated analysis of ~200 immune and ~50 clinical features revealed activation of T cell and B cell subsets in a proportion of patients. A subgroup of patients had T cell activation characteristic of acute viral infection and plasmablast responses reaching &gt;30% of circulating B cells. However, another subgroup had lymphocyte activation comparable to uninfected subjects. Stable versus dynamic immunological signatures were identified and linked to trajectories of disease severity change. These analyses identified three “immunotypes” associated with poor clinical trajectories versus improving health. These immunotypes may have implications for the design of therapeutics and vaccines for COVID-19.","author":[{"dropping-particle":"","family":"Mathew","given":"Divij","non-dropping-particle":"","parse-names":false,"suffix":""},{"dropping-particle":"","family":"Giles","given":"Josephine R","non-dropping-particle":"","parse-names":false,"suffix":""},{"dropping-particle":"","family":"Baxter","given":"Amy E","non-dropping-particle":"","parse-names":false,"suffix":""},{"dropping-particle":"","family":"Oldridge","given":"Derek A","non-dropping-particle":"","parse-names":false,"suffix":""},{"dropping-particle":"","family":"Greenplate","given":"Allison R","non-dropping-particle":"","parse-names":false,"suffix":""},{"dropping-particle":"","family":"Wu","given":"Jennifer E","non-dropping-particle":"","parse-names":false,"suffix":""},{"dropping-particle":"","family":"Alanio","given":"Cécile","non-dropping-particle":"","parse-names":false,"suffix":""},{"dropping-particle":"","family":"Kuri-Cervantes","given":"Leticia","non-dropping-particle":"","parse-names":false,"suffix":""},{"dropping-particle":"","family":"Pampena","given":"M Betina","non-dropping-particle":"","parse-names":false,"suffix":""},{"dropping-particle":"","family":"D’Andrea","given":"Kurt","non-dropping-particle":"","parse-names":false,"suffix":""},{"dropping-particle":"","family":"Manne","given":"Sasikanth","non-dropping-particle":"","parse-names":false,"suffix":""},{"dropping-particle":"","family":"Chen","given":"Zeyu","non-dropping-particle":"","parse-names":false,"suffix":""},{"dropping-particle":"","family":"Huang","given":"Yinghui Jane","non-dropping-particle":"","parse-names":false,"suffix":""},{"dropping-particle":"","family":"Reilly","given":"John P","non-dropping-particle":"","parse-names":false,"suffix":""},{"dropping-particle":"","family":"Weisman","given":"Ariel R","non-dropping-particle":"","parse-names":false,"suffix":""},{"dropping-particle":"","family":"Ittner","given":"Caroline A G","non-dropping-particle":"","parse-names":false,"suffix":""},{"dropping-particle":"","family":"Kuthuru","given":"Oliva","non-dropping-particle":"","parse-names":false,"suffix":""},{"dropping-particle":"","family":"Dougherty","given":"Jeanette","non-dropping-particle":"","parse-names":false,"suffix":""},{"dropping-particle":"","family":"Nzingha","given":"Kito","non-dropping-particle":"","parse-names":false,"suffix":""},{"dropping-particle":"","family":"Han","given":"Nicholas","non-dropping-particle":"","parse-names":false,"suffix":""},{"dropping-particle":"","family":"Kim","given":"Justin","non-dropping-particle":"","parse-names":false,"suffix":""},{"dropping-particle":"","family":"Pattekar","given":"Ajinkya","non-dropping-particle":"","parse-names":false,"suffix":""},{"dropping-particle":"","family":"Goodwin","given":"Eileen C","non-dropping-particle":"","parse-names":false,"suffix":""},{"dropping-particle":"","family":"Anderson","given":"Elizabeth M","non-dropping-particle":"","parse-names":false,"suffix":""},{"dropping-particle":"","family":"Weirick","given":"Madison E","non-dropping-particle":"","parse-names":false,"suffix":""},{"dropping-particle":"","family":"Gouma","given":"Sigrid","non-dropping-particle":"","parse-names":false,"suffix":""},{"dropping-particle":"","family":"Arevalo","given":"Claudia P","non-dropping-particle":"","parse-names":false,"suffix":""},{"dropping-particle":"","family":"Bolton","given":"Marcus J","non-dropping-particle":"","parse-names":false,"suffix":""},{"dropping-particle":"","family":"Chen","given":"Fang","non-dropping-particle":"","parse-names":false,"suffix":""},{"dropping-particle":"","family":"Lacey","given":"Simon F","non-dropping-particle":"","parse-names":false,"suffix":""},{"dropping-particle":"","family":"Ramage","given":"Holly","non-dropping-particle":"","parse-names":false,"suffix":""},{"dropping-particle":"","family":"Cherry","given":"Sara","non-dropping-particle":"","parse-names":false,"suffix":""},{"dropping-particle":"","family":"Hensley","given":"Scott E","non-dropping-particle":"","parse-names":false,"suffix":""},{"dropping-particle":"","family":"Apostolidis","given":"Sokratis A.","non-dropping-particle":"","parse-names":false,"suffix":""},{"dropping-particle":"","family":"Huang","given":"Alexander C","non-dropping-particle":"","parse-names":false,"suffix":""},{"dropping-particle":"","family":"Vella","given":"Laura A","non-dropping-particle":"","parse-names":false,"suffix":""},{"dropping-particle":"","family":"Betts","given":"Michael R","non-dropping-particle":"","parse-names":false,"suffix":""},{"dropping-particle":"","family":"Meyer","given":"Nuala J","non-dropping-particle":"","parse-names":false,"suffix":""},{"dropping-particle":"","family":"Wherry","given":"E John","non-dropping-particle":"","parse-names":false,"suffix":""}],"container-title":"Science","id":"ITEM-3","issued":{"date-parts":[["2020","7","15"]]},"page":"eabc8511","title":"Deep immune profiling of COVID-19 patients reveals distinct immunotypes with therapeutic implications","type":"article-journal","volume":"8511"},"uris":["http://www.mendeley.com/documents/?uuid=712891e8-be13-4012-8511-b2764d276984"]}],"mendeley":{"formattedCitation":"(Laing et al., 2020; Mathew et al., 2020; Schultze and Aschenbrenner, 2021)","plainTextFormattedCitation":"(Laing et al., 2020; Mathew et al., 2020; Schultze and Aschenbrenner, 2021)","previouslyFormattedCitation":"(Laing et al., 2020; Mathew et al., 2020; Schultze and Aschenbrenner, 2021)"},"properties":{"noteIndex":0},"schema":"https://github.com/citation-style-language/schema/raw/master/csl-citation.json"}</w:instrText>
      </w:r>
      <w:r w:rsidR="004F017F">
        <w:rPr>
          <w:lang w:eastAsia="en-GB"/>
        </w:rPr>
        <w:fldChar w:fldCharType="separate"/>
      </w:r>
      <w:r w:rsidR="004F017F" w:rsidRPr="004F017F">
        <w:rPr>
          <w:noProof/>
          <w:lang w:eastAsia="en-GB"/>
        </w:rPr>
        <w:t>(Laing et al., 2020; Mathew et al., 2020; Schultze and Aschenbrenner, 2021)</w:t>
      </w:r>
      <w:r w:rsidR="004F017F">
        <w:rPr>
          <w:lang w:eastAsia="en-GB"/>
        </w:rPr>
        <w:fldChar w:fldCharType="end"/>
      </w:r>
      <w:r w:rsidR="00392865">
        <w:rPr>
          <w:lang w:eastAsia="en-GB"/>
        </w:rPr>
        <w:t>.</w:t>
      </w:r>
      <w:r w:rsidR="004F017F">
        <w:rPr>
          <w:lang w:eastAsia="en-GB"/>
        </w:rPr>
        <w:t xml:space="preserve"> Importantly,</w:t>
      </w:r>
      <w:r w:rsidR="00C75018">
        <w:rPr>
          <w:lang w:eastAsia="en-GB"/>
        </w:rPr>
        <w:t xml:space="preserve"> </w:t>
      </w:r>
      <w:r w:rsidR="004F017F">
        <w:rPr>
          <w:lang w:eastAsia="en-GB"/>
        </w:rPr>
        <w:t xml:space="preserve">excessive </w:t>
      </w:r>
      <w:r w:rsidR="00E71015">
        <w:rPr>
          <w:lang w:eastAsia="en-GB"/>
        </w:rPr>
        <w:t xml:space="preserve">cytokine response and elevated </w:t>
      </w:r>
      <w:r w:rsidR="00D27953" w:rsidRPr="00704CAA">
        <w:rPr>
          <w:lang w:eastAsia="en-GB"/>
        </w:rPr>
        <w:t xml:space="preserve">IL-6 </w:t>
      </w:r>
      <w:r w:rsidR="004F017F">
        <w:rPr>
          <w:lang w:eastAsia="en-GB"/>
        </w:rPr>
        <w:t xml:space="preserve">have been shown to </w:t>
      </w:r>
      <w:r w:rsidR="00B12420">
        <w:rPr>
          <w:lang w:eastAsia="en-GB"/>
        </w:rPr>
        <w:t xml:space="preserve">contribute </w:t>
      </w:r>
      <w:r w:rsidR="00D27953" w:rsidRPr="00704CAA">
        <w:rPr>
          <w:lang w:eastAsia="en-GB"/>
        </w:rPr>
        <w:t xml:space="preserve">to severe course of </w:t>
      </w:r>
      <w:r w:rsidR="008E0304">
        <w:rPr>
          <w:lang w:eastAsia="en-GB"/>
        </w:rPr>
        <w:t xml:space="preserve">acute </w:t>
      </w:r>
      <w:r w:rsidR="00D27953" w:rsidRPr="00704CAA">
        <w:rPr>
          <w:lang w:eastAsia="en-GB"/>
        </w:rPr>
        <w:t>COVID-19</w:t>
      </w:r>
      <w:r w:rsidR="00B12420">
        <w:rPr>
          <w:lang w:eastAsia="en-GB"/>
        </w:rPr>
        <w:t xml:space="preserve"> </w:t>
      </w:r>
      <w:r w:rsidR="00E71015">
        <w:rPr>
          <w:lang w:eastAsia="en-GB"/>
        </w:rPr>
        <w:t xml:space="preserve">and </w:t>
      </w:r>
      <w:r w:rsidR="00164919">
        <w:rPr>
          <w:lang w:eastAsia="en-GB"/>
        </w:rPr>
        <w:t>associated</w:t>
      </w:r>
      <w:r w:rsidR="00E71015">
        <w:rPr>
          <w:lang w:eastAsia="en-GB"/>
        </w:rPr>
        <w:t xml:space="preserve"> mortality </w:t>
      </w:r>
      <w:r w:rsidR="00B12420">
        <w:rPr>
          <w:lang w:eastAsia="en-GB"/>
        </w:rPr>
        <w:fldChar w:fldCharType="begin" w:fldLock="1"/>
      </w:r>
      <w:r w:rsidR="00DE44CC">
        <w:rPr>
          <w:lang w:eastAsia="en-GB"/>
        </w:rPr>
        <w:instrText>ADDIN CSL_CITATION {"citationItems":[{"id":"ITEM-1","itemData":{"DOI":"10.1186/s12967-020-02571-x","ISSN":"14795876","PMID":"33121497","abstract":"Background: Interleukin-6 (IL-6) was proposed to be associated with the severity of coronavirus disease 2019 (COVID-19). The present study aimed to explore the kinetics of IL-6 levels, validate this association in COVID-19 patients, and report preliminary data on the efficacy of IL-6 receptor blockade. Methods: We conducted a retrospective single-institutional study of 901 consecutive confirmed cases. Serum IL-6 concentrations were tested on admission and/or during hospital stay. Tocilizumab was given to 16 patients with elevated IL-6 concentration. Results: 366 patients were defined as common cases, 411 patients as severe, and 124 patients as critical according to the Chinese guideline on diagnosis and treatment of COVID-19. The median concentration of IL-6 was &lt; 1.5 pg/ml (IQR &lt; 1.50–2.15), 1.85 pg/ml (IQR &lt; 1.50–5.21), and 21.55 pg/ml (IQR 6.47–94.66) for the common, severe, and critical groups respectively (P &lt; 0.001). The follow-up kinetics revealed serum IL-6 remained high in critical patients even when cured. An IL-6 concentration higher than 37.65 pg/ml was predictive of in-hospital death (AUC 0.97 [95% CI 0.95–0.99], P &lt; 0.001) with a sensitivity of 91.7% and a specificity of 95.7%. In the 16 patients who received tocilizumab, IL-6 concentrations were significantly increased after administration, and survival outcome was not significantly different from that of propensity-score matched counterparts (n = 53, P = 0.12). Conclusion: Serum IL-6 should be included in diagnostic work-up to stratify disease severity, but the benefit of tocilizumab needs further confirmation. Trial registration retrospectively registered.","author":[{"dropping-particle":"","family":"Zhang","given":"Jing","non-dropping-particle":"","parse-names":false,"suffix":""},{"dropping-particle":"","family":"Hao","given":"Yiqun","non-dropping-particle":"","parse-names":false,"suffix":""},{"dropping-particle":"","family":"Ou","given":"Wuling","non-dropping-particle":"","parse-names":false,"suffix":""},{"dropping-particle":"","family":"Ming","given":"Fei","non-dropping-particle":"","parse-names":false,"suffix":""},{"dropping-particle":"","family":"Liang","given":"Gai","non-dropping-particle":"","parse-names":false,"suffix":""},{"dropping-particle":"","family":"Qian","given":"Yu","non-dropping-particle":"","parse-names":false,"suffix":""},{"dropping-particle":"","family":"Cai","given":"Qian","non-dropping-particle":"","parse-names":false,"suffix":""},{"dropping-particle":"","family":"Dong","given":"Shuang","non-dropping-particle":"","parse-names":false,"suffix":""},{"dropping-particle":"","family":"Hu","given":"Sheng","non-dropping-particle":"","parse-names":false,"suffix":""},{"dropping-particle":"","family":"Wang","given":"Weida","non-dropping-particle":"","parse-names":false,"suffix":""},{"dropping-particle":"","family":"Wei","given":"Shaozhong","non-dropping-particle":"","parse-names":false,"suffix":""}],"container-title":"Journal of Translational Medicine","id":"ITEM-1","issue":"1","issued":{"date-parts":[["2020"]]},"page":"1-8","publisher":"BioMed Central","title":"Serum interleukin-6 is an indicator for severity in 901 patients with SARS-CoV-2 infection: a cohort study","type":"article-journal","volume":"18"},"uris":["http://www.mendeley.com/documents/?uuid=1a5e25b3-ecc6-473d-9a24-3f8efbe68b7f"]},{"id":"ITEM-2","itemData":{"DOI":"10.1001/jama.2020.12839","ISSN":"0098-7484","PMID":"32648899","abstract":"Importance: The coronavirus disease 2019 (COVID-19) pandemic, due to the novel severe acute respiratory syndrome coronavirus 2 (SARS-CoV-2), has caused a worldwide sudden and substantial increase in hospitalizations for pneumonia with multiorgan disease. This review discusses current evidence regarding the pathophysiology, transmission, diagnosis, and management of COVID-19. Observations: SARS-CoV-2 is spread primarily via respiratory droplets during close face-to-face contact. Infection can be spread by asymptomatic, presymptomatic, and symptomatic carriers. The average time from exposure to symptom onset is 5 days, and 97.5% of people who develop symptoms do so within 11.5 days. The most common symptoms are fever, dry cough, and shortness of breath. Radiographic and laboratory abnormalities, such as lymphopenia and elevated lactate dehydrogenase, are common, but nonspecific. Diagnosis is made by detection of SARS-CoV-2 via reverse transcription polymerase chain reaction testing, although false-negative test results may occur in up to 20% to 67% of patients; however, this is dependent on the quality and timing of testing. Manifestations of COVID-19 include asymptomatic carriers and fulminant disease characterized by sepsis and acute respiratory failure. Approximately 5% of patients with COVID-19, and 20% of those hospitalized, experience severe symptoms necessitating intensive care. More than 75% of patients hospitalized with COVID-19 require supplemental oxygen. Treatment for individuals with COVID-19 includes best practices for supportive management of acute hypoxic respiratory failure. Emerging data indicate that dexamethasone therapy reduces 28-day mortality in patients requiring supplemental oxygen compared with usual care (21.6% vs 24.6%; age-adjusted rate ratio, 0.83 [95% CI, 0.74-0.92]) and that remdesivir improves time to recovery (hospital discharge or no supplemental oxygen requirement) from 15 to 11 days. In a randomized trial of 103 patients with COVID-19, convalescent plasma did not shorten time to recovery. Ongoing trials are testing antiviral therapies, immune modulators, and anticoagulants. The case-fatality rate for COVID-19 varies markedly by age, ranging from 0.3 deaths per 1000 cases among patients aged 5 to 17 years to 304.9 deaths per 1000 cases among patients aged 85 years or older in the US. Among patients hospitalized in the intensive care unit, the case fatality is up to 40%. At least 120 SARS-CoV-2 vaccines are under develop…","author":[{"dropping-particle":"","family":"Wiersinga","given":"W. Joost","non-dropping-particle":"","parse-names":false,"suffix":""},{"dropping-particle":"","family":"Rhodes","given":"Andrew","non-dropping-particle":"","parse-names":false,"suffix":""},{"dropping-particle":"","family":"Cheng","given":"Allen C.","non-dropping-particle":"","parse-names":false,"suffix":""},{"dropping-particle":"","family":"Peacock","given":"Sharon J.","non-dropping-particle":"","parse-names":false,"suffix":""},{"dropping-particle":"","family":"Prescott","given":"Hallie C.","non-dropping-particle":"","parse-names":false,"suffix":""}],"container-title":"JAMA","id":"ITEM-2","issue":"8","issued":{"date-parts":[["2020","8","25"]]},"page":"782","title":"Pathophysiology, Transmission, Diagnosis, and Treatment of Coronavirus Disease 2019 (COVID-19)","type":"article-journal","volume":"324"},"uris":["http://www.mendeley.com/documents/?uuid=068c5376-f812-4833-b91f-6f439fed5d07"]},{"id":"ITEM-3","itemData":{"DOI":"10.1016/S0140-6736(20)31189-2","ISSN":"01406736","PMID":"32442528","abstract":"Background: Over 40 000 patients with COVID-19 have been hospitalised in New York City (NY, USA) as of April 28, 2020. Data on the epidemiology, clinical course, and outcomes of critically ill patients with COVID-19 in this setting are needed. Methods: This prospective observational cohort study took place at two NewYork-Presbyterian hospitals affiliated with Columbia University Irving Medical Center in northern Manhattan. We prospectively identified adult patients (aged ≥18 years) admitted to both hospitals from March 2 to April 1, 2020, who were diagnosed with laboratory-confirmed COVID-19 and were critically ill with acute hypoxaemic respiratory failure, and collected clinical, biomarker, and treatment data. The primary outcome was the rate of in-hospital death. Secondary outcomes included frequency and duration of invasive mechanical ventilation, frequency of vasopressor use and renal replacement therapy, and time to in-hospital clinical deterioration following admission. The relation between clinical risk factors, biomarkers, and in-hospital mortality was modelled using Cox proportional hazards regression. Follow-up time was right-censored on April 28, 2020 so that each patient had at least 28 days of observation. Findings: Between March 2 and April 1, 2020, 1150 adults were admitted to both hospitals with laboratory-confirmed COVID-19, of which 257 (22%) were critically ill. The median age of patients was 62 years (IQR 51–72), 171 (67%) were men. 212 (82%) patients had at least one chronic illness, the most common of which were hypertension (162 [63%]) and diabetes (92 [36%]). 119 (46%) patients had obesity. As of April 28, 2020, 101 (39%) patients had died and 94 (37%) remained hospitalised. 203 (79%) patients received invasive mechanical ventilation for a median of 18 days (IQR 9–28), 170 (66%) of 257 patients received vasopressors and 79 (31%) received renal replacement therapy. The median time to in-hospital deterioration was 3 days (IQR 1–6). In the multivariable Cox model, older age (adjusted hazard ratio [aHR] 1·31 [1·09–1·57] per 10-year increase), chronic cardiac disease (aHR 1·76 [1·08–2·86]), chronic pulmonary disease (aHR 2·94 [1·48–5·84]), higher concentrations of interleukin-6 (aHR 1·11 [95%CI 1·02–1·20] per decile increase), and higher concentrations of D-dimer (aHR 1·10 [1·01–1·19] per decile increase) were independently associated with in-hospital mortality. Interpretation: Critical illness among patients hospitalised with COVID-1…","author":[{"dropping-particle":"","family":"Cummings","given":"Matthew J.","non-dropping-particle":"","parse-names":false,"suffix":""},{"dropping-particle":"","family":"Baldwin","given":"Matthew R.","non-dropping-particle":"","parse-names":false,"suffix":""},{"dropping-particle":"","family":"Abrams","given":"Darryl","non-dropping-particle":"","parse-names":false,"suffix":""},{"dropping-particle":"","family":"Jacobson","given":"Samuel D.","non-dropping-particle":"","parse-names":false,"suffix":""},{"dropping-particle":"","family":"Meyer","given":"Benjamin J.","non-dropping-particle":"","parse-names":false,"suffix":""},{"dropping-particle":"","family":"Balough","given":"Elizabeth M.","non-dropping-particle":"","parse-names":false,"suffix":""},{"dropping-particle":"","family":"Aaron","given":"Justin G.","non-dropping-particle":"","parse-names":false,"suffix":""},{"dropping-particle":"","family":"Claassen","given":"Jan","non-dropping-particle":"","parse-names":false,"suffix":""},{"dropping-particle":"","family":"Rabbani","given":"LeRoy E","non-dropping-particle":"","parse-names":false,"suffix":""},{"dropping-particle":"","family":"Hastie","given":"Jonathan","non-dropping-particle":"","parse-names":false,"suffix":""},{"dropping-particle":"","family":"Hochman","given":"Beth R.","non-dropping-particle":"","parse-names":false,"suffix":""},{"dropping-particle":"","family":"Salazar-Schicchi","given":"John","non-dropping-particle":"","parse-names":false,"suffix":""},{"dropping-particle":"","family":"Yip","given":"Natalie H.","non-dropping-particle":"","parse-names":false,"suffix":""},{"dropping-particle":"","family":"Brodie","given":"Daniel","non-dropping-particle":"","parse-names":false,"suffix":""},{"dropping-particle":"","family":"O'Donnell","given":"Max R.","non-dropping-particle":"","parse-names":false,"suffix":""}],"container-title":"The Lancet","id":"ITEM-3","issue":"10239","issued":{"date-parts":[["2020","6"]]},"page":"1763-1770","publisher":"Elsevier Ltd","title":"Epidemiology, clinical course, and outcomes of critically ill adults with COVID-19 in New York City: a prospective cohort study","type":"article-journal","volume":"395"},"uris":["http://www.mendeley.com/documents/?uuid=fe64b6e0-56ca-42c7-b5aa-defcee98c0a5"]}],"mendeley":{"formattedCitation":"(Cummings et al., 2020; Wiersinga et al., 2020; Zhang et al., 2020)","plainTextFormattedCitation":"(Cummings et al., 2020; Wiersinga et al., 2020; Zhang et al., 2020)","previouslyFormattedCitation":"(Cummings et al., 2020; Wiersinga et al., 2020; Zhang et al., 2020)"},"properties":{"noteIndex":0},"schema":"https://github.com/citation-style-language/schema/raw/master/csl-citation.json"}</w:instrText>
      </w:r>
      <w:r w:rsidR="00B12420">
        <w:rPr>
          <w:lang w:eastAsia="en-GB"/>
        </w:rPr>
        <w:fldChar w:fldCharType="separate"/>
      </w:r>
      <w:r w:rsidR="00E71015" w:rsidRPr="00E71015">
        <w:rPr>
          <w:noProof/>
          <w:lang w:eastAsia="en-GB"/>
        </w:rPr>
        <w:t>(Cummings et al., 2020; Wiersinga et al., 2020; Zhang et al., 2020)</w:t>
      </w:r>
      <w:r w:rsidR="00B12420">
        <w:rPr>
          <w:lang w:eastAsia="en-GB"/>
        </w:rPr>
        <w:fldChar w:fldCharType="end"/>
      </w:r>
      <w:r w:rsidR="00D27953">
        <w:rPr>
          <w:lang w:eastAsia="en-GB"/>
        </w:rPr>
        <w:t xml:space="preserve">. </w:t>
      </w:r>
      <w:r w:rsidR="004F017F">
        <w:rPr>
          <w:lang w:eastAsia="en-GB"/>
        </w:rPr>
        <w:t>IL-6 and TNF-</w:t>
      </w:r>
      <w:r w:rsidR="004F017F">
        <w:rPr>
          <w:rFonts w:cs="Times New Roman"/>
          <w:lang w:eastAsia="en-GB"/>
        </w:rPr>
        <w:t>α</w:t>
      </w:r>
      <w:r w:rsidR="004F017F">
        <w:rPr>
          <w:lang w:eastAsia="en-GB"/>
        </w:rPr>
        <w:t xml:space="preserve"> </w:t>
      </w:r>
      <w:r w:rsidR="00D65F30">
        <w:rPr>
          <w:lang w:eastAsia="en-GB"/>
        </w:rPr>
        <w:t xml:space="preserve">have </w:t>
      </w:r>
      <w:r w:rsidR="004F017F">
        <w:rPr>
          <w:lang w:eastAsia="en-GB"/>
        </w:rPr>
        <w:t xml:space="preserve">also </w:t>
      </w:r>
      <w:r w:rsidR="00D65F30">
        <w:rPr>
          <w:lang w:eastAsia="en-GB"/>
        </w:rPr>
        <w:t xml:space="preserve">been found to </w:t>
      </w:r>
      <w:r w:rsidR="004F017F">
        <w:rPr>
          <w:lang w:eastAsia="en-GB"/>
        </w:rPr>
        <w:t xml:space="preserve">predict survival even </w:t>
      </w:r>
      <w:r w:rsidR="009E30D6">
        <w:rPr>
          <w:lang w:eastAsia="en-GB"/>
        </w:rPr>
        <w:t>after</w:t>
      </w:r>
      <w:r w:rsidR="004F017F">
        <w:rPr>
          <w:lang w:eastAsia="en-GB"/>
        </w:rPr>
        <w:t xml:space="preserve"> adjusting for disease severity </w:t>
      </w:r>
      <w:r w:rsidR="004F017F">
        <w:rPr>
          <w:lang w:eastAsia="en-GB"/>
        </w:rPr>
        <w:fldChar w:fldCharType="begin" w:fldLock="1"/>
      </w:r>
      <w:r w:rsidR="004F017F">
        <w:rPr>
          <w:lang w:eastAsia="en-GB"/>
        </w:rPr>
        <w:instrText>ADDIN CSL_CITATION {"citationItems":[{"id":"ITEM-1","itemData":{"DOI":"10.1038/s41591-020-1051-9","ISBN":"4159102010519","ISSN":"1078-8956","PMID":"32839624","abstract":"Several studies have revealed that the hyper-inflammatory response induced by severe acute respiratory syndrome coronavirus 2 (SARS-CoV-2) is a major cause of disease severity and death. However, predictive biomarkers of pathogenic inflammation to help guide targetable immune pathways are critically lacking. We implemented a rapid multiplex cytokine assay to measure serum interleukin (IL)-6, IL-8, tumor necrosis factor (TNF)-α and IL-1β in hospitalized patients with coronavirus disease 2019 (COVID-19) upon admission to the Mount Sinai Health System in New York. Patients (n = 1,484) were followed up to 41 d after admission (median, 8 d), and clinical information, laboratory test results and patient outcomes were collected. We found that high serum IL-6, IL-8 and TNF-α levels at the time of hospitalization were strong and independent predictors of patient survival (P &lt; 0.0001, P = 0.0205 and P = 0.0140, respectively). Notably, when adjusting for disease severity, common laboratory inflammation markers, hypoxia and other vitals, demographics, and a range of comorbidities, IL-6 and TNF-α serum levels remained independent and significant predictors of disease severity and death. These findings were validated in a second cohort of patients (n = 231). We propose that serum IL-6 and TNF-α levels should be considered in the management and treatment of patients with COVID-19 to stratify prospective clinical trials, guide resource allocation and inform therapeutic options.","author":[{"dropping-particle":"","family":"Valle","given":"Diane Marie","non-dropping-particle":"Del","parse-names":false,"suffix":""},{"dropping-particle":"","family":"Kim-Schulze","given":"Seunghee","non-dropping-particle":"","parse-names":false,"suffix":""},{"dropping-particle":"","family":"Huang","given":"Hsin-Hui","non-dropping-particle":"","parse-names":false,"suffix":""},{"dropping-particle":"","family":"Beckmann","given":"Noam D.","non-dropping-particle":"","parse-names":false,"suffix":""},{"dropping-particle":"","family":"Nirenberg","given":"Sharon","non-dropping-particle":"","parse-names":false,"suffix":""},{"dropping-particle":"","family":"Wang","given":"Bo","non-dropping-particle":"","parse-names":false,"suffix":""},{"dropping-particle":"","family":"Lavin","given":"Yonit","non-dropping-particle":"","parse-names":false,"suffix":""},{"dropping-particle":"","family":"Swartz","given":"Talia H.","non-dropping-particle":"","parse-names":false,"suffix":""},{"dropping-particle":"","family":"Madduri","given":"Deepu","non-dropping-particle":"","parse-names":false,"suffix":""},{"dropping-particle":"","family":"Stock","given":"Aryeh","non-dropping-particle":"","parse-names":false,"suffix":""},{"dropping-particle":"","family":"Marron","given":"Thomas U.","non-dropping-particle":"","parse-names":false,"suffix":""},{"dropping-particle":"","family":"Xie","given":"Hui","non-dropping-particle":"","parse-names":false,"suffix":""},{"dropping-particle":"","family":"Patel","given":"Manishkumar","non-dropping-particle":"","parse-names":false,"suffix":""},{"dropping-particle":"","family":"Tuballes","given":"Kevin","non-dropping-particle":"","parse-names":false,"suffix":""},{"dropping-particle":"","family":"Oekelen","given":"Oliver","non-dropping-particle":"Van","parse-names":false,"suffix":""},{"dropping-particle":"","family":"Rahman","given":"Adeeb","non-dropping-particle":"","parse-names":false,"suffix":""},{"dropping-particle":"","family":"Kovatch","given":"Patricia","non-dropping-particle":"","parse-names":false,"suffix":""},{"dropping-particle":"","family":"Aberg","given":"Judith A.","non-dropping-particle":"","parse-names":false,"suffix":""},{"dropping-particle":"","family":"Schadt","given":"Eric","non-dropping-particle":"","parse-names":false,"suffix":""},{"dropping-particle":"","family":"Jagannath","given":"Sundar","non-dropping-particle":"","parse-names":false,"suffix":""},{"dropping-particle":"","family":"Mazumdar","given":"Madhu","non-dropping-particle":"","parse-names":false,"suffix":""},{"dropping-particle":"","family":"Charney","given":"Alexander W.","non-dropping-particle":"","parse-names":false,"suffix":""},{"dropping-particle":"","family":"Firpo-Betancourt","given":"Adolfo","non-dropping-particle":"","parse-names":false,"suffix":""},{"dropping-particle":"","family":"Mendu","given":"Damodara Rao","non-dropping-particle":"","parse-names":false,"suffix":""},{"dropping-particle":"","family":"Jhang","given":"Jeffrey","non-dropping-particle":"","parse-names":false,"suffix":""},{"dropping-particle":"","family":"Reich","given":"David","non-dropping-particle":"","parse-names":false,"suffix":""},{"dropping-particle":"","family":"Sigel","given":"Keith","non-dropping-particle":"","parse-names":false,"suffix":""},{"dropping-particle":"","family":"Cordon-Cardo","given":"Carlos","non-dropping-particle":"","parse-names":false,"suffix":""},{"dropping-particle":"","family":"Feldmann","given":"Marc","non-dropping-particle":"","parse-names":false,"suffix":""},{"dropping-particle":"","family":"Parekh","given":"Samir","non-dropping-particle":"","parse-names":false,"suffix":""},{"dropping-particle":"","family":"Merad","given":"Miriam","non-dropping-particle":"","parse-names":false,"suffix":""},{"dropping-particle":"","family":"Gnjatic","given":"Sacha","non-dropping-particle":"","parse-names":false,"suffix":""}],"container-title":"Nature Medicine","id":"ITEM-1","issue":"10","issued":{"date-parts":[["2020","10","24"]]},"page":"1636-1643","publisher":"Springer US","title":"An inflammatory cytokine signature predicts COVID-19 severity and survival","type":"article-journal","volume":"26"},"uris":["http://www.mendeley.com/documents/?uuid=47388282-910e-44d2-a7f6-5db426086c65"]}],"mendeley":{"formattedCitation":"(Del Valle et al., 2020)","plainTextFormattedCitation":"(Del Valle et al., 2020)","previouslyFormattedCitation":"(Del Valle et al., 2020)"},"properties":{"noteIndex":0},"schema":"https://github.com/citation-style-language/schema/raw/master/csl-citation.json"}</w:instrText>
      </w:r>
      <w:r w:rsidR="004F017F">
        <w:rPr>
          <w:lang w:eastAsia="en-GB"/>
        </w:rPr>
        <w:fldChar w:fldCharType="separate"/>
      </w:r>
      <w:r w:rsidR="004F017F" w:rsidRPr="004F017F">
        <w:rPr>
          <w:noProof/>
          <w:lang w:eastAsia="en-GB"/>
        </w:rPr>
        <w:t>(Del Valle et al., 2020)</w:t>
      </w:r>
      <w:r w:rsidR="004F017F">
        <w:rPr>
          <w:lang w:eastAsia="en-GB"/>
        </w:rPr>
        <w:fldChar w:fldCharType="end"/>
      </w:r>
      <w:r w:rsidR="004F017F">
        <w:rPr>
          <w:lang w:eastAsia="en-GB"/>
        </w:rPr>
        <w:t>. Therefore</w:t>
      </w:r>
      <w:r w:rsidR="005977A6">
        <w:rPr>
          <w:lang w:eastAsia="en-GB"/>
        </w:rPr>
        <w:t xml:space="preserve">, </w:t>
      </w:r>
      <w:r w:rsidR="008457BE">
        <w:rPr>
          <w:lang w:eastAsia="en-GB"/>
        </w:rPr>
        <w:t>current approach</w:t>
      </w:r>
      <w:r w:rsidR="00B7614A">
        <w:rPr>
          <w:lang w:eastAsia="en-GB"/>
        </w:rPr>
        <w:t>es</w:t>
      </w:r>
      <w:r w:rsidR="008457BE">
        <w:rPr>
          <w:lang w:eastAsia="en-GB"/>
        </w:rPr>
        <w:t xml:space="preserve"> to</w:t>
      </w:r>
      <w:r w:rsidR="005977A6">
        <w:rPr>
          <w:lang w:eastAsia="en-GB"/>
        </w:rPr>
        <w:t xml:space="preserve"> treat</w:t>
      </w:r>
      <w:r w:rsidR="008457BE">
        <w:rPr>
          <w:lang w:eastAsia="en-GB"/>
        </w:rPr>
        <w:t>ing</w:t>
      </w:r>
      <w:r w:rsidR="005977A6">
        <w:rPr>
          <w:lang w:eastAsia="en-GB"/>
        </w:rPr>
        <w:t xml:space="preserve"> severe COVID-19 include </w:t>
      </w:r>
      <w:r w:rsidR="008457BE">
        <w:rPr>
          <w:lang w:eastAsia="en-GB"/>
        </w:rPr>
        <w:t xml:space="preserve">use of both </w:t>
      </w:r>
      <w:r w:rsidR="005977A6">
        <w:rPr>
          <w:lang w:eastAsia="en-GB"/>
        </w:rPr>
        <w:t xml:space="preserve">broad anti-inflammatory drugs such as dexamethasone and specific anti-cytokine </w:t>
      </w:r>
      <w:r w:rsidR="008457BE">
        <w:rPr>
          <w:lang w:eastAsia="en-GB"/>
        </w:rPr>
        <w:t xml:space="preserve">drugs </w:t>
      </w:r>
      <w:r w:rsidR="005977A6">
        <w:rPr>
          <w:lang w:eastAsia="en-GB"/>
        </w:rPr>
        <w:t>such as the anti-IL-6</w:t>
      </w:r>
      <w:r w:rsidR="002B6BAC">
        <w:rPr>
          <w:lang w:eastAsia="en-GB"/>
        </w:rPr>
        <w:t xml:space="preserve"> receptor (IL-6R)</w:t>
      </w:r>
      <w:r w:rsidR="005977A6">
        <w:rPr>
          <w:lang w:eastAsia="en-GB"/>
        </w:rPr>
        <w:t xml:space="preserve"> drugs tocilizumab and </w:t>
      </w:r>
      <w:r w:rsidR="000A22E5">
        <w:rPr>
          <w:lang w:eastAsia="en-GB"/>
        </w:rPr>
        <w:t>sarilumab</w:t>
      </w:r>
      <w:r w:rsidR="0063592C">
        <w:rPr>
          <w:lang w:eastAsia="en-GB"/>
        </w:rPr>
        <w:t xml:space="preserve"> that show</w:t>
      </w:r>
      <w:r w:rsidR="005C1A86">
        <w:rPr>
          <w:lang w:eastAsia="en-GB"/>
        </w:rPr>
        <w:t>ed</w:t>
      </w:r>
      <w:r w:rsidR="0063592C">
        <w:rPr>
          <w:lang w:eastAsia="en-GB"/>
        </w:rPr>
        <w:t xml:space="preserve"> favourable effects </w:t>
      </w:r>
      <w:r w:rsidR="00215AFD">
        <w:rPr>
          <w:lang w:eastAsia="en-GB"/>
        </w:rPr>
        <w:t xml:space="preserve">in addition to dexamethasone </w:t>
      </w:r>
      <w:r w:rsidR="0063592C">
        <w:rPr>
          <w:lang w:eastAsia="en-GB"/>
        </w:rPr>
        <w:t xml:space="preserve">on reducing rates of mechanical ventilation and death </w:t>
      </w:r>
      <w:r w:rsidR="005C1A86">
        <w:rPr>
          <w:lang w:eastAsia="en-GB"/>
        </w:rPr>
        <w:t xml:space="preserve">in critically ill COVID-19 patients </w:t>
      </w:r>
      <w:r w:rsidR="000A22E5">
        <w:rPr>
          <w:lang w:eastAsia="en-GB"/>
        </w:rPr>
        <w:fldChar w:fldCharType="begin" w:fldLock="1"/>
      </w:r>
      <w:r w:rsidR="003822E8">
        <w:rPr>
          <w:lang w:eastAsia="en-GB"/>
        </w:rPr>
        <w:instrText>ADDIN CSL_CITATION {"citationItems":[{"id":"ITEM-1","itemData":{"DOI":"10.1056/NEJMoa2021436","ISSN":"0028-4793","PMID":"32678530","abstract":"BACKGROUND Coronavirus disease 2019 (Covid-19) is associated with diffuse lung damage. Glucocorticoids may modulate inflammation-mediated lung injury and thereby reduce progression to respiratory failure and death. METHODS In this controlled, open-label trial comparing a range of possible treatments in patients who were hospitalized with Covid-19, we randomly assigned patients to receive oral or intravenous dexamethasone (at a dose of 6 mg once daily) for up to 10 days or to receive usual care alone. The primary outcome was 28-day mortality. Here, we report the preliminary results of this comparison. RESULTS A total of 2104 patients were assigned to receive dexamethasone and 4321 to receive usual care. Overall, 482 patients (22.9%) in the dexamethasone group and 1110 patients (25.7%) in the usual care group died within 28 days after randomization (age-adjusted rate ratio, 0.83; 95% confidence interval [CI], 0.75 to 0.93; P&lt;0.001). The proportional and absolute between-group differences in mortality varied considerably according to the level of respiratory support that the patients were receiving at the time of randomization. In the dexamethasone group, the incidence of death was lower than that in the usual care group among patients receiving invasive mechanical ventilation (29.3% vs. 41.4%; rate ratio, 0.64; 95% CI, 0.51 to 0.81) and among those receiving oxygen without invasive mechanical ventilation (23.3% vs. 26.2%; rate ratio, 0.82; 95% CI, 0.72 to 0.94) but not among those who were receiving no respiratory support at randomization (17.8% vs. 14.0%; rate ratio, 1.19; 95% CI, 0.91 to 1.55). CONCLUSIONS In patients hospitalized with Covid-19, the use of dexamethasone resulted in lower 28-day mortality among those who were receiving either invasive mechanical ventilation or oxygen alone at randomization but not among those receiving no respiratory support. (Funded by the Medical Research Council and National Institute for Health Research and others; RECOVERY ClinicalTrials.gov number, NCT04381936; ISRCTN number, 50189673.).","author":[{"dropping-particle":"","family":"The RECOVERY Collaborative Group","given":"","non-dropping-particle":"","parse-names":false,"suffix":""}],"container-title":"New England Journal of Medicine","id":"ITEM-1","issued":{"date-parts":[["2020","7","17"]]},"title":"Dexamethasone in Hospitalized Patients with Covid-19 — Preliminary Report","type":"article-journal"},"uris":["http://www.mendeley.com/documents/?uuid=6a103255-653c-4881-a07b-b7539def2860"]},{"id":"ITEM-2","itemData":{"DOI":"10.1056/NEJMoa2100433","ISSN":"0028-4793","author":[{"dropping-particle":"","family":"Gordon","given":"Anthony C","non-dropping-particle":"","parse-names":false,"suffix":""},{"dropping-particle":"","family":"Mouncey","given":"Paul R","non-dropping-particle":"","parse-names":false,"suffix":""},{"dropping-particle":"","family":"Al-beidh","given":"Farah","non-dropping-particle":"","parse-names":false,"suffix":""},{"dropping-particle":"","family":"Kathryn","given":"M","non-dropping-particle":"","parse-names":false,"suffix":""},{"dropping-particle":"","family":"Nichol","given":"Alistair D","non-dropping-particle":"","parse-names":false,"suffix":""},{"dropping-particle":"","family":"Arabi","given":"Yaseen M","non-dropping-particle":"","parse-names":false,"suffix":""},{"dropping-particle":"","family":"Annane","given":"Djillali","non-dropping-particle":"","parse-names":false,"suffix":""}],"container-title":"New England Journal of Medicine","id":"ITEM-2","issued":{"date-parts":[["2021","2","25"]]},"page":"NEJMoa2100433","title":"Interleukin-6 Receptor Antagonists in Critically Ill Patients with Covid-19","type":"article-journal"},"uris":["http://www.mendeley.com/documents/?uuid=dd9de8c6-253a-4fad-8688-d2d972a65665"]},{"id":"ITEM-3","itemData":{"DOI":"10.1056/NEJMoa2030340","ISSN":"0028-4793","PMID":"33332779","abstract":"Abstract Background Coronavirus disease 2019 (Covid-19) pneumonia is often associated with hyperinflammation. Despite the disproportionate incidence of Covid-19 among underserved and racial and eth...","author":[{"dropping-particle":"","family":"Salama","given":"Carlos","non-dropping-particle":"","parse-names":false,"suffix":""},{"dropping-particle":"","family":"Han","given":"Jian","non-dropping-particle":"","parse-names":false,"suffix":""},{"dropping-particle":"","family":"Yau","given":"Linda","non-dropping-particle":"","parse-names":false,"suffix":""},{"dropping-particle":"","family":"Reiss","given":"William G.","non-dropping-particle":"","parse-names":false,"suffix":""},{"dropping-particle":"","family":"Kramer","given":"Benjamin","non-dropping-particle":"","parse-names":false,"suffix":""},{"dropping-particle":"","family":"Neidhart","given":"Jeffrey D.","non-dropping-particle":"","parse-names":false,"suffix":""},{"dropping-particle":"","family":"Criner","given":"Gerard J.","non-dropping-particle":"","parse-names":false,"suffix":""},{"dropping-particle":"","family":"Kaplan-Lewis","given":"Emma","non-dropping-particle":"","parse-names":false,"suffix":""},{"dropping-particle":"","family":"Baden","given":"Rachel","non-dropping-particle":"","parse-names":false,"suffix":""},{"dropping-particle":"","family":"Pandit","given":"Lavannya","non-dropping-particle":"","parse-names":false,"suffix":""},{"dropping-particle":"","family":"Cameron","given":"Miriam L.","non-dropping-particle":"","parse-names":false,"suffix":""},{"dropping-particle":"","family":"Garcia-Diaz","given":"Julia","non-dropping-particle":"","parse-names":false,"suffix":""},{"dropping-particle":"","family":"Chávez","given":"Victoria","non-dropping-particle":"","parse-names":false,"suffix":""},{"dropping-particle":"","family":"Mekebeb-Reuter","given":"Martha","non-dropping-particle":"","parse-names":false,"suffix":""},{"dropping-particle":"","family":"Lima de Menezes","given":"Ferdinando","non-dropping-particle":"","parse-names":false,"suffix":""},{"dropping-particle":"","family":"Shah","given":"Reena","non-dropping-particle":"","parse-names":false,"suffix":""},{"dropping-particle":"","family":"González-Lara","given":"Maria F.","non-dropping-particle":"","parse-names":false,"suffix":""},{"dropping-particle":"","family":"Assman","given":"Beverly","non-dropping-particle":"","parse-names":false,"suffix":""},{"dropping-particle":"","family":"Freedman","given":"Jamie","non-dropping-particle":"","parse-names":false,"suffix":""},{"dropping-particle":"V.","family":"Mohan","given":"Shalini","non-dropping-particle":"","parse-names":false,"suffix":""}],"container-title":"New England Journal of Medicine","id":"ITEM-3","issue":"1","issued":{"date-parts":[["2021","1","7"]]},"page":"20-30","title":"Tocilizumab in Patients Hospitalized with Covid-19 Pneumonia","type":"article-journal","volume":"384"},"uris":["http://www.mendeley.com/documents/?uuid=ca0bc74c-be41-4ce0-9929-e244eb33cbaf"]},{"id":"ITEM-4","itemData":{"DOI":"10.1136/bmj.n84","ISSN":"1756-1833","PMID":"33472855","abstract":"AbstractObjective To determine whether tocilizumab improves clinical outcomes for patients with severe or critical coronavirus disease 2019 (covid-19). Design Randomised, open label trial. Setting Nine hospitals in Brazil, 8 May to 17 July 2020. Participants Adults with confirmed covid-19 who were receiving supplemental oxygen or mechanical ventilation and had abnormal levels of at least two serum biomarkers (C reactive protein, D dimer, lactate dehydrogenase, or ferritin). The data monitoring committee recommended stopping the trial early, after 129 patients had been enrolled, because of an increased number of deaths at 15 days in the tocilizumab group. Interventions Tocilizumab (single intravenous infusion of 8 mg/kg) plus standard care (n=65) versus standard care alone (n=64). Main outcome measure The primary outcome, clinical status measured at 15 days using a seven level ordinal scale, was analysed as a composite of death or mechanical ventilation because the assumption of odds proportionality was not met. Results A total of 129 patients were enrolled (mean age 57 (SD 14) years; 68% men) and all completed follow-up. All patients in the tocilizumab group and two in the standard care group received tocilizumab. 18 of 65 (28%) patients in the tocilizumab group and 13 of 64 (20%) in the standard care group were receiving mechanical ventilation or died at day 15 (odds ratio 1.54, 95% confidence interval 0.66 to 3.66; P=0.32). Death at 15 days occurred in 11 (17%) patients in the tocilizumab group compared with 2 (3%) in the standard care group (odds ratio 6.42, 95% confidence interval 1.59 to 43.2). Adverse events were reported in 29 of 67 (43%) patients who received tocilizumab and 21 of 62 (34%) who did not receive tocilizumab. Conclusions In patients with severe or critical covid-19, tocilizumab plus standard care was not superior to standard care alone in improving clinical outcomes at 15 days, and it might increase mortality. Trial registration ClinicalTrials.gov NCT04403685.","author":[{"dropping-particle":"","family":"Veiga","given":"Viviane C.","non-dropping-particle":"","parse-names":false,"suffix":""},{"dropping-particle":"","family":"Prats","given":"João A G G","non-dropping-particle":"","parse-names":false,"suffix":""},{"dropping-particle":"","family":"Farias","given":"Danielle L C","non-dropping-particle":"","parse-names":false,"suffix":""},{"dropping-particle":"","family":"Rosa","given":"Regis G.","non-dropping-particle":"","parse-names":false,"suffix":""},{"dropping-particle":"","family":"Dourado","given":"Leticia K.","non-dropping-particle":"","parse-names":false,"suffix":""},{"dropping-particle":"","family":"Zampieri","given":"Fernando G.","non-dropping-particle":"","parse-names":false,"suffix":""},{"dropping-particle":"","family":"Machado","given":"Flávia R","non-dropping-particle":"","parse-names":false,"suffix":""},{"dropping-particle":"","family":"Lopes","given":"Renato D.","non-dropping-particle":"","parse-names":false,"suffix":""},{"dropping-particle":"","family":"Berwanger","given":"Otavio","non-dropping-particle":"","parse-names":false,"suffix":""},{"dropping-particle":"","family":"Azevedo","given":"Luciano C P","non-dropping-particle":"","parse-names":false,"suffix":""},{"dropping-particle":"","family":"Avezum","given":"Álvaro","non-dropping-particle":"","parse-names":false,"suffix":""},{"dropping-particle":"","family":"Lisboa","given":"Thiago C.","non-dropping-particle":"","parse-names":false,"suffix":""},{"dropping-particle":"","family":"Rojas","given":"Salomón S O","non-dropping-particle":"","parse-names":false,"suffix":""},{"dropping-particle":"","family":"Coelho","given":"Juliana C.","non-dropping-particle":"","parse-names":false,"suffix":""},{"dropping-particle":"","family":"Leite","given":"Rodrigo T.","non-dropping-particle":"","parse-names":false,"suffix":""},{"dropping-particle":"","family":"Carvalho","given":"Júlio C.","non-dropping-particle":"","parse-names":false,"suffix":""},{"dropping-particle":"","family":"Andrade","given":"Luis E C","non-dropping-particle":"","parse-names":false,"suffix":""},{"dropping-particle":"","family":"Sandes","given":"Alex F.","non-dropping-particle":"","parse-names":false,"suffix":""},{"dropping-particle":"","family":"Pintão","given":"Maria C T","non-dropping-particle":"","parse-names":false,"suffix":""},{"dropping-particle":"","family":"Castro","given":"Claudio G.","non-dropping-particle":"","parse-names":false,"suffix":""},{"dropping-particle":"V.","family":"Santos","given":"Sueli","non-dropping-particle":"","parse-names":false,"suffix":""},{"dropping-particle":"","family":"Almeida","given":"Thiago M L","non-dropping-particle":"de","parse-names":false,"suffix":""},{"dropping-particle":"","family":"Costa","given":"André N.","non-dropping-particle":"","parse-names":false,"suffix":""},{"dropping-particle":"","family":"Gebara","given":"Otávio C E","non-dropping-particle":"","parse-names":false,"suffix":""},{"dropping-particle":"","family":"Freitas","given":"Flávio G Rezende","non-dropping-particle":"de","parse-names":false,"suffix":""},{"dropping-particle":"","family":"Pacheco","given":"Eduardo S.","non-dropping-particle":"","parse-names":false,"suffix":""},{"dropping-particle":"","family":"Machado","given":"David J B","non-dropping-particle":"","parse-names":false,"suffix":""},{"dropping-particle":"","family":"Martin","given":"Josiane","non-dropping-particle":"","parse-names":false,"suffix":""},{"dropping-particle":"","family":"Conceição","given":"Fábio G.","non-dropping-particle":"","parse-names":false,"suffix":""},{"dropping-particle":"","family":"Siqueira","given":"Suellen R R","non-dropping-particle":"","parse-names":false,"suffix":""},{"dropping-particle":"","family":"Damiani","given":"Lucas P.","non-dropping-particle":"","parse-names":false,"suffix":""},{"dropping-particle":"","family":"Ishihara","given":"Luciana M.","non-dropping-particle":"","parse-names":false,"suffix":""},{"dropping-particle":"","family":"Schneider","given":"Daniel","non-dropping-particle":"","parse-names":false,"suffix":""},{"dropping-particle":"","family":"Souza","given":"Denise","non-dropping-particle":"de","parse-names":false,"suffix":""},{"dropping-particle":"","family":"Cavalcanti","given":"Alexandre B.","non-dropping-particle":"","parse-names":false,"suffix":""},{"dropping-particle":"","family":"Scheinberg","given":"Phillip","non-dropping-particle":"","parse-names":false,"suffix":""}],"container-title":"BMJ","id":"ITEM-4","issued":{"date-parts":[["2021","1","20"]]},"page":"n84","title":"Effect of tocilizumab on clinical outcomes at 15 days in patients with severe or critical coronavirus disease 2019: randomised controlled trial","type":"article-journal","volume":"372"},"uris":["http://www.mendeley.com/documents/?uuid=844cc03e-9be6-43be-8152-c1d7054d48c4"]}],"mendeley":{"formattedCitation":"(Gordon et al., 2021; Salama et al., 2021; The RECOVERY Collaborative Group, 2020; Veiga et al., 2021)","plainTextFormattedCitation":"(Gordon et al., 2021; Salama et al., 2021; The RECOVERY Collaborative Group, 2020; Veiga et al., 2021)","previouslyFormattedCitation":"(Gordon et al., 2021; Salama et al., 2021; The RECOVERY Collaborative Group, 2020; Veiga et al., 2021)"},"properties":{"noteIndex":0},"schema":"https://github.com/citation-style-language/schema/raw/master/csl-citation.json"}</w:instrText>
      </w:r>
      <w:r w:rsidR="000A22E5">
        <w:rPr>
          <w:lang w:eastAsia="en-GB"/>
        </w:rPr>
        <w:fldChar w:fldCharType="separate"/>
      </w:r>
      <w:r w:rsidR="0063592C" w:rsidRPr="0063592C">
        <w:rPr>
          <w:noProof/>
          <w:lang w:eastAsia="en-GB"/>
        </w:rPr>
        <w:t>(Gordon et al., 2021; Salama et al., 2021; The RECOVERY Collaborative Group, 2020; Veiga et al., 2021)</w:t>
      </w:r>
      <w:r w:rsidR="000A22E5">
        <w:rPr>
          <w:lang w:eastAsia="en-GB"/>
        </w:rPr>
        <w:fldChar w:fldCharType="end"/>
      </w:r>
      <w:r w:rsidR="008457BE">
        <w:rPr>
          <w:lang w:eastAsia="en-GB"/>
        </w:rPr>
        <w:t xml:space="preserve">. </w:t>
      </w:r>
    </w:p>
    <w:p w14:paraId="27F85123" w14:textId="0F3A5BFC" w:rsidR="00874D87" w:rsidRDefault="003A7600" w:rsidP="00874D87">
      <w:pPr>
        <w:rPr>
          <w:lang w:eastAsia="en-GB"/>
        </w:rPr>
      </w:pPr>
      <w:bookmarkStart w:id="3" w:name="_Hlk68800180"/>
      <w:r>
        <w:rPr>
          <w:lang w:eastAsia="en-GB"/>
        </w:rPr>
        <w:t>P</w:t>
      </w:r>
      <w:r w:rsidR="00AC76AC">
        <w:rPr>
          <w:lang w:eastAsia="en-GB"/>
        </w:rPr>
        <w:t xml:space="preserve">ost-COVID-19 syndrome and long COVID </w:t>
      </w:r>
      <w:r w:rsidR="00F2126A">
        <w:rPr>
          <w:lang w:eastAsia="en-GB"/>
        </w:rPr>
        <w:t>is relatively</w:t>
      </w:r>
      <w:r w:rsidR="00AC76AC">
        <w:rPr>
          <w:lang w:eastAsia="en-GB"/>
        </w:rPr>
        <w:t xml:space="preserve"> less well understood. </w:t>
      </w:r>
      <w:r w:rsidR="00077B48">
        <w:rPr>
          <w:lang w:eastAsia="en-GB"/>
        </w:rPr>
        <w:t xml:space="preserve">For </w:t>
      </w:r>
      <w:r w:rsidR="00935E43">
        <w:rPr>
          <w:lang w:eastAsia="en-GB"/>
        </w:rPr>
        <w:t xml:space="preserve">COVID-19 patients who received intensive care, long COVID symptoms could </w:t>
      </w:r>
      <w:r w:rsidR="00077B48">
        <w:rPr>
          <w:lang w:eastAsia="en-GB"/>
        </w:rPr>
        <w:t>result from</w:t>
      </w:r>
      <w:r w:rsidR="00935E43">
        <w:rPr>
          <w:lang w:eastAsia="en-GB"/>
        </w:rPr>
        <w:t xml:space="preserve"> post-intensive care syndrome, which is characterised by cognitive and psychiatric symptoms as well as</w:t>
      </w:r>
      <w:r w:rsidR="00446FCE">
        <w:rPr>
          <w:lang w:eastAsia="en-GB"/>
        </w:rPr>
        <w:t xml:space="preserve"> immobility, and</w:t>
      </w:r>
      <w:r w:rsidR="00935E43">
        <w:rPr>
          <w:lang w:eastAsia="en-GB"/>
        </w:rPr>
        <w:t xml:space="preserve"> microvascular </w:t>
      </w:r>
      <w:r w:rsidR="00446FCE">
        <w:rPr>
          <w:lang w:eastAsia="en-GB"/>
        </w:rPr>
        <w:t xml:space="preserve">and metabolic dysregulations </w:t>
      </w:r>
      <w:r w:rsidR="00446FCE">
        <w:rPr>
          <w:lang w:eastAsia="en-GB"/>
        </w:rPr>
        <w:fldChar w:fldCharType="begin" w:fldLock="1"/>
      </w:r>
      <w:r w:rsidR="00446FCE">
        <w:rPr>
          <w:lang w:eastAsia="en-GB"/>
        </w:rPr>
        <w:instrText>ADDIN CSL_CITATION {"citationItems":[{"id":"ITEM-1","itemData":{"DOI":"10.1038/s41591-021-01283-z","ISSN":"1078-8956","PMID":"33753937","abstract":"Severe acute respiratory syndrome coronavirus 2 (SARS-CoV-2) is the pathogen responsible for the coronavirus disease 2019 (COVID-19) pandemic, which has resulted in global healthcare crises and strained health resources. As the population of patients recovering from COVID-19 grows, it is paramount to establish an understanding of the healthcare issues surrounding them. COVID-19 is now recognized as a multi-organ disease with a broad spectrum of manifestations. Similarly to post-acute viral syndromes described in survivors of other virulent coronavirus epidemics, there are increasing reports of persistent and prolonged effects after acute COVID-19. Patient advocacy groups, many members of which identify themselves as long haulers, have helped contribute to the recognition of post-acute COVID-19, a syndrome characterized by persistent symptoms and/or delayed or long-term complications beyond 4 weeks from the onset of symptoms. Here, we provide a comprehensive review of the current literature on post-acute COVID-19, its pathophysiology and its organ-specific sequelae. Finally, we discuss relevant considerations for the multidisciplinary care of COVID-19 survivors and propose a framework for the identification of those at high risk for post-acute COVID-19 and their coordinated management through dedicated COVID-19 clinics.","author":[{"dropping-particle":"","family":"Nalbandian","given":"Ani","non-dropping-particle":"","parse-names":false,"suffix":""},{"dropping-particle":"","family":"Sehgal","given":"Kartik","non-dropping-particle":"","parse-names":false,"suffix":""},{"dropping-particle":"","family":"Gupta","given":"Aakriti","non-dropping-particle":"","parse-names":false,"suffix":""},{"dropping-particle":"V.","family":"Madhavan","given":"Mahesh","non-dropping-particle":"","parse-names":false,"suffix":""},{"dropping-particle":"","family":"McGroder","given":"Claire","non-dropping-particle":"","parse-names":false,"suffix":""},{"dropping-particle":"","family":"Stevens","given":"Jacob S.","non-dropping-particle":"","parse-names":false,"suffix":""},{"dropping-particle":"","family":"Cook","given":"Joshua R.","non-dropping-particle":"","parse-names":false,"suffix":""},{"dropping-particle":"","family":"Nordvig","given":"Anna S.","non-dropping-particle":"","parse-names":false,"suffix":""},{"dropping-particle":"","family":"Shalev","given":"Daniel","non-dropping-particle":"","parse-names":false,"suffix":""},{"dropping-particle":"","family":"Sehrawat","given":"Tejasav S.","non-dropping-particle":"","parse-names":false,"suffix":""},{"dropping-particle":"","family":"Ahluwalia","given":"Neha","non-dropping-particle":"","parse-names":false,"suffix":""},{"dropping-particle":"","family":"Bikdeli","given":"Behnood","non-dropping-particle":"","parse-names":false,"suffix":""},{"dropping-particle":"","family":"Dietz","given":"Donald","non-dropping-particle":"","parse-names":false,"suffix":""},{"dropping-particle":"","family":"Der-Nigoghossian","given":"Caroline","non-dropping-particle":"","parse-names":false,"suffix":""},{"dropping-particle":"","family":"Liyanage-Don","given":"Nadia","non-dropping-particle":"","parse-names":false,"suffix":""},{"dropping-particle":"","family":"Rosner","given":"Gregg F.","non-dropping-particle":"","parse-names":false,"suffix":""},{"dropping-particle":"","family":"Bernstein","given":"Elana J.","non-dropping-particle":"","parse-names":false,"suffix":""},{"dropping-particle":"","family":"Mohan","given":"Sumit","non-dropping-particle":"","parse-names":false,"suffix":""},{"dropping-particle":"","family":"Beckley","given":"Akinpelumi A.","non-dropping-particle":"","parse-names":false,"suffix":""},{"dropping-particle":"","family":"Seres","given":"David S.","non-dropping-particle":"","parse-names":false,"suffix":""},{"dropping-particle":"","family":"Choueiri","given":"Toni K.","non-dropping-particle":"","parse-names":false,"suffix":""},{"dropping-particle":"","family":"Uriel","given":"Nir","non-dropping-particle":"","parse-names":false,"suffix":""},{"dropping-particle":"","family":"Ausiello","given":"John C.","non-dropping-particle":"","parse-names":false,"suffix":""},{"dropping-particle":"","family":"Accili","given":"Domenico","non-dropping-particle":"","parse-names":false,"suffix":""},{"dropping-particle":"","family":"Freedberg","given":"Daniel E.","non-dropping-particle":"","parse-names":false,"suffix":""},{"dropping-particle":"","family":"Baldwin","given":"Matthew","non-dropping-particle":"","parse-names":false,"suffix":""},{"dropping-particle":"","family":"Schwartz","given":"Allan","non-dropping-particle":"","parse-names":false,"suffix":""},{"dropping-particle":"","family":"Brodie","given":"Daniel","non-dropping-particle":"","parse-names":false,"suffix":""},{"dropping-particle":"","family":"Garcia","given":"Christine Kim","non-dropping-particle":"","parse-names":false,"suffix":""},{"dropping-particle":"V.","family":"Elkind","given":"Mitchell S.","non-dropping-particle":"","parse-names":false,"suffix":""},{"dropping-particle":"","family":"Connors","given":"Jean M.","non-dropping-particle":"","parse-names":false,"suffix":""},{"dropping-particle":"","family":"Bilezikian","given":"John P.","non-dropping-particle":"","parse-names":false,"suffix":""},{"dropping-particle":"","family":"Landry","given":"Donald W.","non-dropping-particle":"","parse-names":false,"suffix":""},{"dropping-particle":"","family":"Wan","given":"Elaine Y.","non-dropping-particle":"","parse-names":false,"suffix":""}],"container-title":"Nature Medicine","id":"ITEM-1","issued":{"date-parts":[["2021","3","22"]]},"publisher":"Springer US","title":"Post-acute COVID-19 syndrome","type":"article-journal"},"uris":["http://www.mendeley.com/documents/?uuid=cbe9ddea-70fc-4c2f-b92e-dc128b13ddde"]}],"mendeley":{"formattedCitation":"(Nalbandian et al., 2021)","plainTextFormattedCitation":"(Nalbandian et al., 2021)","previouslyFormattedCitation":"(Nalbandian et al., 2021)"},"properties":{"noteIndex":0},"schema":"https://github.com/citation-style-language/schema/raw/master/csl-citation.json"}</w:instrText>
      </w:r>
      <w:r w:rsidR="00446FCE">
        <w:rPr>
          <w:lang w:eastAsia="en-GB"/>
        </w:rPr>
        <w:fldChar w:fldCharType="separate"/>
      </w:r>
      <w:r w:rsidR="00446FCE" w:rsidRPr="00446FCE">
        <w:rPr>
          <w:noProof/>
          <w:lang w:eastAsia="en-GB"/>
        </w:rPr>
        <w:t>(Nalbandian et al., 2021)</w:t>
      </w:r>
      <w:r w:rsidR="00446FCE">
        <w:rPr>
          <w:lang w:eastAsia="en-GB"/>
        </w:rPr>
        <w:fldChar w:fldCharType="end"/>
      </w:r>
      <w:r w:rsidR="00446FCE">
        <w:rPr>
          <w:lang w:eastAsia="en-GB"/>
        </w:rPr>
        <w:t xml:space="preserve">. </w:t>
      </w:r>
      <w:r w:rsidR="003F0E9D">
        <w:rPr>
          <w:lang w:eastAsia="en-GB"/>
        </w:rPr>
        <w:t>However, n</w:t>
      </w:r>
      <w:r w:rsidR="00446FCE">
        <w:rPr>
          <w:lang w:eastAsia="en-GB"/>
        </w:rPr>
        <w:t xml:space="preserve">ot all individuals suffering from long COVID suffer from severe COVID-19, and incident psychiatric and neurological disorders are more common in hospitalised COVID-19 patients than in matched groups of hospitalised patients with influenza or other </w:t>
      </w:r>
      <w:r w:rsidR="00446FCE">
        <w:rPr>
          <w:lang w:eastAsia="en-GB"/>
        </w:rPr>
        <w:lastRenderedPageBreak/>
        <w:t xml:space="preserve">respiratory tract infections </w:t>
      </w:r>
      <w:r w:rsidR="00446FCE">
        <w:rPr>
          <w:lang w:eastAsia="en-GB"/>
        </w:rPr>
        <w:fldChar w:fldCharType="begin" w:fldLock="1"/>
      </w:r>
      <w:r w:rsidR="00446FCE">
        <w:rPr>
          <w:lang w:eastAsia="en-GB"/>
        </w:rPr>
        <w:instrText>ADDIN CSL_CITATION {"citationItems":[{"id":"ITEM-1","itemData":{"DOI":"10.1016/S2215-0366(21)00084-5","ISSN":"22150366","author":[{"dropping-particle":"","family":"Taquet","given":"Maxime","non-dropping-particle":"","parse-names":false,"suffix":""},{"dropping-particle":"","family":"Geddes","given":"John R","non-dropping-particle":"","parse-names":false,"suffix":""},{"dropping-particle":"","family":"Husain","given":"Masud","non-dropping-particle":"","parse-names":false,"suffix":""},{"dropping-particle":"","family":"Luciano","given":"Sierra","non-dropping-particle":"","parse-names":false,"suffix":""},{"dropping-particle":"","family":"Harrison","given":"Paul J","non-dropping-particle":"","parse-names":false,"suffix":""}],"container-title":"The Lancet Psychiatry","id":"ITEM-1","issued":{"date-parts":[["2021","4"]]},"publisher":"The Author(s). Published by Elsevier Ltd. This is an Open Access article under the CC BY 4.0 license","title":"6-month neurological and psychiatric outcomes in 236 379 survivors of COVID-19: a retrospective cohort study using electronic health records","type":"article-journal"},"uris":["http://www.mendeley.com/documents/?uuid=740cc0ef-492f-47b0-b52a-8075c87a1a00"]},{"id":"ITEM-2","itemData":{"DOI":"10.1136/bmjopen-2020-048391","author":[{"dropping-particle":"","family":"Dennis","given":"Andrea","non-dropping-particle":"","parse-names":false,"suffix":""},{"dropping-particle":"","family":"Wamil","given":"Malgorzata","non-dropping-particle":"","parse-names":false,"suffix":""},{"dropping-particle":"","family":"Alberts","given":"Johann","non-dropping-particle":"","parse-names":false,"suffix":""},{"dropping-particle":"","family":"Oben","given":"Jude","non-dropping-particle":"","parse-names":false,"suffix":""},{"dropping-particle":"","family":"Cuthbertson","given":"Daniel J","non-dropping-particle":"","parse-names":false,"suffix":""},{"dropping-particle":"","family":"Wootton","given":"Dan","non-dropping-particle":"","parse-names":false,"suffix":""},{"dropping-particle":"","family":"Crooks","given":"Michael","non-dropping-particle":"","parse-names":false,"suffix":""},{"dropping-particle":"","family":"Gabbay","given":"Mark","non-dropping-particle":"","parse-names":false,"suffix":""},{"dropping-particle":"","family":"Brady","given":"Michael","non-dropping-particle":"","parse-names":false,"suffix":""},{"dropping-particle":"","family":"Hishmeh","given":"Lyth","non-dropping-particle":"","parse-names":false,"suffix":""},{"dropping-particle":"","family":"Attree","given":"Emily","non-dropping-particle":"","parse-names":false,"suffix":""},{"dropping-particle":"","family":"Heightman","given":"Melissa","non-dropping-particle":"","parse-names":false,"suffix":""}],"container-title":"BMJ Open","id":"ITEM-2","issued":{"date-parts":[["2021"]]},"page":"2-7","title":"Multiorgan impairment in low-risk individuals with post-COVID-19 syndrome: a prospective, community-­based study","type":"article-journal"},"uris":["http://www.mendeley.com/documents/?uuid=2c8b589e-1f8e-4f17-9b38-b3b9887d4db6"]}],"mendeley":{"formattedCitation":"(Dennis et al., 2021; Taquet et al., 2021)","plainTextFormattedCitation":"(Dennis et al., 2021; Taquet et al., 2021)","previouslyFormattedCitation":"(Dennis et al., 2021; Taquet et al., 2021)"},"properties":{"noteIndex":0},"schema":"https://github.com/citation-style-language/schema/raw/master/csl-citation.json"}</w:instrText>
      </w:r>
      <w:r w:rsidR="00446FCE">
        <w:rPr>
          <w:lang w:eastAsia="en-GB"/>
        </w:rPr>
        <w:fldChar w:fldCharType="separate"/>
      </w:r>
      <w:r w:rsidR="00446FCE" w:rsidRPr="00446FCE">
        <w:rPr>
          <w:noProof/>
          <w:lang w:eastAsia="en-GB"/>
        </w:rPr>
        <w:t>(Dennis et al., 2021; Taquet et al., 2021)</w:t>
      </w:r>
      <w:r w:rsidR="00446FCE">
        <w:rPr>
          <w:lang w:eastAsia="en-GB"/>
        </w:rPr>
        <w:fldChar w:fldCharType="end"/>
      </w:r>
      <w:r w:rsidR="00446FCE">
        <w:rPr>
          <w:lang w:eastAsia="en-GB"/>
        </w:rPr>
        <w:t xml:space="preserve">. </w:t>
      </w:r>
      <w:r w:rsidR="00E54AB8">
        <w:rPr>
          <w:lang w:eastAsia="en-GB"/>
        </w:rPr>
        <w:t xml:space="preserve">This suggests other mechanisms </w:t>
      </w:r>
      <w:r w:rsidR="00051A61">
        <w:rPr>
          <w:lang w:eastAsia="en-GB"/>
        </w:rPr>
        <w:t xml:space="preserve">could also be </w:t>
      </w:r>
      <w:r w:rsidR="00E54AB8">
        <w:rPr>
          <w:lang w:eastAsia="en-GB"/>
        </w:rPr>
        <w:t xml:space="preserve">relevant. </w:t>
      </w:r>
      <w:r w:rsidR="00874D87">
        <w:rPr>
          <w:lang w:eastAsia="en-GB"/>
        </w:rPr>
        <w:t>Since viral coronavirus particles have been observed in brain tissue, v</w:t>
      </w:r>
      <w:r w:rsidR="00446FCE">
        <w:rPr>
          <w:lang w:eastAsia="en-GB"/>
        </w:rPr>
        <w:t xml:space="preserve">irus-specific </w:t>
      </w:r>
      <w:r w:rsidR="00874D87">
        <w:rPr>
          <w:lang w:eastAsia="en-GB"/>
        </w:rPr>
        <w:t xml:space="preserve">pathophysiological changes </w:t>
      </w:r>
      <w:r w:rsidR="003F6C81">
        <w:rPr>
          <w:lang w:eastAsia="en-GB"/>
        </w:rPr>
        <w:t xml:space="preserve">could be </w:t>
      </w:r>
      <w:r w:rsidR="00874D87">
        <w:rPr>
          <w:lang w:eastAsia="en-GB"/>
        </w:rPr>
        <w:t xml:space="preserve">possible contributors to </w:t>
      </w:r>
      <w:r w:rsidR="00797CB4">
        <w:rPr>
          <w:lang w:eastAsia="en-GB"/>
        </w:rPr>
        <w:t>neuro</w:t>
      </w:r>
      <w:r w:rsidR="00874D87">
        <w:rPr>
          <w:lang w:eastAsia="en-GB"/>
        </w:rPr>
        <w:t xml:space="preserve">psychiatric symptoms of long COVID. However, SARS-CoV-2 does not seem to infect neurons directly, which leaves immunological alterations and inflammation following COVID-19 as a more promising explanation for these symptoms </w:t>
      </w:r>
      <w:r w:rsidR="00446FCE">
        <w:rPr>
          <w:lang w:eastAsia="en-GB"/>
        </w:rPr>
        <w:fldChar w:fldCharType="begin" w:fldLock="1"/>
      </w:r>
      <w:r w:rsidR="00BA4DAA">
        <w:rPr>
          <w:lang w:eastAsia="en-GB"/>
        </w:rPr>
        <w:instrText>ADDIN CSL_CITATION {"citationItems":[{"id":"ITEM-1","itemData":{"DOI":"10.1038/s41591-021-01283-z","ISSN":"1078-8956","PMID":"33753937","abstract":"Severe acute respiratory syndrome coronavirus 2 (SARS-CoV-2) is the pathogen responsible for the coronavirus disease 2019 (COVID-19) pandemic, which has resulted in global healthcare crises and strained health resources. As the population of patients recovering from COVID-19 grows, it is paramount to establish an understanding of the healthcare issues surrounding them. COVID-19 is now recognized as a multi-organ disease with a broad spectrum of manifestations. Similarly to post-acute viral syndromes described in survivors of other virulent coronavirus epidemics, there are increasing reports of persistent and prolonged effects after acute COVID-19. Patient advocacy groups, many members of which identify themselves as long haulers, have helped contribute to the recognition of post-acute COVID-19, a syndrome characterized by persistent symptoms and/or delayed or long-term complications beyond 4 weeks from the onset of symptoms. Here, we provide a comprehensive review of the current literature on post-acute COVID-19, its pathophysiology and its organ-specific sequelae. Finally, we discuss relevant considerations for the multidisciplinary care of COVID-19 survivors and propose a framework for the identification of those at high risk for post-acute COVID-19 and their coordinated management through dedicated COVID-19 clinics.","author":[{"dropping-particle":"","family":"Nalbandian","given":"Ani","non-dropping-particle":"","parse-names":false,"suffix":""},{"dropping-particle":"","family":"Sehgal","given":"Kartik","non-dropping-particle":"","parse-names":false,"suffix":""},{"dropping-particle":"","family":"Gupta","given":"Aakriti","non-dropping-particle":"","parse-names":false,"suffix":""},{"dropping-particle":"V.","family":"Madhavan","given":"Mahesh","non-dropping-particle":"","parse-names":false,"suffix":""},{"dropping-particle":"","family":"McGroder","given":"Claire","non-dropping-particle":"","parse-names":false,"suffix":""},{"dropping-particle":"","family":"Stevens","given":"Jacob S.","non-dropping-particle":"","parse-names":false,"suffix":""},{"dropping-particle":"","family":"Cook","given":"Joshua R.","non-dropping-particle":"","parse-names":false,"suffix":""},{"dropping-particle":"","family":"Nordvig","given":"Anna S.","non-dropping-particle":"","parse-names":false,"suffix":""},{"dropping-particle":"","family":"Shalev","given":"Daniel","non-dropping-particle":"","parse-names":false,"suffix":""},{"dropping-particle":"","family":"Sehrawat","given":"Tejasav S.","non-dropping-particle":"","parse-names":false,"suffix":""},{"dropping-particle":"","family":"Ahluwalia","given":"Neha","non-dropping-particle":"","parse-names":false,"suffix":""},{"dropping-particle":"","family":"Bikdeli","given":"Behnood","non-dropping-particle":"","parse-names":false,"suffix":""},{"dropping-particle":"","family":"Dietz","given":"Donald","non-dropping-particle":"","parse-names":false,"suffix":""},{"dropping-particle":"","family":"Der-Nigoghossian","given":"Caroline","non-dropping-particle":"","parse-names":false,"suffix":""},{"dropping-particle":"","family":"Liyanage-Don","given":"Nadia","non-dropping-particle":"","parse-names":false,"suffix":""},{"dropping-particle":"","family":"Rosner","given":"Gregg F.","non-dropping-particle":"","parse-names":false,"suffix":""},{"dropping-particle":"","family":"Bernstein","given":"Elana J.","non-dropping-particle":"","parse-names":false,"suffix":""},{"dropping-particle":"","family":"Mohan","given":"Sumit","non-dropping-particle":"","parse-names":false,"suffix":""},{"dropping-particle":"","family":"Beckley","given":"Akinpelumi A.","non-dropping-particle":"","parse-names":false,"suffix":""},{"dropping-particle":"","family":"Seres","given":"David S.","non-dropping-particle":"","parse-names":false,"suffix":""},{"dropping-particle":"","family":"Choueiri","given":"Toni K.","non-dropping-particle":"","parse-names":false,"suffix":""},{"dropping-particle":"","family":"Uriel","given":"Nir","non-dropping-particle":"","parse-names":false,"suffix":""},{"dropping-particle":"","family":"Ausiello","given":"John C.","non-dropping-particle":"","parse-names":false,"suffix":""},{"dropping-particle":"","family":"Accili","given":"Domenico","non-dropping-particle":"","parse-names":false,"suffix":""},{"dropping-particle":"","family":"Freedberg","given":"Daniel E.","non-dropping-particle":"","parse-names":false,"suffix":""},{"dropping-particle":"","family":"Baldwin","given":"Matthew","non-dropping-particle":"","parse-names":false,"suffix":""},{"dropping-particle":"","family":"Schwartz","given":"Allan","non-dropping-particle":"","parse-names":false,"suffix":""},{"dropping-particle":"","family":"Brodie","given":"Daniel","non-dropping-particle":"","parse-names":false,"suffix":""},{"dropping-particle":"","family":"Garcia","given":"Christine Kim","non-dropping-particle":"","parse-names":false,"suffix":""},{"dropping-particle":"V.","family":"Elkind","given":"Mitchell S.","non-dropping-particle":"","parse-names":false,"suffix":""},{"dropping-particle":"","family":"Connors","given":"Jean M.","non-dropping-particle":"","parse-names":false,"suffix":""},{"dropping-particle":"","family":"Bilezikian","given":"John P.","non-dropping-particle":"","parse-names":false,"suffix":""},{"dropping-particle":"","family":"Landry","given":"Donald W.","non-dropping-particle":"","parse-names":false,"suffix":""},{"dropping-particle":"","family":"Wan","given":"Elaine Y.","non-dropping-particle":"","parse-names":false,"suffix":""}],"container-title":"Nature Medicine","id":"ITEM-1","issued":{"date-parts":[["2021","3","22"]]},"publisher":"Springer US","title":"Post-acute COVID-19 syndrome","type":"article-journal"},"uris":["http://www.mendeley.com/documents/?uuid=cbe9ddea-70fc-4c2f-b92e-dc128b13ddde"]}],"mendeley":{"formattedCitation":"(Nalbandian et al., 2021)","plainTextFormattedCitation":"(Nalbandian et al., 2021)","previouslyFormattedCitation":"(Nalbandian et al., 2021)"},"properties":{"noteIndex":0},"schema":"https://github.com/citation-style-language/schema/raw/master/csl-citation.json"}</w:instrText>
      </w:r>
      <w:r w:rsidR="00446FCE">
        <w:rPr>
          <w:lang w:eastAsia="en-GB"/>
        </w:rPr>
        <w:fldChar w:fldCharType="separate"/>
      </w:r>
      <w:r w:rsidR="00446FCE" w:rsidRPr="00446FCE">
        <w:rPr>
          <w:noProof/>
          <w:lang w:eastAsia="en-GB"/>
        </w:rPr>
        <w:t>(Nalbandian et al., 2021)</w:t>
      </w:r>
      <w:r w:rsidR="00446FCE">
        <w:rPr>
          <w:lang w:eastAsia="en-GB"/>
        </w:rPr>
        <w:fldChar w:fldCharType="end"/>
      </w:r>
      <w:r w:rsidR="00874D87">
        <w:rPr>
          <w:lang w:eastAsia="en-GB"/>
        </w:rPr>
        <w:t xml:space="preserve">. </w:t>
      </w:r>
      <w:r w:rsidR="00BA4DAA">
        <w:rPr>
          <w:lang w:eastAsia="en-GB"/>
        </w:rPr>
        <w:t xml:space="preserve">This idea is supported by findings that baseline CRP and immune cell counts characteristic for systemic inflammation are associated with depressive symptoms following COVID-19 </w:t>
      </w:r>
      <w:r w:rsidR="00BA4DAA">
        <w:rPr>
          <w:lang w:eastAsia="en-GB"/>
        </w:rPr>
        <w:fldChar w:fldCharType="begin" w:fldLock="1"/>
      </w:r>
      <w:r w:rsidR="006F41D9">
        <w:rPr>
          <w:lang w:eastAsia="en-GB"/>
        </w:rPr>
        <w:instrText>ADDIN CSL_CITATION {"citationItems":[{"id":"ITEM-1","itemData":{"DOI":"10.1016/j.bbi.2020.07.037","ISSN":"08891591","PMID":"32738287","abstract":"Infection-triggered perturbation of the immune system could induce psychopathology, and psychiatric sequelae were observed after previous coronavirus outbreaks. The spreading of the Severe Acute Respiratory Syndrome Coronavirus (COVID-19) pandemic could be associated with psychiatric implications. We investigated the psychopathological impact of COVID-19 in survivors, also considering the effect of clinical and inflammatory predictors. We screened for psychiatric symptoms 402 adults surviving COVID-19 (265 male, mean age 58), at one month follow-up after hospital treatment. A clinical interview and a battery of self-report questionnaires were used to investigate post-traumatic stress disorder (PTSD), depression, anxiety, insomnia, and obsessive-compulsive (OC) symptomatology. We collected sociodemographic information, clinical data, baseline inflammatory markers and follow-up oxygen saturation levels. A significant proportion of patients self-rated in the psychopathological range: 28% for PTSD, 31% for depression, 42% for anxiety, 20% for OC symptoms, and 40% for insomnia. Overall, 56% scored in the pathological range in at least one clinical dimension. Despite significantly lower levels of baseline inflammatory markers, females suffered more for both anxiety and depression. Patients with a positive previous psychiatric diagnosis showed increased scores on most psychopathological measures, with similar baseline inflammation. Baseline systemic immune-inflammation index (SII), which reflects the immune response and systemic inflammation based on peripheral lymphocyte, neutrophil, and platelet counts, positively associated with scores of depression and anxiety at follow-up. PTSD, major depression, and anxiety, are all high-burden non-communicable conditions associated with years of life lived with disability. Considering the alarming impact of COVID-19 infection on mental health, the current insights on inflammation in psychiatry, and the present observation of worse inflammation leading to worse depression, we recommend to assess psychopathology of COVID-19 survivors and to deepen research on inflammatory biomarkers, in order to diagnose and treat emergent psychiatric conditions.","author":[{"dropping-particle":"","family":"Mazza","given":"Mario Gennaro","non-dropping-particle":"","parse-names":false,"suffix":""},{"dropping-particle":"","family":"Lorenzo","given":"Rebecca","non-dropping-particle":"De","parse-names":false,"suffix":""},{"dropping-particle":"","family":"Conte","given":"Caterina","non-dropping-particle":"","parse-names":false,"suffix":""},{"dropping-particle":"","family":"Poletti","given":"Sara","non-dropping-particle":"","parse-names":false,"suffix":""},{"dropping-particle":"","family":"Vai","given":"Benedetta","non-dropping-particle":"","parse-names":false,"suffix":""},{"dropping-particle":"","family":"Bollettini","given":"Irene","non-dropping-particle":"","parse-names":false,"suffix":""},{"dropping-particle":"","family":"Melloni","given":"Elisa Maria Teresa","non-dropping-particle":"","parse-names":false,"suffix":""},{"dropping-particle":"","family":"Furlan","given":"Roberto","non-dropping-particle":"","parse-names":false,"suffix":""},{"dropping-particle":"","family":"Ciceri","given":"Fabio","non-dropping-particle":"","parse-names":false,"suffix":""},{"dropping-particle":"","family":"Rovere-Querini","given":"Patrizia","non-dropping-particle":"","parse-names":false,"suffix":""},{"dropping-particle":"","family":"Benedetti","given":"Francesco","non-dropping-particle":"","parse-names":false,"suffix":""}],"container-title":"Brain, Behavior, and Immunity","id":"ITEM-1","issue":"July","issued":{"date-parts":[["2020","10"]]},"page":"594-600","publisher":"Elsevier","title":"Anxiety and depression in COVID-19 survivors: Role of inflammatory and clinical predictors","type":"article-journal","volume":"89"},"uris":["http://www.mendeley.com/documents/?uuid=82874562-389c-40db-9078-c92158fe5977"]},{"id":"ITEM-2","itemData":{"DOI":"10.1016/j.bbi.2021.02.021","ISSN":"08891591","author":[{"dropping-particle":"","family":"Mazza","given":"Mario Gennaro","non-dropping-particle":"","parse-names":false,"suffix":""},{"dropping-particle":"","family":"Palladini","given":"Mariagrazia","non-dropping-particle":"","parse-names":false,"suffix":""},{"dropping-particle":"","family":"Lorenzo","given":"Rebecca","non-dropping-particle":"De","parse-names":false,"suffix":""},{"dropping-particle":"","family":"Magnaghi","given":"Cristiano","non-dropping-particle":"","parse-names":false,"suffix":""},{"dropping-particle":"","family":"Poletti","given":"Sara","non-dropping-particle":"","parse-names":false,"suffix":""},{"dropping-particle":"","family":"Furlan","given":"Roberto","non-dropping-particle":"","parse-names":false,"suffix":""},{"dropping-particle":"","family":"Ciceri","given":"Fabio","non-dropping-particle":"","parse-names":false,"suffix":""},{"dropping-particle":"","family":"Rovere-Querini","given":"Patrizia","non-dropping-particle":"","parse-names":false,"suffix":""},{"dropping-particle":"","family":"Benedetti","given":"Francesco","non-dropping-particle":"","parse-names":false,"suffix":""}],"container-title":"Brain, Behavior, and Immunity","id":"ITEM-2","issued":{"date-parts":[["2021","2"]]},"publisher":"Elsevier Inc.","title":"Persistent psychopathology and neurocognitive impairment in COVID-19 survivors: Effect of inflammatory biomarkers at three-month follow-up","type":"article-journal"},"uris":["http://www.mendeley.com/documents/?uuid=e58d3db4-25f0-4446-baf8-35bc2e0e8fc4"]}],"mendeley":{"formattedCitation":"(Mazza et al., 2021, 2020)","plainTextFormattedCitation":"(Mazza et al., 2021, 2020)","previouslyFormattedCitation":"(Mazza et al., 2021, 2020)"},"properties":{"noteIndex":0},"schema":"https://github.com/citation-style-language/schema/raw/master/csl-citation.json"}</w:instrText>
      </w:r>
      <w:r w:rsidR="00BA4DAA">
        <w:rPr>
          <w:lang w:eastAsia="en-GB"/>
        </w:rPr>
        <w:fldChar w:fldCharType="separate"/>
      </w:r>
      <w:r w:rsidR="00BA4DAA" w:rsidRPr="00BA4DAA">
        <w:rPr>
          <w:noProof/>
          <w:lang w:eastAsia="en-GB"/>
        </w:rPr>
        <w:t>(Mazza et al., 2021, 2020)</w:t>
      </w:r>
      <w:r w:rsidR="00BA4DAA">
        <w:rPr>
          <w:lang w:eastAsia="en-GB"/>
        </w:rPr>
        <w:fldChar w:fldCharType="end"/>
      </w:r>
      <w:r w:rsidR="00BA4DAA" w:rsidRPr="005977A6">
        <w:rPr>
          <w:lang w:eastAsia="en-GB"/>
        </w:rPr>
        <w:t>.</w:t>
      </w:r>
      <w:r w:rsidR="00BA4DAA">
        <w:rPr>
          <w:lang w:eastAsia="en-GB"/>
        </w:rPr>
        <w:t xml:space="preserve"> This association </w:t>
      </w:r>
      <w:r w:rsidR="00277AD2">
        <w:rPr>
          <w:lang w:eastAsia="en-GB"/>
        </w:rPr>
        <w:t xml:space="preserve">also </w:t>
      </w:r>
      <w:r w:rsidR="00BA4DAA">
        <w:rPr>
          <w:lang w:eastAsia="en-GB"/>
        </w:rPr>
        <w:t>seems to be mitigated in patients who received the anti-IL-1</w:t>
      </w:r>
      <w:r w:rsidR="00BA4DAA">
        <w:rPr>
          <w:rFonts w:cs="Times New Roman"/>
          <w:lang w:eastAsia="en-GB"/>
        </w:rPr>
        <w:t>β</w:t>
      </w:r>
      <w:r w:rsidR="00BA4DAA">
        <w:rPr>
          <w:lang w:eastAsia="en-GB"/>
        </w:rPr>
        <w:t xml:space="preserve"> drug </w:t>
      </w:r>
      <w:r w:rsidR="00BA4DAA" w:rsidRPr="00BA4DAA">
        <w:rPr>
          <w:lang w:eastAsia="en-GB"/>
        </w:rPr>
        <w:t>anakinra</w:t>
      </w:r>
      <w:r w:rsidR="00BA4DAA">
        <w:rPr>
          <w:lang w:eastAsia="en-GB"/>
        </w:rPr>
        <w:t xml:space="preserve"> and the anti-IL-6 drug tocilizumab, which directly implicates the IL-6</w:t>
      </w:r>
      <w:r w:rsidR="00EF1D8D">
        <w:rPr>
          <w:lang w:eastAsia="en-GB"/>
        </w:rPr>
        <w:t>/IL-6R</w:t>
      </w:r>
      <w:r w:rsidR="00BA4DAA">
        <w:rPr>
          <w:lang w:eastAsia="en-GB"/>
        </w:rPr>
        <w:t xml:space="preserve"> system </w:t>
      </w:r>
      <w:r w:rsidR="00BA4DAA">
        <w:rPr>
          <w:lang w:eastAsia="en-GB"/>
        </w:rPr>
        <w:fldChar w:fldCharType="begin" w:fldLock="1"/>
      </w:r>
      <w:r w:rsidR="00BA4DAA">
        <w:rPr>
          <w:lang w:eastAsia="en-GB"/>
        </w:rPr>
        <w:instrText>ADDIN CSL_CITATION {"citationItems":[{"id":"ITEM-1","itemData":{"DOI":"10.1016/j.bbi.2021.02.021","ISSN":"08891591","author":[{"dropping-particle":"","family":"Mazza","given":"Mario Gennaro","non-dropping-particle":"","parse-names":false,"suffix":""},{"dropping-particle":"","family":"Palladini","given":"Mariagrazia","non-dropping-particle":"","parse-names":false,"suffix":""},{"dropping-particle":"","family":"Lorenzo","given":"Rebecca","non-dropping-particle":"De","parse-names":false,"suffix":""},{"dropping-particle":"","family":"Magnaghi","given":"Cristiano","non-dropping-particle":"","parse-names":false,"suffix":""},{"dropping-particle":"","family":"Poletti","given":"Sara","non-dropping-particle":"","parse-names":false,"suffix":""},{"dropping-particle":"","family":"Furlan","given":"Roberto","non-dropping-particle":"","parse-names":false,"suffix":""},{"dropping-particle":"","family":"Ciceri","given":"Fabio","non-dropping-particle":"","parse-names":false,"suffix":""},{"dropping-particle":"","family":"Rovere-Querini","given":"Patrizia","non-dropping-particle":"","parse-names":false,"suffix":""},{"dropping-particle":"","family":"Benedetti","given":"Francesco","non-dropping-particle":"","parse-names":false,"suffix":""}],"container-title":"Brain, Behavior, and Immunity","id":"ITEM-1","issued":{"date-parts":[["2021","2"]]},"publisher":"Elsevier Inc.","title":"Persistent psychopathology and neurocognitive impairment in COVID-19 survivors: Effect of inflammatory biomarkers at three-month follow-up","type":"article-journal"},"uris":["http://www.mendeley.com/documents/?uuid=e58d3db4-25f0-4446-baf8-35bc2e0e8fc4"]}],"mendeley":{"formattedCitation":"(Mazza et al., 2021)","plainTextFormattedCitation":"(Mazza et al., 2021)","previouslyFormattedCitation":"(Mazza et al., 2021)"},"properties":{"noteIndex":0},"schema":"https://github.com/citation-style-language/schema/raw/master/csl-citation.json"}</w:instrText>
      </w:r>
      <w:r w:rsidR="00BA4DAA">
        <w:rPr>
          <w:lang w:eastAsia="en-GB"/>
        </w:rPr>
        <w:fldChar w:fldCharType="separate"/>
      </w:r>
      <w:r w:rsidR="00BA4DAA" w:rsidRPr="00BA4DAA">
        <w:rPr>
          <w:noProof/>
          <w:lang w:eastAsia="en-GB"/>
        </w:rPr>
        <w:t>(Mazza et al., 2021)</w:t>
      </w:r>
      <w:r w:rsidR="00BA4DAA">
        <w:rPr>
          <w:lang w:eastAsia="en-GB"/>
        </w:rPr>
        <w:fldChar w:fldCharType="end"/>
      </w:r>
      <w:r w:rsidR="00BA4DAA">
        <w:rPr>
          <w:lang w:eastAsia="en-GB"/>
        </w:rPr>
        <w:t>.</w:t>
      </w:r>
      <w:bookmarkEnd w:id="3"/>
    </w:p>
    <w:p w14:paraId="4F83D03E" w14:textId="69BCBDF6" w:rsidR="00BA4DAA" w:rsidRDefault="00BA4DAA" w:rsidP="0045005E">
      <w:pPr>
        <w:pStyle w:val="Heading2"/>
        <w:rPr>
          <w:lang w:eastAsia="en-GB"/>
        </w:rPr>
      </w:pPr>
      <w:r>
        <w:rPr>
          <w:lang w:eastAsia="en-GB"/>
        </w:rPr>
        <w:t xml:space="preserve">IL-6 </w:t>
      </w:r>
      <w:r w:rsidR="0083763C">
        <w:rPr>
          <w:lang w:eastAsia="en-GB"/>
        </w:rPr>
        <w:t>a</w:t>
      </w:r>
      <w:r w:rsidR="00A9403E">
        <w:rPr>
          <w:lang w:eastAsia="en-GB"/>
        </w:rPr>
        <w:t xml:space="preserve">s a </w:t>
      </w:r>
      <w:r w:rsidR="00AC286D">
        <w:rPr>
          <w:lang w:eastAsia="en-GB"/>
        </w:rPr>
        <w:t>m</w:t>
      </w:r>
      <w:r w:rsidR="00A9403E">
        <w:rPr>
          <w:lang w:eastAsia="en-GB"/>
        </w:rPr>
        <w:t xml:space="preserve">echanistic </w:t>
      </w:r>
      <w:r w:rsidR="00AC286D">
        <w:rPr>
          <w:lang w:eastAsia="en-GB"/>
        </w:rPr>
        <w:t>d</w:t>
      </w:r>
      <w:r w:rsidR="00A9403E">
        <w:rPr>
          <w:lang w:eastAsia="en-GB"/>
        </w:rPr>
        <w:t xml:space="preserve">river of </w:t>
      </w:r>
      <w:r>
        <w:rPr>
          <w:lang w:eastAsia="en-GB"/>
        </w:rPr>
        <w:t>long COVID</w:t>
      </w:r>
    </w:p>
    <w:p w14:paraId="317D72C2" w14:textId="10985460" w:rsidR="00BA4DAA" w:rsidRDefault="00BA4DAA" w:rsidP="00BA4DAA">
      <w:pPr>
        <w:rPr>
          <w:lang w:eastAsia="en-GB"/>
        </w:rPr>
      </w:pPr>
      <w:r>
        <w:rPr>
          <w:lang w:eastAsia="en-GB"/>
        </w:rPr>
        <w:t>Multiple mechanisms could link IL-6 with long COVID. Immunologically, it is known that IL-6 signalling activates T helper (T</w:t>
      </w:r>
      <w:r w:rsidRPr="00CB5212">
        <w:rPr>
          <w:vertAlign w:val="subscript"/>
          <w:lang w:eastAsia="en-GB"/>
        </w:rPr>
        <w:t>H</w:t>
      </w:r>
      <w:r>
        <w:rPr>
          <w:lang w:eastAsia="en-GB"/>
        </w:rPr>
        <w:t>) cells of the T</w:t>
      </w:r>
      <w:r w:rsidRPr="00CB5212">
        <w:rPr>
          <w:vertAlign w:val="subscript"/>
          <w:lang w:eastAsia="en-GB"/>
        </w:rPr>
        <w:t>H</w:t>
      </w:r>
      <w:r>
        <w:rPr>
          <w:lang w:eastAsia="en-GB"/>
        </w:rPr>
        <w:t>17 lineage and represses regulatory T (T</w:t>
      </w:r>
      <w:r w:rsidRPr="00CB5212">
        <w:rPr>
          <w:vertAlign w:val="subscript"/>
          <w:lang w:eastAsia="en-GB"/>
        </w:rPr>
        <w:t>reg</w:t>
      </w:r>
      <w:r>
        <w:rPr>
          <w:lang w:eastAsia="en-GB"/>
        </w:rPr>
        <w:t xml:space="preserve">) cells, respectively </w:t>
      </w:r>
      <w:r>
        <w:rPr>
          <w:lang w:eastAsia="en-GB"/>
        </w:rPr>
        <w:fldChar w:fldCharType="begin" w:fldLock="1"/>
      </w:r>
      <w:r>
        <w:rPr>
          <w:lang w:eastAsia="en-GB"/>
        </w:rPr>
        <w:instrText>ADDIN CSL_CITATION {"citationItems":[{"id":"ITEM-1","itemData":{"DOI":"10.1038/nature04753","ISSN":"0028-0836","PMID":"16648838","abstract":"On activation, T cells undergo distinct developmental pathways, attaining specialized properties and effector functions. T-helper (TH) cells are traditionally thought to differentiate into TH1 and T H2 cell subsets. TH1 cells are necessary to clear intracellular pathogens and TH2 cells are important for clearing extracellular organisms1,2. Recently, a subset of interleukin (IL)-17-producing T (TH17) cells distinct from TH1 or TH2 cells has been described and shown to have a crucial role in the induction of autoimmune tissue injury3,5. In contrast, CD4 +CD25+Foxp3+ regulatory T (Treg) cells inhibit autoimmunity and protect against tissue injury6. Transforming growth factor-β (TGF-β) is a critical differentiation factor for the generation of Treg cells7. Here we show, using mice with a reporter introduced into the endogenous Foxp3 locus, that IL-6, an acute phase protein induced during inflammation8,9, completely inhibits the generation of Foxp3+ Treg cells induced by TGF-β. We also demonstrate that IL-23 is not the differentiation factor for the generation of TH17 cells. Instead, IL-6 and TGF-β together induce the differentiation of pathogenic TH17 cells from naive T cells. Our data demonstrate a dichotomy in the generation of pathogenic (TH17) T cells that induce autoimmunity and regulatory (Foxp3+) T cells that inhibit autoimmune tissue injury. © 2006 Nature Publishing Group.","author":[{"dropping-particle":"","family":"Bettelli","given":"Estelle","non-dropping-particle":"","parse-names":false,"suffix":""},{"dropping-particle":"","family":"Carrier","given":"Yijun","non-dropping-particle":"","parse-names":false,"suffix":""},{"dropping-particle":"","family":"Gao","given":"Wenda","non-dropping-particle":"","parse-names":false,"suffix":""},{"dropping-particle":"","family":"Korn","given":"Thomas","non-dropping-particle":"","parse-names":false,"suffix":""},{"dropping-particle":"","family":"Strom","given":"Terry B.","non-dropping-particle":"","parse-names":false,"suffix":""},{"dropping-particle":"","family":"Oukka","given":"Mohamed","non-dropping-particle":"","parse-names":false,"suffix":""},{"dropping-particle":"","family":"Weiner","given":"Howard L.","non-dropping-particle":"","parse-names":false,"suffix":""},{"dropping-particle":"","family":"Kuchroo","given":"Vijay K.","non-dropping-particle":"","parse-names":false,"suffix":""}],"container-title":"Nature","id":"ITEM-1","issue":"7090","issued":{"date-parts":[["2006","5","30"]]},"page":"235-238","title":"Reciprocal developmental pathways for the generation of pathogenic effector TH17 and regulatory T cells","type":"article-journal","volume":"441"},"uris":["http://www.mendeley.com/documents/?uuid=7a05e678-2141-4293-836e-42e7e862266e"]}],"mendeley":{"formattedCitation":"(Bettelli et al., 2006)","plainTextFormattedCitation":"(Bettelli et al., 2006)","previouslyFormattedCitation":"(Bettelli et al., 2006)"},"properties":{"noteIndex":0},"schema":"https://github.com/citation-style-language/schema/raw/master/csl-citation.json"}</w:instrText>
      </w:r>
      <w:r>
        <w:rPr>
          <w:lang w:eastAsia="en-GB"/>
        </w:rPr>
        <w:fldChar w:fldCharType="separate"/>
      </w:r>
      <w:r w:rsidRPr="00E971CC">
        <w:rPr>
          <w:noProof/>
          <w:lang w:eastAsia="en-GB"/>
        </w:rPr>
        <w:t>(Bettelli et al., 2006)</w:t>
      </w:r>
      <w:r>
        <w:rPr>
          <w:lang w:eastAsia="en-GB"/>
        </w:rPr>
        <w:fldChar w:fldCharType="end"/>
      </w:r>
      <w:r>
        <w:rPr>
          <w:lang w:eastAsia="en-GB"/>
        </w:rPr>
        <w:t xml:space="preserve">. This mechanism is proposed to contribute to risk for viral diseases such as hepatitis C </w:t>
      </w:r>
      <w:r>
        <w:rPr>
          <w:lang w:eastAsia="en-GB"/>
        </w:rPr>
        <w:fldChar w:fldCharType="begin" w:fldLock="1"/>
      </w:r>
      <w:r>
        <w:rPr>
          <w:lang w:eastAsia="en-GB"/>
        </w:rPr>
        <w:instrText>ADDIN CSL_CITATION {"citationItems":[{"id":"ITEM-1","itemData":{"DOI":"10.1038/gene.2015.40","ISSN":"1466-4879","PMID":"26447433","abstract":"Interleukin-6 (IL-6) has an important role in the pathogenesis of chronic viral hepatitis and related liver diseases. Although host genetics associated with the response to anti-viral treatment have been reported, little is known about the relationship between IL6 genetic polymorphisms and the outcome of hepatitis B virus (HBV) infection. In this study, we determined the genotype distribution of rs1800796 polymorphism in healthy controls and cases including chronic HBV (CHB), hepatitis C virus and HIV infection. The rs1800796 was found to be associated with clinical outcome of CHB in experimental and validation cohort. The rs1800796C allele has twofold higher promoter activity than G allele. Consistently, CD14+ monocytes from subjects carrying the rs1800796C allele produced more IL-6 in response to in vitro HBV core antigen stimulation than those carrying G allele. Moreover, CHB patients carrying rs1800796C allele have significantly higher T-helper 17 (Th17) and regulatory T cell (Treg) ratio. Finally, a transcription factor C/EBPα binds in higher affinity to rs1800796C allele than to G allele. These results suggest that genetic predisposition to higher IL-6 production is associated with increased risk to HBV infection and hepatic inflammation, which might be due to C/EBPα-mediated regulatory effect on Th17 and Treg responses. Appropriate manipulation of IL-6 expression might be used to prevent and treat HBV infection.","author":[{"dropping-particle":"","family":"Zhang","given":"G","non-dropping-particle":"","parse-names":false,"suffix":""},{"dropping-particle":"","family":"Wang","given":"W.","non-dropping-particle":"","parse-names":false,"suffix":""},{"dropping-particle":"","family":"Li","given":"S.","non-dropping-particle":"","parse-names":false,"suffix":""},{"dropping-particle":"","family":"Yang","given":"H","non-dropping-particle":"","parse-names":false,"suffix":""},{"dropping-particle":"","family":"Zhang","given":"M","non-dropping-particle":"","parse-names":false,"suffix":""},{"dropping-particle":"","family":"Zhang","given":"P.","non-dropping-particle":"","parse-names":false,"suffix":""},{"dropping-particle":"","family":"Wen","given":"Y.","non-dropping-particle":"","parse-names":false,"suffix":""},{"dropping-particle":"","family":"Wu","given":"A.","non-dropping-particle":"","parse-names":false,"suffix":""},{"dropping-particle":"","family":"Yang","given":"L.","non-dropping-particle":"","parse-names":false,"suffix":""},{"dropping-particle":"","family":"Zhou","given":"B.","non-dropping-particle":"","parse-names":false,"suffix":""},{"dropping-particle":"","family":"Chen","given":"X.","non-dropping-particle":"","parse-names":false,"suffix":""}],"container-title":"Genes &amp; Immunity","id":"ITEM-1","issue":"8","issued":{"date-parts":[["2015","12","8"]]},"page":"528-535","title":"IL6 gene allele-specific C/EBPα-binding activity affects the development of HBV infection through modulation of Th17/Treg balance","type":"article-journal","volume":"16"},"uris":["http://www.mendeley.com/documents/?uuid=1d8bca00-4d56-4a8c-b12c-ce1436c4a103"]}],"mendeley":{"formattedCitation":"(Zhang et al., 2015)","plainTextFormattedCitation":"(Zhang et al., 2015)","previouslyFormattedCitation":"(Zhang et al., 2015)"},"properties":{"noteIndex":0},"schema":"https://github.com/citation-style-language/schema/raw/master/csl-citation.json"}</w:instrText>
      </w:r>
      <w:r>
        <w:rPr>
          <w:lang w:eastAsia="en-GB"/>
        </w:rPr>
        <w:fldChar w:fldCharType="separate"/>
      </w:r>
      <w:r w:rsidRPr="00E971CC">
        <w:rPr>
          <w:noProof/>
          <w:lang w:eastAsia="en-GB"/>
        </w:rPr>
        <w:t>(Zhang et al., 2015)</w:t>
      </w:r>
      <w:r>
        <w:rPr>
          <w:lang w:eastAsia="en-GB"/>
        </w:rPr>
        <w:fldChar w:fldCharType="end"/>
      </w:r>
      <w:r w:rsidR="000F1707">
        <w:rPr>
          <w:lang w:eastAsia="en-GB"/>
        </w:rPr>
        <w:t>,</w:t>
      </w:r>
      <w:r>
        <w:rPr>
          <w:lang w:eastAsia="en-GB"/>
        </w:rPr>
        <w:t xml:space="preserve"> and it could also be relevant for COVID-19 and long COVID. IL-6 activity leads to a shift in activated T</w:t>
      </w:r>
      <w:r w:rsidRPr="00CB5212">
        <w:rPr>
          <w:vertAlign w:val="subscript"/>
          <w:lang w:eastAsia="en-GB"/>
        </w:rPr>
        <w:t>H</w:t>
      </w:r>
      <w:r>
        <w:rPr>
          <w:lang w:eastAsia="en-GB"/>
        </w:rPr>
        <w:t xml:space="preserve"> cells towards the T</w:t>
      </w:r>
      <w:r w:rsidRPr="00CB5212">
        <w:rPr>
          <w:vertAlign w:val="subscript"/>
          <w:lang w:eastAsia="en-GB"/>
        </w:rPr>
        <w:t>H</w:t>
      </w:r>
      <w:r>
        <w:rPr>
          <w:lang w:eastAsia="en-GB"/>
        </w:rPr>
        <w:t xml:space="preserve">17 lineage in patients with COVID-19-associated pneumonia </w:t>
      </w:r>
      <w:r>
        <w:rPr>
          <w:lang w:eastAsia="en-GB"/>
        </w:rPr>
        <w:fldChar w:fldCharType="begin" w:fldLock="1"/>
      </w:r>
      <w:r>
        <w:rPr>
          <w:lang w:eastAsia="en-GB"/>
        </w:rPr>
        <w:instrText>ADDIN CSL_CITATION {"citationItems":[{"id":"ITEM-1","itemData":{"DOI":"10.1038/s41467-020-17292-4","ISSN":"2041-1723","PMID":"32632085","abstract":"The immune system of patients infected by SARS-CoV-2 is severely impaired. Detailed investigation of T cells and cytokine production in patients affected by COVID-19 pneumonia are urgently required. Here we show that, compared with healthy controls, COVID-19 patients’ T cell compartment displays several alterations involving naïve, central memory, effector memory and terminally differentiated cells, as well as regulatory T cells and PD1+CD57+ exhausted T cells. Significant alterations exist also in several lineage-specifying transcription factors and chemokine receptors. Terminally differentiated T cells from patients proliferate less than those from healthy controls, whereas their mitochondria functionality is similar in CD4+ T cells from both groups. Patients display significant increases of proinflammatory or anti-inflammatory cytokines, including T helper type-1 and type-2 cytokines, chemokines and galectins; their lymphocytes produce more tumor necrosis factor (TNF), interferon-γ, interleukin (IL)-2 and IL-17, with the last observation implying that blocking IL-17 could provide a novel therapeutic strategy for COVID-19.","author":[{"dropping-particle":"","family":"Biasi","given":"Sara","non-dropping-particle":"De","parse-names":false,"suffix":""},{"dropping-particle":"","family":"Meschiari","given":"Marianna","non-dropping-particle":"","parse-names":false,"suffix":""},{"dropping-particle":"","family":"Gibellini","given":"Lara","non-dropping-particle":"","parse-names":false,"suffix":""},{"dropping-particle":"","family":"Bellinazzi","given":"Caterina","non-dropping-particle":"","parse-names":false,"suffix":""},{"dropping-particle":"","family":"Borella","given":"Rebecca","non-dropping-particle":"","parse-names":false,"suffix":""},{"dropping-particle":"","family":"Fidanza","given":"Lucia","non-dropping-particle":"","parse-names":false,"suffix":""},{"dropping-particle":"","family":"Gozzi","given":"Licia","non-dropping-particle":"","parse-names":false,"suffix":""},{"dropping-particle":"","family":"Iannone","given":"Anna","non-dropping-particle":"","parse-names":false,"suffix":""},{"dropping-particle":"","family":"Tartaro","given":"Domenico","non-dropping-particle":"Lo","parse-names":false,"suffix":""},{"dropping-particle":"","family":"Mattioli","given":"Marco","non-dropping-particle":"","parse-names":false,"suffix":""},{"dropping-particle":"","family":"Paolini","given":"Annamaria","non-dropping-particle":"","parse-names":false,"suffix":""},{"dropping-particle":"","family":"Menozzi","given":"Marianna","non-dropping-particle":"","parse-names":false,"suffix":""},{"dropping-particle":"","family":"Milić","given":"Jovana","non-dropping-particle":"","parse-names":false,"suffix":""},{"dropping-particle":"","family":"Franceschi","given":"Giacomo","non-dropping-particle":"","parse-names":false,"suffix":""},{"dropping-particle":"","family":"Fantini","given":"Riccardo","non-dropping-particle":"","parse-names":false,"suffix":""},{"dropping-particle":"","family":"Tonelli","given":"Roberto","non-dropping-particle":"","parse-names":false,"suffix":""},{"dropping-particle":"","family":"Sita","given":"Marco","non-dropping-particle":"","parse-names":false,"suffix":""},{"dropping-particle":"","family":"Sarti","given":"Mario","non-dropping-particle":"","parse-names":false,"suffix":""},{"dropping-particle":"","family":"Trenti","given":"Tommaso","non-dropping-particle":"","parse-names":false,"suffix":""},{"dropping-particle":"","family":"Brugioni","given":"Lucio","non-dropping-particle":"","parse-names":false,"suffix":""},{"dropping-particle":"","family":"Cicchetti","given":"Luca","non-dropping-particle":"","parse-names":false,"suffix":""},{"dropping-particle":"","family":"Facchinetti","given":"Fabio","non-dropping-particle":"","parse-names":false,"suffix":""},{"dropping-particle":"","family":"Pietrangelo","given":"Antonello","non-dropping-particle":"","parse-names":false,"suffix":""},{"dropping-particle":"","family":"Clini","given":"Enrico","non-dropping-particle":"","parse-names":false,"suffix":""},{"dropping-particle":"","family":"Girardis","given":"Massimo","non-dropping-particle":"","parse-names":false,"suffix":""},{"dropping-particle":"","family":"Guaraldi","given":"Giovanni","non-dropping-particle":"","parse-names":false,"suffix":""},{"dropping-particle":"","family":"Mussini","given":"Cristina","non-dropping-particle":"","parse-names":false,"suffix":""},{"dropping-particle":"","family":"Cossarizza","given":"Andrea","non-dropping-particle":"","parse-names":false,"suffix":""}],"container-title":"Nature Communications","id":"ITEM-1","issue":"1","issued":{"date-parts":[["2020","12","6"]]},"page":"3434","title":"Marked T cell activation, senescence, exhaustion and skewing towards TH17 in patients with COVID-19 pneumonia","type":"article-journal","volume":"11"},"uris":["http://www.mendeley.com/documents/?uuid=5218488b-a868-4574-b4a0-7e4731e6b0e6"]},{"id":"ITEM-2","itemData":{"DOI":"10.1016/j.cyto.2020.155323","ISSN":"10434666","PMID":"33045526","abstract":"Cytokine dysregulation is the proposed mechanism for Coronavirus disease 2019 (COVID-19). The aim of this study was to evaluate the serum levels of interferon (IFN)-γ, interleukin (IL)-5, IL-8, Il-9, IL-17, TGF-β and IFN-γ in patients infected with SARS-CoV-2. The study was conducted between 63 adult patients with COVID‐19 and compared with 33 age and gender-matched healthy subjects as controls. The age range in both groups was 50–70 years. The patients were classified into mild group (33 patients) and severe group (30 patients). Serum samples were collected from all participants and tested for the cytokine levels by ELISA (enzyme-linked immunosorbent assay) method. Statistical analysis was performed using the one-way ANOVA. The mean serum levels of IFN-γ, TGF-β, IL-17 and IL-8 in the COVID‐19 patients were significantly higher than those observed in the control group. A comparison of between the mild and severe groups showed significant differences in TGF-β levels. The mean concentration of serum IL-5 and IL-9 in patients with COVID‐19 did not differ from those in the control group. Systemic IL-17 levels correlated positively and significantly with TGF-β in patients with COVID‐19. Th1 (IFN-γ), Treg (TGF-β), and Th17 (IL-17) cytokines concentration were increased in COVID-19 patients. Interferon-γ and IL-17 are involved in inducing and mediating proinflammatory responses. Our data suggest that TGF-β can be used as a predictive factor of disease severity in patients with COVID-19.","author":[{"dropping-particle":"","family":"Ghazavi","given":"Ali","non-dropping-particle":"","parse-names":false,"suffix":""},{"dropping-particle":"","family":"Ganji","given":"Ali","non-dropping-particle":"","parse-names":false,"suffix":""},{"dropping-particle":"","family":"Keshavarzian","given":"Nafiseh","non-dropping-particle":"","parse-names":false,"suffix":""},{"dropping-particle":"","family":"Rabiemajd","given":"Somayeh","non-dropping-particle":"","parse-names":false,"suffix":""},{"dropping-particle":"","family":"Mosayebi","given":"Ghasem","non-dropping-particle":"","parse-names":false,"suffix":""}],"container-title":"Cytokine","id":"ITEM-2","issue":"June 2020","issued":{"date-parts":[["2021","1"]]},"page":"155323","publisher":"Elsevier","title":"Cytokine profile and disease severity in patients with COVID-19","type":"article-journal","volume":"137"},"uris":["http://www.mendeley.com/documents/?uuid=0321acc1-a54a-446a-b2ac-d802ee6ae392"]}],"mendeley":{"formattedCitation":"(De Biasi et al., 2020; Ghazavi et al., 2021)","plainTextFormattedCitation":"(De Biasi et al., 2020; Ghazavi et al., 2021)","previouslyFormattedCitation":"(De Biasi et al., 2020; Ghazavi et al., 2021)"},"properties":{"noteIndex":0},"schema":"https://github.com/citation-style-language/schema/raw/master/csl-citation.json"}</w:instrText>
      </w:r>
      <w:r>
        <w:rPr>
          <w:lang w:eastAsia="en-GB"/>
        </w:rPr>
        <w:fldChar w:fldCharType="separate"/>
      </w:r>
      <w:r w:rsidRPr="0038513D">
        <w:rPr>
          <w:noProof/>
          <w:lang w:eastAsia="en-GB"/>
        </w:rPr>
        <w:t>(De Biasi et al., 2020; Ghazavi et al., 2021)</w:t>
      </w:r>
      <w:r>
        <w:rPr>
          <w:lang w:eastAsia="en-GB"/>
        </w:rPr>
        <w:fldChar w:fldCharType="end"/>
      </w:r>
      <w:r>
        <w:rPr>
          <w:lang w:eastAsia="en-GB"/>
        </w:rPr>
        <w:t>, which could promote T</w:t>
      </w:r>
      <w:r w:rsidRPr="00CB5212">
        <w:rPr>
          <w:vertAlign w:val="subscript"/>
          <w:lang w:eastAsia="en-GB"/>
        </w:rPr>
        <w:t>H</w:t>
      </w:r>
      <w:r>
        <w:rPr>
          <w:lang w:eastAsia="en-GB"/>
        </w:rPr>
        <w:t>17 to T</w:t>
      </w:r>
      <w:r w:rsidRPr="00CB5212">
        <w:rPr>
          <w:vertAlign w:val="subscript"/>
          <w:lang w:eastAsia="en-GB"/>
        </w:rPr>
        <w:t>reg</w:t>
      </w:r>
      <w:r>
        <w:rPr>
          <w:lang w:eastAsia="en-GB"/>
        </w:rPr>
        <w:t xml:space="preserve"> imbalance </w:t>
      </w:r>
      <w:r>
        <w:rPr>
          <w:lang w:eastAsia="en-GB"/>
        </w:rPr>
        <w:fldChar w:fldCharType="begin" w:fldLock="1"/>
      </w:r>
      <w:r>
        <w:rPr>
          <w:lang w:eastAsia="en-GB"/>
        </w:rPr>
        <w:instrText>ADDIN CSL_CITATION {"citationItems":[{"id":"ITEM-1","itemData":{"DOI":"10.1002/jcp.30047","ISSN":"0021-9541","abstract":"In the course of the coronavirus disease 2019 (COVID-19), raising and reducing the function of Th17 and Treg cells, respectively, elicit hyperinflammation and disease progression. The current study aimed to evaluate the responses of Th17 and Treg cells in COVID-19 patients compared with the control group. Forty COVID-19 intensive care unit (ICU) patients were compared with 40 healthy controls. The frequency of cells, gene expression of related factors, as well as the secretion levels of cytokines, were measured by flow cytometry, real-time polymerase chain reaction, and enzyme-linked immunosorbent assay techniques, respectively. The findings revealed a significant increase in the number of Th17 cells, the expression levels of related factors (RAR-related orphan receptor gamma [RORγt], IL-17, and IL-23), and the secretion levels of IL-17 and IL-23 cytokines in COVID-19 patients compared with controls. In contrast, patients had a remarkable reduction in the frequency of Treg cells, the expression levels of correlated factors (Forkhead box protein P3 [FoxP3], transforming growth factor-β [TGF-β], and IL-10), and cytokine secretion levels (TGF-β and IL-10). The ratio of Th17/Treg cells, RORγt/FoxP3, and IL-17/IL-10 had a considerable enhancement in patients compared with the controls and also in dead patients compared with the improved cases. The findings showed that enhanced responses of Th17 cells and decreased responses of Treg cells in 2019-n-CoV patients compared with controls had a strong relationship with hyperinflammation, lung damage, and disease pathogenesis. Also, the high ratio of Th17/Treg cells and their associated factors in COVID-19-dead patients compared with improved cases indicates the critical role of inflammation in the mortality of patients.","author":[{"dropping-particle":"","family":"Sadeghi","given":"Armin","non-dropping-particle":"","parse-names":false,"suffix":""},{"dropping-particle":"","family":"Tahmasebi","given":"Safa","non-dropping-particle":"","parse-names":false,"suffix":""},{"dropping-particle":"","family":"Mahmood","given":"Arshad","non-dropping-particle":"","parse-names":false,"suffix":""},{"dropping-particle":"","family":"Kuznetsova","given":"Maria","non-dropping-particle":"","parse-names":false,"suffix":""},{"dropping-particle":"","family":"Valizadeh","given":"Hamed","non-dropping-particle":"","parse-names":false,"suffix":""},{"dropping-particle":"","family":"Taghizadieh","given":"Ali","non-dropping-particle":"","parse-names":false,"suffix":""},{"dropping-particle":"","family":"Nazemiyeh","given":"Masoud","non-dropping-particle":"","parse-names":false,"suffix":""},{"dropping-particle":"","family":"Aghebati‐Maleki","given":"Leili","non-dropping-particle":"","parse-names":false,"suffix":""},{"dropping-particle":"","family":"Jadidi‐Niaragh","given":"Farhad","non-dropping-particle":"","parse-names":false,"suffix":""},{"dropping-particle":"","family":"Abbaspour‐Aghdam","given":"Sanaz","non-dropping-particle":"","parse-names":false,"suffix":""},{"dropping-particle":"","family":"Roshangar","given":"Leila","non-dropping-particle":"","parse-names":false,"suffix":""},{"dropping-particle":"","family":"Mikaeili","given":"Haleh","non-dropping-particle":"","parse-names":false,"suffix":""},{"dropping-particle":"","family":"Ahmadi","given":"Majid","non-dropping-particle":"","parse-names":false,"suffix":""}],"container-title":"Journal of Cellular Physiology","id":"ITEM-1","issue":"4","issued":{"date-parts":[["2021","4","14"]]},"page":"2829-2839","title":"Th17 and Treg cells function in SARS‐CoV2 patients compared with healthy controls","type":"article-journal","volume":"236"},"uris":["http://www.mendeley.com/documents/?uuid=1ea18277-e521-4a82-87d6-7b98c4031228"]}],"mendeley":{"formattedCitation":"(Sadeghi et al., 2021)","plainTextFormattedCitation":"(Sadeghi et al., 2021)","previouslyFormattedCitation":"(Sadeghi et al., 2021)"},"properties":{"noteIndex":0},"schema":"https://github.com/citation-style-language/schema/raw/master/csl-citation.json"}</w:instrText>
      </w:r>
      <w:r>
        <w:rPr>
          <w:lang w:eastAsia="en-GB"/>
        </w:rPr>
        <w:fldChar w:fldCharType="separate"/>
      </w:r>
      <w:r w:rsidRPr="00E971CC">
        <w:rPr>
          <w:noProof/>
          <w:lang w:eastAsia="en-GB"/>
        </w:rPr>
        <w:t>(Sadeghi et al., 2021)</w:t>
      </w:r>
      <w:r>
        <w:rPr>
          <w:lang w:eastAsia="en-GB"/>
        </w:rPr>
        <w:fldChar w:fldCharType="end"/>
      </w:r>
      <w:r>
        <w:rPr>
          <w:lang w:eastAsia="en-GB"/>
        </w:rPr>
        <w:t xml:space="preserve"> or deficient T</w:t>
      </w:r>
      <w:r w:rsidRPr="00CB5212">
        <w:rPr>
          <w:vertAlign w:val="subscript"/>
          <w:lang w:eastAsia="en-GB"/>
        </w:rPr>
        <w:t>H</w:t>
      </w:r>
      <w:r>
        <w:rPr>
          <w:lang w:eastAsia="en-GB"/>
        </w:rPr>
        <w:t>17 and T</w:t>
      </w:r>
      <w:r w:rsidRPr="00CB5212">
        <w:rPr>
          <w:vertAlign w:val="subscript"/>
          <w:lang w:eastAsia="en-GB"/>
        </w:rPr>
        <w:t>reg</w:t>
      </w:r>
      <w:r w:rsidRPr="007D5CC5">
        <w:rPr>
          <w:lang w:eastAsia="en-GB"/>
        </w:rPr>
        <w:t xml:space="preserve"> </w:t>
      </w:r>
      <w:r>
        <w:rPr>
          <w:lang w:eastAsia="en-GB"/>
        </w:rPr>
        <w:t xml:space="preserve">responses </w:t>
      </w:r>
      <w:r>
        <w:rPr>
          <w:lang w:eastAsia="en-GB"/>
        </w:rPr>
        <w:fldChar w:fldCharType="begin" w:fldLock="1"/>
      </w:r>
      <w:r>
        <w:rPr>
          <w:lang w:eastAsia="en-GB"/>
        </w:rPr>
        <w:instrText>ADDIN CSL_CITATION {"citationItems":[{"id":"ITEM-1","itemData":{"DOI":"10.1016/j.cell.2020.10.001","ISSN":"00928674","PMID":"33096020","abstract":"Analyses of CD4+ T cells from 40 COVID-19 patients show that hospitalization is associated with increased cytotoxic follicular helper cells and cytotoxic T helper cells and a reduction in regulatory T cells.","author":[{"dropping-particle":"","family":"Meckiff","given":"Benjamin J.","non-dropping-particle":"","parse-names":false,"suffix":""},{"dropping-particle":"","family":"Ramírez-Suástegui","given":"Ciro","non-dropping-particle":"","parse-names":false,"suffix":""},{"dropping-particle":"","family":"Fajardo","given":"Vicente","non-dropping-particle":"","parse-names":false,"suffix":""},{"dropping-particle":"","family":"Chee","given":"Serena J.","non-dropping-particle":"","parse-names":false,"suffix":""},{"dropping-particle":"","family":"Kusnadi","given":"Anthony","non-dropping-particle":"","parse-names":false,"suffix":""},{"dropping-particle":"","family":"Simon","given":"Hayley","non-dropping-particle":"","parse-names":false,"suffix":""},{"dropping-particle":"","family":"Eschweiler","given":"Simon","non-dropping-particle":"","parse-names":false,"suffix":""},{"dropping-particle":"","family":"Grifoni","given":"Alba","non-dropping-particle":"","parse-names":false,"suffix":""},{"dropping-particle":"","family":"Pelosi","given":"Emanuela","non-dropping-particle":"","parse-names":false,"suffix":""},{"dropping-particle":"","family":"Weiskopf","given":"Daniela","non-dropping-particle":"","parse-names":false,"suffix":""},{"dropping-particle":"","family":"Sette","given":"Alessandro","non-dropping-particle":"","parse-names":false,"suffix":""},{"dropping-particle":"","family":"Ay","given":"Ferhat","non-dropping-particle":"","parse-names":false,"suffix":""},{"dropping-particle":"","family":"Seumois","given":"Grégory","non-dropping-particle":"","parse-names":false,"suffix":""},{"dropping-particle":"","family":"Ottensmeier","given":"Christian H.","non-dropping-particle":"","parse-names":false,"suffix":""},{"dropping-particle":"","family":"Vijayanand","given":"Pandurangan","non-dropping-particle":"","parse-names":false,"suffix":""}],"container-title":"Cell","id":"ITEM-1","issue":"5","issued":{"date-parts":[["2020","11"]]},"page":"1340-1353.e16","title":"Imbalance of Regulatory and Cytotoxic SARS-CoV-2-Reactive CD4+ T Cells in COVID-19","type":"article-journal","volume":"183"},"uris":["http://www.mendeley.com/documents/?uuid=6c26163b-bd45-451c-9e3a-85d420bc0de8"]}],"mendeley":{"formattedCitation":"(Meckiff et al., 2020)","plainTextFormattedCitation":"(Meckiff et al., 2020)","previouslyFormattedCitation":"(Meckiff et al., 2020)"},"properties":{"noteIndex":0},"schema":"https://github.com/citation-style-language/schema/raw/master/csl-citation.json"}</w:instrText>
      </w:r>
      <w:r>
        <w:rPr>
          <w:lang w:eastAsia="en-GB"/>
        </w:rPr>
        <w:fldChar w:fldCharType="separate"/>
      </w:r>
      <w:r w:rsidRPr="00F2400C">
        <w:rPr>
          <w:noProof/>
          <w:lang w:eastAsia="en-GB"/>
        </w:rPr>
        <w:t>(Meckiff et al., 2020)</w:t>
      </w:r>
      <w:r>
        <w:rPr>
          <w:lang w:eastAsia="en-GB"/>
        </w:rPr>
        <w:fldChar w:fldCharType="end"/>
      </w:r>
      <w:r>
        <w:rPr>
          <w:lang w:eastAsia="en-GB"/>
        </w:rPr>
        <w:t>. Such deficient T</w:t>
      </w:r>
      <w:r w:rsidRPr="00CB5212">
        <w:rPr>
          <w:vertAlign w:val="subscript"/>
          <w:lang w:eastAsia="en-GB"/>
        </w:rPr>
        <w:t>H</w:t>
      </w:r>
      <w:r>
        <w:rPr>
          <w:lang w:eastAsia="en-GB"/>
        </w:rPr>
        <w:t>17 and T</w:t>
      </w:r>
      <w:r w:rsidRPr="00CB5212">
        <w:rPr>
          <w:vertAlign w:val="subscript"/>
          <w:lang w:eastAsia="en-GB"/>
        </w:rPr>
        <w:t>reg</w:t>
      </w:r>
      <w:r w:rsidRPr="007D5CC5">
        <w:rPr>
          <w:lang w:eastAsia="en-GB"/>
        </w:rPr>
        <w:t xml:space="preserve"> </w:t>
      </w:r>
      <w:r>
        <w:rPr>
          <w:lang w:eastAsia="en-GB"/>
        </w:rPr>
        <w:t xml:space="preserve">responses have also been observed in patients suffering from depression </w:t>
      </w:r>
      <w:r>
        <w:rPr>
          <w:lang w:eastAsia="en-GB"/>
        </w:rPr>
        <w:fldChar w:fldCharType="begin" w:fldLock="1"/>
      </w:r>
      <w:r>
        <w:rPr>
          <w:lang w:eastAsia="en-GB"/>
        </w:rPr>
        <w:instrText>ADDIN CSL_CITATION {"citationItems":[{"id":"ITEM-1","itemData":{"DOI":"10.1016/j.bbi.2015.12.003","ISSN":"08891591","PMID":"26674997","abstract":"Background: In a previous study, we found an up-regulated inflammatory monocyte gene expression profile in major depressive disorder (MDD) patients aged ≥ 28 years and a down-regulated inflammatory gene expression profile in MDD patients aged &lt; 28 years. In the same sample of patients, we aimed to investigate immune dysregulation in the lymphocyte arm of the immune system, particularly in the context of the described monocyte (de-)activation states. Methods: From deep frozen leukocytes, circulating percentages of monocytes, lymphocytes, B, T, and natural killer (NK) cells, and various functional subsets of T and T helper (Th) cells (Th1, Th2, Th17, and natural T regulatory cells) were measured in N = 50 MDD patients and N = 58 age- and gender-matched healthy controls (HC). In addition, serum levels of interleukin (IL)-6, sCD25, IL-7, IL-3, SCF, IGF-BP2, and EGF were evaluated. Results: MDD patients were in general characterized by an impaired maturation of Th2 cells, Th17 cells, and NK cells and by decreased serum levels of IL-7 and sCD25. MDD patients aged ≥ 28 years additionally exhibited decreased percentages of CD4+CD25highFoxP3+ T regulatory cells, next to signs of the above described partial T cell defects. Natural T regulatory cells were inversely associated with the pro-inflammatory state of the monocytes (r = -.311; p = .034) that characterized this patient subgroup. Conclusions: Deficiencies of the NK and T (regulatory) cell system and inflammatory monocyte immune activation co-occur as partly interrelated phenomena within the same MDD patients.","author":[{"dropping-particle":"","family":"Grosse","given":"Laura","non-dropping-particle":"","parse-names":false,"suffix":""},{"dropping-particle":"","family":"Hoogenboezem","given":"Thomas","non-dropping-particle":"","parse-names":false,"suffix":""},{"dropping-particle":"","family":"Ambrée","given":"Oliver","non-dropping-particle":"","parse-names":false,"suffix":""},{"dropping-particle":"","family":"Bellingrath","given":"Silja","non-dropping-particle":"","parse-names":false,"suffix":""},{"dropping-particle":"","family":"Jörgens","given":"Silke","non-dropping-particle":"","parse-names":false,"suffix":""},{"dropping-particle":"","family":"Wit","given":"Harm J.","non-dropping-particle":"de","parse-names":false,"suffix":""},{"dropping-particle":"","family":"Wijkhuijs","given":"Annemarie M.","non-dropping-particle":"","parse-names":false,"suffix":""},{"dropping-particle":"","family":"Arolt","given":"Volker","non-dropping-particle":"","parse-names":false,"suffix":""},{"dropping-particle":"","family":"Drexhage","given":"Hemmo A.","non-dropping-particle":"","parse-names":false,"suffix":""}],"container-title":"Brain, Behavior, and Immunity","id":"ITEM-1","issued":{"date-parts":[["2016","5"]]},"page":"38-44","publisher":"Elsevier Inc.","title":"Deficiencies of the T and natural killer cell system in major depressive disorder","type":"article-journal","volume":"54"},"uris":["http://www.mendeley.com/documents/?uuid=ed068641-ee48-40f6-a682-24d3c727e1d3"]}],"mendeley":{"formattedCitation":"(Grosse et al., 2016)","plainTextFormattedCitation":"(Grosse et al., 2016)","previouslyFormattedCitation":"(Grosse et al., 2016)"},"properties":{"noteIndex":0},"schema":"https://github.com/citation-style-language/schema/raw/master/csl-citation.json"}</w:instrText>
      </w:r>
      <w:r>
        <w:rPr>
          <w:lang w:eastAsia="en-GB"/>
        </w:rPr>
        <w:fldChar w:fldCharType="separate"/>
      </w:r>
      <w:r w:rsidRPr="00486CA1">
        <w:rPr>
          <w:noProof/>
          <w:lang w:eastAsia="en-GB"/>
        </w:rPr>
        <w:t>(Grosse et al., 2016)</w:t>
      </w:r>
      <w:r>
        <w:rPr>
          <w:lang w:eastAsia="en-GB"/>
        </w:rPr>
        <w:fldChar w:fldCharType="end"/>
      </w:r>
      <w:r>
        <w:rPr>
          <w:lang w:eastAsia="en-GB"/>
        </w:rPr>
        <w:t xml:space="preserve">. </w:t>
      </w:r>
    </w:p>
    <w:p w14:paraId="3B6A7109" w14:textId="4C72C8D9" w:rsidR="006F41D9" w:rsidRDefault="00BA4DAA">
      <w:pPr>
        <w:rPr>
          <w:lang w:eastAsia="en-GB"/>
        </w:rPr>
      </w:pPr>
      <w:r>
        <w:rPr>
          <w:lang w:eastAsia="en-GB"/>
        </w:rPr>
        <w:t>Centrally,</w:t>
      </w:r>
      <w:r w:rsidR="006F41D9">
        <w:rPr>
          <w:lang w:eastAsia="en-GB"/>
        </w:rPr>
        <w:t xml:space="preserve"> IL-6 and other cytokines can </w:t>
      </w:r>
      <w:r w:rsidR="002D4DEE" w:rsidRPr="00E30BE2">
        <w:rPr>
          <w:lang w:eastAsia="en-GB"/>
        </w:rPr>
        <w:t>signal</w:t>
      </w:r>
      <w:r w:rsidR="006F41D9">
        <w:rPr>
          <w:lang w:eastAsia="en-GB"/>
        </w:rPr>
        <w:t xml:space="preserve"> the brain via volume diffusion in circumventricular zones, afferent nerve</w:t>
      </w:r>
      <w:r w:rsidR="000F1707">
        <w:rPr>
          <w:lang w:eastAsia="en-GB"/>
        </w:rPr>
        <w:t>s</w:t>
      </w:r>
      <w:r w:rsidR="006F41D9">
        <w:rPr>
          <w:lang w:eastAsia="en-GB"/>
        </w:rPr>
        <w:t xml:space="preserve">, and </w:t>
      </w:r>
      <w:r w:rsidR="000F1707">
        <w:rPr>
          <w:lang w:eastAsia="en-GB"/>
        </w:rPr>
        <w:t xml:space="preserve">by </w:t>
      </w:r>
      <w:r w:rsidR="006F41D9">
        <w:rPr>
          <w:lang w:eastAsia="en-GB"/>
        </w:rPr>
        <w:t xml:space="preserve">active blood-brain-barrier transport </w:t>
      </w:r>
      <w:r w:rsidR="006F41D9">
        <w:rPr>
          <w:lang w:eastAsia="en-GB"/>
        </w:rPr>
        <w:fldChar w:fldCharType="begin" w:fldLock="1"/>
      </w:r>
      <w:r w:rsidR="001F5E3A">
        <w:rPr>
          <w:lang w:eastAsia="en-GB"/>
        </w:rPr>
        <w:instrText>ADDIN CSL_CITATION {"citationItems":[{"id":"ITEM-1","itemData":{"DOI":"10.1038/nrn2297","ISBN":"1471-0048 (Electronic) 1471-003X (Linking)","PMID":"18073775","author":[{"dropping-particle":"","family":"Dantzer","given":"Robert","non-dropping-particle":"","parse-names":false,"suffix":""},{"dropping-particle":"","family":"O'Connor","given":"J C","non-dropping-particle":"","parse-names":false,"suffix":""},{"dropping-particle":"","family":"Freund","given":"G G","non-dropping-particle":"","parse-names":false,"suffix":""},{"dropping-particle":"","family":"Johnson","given":"R W","non-dropping-particle":"","parse-names":false,"suffix":""},{"dropping-particle":"","family":"Kelley","given":"K W","non-dropping-particle":"","parse-names":false,"suffix":""}],"container-title":"Nature Reviews Neuroscience","id":"ITEM-1","issue":"1","issued":{"date-parts":[["2008"]]},"page":"46-56","title":"From inflammation to sickness and depression: when the immune system subjugates the brain","type":"article-journal","volume":"9"},"uris":["http://www.mendeley.com/documents/?uuid=e0d8376d-ae37-4e97-88f4-51d40de3eaac"]}],"mendeley":{"formattedCitation":"(Dantzer et al., 2008)","plainTextFormattedCitation":"(Dantzer et al., 2008)","previouslyFormattedCitation":"(Dantzer et al., 2008)"},"properties":{"noteIndex":0},"schema":"https://github.com/citation-style-language/schema/raw/master/csl-citation.json"}</w:instrText>
      </w:r>
      <w:r w:rsidR="006F41D9">
        <w:rPr>
          <w:lang w:eastAsia="en-GB"/>
        </w:rPr>
        <w:fldChar w:fldCharType="separate"/>
      </w:r>
      <w:r w:rsidR="006F41D9" w:rsidRPr="006F41D9">
        <w:rPr>
          <w:noProof/>
          <w:lang w:eastAsia="en-GB"/>
        </w:rPr>
        <w:t>(Dantzer et al., 2008)</w:t>
      </w:r>
      <w:r w:rsidR="006F41D9">
        <w:rPr>
          <w:lang w:eastAsia="en-GB"/>
        </w:rPr>
        <w:fldChar w:fldCharType="end"/>
      </w:r>
      <w:r w:rsidR="006F41D9">
        <w:rPr>
          <w:lang w:eastAsia="en-GB"/>
        </w:rPr>
        <w:t xml:space="preserve">. </w:t>
      </w:r>
      <w:r w:rsidR="001F5E3A">
        <w:rPr>
          <w:lang w:eastAsia="en-GB"/>
        </w:rPr>
        <w:t xml:space="preserve">Once </w:t>
      </w:r>
      <w:r w:rsidR="006F2C61">
        <w:rPr>
          <w:lang w:eastAsia="en-GB"/>
        </w:rPr>
        <w:t xml:space="preserve">the immune signal reaches </w:t>
      </w:r>
      <w:r w:rsidR="00E20873">
        <w:rPr>
          <w:lang w:eastAsia="en-GB"/>
        </w:rPr>
        <w:t xml:space="preserve">the </w:t>
      </w:r>
      <w:r w:rsidR="006D5321">
        <w:rPr>
          <w:lang w:eastAsia="en-GB"/>
        </w:rPr>
        <w:t>brain</w:t>
      </w:r>
      <w:r w:rsidR="001F5E3A">
        <w:rPr>
          <w:lang w:eastAsia="en-GB"/>
        </w:rPr>
        <w:t xml:space="preserve">, IL-6 </w:t>
      </w:r>
      <w:r w:rsidR="006E756F">
        <w:rPr>
          <w:lang w:eastAsia="en-GB"/>
        </w:rPr>
        <w:t xml:space="preserve">can </w:t>
      </w:r>
      <w:r w:rsidR="001F5E3A">
        <w:rPr>
          <w:lang w:eastAsia="en-GB"/>
        </w:rPr>
        <w:t xml:space="preserve">influence memory processes such as long-term potentiation and depression </w:t>
      </w:r>
      <w:r w:rsidR="001F5E3A">
        <w:rPr>
          <w:lang w:eastAsia="en-GB"/>
        </w:rPr>
        <w:fldChar w:fldCharType="begin" w:fldLock="1"/>
      </w:r>
      <w:r w:rsidR="001F5E3A">
        <w:rPr>
          <w:lang w:eastAsia="en-GB"/>
        </w:rPr>
        <w:instrText>ADDIN CSL_CITATION {"citationItems":[{"id":"ITEM-1","itemData":{"DOI":"10.1016/j.neubiorev.2008.10.005","ISBN":"0149-7634 (Print)\r0149-7634 (Linking)","PMID":"18996146","abstract":"Aiming at a formulation of a cytokine model of cognitive function under immunologically unchallenged physiological conditions, this article reviews the cytokine biology in the central nervous system (CNS) and recent developments in normal cytokine functions within the CNS that subserve cognitive processes. Currently available evidence shows that the cytokines IL-1beta, IL-6 and TNF-alpha play a role in complex cognitive processes at the molecular level, such as synaptic plasticity, neurogenesis, as well as neuromodulation. Such findings provide evidence for a cytokine model of cognitive function, which shows that cytokines play an intimate role in the molecular and cellular mechanisms subserving learning, memory and cognition under physiological conditions. These cytokine-mediated cognitive processes have implications in the long-term development and pathogenesis of specific neuropsychiatric disorders such as major depression and dementia. The identification of this central role of cytokines in various brain activities during health provides greater insight into normal brain functions, especially synaptic plasticity, memory and cognition, and facilitates the understanding of specific biological mechanisms involved in neuropsychiatric diseases, such as dementia and depression. In order to extend the suggested cytokine model of cognitive function onto other members of the cytokine family, future research is required to investigate the physiological effects of other cytokines such as interferon-gamma (IFNgamma), alpha(1)-antichymotrypsin and IL-2 on cognitive function at the molecular level under immunologically unchallenged conditions.","author":[{"dropping-particle":"","family":"McAfoose","given":"J","non-dropping-particle":"","parse-names":false,"suffix":""},{"dropping-particle":"","family":"Baune","given":"B T","non-dropping-particle":"","parse-names":false,"suffix":""}],"container-title":"Neuroscience &amp; Biobehavioral Reviews","edition":"2008/11/11","id":"ITEM-1","issue":"3","issued":{"date-parts":[["2009"]]},"language":"eng","note":"McAfoose, J\nBaune, B T\nReview\nUnited States\nNeurosci Biobehav Rev. 2009 Mar;33(3):355-66. doi: 10.1016/j.neubiorev.2008.10.005. Epub 2008 Oct 18.","page":"355-366","title":"Evidence for a cytokine model of cognitive function","type":"article-journal","volume":"33"},"uris":["http://www.mendeley.com/documents/?uuid=ef0fafa6-abd2-4d4e-a680-23dbc12e4650"]}],"mendeley":{"formattedCitation":"(McAfoose and Baune, 2009)","plainTextFormattedCitation":"(McAfoose and Baune, 2009)","previouslyFormattedCitation":"(McAfoose and Baune, 2009)"},"properties":{"noteIndex":0},"schema":"https://github.com/citation-style-language/schema/raw/master/csl-citation.json"}</w:instrText>
      </w:r>
      <w:r w:rsidR="001F5E3A">
        <w:rPr>
          <w:lang w:eastAsia="en-GB"/>
        </w:rPr>
        <w:fldChar w:fldCharType="separate"/>
      </w:r>
      <w:r w:rsidR="001F5E3A" w:rsidRPr="001F5E3A">
        <w:rPr>
          <w:noProof/>
          <w:lang w:eastAsia="en-GB"/>
        </w:rPr>
        <w:t>(McAfoose and Baune, 2009)</w:t>
      </w:r>
      <w:r w:rsidR="001F5E3A">
        <w:rPr>
          <w:lang w:eastAsia="en-GB"/>
        </w:rPr>
        <w:fldChar w:fldCharType="end"/>
      </w:r>
      <w:r w:rsidR="001F5E3A">
        <w:rPr>
          <w:lang w:eastAsia="en-GB"/>
        </w:rPr>
        <w:t xml:space="preserve">, </w:t>
      </w:r>
      <w:r w:rsidR="00E30BE2">
        <w:rPr>
          <w:lang w:eastAsia="en-GB"/>
        </w:rPr>
        <w:t>increase</w:t>
      </w:r>
      <w:r w:rsidR="001F5E3A">
        <w:rPr>
          <w:lang w:eastAsia="en-GB"/>
        </w:rPr>
        <w:t xml:space="preserve"> activity in </w:t>
      </w:r>
      <w:r w:rsidR="00027874">
        <w:rPr>
          <w:lang w:eastAsia="en-GB"/>
        </w:rPr>
        <w:t xml:space="preserve">regions implicated in depression such as </w:t>
      </w:r>
      <w:r w:rsidR="001F5E3A">
        <w:rPr>
          <w:lang w:eastAsia="en-GB"/>
        </w:rPr>
        <w:t>the anterior cingulate cortex and</w:t>
      </w:r>
      <w:r w:rsidR="00E30BE2">
        <w:rPr>
          <w:lang w:eastAsia="en-GB"/>
        </w:rPr>
        <w:t xml:space="preserve"> reduce</w:t>
      </w:r>
      <w:r w:rsidR="001F5E3A">
        <w:rPr>
          <w:lang w:eastAsia="en-GB"/>
        </w:rPr>
        <w:t xml:space="preserve"> </w:t>
      </w:r>
      <w:r w:rsidR="00027874">
        <w:rPr>
          <w:lang w:eastAsia="en-GB"/>
        </w:rPr>
        <w:t xml:space="preserve">its </w:t>
      </w:r>
      <w:r w:rsidR="001F5E3A">
        <w:rPr>
          <w:lang w:eastAsia="en-GB"/>
        </w:rPr>
        <w:t xml:space="preserve">connectivity to amygdala and medial prefrontal cortex </w:t>
      </w:r>
      <w:r w:rsidR="001F5E3A">
        <w:rPr>
          <w:lang w:eastAsia="en-GB"/>
        </w:rPr>
        <w:fldChar w:fldCharType="begin" w:fldLock="1"/>
      </w:r>
      <w:r w:rsidR="001F5E3A">
        <w:rPr>
          <w:lang w:eastAsia="en-GB"/>
        </w:rPr>
        <w:instrText>ADDIN CSL_CITATION {"citationItems":[{"id":"ITEM-1","itemData":{"DOI":"10.1016/j.biopsych.2009.03.015","ISBN":"1873-2402 (Electronic)\r0006-3223 (Linking)","ISSN":"00063223","PMID":"19423079","abstract":"Background: Inflammatory cytokines are implicated in the pathophysiology of depression. In rodents, systemically administered inflammatory cytokines induce depression-like behavior. Similarly in humans, therapeutic interferon-α induces clinical depression in a third of patients. Conversely, patients with depression also show elevated pro-inflammatory cytokines. Objectives: To determine the neural mechanisms underlying inflammation-associated mood change and modulatory effects on circuits involved in mood homeostasis and affective processing. Methods: In a double-blind, randomized crossover study, 16 healthy male volunteers received typhoid vaccination or saline (placebo) injection in two experimental sessions. Mood questionnaires were completed at baseline and at 2 and 3 hours. Two hours after injection, participants performed an implicit emotional face perception task during functional magnetic resonance imaging. Analyses focused on neurobiological correlates of inflammation-associated mood change and affective processing within regions responsive to emotional expressions and implicated in the etiology of depression. Results: Typhoid but not placebo injection produced an inflammatory response indexed by increased circulating interleukin-6 and significant mood reduction at 3 hours. Inflammation-associated mood deterioration correlated with enhanced activity within subgenual anterior cingulate cortex (sACC) (a region implicated in the etiology of depression) during emotional face processing. Furthermore, inflammation-associated mood change reduced connectivity of sACC to amygdala, medial prefrontal cortex, nucleus accumbens, and superior temporal sulcus, which was modulated by peripheral interleukin-6. Conclusions: Inflammation-associated mood deterioration is reflected in changes in sACC activity and functional connectivity during evoked responses to emotional stimuli. Peripheral cytokines modulate this mood-dependent sACC connectivity, suggesting a common pathophysiological basis for major depressive disorder and sickness-associated mood change and depression. © 2009 Society of Biological Psychiatry.","author":[{"dropping-particle":"","family":"Harrison","given":"Neil A.","non-dropping-particle":"","parse-names":false,"suffix":""},{"dropping-particle":"","family":"Brydon","given":"Lena","non-dropping-particle":"","parse-names":false,"suffix":""},{"dropping-particle":"","family":"Walker","given":"Cicely","non-dropping-particle":"","parse-names":false,"suffix":""},{"dropping-particle":"","family":"Gray","given":"Marcus A.","non-dropping-particle":"","parse-names":false,"suffix":""},{"dropping-particle":"","family":"Steptoe","given":"Andrew","non-dropping-particle":"","parse-names":false,"suffix":""},{"dropping-particle":"","family":"Critchley","given":"Hugo D.","non-dropping-particle":"","parse-names":false,"suffix":""}],"container-title":"Biological Psychiatry","edition":"2009/05/09","id":"ITEM-1","issue":"5","issued":{"date-parts":[["2009","9"]]},"language":"eng","page":"407-414","publisher":"Society of Biological Psychiatry","title":"Inflammation Causes Mood Changes Through Alterations in Subgenual Cingulate Activity and Mesolimbic Connectivity","type":"article-journal","volume":"66"},"uris":["http://www.mendeley.com/documents/?uuid=88ac2939-7e12-4674-98b4-ad06d9fd6bfb"]}],"mendeley":{"formattedCitation":"(Harrison et al., 2009)","plainTextFormattedCitation":"(Harrison et al., 2009)","previouslyFormattedCitation":"(Harrison et al., 2009)"},"properties":{"noteIndex":0},"schema":"https://github.com/citation-style-language/schema/raw/master/csl-citation.json"}</w:instrText>
      </w:r>
      <w:r w:rsidR="001F5E3A">
        <w:rPr>
          <w:lang w:eastAsia="en-GB"/>
        </w:rPr>
        <w:fldChar w:fldCharType="separate"/>
      </w:r>
      <w:r w:rsidR="001F5E3A" w:rsidRPr="001F5E3A">
        <w:rPr>
          <w:noProof/>
          <w:lang w:eastAsia="en-GB"/>
        </w:rPr>
        <w:t>(Harrison et al., 2009)</w:t>
      </w:r>
      <w:r w:rsidR="001F5E3A">
        <w:rPr>
          <w:lang w:eastAsia="en-GB"/>
        </w:rPr>
        <w:fldChar w:fldCharType="end"/>
      </w:r>
      <w:r w:rsidR="001F5E3A">
        <w:rPr>
          <w:lang w:eastAsia="en-GB"/>
        </w:rPr>
        <w:t xml:space="preserve">, and promote and regulate sleep-related processes </w:t>
      </w:r>
      <w:r w:rsidR="001F5E3A">
        <w:rPr>
          <w:lang w:eastAsia="en-GB"/>
        </w:rPr>
        <w:fldChar w:fldCharType="begin" w:fldLock="1"/>
      </w:r>
      <w:r w:rsidR="00EF5219">
        <w:rPr>
          <w:lang w:eastAsia="en-GB"/>
        </w:rPr>
        <w:instrText>ADDIN CSL_CITATION {"citationItems":[{"id":"ITEM-1","itemData":{"DOI":"10.1111/j.1749-6632.2012.06634.x","ISSN":"00778923","abstract":"Chronic low-grade inflammation, in particular increased concentrations of proinflammatory cytokines such as interleukin (IL)-6 in the circulation, is observed with increasing age, but it is also as a consequence of various medical and psychological conditions, as well as life-style choices. Since molecules such as IL-6 have pleiotropic effects, consequences are wide ranging. This short review summarizes the evidence showing how IL-6 elevations in the context of inflammatory disease affect the organism, with a focus on sleep-related symptoms and fatigue; and conversely, how alterations in sleep duration and quality stimulate increased concentrations of IL-6 in the circulation. Research showing that acute as well as chronic psychological stress also increase concentrations of IL-6 supports the notion of a close link between an organism's response to physiological and psychological perturbations. The findings summarized here further underscore the particular importance of IL-6 as a messenger molecule that connects peripheral regulatory processes with the CNS. © 2012 New York Academy of Sciences.","author":[{"dropping-particle":"","family":"Rohleder","given":"Nicolas","non-dropping-particle":"","parse-names":false,"suffix":""},{"dropping-particle":"","family":"Aringer","given":"Martin","non-dropping-particle":"","parse-names":false,"suffix":""},{"dropping-particle":"","family":"Boentert","given":"Matthias","non-dropping-particle":"","parse-names":false,"suffix":""}],"container-title":"Annals of the New York Academy of Sciences","id":"ITEM-1","issue":"1","issued":{"date-parts":[["2012","7"]]},"page":"88-96","title":"Role of interleukin-6 in stress, sleep, and fatigue","type":"article-journal","volume":"1261"},"uris":["http://www.mendeley.com/documents/?uuid=f83a4cee-2413-465d-9ea0-5629396e6f95"]}],"mendeley":{"formattedCitation":"(Rohleder et al., 2012)","plainTextFormattedCitation":"(Rohleder et al., 2012)","previouslyFormattedCitation":"(Rohleder et al., 2012)"},"properties":{"noteIndex":0},"schema":"https://github.com/citation-style-language/schema/raw/master/csl-citation.json"}</w:instrText>
      </w:r>
      <w:r w:rsidR="001F5E3A">
        <w:rPr>
          <w:lang w:eastAsia="en-GB"/>
        </w:rPr>
        <w:fldChar w:fldCharType="separate"/>
      </w:r>
      <w:r w:rsidR="001F5E3A" w:rsidRPr="001F5E3A">
        <w:rPr>
          <w:noProof/>
          <w:lang w:eastAsia="en-GB"/>
        </w:rPr>
        <w:t>(Rohleder et al., 2012)</w:t>
      </w:r>
      <w:r w:rsidR="001F5E3A">
        <w:rPr>
          <w:lang w:eastAsia="en-GB"/>
        </w:rPr>
        <w:fldChar w:fldCharType="end"/>
      </w:r>
      <w:r w:rsidR="001F5E3A">
        <w:rPr>
          <w:lang w:eastAsia="en-GB"/>
        </w:rPr>
        <w:t xml:space="preserve">. </w:t>
      </w:r>
      <w:r w:rsidR="007C2DD7">
        <w:rPr>
          <w:lang w:eastAsia="en-GB"/>
        </w:rPr>
        <w:t xml:space="preserve">Activation of innate immune response due to severe infections like COVID-19 </w:t>
      </w:r>
      <w:r w:rsidR="00783F56" w:rsidRPr="005977A6">
        <w:rPr>
          <w:lang w:eastAsia="en-GB"/>
        </w:rPr>
        <w:t xml:space="preserve">can </w:t>
      </w:r>
      <w:r w:rsidR="00C16DDB">
        <w:rPr>
          <w:lang w:eastAsia="en-GB"/>
        </w:rPr>
        <w:t xml:space="preserve">also </w:t>
      </w:r>
      <w:r w:rsidR="00783F56" w:rsidRPr="005977A6">
        <w:rPr>
          <w:lang w:eastAsia="en-GB"/>
        </w:rPr>
        <w:t>lead to a vicious c</w:t>
      </w:r>
      <w:r w:rsidR="007C2DD7">
        <w:rPr>
          <w:lang w:eastAsia="en-GB"/>
        </w:rPr>
        <w:t>y</w:t>
      </w:r>
      <w:r w:rsidR="00783F56" w:rsidRPr="005977A6">
        <w:rPr>
          <w:lang w:eastAsia="en-GB"/>
        </w:rPr>
        <w:t>cle of inflammation and mitochondrial dysfunction that amplifies the inflammatory process and results in immuno-metabolic constraints on neuronal energy metabolism</w:t>
      </w:r>
      <w:r w:rsidR="005977A6">
        <w:rPr>
          <w:lang w:eastAsia="en-GB"/>
        </w:rPr>
        <w:t xml:space="preserve"> </w:t>
      </w:r>
      <w:r w:rsidR="005977A6" w:rsidRPr="005977A6">
        <w:rPr>
          <w:lang w:eastAsia="en-GB"/>
        </w:rPr>
        <w:fldChar w:fldCharType="begin" w:fldLock="1"/>
      </w:r>
      <w:r w:rsidR="005977A6" w:rsidRPr="005977A6">
        <w:rPr>
          <w:lang w:eastAsia="en-GB"/>
        </w:rPr>
        <w:instrText>ADDIN CSL_CITATION {"citationItems":[{"id":"ITEM-1","itemData":{"DOI":"10.1016/j.tox.2017.07.016","ISSN":"0300483X","PMID":"28765055","abstract":"A growing literature indicates that mitochondria are key participants in innate immune pathways, functioning as both signaling platforms and contributing to effector responses. In addition to regulating antiviral signaling and antibacterial immunity, mitochondria are also important drivers of inflammation caused by sterile injury. Much research on mitochondrial control of immunity now centers on understanding how mitochondrial constituents released during cellular damage simulate the innate immune system. When mitochondrial integrity is compromised, mitochondrial damage-associated molecular patterns engage pattern recognition receptors, trigger inflammation, and promote pathology in an expanding list of diseases. Here, I review the emerging knowledge of mitochondrial dysfunction in innate immune responses and discuss how environmental exposures may induce mitochondrial damage to potentiate inflammation and human disease.","author":[{"dropping-particle":"","family":"West","given":"A Phillip","non-dropping-particle":"","parse-names":false,"suffix":""}],"container-title":"Toxicology","id":"ITEM-1","issued":{"date-parts":[["2017","11"]]},"page":"54-63","publisher":"Elsevier Ireland Ltd","title":"Mitochondrial dysfunction as a trigger of innate immune responses and inflammation","type":"article-journal","volume":"391"},"uris":["http://www.mendeley.com/documents/?uuid=f684ab5b-b8b0-454a-a084-93810f9d7aa6"]},{"id":"ITEM-2","itemData":{"DOI":"10.3389/fnbeh.2018.00078","ISSN":"1662-5153","abstract":"Chronic or persistent fatigue is a common, debilitating symptom of several diseases. Persistent fatigue has been associated with low-grade inflammation in several models of fatigue, including cancer-related fatigue and chronic fatigue syndrome. However, it is unclear how low-grade inflammation leads to the experience of fatigue. We here propose a model of an imbalance in energy availability and energy expenditure as a consequence of low-grade inflammation. In this narrative review, we discuss how chronic low-grade inflammation can lead to reduced cellular-energy availability. Low-grade inflammation induces a metabolic switch from energy-efficient oxidative phosphorylation to fast-acting, but less efficient, aerobic glycolytic energy production; increases reactive oxygen species; and reduces insulin sensitivity. These effects result in reduced glucose availability and, thereby, reduced cellular energy. In addition, emerging evidence suggests that chronic low-grade inflammation is associated with increased willingness to exert effort under specific circumstances. Circadian-rhythm changes and sleep disturbances might mediate the effects of inflammation on cellular-energy availability and non-adaptive energy expenditure. In the second part of the review, we present evidence for these metabolic pathways in models of persistent fatigue, focusing on chronic fatigue syndrome and cancer-related fatigue. Most evidence for reduced cellular-energy availability in relation to fatigue comes from studies on chronic fatigue syndrome. While the mechanistic evidence from the cancer-related fatigue literature is still limited, the sparse results point to reduced cellular-energy availability as well. There is also mounting evidence that behavioral-energy expenditure exceeds the reduced cellular-energy availability in patients with persistent fatigue. This suggests that an inability to adjust energy expenditure to available resources might be one mechanism underlying persistent fatigue.","author":[{"dropping-particle":"","family":"Lacourt","given":"Tamara E.","non-dropping-particle":"","parse-names":false,"suffix":""},{"dropping-particle":"","family":"Vichaya","given":"Elisabeth G.","non-dropping-particle":"","parse-names":false,"suffix":""},{"dropping-particle":"","family":"Chiu","given":"Gabriel S.","non-dropping-particle":"","parse-names":false,"suffix":""},{"dropping-particle":"","family":"Dantzer","given":"Robert","non-dropping-particle":"","parse-names":false,"suffix":""},{"dropping-particle":"","family":"Heijnen","given":"Cobi J.","non-dropping-particle":"","parse-names":false,"suffix":""}],"container-title":"Frontiers in Behavioral Neuroscience","id":"ITEM-2","issue":"April","issued":{"date-parts":[["2018","4","26"]]},"page":"1-20","title":"The High Costs of Low-Grade Inflammation: Persistent Fatigue as a Consequence of Reduced Cellular-Energy Availability and Non-adaptive Energy Expenditure","type":"article-journal","volume":"12"},"uris":["http://www.mendeley.com/documents/?uuid=650d8eb7-a5f9-450d-b5a7-0d8bd820c0dd"]}],"mendeley":{"formattedCitation":"(Lacourt et al., 2018; West, 2017)","plainTextFormattedCitation":"(Lacourt et al., 2018; West, 2017)","previouslyFormattedCitation":"(Lacourt et al., 2018; West, 2017)"},"properties":{"noteIndex":0},"schema":"https://github.com/citation-style-language/schema/raw/master/csl-citation.json"}</w:instrText>
      </w:r>
      <w:r w:rsidR="005977A6" w:rsidRPr="005977A6">
        <w:rPr>
          <w:lang w:eastAsia="en-GB"/>
        </w:rPr>
        <w:fldChar w:fldCharType="separate"/>
      </w:r>
      <w:r w:rsidR="005977A6" w:rsidRPr="005977A6">
        <w:rPr>
          <w:noProof/>
          <w:lang w:eastAsia="en-GB"/>
        </w:rPr>
        <w:t>(Lacourt et al., 2018; West, 2017)</w:t>
      </w:r>
      <w:r w:rsidR="005977A6" w:rsidRPr="005977A6">
        <w:rPr>
          <w:lang w:eastAsia="en-GB"/>
        </w:rPr>
        <w:fldChar w:fldCharType="end"/>
      </w:r>
      <w:r w:rsidR="005977A6">
        <w:rPr>
          <w:lang w:eastAsia="en-GB"/>
        </w:rPr>
        <w:t>.</w:t>
      </w:r>
      <w:r w:rsidR="008A15F6">
        <w:rPr>
          <w:lang w:eastAsia="en-GB"/>
        </w:rPr>
        <w:t xml:space="preserve"> </w:t>
      </w:r>
    </w:p>
    <w:p w14:paraId="7BFE9D53" w14:textId="71FB0B93" w:rsidR="002C2D49" w:rsidRDefault="00E971CC">
      <w:pPr>
        <w:rPr>
          <w:lang w:eastAsia="en-GB"/>
        </w:rPr>
      </w:pPr>
      <w:r>
        <w:rPr>
          <w:lang w:eastAsia="en-GB"/>
        </w:rPr>
        <w:lastRenderedPageBreak/>
        <w:t xml:space="preserve">Together, these findings on </w:t>
      </w:r>
      <w:r w:rsidR="00DA7E58">
        <w:rPr>
          <w:lang w:eastAsia="en-GB"/>
        </w:rPr>
        <w:t>T</w:t>
      </w:r>
      <w:r w:rsidR="00DA7E58" w:rsidRPr="00CB5212">
        <w:rPr>
          <w:vertAlign w:val="subscript"/>
          <w:lang w:eastAsia="en-GB"/>
        </w:rPr>
        <w:t>H</w:t>
      </w:r>
      <w:r w:rsidR="00DA7E58">
        <w:rPr>
          <w:lang w:eastAsia="en-GB"/>
        </w:rPr>
        <w:t>17</w:t>
      </w:r>
      <w:r w:rsidR="00C22623">
        <w:rPr>
          <w:lang w:eastAsia="en-GB"/>
        </w:rPr>
        <w:t>/</w:t>
      </w:r>
      <w:r w:rsidR="00DA7E58">
        <w:rPr>
          <w:lang w:eastAsia="en-GB"/>
        </w:rPr>
        <w:t>T</w:t>
      </w:r>
      <w:r w:rsidR="00DA7E58" w:rsidRPr="00CB5212">
        <w:rPr>
          <w:vertAlign w:val="subscript"/>
          <w:lang w:eastAsia="en-GB"/>
        </w:rPr>
        <w:t>reg</w:t>
      </w:r>
      <w:r w:rsidR="00DA7E58" w:rsidRPr="007D5CC5">
        <w:rPr>
          <w:lang w:eastAsia="en-GB"/>
        </w:rPr>
        <w:t xml:space="preserve"> </w:t>
      </w:r>
      <w:r w:rsidR="00DA7E58">
        <w:rPr>
          <w:lang w:eastAsia="en-GB"/>
        </w:rPr>
        <w:t>dysregulation</w:t>
      </w:r>
      <w:r w:rsidR="005B0D8D">
        <w:rPr>
          <w:lang w:eastAsia="en-GB"/>
        </w:rPr>
        <w:t>;</w:t>
      </w:r>
      <w:r w:rsidR="001F5E3A">
        <w:rPr>
          <w:lang w:eastAsia="en-GB"/>
        </w:rPr>
        <w:t xml:space="preserve"> </w:t>
      </w:r>
      <w:r w:rsidR="005B0D8D">
        <w:rPr>
          <w:lang w:eastAsia="en-GB"/>
        </w:rPr>
        <w:t xml:space="preserve">on </w:t>
      </w:r>
      <w:r w:rsidR="001F5E3A">
        <w:rPr>
          <w:lang w:eastAsia="en-GB"/>
        </w:rPr>
        <w:t xml:space="preserve">learning, </w:t>
      </w:r>
      <w:r w:rsidR="005B0D8D">
        <w:rPr>
          <w:lang w:eastAsia="en-GB"/>
        </w:rPr>
        <w:t>affective,</w:t>
      </w:r>
      <w:r w:rsidR="00C16DDB">
        <w:rPr>
          <w:lang w:eastAsia="en-GB"/>
        </w:rPr>
        <w:t xml:space="preserve"> </w:t>
      </w:r>
      <w:r w:rsidR="005B0D8D">
        <w:rPr>
          <w:lang w:eastAsia="en-GB"/>
        </w:rPr>
        <w:t xml:space="preserve">and sleep-related </w:t>
      </w:r>
      <w:r w:rsidR="00484643">
        <w:rPr>
          <w:lang w:eastAsia="en-GB"/>
        </w:rPr>
        <w:t xml:space="preserve">brain </w:t>
      </w:r>
      <w:r w:rsidR="005B0D8D">
        <w:rPr>
          <w:lang w:eastAsia="en-GB"/>
        </w:rPr>
        <w:t xml:space="preserve">processes; </w:t>
      </w:r>
      <w:r w:rsidR="00C16DDB">
        <w:rPr>
          <w:lang w:eastAsia="en-GB"/>
        </w:rPr>
        <w:t xml:space="preserve">and </w:t>
      </w:r>
      <w:r w:rsidR="005B0D8D">
        <w:rPr>
          <w:lang w:eastAsia="en-GB"/>
        </w:rPr>
        <w:t xml:space="preserve">on </w:t>
      </w:r>
      <w:r w:rsidR="00682D02">
        <w:rPr>
          <w:lang w:eastAsia="en-GB"/>
        </w:rPr>
        <w:t>neuronal energy metabolism constrai</w:t>
      </w:r>
      <w:r w:rsidR="00486CA1">
        <w:rPr>
          <w:lang w:eastAsia="en-GB"/>
        </w:rPr>
        <w:t>n</w:t>
      </w:r>
      <w:r w:rsidR="00682D02">
        <w:rPr>
          <w:lang w:eastAsia="en-GB"/>
        </w:rPr>
        <w:t>ts</w:t>
      </w:r>
      <w:r w:rsidR="00486CA1">
        <w:rPr>
          <w:lang w:eastAsia="en-GB"/>
        </w:rPr>
        <w:t xml:space="preserve"> </w:t>
      </w:r>
      <w:r w:rsidR="005977A6">
        <w:rPr>
          <w:lang w:eastAsia="en-GB"/>
        </w:rPr>
        <w:t>provide plausible mechanistic link</w:t>
      </w:r>
      <w:r w:rsidR="00DA7E58">
        <w:rPr>
          <w:lang w:eastAsia="en-GB"/>
        </w:rPr>
        <w:t>s</w:t>
      </w:r>
      <w:r w:rsidR="005977A6">
        <w:rPr>
          <w:lang w:eastAsia="en-GB"/>
        </w:rPr>
        <w:t xml:space="preserve"> that c</w:t>
      </w:r>
      <w:r w:rsidR="00206592">
        <w:rPr>
          <w:lang w:eastAsia="en-GB"/>
        </w:rPr>
        <w:t>ould</w:t>
      </w:r>
      <w:r w:rsidR="005977A6">
        <w:rPr>
          <w:lang w:eastAsia="en-GB"/>
        </w:rPr>
        <w:t xml:space="preserve"> explain how systemic inflammation could </w:t>
      </w:r>
      <w:r w:rsidR="00783F56" w:rsidRPr="005977A6">
        <w:rPr>
          <w:lang w:eastAsia="en-GB"/>
        </w:rPr>
        <w:t xml:space="preserve">manifest as </w:t>
      </w:r>
      <w:r w:rsidR="005977A6">
        <w:rPr>
          <w:lang w:eastAsia="en-GB"/>
        </w:rPr>
        <w:t>long</w:t>
      </w:r>
      <w:r w:rsidR="002600BF">
        <w:rPr>
          <w:lang w:eastAsia="en-GB"/>
        </w:rPr>
        <w:t xml:space="preserve"> </w:t>
      </w:r>
      <w:r w:rsidR="005977A6">
        <w:rPr>
          <w:lang w:eastAsia="en-GB"/>
        </w:rPr>
        <w:t xml:space="preserve">COVID symptoms of </w:t>
      </w:r>
      <w:r w:rsidR="00783F56" w:rsidRPr="005977A6">
        <w:rPr>
          <w:lang w:eastAsia="en-GB"/>
        </w:rPr>
        <w:t>fatigue</w:t>
      </w:r>
      <w:r w:rsidR="005977A6">
        <w:rPr>
          <w:lang w:eastAsia="en-GB"/>
        </w:rPr>
        <w:t xml:space="preserve"> and sleeping difficulties</w:t>
      </w:r>
      <w:r w:rsidR="00EF78AB">
        <w:rPr>
          <w:lang w:eastAsia="en-GB"/>
        </w:rPr>
        <w:t xml:space="preserve">. </w:t>
      </w:r>
      <w:r w:rsidR="00F537D5">
        <w:rPr>
          <w:lang w:eastAsia="en-GB"/>
        </w:rPr>
        <w:t>Therefore</w:t>
      </w:r>
      <w:r w:rsidR="005977A6">
        <w:rPr>
          <w:lang w:eastAsia="en-GB"/>
        </w:rPr>
        <w:t>, i</w:t>
      </w:r>
      <w:r w:rsidR="00783F56" w:rsidRPr="005977A6">
        <w:rPr>
          <w:lang w:eastAsia="en-GB"/>
        </w:rPr>
        <w:t xml:space="preserve">ncreased cytokine activity </w:t>
      </w:r>
      <w:r w:rsidR="00EF78AB">
        <w:rPr>
          <w:lang w:eastAsia="en-GB"/>
        </w:rPr>
        <w:t>th</w:t>
      </w:r>
      <w:r w:rsidR="00F537D5">
        <w:rPr>
          <w:lang w:eastAsia="en-GB"/>
        </w:rPr>
        <w:t>at</w:t>
      </w:r>
      <w:r w:rsidR="00EF78AB">
        <w:rPr>
          <w:lang w:eastAsia="en-GB"/>
        </w:rPr>
        <w:t xml:space="preserve"> </w:t>
      </w:r>
      <w:r w:rsidR="00783F56" w:rsidRPr="005977A6">
        <w:rPr>
          <w:lang w:eastAsia="en-GB"/>
        </w:rPr>
        <w:t>drive</w:t>
      </w:r>
      <w:r w:rsidR="00F537D5">
        <w:rPr>
          <w:lang w:eastAsia="en-GB"/>
        </w:rPr>
        <w:t>s</w:t>
      </w:r>
      <w:r w:rsidR="00783F56" w:rsidRPr="005977A6">
        <w:rPr>
          <w:lang w:eastAsia="en-GB"/>
        </w:rPr>
        <w:t xml:space="preserve"> th</w:t>
      </w:r>
      <w:r w:rsidR="002D128F">
        <w:rPr>
          <w:lang w:eastAsia="en-GB"/>
        </w:rPr>
        <w:t>e</w:t>
      </w:r>
      <w:r w:rsidR="00783F56" w:rsidRPr="005977A6">
        <w:rPr>
          <w:lang w:eastAsia="en-GB"/>
        </w:rPr>
        <w:t xml:space="preserve"> </w:t>
      </w:r>
      <w:r w:rsidR="002D128F">
        <w:rPr>
          <w:lang w:eastAsia="en-GB"/>
        </w:rPr>
        <w:t xml:space="preserve">inflammatory </w:t>
      </w:r>
      <w:r w:rsidR="00783F56" w:rsidRPr="005977A6">
        <w:rPr>
          <w:lang w:eastAsia="en-GB"/>
        </w:rPr>
        <w:t>process</w:t>
      </w:r>
      <w:r w:rsidR="00486CA1">
        <w:rPr>
          <w:lang w:eastAsia="en-GB"/>
        </w:rPr>
        <w:t>, disrupts T cell responses</w:t>
      </w:r>
      <w:r w:rsidR="006E400A">
        <w:rPr>
          <w:lang w:eastAsia="en-GB"/>
        </w:rPr>
        <w:t>,</w:t>
      </w:r>
      <w:r w:rsidR="00783F56" w:rsidRPr="005977A6">
        <w:rPr>
          <w:lang w:eastAsia="en-GB"/>
        </w:rPr>
        <w:t xml:space="preserve"> </w:t>
      </w:r>
      <w:r w:rsidR="00F537D5">
        <w:rPr>
          <w:lang w:eastAsia="en-GB"/>
        </w:rPr>
        <w:t xml:space="preserve">and </w:t>
      </w:r>
      <w:r w:rsidR="00F46E1F">
        <w:rPr>
          <w:lang w:eastAsia="en-GB"/>
        </w:rPr>
        <w:t>imposes</w:t>
      </w:r>
      <w:r w:rsidR="00F537D5">
        <w:rPr>
          <w:lang w:eastAsia="en-GB"/>
        </w:rPr>
        <w:t xml:space="preserve"> </w:t>
      </w:r>
      <w:r w:rsidR="00F537D5" w:rsidRPr="005977A6">
        <w:rPr>
          <w:lang w:eastAsia="en-GB"/>
        </w:rPr>
        <w:t>constraints on neuronal energy metabolism</w:t>
      </w:r>
      <w:r w:rsidR="00F537D5" w:rsidRPr="005977A6" w:rsidDel="00F537D5">
        <w:rPr>
          <w:lang w:eastAsia="en-GB"/>
        </w:rPr>
        <w:t xml:space="preserve"> </w:t>
      </w:r>
      <w:r w:rsidR="00783F56" w:rsidRPr="005977A6">
        <w:rPr>
          <w:lang w:eastAsia="en-GB"/>
        </w:rPr>
        <w:t>c</w:t>
      </w:r>
      <w:r w:rsidR="005977A6">
        <w:rPr>
          <w:lang w:eastAsia="en-GB"/>
        </w:rPr>
        <w:t>ould</w:t>
      </w:r>
      <w:r w:rsidR="00783F56" w:rsidRPr="005977A6">
        <w:rPr>
          <w:lang w:eastAsia="en-GB"/>
        </w:rPr>
        <w:t xml:space="preserve"> be </w:t>
      </w:r>
      <w:r w:rsidR="00F537D5">
        <w:rPr>
          <w:lang w:eastAsia="en-GB"/>
        </w:rPr>
        <w:t xml:space="preserve">a suitable therapeutic </w:t>
      </w:r>
      <w:r w:rsidR="00783F56" w:rsidRPr="005977A6">
        <w:rPr>
          <w:lang w:eastAsia="en-GB"/>
        </w:rPr>
        <w:t>target</w:t>
      </w:r>
      <w:r w:rsidR="00F537D5">
        <w:rPr>
          <w:lang w:eastAsia="en-GB"/>
        </w:rPr>
        <w:t xml:space="preserve"> for treatment and prevention of long COVID</w:t>
      </w:r>
      <w:r w:rsidR="00783F56" w:rsidRPr="005977A6">
        <w:rPr>
          <w:lang w:eastAsia="en-GB"/>
        </w:rPr>
        <w:t>.</w:t>
      </w:r>
      <w:r w:rsidR="007F3BE3">
        <w:rPr>
          <w:lang w:eastAsia="en-GB"/>
        </w:rPr>
        <w:t xml:space="preserve"> </w:t>
      </w:r>
    </w:p>
    <w:p w14:paraId="518B4F75" w14:textId="5A270767" w:rsidR="00A56348" w:rsidRDefault="00150948" w:rsidP="0045005E">
      <w:pPr>
        <w:pStyle w:val="Heading2"/>
        <w:rPr>
          <w:lang w:eastAsia="en-GB"/>
        </w:rPr>
      </w:pPr>
      <w:r>
        <w:rPr>
          <w:lang w:eastAsia="en-GB"/>
        </w:rPr>
        <w:t xml:space="preserve">Clinical </w:t>
      </w:r>
      <w:r w:rsidR="00A656CB">
        <w:rPr>
          <w:lang w:eastAsia="en-GB"/>
        </w:rPr>
        <w:t>i</w:t>
      </w:r>
      <w:r>
        <w:rPr>
          <w:lang w:eastAsia="en-GB"/>
        </w:rPr>
        <w:t>mplications</w:t>
      </w:r>
    </w:p>
    <w:p w14:paraId="36A48D9A" w14:textId="77777777" w:rsidR="00A56348" w:rsidRDefault="00412A81">
      <w:pPr>
        <w:rPr>
          <w:lang w:eastAsia="en-GB"/>
        </w:rPr>
      </w:pPr>
      <w:r>
        <w:rPr>
          <w:lang w:eastAsia="en-GB"/>
        </w:rPr>
        <w:t>It is widely anticipated that the COVID-19 pandemic w</w:t>
      </w:r>
      <w:r w:rsidR="00F46E1F">
        <w:rPr>
          <w:lang w:eastAsia="en-GB"/>
        </w:rPr>
        <w:t>ill</w:t>
      </w:r>
      <w:r>
        <w:rPr>
          <w:lang w:eastAsia="en-GB"/>
        </w:rPr>
        <w:t xml:space="preserve"> contribute to </w:t>
      </w:r>
      <w:r w:rsidR="000C302E">
        <w:rPr>
          <w:lang w:eastAsia="en-GB"/>
        </w:rPr>
        <w:t xml:space="preserve">increased </w:t>
      </w:r>
      <w:r>
        <w:rPr>
          <w:lang w:eastAsia="en-GB"/>
        </w:rPr>
        <w:t xml:space="preserve">mental health </w:t>
      </w:r>
      <w:r w:rsidR="002B4D1A">
        <w:rPr>
          <w:lang w:eastAsia="en-GB"/>
        </w:rPr>
        <w:t>difficulties</w:t>
      </w:r>
      <w:r w:rsidR="00DD1388">
        <w:rPr>
          <w:lang w:eastAsia="en-GB"/>
        </w:rPr>
        <w:t xml:space="preserve"> </w:t>
      </w:r>
      <w:r>
        <w:rPr>
          <w:lang w:eastAsia="en-GB"/>
        </w:rPr>
        <w:t>in coming years</w:t>
      </w:r>
      <w:r w:rsidR="00DD1388">
        <w:rPr>
          <w:lang w:eastAsia="en-GB"/>
        </w:rPr>
        <w:t xml:space="preserve"> </w:t>
      </w:r>
      <w:r w:rsidR="00DD1388">
        <w:rPr>
          <w:lang w:eastAsia="en-GB"/>
        </w:rPr>
        <w:fldChar w:fldCharType="begin" w:fldLock="1"/>
      </w:r>
      <w:r w:rsidR="00B12420">
        <w:rPr>
          <w:lang w:eastAsia="en-GB"/>
        </w:rPr>
        <w:instrText>ADDIN CSL_CITATION {"citationItems":[{"id":"ITEM-1","itemData":{"DOI":"10.1016/S2215-0366(20)30168-1","ISSN":"22150366","PMID":"32304649","abstract":"The coronavirus disease 2019 (COVID-19) pandemic is having a profound effect on all aspects of society, including mental health and physical health. We explore the psychological, social, and neuroscientific effects of COVID-19 and set out the immediate priorities and longer-term strategies for mental health science research. These priorities were informed by surveys of the public and an expert panel convened by the UK Academy of Medical Sciences and the mental health research charity, MQ: Transforming Mental Health, in the first weeks of the pandemic in the UK in March, 2020. We urge UK research funding agencies to work with researchers, people with lived experience, and others to establish a high level coordination group to ensure that these research priorities are addressed, and to allow new ones to be identified over time. The need to maintain high-quality research standards is imperative. International collaboration and a global perspective will be beneficial. An immediate priority is collecting high-quality data on the mental health effects of the COVID-19 pandemic across the whole population and vulnerable groups, and on brain function, cognition, and mental health of patients with COVID-19. There is an urgent need for research to address how mental health consequences for vulnerable groups can be mitigated under pandemic conditions, and on the impact of repeated media consumption and health messaging around COVID-19. Discovery, evaluation, and refinement of mechanistically driven interventions to address the psychological, social, and neuroscientific aspects of the pandemic are required. Rising to this challenge will require integration across disciplines and sectors, and should be done together with people with lived experience. New funding will be required to meet these priorities, and it can be efficiently leveraged by the UK's world-leading infrastructure. This Position Paper provides a strategy that may be both adapted for, and integrated with, research efforts in other countries.","author":[{"dropping-particle":"","family":"Holmes","given":"Emily A.","non-dropping-particle":"","parse-names":false,"suffix":""},{"dropping-particle":"","family":"O'Connor","given":"Rory C.","non-dropping-particle":"","parse-names":false,"suffix":""},{"dropping-particle":"","family":"Perry","given":"V. Hugh","non-dropping-particle":"","parse-names":false,"suffix":""},{"dropping-particle":"","family":"Tracey","given":"Irene","non-dropping-particle":"","parse-names":false,"suffix":""},{"dropping-particle":"","family":"Wessely","given":"Simon","non-dropping-particle":"","parse-names":false,"suffix":""},{"dropping-particle":"","family":"Arseneault","given":"Louise","non-dropping-particle":"","parse-names":false,"suffix":""},{"dropping-particle":"","family":"Ballard","given":"Clive","non-dropping-particle":"","parse-names":false,"suffix":""},{"dropping-particle":"","family":"Christensen","given":"Helen","non-dropping-particle":"","parse-names":false,"suffix":""},{"dropping-particle":"","family":"Cohen Silver","given":"Roxane","non-dropping-particle":"","parse-names":false,"suffix":""},{"dropping-particle":"","family":"Everall","given":"Ian","non-dropping-particle":"","parse-names":false,"suffix":""},{"dropping-particle":"","family":"Ford","given":"Tamsin","non-dropping-particle":"","parse-names":false,"suffix":""},{"dropping-particle":"","family":"John","given":"Ann","non-dropping-particle":"","parse-names":false,"suffix":""},{"dropping-particle":"","family":"Kabir","given":"Thomas","non-dropping-particle":"","parse-names":false,"suffix":""},{"dropping-particle":"","family":"King","given":"Kate","non-dropping-particle":"","parse-names":false,"suffix":""},{"dropping-particle":"","family":"Madan","given":"Ira","non-dropping-particle":"","parse-names":false,"suffix":""},{"dropping-particle":"","family":"Michie","given":"Susan","non-dropping-particle":"","parse-names":false,"suffix":""},{"dropping-particle":"","family":"Przybylski","given":"Andrew K.","non-dropping-particle":"","parse-names":false,"suffix":""},{"dropping-particle":"","family":"Shafran","given":"Roz","non-dropping-particle":"","parse-names":false,"suffix":""},{"dropping-particle":"","family":"Sweeney","given":"Angela","non-dropping-particle":"","parse-names":false,"suffix":""},{"dropping-particle":"","family":"Worthman","given":"Carol M.","non-dropping-particle":"","parse-names":false,"suffix":""},{"dropping-particle":"","family":"Yardley","given":"Lucy","non-dropping-particle":"","parse-names":false,"suffix":""},{"dropping-particle":"","family":"Cowan","given":"Katherine","non-dropping-particle":"","parse-names":false,"suffix":""},{"dropping-particle":"","family":"Cope","given":"Claire","non-dropping-particle":"","parse-names":false,"suffix":""},{"dropping-particle":"","family":"Hotopf","given":"Matthew","non-dropping-particle":"","parse-names":false,"suffix":""},{"dropping-particle":"","family":"Bullmore","given":"Ed","non-dropping-particle":"","parse-names":false,"suffix":""}],"container-title":"The Lancet Psychiatry","id":"ITEM-1","issue":"6","issued":{"date-parts":[["2020","6"]]},"page":"547-560","title":"Multidisciplinary research priorities for the COVID-19 pandemic: a call for action for mental health science","type":"article-journal","volume":"7"},"uris":["http://www.mendeley.com/documents/?uuid=b058b751-cfba-40f1-83e7-4738bd69dedb"]}],"mendeley":{"formattedCitation":"(Holmes et al., 2020)","plainTextFormattedCitation":"(Holmes et al., 2020)","previouslyFormattedCitation":"(Holmes et al., 2020)"},"properties":{"noteIndex":0},"schema":"https://github.com/citation-style-language/schema/raw/master/csl-citation.json"}</w:instrText>
      </w:r>
      <w:r w:rsidR="00DD1388">
        <w:rPr>
          <w:lang w:eastAsia="en-GB"/>
        </w:rPr>
        <w:fldChar w:fldCharType="separate"/>
      </w:r>
      <w:r w:rsidR="00DD1388" w:rsidRPr="00DD1388">
        <w:rPr>
          <w:noProof/>
          <w:lang w:eastAsia="en-GB"/>
        </w:rPr>
        <w:t>(Holmes et al., 2020)</w:t>
      </w:r>
      <w:r w:rsidR="00DD1388">
        <w:rPr>
          <w:lang w:eastAsia="en-GB"/>
        </w:rPr>
        <w:fldChar w:fldCharType="end"/>
      </w:r>
      <w:r>
        <w:rPr>
          <w:lang w:eastAsia="en-GB"/>
        </w:rPr>
        <w:t xml:space="preserve">. We believe long COVID symptoms like </w:t>
      </w:r>
      <w:r w:rsidRPr="00704CAA">
        <w:rPr>
          <w:lang w:eastAsia="en-GB"/>
        </w:rPr>
        <w:t>fatigue</w:t>
      </w:r>
      <w:r w:rsidR="004347DF">
        <w:rPr>
          <w:lang w:eastAsia="en-GB"/>
        </w:rPr>
        <w:t xml:space="preserve"> and </w:t>
      </w:r>
      <w:r w:rsidRPr="00704CAA">
        <w:rPr>
          <w:lang w:eastAsia="en-GB"/>
        </w:rPr>
        <w:t>sleeping difficulties</w:t>
      </w:r>
      <w:r>
        <w:rPr>
          <w:lang w:eastAsia="en-GB"/>
        </w:rPr>
        <w:t xml:space="preserve">, which are already part of the symptom profile of depression, </w:t>
      </w:r>
      <w:r w:rsidR="004D53F8">
        <w:rPr>
          <w:lang w:eastAsia="en-GB"/>
        </w:rPr>
        <w:t>could</w:t>
      </w:r>
      <w:r>
        <w:rPr>
          <w:lang w:eastAsia="en-GB"/>
        </w:rPr>
        <w:t xml:space="preserve"> exacerbate this issue. </w:t>
      </w:r>
      <w:bookmarkStart w:id="4" w:name="_Hlk67578095"/>
      <w:r w:rsidRPr="00704CAA">
        <w:rPr>
          <w:lang w:eastAsia="en-GB"/>
        </w:rPr>
        <w:t>Therefore, whether persistent IL-6 dysregulation</w:t>
      </w:r>
      <w:r w:rsidR="00C50698">
        <w:rPr>
          <w:lang w:eastAsia="en-GB"/>
        </w:rPr>
        <w:t xml:space="preserve"> and/or activity of other inflammatory markers</w:t>
      </w:r>
      <w:r w:rsidRPr="00704CAA">
        <w:rPr>
          <w:lang w:eastAsia="en-GB"/>
        </w:rPr>
        <w:t xml:space="preserve"> contributes to COVID-19-related long-term fatigue, sleeping difficulties, and depression or anxiety is an important hypothesis that requires investigation.</w:t>
      </w:r>
      <w:r>
        <w:rPr>
          <w:lang w:eastAsia="en-GB"/>
        </w:rPr>
        <w:t xml:space="preserve"> </w:t>
      </w:r>
    </w:p>
    <w:p w14:paraId="65C98C57" w14:textId="2040E8E5" w:rsidR="00F86E8E" w:rsidRDefault="00412A81">
      <w:pPr>
        <w:rPr>
          <w:lang w:eastAsia="en-GB"/>
        </w:rPr>
      </w:pPr>
      <w:r>
        <w:rPr>
          <w:lang w:eastAsia="en-GB"/>
        </w:rPr>
        <w:t xml:space="preserve">In particular, clinical </w:t>
      </w:r>
      <w:r w:rsidR="005977A6">
        <w:rPr>
          <w:lang w:eastAsia="en-GB"/>
        </w:rPr>
        <w:t xml:space="preserve">epidemiological </w:t>
      </w:r>
      <w:r>
        <w:rPr>
          <w:lang w:eastAsia="en-GB"/>
        </w:rPr>
        <w:t xml:space="preserve">studies are </w:t>
      </w:r>
      <w:r w:rsidR="005977A6">
        <w:rPr>
          <w:lang w:eastAsia="en-GB"/>
        </w:rPr>
        <w:t xml:space="preserve">needed to determine if IL-6 </w:t>
      </w:r>
      <w:r w:rsidR="007871E4">
        <w:rPr>
          <w:lang w:eastAsia="en-GB"/>
        </w:rPr>
        <w:t>and</w:t>
      </w:r>
      <w:r w:rsidR="00F42C91">
        <w:rPr>
          <w:lang w:eastAsia="en-GB"/>
        </w:rPr>
        <w:t>/or</w:t>
      </w:r>
      <w:r w:rsidR="007871E4">
        <w:rPr>
          <w:lang w:eastAsia="en-GB"/>
        </w:rPr>
        <w:t xml:space="preserve"> other inflammatory cytokine </w:t>
      </w:r>
      <w:r w:rsidR="005977A6">
        <w:rPr>
          <w:lang w:eastAsia="en-GB"/>
        </w:rPr>
        <w:t xml:space="preserve">levels predict subsequent </w:t>
      </w:r>
      <w:r w:rsidR="007871E4">
        <w:rPr>
          <w:lang w:eastAsia="en-GB"/>
        </w:rPr>
        <w:t xml:space="preserve">development and </w:t>
      </w:r>
      <w:r w:rsidR="005977A6">
        <w:rPr>
          <w:lang w:eastAsia="en-GB"/>
        </w:rPr>
        <w:t>persistence of long</w:t>
      </w:r>
      <w:r w:rsidR="0025384F">
        <w:rPr>
          <w:lang w:eastAsia="en-GB"/>
        </w:rPr>
        <w:t xml:space="preserve"> </w:t>
      </w:r>
      <w:r w:rsidR="005977A6">
        <w:rPr>
          <w:lang w:eastAsia="en-GB"/>
        </w:rPr>
        <w:t xml:space="preserve">COVID. </w:t>
      </w:r>
      <w:bookmarkEnd w:id="4"/>
      <w:r w:rsidR="00F77D2B">
        <w:rPr>
          <w:lang w:eastAsia="en-GB"/>
        </w:rPr>
        <w:t xml:space="preserve">These studies can also help to disentangle to what extent long COVID symptoms are related to persistent IL-6 and/or initial COVID-19 illness severity. </w:t>
      </w:r>
      <w:bookmarkStart w:id="5" w:name="_Hlk67577498"/>
    </w:p>
    <w:p w14:paraId="2C54088D" w14:textId="460AD1B5" w:rsidR="00D769B3" w:rsidRDefault="00541CC7" w:rsidP="00D769B3">
      <w:pPr>
        <w:rPr>
          <w:lang w:eastAsia="en-GB"/>
        </w:rPr>
      </w:pPr>
      <w:r>
        <w:rPr>
          <w:lang w:eastAsia="en-GB"/>
        </w:rPr>
        <w:t>F</w:t>
      </w:r>
      <w:r w:rsidR="00D769B3">
        <w:rPr>
          <w:lang w:eastAsia="en-GB"/>
        </w:rPr>
        <w:t xml:space="preserve">atigue is a multifaceted trait comprising both physical and mental </w:t>
      </w:r>
      <w:r w:rsidR="007D57C1">
        <w:rPr>
          <w:lang w:eastAsia="en-GB"/>
        </w:rPr>
        <w:t>as well as</w:t>
      </w:r>
      <w:r w:rsidR="00D769B3">
        <w:rPr>
          <w:lang w:eastAsia="en-GB"/>
        </w:rPr>
        <w:t xml:space="preserve"> sleep-dependent and sleep-independent processes, which are not differentiated in </w:t>
      </w:r>
      <w:r w:rsidR="007D57C1">
        <w:rPr>
          <w:lang w:eastAsia="en-GB"/>
        </w:rPr>
        <w:t xml:space="preserve">current </w:t>
      </w:r>
      <w:r w:rsidR="00D769B3">
        <w:rPr>
          <w:lang w:eastAsia="en-GB"/>
        </w:rPr>
        <w:t xml:space="preserve">long COVID questionnaires </w:t>
      </w:r>
      <w:r w:rsidR="00D769B3">
        <w:rPr>
          <w:lang w:eastAsia="en-GB"/>
        </w:rPr>
        <w:fldChar w:fldCharType="begin" w:fldLock="1"/>
      </w:r>
      <w:r w:rsidR="00D769B3">
        <w:rPr>
          <w:lang w:eastAsia="en-GB"/>
        </w:rPr>
        <w:instrText>ADDIN CSL_CITATION {"citationItems":[{"id":"ITEM-1","itemData":{"DOI":"10.1016/S0140-6736(20)32656-8","ISSN":"01406736","author":[{"dropping-particle":"","family":"Huang","given":"Chaolin","non-dropping-particle":"","parse-names":false,"suffix":""},{"dropping-particle":"","family":"Huang","given":"Lixue","non-dropping-particle":"","parse-names":false,"suffix":""},{"dropping-particle":"","family":"Wang","given":"Yeming","non-dropping-particle":"","parse-names":false,"suffix":""},{"dropping-particle":"","family":"Li","given":"Xia","non-dropping-particle":"","parse-names":false,"suffix":""},{"dropping-particle":"","family":"Ren","given":"Lili","non-dropping-particle":"","parse-names":false,"suffix":""},{"dropping-particle":"","family":"Gu","given":"Xiaoying","non-dropping-particle":"","parse-names":false,"suffix":""},{"dropping-particle":"","family":"Kang","given":"Liang","non-dropping-particle":"","parse-names":false,"suffix":""},{"dropping-particle":"","family":"Guo","given":"Li","non-dropping-particle":"","parse-names":false,"suffix":""},{"dropping-particle":"","family":"Liu","given":"Min","non-dropping-particle":"","parse-names":false,"suffix":""},{"dropping-particle":"","family":"Zhou","given":"Xing","non-dropping-particle":"","parse-names":false,"suffix":""},{"dropping-particle":"","family":"Luo","given":"Jianfeng","non-dropping-particle":"","parse-names":false,"suffix":""},{"dropping-particle":"","family":"Huang","given":"Zhenghui","non-dropping-particle":"","parse-names":false,"suffix":""},{"dropping-particle":"","family":"Tu","given":"Shengjin","non-dropping-particle":"","parse-names":false,"suffix":""},{"dropping-particle":"","family":"Zhao","given":"Yue","non-dropping-particle":"","parse-names":false,"suffix":""},{"dropping-particle":"","family":"Chen","given":"Li","non-dropping-particle":"","parse-names":false,"suffix":""},{"dropping-particle":"","family":"Xu","given":"Decui","non-dropping-particle":"","parse-names":false,"suffix":""},{"dropping-particle":"","family":"Li","given":"Yanping","non-dropping-particle":"","parse-names":false,"suffix":""},{"dropping-particle":"","family":"Li","given":"Caihong","non-dropping-particle":"","parse-names":false,"suffix":""},{"dropping-particle":"","family":"Peng","given":"Lu","non-dropping-particle":"","parse-names":false,"suffix":""},{"dropping-particle":"","family":"Li","given":"Yong","non-dropping-particle":"","parse-names":false,"suffix":""},{"dropping-particle":"","family":"Xie","given":"Wuxiang","non-dropping-particle":"","parse-names":false,"suffix":""},{"dropping-particle":"","family":"Cui","given":"Dan","non-dropping-particle":"","parse-names":false,"suffix":""},{"dropping-particle":"","family":"Shang","given":"Lianhan","non-dropping-particle":"","parse-names":false,"suffix":""},{"dropping-particle":"","family":"Fan","given":"Guohui","non-dropping-particle":"","parse-names":false,"suffix":""},{"dropping-particle":"","family":"Xu","given":"Jiuyang","non-dropping-particle":"","parse-names":false,"suffix":""},{"dropping-particle":"","family":"Wang","given":"Geng","non-dropping-particle":"","parse-names":false,"suffix":""},{"dropping-particle":"","family":"Wang","given":"Ying","non-dropping-particle":"","parse-names":false,"suffix":""},{"dropping-particle":"","family":"Zhong","given":"Jingchuan","non-dropping-particle":"","parse-names":false,"suffix":""},{"dropping-particle":"","family":"Wang","given":"Chen","non-dropping-particle":"","parse-names":false,"suffix":""},{"dropping-particle":"","family":"Wang","given":"Jianwei","non-dropping-particle":"","parse-names":false,"suffix":""},{"dropping-particle":"","family":"Zhang","given":"Dingyu","non-dropping-particle":"","parse-names":false,"suffix":""},{"dropping-particle":"","family":"Cao","given":"Bin","non-dropping-particle":"","parse-names":false,"suffix":""}],"container-title":"The Lancet","id":"ITEM-1","issue":"10270","issued":{"date-parts":[["2021","1"]]},"page":"220-232","publisher":"Elsevier Ltd","title":"6-month consequences of COVID-19 in patients discharged from hospital: a cohort study","type":"article-journal","volume":"397"},"prefix":"e.g., ","uris":["http://www.mendeley.com/documents/?uuid=df485d0c-4b2f-420c-955e-13073b393876"]}],"mendeley":{"formattedCitation":"(e.g., Huang et al., 2021)","plainTextFormattedCitation":"(e.g., Huang et al., 2021)","previouslyFormattedCitation":"(e.g., Huang et al., 2021)"},"properties":{"noteIndex":0},"schema":"https://github.com/citation-style-language/schema/raw/master/csl-citation.json"}</w:instrText>
      </w:r>
      <w:r w:rsidR="00D769B3">
        <w:rPr>
          <w:lang w:eastAsia="en-GB"/>
        </w:rPr>
        <w:fldChar w:fldCharType="separate"/>
      </w:r>
      <w:r w:rsidR="00D769B3" w:rsidRPr="00A21805">
        <w:rPr>
          <w:noProof/>
          <w:lang w:eastAsia="en-GB"/>
        </w:rPr>
        <w:t>(e.g., Huang et al., 2021)</w:t>
      </w:r>
      <w:r w:rsidR="00D769B3">
        <w:rPr>
          <w:lang w:eastAsia="en-GB"/>
        </w:rPr>
        <w:fldChar w:fldCharType="end"/>
      </w:r>
      <w:r w:rsidR="00D769B3">
        <w:rPr>
          <w:lang w:eastAsia="en-GB"/>
        </w:rPr>
        <w:t xml:space="preserve">. While fatigue can be a consequence of inflammation-induced pain and sleeping difficulties </w:t>
      </w:r>
      <w:r w:rsidR="00D769B3">
        <w:rPr>
          <w:lang w:eastAsia="en-GB"/>
        </w:rPr>
        <w:fldChar w:fldCharType="begin" w:fldLock="1"/>
      </w:r>
      <w:r w:rsidR="00D769B3">
        <w:rPr>
          <w:lang w:eastAsia="en-GB"/>
        </w:rPr>
        <w:instrText>ADDIN CSL_CITATION {"citationItems":[{"id":"ITEM-1","itemData":{"DOI":"10.1093/rheumatology/keq282","ISSN":"1462-0324","PMID":"20819797","author":[{"dropping-particle":"","family":"Hewlett","given":"Sarah","non-dropping-particle":"","parse-names":false,"suffix":""},{"dropping-particle":"","family":"Chalder","given":"Trudie","non-dropping-particle":"","parse-names":false,"suffix":""},{"dropping-particle":"","family":"Choy","given":"Ernest","non-dropping-particle":"","parse-names":false,"suffix":""},{"dropping-particle":"","family":"Cramp","given":"Fiona","non-dropping-particle":"","parse-names":false,"suffix":""},{"dropping-particle":"","family":"Davis","given":"Bev","non-dropping-particle":"","parse-names":false,"suffix":""},{"dropping-particle":"","family":"Dures","given":"Emma","non-dropping-particle":"","parse-names":false,"suffix":""},{"dropping-particle":"","family":"Nicholls","given":"Claire","non-dropping-particle":"","parse-names":false,"suffix":""},{"dropping-particle":"","family":"Kirwan","given":"John","non-dropping-particle":"","parse-names":false,"suffix":""}],"container-title":"Rheumatology","id":"ITEM-1","issue":"6","issued":{"date-parts":[["2011","6","1"]]},"page":"1004-1006","title":"Fatigue in rheumatoid arthritis: time for a conceptual model","type":"article-journal","volume":"50"},"uris":["http://www.mendeley.com/documents/?uuid=a6c5d143-4e07-4dd7-8b61-5a4ecddf2c0c"]},{"id":"ITEM-2","itemData":{"DOI":"10.1111/j.1749-6632.2012.06634.x","ISSN":"00778923","abstract":"Chronic low-grade inflammation, in particular increased concentrations of proinflammatory cytokines such as interleukin (IL)-6 in the circulation, is observed with increasing age, but it is also as a consequence of various medical and psychological conditions, as well as life-style choices. Since molecules such as IL-6 have pleiotropic effects, consequences are wide ranging. This short review summarizes the evidence showing how IL-6 elevations in the context of inflammatory disease affect the organism, with a focus on sleep-related symptoms and fatigue; and conversely, how alterations in sleep duration and quality stimulate increased concentrations of IL-6 in the circulation. Research showing that acute as well as chronic psychological stress also increase concentrations of IL-6 supports the notion of a close link between an organism's response to physiological and psychological perturbations. The findings summarized here further underscore the particular importance of IL-6 as a messenger molecule that connects peripheral regulatory processes with the CNS. © 2012 New York Academy of Sciences.","author":[{"dropping-particle":"","family":"Rohleder","given":"Nicolas","non-dropping-particle":"","parse-names":false,"suffix":""},{"dropping-particle":"","family":"Aringer","given":"Martin","non-dropping-particle":"","parse-names":false,"suffix":""},{"dropping-particle":"","family":"Boentert","given":"Matthias","non-dropping-particle":"","parse-names":false,"suffix":""}],"container-title":"Annals of the New York Academy of Sciences","id":"ITEM-2","issue":"1","issued":{"date-parts":[["2012","7"]]},"page":"88-96","title":"Role of interleukin-6 in stress, sleep, and fatigue","type":"article-journal","volume":"1261"},"uris":["http://www.mendeley.com/documents/?uuid=f83a4cee-2413-465d-9ea0-5629396e6f95"]},{"id":"ITEM-3","itemData":{"ISSN":"0315-162X","PMID":"18260177","abstract":"OBJECTIVE Anemia of chronic disease (ACD) is the most common extraarticular manifestation of rheumatoid arthritis (RA), but there is limited information on the cause and consequences of ACD. We investigated the prevalence, relation with proinflammatory cytokines, and effect on disease outcome of ACD in patients with RA. METHODS The presence of anemia was analyzed in a cohort of 111 consecutive patients with early RA. Anemia was related to markers of erythropoiesis and inflammation [clinically and by levels of erythrocyte sedimentation rate (ESR), C-reactive protein (CRP), and serum interleukin 1beta (IL-1beta), IL-2, IL-6, IL-8, and tumor necrosis factor-alpha]. The frequency of various disease outcomes during the mean followup of 74 months was compared between ACD and nonanemic patients. RESULTS ACD was present in 25% during the first year of disease. ACD was associated with higher CRP (45 vs 22 g/l; p = 0.04) and ESR levels (54 vs 33 mm/h; p = 0.002). Hemoglobin levels were inversely correlated with serum erythropoietin (p = 0.003) in univariate analysis, but in multivariate analysis only ESR (p = 0.005) and IL-6 (p = 0.056) remained as independent predictors of hemoglobin levels. Presence of ACD was not associated with later development of disease manifestations or mortality. CONCLUSION While ACD affected 25% of patients with RA early in the disease course, this had no influence on disease outcome including mortality during the following 6 years. The association between IL-6 and ACD suggests that IL-6-mediated bone marrow suppression is the main mechanism for development of ACD in RA.","author":[{"dropping-particle":"","family":"Nikolaisen","given":"Cathrin","non-dropping-particle":"","parse-names":false,"suffix":""},{"dropping-particle":"","family":"Figenschau","given":"Yngve","non-dropping-particle":"","parse-names":false,"suffix":""},{"dropping-particle":"","family":"Nossent","given":"Johannes C.","non-dropping-particle":"","parse-names":false,"suffix":""}],"container-title":"The Journal of rheumatology","id":"ITEM-3","issue":"3","issued":{"date-parts":[["2008","3"]]},"page":"380-6","title":"Anemia in early rheumatoid arthritis is associated with interleukin 6-mediated bone marrow suppression, but has no effect on disease course or mortality.","type":"article-journal","volume":"35"},"uris":["http://www.mendeley.com/documents/?uuid=36a8aa73-f70b-4cf8-a804-37c218955d8a"]}],"mendeley":{"formattedCitation":"(Hewlett et al., 2011; Nikolaisen et al., 2008; Rohleder et al., 2012)","plainTextFormattedCitation":"(Hewlett et al., 2011; Nikolaisen et al., 2008; Rohleder et al., 2012)","previouslyFormattedCitation":"(Hewlett et al., 2011; Nikolaisen et al., 2008; Rohleder et al., 2012)"},"properties":{"noteIndex":0},"schema":"https://github.com/citation-style-language/schema/raw/master/csl-citation.json"}</w:instrText>
      </w:r>
      <w:r w:rsidR="00D769B3">
        <w:rPr>
          <w:lang w:eastAsia="en-GB"/>
        </w:rPr>
        <w:fldChar w:fldCharType="separate"/>
      </w:r>
      <w:r w:rsidR="00D769B3" w:rsidRPr="003938CF">
        <w:rPr>
          <w:noProof/>
          <w:lang w:eastAsia="en-GB"/>
        </w:rPr>
        <w:t>(Hewlett et al., 2011; Nikolaisen et al., 2008; Rohleder et al., 2012)</w:t>
      </w:r>
      <w:r w:rsidR="00D769B3">
        <w:rPr>
          <w:lang w:eastAsia="en-GB"/>
        </w:rPr>
        <w:fldChar w:fldCharType="end"/>
      </w:r>
      <w:r w:rsidR="00D769B3">
        <w:rPr>
          <w:lang w:eastAsia="en-GB"/>
        </w:rPr>
        <w:t>, there is robust evidence that fatigue could arise from the effects</w:t>
      </w:r>
      <w:r w:rsidR="009C5350">
        <w:rPr>
          <w:lang w:eastAsia="en-GB"/>
        </w:rPr>
        <w:t xml:space="preserve"> of</w:t>
      </w:r>
      <w:r w:rsidR="00D769B3">
        <w:rPr>
          <w:lang w:eastAsia="en-GB"/>
        </w:rPr>
        <w:t xml:space="preserve"> inflammatory cytokines on the brain </w:t>
      </w:r>
      <w:r w:rsidR="00D769B3">
        <w:rPr>
          <w:lang w:eastAsia="en-GB"/>
        </w:rPr>
        <w:fldChar w:fldCharType="begin" w:fldLock="1"/>
      </w:r>
      <w:r w:rsidR="00D769B3">
        <w:rPr>
          <w:lang w:eastAsia="en-GB"/>
        </w:rPr>
        <w:instrText>ADDIN CSL_CITATION {"citationItems":[{"id":"ITEM-1","itemData":{"DOI":"10.1016/j.tins.2013.10.003","ISSN":"01662236","abstract":"The exact nature and pathophysiology of fatigue remain largely elusive despite its high prevalence in physically ill patients. Studies on the relationship between the im- mune system and the central nervous system provide a new perspective on the mechanisms of fatigue. Inflam- matory mediators that are released by activated innate immune cells at the periphery and in the central nervous system alter the metabolism and activity of neurotrans- mitters, generate neurotoxic compounds, decrease neu- rotrophic factors, and profoundly disturb the neuronal environment. The resulting alterations in fronto-striatal networks together with the activation of insula by in- flammatory interoceptive stimuli underlie the many dimensions of fatigue including reduced incentive moti- vation, decreased behavioral flexibility, uncertainty about usefulness of actions, and awareness of fatigue.","author":[{"dropping-particle":"","family":"Dantzer","given":"Robert","non-dropping-particle":"","parse-names":false,"suffix":""},{"dropping-particle":"","family":"Heijnen","given":"Cobi Johanna","non-dropping-particle":"","parse-names":false,"suffix":""},{"dropping-particle":"","family":"Kavelaars","given":"Annemieke","non-dropping-particle":"","parse-names":false,"suffix":""},{"dropping-particle":"","family":"Laye","given":"Sophie","non-dropping-particle":"","parse-names":false,"suffix":""},{"dropping-particle":"","family":"Capuron","given":"Lucile","non-dropping-particle":"","parse-names":false,"suffix":""}],"container-title":"Trends in Neurosciences","id":"ITEM-1","issue":"1","issued":{"date-parts":[["2014","1"]]},"page":"39-46","title":"The neuroimmune basis of fatigue","type":"article-journal","volume":"37"},"uris":["http://www.mendeley.com/documents/?uuid=2972c544-51f7-38d6-bad0-b4a3bf2e1747"]}],"mendeley":{"formattedCitation":"(Dantzer et al., 2014)","plainTextFormattedCitation":"(Dantzer et al., 2014)","previouslyFormattedCitation":"(Dantzer et al., 2014)"},"properties":{"noteIndex":0},"schema":"https://github.com/citation-style-language/schema/raw/master/csl-citation.json"}</w:instrText>
      </w:r>
      <w:r w:rsidR="00D769B3">
        <w:rPr>
          <w:lang w:eastAsia="en-GB"/>
        </w:rPr>
        <w:fldChar w:fldCharType="separate"/>
      </w:r>
      <w:r w:rsidR="00D769B3" w:rsidRPr="00D769B3">
        <w:rPr>
          <w:noProof/>
          <w:lang w:eastAsia="en-GB"/>
        </w:rPr>
        <w:t>(Dantzer et al., 2014)</w:t>
      </w:r>
      <w:r w:rsidR="00D769B3">
        <w:rPr>
          <w:lang w:eastAsia="en-GB"/>
        </w:rPr>
        <w:fldChar w:fldCharType="end"/>
      </w:r>
      <w:r w:rsidR="00BD447A">
        <w:rPr>
          <w:lang w:eastAsia="en-GB"/>
        </w:rPr>
        <w:t>.</w:t>
      </w:r>
      <w:r w:rsidR="00D769B3">
        <w:rPr>
          <w:lang w:eastAsia="en-GB"/>
        </w:rPr>
        <w:t xml:space="preserve"> </w:t>
      </w:r>
      <w:r w:rsidR="00BD447A">
        <w:rPr>
          <w:lang w:eastAsia="en-GB"/>
        </w:rPr>
        <w:t>Therefore,</w:t>
      </w:r>
      <w:r w:rsidR="00D769B3">
        <w:rPr>
          <w:lang w:eastAsia="en-GB"/>
        </w:rPr>
        <w:t xml:space="preserve"> </w:t>
      </w:r>
      <w:r>
        <w:rPr>
          <w:lang w:eastAsia="en-GB"/>
        </w:rPr>
        <w:t xml:space="preserve">future studies should include </w:t>
      </w:r>
      <w:r w:rsidR="00D769B3">
        <w:rPr>
          <w:lang w:eastAsia="en-GB"/>
        </w:rPr>
        <w:t xml:space="preserve">more detailed </w:t>
      </w:r>
      <w:r>
        <w:rPr>
          <w:lang w:eastAsia="en-GB"/>
        </w:rPr>
        <w:t xml:space="preserve">and repeated </w:t>
      </w:r>
      <w:r w:rsidR="00D769B3">
        <w:rPr>
          <w:lang w:eastAsia="en-GB"/>
        </w:rPr>
        <w:t xml:space="preserve">assessments </w:t>
      </w:r>
      <w:r>
        <w:rPr>
          <w:lang w:eastAsia="en-GB"/>
        </w:rPr>
        <w:t xml:space="preserve">of long COVID symptoms to enable </w:t>
      </w:r>
      <w:r w:rsidR="007F002E">
        <w:rPr>
          <w:lang w:eastAsia="en-GB"/>
        </w:rPr>
        <w:t xml:space="preserve">systematic examination of </w:t>
      </w:r>
      <w:r w:rsidR="00D769B3">
        <w:rPr>
          <w:lang w:eastAsia="en-GB"/>
        </w:rPr>
        <w:t>relative contribution</w:t>
      </w:r>
      <w:r w:rsidR="00D61584">
        <w:rPr>
          <w:lang w:eastAsia="en-GB"/>
        </w:rPr>
        <w:t>s</w:t>
      </w:r>
      <w:r w:rsidR="00D769B3">
        <w:rPr>
          <w:lang w:eastAsia="en-GB"/>
        </w:rPr>
        <w:t xml:space="preserve"> </w:t>
      </w:r>
      <w:r w:rsidR="007F002E">
        <w:rPr>
          <w:lang w:eastAsia="en-GB"/>
        </w:rPr>
        <w:t>of</w:t>
      </w:r>
      <w:r w:rsidR="0040068E">
        <w:rPr>
          <w:lang w:eastAsia="en-GB"/>
        </w:rPr>
        <w:t>,</w:t>
      </w:r>
      <w:r w:rsidR="007F002E">
        <w:rPr>
          <w:lang w:eastAsia="en-GB"/>
        </w:rPr>
        <w:t xml:space="preserve"> </w:t>
      </w:r>
      <w:r w:rsidR="00BD447A">
        <w:rPr>
          <w:lang w:eastAsia="en-GB"/>
        </w:rPr>
        <w:t xml:space="preserve">and interrelationships </w:t>
      </w:r>
      <w:r w:rsidR="007F002E">
        <w:rPr>
          <w:lang w:eastAsia="en-GB"/>
        </w:rPr>
        <w:t>between</w:t>
      </w:r>
      <w:r w:rsidR="0040068E">
        <w:rPr>
          <w:lang w:eastAsia="en-GB"/>
        </w:rPr>
        <w:t>,</w:t>
      </w:r>
      <w:r w:rsidR="007F002E">
        <w:rPr>
          <w:lang w:eastAsia="en-GB"/>
        </w:rPr>
        <w:t xml:space="preserve"> immun</w:t>
      </w:r>
      <w:r w:rsidR="007D1EE3">
        <w:rPr>
          <w:lang w:eastAsia="en-GB"/>
        </w:rPr>
        <w:t>ological</w:t>
      </w:r>
      <w:r w:rsidR="007F002E">
        <w:rPr>
          <w:lang w:eastAsia="en-GB"/>
        </w:rPr>
        <w:t xml:space="preserve"> and other </w:t>
      </w:r>
      <w:r w:rsidR="00D769B3">
        <w:rPr>
          <w:lang w:eastAsia="en-GB"/>
        </w:rPr>
        <w:t xml:space="preserve">processes </w:t>
      </w:r>
      <w:r w:rsidR="007F002E">
        <w:rPr>
          <w:lang w:eastAsia="en-GB"/>
        </w:rPr>
        <w:t xml:space="preserve">in </w:t>
      </w:r>
      <w:r w:rsidR="009D73EA">
        <w:rPr>
          <w:lang w:eastAsia="en-GB"/>
        </w:rPr>
        <w:t xml:space="preserve">fatigue and other </w:t>
      </w:r>
      <w:r w:rsidR="007F002E">
        <w:rPr>
          <w:lang w:eastAsia="en-GB"/>
        </w:rPr>
        <w:t>long COVID symptoms</w:t>
      </w:r>
      <w:r w:rsidR="00D769B3">
        <w:rPr>
          <w:lang w:eastAsia="en-GB"/>
        </w:rPr>
        <w:t xml:space="preserve">. </w:t>
      </w:r>
    </w:p>
    <w:p w14:paraId="290385EB" w14:textId="6316F963" w:rsidR="001D0CFC" w:rsidRDefault="001D786B">
      <w:pPr>
        <w:rPr>
          <w:lang w:eastAsia="en-GB"/>
        </w:rPr>
      </w:pPr>
      <w:r>
        <w:rPr>
          <w:lang w:eastAsia="en-GB"/>
        </w:rPr>
        <w:t>For greater insights int</w:t>
      </w:r>
      <w:r w:rsidR="00141F48">
        <w:rPr>
          <w:lang w:eastAsia="en-GB"/>
        </w:rPr>
        <w:t xml:space="preserve">o </w:t>
      </w:r>
      <w:r>
        <w:rPr>
          <w:lang w:eastAsia="en-GB"/>
        </w:rPr>
        <w:t xml:space="preserve">IL-6 related </w:t>
      </w:r>
      <w:r w:rsidR="00141F48">
        <w:rPr>
          <w:lang w:eastAsia="en-GB"/>
        </w:rPr>
        <w:t xml:space="preserve">mechanisms of long COVID, </w:t>
      </w:r>
      <w:r>
        <w:rPr>
          <w:lang w:eastAsia="en-GB"/>
        </w:rPr>
        <w:t xml:space="preserve">future </w:t>
      </w:r>
      <w:r w:rsidR="007745FF">
        <w:rPr>
          <w:lang w:eastAsia="en-GB"/>
        </w:rPr>
        <w:t xml:space="preserve">immunophenotyping </w:t>
      </w:r>
      <w:r w:rsidR="00141F48">
        <w:rPr>
          <w:lang w:eastAsia="en-GB"/>
        </w:rPr>
        <w:t>studies would benefit from assays o</w:t>
      </w:r>
      <w:r w:rsidR="00EF5219">
        <w:rPr>
          <w:lang w:eastAsia="en-GB"/>
        </w:rPr>
        <w:t>f</w:t>
      </w:r>
      <w:r w:rsidR="00141F48">
        <w:rPr>
          <w:lang w:eastAsia="en-GB"/>
        </w:rPr>
        <w:t xml:space="preserve"> </w:t>
      </w:r>
      <w:r w:rsidR="00EF5219">
        <w:rPr>
          <w:lang w:eastAsia="en-GB"/>
        </w:rPr>
        <w:t xml:space="preserve">soluble IL-6R </w:t>
      </w:r>
      <w:r w:rsidR="0053209D">
        <w:rPr>
          <w:lang w:eastAsia="en-GB"/>
        </w:rPr>
        <w:t xml:space="preserve">(sIL-6R) </w:t>
      </w:r>
      <w:r w:rsidR="00EF5219">
        <w:rPr>
          <w:lang w:eastAsia="en-GB"/>
        </w:rPr>
        <w:t>and soluble glycoprotein 130 (</w:t>
      </w:r>
      <w:r w:rsidR="0055034D">
        <w:rPr>
          <w:lang w:eastAsia="en-GB"/>
        </w:rPr>
        <w:t>s</w:t>
      </w:r>
      <w:r w:rsidR="00EF5219">
        <w:rPr>
          <w:lang w:eastAsia="en-GB"/>
        </w:rPr>
        <w:t>gp130)</w:t>
      </w:r>
      <w:r w:rsidR="0036537A">
        <w:rPr>
          <w:lang w:eastAsia="en-GB"/>
        </w:rPr>
        <w:t>. This would provide a more complete picture of IL-6 signalling</w:t>
      </w:r>
      <w:r w:rsidR="00823FD6">
        <w:rPr>
          <w:lang w:eastAsia="en-GB"/>
        </w:rPr>
        <w:t>,</w:t>
      </w:r>
      <w:r w:rsidR="0036537A">
        <w:rPr>
          <w:lang w:eastAsia="en-GB"/>
        </w:rPr>
        <w:t xml:space="preserve"> which occurs </w:t>
      </w:r>
      <w:r w:rsidR="002B6BAC">
        <w:rPr>
          <w:lang w:eastAsia="en-GB"/>
        </w:rPr>
        <w:t>via two distinct pathways</w:t>
      </w:r>
      <w:r w:rsidR="00D769B3">
        <w:rPr>
          <w:lang w:eastAsia="en-GB"/>
        </w:rPr>
        <w:t xml:space="preserve"> </w:t>
      </w:r>
      <w:r w:rsidR="00D769B3">
        <w:rPr>
          <w:lang w:eastAsia="en-GB"/>
        </w:rPr>
        <w:fldChar w:fldCharType="begin" w:fldLock="1"/>
      </w:r>
      <w:r w:rsidR="00D13554">
        <w:rPr>
          <w:lang w:eastAsia="en-GB"/>
        </w:rPr>
        <w:instrText>ADDIN CSL_CITATION {"citationItems":[{"id":"ITEM-1","itemData":{"DOI":"10.1038/ni.3153","ISSN":"1529-2908","PMID":"25898198","abstract":"Interleukin 6 (IL-6) has a broad effect on cells of the immune system and those not of the immune system and often displays hormone-like characteristics that affect homeostatic processes. IL-6 has context-dependent pro- and anti-inflammatory properties and is now regarded as a prominent target for clinical intervention. However, the signaling cassette that controls the activity of IL-6 is complicated, and distinct intervention strategies can inhibit this pathway. Clinical experience with antagonists of IL-6 has raised new questions about how and when to block this cytokine to improve disease outcome and patient wellbeing. Here we discuss the effect of IL-6 on innate and adaptive immunity and the possible advantages of various antagonists of IL-6 and consider how the immunobiology of IL-6 may inform clinical decisions.","author":[{"dropping-particle":"","family":"Hunter","given":"Christopher A.","non-dropping-particle":"","parse-names":false,"suffix":""},{"dropping-particle":"","family":"Jones","given":"Simon A.","non-dropping-particle":"","parse-names":false,"suffix":""}],"container-title":"Nature Immunology","id":"ITEM-1","issue":"5","issued":{"date-parts":[["2015","5","21"]]},"page":"448-457","publisher":"Nature Publishing Group","title":"IL-6 as a keystone cytokine in health and disease","type":"article-journal","volume":"16"},"uris":["http://www.mendeley.com/documents/?uuid=f2c215d3-0713-4ed9-a759-3f1d673a1de8"]},{"id":"ITEM-2","itemData":{"DOI":"10.1016/j.smim.2013.11.002","ISSN":"10445323","PMID":"24325804","abstract":"Cytokines receptors exist in membrane bound and soluble form. A soluble form of the human IL-6R is generated by limited proteolysis and alternative splicing. The complex of IL-6 and soluble IL-6R stimulates target cells not stimulated by IL-6 alone, since they do not express the membrane bound IL-6R. We have named this process trans-signaling. Soluble gp130 is the natural inhibitor of IL-6/soluble IL-6R complex responses. Recombinant soluble gp130 protein is a molecular tool to discriminate between gp130 responses via membrane bound and soluble IL-6R responses. Neutralizing monoclonal antibodies for global blockade of IL-6 signaling and the sgp130Fc protein for selective blockade of IL-6 trans-signaling have been used in several animal models of human diseases. Using the sgp130Fc protein or sgp130Fc transgenic mice we demonstrate in models of inflammatory bowel disease, peritonitis, rheumatoid arthritis, atherosclerosis pancreatitis, colon cancer, ovarian cancer and pancreatic cancer, that IL-6 trans-signaling via the soluble IL-6R is the crucial step in the development and the progression of the disease. Therefore, sgp130Fc is a novel therapeutic agent for the treatment of chronic inflammatory diseases and cancer and it undergoes phase I clinical trials as an anti-inflammatory drug since June 2013. © 2013 Elsevier Ltd.","author":[{"dropping-particle":"","family":"Scheller","given":"Jürgen","non-dropping-particle":"","parse-names":false,"suffix":""},{"dropping-particle":"","family":"Garbers","given":"Christoph","non-dropping-particle":"","parse-names":false,"suffix":""},{"dropping-particle":"","family":"Rose-John","given":"Stefan","non-dropping-particle":"","parse-names":false,"suffix":""}],"container-title":"Seminars in Immunology","id":"ITEM-2","issue":"1","issued":{"date-parts":[["2014","2"]]},"page":"2-12","publisher":"Elsevier Ltd","title":"Interleukin-6: From basic biology to selective blockade of pro-inflammatory activities","type":"article-journal","volume":"26"},"uris":["http://www.mendeley.com/documents/?uuid=cfc787f6-8cc1-4e8c-ac0a-e251060dd66e"]}],"mendeley":{"formattedCitation":"(Hunter and Jones, 2015; Scheller et al., 2014)","plainTextFormattedCitation":"(Hunter and Jones, 2015; Scheller et al., 2014)","previouslyFormattedCitation":"(Hunter and Jones, 2015; Scheller et al., 2014)"},"properties":{"noteIndex":0},"schema":"https://github.com/citation-style-language/schema/raw/master/csl-citation.json"}</w:instrText>
      </w:r>
      <w:r w:rsidR="00D769B3">
        <w:rPr>
          <w:lang w:eastAsia="en-GB"/>
        </w:rPr>
        <w:fldChar w:fldCharType="separate"/>
      </w:r>
      <w:r w:rsidR="00D769B3" w:rsidRPr="00D769B3">
        <w:rPr>
          <w:noProof/>
          <w:lang w:eastAsia="en-GB"/>
        </w:rPr>
        <w:t xml:space="preserve">(Hunter and Jones, 2015; Scheller et al., </w:t>
      </w:r>
      <w:r w:rsidR="00D769B3" w:rsidRPr="00D769B3">
        <w:rPr>
          <w:noProof/>
          <w:lang w:eastAsia="en-GB"/>
        </w:rPr>
        <w:lastRenderedPageBreak/>
        <w:t>2014)</w:t>
      </w:r>
      <w:r w:rsidR="00D769B3">
        <w:rPr>
          <w:lang w:eastAsia="en-GB"/>
        </w:rPr>
        <w:fldChar w:fldCharType="end"/>
      </w:r>
      <w:r w:rsidR="00141F48">
        <w:rPr>
          <w:lang w:eastAsia="en-GB"/>
        </w:rPr>
        <w:t xml:space="preserve">. IL-6 </w:t>
      </w:r>
      <w:r w:rsidR="002B6BAC">
        <w:rPr>
          <w:lang w:eastAsia="en-GB"/>
        </w:rPr>
        <w:t xml:space="preserve">classic signalling occurs </w:t>
      </w:r>
      <w:r w:rsidR="0053209D">
        <w:rPr>
          <w:lang w:eastAsia="en-GB"/>
        </w:rPr>
        <w:t>when</w:t>
      </w:r>
      <w:r w:rsidR="002B6BAC">
        <w:rPr>
          <w:lang w:eastAsia="en-GB"/>
        </w:rPr>
        <w:t xml:space="preserve"> IL-6 binds to membrane-bound IL-6Rs together with the ubiquitously expressed </w:t>
      </w:r>
      <w:r w:rsidR="00EF5219">
        <w:rPr>
          <w:lang w:eastAsia="en-GB"/>
        </w:rPr>
        <w:t>gp130</w:t>
      </w:r>
      <w:r w:rsidR="002B6BAC">
        <w:rPr>
          <w:lang w:eastAsia="en-GB"/>
        </w:rPr>
        <w:t xml:space="preserve">. However, membrane-bound IL-6Rs are only present on hepatocytes and certain immune cells and this process is thought to be </w:t>
      </w:r>
      <w:r w:rsidR="00967AEC">
        <w:rPr>
          <w:lang w:eastAsia="en-GB"/>
        </w:rPr>
        <w:t xml:space="preserve">mainly </w:t>
      </w:r>
      <w:r w:rsidR="002B6BAC">
        <w:rPr>
          <w:lang w:eastAsia="en-GB"/>
        </w:rPr>
        <w:t xml:space="preserve">responsible for central homeostatic </w:t>
      </w:r>
      <w:r w:rsidR="00967AEC">
        <w:rPr>
          <w:lang w:eastAsia="en-GB"/>
        </w:rPr>
        <w:t xml:space="preserve">rather than inflammatory </w:t>
      </w:r>
      <w:r w:rsidR="002B6BAC">
        <w:rPr>
          <w:lang w:eastAsia="en-GB"/>
        </w:rPr>
        <w:t xml:space="preserve">processes. In contrast, the pro-inflammatory effects of IL-6 are </w:t>
      </w:r>
      <w:r w:rsidR="001223A8">
        <w:rPr>
          <w:lang w:eastAsia="en-GB"/>
        </w:rPr>
        <w:t xml:space="preserve">mainly </w:t>
      </w:r>
      <w:r w:rsidR="002B6BAC">
        <w:rPr>
          <w:lang w:eastAsia="en-GB"/>
        </w:rPr>
        <w:t>mediated via IL-6 trans-signalling, whereby IL-6 binds sIL-6Rs</w:t>
      </w:r>
      <w:r w:rsidR="001223A8">
        <w:rPr>
          <w:lang w:eastAsia="en-GB"/>
        </w:rPr>
        <w:t xml:space="preserve"> and</w:t>
      </w:r>
      <w:r w:rsidR="00A80EE2">
        <w:rPr>
          <w:lang w:eastAsia="en-GB"/>
        </w:rPr>
        <w:t xml:space="preserve"> </w:t>
      </w:r>
      <w:r w:rsidR="002B6BAC">
        <w:rPr>
          <w:lang w:eastAsia="en-GB"/>
        </w:rPr>
        <w:t>induce</w:t>
      </w:r>
      <w:r w:rsidR="001223A8">
        <w:rPr>
          <w:lang w:eastAsia="en-GB"/>
        </w:rPr>
        <w:t>s</w:t>
      </w:r>
      <w:r w:rsidR="002B6BAC">
        <w:rPr>
          <w:lang w:eastAsia="en-GB"/>
        </w:rPr>
        <w:t xml:space="preserve"> signalling on cells that naturally lack IL-6Rs. </w:t>
      </w:r>
    </w:p>
    <w:p w14:paraId="53D78957" w14:textId="1F81A65B" w:rsidR="00DA08AB" w:rsidRDefault="00EF5219">
      <w:pPr>
        <w:rPr>
          <w:lang w:eastAsia="en-GB"/>
        </w:rPr>
      </w:pPr>
      <w:r>
        <w:rPr>
          <w:lang w:eastAsia="en-GB"/>
        </w:rPr>
        <w:t xml:space="preserve">IL-6 trans-signalling has been specifically associated </w:t>
      </w:r>
      <w:r w:rsidR="001223A8">
        <w:rPr>
          <w:lang w:eastAsia="en-GB"/>
        </w:rPr>
        <w:t xml:space="preserve">with </w:t>
      </w:r>
      <w:r w:rsidR="00A80EE2">
        <w:rPr>
          <w:lang w:eastAsia="en-GB"/>
        </w:rPr>
        <w:t xml:space="preserve">autoimmune conditions and </w:t>
      </w:r>
      <w:r>
        <w:rPr>
          <w:lang w:eastAsia="en-GB"/>
        </w:rPr>
        <w:t>with sleep-</w:t>
      </w:r>
      <w:r w:rsidRPr="00E30BE2">
        <w:rPr>
          <w:lang w:eastAsia="en-GB"/>
        </w:rPr>
        <w:t xml:space="preserve">related processes </w:t>
      </w:r>
      <w:r w:rsidRPr="00E30BE2">
        <w:rPr>
          <w:lang w:eastAsia="en-GB"/>
        </w:rPr>
        <w:fldChar w:fldCharType="begin" w:fldLock="1"/>
      </w:r>
      <w:r w:rsidR="006B2E70" w:rsidRPr="00E30BE2">
        <w:rPr>
          <w:lang w:eastAsia="en-GB"/>
        </w:rPr>
        <w:instrText>ADDIN CSL_CITATION {"citationItems":[{"id":"ITEM-1","itemData":{"DOI":"10.1096/fj.06-5754fje","ISSN":"0892-6638","PMID":"16912152","abstract":"Sleep is commonly considered to support immune defense. The underlying sleep-immune interaction appears to rely critically on cytokines, like interleukin-6 (IL-6), that combine effects on immune and neuronal functions. The IL-6 signal is conveyed in two ways: it stimulates a restricted group of (mostly immune) cells via membrane-bound IL-6 receptors (mIL-6R) by forming a complex with soluble IL-6R (sIL-6R), and it stimulates (via membrane-bound gp130) a great variety of other cell types - a process termed trans-signaling. Focusing on the receptor side of IL-6 signaling, we examined the effect of sleep on sIL-6R plasma concentrations, mIL-6R expression, plasma sgp130, and numbers of IL-6-producing monocytes in healthy humans who were tested during a regular sleep-wake cycle and 24 h of wakefulness while blood was sampled repeatedly. Sleep strongly enhanced concentrations of sIL-6R, exceeding wake levels by 70% at the end of sleep. This rise was due to an increase in the PC (proteolytic cleavage) rather than the DS (differentially spliced) variant of sIL-6R. Sleep did not affect IL-6-producing monocytes, mIL-6R density, or sgp130 concentrations. The selective increase in sIL-6R implicates an enhanced trans-signaling capacity whereby sleep distinctly widens the profile of IL-6 actions, enabling an integrated influence on brain and peripheral organs. © FASEB.","author":[{"dropping-particle":"","family":"Dimitrov","given":"Stoyan","non-dropping-particle":"","parse-names":false,"suffix":""},{"dropping-particle":"","family":"Lange","given":"Tanja","non-dropping-particle":"","parse-names":false,"suffix":""},{"dropping-particle":"","family":"Benedict","given":"Christian","non-dropping-particle":"","parse-names":false,"suffix":""},{"dropping-particle":"","family":"Nowell","given":"Mari A.","non-dropping-particle":"","parse-names":false,"suffix":""},{"dropping-particle":"","family":"Jones","given":"Simon A.","non-dropping-particle":"","parse-names":false,"suffix":""},{"dropping-particle":"","family":"Scheller","given":"Jürgen","non-dropping-particle":"","parse-names":false,"suffix":""},{"dropping-particle":"","family":"Rose‐John","given":"Stefan","non-dropping-particle":"","parse-names":false,"suffix":""},{"dropping-particle":"","family":"Born","given":"Jan","non-dropping-particle":"","parse-names":false,"suffix":""},{"dropping-particle":"","family":"Dimitrov","given":"Stoyan","non-dropping-particle":"","parse-names":false,"suffix":""},{"dropping-particle":"","family":"Lange","given":"Tanja","non-dropping-particle":"","parse-names":false,"suffix":""},{"dropping-particle":"","family":"Benedict","given":"Christian","non-dropping-particle":"","parse-names":false,"suffix":""},{"dropping-particle":"","family":"Nowell","given":"Mari A.","non-dropping-particle":"","parse-names":false,"suffix":""},{"dropping-particle":"","family":"Jones","given":"Simon A.","non-dropping-particle":"","parse-names":false,"suffix":""},{"dropping-particle":"","family":"Scheller","given":"Jürgen","non-dropping-particle":"","parse-names":false,"suffix":""},{"dropping-particle":"","family":"Rose‐John","given":"Stefan","non-dropping-particle":"","parse-names":false,"suffix":""},{"dropping-particle":"","family":"Born","given":"Jan","non-dropping-particle":"","parse-names":false,"suffix":""}],"container-title":"The FASEB Journal","id":"ITEM-1","issue":"12","issued":{"date-parts":[["2006","10","15"]]},"page":"2174-2176","title":"Sleep enhances IL‐6 trans‐signaling in humans","type":"article-journal","volume":"20"},"uris":["http://www.mendeley.com/documents/?uuid=4b123d8a-f587-4b71-a1c9-a844eab1c84c"]},{"id":"ITEM-2","itemData":{"DOI":"10.1038/ni.3153","ISSN":"1529-2908","PMID":"25898198","abstract":"Interleukin 6 (IL-6) has a broad effect on cells of the immune system and those not of the immune system and often displays hormone-like characteristics that affect homeostatic processes. IL-6 has context-dependent pro- and anti-inflammatory properties and is now regarded as a prominent target for clinical intervention. However, the signaling cassette that controls the activity of IL-6 is complicated, and distinct intervention strategies can inhibit this pathway. Clinical experience with antagonists of IL-6 has raised new questions about how and when to block this cytokine to improve disease outcome and patient wellbeing. Here we discuss the effect of IL-6 on innate and adaptive immunity and the possible advantages of various antagonists of IL-6 and consider how the immunobiology of IL-6 may inform clinical decisions.","author":[{"dropping-particle":"","family":"Hunter","given":"Christopher A.","non-dropping-particle":"","parse-names":false,"suffix":""},{"dropping-particle":"","family":"Jones","given":"Simon A.","non-dropping-particle":"","parse-names":false,"suffix":""}],"container-title":"Nature Immunology","id":"ITEM-2","issue":"5","issued":{"date-parts":[["2015","5","21"]]},"page":"448-457","publisher":"Nature Publishing Group","title":"IL-6 as a keystone cytokine in health and disease","type":"article-journal","volume":"16"},"uris":["http://www.mendeley.com/documents/?uuid=f2c215d3-0713-4ed9-a759-3f1d673a1de8"]}],"mendeley":{"formattedCitation":"(Dimitrov et al., 2006; Hunter and Jones, 2015)","plainTextFormattedCitation":"(Dimitrov et al., 2006; Hunter and Jones, 2015)","previouslyFormattedCitation":"(Dimitrov et al., 2006; Hunter and Jones, 2015)"},"properties":{"noteIndex":0},"schema":"https://github.com/citation-style-language/schema/raw/master/csl-citation.json"}</w:instrText>
      </w:r>
      <w:r w:rsidRPr="00E30BE2">
        <w:rPr>
          <w:lang w:eastAsia="en-GB"/>
        </w:rPr>
        <w:fldChar w:fldCharType="separate"/>
      </w:r>
      <w:r w:rsidR="00A80EE2" w:rsidRPr="00E30BE2">
        <w:rPr>
          <w:noProof/>
          <w:lang w:eastAsia="en-GB"/>
        </w:rPr>
        <w:t>(Dimitrov et al., 2006; Hunter and Jones, 2015)</w:t>
      </w:r>
      <w:r w:rsidRPr="00E30BE2">
        <w:rPr>
          <w:lang w:eastAsia="en-GB"/>
        </w:rPr>
        <w:fldChar w:fldCharType="end"/>
      </w:r>
      <w:r w:rsidRPr="00E30BE2">
        <w:rPr>
          <w:lang w:eastAsia="en-GB"/>
        </w:rPr>
        <w:t xml:space="preserve">, </w:t>
      </w:r>
      <w:r w:rsidR="00CC70FF" w:rsidRPr="00E30BE2">
        <w:rPr>
          <w:lang w:eastAsia="en-GB"/>
        </w:rPr>
        <w:t xml:space="preserve">which </w:t>
      </w:r>
      <w:r w:rsidRPr="00E30BE2">
        <w:rPr>
          <w:lang w:eastAsia="en-GB"/>
        </w:rPr>
        <w:t>provid</w:t>
      </w:r>
      <w:r w:rsidR="00CC70FF" w:rsidRPr="00E30BE2">
        <w:rPr>
          <w:lang w:eastAsia="en-GB"/>
        </w:rPr>
        <w:t>es</w:t>
      </w:r>
      <w:r w:rsidRPr="00E30BE2">
        <w:rPr>
          <w:lang w:eastAsia="en-GB"/>
        </w:rPr>
        <w:t xml:space="preserve"> a plausible </w:t>
      </w:r>
      <w:r w:rsidR="00CC70FF" w:rsidRPr="00E30BE2">
        <w:rPr>
          <w:lang w:eastAsia="en-GB"/>
        </w:rPr>
        <w:t>link</w:t>
      </w:r>
      <w:r w:rsidRPr="00E30BE2">
        <w:rPr>
          <w:lang w:eastAsia="en-GB"/>
        </w:rPr>
        <w:t xml:space="preserve"> for</w:t>
      </w:r>
      <w:r w:rsidR="00B423F2" w:rsidRPr="00E30BE2">
        <w:rPr>
          <w:lang w:eastAsia="en-GB"/>
        </w:rPr>
        <w:t xml:space="preserve"> the </w:t>
      </w:r>
      <w:r w:rsidR="005F4350" w:rsidRPr="00E30BE2">
        <w:rPr>
          <w:lang w:eastAsia="en-GB"/>
        </w:rPr>
        <w:t>involvement</w:t>
      </w:r>
      <w:r w:rsidR="00B423F2" w:rsidRPr="00E30BE2">
        <w:rPr>
          <w:lang w:eastAsia="en-GB"/>
        </w:rPr>
        <w:t xml:space="preserve"> of this form of signalling</w:t>
      </w:r>
      <w:r w:rsidRPr="00E30BE2">
        <w:rPr>
          <w:lang w:eastAsia="en-GB"/>
        </w:rPr>
        <w:t xml:space="preserve"> in long COVID. </w:t>
      </w:r>
      <w:r w:rsidR="00A33ADE">
        <w:rPr>
          <w:lang w:eastAsia="en-GB"/>
        </w:rPr>
        <w:t xml:space="preserve">Blocking </w:t>
      </w:r>
      <w:r w:rsidR="00C22623" w:rsidRPr="00C22623">
        <w:rPr>
          <w:lang w:eastAsia="en-GB"/>
        </w:rPr>
        <w:t>IL-6</w:t>
      </w:r>
      <w:r w:rsidR="00A33ADE">
        <w:rPr>
          <w:lang w:eastAsia="en-GB"/>
        </w:rPr>
        <w:t>/IL-6R pathway</w:t>
      </w:r>
      <w:r w:rsidR="00C22623" w:rsidRPr="00C22623">
        <w:rPr>
          <w:lang w:eastAsia="en-GB"/>
        </w:rPr>
        <w:t xml:space="preserve"> </w:t>
      </w:r>
      <w:r w:rsidR="00C22623">
        <w:rPr>
          <w:lang w:eastAsia="en-GB"/>
        </w:rPr>
        <w:t>is an e</w:t>
      </w:r>
      <w:r w:rsidR="007D278B">
        <w:rPr>
          <w:lang w:eastAsia="en-GB"/>
        </w:rPr>
        <w:t xml:space="preserve">stablished </w:t>
      </w:r>
      <w:r w:rsidR="00C22623">
        <w:rPr>
          <w:lang w:eastAsia="en-GB"/>
        </w:rPr>
        <w:t xml:space="preserve">treatment </w:t>
      </w:r>
      <w:r w:rsidR="007D278B">
        <w:rPr>
          <w:lang w:eastAsia="en-GB"/>
        </w:rPr>
        <w:t xml:space="preserve">strategy </w:t>
      </w:r>
      <w:r w:rsidR="00C22623">
        <w:rPr>
          <w:lang w:eastAsia="en-GB"/>
        </w:rPr>
        <w:t xml:space="preserve">for various autoimmune and </w:t>
      </w:r>
      <w:r w:rsidR="00C22623" w:rsidRPr="00E30BE2">
        <w:rPr>
          <w:lang w:eastAsia="en-GB"/>
        </w:rPr>
        <w:t xml:space="preserve">inflammatory diseases </w:t>
      </w:r>
      <w:r w:rsidR="00C22623" w:rsidRPr="00E30BE2">
        <w:rPr>
          <w:lang w:eastAsia="en-GB"/>
        </w:rPr>
        <w:fldChar w:fldCharType="begin" w:fldLock="1"/>
      </w:r>
      <w:r w:rsidR="00BA728D" w:rsidRPr="00E30BE2">
        <w:rPr>
          <w:lang w:eastAsia="en-GB"/>
        </w:rPr>
        <w:instrText>ADDIN CSL_CITATION {"citationItems":[{"id":"ITEM-1","itemData":{"DOI":"10.1146/annurev-pharmtox-010611-134715","ISSN":"0362-1642","PMID":"21910626","abstract":"Interleukin (IL)-6 is a typical cytokine featuring redundancy and pleiotropic activity. It contributes to host defense against pathogens, but dysregulation of IL-6 production plays a significant pathological role in various autoimmune and inflammatory diseases. Because IL-6 blockade was expected to constitute a novel strategy for the treatment of such diseases, tocilizumab, a humanized anti-IL-6 receptor antibody (anti-IL-6RAb), was developed. Clinical trials have demonstrated the efficacy of anti-IL-6RAb for patients with rheumatoid arthritis, Castleman's disease, and juvenile idiopathic arthritis, resulting in approval of this innovative biologic for the treatment of these diseases, and it can be expected to become a novel drug for various other autoimmune and inflammatory diseases. In murine models of autoimmune diseases, anti-IL-6RAb induces Treg and inhibits Th17 and/or Th1 differentiation, indicating that anti-IL-6RAb may be able to repair Th17/Treg imbalance in human diseases as well. © 2012 by Annual Reviews. All rights reserved.","author":[{"dropping-particle":"","family":"Tanaka","given":"Toshio","non-dropping-particle":"","parse-names":false,"suffix":""},{"dropping-particle":"","family":"Narazaki","given":"Masashi","non-dropping-particle":"","parse-names":false,"suffix":""},{"dropping-particle":"","family":"Kishimoto","given":"Tadamitsu","non-dropping-particle":"","parse-names":false,"suffix":""}],"container-title":"Annual Review of Pharmacology and Toxicology","id":"ITEM-1","issue":"1","issued":{"date-parts":[["2012","2","10"]]},"page":"199-219","title":"Therapeutic Targeting of the Interleukin-6 Receptor","type":"article-journal","volume":"52"},"uris":["http://www.mendeley.com/documents/?uuid=af2e3331-f37a-416a-94d1-b97fbe65bbb1"]}],"mendeley":{"formattedCitation":"(Tanaka et al., 2012)","plainTextFormattedCitation":"(Tanaka et al., 2012)","previouslyFormattedCitation":"(Tanaka et al., 2012)"},"properties":{"noteIndex":0},"schema":"https://github.com/citation-style-language/schema/raw/master/csl-citation.json"}</w:instrText>
      </w:r>
      <w:r w:rsidR="00C22623" w:rsidRPr="00E30BE2">
        <w:rPr>
          <w:lang w:eastAsia="en-GB"/>
        </w:rPr>
        <w:fldChar w:fldCharType="separate"/>
      </w:r>
      <w:r w:rsidR="00C22623" w:rsidRPr="00E30BE2">
        <w:rPr>
          <w:noProof/>
          <w:lang w:eastAsia="en-GB"/>
        </w:rPr>
        <w:t>(Tanaka et al., 2012)</w:t>
      </w:r>
      <w:r w:rsidR="00C22623" w:rsidRPr="00E30BE2">
        <w:rPr>
          <w:lang w:eastAsia="en-GB"/>
        </w:rPr>
        <w:fldChar w:fldCharType="end"/>
      </w:r>
      <w:r w:rsidR="007D278B" w:rsidRPr="00E30BE2">
        <w:rPr>
          <w:lang w:eastAsia="en-GB"/>
        </w:rPr>
        <w:t>, which provides an opportunity for r</w:t>
      </w:r>
      <w:r w:rsidR="00C22623" w:rsidRPr="00E30BE2">
        <w:rPr>
          <w:lang w:eastAsia="en-GB"/>
        </w:rPr>
        <w:t xml:space="preserve">andomised </w:t>
      </w:r>
      <w:r w:rsidR="00E87E63" w:rsidRPr="00E30BE2">
        <w:rPr>
          <w:lang w:eastAsia="en-GB"/>
        </w:rPr>
        <w:t>controlled trials test</w:t>
      </w:r>
      <w:r w:rsidR="007D278B" w:rsidRPr="00E30BE2">
        <w:rPr>
          <w:lang w:eastAsia="en-GB"/>
        </w:rPr>
        <w:t>ing</w:t>
      </w:r>
      <w:r w:rsidR="00E87E63" w:rsidRPr="00E30BE2">
        <w:rPr>
          <w:lang w:eastAsia="en-GB"/>
        </w:rPr>
        <w:t xml:space="preserve"> whether </w:t>
      </w:r>
      <w:r w:rsidR="007D278B" w:rsidRPr="00E30BE2">
        <w:rPr>
          <w:lang w:eastAsia="en-GB"/>
        </w:rPr>
        <w:t xml:space="preserve">this </w:t>
      </w:r>
      <w:r w:rsidR="001E140E" w:rsidRPr="00E30BE2">
        <w:rPr>
          <w:lang w:eastAsia="en-GB"/>
        </w:rPr>
        <w:t xml:space="preserve">could </w:t>
      </w:r>
      <w:r w:rsidR="007D278B" w:rsidRPr="00E30BE2">
        <w:rPr>
          <w:lang w:eastAsia="en-GB"/>
        </w:rPr>
        <w:t xml:space="preserve">also </w:t>
      </w:r>
      <w:r w:rsidR="001E140E" w:rsidRPr="00E30BE2">
        <w:rPr>
          <w:lang w:eastAsia="en-GB"/>
        </w:rPr>
        <w:t>b</w:t>
      </w:r>
      <w:r w:rsidR="001E140E">
        <w:rPr>
          <w:lang w:eastAsia="en-GB"/>
        </w:rPr>
        <w:t xml:space="preserve">e useful for treatment and prevention of long COVID. </w:t>
      </w:r>
      <w:r w:rsidR="007D278B">
        <w:rPr>
          <w:lang w:eastAsia="en-GB"/>
        </w:rPr>
        <w:t xml:space="preserve">Such trials </w:t>
      </w:r>
      <w:r w:rsidR="001E140E">
        <w:rPr>
          <w:lang w:eastAsia="en-GB"/>
        </w:rPr>
        <w:t>could include current</w:t>
      </w:r>
      <w:r w:rsidR="007D278B">
        <w:rPr>
          <w:lang w:eastAsia="en-GB"/>
        </w:rPr>
        <w:t>ly licensed</w:t>
      </w:r>
      <w:r w:rsidR="00E87E63">
        <w:rPr>
          <w:lang w:eastAsia="en-GB"/>
        </w:rPr>
        <w:t xml:space="preserve"> </w:t>
      </w:r>
      <w:r w:rsidR="005977A6">
        <w:rPr>
          <w:lang w:eastAsia="en-GB"/>
        </w:rPr>
        <w:t>anti-IL-6R monoclonal antibod</w:t>
      </w:r>
      <w:r w:rsidR="001E140E">
        <w:rPr>
          <w:lang w:eastAsia="en-GB"/>
        </w:rPr>
        <w:t>ies such as</w:t>
      </w:r>
      <w:r w:rsidR="00E87E63">
        <w:rPr>
          <w:lang w:eastAsia="en-GB"/>
        </w:rPr>
        <w:t xml:space="preserve"> tocilizumab</w:t>
      </w:r>
      <w:r w:rsidR="001E140E">
        <w:rPr>
          <w:lang w:eastAsia="en-GB"/>
        </w:rPr>
        <w:t xml:space="preserve"> </w:t>
      </w:r>
      <w:r w:rsidR="00A33ADE">
        <w:rPr>
          <w:lang w:eastAsia="en-GB"/>
        </w:rPr>
        <w:t xml:space="preserve">that leads to inhibition of </w:t>
      </w:r>
      <w:r w:rsidR="00C878C6">
        <w:rPr>
          <w:lang w:eastAsia="en-GB"/>
        </w:rPr>
        <w:t xml:space="preserve">both </w:t>
      </w:r>
      <w:r w:rsidR="00A33ADE">
        <w:rPr>
          <w:lang w:eastAsia="en-GB"/>
        </w:rPr>
        <w:t xml:space="preserve">classic and trans-signalling, </w:t>
      </w:r>
      <w:r w:rsidR="001E140E">
        <w:rPr>
          <w:lang w:eastAsia="en-GB"/>
        </w:rPr>
        <w:t xml:space="preserve">or novel IL-6 trans-signalling-specific drugs such as the </w:t>
      </w:r>
      <w:r w:rsidR="001E140E" w:rsidRPr="001E140E">
        <w:rPr>
          <w:lang w:eastAsia="en-GB"/>
        </w:rPr>
        <w:t xml:space="preserve">soluble </w:t>
      </w:r>
      <w:r w:rsidR="001E140E">
        <w:rPr>
          <w:lang w:eastAsia="en-GB"/>
        </w:rPr>
        <w:t>gp</w:t>
      </w:r>
      <w:r w:rsidR="001E140E" w:rsidRPr="001E140E">
        <w:rPr>
          <w:lang w:eastAsia="en-GB"/>
        </w:rPr>
        <w:t>130 fused chimera (sgp130Fc)</w:t>
      </w:r>
      <w:r w:rsidR="00A33ADE">
        <w:rPr>
          <w:lang w:eastAsia="en-GB"/>
        </w:rPr>
        <w:t xml:space="preserve"> currently in development</w:t>
      </w:r>
      <w:r w:rsidR="002C2D49">
        <w:rPr>
          <w:lang w:eastAsia="en-GB"/>
        </w:rPr>
        <w:t>.</w:t>
      </w:r>
      <w:bookmarkEnd w:id="5"/>
      <w:r w:rsidR="001E140E">
        <w:rPr>
          <w:lang w:eastAsia="en-GB"/>
        </w:rPr>
        <w:t xml:space="preserve"> </w:t>
      </w:r>
      <w:r w:rsidR="00A33ADE">
        <w:rPr>
          <w:lang w:eastAsia="en-GB"/>
        </w:rPr>
        <w:t xml:space="preserve">These interventional trials would also be valuable for determining whether trans-signalling-specific drugs have a favourable risk-benefit profile compared to drugs that block both classic and trans signalling </w:t>
      </w:r>
      <w:r w:rsidR="00A33ADE">
        <w:rPr>
          <w:lang w:eastAsia="en-GB"/>
        </w:rPr>
        <w:fldChar w:fldCharType="begin" w:fldLock="1"/>
      </w:r>
      <w:r w:rsidR="00A33ADE">
        <w:rPr>
          <w:lang w:eastAsia="en-GB"/>
        </w:rPr>
        <w:instrText>ADDIN CSL_CITATION {"citationItems":[{"id":"ITEM-1","itemData":{"DOI":"10.7150/ijms.53564","ISSN":"1449-1907","author":[{"dropping-particle":"","family":"Du","given":"Peng","non-dropping-particle":"","parse-names":false,"suffix":""},{"dropping-particle":"","family":"Geng","given":"Jie","non-dropping-particle":"","parse-names":false,"suffix":""},{"dropping-particle":"","family":"Wang","given":"Feng","non-dropping-particle":"","parse-names":false,"suffix":""},{"dropping-particle":"","family":"Chen","given":"Xiaobo","non-dropping-particle":"","parse-names":false,"suffix":""},{"dropping-particle":"","family":"Huang","given":"Zhiwei","non-dropping-particle":"","parse-names":false,"suffix":""},{"dropping-particle":"","family":"Wang","given":"Yuliang","non-dropping-particle":"","parse-names":false,"suffix":""}],"container-title":"International Journal of Medical Sciences","id":"ITEM-1","issue":"6","issued":{"date-parts":[["2021"]]},"page":"1356-1362","title":"Role of IL-6 inhibitor in treatment of COVID-19-related cytokine release syndrome","type":"article-journal","volume":"18"},"uris":["http://www.mendeley.com/documents/?uuid=3afd412c-29c1-4eac-a6ea-53c3be7f23da"]}],"mendeley":{"formattedCitation":"(Du et al., 2021)","plainTextFormattedCitation":"(Du et al., 2021)","previouslyFormattedCitation":"(Du et al., 2021)"},"properties":{"noteIndex":0},"schema":"https://github.com/citation-style-language/schema/raw/master/csl-citation.json"}</w:instrText>
      </w:r>
      <w:r w:rsidR="00A33ADE">
        <w:rPr>
          <w:lang w:eastAsia="en-GB"/>
        </w:rPr>
        <w:fldChar w:fldCharType="separate"/>
      </w:r>
      <w:r w:rsidR="00A33ADE" w:rsidRPr="006B2E70">
        <w:rPr>
          <w:noProof/>
          <w:lang w:eastAsia="en-GB"/>
        </w:rPr>
        <w:t>(Du et al., 2021)</w:t>
      </w:r>
      <w:r w:rsidR="00A33ADE">
        <w:rPr>
          <w:lang w:eastAsia="en-GB"/>
        </w:rPr>
        <w:fldChar w:fldCharType="end"/>
      </w:r>
      <w:r w:rsidR="00A33ADE">
        <w:rPr>
          <w:lang w:eastAsia="en-GB"/>
        </w:rPr>
        <w:t>.</w:t>
      </w:r>
    </w:p>
    <w:p w14:paraId="71254410" w14:textId="3E74A4A2" w:rsidR="00124E80" w:rsidRDefault="00124E80" w:rsidP="00783B0C">
      <w:pPr>
        <w:rPr>
          <w:lang w:eastAsia="en-GB"/>
        </w:rPr>
      </w:pPr>
      <w:r>
        <w:rPr>
          <w:lang w:eastAsia="en-GB"/>
        </w:rPr>
        <w:t>We now need immediate, interdisciplinary research efforts to investigate proposed immunologic mechanisms for common, debilitating neuropsychiatric features of long COVID.</w:t>
      </w:r>
    </w:p>
    <w:p w14:paraId="009A2FDA" w14:textId="0EC3E46B" w:rsidR="00E20D13" w:rsidRPr="00704CAA" w:rsidRDefault="00E20D13">
      <w:pPr>
        <w:rPr>
          <w:lang w:eastAsia="en-GB"/>
        </w:rPr>
      </w:pPr>
    </w:p>
    <w:p w14:paraId="128BF817" w14:textId="0F509B91" w:rsidR="00F4788D" w:rsidRPr="00704CAA" w:rsidRDefault="00F4788D" w:rsidP="00783B0C"/>
    <w:p w14:paraId="61B9EE1A" w14:textId="77777777" w:rsidR="008F569C" w:rsidRPr="00704CAA" w:rsidRDefault="008F569C" w:rsidP="00990D4B">
      <w:pPr>
        <w:pStyle w:val="Heading1"/>
        <w:sectPr w:rsidR="008F569C" w:rsidRPr="00704CAA">
          <w:pgSz w:w="11906" w:h="16838"/>
          <w:pgMar w:top="1440" w:right="1440" w:bottom="1440" w:left="1440" w:header="708" w:footer="708" w:gutter="0"/>
          <w:cols w:space="708"/>
          <w:docGrid w:linePitch="360"/>
        </w:sectPr>
      </w:pPr>
    </w:p>
    <w:p w14:paraId="226CB2AA" w14:textId="65BEBF33" w:rsidR="00E156E0" w:rsidRPr="00704CAA" w:rsidRDefault="00E156E0" w:rsidP="00990D4B">
      <w:pPr>
        <w:pStyle w:val="Heading1"/>
      </w:pPr>
      <w:r w:rsidRPr="00704CAA">
        <w:lastRenderedPageBreak/>
        <w:t>Conflict of Interest</w:t>
      </w:r>
    </w:p>
    <w:p w14:paraId="490E168B" w14:textId="1ECEEDCA" w:rsidR="00E156E0" w:rsidRPr="00704CAA" w:rsidRDefault="003F27A6" w:rsidP="00E156E0">
      <w:r>
        <w:t>None.</w:t>
      </w:r>
    </w:p>
    <w:p w14:paraId="3EA1CA3F" w14:textId="211F7BEE" w:rsidR="00B94742" w:rsidRPr="00704CAA" w:rsidRDefault="00B94742" w:rsidP="00990D4B">
      <w:pPr>
        <w:pStyle w:val="Heading1"/>
      </w:pPr>
      <w:r w:rsidRPr="00704CAA">
        <w:t>Author contributions</w:t>
      </w:r>
    </w:p>
    <w:p w14:paraId="4FE2273C" w14:textId="03E6E457" w:rsidR="00B94742" w:rsidRPr="00704CAA" w:rsidRDefault="00B94742" w:rsidP="00B94742">
      <w:r w:rsidRPr="00704CAA">
        <w:t xml:space="preserve">All authors were responsible for conceptualisation and writing (including writing of the original draft, review, </w:t>
      </w:r>
      <w:r w:rsidR="00A13BD9" w:rsidRPr="00704CAA">
        <w:t>and</w:t>
      </w:r>
      <w:r w:rsidRPr="00704CAA">
        <w:t xml:space="preserve"> editing).</w:t>
      </w:r>
    </w:p>
    <w:p w14:paraId="18F8A221" w14:textId="247BDB89" w:rsidR="00E156E0" w:rsidRPr="00704CAA" w:rsidRDefault="00E156E0" w:rsidP="00990D4B">
      <w:pPr>
        <w:pStyle w:val="Heading1"/>
      </w:pPr>
      <w:r w:rsidRPr="00704CAA">
        <w:t>Funding</w:t>
      </w:r>
    </w:p>
    <w:p w14:paraId="3C83BBD9" w14:textId="1F4676EA" w:rsidR="00E156E0" w:rsidRPr="00704CAA" w:rsidRDefault="003A2217" w:rsidP="00E156E0">
      <w:r>
        <w:t xml:space="preserve">This research was funded in whole, or in part, by the Wellcome Trust (grant code: 201486/Z/16/Z). For the purpose of open access, the author has applied a CC BY public copyright licence to any Author Accepted Manuscript version arising from this submission. </w:t>
      </w:r>
      <w:r w:rsidR="00E156E0" w:rsidRPr="00704CAA">
        <w:t xml:space="preserve">NK is supported by the International Max Planck Research School for Translational Psychiatry (IMPRS-TP). RD’s research is supported by the National Institutes of Health, United States [R01 CA193522, R01 NS073939, and an MD Anderson Cancer Center Support Grant (P30 CA016672)). GMK </w:t>
      </w:r>
      <w:r w:rsidR="00990D4B" w:rsidRPr="00704CAA">
        <w:t>acknowledges funding support from the Wellcome Trust (grant code: 201486/Z/16/Z), the MQ: Transforming Mental Health (grant code: MQDS17/40), the Medical Research Council, UK (grant code: MC_PC_17213 and grant code: MR/S037675/1), and the BMA Foundation (J Moulton grant 2019).</w:t>
      </w:r>
      <w:r w:rsidR="00F7156C" w:rsidRPr="00704CAA">
        <w:t xml:space="preserve"> The funding sources had no role in writing of this letter or the decision to submit it for publication.</w:t>
      </w:r>
    </w:p>
    <w:p w14:paraId="47151D0E" w14:textId="2E073800" w:rsidR="00F4788D" w:rsidRPr="00704CAA" w:rsidRDefault="00F4788D" w:rsidP="002C08E9">
      <w:pPr>
        <w:pStyle w:val="Heading1"/>
        <w:rPr>
          <w:b w:val="0"/>
        </w:rPr>
      </w:pPr>
      <w:r w:rsidRPr="00704CAA">
        <w:t>References</w:t>
      </w:r>
    </w:p>
    <w:p w14:paraId="6560BCB3" w14:textId="2E899005" w:rsidR="00D13554" w:rsidRPr="00D13554" w:rsidRDefault="00F4788D" w:rsidP="00D13554">
      <w:pPr>
        <w:widowControl w:val="0"/>
        <w:autoSpaceDE w:val="0"/>
        <w:autoSpaceDN w:val="0"/>
        <w:adjustRightInd w:val="0"/>
        <w:spacing w:line="240" w:lineRule="auto"/>
        <w:ind w:left="480" w:hanging="480"/>
        <w:rPr>
          <w:rFonts w:cs="Times New Roman"/>
          <w:noProof/>
          <w:szCs w:val="24"/>
        </w:rPr>
      </w:pPr>
      <w:r w:rsidRPr="00892624">
        <w:rPr>
          <w:rFonts w:cs="Times New Roman"/>
        </w:rPr>
        <w:fldChar w:fldCharType="begin" w:fldLock="1"/>
      </w:r>
      <w:r w:rsidRPr="00892624">
        <w:rPr>
          <w:rFonts w:cs="Times New Roman"/>
        </w:rPr>
        <w:instrText xml:space="preserve">ADDIN Mendeley Bibliography CSL_BIBLIOGRAPHY </w:instrText>
      </w:r>
      <w:r w:rsidRPr="00892624">
        <w:rPr>
          <w:rFonts w:cs="Times New Roman"/>
        </w:rPr>
        <w:fldChar w:fldCharType="separate"/>
      </w:r>
      <w:r w:rsidR="00D13554" w:rsidRPr="00D13554">
        <w:rPr>
          <w:rFonts w:cs="Times New Roman"/>
          <w:noProof/>
          <w:szCs w:val="24"/>
        </w:rPr>
        <w:t>Badini, I., Coleman, J.R., Hagenaars, S.P., Hotopf, M., Breen, G., Lewis, C.M., Fabbri, C., 2020. Depression with atypical neurovegetative symptoms shares genetic predisposition with immuno-metabolic traits and alcohol consumption. Psychol. Med. 1–11. https://doi.org/10.1017/S0033291720002342</w:t>
      </w:r>
    </w:p>
    <w:p w14:paraId="4B33FB57" w14:textId="77777777" w:rsidR="00D13554" w:rsidRPr="003A2217" w:rsidRDefault="00D13554" w:rsidP="00D13554">
      <w:pPr>
        <w:widowControl w:val="0"/>
        <w:autoSpaceDE w:val="0"/>
        <w:autoSpaceDN w:val="0"/>
        <w:adjustRightInd w:val="0"/>
        <w:spacing w:line="240" w:lineRule="auto"/>
        <w:ind w:left="480" w:hanging="480"/>
        <w:rPr>
          <w:rFonts w:cs="Times New Roman"/>
          <w:noProof/>
          <w:szCs w:val="24"/>
          <w:lang w:val="de-DE"/>
        </w:rPr>
      </w:pPr>
      <w:r w:rsidRPr="00D13554">
        <w:rPr>
          <w:rFonts w:cs="Times New Roman"/>
          <w:noProof/>
          <w:szCs w:val="24"/>
        </w:rPr>
        <w:t xml:space="preserve">Bettelli, E., Carrier, Y., Gao, W., Korn, T., Strom, T.B., Oukka, M., Weiner, H.L., Kuchroo, V.K., 2006. Reciprocal developmental pathways for the generation of pathogenic effector TH17 and regulatory T cells. </w:t>
      </w:r>
      <w:r w:rsidRPr="003A2217">
        <w:rPr>
          <w:rFonts w:cs="Times New Roman"/>
          <w:noProof/>
          <w:szCs w:val="24"/>
          <w:lang w:val="de-DE"/>
        </w:rPr>
        <w:t>Nature 441, 235–238. https://doi.org/10.1038/nature04753</w:t>
      </w:r>
    </w:p>
    <w:p w14:paraId="243E0A0E"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3A2217">
        <w:rPr>
          <w:rFonts w:cs="Times New Roman"/>
          <w:noProof/>
          <w:szCs w:val="24"/>
          <w:lang w:val="de-DE"/>
        </w:rPr>
        <w:t xml:space="preserve">Bovijn, J., Lindgren, C.M., Holmes, M. V., 2020. </w:t>
      </w:r>
      <w:r w:rsidRPr="00D13554">
        <w:rPr>
          <w:rFonts w:cs="Times New Roman"/>
          <w:noProof/>
          <w:szCs w:val="24"/>
        </w:rPr>
        <w:t>Genetic variants mimicking therapeutic inhibition of IL-6 receptor signaling and risk of COVID-19. Lancet Rheumatol. 2, e658–e659. https://doi.org/10.1016/S2665-9913(20)30345-3</w:t>
      </w:r>
    </w:p>
    <w:p w14:paraId="7B147F91" w14:textId="77777777" w:rsidR="00D13554" w:rsidRPr="003A2217" w:rsidRDefault="00D13554" w:rsidP="00D13554">
      <w:pPr>
        <w:widowControl w:val="0"/>
        <w:autoSpaceDE w:val="0"/>
        <w:autoSpaceDN w:val="0"/>
        <w:adjustRightInd w:val="0"/>
        <w:spacing w:line="240" w:lineRule="auto"/>
        <w:ind w:left="480" w:hanging="480"/>
        <w:rPr>
          <w:rFonts w:cs="Times New Roman"/>
          <w:noProof/>
          <w:szCs w:val="24"/>
          <w:lang w:val="de-DE"/>
        </w:rPr>
      </w:pPr>
      <w:r w:rsidRPr="00D13554">
        <w:rPr>
          <w:rFonts w:cs="Times New Roman"/>
          <w:noProof/>
          <w:szCs w:val="24"/>
        </w:rPr>
        <w:t xml:space="preserve">Capuron, L., Gumnick, J.F., Musselman, D.L., Lawson, D.H., Reemsnyder, A., Nemeroff, C.B., Miller, A.H., 2002. Neurobehavioral Effects of Interferon-α in Cancer Patients Phenomenology and Paroxetine Responsiveness of Symptom Dimensions. </w:t>
      </w:r>
      <w:r w:rsidRPr="003A2217">
        <w:rPr>
          <w:rFonts w:cs="Times New Roman"/>
          <w:noProof/>
          <w:szCs w:val="24"/>
          <w:lang w:val="de-DE"/>
        </w:rPr>
        <w:t>Neuropsychopharmacology 26, 643–652. https://doi.org/10.1016/S0893-133X(01)00407-9</w:t>
      </w:r>
    </w:p>
    <w:p w14:paraId="5C6EDEA0"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3A2217">
        <w:rPr>
          <w:rFonts w:cs="Times New Roman"/>
          <w:noProof/>
          <w:szCs w:val="24"/>
          <w:lang w:val="de-DE"/>
        </w:rPr>
        <w:t xml:space="preserve">Carfì, A., Bernabei, R., Landi, F., 2020. </w:t>
      </w:r>
      <w:r w:rsidRPr="00D13554">
        <w:rPr>
          <w:rFonts w:cs="Times New Roman"/>
          <w:noProof/>
          <w:szCs w:val="24"/>
        </w:rPr>
        <w:t xml:space="preserve">Persistent Symptoms in Patients After Acute </w:t>
      </w:r>
      <w:r w:rsidRPr="00D13554">
        <w:rPr>
          <w:rFonts w:cs="Times New Roman"/>
          <w:noProof/>
          <w:szCs w:val="24"/>
        </w:rPr>
        <w:lastRenderedPageBreak/>
        <w:t>COVID-19. JAMA 369, 9–10. https://doi.org/10.1001/jama.2020.12603</w:t>
      </w:r>
    </w:p>
    <w:p w14:paraId="245F9132"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Cummings, M.J., Baldwin, M.R., Abrams, D., Jacobson, S.D., Meyer, B.J., Balough, E.M., Aaron, J.G., Claassen, J., Rabbani, L.E., Hastie, J., Hochman, B.R., Salazar-Schicchi, J., Yip, N.H., Brodie, D., O’Donnell, M.R., 2020. Epidemiology, clinical course, and outcomes of critically ill adults with COVID-19 in New York City: a prospective cohort study. Lancet 395, 1763–1770. https://doi.org/10.1016/S0140-6736(20)31189-2</w:t>
      </w:r>
    </w:p>
    <w:p w14:paraId="0151E251"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Dantzer, R., Heijnen, C.J., Kavelaars, A., Laye, S., Capuron, L., 2014. The neuroimmune basis of fatigue. Trends Neurosci. 37, 39–46. https://doi.org/10.1016/j.tins.2013.10.003</w:t>
      </w:r>
    </w:p>
    <w:p w14:paraId="3D63E4EA"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Dantzer, R., O’Connor, J.C., Freund, G.G., Johnson, R.W., Kelley, K.W., 2008. From inflammation to sickness and depression: when the immune system subjugates the brain. Nat. Rev. Neurosci. 9, 46–56. https://doi.org/10.1038/nrn2297</w:t>
      </w:r>
    </w:p>
    <w:p w14:paraId="3C51B449"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Davis, H.E., Assaf, G.S., McCorkell, L., Wei, H., Low, R.J., Re’em, Y., Redfield, S., Austin, J.P., Akrami, A., 2020. Characterizing long COVID in an international cohort: 7 months of symptoms and their impact. medRxiv. https://doi.org/10.1101/2020.12.24.20248802</w:t>
      </w:r>
    </w:p>
    <w:p w14:paraId="257E1A34"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De Biasi, S., Meschiari, M., Gibellini, L., Bellinazzi, C., Borella, R., Fidanza, L., Gozzi, L., Iannone, A., Lo Tartaro, D., Mattioli, M., Paolini, A., Menozzi, M., Milić, J., Franceschi, G., Fantini, R., Tonelli, R., Sita, M., Sarti, M., Trenti, T., Brugioni, L., Cicchetti, L., Facchinetti, F., Pietrangelo, A., Clini, E., Girardis, M., Guaraldi, G., Mussini, C., Cossarizza, A., 2020. Marked T cell activation, senescence, exhaustion and skewing towards TH17 in patients with COVID-19 pneumonia. Nat. Commun. 11, 3434. https://doi.org/10.1038/s41467-020-17292-4</w:t>
      </w:r>
    </w:p>
    <w:p w14:paraId="71C013E1"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Del Valle, D.M., Kim-Schulze, S., Huang, H.-H., Beckmann, N.D., Nirenberg, S., Wang, B., Lavin, Y., Swartz, T.H., Madduri, D., Stock, A., Marron, T.U., Xie, H., Patel, M., Tuballes, K., Van Oekelen, O., Rahman, A., Kovatch, P., Aberg, J.A., Schadt, E., Jagannath, S., Mazumdar, M., Charney, A.W., Firpo-Betancourt, A., Mendu, D.R., Jhang, J., Reich, D., Sigel, K., Cordon-Cardo, C., Feldmann, M., Parekh, S., Merad, M., Gnjatic, S., 2020. An inflammatory cytokine signature predicts COVID-19 severity and survival. Nat. Med. 26, 1636–1643. https://doi.org/10.1038/s41591-020-1051-9</w:t>
      </w:r>
    </w:p>
    <w:p w14:paraId="70C79A84"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Dennis, A., Wamil, M., Alberts, J., Oben, J., Cuthbertson, D.J., Wootton, D., Crooks, M., Gabbay, M., Brady, M., Hishmeh, L., Attree, E., Heightman, M., 2021. Multiorgan impairment in low-risk individuals with post-COVID-19 syndrome: a prospective, community-­based study. BMJ Open 2–7. https://doi.org/10.1136/bmjopen-2020-048391</w:t>
      </w:r>
    </w:p>
    <w:p w14:paraId="347FBCDB"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Dimitrov, S., Lange, T., Benedict, C., Nowell, M.A., Jones, S.A., Scheller, J., Rose‐John, S., Born, J., Dimitrov, S., Lange, T., Benedict, C., Nowell, M.A., Jones, S.A., Scheller, J., Rose‐John, S., Born, J., 2006. Sleep enhances IL‐6 trans‐signaling in humans. FASEB J. 20, 2174–2176. https://doi.org/10.1096/fj.06-5754fje</w:t>
      </w:r>
    </w:p>
    <w:p w14:paraId="237CDDA0"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3A2217">
        <w:rPr>
          <w:rFonts w:cs="Times New Roman"/>
          <w:noProof/>
          <w:szCs w:val="24"/>
          <w:lang w:val="de-DE"/>
        </w:rPr>
        <w:t xml:space="preserve">Du, P., Geng, J., Wang, F., Chen, X., Huang, Z., Wang, Y., 2021. </w:t>
      </w:r>
      <w:r w:rsidRPr="00D13554">
        <w:rPr>
          <w:rFonts w:cs="Times New Roman"/>
          <w:noProof/>
          <w:szCs w:val="24"/>
        </w:rPr>
        <w:t>Role of IL-6 inhibitor in treatment of COVID-19-related cytokine release syndrome. Int. J. Med. Sci. 18, 1356–1362. https://doi.org/10.7150/ijms.53564</w:t>
      </w:r>
    </w:p>
    <w:p w14:paraId="084F0238"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Fried, E.I., von Stockert, S., Haslbeck, J.M.B., Lamers, F., Schoevers, R.A., Penninx, B.W.J.H., 2019. Using network analysis to examine links between individual depressive symptoms, inflammatory markers, and covariates. Psychol. Med. 1–9. https://doi.org/10.1017/S0033291719002770</w:t>
      </w:r>
    </w:p>
    <w:p w14:paraId="5A14CF92"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lastRenderedPageBreak/>
        <w:t>Georgakis, M.K., Malik, R., Gill, D., Franceschini, N., Sudlow, C.L.M., Dichgans, M., 2020. Interleukin-6 Signaling Effects on Ischemic Stroke and other Cardiovascular Outcomes: A Mendelian Randomization Study. Circ. Genomic Precis. Med. https://doi.org/10.1161/CIRCGEN.119.002872</w:t>
      </w:r>
    </w:p>
    <w:p w14:paraId="6B6BFAD7"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Georgakis, M.K., Malik, R., Li, X., Gill, D., Levin, M.G., Vy, H.M.T., Judy, R., Ritchie, M., Verma, S.S., Nadkarni, G.N., Damrauer, S.M., Theodoratou, E., Dichgans, M., 2021. Genetically Downregulated Interleukin-6 Signaling Is Associated With a Favorable Cardiometabolic Profile. Circulation 143, 1177–1180. https://doi.org/10.1161/CIRCULATIONAHA.120.052604</w:t>
      </w:r>
    </w:p>
    <w:p w14:paraId="2882EC0A"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Ghazavi, A., Ganji, A., Keshavarzian, N., Rabiemajd, S., Mosayebi, G., 2021. Cytokine profile and disease severity in patients with COVID-19. Cytokine 137, 155323. https://doi.org/10.1016/j.cyto.2020.155323</w:t>
      </w:r>
    </w:p>
    <w:p w14:paraId="41A5FEB2"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Gordon, A.C., Mouncey, P.R., Al-beidh, F., Kathryn, M., Nichol, A.D., Arabi, Y.M., Annane, D., 2021. Interleukin-6 Receptor Antagonists in Critically Ill Patients with Covid-19. N. Engl. J. Med. NEJMoa2100433. https://doi.org/10.1056/NEJMoa2100433</w:t>
      </w:r>
    </w:p>
    <w:p w14:paraId="1828BBF2"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Grosse, L., Hoogenboezem, T., Ambrée, O., Bellingrath, S., Jörgens, S., de Wit, H.J., Wijkhuijs, A.M., Arolt, V., Drexhage, H.A., 2016. Deficiencies of the T and natural killer cell system in major depressive disorder. Brain. Behav. Immun. 54, 38–44. https://doi.org/10.1016/j.bbi.2015.12.003</w:t>
      </w:r>
    </w:p>
    <w:p w14:paraId="6DBEFF1D"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Harrison, N.A., Brydon, L., Walker, C., Gray, M.A., Steptoe, A., Critchley, H.D., 2009. Inflammation Causes Mood Changes Through Alterations in Subgenual Cingulate Activity and Mesolimbic Connectivity. Biol. Psychiatry 66, 407–414. https://doi.org/10.1016/j.biopsych.2009.03.015</w:t>
      </w:r>
    </w:p>
    <w:p w14:paraId="534DF152"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Hart, B.L., 1988. Biological basis of the behavior of sick animals. Neurosci. Biobehav. Rev. 12, 123–137. https://doi.org/10.1016/S0149-7634(88)80004-6</w:t>
      </w:r>
    </w:p>
    <w:p w14:paraId="702FC54E"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Hewlett, S., Chalder, T., Choy, E., Cramp, F., Davis, B., Dures, E., Nicholls, C., Kirwan, J., 2011. Fatigue in rheumatoid arthritis: time for a conceptual model. Rheumatology 50, 1004–1006. https://doi.org/10.1093/rheumatology/keq282</w:t>
      </w:r>
    </w:p>
    <w:p w14:paraId="73B13E77"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Holmes, E.A., O’Connor, R.C., Perry, V.H., Tracey, I., Wessely, S., Arseneault, L., Ballard, C., Christensen, H., Cohen Silver, R., Everall, I., Ford, T., John, A., Kabir, T., King, K., Madan, I., Michie, S., Przybylski, A.K., Shafran, R., Sweeney, A., Worthman, C.M., Yardley, L., Cowan, K., Cope, C., Hotopf, M., Bullmore, E., 2020. Multidisciplinary research priorities for the COVID-19 pandemic: a call for action for mental health science. The Lancet Psychiatry 7, 547–560. https://doi.org/10.1016/S2215-0366(20)30168-1</w:t>
      </w:r>
    </w:p>
    <w:p w14:paraId="71B64241"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Huang, C., Huang, L., Wang, Yeming, Li, X., Ren, L., Gu, X., Kang, L., Guo, L., Liu, M., Zhou, X., Luo, J., Huang, Z., Tu, S., Zhao, Y., Chen, L., Xu, D., Li, Yanping, Li, C., Peng, L., Li, Yong, Xie, W., Cui, D., Shang, L., Fan, G., Xu, J., Wang, G., Wang, Ying, Zhong, J., Wang, C., Wang, J., Zhang, D., Cao, B., 2021. 6-month consequences of COVID-19 in patients discharged from hospital: a cohort study. Lancet 397, 220–232. https://doi.org/10.1016/S0140-6736(20)32656-8</w:t>
      </w:r>
    </w:p>
    <w:p w14:paraId="7818AE85"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Hunter, C.A., Jones, S.A., 2015. IL-6 as a keystone cytokine in health and disease. Nat. Immunol. 16, 448–457. https://doi.org/10.1038/ni.3153</w:t>
      </w:r>
    </w:p>
    <w:p w14:paraId="65EC2EB5"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 xml:space="preserve">Hyrich, K.L., Machado, P.M., 2021. Rheumatic disease and COVID-19: epidemiology and </w:t>
      </w:r>
      <w:r w:rsidRPr="00D13554">
        <w:rPr>
          <w:rFonts w:cs="Times New Roman"/>
          <w:noProof/>
          <w:szCs w:val="24"/>
        </w:rPr>
        <w:lastRenderedPageBreak/>
        <w:t>outcomes. Nat. Rev. Rheumatol. 17, 71–72. https://doi.org/10.1038/s41584-020-00562-2</w:t>
      </w:r>
    </w:p>
    <w:p w14:paraId="30C8C27A"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Jokela, M., Virtanen, M., Batty, G., Kivimäki, M., 2016. Inflammation and specific symptoms of depression. JAMA Psychiatry 73, 87–88. https://doi.org/10.1001/jamapsychiatry.2015.1977</w:t>
      </w:r>
    </w:p>
    <w:p w14:paraId="20D98B4D"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Khandaker, G.M., Pearson, R.M., Zammit, S., Lewis, G., Jones, P.B., 2014. Association of serum interleukin 6 and C-reactive protein in childhood with depression and psychosis in young adult life: a population-based longitudinal study. JAMA Psychiatry 71, 1121–1128. https://doi.org/10.1001/jamapsychiatry.2014.1332</w:t>
      </w:r>
    </w:p>
    <w:p w14:paraId="54C1DFAA"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Köhler, C.A., Freitas, T.H., Maes, M., de Andrade, N.Q., Liu, C.S., Fernandes, B.S., Stubbs, B., Solmi, M., Veronese, N., Herrmann, N., Raison, C.L., Miller, B.J., Lanctôt, K.L., Carvalho, A.F., 2017. Peripheral cytokine and chemokine alterations in depression: a meta-analysis of 82 studies. Acta Psychiatr. Scand. 135, 373–387. https://doi.org/10.1111/acps.12698</w:t>
      </w:r>
    </w:p>
    <w:p w14:paraId="2CAE5CAB"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Lacourt, T.E., Vichaya, E.G., Chiu, G.S., Dantzer, R., Heijnen, C.J., 2018. The High Costs of Low-Grade Inflammation: Persistent Fatigue as a Consequence of Reduced Cellular-Energy Availability and Non-adaptive Energy Expenditure. Front. Behav. Neurosci. 12, 1–20. https://doi.org/10.3389/fnbeh.2018.00078</w:t>
      </w:r>
    </w:p>
    <w:p w14:paraId="3825D2C7"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Laing, A.G., Lorenc, A., del Molino del Barrio, I., Das, A., Fish, M., Monin, L., Muñoz-Ruiz, M., McKenzie, D.R., Hayday, T.S., Francos-Quijorna, I., Kamdar, S., Joseph, M., Davies, D., Davis, R., Jennings, A., Zlatareva, I., Vantourout, P., Wu, Y., Sofra, V., Cano, F., Greco, M., Theodoridis, E., Freedman, J.D., Gee, S., Chan, J.N.E., Ryan, S., Bugallo-Blanco, E., Peterson, P., Kisand, K., Haljasmägi, L., Chadli, L., Moingeon, P., Martinez, L., Merrick, B., Bisnauthsing, K., Brooks, K., Ibrahim, M.A.A., Mason, J., Lopez Gomez, F., Babalola, K., Abdul-Jawad, S., Cason, J., Mant, C., Seow, J., Graham, C., Doores, K.J., Di Rosa, F., Edgeworth, J., Shankar-Hari, M., Hayday, A.C., 2020. A dynamic COVID-19 immune signature includes associations with poor prognosis. Nat. Med. 26, 1623–1635. https://doi.org/10.1038/s41591-020-1038-6</w:t>
      </w:r>
    </w:p>
    <w:p w14:paraId="1E140126"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Lamers, F., Milaneschi, Y., Vinkers, C.H., Schoevers, R.A., Giltay, E.J., Penninx, B.W.J.H., 2020. Depression profilers and immuno-metabolic dysregulation: Longitudinal results from the NESDA study. Brain. Behav. Immun. 88, 174–183. https://doi.org/10.1016/j.bbi.2020.04.002</w:t>
      </w:r>
    </w:p>
    <w:p w14:paraId="007CD504"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Lawlor, D.A., Harbord, R.M., Sterne, J.A.C., Timpson, N., Davey Smith, G., 2008. Mendelian randomization: Using genes as instruments for making causal inferences in epidemiology. Stat. Med. 27, 1133–1163. https://doi.org/10.1002/sim.3034</w:t>
      </w:r>
    </w:p>
    <w:p w14:paraId="5004B57F"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Lerner, A.M., Robinson, D.A., Yang, L., Williams, C.F., Newman, L.M., Breen, J.J., Eisinger, R.W., Schneider, J.S., Adimora, A.A., Erbelding, E.J., 2021. Toward Understanding COVID-19 Recovery: National Institutes of Health Workshop on Postacute COVID-19. Ann. Intern. Med. M21-1043. https://doi.org/10.7326/M21-1043</w:t>
      </w:r>
    </w:p>
    <w:p w14:paraId="5FB3A812"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Lopez-Leon, S., Wegman-Ostrosky, T., Perelman, C., Sepulveda, R., Rebolledo, P.A., Cuapio, A., Villapol, S., 2021. More than 50 Long-term effects of COVID-19: a systematic review and meta-analysis. medRxiv 1–22. https://doi.org/10.1101/2021.01.27.21250617</w:t>
      </w:r>
    </w:p>
    <w:p w14:paraId="0A43A52A"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 xml:space="preserve">Mathew, D., Giles, J.R., Baxter, A.E., Oldridge, D.A., Greenplate, A.R., Wu, J.E., Alanio, C., </w:t>
      </w:r>
      <w:r w:rsidRPr="00D13554">
        <w:rPr>
          <w:rFonts w:cs="Times New Roman"/>
          <w:noProof/>
          <w:szCs w:val="24"/>
        </w:rPr>
        <w:lastRenderedPageBreak/>
        <w:t>Kuri-Cervantes, L., Pampena, M.B., D’Andrea, K., Manne, S., Chen, Z., Huang, Y.J., Reilly, J.P., Weisman, A.R., Ittner, C.A.G., Kuthuru, O., Dougherty, J., Nzingha, K., Han, N., Kim, J., Pattekar, A., Goodwin, E.C., Anderson, E.M., Weirick, M.E., Gouma, S., Arevalo, C.P., Bolton, M.J., Chen, F., Lacey, S.F., Ramage, H., Cherry, S., Hensley, S.E., Apostolidis, S.A., Huang, A.C., Vella, L.A., Betts, M.R., Meyer, N.J., Wherry, E.J., 2020. Deep immune profiling of COVID-19 patients reveals distinct immunotypes with therapeutic implications. Science (80-. ). 8511, eabc8511. https://doi.org/10.1126/science.abc8511</w:t>
      </w:r>
    </w:p>
    <w:p w14:paraId="602401F1"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Mazza, M.G., De Lorenzo, R., Conte, C., Poletti, S., Vai, B., Bollettini, I., Melloni, E.M.T., Furlan, R., Ciceri, F., Rovere-Querini, P., Benedetti, F., 2020. Anxiety and depression in COVID-19 survivors: Role of inflammatory and clinical predictors. Brain. Behav. Immun. 89, 594–600. https://doi.org/10.1016/j.bbi.2020.07.037</w:t>
      </w:r>
    </w:p>
    <w:p w14:paraId="606B518A" w14:textId="77777777" w:rsidR="00D13554" w:rsidRPr="003A2217" w:rsidRDefault="00D13554" w:rsidP="00D13554">
      <w:pPr>
        <w:widowControl w:val="0"/>
        <w:autoSpaceDE w:val="0"/>
        <w:autoSpaceDN w:val="0"/>
        <w:adjustRightInd w:val="0"/>
        <w:spacing w:line="240" w:lineRule="auto"/>
        <w:ind w:left="480" w:hanging="480"/>
        <w:rPr>
          <w:rFonts w:cs="Times New Roman"/>
          <w:noProof/>
          <w:szCs w:val="24"/>
          <w:lang w:val="de-DE"/>
        </w:rPr>
      </w:pPr>
      <w:r w:rsidRPr="00D13554">
        <w:rPr>
          <w:rFonts w:cs="Times New Roman"/>
          <w:noProof/>
          <w:szCs w:val="24"/>
        </w:rPr>
        <w:t xml:space="preserve">Mazza, M.G., Palladini, M., De Lorenzo, R., Magnaghi, C., Poletti, S., Furlan, R., Ciceri, F., Rovere-Querini, P., Benedetti, F., 2021. Persistent psychopathology and neurocognitive impairment in COVID-19 survivors: Effect of inflammatory biomarkers at three-month follow-up. </w:t>
      </w:r>
      <w:r w:rsidRPr="003A2217">
        <w:rPr>
          <w:rFonts w:cs="Times New Roman"/>
          <w:noProof/>
          <w:szCs w:val="24"/>
          <w:lang w:val="de-DE"/>
        </w:rPr>
        <w:t>Brain. Behav. Immun. https://doi.org/10.1016/j.bbi.2021.02.021</w:t>
      </w:r>
    </w:p>
    <w:p w14:paraId="102416EB"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3A2217">
        <w:rPr>
          <w:rFonts w:cs="Times New Roman"/>
          <w:noProof/>
          <w:szCs w:val="24"/>
          <w:lang w:val="de-DE"/>
        </w:rPr>
        <w:t xml:space="preserve">McAfoose, J., Baune, B.T., 2009. </w:t>
      </w:r>
      <w:r w:rsidRPr="00D13554">
        <w:rPr>
          <w:rFonts w:cs="Times New Roman"/>
          <w:noProof/>
          <w:szCs w:val="24"/>
        </w:rPr>
        <w:t>Evidence for a cytokine model of cognitive function. Neurosci. Biobehav. Rev. 33, 355–366. https://doi.org/10.1016/j.neubiorev.2008.10.005</w:t>
      </w:r>
    </w:p>
    <w:p w14:paraId="538FEB8B"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Meckiff, B.J., Ramírez-Suástegui, C., Fajardo, V., Chee, S.J., Kusnadi, A., Simon, H., Eschweiler, S., Grifoni, A., Pelosi, E., Weiskopf, D., Sette, A., Ay, F., Seumois, G., Ottensmeier, C.H., Vijayanand, P., 2020. Imbalance of Regulatory and Cytotoxic SARS-CoV-2-Reactive CD4+ T Cells in COVID-19. Cell 183, 1340-1353.e16. https://doi.org/10.1016/j.cell.2020.10.001</w:t>
      </w:r>
    </w:p>
    <w:p w14:paraId="534C19D9"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Milaneschi, Y., Kappelmann, N., Ye, Z., Lamers, F., Moser, S., Jones, P.B., Burgess, S., Penninx, B.W.J.H., Khandaker, G.M., 2021. Association of Inflammation with Depression and Anxiety: Evidence for Symptom-Specificity and Potential Causality from UK Biobank and NESDA Cohorts. medRxiv. https://doi.org/10.1101/2021.01.08.20248710</w:t>
      </w:r>
    </w:p>
    <w:p w14:paraId="29887851"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Mondelli, V., Pariante, C.M., 2021. What can neuroimmunology teach us about the symptoms of long-COVID? Oxford Open Immunol. 2, 1–5. https://doi.org/10.1093/oxfimm/iqab004</w:t>
      </w:r>
    </w:p>
    <w:p w14:paraId="737C9723"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Moriarity, D.P., Horn, S.R., Kautz, M.M., Haslbeck, J.M.B., Alloy, L.B., 2020. How handling extreme C-reactive protein (CRP) values and regularization influences CRP and depression criteria associations in network analyses. Brain. Behav. Immun. https://doi.org/10.1016/j.bbi.2020.10.020</w:t>
      </w:r>
    </w:p>
    <w:p w14:paraId="0DBF0025"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Nalbandian, A., Sehgal, K., Gupta, A., Madhavan, M. V., McGroder, C., Stevens, J.S., Cook, J.R., Nordvig, A.S., Shalev, D., Sehrawat, T.S., Ahluwalia, N., Bikdeli, B., Dietz, D., Der-Nigoghossian, C., Liyanage-Don, N., Rosner, G.F., Bernstein, E.J., Mohan, S., Beckley, A.A., Seres, D.S., Choueiri, T.K., Uriel, N., Ausiello, J.C., Accili, D., Freedberg, D.E., Baldwin, M., Schwartz, A., Brodie, D., Garcia, C.K., Elkind, M.S. V., Connors, J.M., Bilezikian, J.P., Landry, D.W., Wan, E.Y., 2021. Post-acute COVID-19 syndrome. Nat. Med. https://doi.org/10.1038/s41591-021-01283-z</w:t>
      </w:r>
    </w:p>
    <w:p w14:paraId="73754A9A"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3A2217">
        <w:rPr>
          <w:rFonts w:cs="Times New Roman"/>
          <w:noProof/>
          <w:szCs w:val="24"/>
          <w:lang w:val="de-DE"/>
        </w:rPr>
        <w:t xml:space="preserve">Nikolaisen, C., Figenschau, Y., Nossent, J.C., 2008. </w:t>
      </w:r>
      <w:r w:rsidRPr="00D13554">
        <w:rPr>
          <w:rFonts w:cs="Times New Roman"/>
          <w:noProof/>
          <w:szCs w:val="24"/>
        </w:rPr>
        <w:t>Anemia in early rheumatoid arthritis is associated with interleukin 6-mediated bone marrow suppression, but has no effect on disease course or mortality. J. Rheumatol. 35, 380–6.</w:t>
      </w:r>
    </w:p>
    <w:p w14:paraId="75BBFADD"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lastRenderedPageBreak/>
        <w:t>Nishiga, M., Wang, D.W., Han, Y., Lewis, D.B., Wu, J.C., 2020. COVID-19 and cardiovascular disease: from basic mechanisms to clinical perspectives. Nat. Rev. Cardiol. 17, 543–558. https://doi.org/10.1038/s41569-020-0413-9</w:t>
      </w:r>
    </w:p>
    <w:p w14:paraId="4793F97B"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Rohleder, N., Aringer, M., Boentert, M., 2012. Role of interleukin-6 in stress, sleep, and fatigue. Ann. N. Y. Acad. Sci. 1261, 88–96. https://doi.org/10.1111/j.1749-6632.2012.06634.x</w:t>
      </w:r>
    </w:p>
    <w:p w14:paraId="12D6ADA4"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Sadeghi, A., Tahmasebi, S., Mahmood, A., Kuznetsova, M., Valizadeh, H., Taghizadieh, A., Nazemiyeh, M., Aghebati‐Maleki, L., Jadidi‐Niaragh, F., Abbaspour‐Aghdam, S., Roshangar, L., Mikaeili, H., Ahmadi, M., 2021. Th17 and Treg cells function in SARS‐CoV2 patients compared with healthy controls. J. Cell. Physiol. 236, 2829–2839. https://doi.org/10.1002/jcp.30047</w:t>
      </w:r>
    </w:p>
    <w:p w14:paraId="50D02AC5"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Salama, C., Han, J., Yau, L., Reiss, W.G., Kramer, B., Neidhart, J.D., Criner, G.J., Kaplan-Lewis, E., Baden, R., Pandit, L., Cameron, M.L., Garcia-Diaz, J., Chávez, V., Mekebeb-Reuter, M., Lima de Menezes, F., Shah, R., González-Lara, M.F., Assman, B., Freedman, J., Mohan, S. V., 2021. Tocilizumab in Patients Hospitalized with Covid-19 Pneumonia. N. Engl. J. Med. 384, 20–30. https://doi.org/10.1056/NEJMoa2030340</w:t>
      </w:r>
    </w:p>
    <w:p w14:paraId="5D059843" w14:textId="77777777" w:rsidR="00D13554" w:rsidRPr="003A2217" w:rsidRDefault="00D13554" w:rsidP="00D13554">
      <w:pPr>
        <w:widowControl w:val="0"/>
        <w:autoSpaceDE w:val="0"/>
        <w:autoSpaceDN w:val="0"/>
        <w:adjustRightInd w:val="0"/>
        <w:spacing w:line="240" w:lineRule="auto"/>
        <w:ind w:left="480" w:hanging="480"/>
        <w:rPr>
          <w:rFonts w:cs="Times New Roman"/>
          <w:noProof/>
          <w:szCs w:val="24"/>
          <w:lang w:val="de-DE"/>
        </w:rPr>
      </w:pPr>
      <w:r w:rsidRPr="00D13554">
        <w:rPr>
          <w:rFonts w:cs="Times New Roman"/>
          <w:noProof/>
          <w:szCs w:val="24"/>
        </w:rPr>
        <w:t xml:space="preserve">Scheller, J., Garbers, C., Rose-John, S., 2014. Interleukin-6: From basic biology to selective blockade of pro-inflammatory activities. </w:t>
      </w:r>
      <w:r w:rsidRPr="003A2217">
        <w:rPr>
          <w:rFonts w:cs="Times New Roman"/>
          <w:noProof/>
          <w:szCs w:val="24"/>
          <w:lang w:val="de-DE"/>
        </w:rPr>
        <w:t>Semin. Immunol. 26, 2–12. https://doi.org/10.1016/j.smim.2013.11.002</w:t>
      </w:r>
    </w:p>
    <w:p w14:paraId="3AAF343B"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3A2217">
        <w:rPr>
          <w:rFonts w:cs="Times New Roman"/>
          <w:noProof/>
          <w:szCs w:val="24"/>
          <w:lang w:val="de-DE"/>
        </w:rPr>
        <w:t xml:space="preserve">Schultze, J.L., Aschenbrenner, A.C., 2021. </w:t>
      </w:r>
      <w:r w:rsidRPr="00D13554">
        <w:rPr>
          <w:rFonts w:cs="Times New Roman"/>
          <w:noProof/>
          <w:szCs w:val="24"/>
        </w:rPr>
        <w:t>COVID-19 and the human innate immune system. Cell 184, 1671–1692. https://doi.org/10.1016/j.cell.2021.02.029</w:t>
      </w:r>
    </w:p>
    <w:p w14:paraId="6E7398DE"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Sette, A., Crotty, S., 2021. Adaptive immunity to SARS-CoV-2 and COVID-19. Cell 184, 861–880. https://doi.org/10.1016/j.cell.2021.01.007</w:t>
      </w:r>
    </w:p>
    <w:p w14:paraId="63BC69E4"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Tanaka, T., Narazaki, M., Kishimoto, T., 2012. Therapeutic Targeting of the Interleukin-6 Receptor. Annu. Rev. Pharmacol. Toxicol. 52, 199–219. https://doi.org/10.1146/annurev-pharmtox-010611-134715</w:t>
      </w:r>
    </w:p>
    <w:p w14:paraId="4E3749BC"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Taquet, M., Geddes, J.R., Husain, M., Luciano, S., Harrison, P.J., 2021. 6-month neurological and psychiatric outcomes in 236 379 survivors of COVID-19: a retrospective cohort study using electronic health records. The Lancet Psychiatry. https://doi.org/10.1016/S2215-0366(21)00084-5</w:t>
      </w:r>
    </w:p>
    <w:p w14:paraId="3A149F71"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Taquet, M., Luciano, S., Geddes, J.R., Harrison, P.J., 2020. Bidirectional associations between COVID-19 and psychiatric disorder: retrospective cohort studies of 62 354 COVID-19 cases in the USA. The Lancet Psychiatry 0366, 1–11. https://doi.org/10.1016/S2215-0366(20)30462-4</w:t>
      </w:r>
    </w:p>
    <w:p w14:paraId="44358C57"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The RECOVERY Collaborative Group, 2020. Dexamethasone in Hospitalized Patients with Covid-19 — Preliminary Report. N. Engl. J. Med. https://doi.org/10.1056/NEJMoa2021436</w:t>
      </w:r>
    </w:p>
    <w:p w14:paraId="5555BAB9"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Tyring, S., Gottlieb, A., Papp, K., Gordon, K., Leonardi, C., Wang, A., Lalla, D., Woolley, M., Jahreis, A., Zitnik, R., Cella, D., Krishnan, R., 2006. Etanercept and clinical outcomes, fatigue, and depression in psoriasis: double-blind placebo-controlled randomised phase III trial. Lancet 367, 29–35. https://doi.org/10.1016/S0140-6736(05)67763-X</w:t>
      </w:r>
    </w:p>
    <w:p w14:paraId="54E9323C"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 xml:space="preserve">Veiga, V.C., Prats, J.A.G.G., Farias, D.L.C., Rosa, R.G., Dourado, L.K., Zampieri, F.G., </w:t>
      </w:r>
      <w:r w:rsidRPr="00D13554">
        <w:rPr>
          <w:rFonts w:cs="Times New Roman"/>
          <w:noProof/>
          <w:szCs w:val="24"/>
        </w:rPr>
        <w:lastRenderedPageBreak/>
        <w:t>Machado, F.R., Lopes, R.D., Berwanger, O., Azevedo, L.C.P., Avezum, Á., Lisboa, T.C., Rojas, S.S.O., Coelho, J.C., Leite, R.T., Carvalho, J.C., Andrade, L.E.C., Sandes, A.F., Pintão, M.C.T., Castro, C.G., Santos, S. V., de Almeida, T.M.L., Costa, A.N., Gebara, O.C.E., de Freitas, F.G.R., Pacheco, E.S., Machado, D.J.B., Martin, J., Conceição, F.G., Siqueira, S.R.R., Damiani, L.P., Ishihara, L.M., Schneider, D., de Souza, D., Cavalcanti, A.B., Scheinberg, P., 2021. Effect of tocilizumab on clinical outcomes at 15 days in patients with severe or critical coronavirus disease 2019: randomised controlled trial. BMJ 372, n84. https://doi.org/10.1136/bmj.n84</w:t>
      </w:r>
    </w:p>
    <w:p w14:paraId="1138F846"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Venkatesan, P., 2021. NICE guideline on long COVID. Lancet Respir. Med. 9, 129. https://doi.org/10.1016/S2213-2600(21)00031-X</w:t>
      </w:r>
    </w:p>
    <w:p w14:paraId="51994C0D"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West, A.P., 2017. Mitochondrial dysfunction as a trigger of innate immune responses and inflammation. Toxicology 391, 54–63. https://doi.org/10.1016/j.tox.2017.07.016</w:t>
      </w:r>
    </w:p>
    <w:p w14:paraId="01077887"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White, J., Kivimäki, M., Jokela, M., Batty, G.D., 2017. Association of inflammation with specific symptoms of depression in a general population of older people: The English Longitudinal Study of Ageing. Brain. Behav. Immun. 61, 27–30. https://doi.org/10.1016/j.bbi.2016.08.012</w:t>
      </w:r>
    </w:p>
    <w:p w14:paraId="16A77271" w14:textId="77777777" w:rsidR="00D13554" w:rsidRPr="00D13554" w:rsidRDefault="00D13554" w:rsidP="00D13554">
      <w:pPr>
        <w:widowControl w:val="0"/>
        <w:autoSpaceDE w:val="0"/>
        <w:autoSpaceDN w:val="0"/>
        <w:adjustRightInd w:val="0"/>
        <w:spacing w:line="240" w:lineRule="auto"/>
        <w:ind w:left="480" w:hanging="480"/>
        <w:rPr>
          <w:rFonts w:cs="Times New Roman"/>
          <w:noProof/>
          <w:szCs w:val="24"/>
        </w:rPr>
      </w:pPr>
      <w:r w:rsidRPr="00D13554">
        <w:rPr>
          <w:rFonts w:cs="Times New Roman"/>
          <w:noProof/>
          <w:szCs w:val="24"/>
        </w:rPr>
        <w:t>Wiersinga, W.J., Rhodes, A., Cheng, A.C., Peacock, S.J., Prescott, H.C., 2020. Pathophysiology, Transmission, Diagnosis, and Treatment of Coronavirus Disease 2019 (COVID-19). JAMA 324, 782. https://doi.org/10.1001/jama.2020.12839</w:t>
      </w:r>
    </w:p>
    <w:p w14:paraId="30DE10A6" w14:textId="77777777" w:rsidR="00D13554" w:rsidRPr="003A2217" w:rsidRDefault="00D13554" w:rsidP="00D13554">
      <w:pPr>
        <w:widowControl w:val="0"/>
        <w:autoSpaceDE w:val="0"/>
        <w:autoSpaceDN w:val="0"/>
        <w:adjustRightInd w:val="0"/>
        <w:spacing w:line="240" w:lineRule="auto"/>
        <w:ind w:left="480" w:hanging="480"/>
        <w:rPr>
          <w:rFonts w:cs="Times New Roman"/>
          <w:noProof/>
          <w:szCs w:val="24"/>
          <w:lang w:val="de-DE"/>
        </w:rPr>
      </w:pPr>
      <w:r w:rsidRPr="003A2217">
        <w:rPr>
          <w:rFonts w:cs="Times New Roman"/>
          <w:noProof/>
          <w:szCs w:val="24"/>
          <w:lang w:val="de-DE"/>
        </w:rPr>
        <w:t xml:space="preserve">Wium-Andersen, M.K., Ørsted, D.D., Nielsen, S.F., Nordestgaard, B.G., 2013. </w:t>
      </w:r>
      <w:r w:rsidRPr="00D13554">
        <w:rPr>
          <w:rFonts w:cs="Times New Roman"/>
          <w:noProof/>
          <w:szCs w:val="24"/>
        </w:rPr>
        <w:t xml:space="preserve">Elevated C-Reactive Protein Levels, Psychological Distress, and Depression in 73 131 Individuals. </w:t>
      </w:r>
      <w:r w:rsidRPr="003A2217">
        <w:rPr>
          <w:rFonts w:cs="Times New Roman"/>
          <w:noProof/>
          <w:szCs w:val="24"/>
          <w:lang w:val="de-DE"/>
        </w:rPr>
        <w:t>JAMA Psychiatry 70, 176. https://doi.org/10.1001/2013.jamapsychiatry.102</w:t>
      </w:r>
    </w:p>
    <w:p w14:paraId="52318D1A" w14:textId="77777777" w:rsidR="00D13554" w:rsidRPr="003A2217" w:rsidRDefault="00D13554" w:rsidP="00D13554">
      <w:pPr>
        <w:widowControl w:val="0"/>
        <w:autoSpaceDE w:val="0"/>
        <w:autoSpaceDN w:val="0"/>
        <w:adjustRightInd w:val="0"/>
        <w:spacing w:line="240" w:lineRule="auto"/>
        <w:ind w:left="480" w:hanging="480"/>
        <w:rPr>
          <w:rFonts w:cs="Times New Roman"/>
          <w:noProof/>
          <w:szCs w:val="24"/>
          <w:lang w:val="de-DE"/>
        </w:rPr>
      </w:pPr>
      <w:r w:rsidRPr="003A2217">
        <w:rPr>
          <w:rFonts w:cs="Times New Roman"/>
          <w:noProof/>
          <w:szCs w:val="24"/>
          <w:lang w:val="de-DE"/>
        </w:rPr>
        <w:t xml:space="preserve">Zhang, G., Wang, W., Li, S., Yang, H., Zhang, M., Zhang, P., Wen, Y., Wu, A., Yang, L., Zhou, B., Chen, X., 2015. </w:t>
      </w:r>
      <w:r w:rsidRPr="00D13554">
        <w:rPr>
          <w:rFonts w:cs="Times New Roman"/>
          <w:noProof/>
          <w:szCs w:val="24"/>
        </w:rPr>
        <w:t xml:space="preserve">IL6 gene allele-specific C/EBPα-binding activity affects the development of HBV infection through modulation of Th17/Treg balance. </w:t>
      </w:r>
      <w:r w:rsidRPr="003A2217">
        <w:rPr>
          <w:rFonts w:cs="Times New Roman"/>
          <w:noProof/>
          <w:szCs w:val="24"/>
          <w:lang w:val="de-DE"/>
        </w:rPr>
        <w:t>Genes Immun. 16, 528–535. https://doi.org/10.1038/gene.2015.40</w:t>
      </w:r>
    </w:p>
    <w:p w14:paraId="51FF0A01" w14:textId="77777777" w:rsidR="00D13554" w:rsidRPr="00D13554" w:rsidRDefault="00D13554" w:rsidP="00D13554">
      <w:pPr>
        <w:widowControl w:val="0"/>
        <w:autoSpaceDE w:val="0"/>
        <w:autoSpaceDN w:val="0"/>
        <w:adjustRightInd w:val="0"/>
        <w:spacing w:line="240" w:lineRule="auto"/>
        <w:ind w:left="480" w:hanging="480"/>
        <w:rPr>
          <w:rFonts w:cs="Times New Roman"/>
          <w:noProof/>
        </w:rPr>
      </w:pPr>
      <w:r w:rsidRPr="003A2217">
        <w:rPr>
          <w:rFonts w:cs="Times New Roman"/>
          <w:noProof/>
          <w:szCs w:val="24"/>
          <w:lang w:val="de-DE"/>
        </w:rPr>
        <w:t xml:space="preserve">Zhang, J., Hao, Y., Ou, W., Ming, F., Liang, G., Qian, Y., Cai, Q., Dong, S., Hu, S., Wang, W., Wei, S., 2020. </w:t>
      </w:r>
      <w:r w:rsidRPr="00D13554">
        <w:rPr>
          <w:rFonts w:cs="Times New Roman"/>
          <w:noProof/>
          <w:szCs w:val="24"/>
        </w:rPr>
        <w:t>Serum interleukin-6 is an indicator for severity in 901 patients with SARS-CoV-2 infection: a cohort study. J. Transl. Med. 18, 1–8. https://doi.org/10.1186/s12967-020-02571-x</w:t>
      </w:r>
    </w:p>
    <w:p w14:paraId="65FC2300" w14:textId="642CE735" w:rsidR="00F4788D" w:rsidRPr="00892624" w:rsidRDefault="00F4788D" w:rsidP="00783B0C">
      <w:pPr>
        <w:rPr>
          <w:rFonts w:cs="Times New Roman"/>
        </w:rPr>
      </w:pPr>
      <w:r w:rsidRPr="00892624">
        <w:rPr>
          <w:rFonts w:cs="Times New Roman"/>
        </w:rPr>
        <w:fldChar w:fldCharType="end"/>
      </w:r>
    </w:p>
    <w:sectPr w:rsidR="00F4788D" w:rsidRPr="00892624">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07320B" w16cex:dateUtc="2021-03-25T15:00:00Z"/>
  <w16cex:commentExtensible w16cex:durableId="24073307" w16cex:dateUtc="2021-03-25T15:04:00Z"/>
  <w16cex:commentExtensible w16cex:durableId="24073291" w16cex:dateUtc="2021-03-25T15:02:00Z"/>
  <w16cex:commentExtensible w16cex:durableId="24073445" w16cex:dateUtc="2021-03-25T15:09:00Z"/>
  <w16cex:commentExtensible w16cex:durableId="240734C9" w16cex:dateUtc="2021-03-25T15:1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877F72" w14:textId="77777777" w:rsidR="003360CB" w:rsidRDefault="003360CB" w:rsidP="00783B0C">
      <w:pPr>
        <w:spacing w:after="0" w:line="240" w:lineRule="auto"/>
      </w:pPr>
      <w:r>
        <w:separator/>
      </w:r>
    </w:p>
  </w:endnote>
  <w:endnote w:type="continuationSeparator" w:id="0">
    <w:p w14:paraId="5BC72298" w14:textId="77777777" w:rsidR="003360CB" w:rsidRDefault="003360CB" w:rsidP="00783B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2DFBAA" w14:textId="77777777" w:rsidR="003360CB" w:rsidRDefault="003360CB" w:rsidP="00783B0C">
      <w:pPr>
        <w:spacing w:after="0" w:line="240" w:lineRule="auto"/>
      </w:pPr>
      <w:r>
        <w:separator/>
      </w:r>
    </w:p>
  </w:footnote>
  <w:footnote w:type="continuationSeparator" w:id="0">
    <w:p w14:paraId="2087016C" w14:textId="77777777" w:rsidR="003360CB" w:rsidRDefault="003360CB" w:rsidP="00783B0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260A3"/>
    <w:multiLevelType w:val="hybridMultilevel"/>
    <w:tmpl w:val="1DC45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B2B2F26"/>
    <w:multiLevelType w:val="hybridMultilevel"/>
    <w:tmpl w:val="062E90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B0C"/>
    <w:rsid w:val="00000F14"/>
    <w:rsid w:val="000016D4"/>
    <w:rsid w:val="00006556"/>
    <w:rsid w:val="000102B8"/>
    <w:rsid w:val="00014347"/>
    <w:rsid w:val="00021771"/>
    <w:rsid w:val="000225A7"/>
    <w:rsid w:val="00024115"/>
    <w:rsid w:val="00024329"/>
    <w:rsid w:val="00026BCF"/>
    <w:rsid w:val="00026F11"/>
    <w:rsid w:val="00027874"/>
    <w:rsid w:val="00031177"/>
    <w:rsid w:val="000325A3"/>
    <w:rsid w:val="000352FA"/>
    <w:rsid w:val="00041387"/>
    <w:rsid w:val="0005068B"/>
    <w:rsid w:val="00051A61"/>
    <w:rsid w:val="00052C62"/>
    <w:rsid w:val="00053376"/>
    <w:rsid w:val="0005344D"/>
    <w:rsid w:val="000537A3"/>
    <w:rsid w:val="00053FEC"/>
    <w:rsid w:val="0005505F"/>
    <w:rsid w:val="00056114"/>
    <w:rsid w:val="00056790"/>
    <w:rsid w:val="00057469"/>
    <w:rsid w:val="00062164"/>
    <w:rsid w:val="00066A3C"/>
    <w:rsid w:val="000671D5"/>
    <w:rsid w:val="000673CA"/>
    <w:rsid w:val="00067E34"/>
    <w:rsid w:val="00072DE2"/>
    <w:rsid w:val="00072F83"/>
    <w:rsid w:val="00073E20"/>
    <w:rsid w:val="00075AA9"/>
    <w:rsid w:val="00077B48"/>
    <w:rsid w:val="0008102C"/>
    <w:rsid w:val="00081875"/>
    <w:rsid w:val="00082D59"/>
    <w:rsid w:val="00083F53"/>
    <w:rsid w:val="000935C1"/>
    <w:rsid w:val="000940F6"/>
    <w:rsid w:val="000941FF"/>
    <w:rsid w:val="00094661"/>
    <w:rsid w:val="00095A67"/>
    <w:rsid w:val="0009669C"/>
    <w:rsid w:val="0009685A"/>
    <w:rsid w:val="000A0899"/>
    <w:rsid w:val="000A1362"/>
    <w:rsid w:val="000A22E5"/>
    <w:rsid w:val="000A73D5"/>
    <w:rsid w:val="000A7B2C"/>
    <w:rsid w:val="000B0252"/>
    <w:rsid w:val="000B0296"/>
    <w:rsid w:val="000B4083"/>
    <w:rsid w:val="000C302E"/>
    <w:rsid w:val="000C44DD"/>
    <w:rsid w:val="000C56C1"/>
    <w:rsid w:val="000D1DE6"/>
    <w:rsid w:val="000D28E0"/>
    <w:rsid w:val="000D2AA9"/>
    <w:rsid w:val="000D3B6C"/>
    <w:rsid w:val="000D6F8F"/>
    <w:rsid w:val="000E2BF6"/>
    <w:rsid w:val="000E5FE9"/>
    <w:rsid w:val="000E7153"/>
    <w:rsid w:val="000F07E1"/>
    <w:rsid w:val="000F1707"/>
    <w:rsid w:val="000F2669"/>
    <w:rsid w:val="000F37FE"/>
    <w:rsid w:val="000F52E6"/>
    <w:rsid w:val="001003ED"/>
    <w:rsid w:val="001004E3"/>
    <w:rsid w:val="00100BCD"/>
    <w:rsid w:val="001012FC"/>
    <w:rsid w:val="001017CD"/>
    <w:rsid w:val="0010257E"/>
    <w:rsid w:val="00104190"/>
    <w:rsid w:val="001057FA"/>
    <w:rsid w:val="001077EE"/>
    <w:rsid w:val="00112E9C"/>
    <w:rsid w:val="00115AD3"/>
    <w:rsid w:val="00115CB7"/>
    <w:rsid w:val="00121E12"/>
    <w:rsid w:val="00122308"/>
    <w:rsid w:val="001223A8"/>
    <w:rsid w:val="001227F2"/>
    <w:rsid w:val="001236D5"/>
    <w:rsid w:val="001247A0"/>
    <w:rsid w:val="00124E80"/>
    <w:rsid w:val="00125C81"/>
    <w:rsid w:val="00126846"/>
    <w:rsid w:val="001305F5"/>
    <w:rsid w:val="00132148"/>
    <w:rsid w:val="00132A5E"/>
    <w:rsid w:val="0014164B"/>
    <w:rsid w:val="001417F3"/>
    <w:rsid w:val="00141F48"/>
    <w:rsid w:val="001454B2"/>
    <w:rsid w:val="00145D12"/>
    <w:rsid w:val="0014777B"/>
    <w:rsid w:val="00147F5A"/>
    <w:rsid w:val="00150948"/>
    <w:rsid w:val="00150987"/>
    <w:rsid w:val="001509D8"/>
    <w:rsid w:val="00150DD5"/>
    <w:rsid w:val="00155DF8"/>
    <w:rsid w:val="00157813"/>
    <w:rsid w:val="001606EF"/>
    <w:rsid w:val="00161618"/>
    <w:rsid w:val="00161B96"/>
    <w:rsid w:val="0016388F"/>
    <w:rsid w:val="00164919"/>
    <w:rsid w:val="00164B14"/>
    <w:rsid w:val="00170052"/>
    <w:rsid w:val="00170299"/>
    <w:rsid w:val="001706B3"/>
    <w:rsid w:val="00175E0D"/>
    <w:rsid w:val="00177AEA"/>
    <w:rsid w:val="00177DE8"/>
    <w:rsid w:val="0018002C"/>
    <w:rsid w:val="00181CFD"/>
    <w:rsid w:val="00182583"/>
    <w:rsid w:val="001850F3"/>
    <w:rsid w:val="00185BB0"/>
    <w:rsid w:val="00187508"/>
    <w:rsid w:val="00187596"/>
    <w:rsid w:val="001879C4"/>
    <w:rsid w:val="00191309"/>
    <w:rsid w:val="00195BE3"/>
    <w:rsid w:val="001A1AF3"/>
    <w:rsid w:val="001A572C"/>
    <w:rsid w:val="001A6679"/>
    <w:rsid w:val="001B1649"/>
    <w:rsid w:val="001C082D"/>
    <w:rsid w:val="001C1EB3"/>
    <w:rsid w:val="001C6159"/>
    <w:rsid w:val="001C6B62"/>
    <w:rsid w:val="001C7FF2"/>
    <w:rsid w:val="001D000D"/>
    <w:rsid w:val="001D0CC9"/>
    <w:rsid w:val="001D0CFC"/>
    <w:rsid w:val="001D724D"/>
    <w:rsid w:val="001D786B"/>
    <w:rsid w:val="001D7FA6"/>
    <w:rsid w:val="001E01BA"/>
    <w:rsid w:val="001E0707"/>
    <w:rsid w:val="001E140E"/>
    <w:rsid w:val="001E1811"/>
    <w:rsid w:val="001E2C4A"/>
    <w:rsid w:val="001E4F33"/>
    <w:rsid w:val="001F02D6"/>
    <w:rsid w:val="001F32E6"/>
    <w:rsid w:val="001F59D6"/>
    <w:rsid w:val="001F5E3A"/>
    <w:rsid w:val="001F67D1"/>
    <w:rsid w:val="00200280"/>
    <w:rsid w:val="002015CB"/>
    <w:rsid w:val="002032F6"/>
    <w:rsid w:val="00206592"/>
    <w:rsid w:val="002102D0"/>
    <w:rsid w:val="0021081A"/>
    <w:rsid w:val="0021215B"/>
    <w:rsid w:val="00214E9B"/>
    <w:rsid w:val="00215AFD"/>
    <w:rsid w:val="00216063"/>
    <w:rsid w:val="00217A30"/>
    <w:rsid w:val="00217C68"/>
    <w:rsid w:val="00226A54"/>
    <w:rsid w:val="00227AB4"/>
    <w:rsid w:val="00233B33"/>
    <w:rsid w:val="002347D3"/>
    <w:rsid w:val="00235B42"/>
    <w:rsid w:val="0023602B"/>
    <w:rsid w:val="00240A2E"/>
    <w:rsid w:val="00240FF8"/>
    <w:rsid w:val="00241299"/>
    <w:rsid w:val="00242CD9"/>
    <w:rsid w:val="002439FB"/>
    <w:rsid w:val="00246686"/>
    <w:rsid w:val="002507FB"/>
    <w:rsid w:val="002517E3"/>
    <w:rsid w:val="0025384F"/>
    <w:rsid w:val="00255B5B"/>
    <w:rsid w:val="0025655D"/>
    <w:rsid w:val="002600BF"/>
    <w:rsid w:val="002619B1"/>
    <w:rsid w:val="002635F1"/>
    <w:rsid w:val="00264D6D"/>
    <w:rsid w:val="00265577"/>
    <w:rsid w:val="002662B2"/>
    <w:rsid w:val="00267244"/>
    <w:rsid w:val="00267AF1"/>
    <w:rsid w:val="00270E08"/>
    <w:rsid w:val="00271003"/>
    <w:rsid w:val="0027256E"/>
    <w:rsid w:val="0027292D"/>
    <w:rsid w:val="00273E24"/>
    <w:rsid w:val="002763F4"/>
    <w:rsid w:val="00277810"/>
    <w:rsid w:val="00277AD2"/>
    <w:rsid w:val="00277B1E"/>
    <w:rsid w:val="00280F7C"/>
    <w:rsid w:val="00285A82"/>
    <w:rsid w:val="00286F98"/>
    <w:rsid w:val="0029106B"/>
    <w:rsid w:val="00291D7E"/>
    <w:rsid w:val="00292B64"/>
    <w:rsid w:val="0029560A"/>
    <w:rsid w:val="00295985"/>
    <w:rsid w:val="00295B48"/>
    <w:rsid w:val="002970BB"/>
    <w:rsid w:val="00297DDA"/>
    <w:rsid w:val="002A010F"/>
    <w:rsid w:val="002A0333"/>
    <w:rsid w:val="002A0B72"/>
    <w:rsid w:val="002A0C67"/>
    <w:rsid w:val="002A0D1F"/>
    <w:rsid w:val="002A1AEB"/>
    <w:rsid w:val="002A1D0E"/>
    <w:rsid w:val="002A65FF"/>
    <w:rsid w:val="002B32DF"/>
    <w:rsid w:val="002B4D1A"/>
    <w:rsid w:val="002B6BAC"/>
    <w:rsid w:val="002C052B"/>
    <w:rsid w:val="002C08E9"/>
    <w:rsid w:val="002C0FD2"/>
    <w:rsid w:val="002C2352"/>
    <w:rsid w:val="002C2D49"/>
    <w:rsid w:val="002C30AF"/>
    <w:rsid w:val="002C3202"/>
    <w:rsid w:val="002C5693"/>
    <w:rsid w:val="002C68BF"/>
    <w:rsid w:val="002C6D04"/>
    <w:rsid w:val="002D0C1C"/>
    <w:rsid w:val="002D128F"/>
    <w:rsid w:val="002D1ED8"/>
    <w:rsid w:val="002D20D8"/>
    <w:rsid w:val="002D2F8F"/>
    <w:rsid w:val="002D355E"/>
    <w:rsid w:val="002D4DEE"/>
    <w:rsid w:val="002D7763"/>
    <w:rsid w:val="002D7BB0"/>
    <w:rsid w:val="002E0700"/>
    <w:rsid w:val="002E5292"/>
    <w:rsid w:val="002E5922"/>
    <w:rsid w:val="002F1BAF"/>
    <w:rsid w:val="002F1D81"/>
    <w:rsid w:val="002F5007"/>
    <w:rsid w:val="002F7114"/>
    <w:rsid w:val="00301073"/>
    <w:rsid w:val="00301288"/>
    <w:rsid w:val="0030229B"/>
    <w:rsid w:val="003022FE"/>
    <w:rsid w:val="003027A7"/>
    <w:rsid w:val="0030318D"/>
    <w:rsid w:val="003044D5"/>
    <w:rsid w:val="00306AEE"/>
    <w:rsid w:val="003102B9"/>
    <w:rsid w:val="003104C2"/>
    <w:rsid w:val="00311091"/>
    <w:rsid w:val="0031595F"/>
    <w:rsid w:val="00315ED2"/>
    <w:rsid w:val="0032241B"/>
    <w:rsid w:val="0032400B"/>
    <w:rsid w:val="003257A8"/>
    <w:rsid w:val="003360CB"/>
    <w:rsid w:val="003439BD"/>
    <w:rsid w:val="00344F4F"/>
    <w:rsid w:val="00345278"/>
    <w:rsid w:val="00345A6E"/>
    <w:rsid w:val="003506DA"/>
    <w:rsid w:val="00350D98"/>
    <w:rsid w:val="003536E5"/>
    <w:rsid w:val="003615F5"/>
    <w:rsid w:val="00364497"/>
    <w:rsid w:val="0036537A"/>
    <w:rsid w:val="00374F69"/>
    <w:rsid w:val="00375078"/>
    <w:rsid w:val="00376D37"/>
    <w:rsid w:val="00376F58"/>
    <w:rsid w:val="003822E8"/>
    <w:rsid w:val="0038513D"/>
    <w:rsid w:val="00386507"/>
    <w:rsid w:val="00387D15"/>
    <w:rsid w:val="003909C5"/>
    <w:rsid w:val="00392865"/>
    <w:rsid w:val="003931E7"/>
    <w:rsid w:val="003938CF"/>
    <w:rsid w:val="00396A87"/>
    <w:rsid w:val="00396E30"/>
    <w:rsid w:val="00397284"/>
    <w:rsid w:val="003977EF"/>
    <w:rsid w:val="003A2217"/>
    <w:rsid w:val="003A3718"/>
    <w:rsid w:val="003A54F4"/>
    <w:rsid w:val="003A59C0"/>
    <w:rsid w:val="003A6079"/>
    <w:rsid w:val="003A7600"/>
    <w:rsid w:val="003B193F"/>
    <w:rsid w:val="003B267F"/>
    <w:rsid w:val="003B3FD7"/>
    <w:rsid w:val="003B547C"/>
    <w:rsid w:val="003B548E"/>
    <w:rsid w:val="003C5F5C"/>
    <w:rsid w:val="003D0534"/>
    <w:rsid w:val="003D10C0"/>
    <w:rsid w:val="003D20A2"/>
    <w:rsid w:val="003D72EF"/>
    <w:rsid w:val="003E5E46"/>
    <w:rsid w:val="003F014A"/>
    <w:rsid w:val="003F0E9D"/>
    <w:rsid w:val="003F1C1E"/>
    <w:rsid w:val="003F27A6"/>
    <w:rsid w:val="003F6C81"/>
    <w:rsid w:val="0040068E"/>
    <w:rsid w:val="0040107B"/>
    <w:rsid w:val="00405C34"/>
    <w:rsid w:val="00406869"/>
    <w:rsid w:val="0041082E"/>
    <w:rsid w:val="00410E71"/>
    <w:rsid w:val="00412A81"/>
    <w:rsid w:val="00412A9B"/>
    <w:rsid w:val="00414FC5"/>
    <w:rsid w:val="00415FDF"/>
    <w:rsid w:val="00416D99"/>
    <w:rsid w:val="004179EE"/>
    <w:rsid w:val="004221DF"/>
    <w:rsid w:val="00422B5F"/>
    <w:rsid w:val="00422C23"/>
    <w:rsid w:val="00427235"/>
    <w:rsid w:val="00427242"/>
    <w:rsid w:val="00433A61"/>
    <w:rsid w:val="004347DF"/>
    <w:rsid w:val="00434E8C"/>
    <w:rsid w:val="00437344"/>
    <w:rsid w:val="00440511"/>
    <w:rsid w:val="004421EA"/>
    <w:rsid w:val="00442317"/>
    <w:rsid w:val="0044433C"/>
    <w:rsid w:val="00445C65"/>
    <w:rsid w:val="00446FCE"/>
    <w:rsid w:val="0045005E"/>
    <w:rsid w:val="004539CB"/>
    <w:rsid w:val="004547D1"/>
    <w:rsid w:val="00454D58"/>
    <w:rsid w:val="00457B5C"/>
    <w:rsid w:val="004602D2"/>
    <w:rsid w:val="00460603"/>
    <w:rsid w:val="00461830"/>
    <w:rsid w:val="00463404"/>
    <w:rsid w:val="00464975"/>
    <w:rsid w:val="00465F16"/>
    <w:rsid w:val="00466436"/>
    <w:rsid w:val="004665EB"/>
    <w:rsid w:val="00466EE2"/>
    <w:rsid w:val="00467D0D"/>
    <w:rsid w:val="00470318"/>
    <w:rsid w:val="00471E12"/>
    <w:rsid w:val="00474538"/>
    <w:rsid w:val="004746A4"/>
    <w:rsid w:val="004820A0"/>
    <w:rsid w:val="00482347"/>
    <w:rsid w:val="00484285"/>
    <w:rsid w:val="00484643"/>
    <w:rsid w:val="004850EC"/>
    <w:rsid w:val="00485E79"/>
    <w:rsid w:val="00486CA1"/>
    <w:rsid w:val="00487771"/>
    <w:rsid w:val="00491D24"/>
    <w:rsid w:val="004931F2"/>
    <w:rsid w:val="00494307"/>
    <w:rsid w:val="00495384"/>
    <w:rsid w:val="004953F9"/>
    <w:rsid w:val="004953FD"/>
    <w:rsid w:val="004961A1"/>
    <w:rsid w:val="00496EF4"/>
    <w:rsid w:val="004A419D"/>
    <w:rsid w:val="004A4473"/>
    <w:rsid w:val="004A4819"/>
    <w:rsid w:val="004A6B3D"/>
    <w:rsid w:val="004B0EE9"/>
    <w:rsid w:val="004B2AD6"/>
    <w:rsid w:val="004B58D8"/>
    <w:rsid w:val="004C2DF1"/>
    <w:rsid w:val="004C3A3A"/>
    <w:rsid w:val="004C5A5C"/>
    <w:rsid w:val="004C76C0"/>
    <w:rsid w:val="004D13C0"/>
    <w:rsid w:val="004D1933"/>
    <w:rsid w:val="004D24D5"/>
    <w:rsid w:val="004D3381"/>
    <w:rsid w:val="004D3AE2"/>
    <w:rsid w:val="004D53F8"/>
    <w:rsid w:val="004D769B"/>
    <w:rsid w:val="004E3009"/>
    <w:rsid w:val="004E3182"/>
    <w:rsid w:val="004E639C"/>
    <w:rsid w:val="004F017F"/>
    <w:rsid w:val="004F047E"/>
    <w:rsid w:val="004F3590"/>
    <w:rsid w:val="004F388F"/>
    <w:rsid w:val="004F7836"/>
    <w:rsid w:val="005010E6"/>
    <w:rsid w:val="005043B2"/>
    <w:rsid w:val="00505EB8"/>
    <w:rsid w:val="00507683"/>
    <w:rsid w:val="005077BE"/>
    <w:rsid w:val="00510AB8"/>
    <w:rsid w:val="00511052"/>
    <w:rsid w:val="00514D99"/>
    <w:rsid w:val="00515B40"/>
    <w:rsid w:val="00525495"/>
    <w:rsid w:val="005276D7"/>
    <w:rsid w:val="00527995"/>
    <w:rsid w:val="00530E03"/>
    <w:rsid w:val="005313F8"/>
    <w:rsid w:val="00531557"/>
    <w:rsid w:val="0053209D"/>
    <w:rsid w:val="005362E8"/>
    <w:rsid w:val="005409AF"/>
    <w:rsid w:val="00541CC7"/>
    <w:rsid w:val="00541D43"/>
    <w:rsid w:val="00542BC6"/>
    <w:rsid w:val="00543661"/>
    <w:rsid w:val="00546591"/>
    <w:rsid w:val="00546917"/>
    <w:rsid w:val="005472FD"/>
    <w:rsid w:val="00547552"/>
    <w:rsid w:val="0055034D"/>
    <w:rsid w:val="00550C18"/>
    <w:rsid w:val="00551CB7"/>
    <w:rsid w:val="00551CDE"/>
    <w:rsid w:val="00555C40"/>
    <w:rsid w:val="005576EA"/>
    <w:rsid w:val="00561577"/>
    <w:rsid w:val="005627CD"/>
    <w:rsid w:val="0056449F"/>
    <w:rsid w:val="0056706D"/>
    <w:rsid w:val="00570BC2"/>
    <w:rsid w:val="005758E9"/>
    <w:rsid w:val="00575ADA"/>
    <w:rsid w:val="005766F9"/>
    <w:rsid w:val="0058022B"/>
    <w:rsid w:val="00580A95"/>
    <w:rsid w:val="005832FD"/>
    <w:rsid w:val="00584197"/>
    <w:rsid w:val="00586A43"/>
    <w:rsid w:val="00590B0E"/>
    <w:rsid w:val="00591128"/>
    <w:rsid w:val="0059201C"/>
    <w:rsid w:val="005923D7"/>
    <w:rsid w:val="00592BBA"/>
    <w:rsid w:val="00592DBF"/>
    <w:rsid w:val="00596291"/>
    <w:rsid w:val="005977A6"/>
    <w:rsid w:val="005A0F3A"/>
    <w:rsid w:val="005B0D8D"/>
    <w:rsid w:val="005B1CEF"/>
    <w:rsid w:val="005B2F8A"/>
    <w:rsid w:val="005B3C1F"/>
    <w:rsid w:val="005B44CC"/>
    <w:rsid w:val="005C09A1"/>
    <w:rsid w:val="005C1585"/>
    <w:rsid w:val="005C1A86"/>
    <w:rsid w:val="005C25A4"/>
    <w:rsid w:val="005C3753"/>
    <w:rsid w:val="005C522A"/>
    <w:rsid w:val="005C79E3"/>
    <w:rsid w:val="005C7FED"/>
    <w:rsid w:val="005D05E1"/>
    <w:rsid w:val="005D10DC"/>
    <w:rsid w:val="005D33F6"/>
    <w:rsid w:val="005D3938"/>
    <w:rsid w:val="005D3ADA"/>
    <w:rsid w:val="005D708B"/>
    <w:rsid w:val="005D78FA"/>
    <w:rsid w:val="005D7DD9"/>
    <w:rsid w:val="005E0349"/>
    <w:rsid w:val="005E1353"/>
    <w:rsid w:val="005E24DF"/>
    <w:rsid w:val="005E2CA2"/>
    <w:rsid w:val="005E38D5"/>
    <w:rsid w:val="005E3E5C"/>
    <w:rsid w:val="005E4B32"/>
    <w:rsid w:val="005F1B0F"/>
    <w:rsid w:val="005F1E5D"/>
    <w:rsid w:val="005F2A4A"/>
    <w:rsid w:val="005F4350"/>
    <w:rsid w:val="005F4936"/>
    <w:rsid w:val="005F52E9"/>
    <w:rsid w:val="005F7975"/>
    <w:rsid w:val="0060005D"/>
    <w:rsid w:val="00600CF5"/>
    <w:rsid w:val="00603009"/>
    <w:rsid w:val="00603EA3"/>
    <w:rsid w:val="00605A9F"/>
    <w:rsid w:val="00611058"/>
    <w:rsid w:val="00612757"/>
    <w:rsid w:val="00620E97"/>
    <w:rsid w:val="006236EA"/>
    <w:rsid w:val="0062705D"/>
    <w:rsid w:val="00630877"/>
    <w:rsid w:val="00631195"/>
    <w:rsid w:val="006325D2"/>
    <w:rsid w:val="00632647"/>
    <w:rsid w:val="0063392B"/>
    <w:rsid w:val="0063419D"/>
    <w:rsid w:val="0063540D"/>
    <w:rsid w:val="0063561D"/>
    <w:rsid w:val="00635895"/>
    <w:rsid w:val="0063592C"/>
    <w:rsid w:val="006360B9"/>
    <w:rsid w:val="00636368"/>
    <w:rsid w:val="00640F06"/>
    <w:rsid w:val="00642DF1"/>
    <w:rsid w:val="00644136"/>
    <w:rsid w:val="006447D7"/>
    <w:rsid w:val="00653F17"/>
    <w:rsid w:val="0065434D"/>
    <w:rsid w:val="00654E62"/>
    <w:rsid w:val="00655853"/>
    <w:rsid w:val="00655957"/>
    <w:rsid w:val="006564AF"/>
    <w:rsid w:val="0066198F"/>
    <w:rsid w:val="00662A13"/>
    <w:rsid w:val="00665C31"/>
    <w:rsid w:val="006704E6"/>
    <w:rsid w:val="00672145"/>
    <w:rsid w:val="0067287A"/>
    <w:rsid w:val="00673BB9"/>
    <w:rsid w:val="00677901"/>
    <w:rsid w:val="00680435"/>
    <w:rsid w:val="0068084E"/>
    <w:rsid w:val="00682D02"/>
    <w:rsid w:val="00686DEB"/>
    <w:rsid w:val="006870B7"/>
    <w:rsid w:val="00690B0F"/>
    <w:rsid w:val="00693008"/>
    <w:rsid w:val="006934E2"/>
    <w:rsid w:val="00694202"/>
    <w:rsid w:val="00695122"/>
    <w:rsid w:val="006956D8"/>
    <w:rsid w:val="0069675B"/>
    <w:rsid w:val="00696B9D"/>
    <w:rsid w:val="00696F68"/>
    <w:rsid w:val="006973EC"/>
    <w:rsid w:val="00697A6C"/>
    <w:rsid w:val="006A2063"/>
    <w:rsid w:val="006A2233"/>
    <w:rsid w:val="006A3A25"/>
    <w:rsid w:val="006A3BCF"/>
    <w:rsid w:val="006A613F"/>
    <w:rsid w:val="006A7BD7"/>
    <w:rsid w:val="006A7C05"/>
    <w:rsid w:val="006B040C"/>
    <w:rsid w:val="006B0630"/>
    <w:rsid w:val="006B17AF"/>
    <w:rsid w:val="006B2E70"/>
    <w:rsid w:val="006B3211"/>
    <w:rsid w:val="006B3DCA"/>
    <w:rsid w:val="006B5064"/>
    <w:rsid w:val="006B50AA"/>
    <w:rsid w:val="006B5622"/>
    <w:rsid w:val="006B57F7"/>
    <w:rsid w:val="006C0155"/>
    <w:rsid w:val="006C1308"/>
    <w:rsid w:val="006C2CCF"/>
    <w:rsid w:val="006C54DB"/>
    <w:rsid w:val="006D2E45"/>
    <w:rsid w:val="006D4C83"/>
    <w:rsid w:val="006D5321"/>
    <w:rsid w:val="006E2125"/>
    <w:rsid w:val="006E35D3"/>
    <w:rsid w:val="006E400A"/>
    <w:rsid w:val="006E756F"/>
    <w:rsid w:val="006F0B81"/>
    <w:rsid w:val="006F2C61"/>
    <w:rsid w:val="006F41D9"/>
    <w:rsid w:val="006F6E9B"/>
    <w:rsid w:val="00700636"/>
    <w:rsid w:val="007016FC"/>
    <w:rsid w:val="007020C4"/>
    <w:rsid w:val="00704097"/>
    <w:rsid w:val="00704CAA"/>
    <w:rsid w:val="00713CD0"/>
    <w:rsid w:val="0071429E"/>
    <w:rsid w:val="00721DD6"/>
    <w:rsid w:val="00722D18"/>
    <w:rsid w:val="00723E25"/>
    <w:rsid w:val="0072528A"/>
    <w:rsid w:val="00726AE9"/>
    <w:rsid w:val="00727635"/>
    <w:rsid w:val="00730B7A"/>
    <w:rsid w:val="0073311E"/>
    <w:rsid w:val="007336AF"/>
    <w:rsid w:val="0073417C"/>
    <w:rsid w:val="00734F7D"/>
    <w:rsid w:val="00743F7F"/>
    <w:rsid w:val="007440AB"/>
    <w:rsid w:val="00746635"/>
    <w:rsid w:val="00751E47"/>
    <w:rsid w:val="0075673F"/>
    <w:rsid w:val="00756D7E"/>
    <w:rsid w:val="00757713"/>
    <w:rsid w:val="00760413"/>
    <w:rsid w:val="00760A75"/>
    <w:rsid w:val="00760DD1"/>
    <w:rsid w:val="00762E2E"/>
    <w:rsid w:val="00763954"/>
    <w:rsid w:val="007647CB"/>
    <w:rsid w:val="00764F53"/>
    <w:rsid w:val="00765E2C"/>
    <w:rsid w:val="00767B07"/>
    <w:rsid w:val="00767EF4"/>
    <w:rsid w:val="0077011C"/>
    <w:rsid w:val="007707D0"/>
    <w:rsid w:val="00772659"/>
    <w:rsid w:val="007726AE"/>
    <w:rsid w:val="00773118"/>
    <w:rsid w:val="007745FF"/>
    <w:rsid w:val="00774FB5"/>
    <w:rsid w:val="0077665A"/>
    <w:rsid w:val="00777C39"/>
    <w:rsid w:val="00783225"/>
    <w:rsid w:val="00783B0C"/>
    <w:rsid w:val="00783F56"/>
    <w:rsid w:val="00785CF1"/>
    <w:rsid w:val="007864C2"/>
    <w:rsid w:val="0078678A"/>
    <w:rsid w:val="00786EAA"/>
    <w:rsid w:val="007871E4"/>
    <w:rsid w:val="007874E1"/>
    <w:rsid w:val="00787A89"/>
    <w:rsid w:val="00791E7F"/>
    <w:rsid w:val="00792B4C"/>
    <w:rsid w:val="00794243"/>
    <w:rsid w:val="007950FB"/>
    <w:rsid w:val="00795FA4"/>
    <w:rsid w:val="00796F5D"/>
    <w:rsid w:val="00797CB4"/>
    <w:rsid w:val="007A32FB"/>
    <w:rsid w:val="007A48BB"/>
    <w:rsid w:val="007A6169"/>
    <w:rsid w:val="007A7B54"/>
    <w:rsid w:val="007B3ADE"/>
    <w:rsid w:val="007C0578"/>
    <w:rsid w:val="007C1D1C"/>
    <w:rsid w:val="007C1F28"/>
    <w:rsid w:val="007C2DD7"/>
    <w:rsid w:val="007C5CF5"/>
    <w:rsid w:val="007C66BD"/>
    <w:rsid w:val="007C77AA"/>
    <w:rsid w:val="007D0950"/>
    <w:rsid w:val="007D1EE3"/>
    <w:rsid w:val="007D278B"/>
    <w:rsid w:val="007D365C"/>
    <w:rsid w:val="007D57C1"/>
    <w:rsid w:val="007D5CC5"/>
    <w:rsid w:val="007D691D"/>
    <w:rsid w:val="007D7B7B"/>
    <w:rsid w:val="007E2C99"/>
    <w:rsid w:val="007E4896"/>
    <w:rsid w:val="007E4BE7"/>
    <w:rsid w:val="007E7DB9"/>
    <w:rsid w:val="007E7E5F"/>
    <w:rsid w:val="007F002E"/>
    <w:rsid w:val="007F3BE3"/>
    <w:rsid w:val="007F5426"/>
    <w:rsid w:val="007F6B95"/>
    <w:rsid w:val="007F72A1"/>
    <w:rsid w:val="008007F1"/>
    <w:rsid w:val="00800F2F"/>
    <w:rsid w:val="00802D3D"/>
    <w:rsid w:val="008034BC"/>
    <w:rsid w:val="00804023"/>
    <w:rsid w:val="0080596A"/>
    <w:rsid w:val="008061E6"/>
    <w:rsid w:val="008107F0"/>
    <w:rsid w:val="00811D26"/>
    <w:rsid w:val="0081442B"/>
    <w:rsid w:val="00814715"/>
    <w:rsid w:val="0081627A"/>
    <w:rsid w:val="00822810"/>
    <w:rsid w:val="008229EF"/>
    <w:rsid w:val="00823238"/>
    <w:rsid w:val="00823FD6"/>
    <w:rsid w:val="0082544B"/>
    <w:rsid w:val="008256D4"/>
    <w:rsid w:val="008258CB"/>
    <w:rsid w:val="00825DFF"/>
    <w:rsid w:val="00834002"/>
    <w:rsid w:val="00835273"/>
    <w:rsid w:val="0083763C"/>
    <w:rsid w:val="008377AF"/>
    <w:rsid w:val="0084117B"/>
    <w:rsid w:val="00841E29"/>
    <w:rsid w:val="0084476E"/>
    <w:rsid w:val="00844BB1"/>
    <w:rsid w:val="00844D33"/>
    <w:rsid w:val="008457BE"/>
    <w:rsid w:val="00846A51"/>
    <w:rsid w:val="00846AAA"/>
    <w:rsid w:val="0084772C"/>
    <w:rsid w:val="0084798D"/>
    <w:rsid w:val="00847F17"/>
    <w:rsid w:val="00852490"/>
    <w:rsid w:val="00853D73"/>
    <w:rsid w:val="00854146"/>
    <w:rsid w:val="008552B9"/>
    <w:rsid w:val="008564A2"/>
    <w:rsid w:val="00857BDF"/>
    <w:rsid w:val="00857E3D"/>
    <w:rsid w:val="0086102F"/>
    <w:rsid w:val="0086453E"/>
    <w:rsid w:val="00865CD3"/>
    <w:rsid w:val="00867B33"/>
    <w:rsid w:val="008706B3"/>
    <w:rsid w:val="0087154F"/>
    <w:rsid w:val="008722F8"/>
    <w:rsid w:val="00872599"/>
    <w:rsid w:val="0087283F"/>
    <w:rsid w:val="00872CB7"/>
    <w:rsid w:val="00874D87"/>
    <w:rsid w:val="0088062F"/>
    <w:rsid w:val="0088349C"/>
    <w:rsid w:val="00887E65"/>
    <w:rsid w:val="00891837"/>
    <w:rsid w:val="00891C39"/>
    <w:rsid w:val="00892624"/>
    <w:rsid w:val="00892FB9"/>
    <w:rsid w:val="00893923"/>
    <w:rsid w:val="00896D52"/>
    <w:rsid w:val="0089791C"/>
    <w:rsid w:val="008A0FE5"/>
    <w:rsid w:val="008A1542"/>
    <w:rsid w:val="008A15F6"/>
    <w:rsid w:val="008A3188"/>
    <w:rsid w:val="008A37B5"/>
    <w:rsid w:val="008A44E2"/>
    <w:rsid w:val="008A5C6B"/>
    <w:rsid w:val="008A704F"/>
    <w:rsid w:val="008B3386"/>
    <w:rsid w:val="008B666F"/>
    <w:rsid w:val="008C2A4E"/>
    <w:rsid w:val="008C2BCB"/>
    <w:rsid w:val="008C3CC4"/>
    <w:rsid w:val="008C5092"/>
    <w:rsid w:val="008D2B2F"/>
    <w:rsid w:val="008D330C"/>
    <w:rsid w:val="008D346C"/>
    <w:rsid w:val="008D3957"/>
    <w:rsid w:val="008D4CDE"/>
    <w:rsid w:val="008D4D2D"/>
    <w:rsid w:val="008D5192"/>
    <w:rsid w:val="008D61A8"/>
    <w:rsid w:val="008D64F0"/>
    <w:rsid w:val="008D6501"/>
    <w:rsid w:val="008E02CD"/>
    <w:rsid w:val="008E0304"/>
    <w:rsid w:val="008E0B15"/>
    <w:rsid w:val="008E13BA"/>
    <w:rsid w:val="008E378E"/>
    <w:rsid w:val="008E400C"/>
    <w:rsid w:val="008E4A76"/>
    <w:rsid w:val="008E7007"/>
    <w:rsid w:val="008E7507"/>
    <w:rsid w:val="008E76F4"/>
    <w:rsid w:val="008F2EE6"/>
    <w:rsid w:val="008F4379"/>
    <w:rsid w:val="008F481D"/>
    <w:rsid w:val="008F550D"/>
    <w:rsid w:val="008F569C"/>
    <w:rsid w:val="008F70D1"/>
    <w:rsid w:val="00900DA9"/>
    <w:rsid w:val="0090202B"/>
    <w:rsid w:val="00904A08"/>
    <w:rsid w:val="00904AAD"/>
    <w:rsid w:val="00904CAE"/>
    <w:rsid w:val="00905BAE"/>
    <w:rsid w:val="0091096F"/>
    <w:rsid w:val="0091106C"/>
    <w:rsid w:val="0091110D"/>
    <w:rsid w:val="00913A05"/>
    <w:rsid w:val="00914027"/>
    <w:rsid w:val="009168A7"/>
    <w:rsid w:val="009203CC"/>
    <w:rsid w:val="00920BD1"/>
    <w:rsid w:val="00921C14"/>
    <w:rsid w:val="009225F7"/>
    <w:rsid w:val="0092354C"/>
    <w:rsid w:val="0093027B"/>
    <w:rsid w:val="00930C1C"/>
    <w:rsid w:val="00932C28"/>
    <w:rsid w:val="00932E4A"/>
    <w:rsid w:val="00934206"/>
    <w:rsid w:val="009348C7"/>
    <w:rsid w:val="00934F9B"/>
    <w:rsid w:val="00935266"/>
    <w:rsid w:val="00935E43"/>
    <w:rsid w:val="0093661D"/>
    <w:rsid w:val="009420DD"/>
    <w:rsid w:val="00942400"/>
    <w:rsid w:val="009431F0"/>
    <w:rsid w:val="009511DB"/>
    <w:rsid w:val="00952633"/>
    <w:rsid w:val="009544D7"/>
    <w:rsid w:val="0095465F"/>
    <w:rsid w:val="00957664"/>
    <w:rsid w:val="009603A0"/>
    <w:rsid w:val="009625B9"/>
    <w:rsid w:val="00963206"/>
    <w:rsid w:val="0096335A"/>
    <w:rsid w:val="00963F3A"/>
    <w:rsid w:val="009641F9"/>
    <w:rsid w:val="00964D4A"/>
    <w:rsid w:val="00965F81"/>
    <w:rsid w:val="00966761"/>
    <w:rsid w:val="00967393"/>
    <w:rsid w:val="00967AEC"/>
    <w:rsid w:val="00972DE6"/>
    <w:rsid w:val="00973FA1"/>
    <w:rsid w:val="00974B7C"/>
    <w:rsid w:val="00975E3A"/>
    <w:rsid w:val="009839B6"/>
    <w:rsid w:val="0098478C"/>
    <w:rsid w:val="00984C20"/>
    <w:rsid w:val="00984D72"/>
    <w:rsid w:val="00985515"/>
    <w:rsid w:val="009863C4"/>
    <w:rsid w:val="00990D4B"/>
    <w:rsid w:val="009914A4"/>
    <w:rsid w:val="00991AEB"/>
    <w:rsid w:val="00992539"/>
    <w:rsid w:val="009939F9"/>
    <w:rsid w:val="00995519"/>
    <w:rsid w:val="009956C1"/>
    <w:rsid w:val="009A0B7F"/>
    <w:rsid w:val="009A0FC4"/>
    <w:rsid w:val="009A1AC0"/>
    <w:rsid w:val="009A7946"/>
    <w:rsid w:val="009A7971"/>
    <w:rsid w:val="009A7A10"/>
    <w:rsid w:val="009A7BD0"/>
    <w:rsid w:val="009A7C96"/>
    <w:rsid w:val="009B03A5"/>
    <w:rsid w:val="009B06DE"/>
    <w:rsid w:val="009B112D"/>
    <w:rsid w:val="009B2B2C"/>
    <w:rsid w:val="009C112E"/>
    <w:rsid w:val="009C1472"/>
    <w:rsid w:val="009C2E25"/>
    <w:rsid w:val="009C32F0"/>
    <w:rsid w:val="009C38D7"/>
    <w:rsid w:val="009C45A9"/>
    <w:rsid w:val="009C5350"/>
    <w:rsid w:val="009C6298"/>
    <w:rsid w:val="009C72B6"/>
    <w:rsid w:val="009D0030"/>
    <w:rsid w:val="009D1849"/>
    <w:rsid w:val="009D231D"/>
    <w:rsid w:val="009D4A71"/>
    <w:rsid w:val="009D4AF1"/>
    <w:rsid w:val="009D5315"/>
    <w:rsid w:val="009D73EA"/>
    <w:rsid w:val="009E1B45"/>
    <w:rsid w:val="009E30D6"/>
    <w:rsid w:val="009E5E03"/>
    <w:rsid w:val="009F05AA"/>
    <w:rsid w:val="009F2C9C"/>
    <w:rsid w:val="009F2D81"/>
    <w:rsid w:val="009F397D"/>
    <w:rsid w:val="009F3A73"/>
    <w:rsid w:val="009F4582"/>
    <w:rsid w:val="009F5284"/>
    <w:rsid w:val="009F5867"/>
    <w:rsid w:val="00A0066E"/>
    <w:rsid w:val="00A01587"/>
    <w:rsid w:val="00A02E10"/>
    <w:rsid w:val="00A061B5"/>
    <w:rsid w:val="00A1196A"/>
    <w:rsid w:val="00A11EEA"/>
    <w:rsid w:val="00A12B35"/>
    <w:rsid w:val="00A13700"/>
    <w:rsid w:val="00A13BD9"/>
    <w:rsid w:val="00A145BE"/>
    <w:rsid w:val="00A148DF"/>
    <w:rsid w:val="00A161AB"/>
    <w:rsid w:val="00A17BFE"/>
    <w:rsid w:val="00A20D73"/>
    <w:rsid w:val="00A21805"/>
    <w:rsid w:val="00A2264C"/>
    <w:rsid w:val="00A23959"/>
    <w:rsid w:val="00A32406"/>
    <w:rsid w:val="00A33ADE"/>
    <w:rsid w:val="00A33F21"/>
    <w:rsid w:val="00A3449D"/>
    <w:rsid w:val="00A34E3A"/>
    <w:rsid w:val="00A37419"/>
    <w:rsid w:val="00A400A5"/>
    <w:rsid w:val="00A40177"/>
    <w:rsid w:val="00A41AA1"/>
    <w:rsid w:val="00A42E6D"/>
    <w:rsid w:val="00A43E03"/>
    <w:rsid w:val="00A44207"/>
    <w:rsid w:val="00A44896"/>
    <w:rsid w:val="00A452C0"/>
    <w:rsid w:val="00A45596"/>
    <w:rsid w:val="00A46055"/>
    <w:rsid w:val="00A4739E"/>
    <w:rsid w:val="00A5032B"/>
    <w:rsid w:val="00A50998"/>
    <w:rsid w:val="00A51F53"/>
    <w:rsid w:val="00A52CF4"/>
    <w:rsid w:val="00A533BE"/>
    <w:rsid w:val="00A54C3B"/>
    <w:rsid w:val="00A55409"/>
    <w:rsid w:val="00A56348"/>
    <w:rsid w:val="00A639A3"/>
    <w:rsid w:val="00A656CB"/>
    <w:rsid w:val="00A70A10"/>
    <w:rsid w:val="00A7171B"/>
    <w:rsid w:val="00A72161"/>
    <w:rsid w:val="00A75C16"/>
    <w:rsid w:val="00A776C7"/>
    <w:rsid w:val="00A77B0B"/>
    <w:rsid w:val="00A80EE2"/>
    <w:rsid w:val="00A81241"/>
    <w:rsid w:val="00A82DA8"/>
    <w:rsid w:val="00A8456B"/>
    <w:rsid w:val="00A85061"/>
    <w:rsid w:val="00A8569D"/>
    <w:rsid w:val="00A85835"/>
    <w:rsid w:val="00A909B8"/>
    <w:rsid w:val="00A90C67"/>
    <w:rsid w:val="00A91AB3"/>
    <w:rsid w:val="00A93DE9"/>
    <w:rsid w:val="00A9403E"/>
    <w:rsid w:val="00A94524"/>
    <w:rsid w:val="00A9594C"/>
    <w:rsid w:val="00A96AD8"/>
    <w:rsid w:val="00AA02B7"/>
    <w:rsid w:val="00AA76EF"/>
    <w:rsid w:val="00AA79B3"/>
    <w:rsid w:val="00AB0A10"/>
    <w:rsid w:val="00AB1580"/>
    <w:rsid w:val="00AB1801"/>
    <w:rsid w:val="00AB1D50"/>
    <w:rsid w:val="00AB1E46"/>
    <w:rsid w:val="00AB21D9"/>
    <w:rsid w:val="00AB48CF"/>
    <w:rsid w:val="00AB4F49"/>
    <w:rsid w:val="00AB5688"/>
    <w:rsid w:val="00AC276A"/>
    <w:rsid w:val="00AC286D"/>
    <w:rsid w:val="00AC4332"/>
    <w:rsid w:val="00AC6A00"/>
    <w:rsid w:val="00AC76AC"/>
    <w:rsid w:val="00AD0D6A"/>
    <w:rsid w:val="00AD19D3"/>
    <w:rsid w:val="00AD38EA"/>
    <w:rsid w:val="00AD45D4"/>
    <w:rsid w:val="00AD6FB5"/>
    <w:rsid w:val="00AE0FD8"/>
    <w:rsid w:val="00AE4933"/>
    <w:rsid w:val="00AF07AB"/>
    <w:rsid w:val="00AF0CC2"/>
    <w:rsid w:val="00B04473"/>
    <w:rsid w:val="00B05621"/>
    <w:rsid w:val="00B07BA1"/>
    <w:rsid w:val="00B10CA2"/>
    <w:rsid w:val="00B119D4"/>
    <w:rsid w:val="00B12420"/>
    <w:rsid w:val="00B13CC2"/>
    <w:rsid w:val="00B17713"/>
    <w:rsid w:val="00B20818"/>
    <w:rsid w:val="00B229C6"/>
    <w:rsid w:val="00B22DED"/>
    <w:rsid w:val="00B24D4F"/>
    <w:rsid w:val="00B27E13"/>
    <w:rsid w:val="00B31192"/>
    <w:rsid w:val="00B363B1"/>
    <w:rsid w:val="00B36E20"/>
    <w:rsid w:val="00B40079"/>
    <w:rsid w:val="00B409CB"/>
    <w:rsid w:val="00B40BE4"/>
    <w:rsid w:val="00B423F2"/>
    <w:rsid w:val="00B438D0"/>
    <w:rsid w:val="00B46E60"/>
    <w:rsid w:val="00B473EA"/>
    <w:rsid w:val="00B47436"/>
    <w:rsid w:val="00B4769C"/>
    <w:rsid w:val="00B47800"/>
    <w:rsid w:val="00B50810"/>
    <w:rsid w:val="00B51472"/>
    <w:rsid w:val="00B543B7"/>
    <w:rsid w:val="00B55519"/>
    <w:rsid w:val="00B55648"/>
    <w:rsid w:val="00B56FBE"/>
    <w:rsid w:val="00B571C4"/>
    <w:rsid w:val="00B6346A"/>
    <w:rsid w:val="00B65FD4"/>
    <w:rsid w:val="00B66CDC"/>
    <w:rsid w:val="00B7064B"/>
    <w:rsid w:val="00B714C9"/>
    <w:rsid w:val="00B75556"/>
    <w:rsid w:val="00B7614A"/>
    <w:rsid w:val="00B774FF"/>
    <w:rsid w:val="00B82C23"/>
    <w:rsid w:val="00B82E0B"/>
    <w:rsid w:val="00B83210"/>
    <w:rsid w:val="00B83AE5"/>
    <w:rsid w:val="00B86FA5"/>
    <w:rsid w:val="00B92B82"/>
    <w:rsid w:val="00B94742"/>
    <w:rsid w:val="00B972C9"/>
    <w:rsid w:val="00BA4DAA"/>
    <w:rsid w:val="00BA728D"/>
    <w:rsid w:val="00BB12D1"/>
    <w:rsid w:val="00BB18E0"/>
    <w:rsid w:val="00BB31FA"/>
    <w:rsid w:val="00BC16BF"/>
    <w:rsid w:val="00BC2610"/>
    <w:rsid w:val="00BC2A9F"/>
    <w:rsid w:val="00BC3F53"/>
    <w:rsid w:val="00BC4178"/>
    <w:rsid w:val="00BC5690"/>
    <w:rsid w:val="00BC62DF"/>
    <w:rsid w:val="00BC68EE"/>
    <w:rsid w:val="00BC6E11"/>
    <w:rsid w:val="00BC75F8"/>
    <w:rsid w:val="00BC78D3"/>
    <w:rsid w:val="00BD043B"/>
    <w:rsid w:val="00BD1C5C"/>
    <w:rsid w:val="00BD238B"/>
    <w:rsid w:val="00BD447A"/>
    <w:rsid w:val="00BD4E5D"/>
    <w:rsid w:val="00BD60E0"/>
    <w:rsid w:val="00BD6C56"/>
    <w:rsid w:val="00BD7F45"/>
    <w:rsid w:val="00BE5B13"/>
    <w:rsid w:val="00BE63D4"/>
    <w:rsid w:val="00BF1744"/>
    <w:rsid w:val="00BF38FF"/>
    <w:rsid w:val="00BF4D9C"/>
    <w:rsid w:val="00C01A42"/>
    <w:rsid w:val="00C04A6A"/>
    <w:rsid w:val="00C0663B"/>
    <w:rsid w:val="00C06663"/>
    <w:rsid w:val="00C06BC5"/>
    <w:rsid w:val="00C07DD8"/>
    <w:rsid w:val="00C106E3"/>
    <w:rsid w:val="00C130EE"/>
    <w:rsid w:val="00C16DDB"/>
    <w:rsid w:val="00C21404"/>
    <w:rsid w:val="00C218D1"/>
    <w:rsid w:val="00C22373"/>
    <w:rsid w:val="00C22623"/>
    <w:rsid w:val="00C22928"/>
    <w:rsid w:val="00C31303"/>
    <w:rsid w:val="00C314F1"/>
    <w:rsid w:val="00C32ECF"/>
    <w:rsid w:val="00C335F7"/>
    <w:rsid w:val="00C33DF8"/>
    <w:rsid w:val="00C34786"/>
    <w:rsid w:val="00C34C77"/>
    <w:rsid w:val="00C3556D"/>
    <w:rsid w:val="00C3580B"/>
    <w:rsid w:val="00C36304"/>
    <w:rsid w:val="00C408ED"/>
    <w:rsid w:val="00C425FD"/>
    <w:rsid w:val="00C42CE7"/>
    <w:rsid w:val="00C45A63"/>
    <w:rsid w:val="00C45D48"/>
    <w:rsid w:val="00C470AD"/>
    <w:rsid w:val="00C473B6"/>
    <w:rsid w:val="00C5056C"/>
    <w:rsid w:val="00C50698"/>
    <w:rsid w:val="00C54C13"/>
    <w:rsid w:val="00C55AF4"/>
    <w:rsid w:val="00C56852"/>
    <w:rsid w:val="00C576C3"/>
    <w:rsid w:val="00C57A45"/>
    <w:rsid w:val="00C634B6"/>
    <w:rsid w:val="00C702DE"/>
    <w:rsid w:val="00C7050D"/>
    <w:rsid w:val="00C70BEF"/>
    <w:rsid w:val="00C70FA4"/>
    <w:rsid w:val="00C7302C"/>
    <w:rsid w:val="00C75018"/>
    <w:rsid w:val="00C7595B"/>
    <w:rsid w:val="00C75D19"/>
    <w:rsid w:val="00C76A7D"/>
    <w:rsid w:val="00C82596"/>
    <w:rsid w:val="00C839CD"/>
    <w:rsid w:val="00C8526E"/>
    <w:rsid w:val="00C870B3"/>
    <w:rsid w:val="00C87385"/>
    <w:rsid w:val="00C874CB"/>
    <w:rsid w:val="00C878C6"/>
    <w:rsid w:val="00C9376B"/>
    <w:rsid w:val="00C93B5F"/>
    <w:rsid w:val="00C964D7"/>
    <w:rsid w:val="00C966BB"/>
    <w:rsid w:val="00CA0976"/>
    <w:rsid w:val="00CA104E"/>
    <w:rsid w:val="00CA1924"/>
    <w:rsid w:val="00CA30DF"/>
    <w:rsid w:val="00CA5A9F"/>
    <w:rsid w:val="00CA5B44"/>
    <w:rsid w:val="00CB4BF9"/>
    <w:rsid w:val="00CB5212"/>
    <w:rsid w:val="00CB5862"/>
    <w:rsid w:val="00CB5B76"/>
    <w:rsid w:val="00CB608F"/>
    <w:rsid w:val="00CB6D42"/>
    <w:rsid w:val="00CC2FA5"/>
    <w:rsid w:val="00CC70FF"/>
    <w:rsid w:val="00CC7DD5"/>
    <w:rsid w:val="00CC7FB8"/>
    <w:rsid w:val="00CD0E08"/>
    <w:rsid w:val="00CD2B42"/>
    <w:rsid w:val="00CD33F7"/>
    <w:rsid w:val="00CD5F79"/>
    <w:rsid w:val="00CE0D5E"/>
    <w:rsid w:val="00CE0EA7"/>
    <w:rsid w:val="00CE108B"/>
    <w:rsid w:val="00CE1C2B"/>
    <w:rsid w:val="00CE2318"/>
    <w:rsid w:val="00CE2990"/>
    <w:rsid w:val="00CE6A7A"/>
    <w:rsid w:val="00CE6BD6"/>
    <w:rsid w:val="00CF0716"/>
    <w:rsid w:val="00CF3EAF"/>
    <w:rsid w:val="00CF534A"/>
    <w:rsid w:val="00CF65B2"/>
    <w:rsid w:val="00CF795E"/>
    <w:rsid w:val="00D00C19"/>
    <w:rsid w:val="00D01C82"/>
    <w:rsid w:val="00D03726"/>
    <w:rsid w:val="00D03EAB"/>
    <w:rsid w:val="00D0482D"/>
    <w:rsid w:val="00D051F3"/>
    <w:rsid w:val="00D11C4F"/>
    <w:rsid w:val="00D11F5E"/>
    <w:rsid w:val="00D134E6"/>
    <w:rsid w:val="00D13554"/>
    <w:rsid w:val="00D167B9"/>
    <w:rsid w:val="00D16B7B"/>
    <w:rsid w:val="00D17C12"/>
    <w:rsid w:val="00D2028E"/>
    <w:rsid w:val="00D20BE2"/>
    <w:rsid w:val="00D210A2"/>
    <w:rsid w:val="00D22475"/>
    <w:rsid w:val="00D22BE8"/>
    <w:rsid w:val="00D23130"/>
    <w:rsid w:val="00D2370D"/>
    <w:rsid w:val="00D2390F"/>
    <w:rsid w:val="00D248F8"/>
    <w:rsid w:val="00D25F73"/>
    <w:rsid w:val="00D270A6"/>
    <w:rsid w:val="00D27953"/>
    <w:rsid w:val="00D311B7"/>
    <w:rsid w:val="00D31AF1"/>
    <w:rsid w:val="00D32DC1"/>
    <w:rsid w:val="00D3620B"/>
    <w:rsid w:val="00D40FFE"/>
    <w:rsid w:val="00D4175B"/>
    <w:rsid w:val="00D418A1"/>
    <w:rsid w:val="00D42070"/>
    <w:rsid w:val="00D50CF9"/>
    <w:rsid w:val="00D50FB8"/>
    <w:rsid w:val="00D51F97"/>
    <w:rsid w:val="00D52C1F"/>
    <w:rsid w:val="00D532FF"/>
    <w:rsid w:val="00D535DD"/>
    <w:rsid w:val="00D60010"/>
    <w:rsid w:val="00D61584"/>
    <w:rsid w:val="00D631FE"/>
    <w:rsid w:val="00D653FF"/>
    <w:rsid w:val="00D65636"/>
    <w:rsid w:val="00D65F30"/>
    <w:rsid w:val="00D661BB"/>
    <w:rsid w:val="00D665E5"/>
    <w:rsid w:val="00D668A1"/>
    <w:rsid w:val="00D71C0D"/>
    <w:rsid w:val="00D765D3"/>
    <w:rsid w:val="00D769B3"/>
    <w:rsid w:val="00D77E88"/>
    <w:rsid w:val="00D77FD9"/>
    <w:rsid w:val="00D80AEA"/>
    <w:rsid w:val="00D833EE"/>
    <w:rsid w:val="00D8430C"/>
    <w:rsid w:val="00D84739"/>
    <w:rsid w:val="00D87BF4"/>
    <w:rsid w:val="00D93065"/>
    <w:rsid w:val="00D93648"/>
    <w:rsid w:val="00D94D00"/>
    <w:rsid w:val="00D94E30"/>
    <w:rsid w:val="00D95949"/>
    <w:rsid w:val="00D95AA6"/>
    <w:rsid w:val="00D9768C"/>
    <w:rsid w:val="00DA08AB"/>
    <w:rsid w:val="00DA099F"/>
    <w:rsid w:val="00DA2F36"/>
    <w:rsid w:val="00DA7273"/>
    <w:rsid w:val="00DA7E58"/>
    <w:rsid w:val="00DB25CD"/>
    <w:rsid w:val="00DB3F0E"/>
    <w:rsid w:val="00DC0FCD"/>
    <w:rsid w:val="00DC4EED"/>
    <w:rsid w:val="00DC68B8"/>
    <w:rsid w:val="00DC692D"/>
    <w:rsid w:val="00DD0421"/>
    <w:rsid w:val="00DD0705"/>
    <w:rsid w:val="00DD12B8"/>
    <w:rsid w:val="00DD1388"/>
    <w:rsid w:val="00DD3D7D"/>
    <w:rsid w:val="00DD45C7"/>
    <w:rsid w:val="00DD4B2C"/>
    <w:rsid w:val="00DD5E65"/>
    <w:rsid w:val="00DD6354"/>
    <w:rsid w:val="00DE0019"/>
    <w:rsid w:val="00DE3F7C"/>
    <w:rsid w:val="00DE44CC"/>
    <w:rsid w:val="00DE497C"/>
    <w:rsid w:val="00DE5938"/>
    <w:rsid w:val="00DF234B"/>
    <w:rsid w:val="00DF40E7"/>
    <w:rsid w:val="00DF4203"/>
    <w:rsid w:val="00DF69F3"/>
    <w:rsid w:val="00E02134"/>
    <w:rsid w:val="00E07039"/>
    <w:rsid w:val="00E0761E"/>
    <w:rsid w:val="00E07F68"/>
    <w:rsid w:val="00E10E64"/>
    <w:rsid w:val="00E156E0"/>
    <w:rsid w:val="00E15A58"/>
    <w:rsid w:val="00E17EB8"/>
    <w:rsid w:val="00E20873"/>
    <w:rsid w:val="00E20D13"/>
    <w:rsid w:val="00E22023"/>
    <w:rsid w:val="00E239A6"/>
    <w:rsid w:val="00E23DC3"/>
    <w:rsid w:val="00E2510B"/>
    <w:rsid w:val="00E25A03"/>
    <w:rsid w:val="00E305D9"/>
    <w:rsid w:val="00E308FA"/>
    <w:rsid w:val="00E30BE2"/>
    <w:rsid w:val="00E3493B"/>
    <w:rsid w:val="00E363A6"/>
    <w:rsid w:val="00E378E5"/>
    <w:rsid w:val="00E41CA7"/>
    <w:rsid w:val="00E427B5"/>
    <w:rsid w:val="00E4388A"/>
    <w:rsid w:val="00E4493D"/>
    <w:rsid w:val="00E452BE"/>
    <w:rsid w:val="00E50E0E"/>
    <w:rsid w:val="00E546D8"/>
    <w:rsid w:val="00E54802"/>
    <w:rsid w:val="00E54AB8"/>
    <w:rsid w:val="00E56A86"/>
    <w:rsid w:val="00E57A45"/>
    <w:rsid w:val="00E632C0"/>
    <w:rsid w:val="00E6394E"/>
    <w:rsid w:val="00E65F1C"/>
    <w:rsid w:val="00E66118"/>
    <w:rsid w:val="00E6789C"/>
    <w:rsid w:val="00E71015"/>
    <w:rsid w:val="00E7205D"/>
    <w:rsid w:val="00E76962"/>
    <w:rsid w:val="00E77F00"/>
    <w:rsid w:val="00E800CE"/>
    <w:rsid w:val="00E8158C"/>
    <w:rsid w:val="00E850CF"/>
    <w:rsid w:val="00E87E63"/>
    <w:rsid w:val="00E902AE"/>
    <w:rsid w:val="00E905F7"/>
    <w:rsid w:val="00E906A9"/>
    <w:rsid w:val="00E90846"/>
    <w:rsid w:val="00E9555B"/>
    <w:rsid w:val="00E961A3"/>
    <w:rsid w:val="00E96667"/>
    <w:rsid w:val="00E971CC"/>
    <w:rsid w:val="00E97471"/>
    <w:rsid w:val="00E9785E"/>
    <w:rsid w:val="00EA0F52"/>
    <w:rsid w:val="00EA0FE5"/>
    <w:rsid w:val="00EA1389"/>
    <w:rsid w:val="00EA188D"/>
    <w:rsid w:val="00EA1F98"/>
    <w:rsid w:val="00EA269A"/>
    <w:rsid w:val="00EA33E3"/>
    <w:rsid w:val="00EB00D2"/>
    <w:rsid w:val="00EB3C0B"/>
    <w:rsid w:val="00EB621E"/>
    <w:rsid w:val="00EC1337"/>
    <w:rsid w:val="00EC1587"/>
    <w:rsid w:val="00EC1876"/>
    <w:rsid w:val="00EC28BD"/>
    <w:rsid w:val="00EC3C4F"/>
    <w:rsid w:val="00EC4CC2"/>
    <w:rsid w:val="00ED3401"/>
    <w:rsid w:val="00ED4860"/>
    <w:rsid w:val="00ED693D"/>
    <w:rsid w:val="00EE2803"/>
    <w:rsid w:val="00EE341E"/>
    <w:rsid w:val="00EE3C85"/>
    <w:rsid w:val="00EE4FA0"/>
    <w:rsid w:val="00EE62F8"/>
    <w:rsid w:val="00EE6E24"/>
    <w:rsid w:val="00EF0357"/>
    <w:rsid w:val="00EF066A"/>
    <w:rsid w:val="00EF1D8D"/>
    <w:rsid w:val="00EF39C2"/>
    <w:rsid w:val="00EF3C96"/>
    <w:rsid w:val="00EF4900"/>
    <w:rsid w:val="00EF5219"/>
    <w:rsid w:val="00EF78AB"/>
    <w:rsid w:val="00F0040D"/>
    <w:rsid w:val="00F01A6D"/>
    <w:rsid w:val="00F03D01"/>
    <w:rsid w:val="00F04C92"/>
    <w:rsid w:val="00F0539A"/>
    <w:rsid w:val="00F134B3"/>
    <w:rsid w:val="00F14DEB"/>
    <w:rsid w:val="00F1589D"/>
    <w:rsid w:val="00F2126A"/>
    <w:rsid w:val="00F2400C"/>
    <w:rsid w:val="00F31224"/>
    <w:rsid w:val="00F35240"/>
    <w:rsid w:val="00F357B5"/>
    <w:rsid w:val="00F40761"/>
    <w:rsid w:val="00F41D6F"/>
    <w:rsid w:val="00F42C91"/>
    <w:rsid w:val="00F44066"/>
    <w:rsid w:val="00F45C84"/>
    <w:rsid w:val="00F46E1F"/>
    <w:rsid w:val="00F47120"/>
    <w:rsid w:val="00F4788D"/>
    <w:rsid w:val="00F504A1"/>
    <w:rsid w:val="00F525A9"/>
    <w:rsid w:val="00F537C1"/>
    <w:rsid w:val="00F537D5"/>
    <w:rsid w:val="00F54EE6"/>
    <w:rsid w:val="00F551A9"/>
    <w:rsid w:val="00F5703A"/>
    <w:rsid w:val="00F61A4A"/>
    <w:rsid w:val="00F61B53"/>
    <w:rsid w:val="00F628DE"/>
    <w:rsid w:val="00F6340C"/>
    <w:rsid w:val="00F64739"/>
    <w:rsid w:val="00F660EA"/>
    <w:rsid w:val="00F663C1"/>
    <w:rsid w:val="00F66FBA"/>
    <w:rsid w:val="00F67678"/>
    <w:rsid w:val="00F702CA"/>
    <w:rsid w:val="00F7156C"/>
    <w:rsid w:val="00F71AD1"/>
    <w:rsid w:val="00F74326"/>
    <w:rsid w:val="00F75BC3"/>
    <w:rsid w:val="00F77D2B"/>
    <w:rsid w:val="00F86E8E"/>
    <w:rsid w:val="00F92B65"/>
    <w:rsid w:val="00F943A2"/>
    <w:rsid w:val="00F9527D"/>
    <w:rsid w:val="00F9714E"/>
    <w:rsid w:val="00FA04CC"/>
    <w:rsid w:val="00FA0EA3"/>
    <w:rsid w:val="00FA2DA6"/>
    <w:rsid w:val="00FA71F1"/>
    <w:rsid w:val="00FA760F"/>
    <w:rsid w:val="00FB156D"/>
    <w:rsid w:val="00FB48B8"/>
    <w:rsid w:val="00FB565D"/>
    <w:rsid w:val="00FB7CF5"/>
    <w:rsid w:val="00FC06FC"/>
    <w:rsid w:val="00FC31A6"/>
    <w:rsid w:val="00FC478E"/>
    <w:rsid w:val="00FC4AAB"/>
    <w:rsid w:val="00FC67BA"/>
    <w:rsid w:val="00FC6B10"/>
    <w:rsid w:val="00FD3B61"/>
    <w:rsid w:val="00FD61AA"/>
    <w:rsid w:val="00FE28E5"/>
    <w:rsid w:val="00FE3F20"/>
    <w:rsid w:val="00FE46D4"/>
    <w:rsid w:val="00FE5B57"/>
    <w:rsid w:val="00FF41BC"/>
    <w:rsid w:val="00FF53D6"/>
    <w:rsid w:val="00FF69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18974AA"/>
  <w15:chartTrackingRefBased/>
  <w15:docId w15:val="{FF9C99FD-4269-418D-B20A-303E688F9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17AF"/>
    <w:pPr>
      <w:spacing w:line="360" w:lineRule="auto"/>
    </w:pPr>
    <w:rPr>
      <w:rFonts w:ascii="Times New Roman" w:hAnsi="Times New Roman"/>
      <w:sz w:val="24"/>
    </w:rPr>
  </w:style>
  <w:style w:type="paragraph" w:styleId="Heading1">
    <w:name w:val="heading 1"/>
    <w:basedOn w:val="Normal"/>
    <w:next w:val="Normal"/>
    <w:link w:val="Heading1Char"/>
    <w:uiPriority w:val="9"/>
    <w:qFormat/>
    <w:rsid w:val="006B17AF"/>
    <w:pPr>
      <w:keepNext/>
      <w:keepLines/>
      <w:spacing w:before="240" w:after="240" w:line="240" w:lineRule="auto"/>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686DEB"/>
    <w:pPr>
      <w:keepNext/>
      <w:keepLines/>
      <w:spacing w:before="240" w:after="240" w:line="240" w:lineRule="auto"/>
      <w:outlineLvl w:val="1"/>
    </w:pPr>
    <w:rPr>
      <w:rFonts w:eastAsiaTheme="majorEastAsia" w:cstheme="majorBidi"/>
      <w:b/>
      <w:i/>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3B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783B0C"/>
  </w:style>
  <w:style w:type="paragraph" w:styleId="Footer">
    <w:name w:val="footer"/>
    <w:basedOn w:val="Normal"/>
    <w:link w:val="FooterChar"/>
    <w:uiPriority w:val="99"/>
    <w:unhideWhenUsed/>
    <w:rsid w:val="00783B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783B0C"/>
  </w:style>
  <w:style w:type="character" w:customStyle="1" w:styleId="Heading1Char">
    <w:name w:val="Heading 1 Char"/>
    <w:basedOn w:val="DefaultParagraphFont"/>
    <w:link w:val="Heading1"/>
    <w:uiPriority w:val="9"/>
    <w:rsid w:val="006B17AF"/>
    <w:rPr>
      <w:rFonts w:ascii="Times New Roman" w:eastAsiaTheme="majorEastAsia" w:hAnsi="Times New Roman" w:cstheme="majorBidi"/>
      <w:b/>
      <w:sz w:val="24"/>
      <w:szCs w:val="32"/>
    </w:rPr>
  </w:style>
  <w:style w:type="character" w:styleId="Hyperlink">
    <w:name w:val="Hyperlink"/>
    <w:basedOn w:val="DefaultParagraphFont"/>
    <w:uiPriority w:val="99"/>
    <w:unhideWhenUsed/>
    <w:rsid w:val="008722F8"/>
    <w:rPr>
      <w:color w:val="0563C1" w:themeColor="hyperlink"/>
      <w:u w:val="single"/>
    </w:rPr>
  </w:style>
  <w:style w:type="character" w:customStyle="1" w:styleId="UnresolvedMention1">
    <w:name w:val="Unresolved Mention1"/>
    <w:basedOn w:val="DefaultParagraphFont"/>
    <w:uiPriority w:val="99"/>
    <w:semiHidden/>
    <w:unhideWhenUsed/>
    <w:rsid w:val="008722F8"/>
    <w:rPr>
      <w:color w:val="605E5C"/>
      <w:shd w:val="clear" w:color="auto" w:fill="E1DFDD"/>
    </w:rPr>
  </w:style>
  <w:style w:type="character" w:styleId="CommentReference">
    <w:name w:val="annotation reference"/>
    <w:basedOn w:val="DefaultParagraphFont"/>
    <w:uiPriority w:val="99"/>
    <w:semiHidden/>
    <w:unhideWhenUsed/>
    <w:rsid w:val="005F2A4A"/>
    <w:rPr>
      <w:sz w:val="16"/>
      <w:szCs w:val="16"/>
    </w:rPr>
  </w:style>
  <w:style w:type="paragraph" w:styleId="CommentText">
    <w:name w:val="annotation text"/>
    <w:basedOn w:val="Normal"/>
    <w:link w:val="CommentTextChar"/>
    <w:uiPriority w:val="99"/>
    <w:unhideWhenUsed/>
    <w:rsid w:val="005F2A4A"/>
    <w:pPr>
      <w:spacing w:line="240" w:lineRule="auto"/>
    </w:pPr>
    <w:rPr>
      <w:sz w:val="20"/>
      <w:szCs w:val="20"/>
    </w:rPr>
  </w:style>
  <w:style w:type="character" w:customStyle="1" w:styleId="CommentTextChar">
    <w:name w:val="Comment Text Char"/>
    <w:basedOn w:val="DefaultParagraphFont"/>
    <w:link w:val="CommentText"/>
    <w:uiPriority w:val="99"/>
    <w:rsid w:val="005F2A4A"/>
    <w:rPr>
      <w:sz w:val="20"/>
      <w:szCs w:val="20"/>
    </w:rPr>
  </w:style>
  <w:style w:type="paragraph" w:styleId="CommentSubject">
    <w:name w:val="annotation subject"/>
    <w:basedOn w:val="CommentText"/>
    <w:next w:val="CommentText"/>
    <w:link w:val="CommentSubjectChar"/>
    <w:uiPriority w:val="99"/>
    <w:semiHidden/>
    <w:unhideWhenUsed/>
    <w:rsid w:val="005F2A4A"/>
    <w:rPr>
      <w:b/>
      <w:bCs/>
    </w:rPr>
  </w:style>
  <w:style w:type="character" w:customStyle="1" w:styleId="CommentSubjectChar">
    <w:name w:val="Comment Subject Char"/>
    <w:basedOn w:val="CommentTextChar"/>
    <w:link w:val="CommentSubject"/>
    <w:uiPriority w:val="99"/>
    <w:semiHidden/>
    <w:rsid w:val="005F2A4A"/>
    <w:rPr>
      <w:b/>
      <w:bCs/>
      <w:sz w:val="20"/>
      <w:szCs w:val="20"/>
    </w:rPr>
  </w:style>
  <w:style w:type="paragraph" w:styleId="BalloonText">
    <w:name w:val="Balloon Text"/>
    <w:basedOn w:val="Normal"/>
    <w:link w:val="BalloonTextChar"/>
    <w:uiPriority w:val="99"/>
    <w:semiHidden/>
    <w:unhideWhenUsed/>
    <w:rsid w:val="005F2A4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F2A4A"/>
    <w:rPr>
      <w:rFonts w:ascii="Segoe UI" w:hAnsi="Segoe UI" w:cs="Segoe UI"/>
      <w:sz w:val="18"/>
      <w:szCs w:val="18"/>
    </w:rPr>
  </w:style>
  <w:style w:type="character" w:customStyle="1" w:styleId="Heading2Char">
    <w:name w:val="Heading 2 Char"/>
    <w:basedOn w:val="DefaultParagraphFont"/>
    <w:link w:val="Heading2"/>
    <w:uiPriority w:val="9"/>
    <w:rsid w:val="00686DEB"/>
    <w:rPr>
      <w:rFonts w:ascii="Times New Roman" w:eastAsiaTheme="majorEastAsia" w:hAnsi="Times New Roman" w:cstheme="majorBidi"/>
      <w:b/>
      <w:i/>
      <w:sz w:val="24"/>
      <w:szCs w:val="26"/>
    </w:rPr>
  </w:style>
  <w:style w:type="paragraph" w:styleId="ListParagraph">
    <w:name w:val="List Paragraph"/>
    <w:basedOn w:val="Normal"/>
    <w:uiPriority w:val="34"/>
    <w:qFormat/>
    <w:rsid w:val="007F6B95"/>
    <w:pPr>
      <w:ind w:left="720"/>
      <w:contextualSpacing/>
    </w:pPr>
  </w:style>
  <w:style w:type="character" w:customStyle="1" w:styleId="UnresolvedMention2">
    <w:name w:val="Unresolved Mention2"/>
    <w:basedOn w:val="DefaultParagraphFont"/>
    <w:uiPriority w:val="99"/>
    <w:semiHidden/>
    <w:unhideWhenUsed/>
    <w:rsid w:val="00E156E0"/>
    <w:rPr>
      <w:color w:val="605E5C"/>
      <w:shd w:val="clear" w:color="auto" w:fill="E1DFDD"/>
    </w:rPr>
  </w:style>
  <w:style w:type="paragraph" w:styleId="Title">
    <w:name w:val="Title"/>
    <w:basedOn w:val="Normal"/>
    <w:next w:val="Normal"/>
    <w:link w:val="TitleChar"/>
    <w:uiPriority w:val="10"/>
    <w:qFormat/>
    <w:rsid w:val="006B17AF"/>
    <w:pPr>
      <w:spacing w:after="0" w:line="240" w:lineRule="auto"/>
      <w:contextualSpacing/>
    </w:pPr>
    <w:rPr>
      <w:rFonts w:eastAsiaTheme="majorEastAsia" w:cstheme="majorBidi"/>
      <w:b/>
      <w:spacing w:val="-10"/>
      <w:kern w:val="28"/>
      <w:sz w:val="36"/>
      <w:szCs w:val="56"/>
    </w:rPr>
  </w:style>
  <w:style w:type="character" w:customStyle="1" w:styleId="TitleChar">
    <w:name w:val="Title Char"/>
    <w:basedOn w:val="DefaultParagraphFont"/>
    <w:link w:val="Title"/>
    <w:uiPriority w:val="10"/>
    <w:rsid w:val="006B17AF"/>
    <w:rPr>
      <w:rFonts w:ascii="Times New Roman" w:eastAsiaTheme="majorEastAsia" w:hAnsi="Times New Roman" w:cstheme="majorBidi"/>
      <w:b/>
      <w:spacing w:val="-10"/>
      <w:kern w:val="28"/>
      <w:sz w:val="36"/>
      <w:szCs w:val="56"/>
    </w:rPr>
  </w:style>
  <w:style w:type="character" w:customStyle="1" w:styleId="UnresolvedMention3">
    <w:name w:val="Unresolved Mention3"/>
    <w:basedOn w:val="DefaultParagraphFont"/>
    <w:uiPriority w:val="99"/>
    <w:semiHidden/>
    <w:unhideWhenUsed/>
    <w:rsid w:val="00AD38EA"/>
    <w:rPr>
      <w:color w:val="605E5C"/>
      <w:shd w:val="clear" w:color="auto" w:fill="E1DFDD"/>
    </w:rPr>
  </w:style>
  <w:style w:type="character" w:customStyle="1" w:styleId="apple-converted-space">
    <w:name w:val="apple-converted-space"/>
    <w:basedOn w:val="DefaultParagraphFont"/>
    <w:rsid w:val="00B65FD4"/>
  </w:style>
  <w:style w:type="character" w:customStyle="1" w:styleId="docsum-authors">
    <w:name w:val="docsum-authors"/>
    <w:basedOn w:val="DefaultParagraphFont"/>
    <w:rsid w:val="00B65FD4"/>
  </w:style>
  <w:style w:type="character" w:customStyle="1" w:styleId="docsum-journal-citation">
    <w:name w:val="docsum-journal-citation"/>
    <w:basedOn w:val="DefaultParagraphFont"/>
    <w:rsid w:val="00B65FD4"/>
  </w:style>
  <w:style w:type="character" w:customStyle="1" w:styleId="citation-part">
    <w:name w:val="citation-part"/>
    <w:basedOn w:val="DefaultParagraphFont"/>
    <w:rsid w:val="00B65FD4"/>
  </w:style>
  <w:style w:type="character" w:customStyle="1" w:styleId="docsum-pmid">
    <w:name w:val="docsum-pmid"/>
    <w:basedOn w:val="DefaultParagraphFont"/>
    <w:rsid w:val="00B65FD4"/>
  </w:style>
  <w:style w:type="character" w:styleId="FollowedHyperlink">
    <w:name w:val="FollowedHyperlink"/>
    <w:basedOn w:val="DefaultParagraphFont"/>
    <w:uiPriority w:val="99"/>
    <w:semiHidden/>
    <w:unhideWhenUsed/>
    <w:rsid w:val="00465F16"/>
    <w:rPr>
      <w:color w:val="954F72" w:themeColor="followedHyperlink"/>
      <w:u w:val="single"/>
    </w:rPr>
  </w:style>
  <w:style w:type="character" w:customStyle="1" w:styleId="UnresolvedMention4">
    <w:name w:val="Unresolved Mention4"/>
    <w:basedOn w:val="DefaultParagraphFont"/>
    <w:uiPriority w:val="99"/>
    <w:semiHidden/>
    <w:unhideWhenUsed/>
    <w:rsid w:val="00465F16"/>
    <w:rPr>
      <w:color w:val="605E5C"/>
      <w:shd w:val="clear" w:color="auto" w:fill="E1DFDD"/>
    </w:rPr>
  </w:style>
  <w:style w:type="character" w:customStyle="1" w:styleId="UnresolvedMention5">
    <w:name w:val="Unresolved Mention5"/>
    <w:basedOn w:val="DefaultParagraphFont"/>
    <w:uiPriority w:val="99"/>
    <w:semiHidden/>
    <w:unhideWhenUsed/>
    <w:rsid w:val="003240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0704321">
      <w:bodyDiv w:val="1"/>
      <w:marLeft w:val="0"/>
      <w:marRight w:val="0"/>
      <w:marTop w:val="0"/>
      <w:marBottom w:val="0"/>
      <w:divBdr>
        <w:top w:val="none" w:sz="0" w:space="0" w:color="auto"/>
        <w:left w:val="none" w:sz="0" w:space="0" w:color="auto"/>
        <w:bottom w:val="none" w:sz="0" w:space="0" w:color="auto"/>
        <w:right w:val="none" w:sz="0" w:space="0" w:color="auto"/>
      </w:divBdr>
    </w:div>
    <w:div w:id="337083008">
      <w:bodyDiv w:val="1"/>
      <w:marLeft w:val="0"/>
      <w:marRight w:val="0"/>
      <w:marTop w:val="0"/>
      <w:marBottom w:val="0"/>
      <w:divBdr>
        <w:top w:val="none" w:sz="0" w:space="0" w:color="auto"/>
        <w:left w:val="none" w:sz="0" w:space="0" w:color="auto"/>
        <w:bottom w:val="none" w:sz="0" w:space="0" w:color="auto"/>
        <w:right w:val="none" w:sz="0" w:space="0" w:color="auto"/>
      </w:divBdr>
      <w:divsChild>
        <w:div w:id="1395662073">
          <w:marLeft w:val="0"/>
          <w:marRight w:val="0"/>
          <w:marTop w:val="0"/>
          <w:marBottom w:val="0"/>
          <w:divBdr>
            <w:top w:val="none" w:sz="0" w:space="0" w:color="auto"/>
            <w:left w:val="none" w:sz="0" w:space="0" w:color="auto"/>
            <w:bottom w:val="none" w:sz="0" w:space="0" w:color="auto"/>
            <w:right w:val="none" w:sz="0" w:space="0" w:color="auto"/>
          </w:divBdr>
        </w:div>
      </w:divsChild>
    </w:div>
    <w:div w:id="449013064">
      <w:bodyDiv w:val="1"/>
      <w:marLeft w:val="0"/>
      <w:marRight w:val="0"/>
      <w:marTop w:val="0"/>
      <w:marBottom w:val="0"/>
      <w:divBdr>
        <w:top w:val="none" w:sz="0" w:space="0" w:color="auto"/>
        <w:left w:val="none" w:sz="0" w:space="0" w:color="auto"/>
        <w:bottom w:val="none" w:sz="0" w:space="0" w:color="auto"/>
        <w:right w:val="none" w:sz="0" w:space="0" w:color="auto"/>
      </w:divBdr>
    </w:div>
    <w:div w:id="541334462">
      <w:bodyDiv w:val="1"/>
      <w:marLeft w:val="0"/>
      <w:marRight w:val="0"/>
      <w:marTop w:val="0"/>
      <w:marBottom w:val="0"/>
      <w:divBdr>
        <w:top w:val="none" w:sz="0" w:space="0" w:color="auto"/>
        <w:left w:val="none" w:sz="0" w:space="0" w:color="auto"/>
        <w:bottom w:val="none" w:sz="0" w:space="0" w:color="auto"/>
        <w:right w:val="none" w:sz="0" w:space="0" w:color="auto"/>
      </w:divBdr>
    </w:div>
    <w:div w:id="652686936">
      <w:bodyDiv w:val="1"/>
      <w:marLeft w:val="0"/>
      <w:marRight w:val="0"/>
      <w:marTop w:val="0"/>
      <w:marBottom w:val="0"/>
      <w:divBdr>
        <w:top w:val="none" w:sz="0" w:space="0" w:color="auto"/>
        <w:left w:val="none" w:sz="0" w:space="0" w:color="auto"/>
        <w:bottom w:val="none" w:sz="0" w:space="0" w:color="auto"/>
        <w:right w:val="none" w:sz="0" w:space="0" w:color="auto"/>
      </w:divBdr>
    </w:div>
    <w:div w:id="741566073">
      <w:bodyDiv w:val="1"/>
      <w:marLeft w:val="0"/>
      <w:marRight w:val="0"/>
      <w:marTop w:val="0"/>
      <w:marBottom w:val="0"/>
      <w:divBdr>
        <w:top w:val="none" w:sz="0" w:space="0" w:color="auto"/>
        <w:left w:val="none" w:sz="0" w:space="0" w:color="auto"/>
        <w:bottom w:val="none" w:sz="0" w:space="0" w:color="auto"/>
        <w:right w:val="none" w:sz="0" w:space="0" w:color="auto"/>
      </w:divBdr>
    </w:div>
    <w:div w:id="833490364">
      <w:bodyDiv w:val="1"/>
      <w:marLeft w:val="0"/>
      <w:marRight w:val="0"/>
      <w:marTop w:val="0"/>
      <w:marBottom w:val="0"/>
      <w:divBdr>
        <w:top w:val="none" w:sz="0" w:space="0" w:color="auto"/>
        <w:left w:val="none" w:sz="0" w:space="0" w:color="auto"/>
        <w:bottom w:val="none" w:sz="0" w:space="0" w:color="auto"/>
        <w:right w:val="none" w:sz="0" w:space="0" w:color="auto"/>
      </w:divBdr>
    </w:div>
    <w:div w:id="836923250">
      <w:bodyDiv w:val="1"/>
      <w:marLeft w:val="0"/>
      <w:marRight w:val="0"/>
      <w:marTop w:val="0"/>
      <w:marBottom w:val="0"/>
      <w:divBdr>
        <w:top w:val="none" w:sz="0" w:space="0" w:color="auto"/>
        <w:left w:val="none" w:sz="0" w:space="0" w:color="auto"/>
        <w:bottom w:val="none" w:sz="0" w:space="0" w:color="auto"/>
        <w:right w:val="none" w:sz="0" w:space="0" w:color="auto"/>
      </w:divBdr>
    </w:div>
    <w:div w:id="1170826947">
      <w:bodyDiv w:val="1"/>
      <w:marLeft w:val="0"/>
      <w:marRight w:val="0"/>
      <w:marTop w:val="0"/>
      <w:marBottom w:val="0"/>
      <w:divBdr>
        <w:top w:val="none" w:sz="0" w:space="0" w:color="auto"/>
        <w:left w:val="none" w:sz="0" w:space="0" w:color="auto"/>
        <w:bottom w:val="none" w:sz="0" w:space="0" w:color="auto"/>
        <w:right w:val="none" w:sz="0" w:space="0" w:color="auto"/>
      </w:divBdr>
    </w:div>
    <w:div w:id="1336347086">
      <w:bodyDiv w:val="1"/>
      <w:marLeft w:val="0"/>
      <w:marRight w:val="0"/>
      <w:marTop w:val="0"/>
      <w:marBottom w:val="0"/>
      <w:divBdr>
        <w:top w:val="none" w:sz="0" w:space="0" w:color="auto"/>
        <w:left w:val="none" w:sz="0" w:space="0" w:color="auto"/>
        <w:bottom w:val="none" w:sz="0" w:space="0" w:color="auto"/>
        <w:right w:val="none" w:sz="0" w:space="0" w:color="auto"/>
      </w:divBdr>
      <w:divsChild>
        <w:div w:id="1415391700">
          <w:marLeft w:val="0"/>
          <w:marRight w:val="0"/>
          <w:marTop w:val="0"/>
          <w:marBottom w:val="0"/>
          <w:divBdr>
            <w:top w:val="none" w:sz="0" w:space="0" w:color="auto"/>
            <w:left w:val="none" w:sz="0" w:space="0" w:color="auto"/>
            <w:bottom w:val="none" w:sz="0" w:space="0" w:color="auto"/>
            <w:right w:val="none" w:sz="0" w:space="0" w:color="auto"/>
          </w:divBdr>
          <w:divsChild>
            <w:div w:id="618605698">
              <w:marLeft w:val="0"/>
              <w:marRight w:val="0"/>
              <w:marTop w:val="0"/>
              <w:marBottom w:val="0"/>
              <w:divBdr>
                <w:top w:val="none" w:sz="0" w:space="0" w:color="auto"/>
                <w:left w:val="none" w:sz="0" w:space="0" w:color="auto"/>
                <w:bottom w:val="none" w:sz="0" w:space="0" w:color="auto"/>
                <w:right w:val="none" w:sz="0" w:space="0" w:color="auto"/>
              </w:divBdr>
            </w:div>
            <w:div w:id="369112977">
              <w:marLeft w:val="0"/>
              <w:marRight w:val="0"/>
              <w:marTop w:val="0"/>
              <w:marBottom w:val="0"/>
              <w:divBdr>
                <w:top w:val="none" w:sz="0" w:space="0" w:color="auto"/>
                <w:left w:val="none" w:sz="0" w:space="0" w:color="auto"/>
                <w:bottom w:val="none" w:sz="0" w:space="0" w:color="auto"/>
                <w:right w:val="none" w:sz="0" w:space="0" w:color="auto"/>
              </w:divBdr>
            </w:div>
            <w:div w:id="1027027601">
              <w:marLeft w:val="0"/>
              <w:marRight w:val="0"/>
              <w:marTop w:val="0"/>
              <w:marBottom w:val="0"/>
              <w:divBdr>
                <w:top w:val="none" w:sz="0" w:space="0" w:color="auto"/>
                <w:left w:val="none" w:sz="0" w:space="0" w:color="auto"/>
                <w:bottom w:val="none" w:sz="0" w:space="0" w:color="auto"/>
                <w:right w:val="none" w:sz="0" w:space="0" w:color="auto"/>
              </w:divBdr>
            </w:div>
            <w:div w:id="1918131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2836217">
      <w:bodyDiv w:val="1"/>
      <w:marLeft w:val="0"/>
      <w:marRight w:val="0"/>
      <w:marTop w:val="0"/>
      <w:marBottom w:val="0"/>
      <w:divBdr>
        <w:top w:val="none" w:sz="0" w:space="0" w:color="auto"/>
        <w:left w:val="none" w:sz="0" w:space="0" w:color="auto"/>
        <w:bottom w:val="none" w:sz="0" w:space="0" w:color="auto"/>
        <w:right w:val="none" w:sz="0" w:space="0" w:color="auto"/>
      </w:divBdr>
    </w:div>
    <w:div w:id="1746413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 Id="rId14" Type="http://schemas.microsoft.com/office/2018/08/relationships/commentsExtensible" Target="commentsExtensi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01EB3F-9249-42ED-BD93-19D7F271D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43386</Words>
  <Characters>247305</Characters>
  <Application>Microsoft Office Word</Application>
  <DocSecurity>0</DocSecurity>
  <Lines>2060</Lines>
  <Paragraphs>580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290111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Nils Kappelmann</dc:creator>
  <cp:keywords/>
  <dc:description/>
  <cp:lastModifiedBy>Golam Khandaker</cp:lastModifiedBy>
  <cp:revision>2</cp:revision>
  <dcterms:created xsi:type="dcterms:W3CDTF">2021-05-20T15:49:00Z</dcterms:created>
  <dcterms:modified xsi:type="dcterms:W3CDTF">2021-05-20T15:49:00Z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http://www.zotero.org/styles/archives-of-general-psychiatry</vt:lpwstr>
  </property>
  <property fmtid="{D5CDD505-2E9C-101B-9397-08002B2CF9AE}" pid="7" name="Mendeley Recent Style Name 2_1">
    <vt:lpwstr>Archives of General Psychiatry</vt:lpwstr>
  </property>
  <property fmtid="{D5CDD505-2E9C-101B-9397-08002B2CF9AE}" pid="8" name="Mendeley Recent Style Id 3_1">
    <vt:lpwstr>http://www.zotero.org/styles/biological-psychiatry</vt:lpwstr>
  </property>
  <property fmtid="{D5CDD505-2E9C-101B-9397-08002B2CF9AE}" pid="9" name="Mendeley Recent Style Name 3_1">
    <vt:lpwstr>Biological Psychiatry</vt:lpwstr>
  </property>
  <property fmtid="{D5CDD505-2E9C-101B-9397-08002B2CF9AE}" pid="10" name="Mendeley Recent Style Id 4_1">
    <vt:lpwstr>http://www.zotero.org/styles/brain-behavior-and-immunity</vt:lpwstr>
  </property>
  <property fmtid="{D5CDD505-2E9C-101B-9397-08002B2CF9AE}" pid="11" name="Mendeley Recent Style Name 4_1">
    <vt:lpwstr>Brain Behavior and Immunity</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http://www.zotero.org/styles/jama</vt:lpwstr>
  </property>
  <property fmtid="{D5CDD505-2E9C-101B-9397-08002B2CF9AE}" pid="15" name="Mendeley Recent Style Name 6_1">
    <vt:lpwstr>JAMA (The Journal of the American Medical Association)</vt:lpwstr>
  </property>
  <property fmtid="{D5CDD505-2E9C-101B-9397-08002B2CF9AE}" pid="16" name="Mendeley Recent Style Id 7_1">
    <vt:lpwstr>http://www.zotero.org/styles/molecular-psychiatry</vt:lpwstr>
  </property>
  <property fmtid="{D5CDD505-2E9C-101B-9397-08002B2CF9AE}" pid="17" name="Mendeley Recent Style Name 7_1">
    <vt:lpwstr>Molecular Psychiatry</vt:lpwstr>
  </property>
  <property fmtid="{D5CDD505-2E9C-101B-9397-08002B2CF9AE}" pid="18" name="Mendeley Recent Style Id 8_1">
    <vt:lpwstr>http://www.zotero.org/styles/psychoneuroendocrinology</vt:lpwstr>
  </property>
  <property fmtid="{D5CDD505-2E9C-101B-9397-08002B2CF9AE}" pid="19" name="Mendeley Recent Style Name 8_1">
    <vt:lpwstr>Psychoneuroendocrinology</vt:lpwstr>
  </property>
  <property fmtid="{D5CDD505-2E9C-101B-9397-08002B2CF9AE}" pid="20" name="Mendeley Recent Style Id 9_1">
    <vt:lpwstr>http://www.zotero.org/styles/the-lancet</vt:lpwstr>
  </property>
  <property fmtid="{D5CDD505-2E9C-101B-9397-08002B2CF9AE}" pid="21" name="Mendeley Recent Style Name 9_1">
    <vt:lpwstr>The Lancet</vt:lpwstr>
  </property>
  <property fmtid="{D5CDD505-2E9C-101B-9397-08002B2CF9AE}" pid="22" name="Mendeley Document_1">
    <vt:lpwstr>True</vt:lpwstr>
  </property>
  <property fmtid="{D5CDD505-2E9C-101B-9397-08002B2CF9AE}" pid="23" name="Mendeley Unique User Id_1">
    <vt:lpwstr>35b55aec-20df-383b-a8ad-b86c592c76eb</vt:lpwstr>
  </property>
  <property fmtid="{D5CDD505-2E9C-101B-9397-08002B2CF9AE}" pid="24" name="Mendeley Citation Style_1">
    <vt:lpwstr>http://www.zotero.org/styles/psychoneuroendocrinology</vt:lpwstr>
  </property>
</Properties>
</file>