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E854FD5" w14:textId="6885E8AE" w:rsidR="009246AD" w:rsidRPr="00BA6959" w:rsidRDefault="00660CAE" w:rsidP="00AB34C5">
      <w:pPr>
        <w:pStyle w:val="BATitle"/>
        <w:jc w:val="left"/>
        <w:rPr>
          <w:lang w:val="en-GB"/>
        </w:rPr>
      </w:pPr>
      <w:r w:rsidRPr="00BA6959">
        <w:rPr>
          <w:lang w:val="en-GB"/>
        </w:rPr>
        <w:t xml:space="preserve">In Silico Guidance for In Vitro </w:t>
      </w:r>
      <w:r w:rsidR="00F2083F">
        <w:rPr>
          <w:lang w:val="en-GB"/>
        </w:rPr>
        <w:t xml:space="preserve">Androgen and Glucocorticoid Receptor </w:t>
      </w:r>
      <w:r w:rsidRPr="00BA6959">
        <w:rPr>
          <w:lang w:val="en-GB"/>
        </w:rPr>
        <w:t>ToxCast Assays</w:t>
      </w:r>
    </w:p>
    <w:p w14:paraId="5B5490CB" w14:textId="02123C59" w:rsidR="00872C3E" w:rsidRPr="00BA6959" w:rsidRDefault="00872C3E" w:rsidP="00872C3E">
      <w:pPr>
        <w:pStyle w:val="BBAuthorName"/>
        <w:jc w:val="left"/>
        <w:rPr>
          <w:vertAlign w:val="superscript"/>
          <w:lang w:val="en-GB"/>
        </w:rPr>
      </w:pPr>
      <w:r w:rsidRPr="00BA6959">
        <w:rPr>
          <w:lang w:val="en-GB"/>
        </w:rPr>
        <w:t>Timothy E. H. Allen,</w:t>
      </w:r>
      <w:r w:rsidRPr="00BA6959">
        <w:rPr>
          <w:rFonts w:cs="Times"/>
          <w:vertAlign w:val="superscript"/>
          <w:lang w:val="en-GB"/>
        </w:rPr>
        <w:t>1</w:t>
      </w:r>
      <w:r w:rsidR="00896210">
        <w:rPr>
          <w:rFonts w:cs="Times"/>
          <w:vertAlign w:val="superscript"/>
          <w:lang w:val="en-GB"/>
        </w:rPr>
        <w:t>,2</w:t>
      </w:r>
      <w:r w:rsidRPr="00BA6959">
        <w:rPr>
          <w:lang w:val="en-GB"/>
        </w:rPr>
        <w:t xml:space="preserve"> Mark D. Nelms,</w:t>
      </w:r>
      <w:r w:rsidRPr="00BA6959">
        <w:rPr>
          <w:vertAlign w:val="superscript"/>
          <w:lang w:val="en-GB"/>
        </w:rPr>
        <w:t>3</w:t>
      </w:r>
      <w:r w:rsidR="00896210">
        <w:rPr>
          <w:vertAlign w:val="superscript"/>
          <w:lang w:val="en-GB"/>
        </w:rPr>
        <w:t>,4</w:t>
      </w:r>
      <w:r w:rsidRPr="00BA6959">
        <w:rPr>
          <w:lang w:val="en-GB"/>
        </w:rPr>
        <w:t xml:space="preserve"> Stephen W. Edwards,</w:t>
      </w:r>
      <w:r w:rsidR="00896210">
        <w:rPr>
          <w:vertAlign w:val="superscript"/>
          <w:lang w:val="en-GB"/>
        </w:rPr>
        <w:t>4</w:t>
      </w:r>
      <w:r w:rsidRPr="00BA6959">
        <w:rPr>
          <w:lang w:val="en-GB"/>
        </w:rPr>
        <w:t xml:space="preserve"> Jonathan M. </w:t>
      </w:r>
      <w:proofErr w:type="gramStart"/>
      <w:r w:rsidRPr="00BA6959">
        <w:rPr>
          <w:lang w:val="en-GB"/>
        </w:rPr>
        <w:t>Goodman,*</w:t>
      </w:r>
      <w:proofErr w:type="gramEnd"/>
      <w:r w:rsidRPr="00BA6959">
        <w:rPr>
          <w:vertAlign w:val="superscript"/>
          <w:lang w:val="en-GB"/>
        </w:rPr>
        <w:t>1</w:t>
      </w:r>
      <w:r w:rsidRPr="00BA6959">
        <w:rPr>
          <w:lang w:val="en-GB"/>
        </w:rPr>
        <w:t xml:space="preserve"> Steve Gutsell,</w:t>
      </w:r>
      <w:r w:rsidR="00896210">
        <w:rPr>
          <w:vertAlign w:val="superscript"/>
          <w:lang w:val="en-GB"/>
        </w:rPr>
        <w:t>5</w:t>
      </w:r>
      <w:r w:rsidRPr="00BA6959">
        <w:rPr>
          <w:rFonts w:cs="Times"/>
          <w:lang w:val="en-GB"/>
        </w:rPr>
        <w:t xml:space="preserve"> and Paul J. Russell</w:t>
      </w:r>
      <w:r w:rsidR="00896210">
        <w:rPr>
          <w:rFonts w:cs="Times"/>
          <w:vertAlign w:val="superscript"/>
          <w:lang w:val="en-GB"/>
        </w:rPr>
        <w:t>5</w:t>
      </w:r>
    </w:p>
    <w:p w14:paraId="32F463D6" w14:textId="77777777" w:rsidR="00896210" w:rsidRPr="00BA6959" w:rsidRDefault="00896210" w:rsidP="00896210">
      <w:pPr>
        <w:pStyle w:val="FACorrespondingAuthorFootnote"/>
        <w:spacing w:after="0"/>
        <w:jc w:val="left"/>
        <w:rPr>
          <w:lang w:val="en-GB"/>
        </w:rPr>
      </w:pPr>
      <w:r w:rsidRPr="00BA6959">
        <w:rPr>
          <w:rFonts w:cs="Times"/>
          <w:vertAlign w:val="superscript"/>
          <w:lang w:val="en-GB"/>
        </w:rPr>
        <w:t>1</w:t>
      </w:r>
      <w:r w:rsidRPr="00BA6959">
        <w:rPr>
          <w:lang w:val="en-GB"/>
        </w:rPr>
        <w:t>Centre for Molecular Informatics, Department of Chemistry, University of Cambridge, Lensfield Road, Cambridge, CB2 1EW, United Kingdom</w:t>
      </w:r>
    </w:p>
    <w:p w14:paraId="64A6E07B" w14:textId="1752BEF2" w:rsidR="00896210" w:rsidRPr="00BA6959" w:rsidRDefault="00896210" w:rsidP="00896210">
      <w:pPr>
        <w:pStyle w:val="FACorrespondingAuthorFootnote"/>
        <w:spacing w:after="0"/>
        <w:jc w:val="left"/>
        <w:rPr>
          <w:lang w:val="en-GB"/>
        </w:rPr>
      </w:pPr>
      <w:r>
        <w:rPr>
          <w:rFonts w:cs="Times"/>
          <w:vertAlign w:val="superscript"/>
          <w:lang w:val="en-GB"/>
        </w:rPr>
        <w:t>2</w:t>
      </w:r>
      <w:r>
        <w:rPr>
          <w:lang w:val="en-GB"/>
        </w:rPr>
        <w:t>MRC Toxicology Unit</w:t>
      </w:r>
      <w:r w:rsidRPr="00BA6959">
        <w:rPr>
          <w:lang w:val="en-GB"/>
        </w:rPr>
        <w:t xml:space="preserve">, University of Cambridge, </w:t>
      </w:r>
      <w:r>
        <w:rPr>
          <w:lang w:val="en-GB"/>
        </w:rPr>
        <w:t xml:space="preserve">Hodgkin Building, </w:t>
      </w:r>
      <w:r w:rsidRPr="00BA6959">
        <w:rPr>
          <w:lang w:val="en-GB"/>
        </w:rPr>
        <w:t>L</w:t>
      </w:r>
      <w:r>
        <w:rPr>
          <w:lang w:val="en-GB"/>
        </w:rPr>
        <w:t>ancaster</w:t>
      </w:r>
      <w:r w:rsidRPr="00BA6959">
        <w:rPr>
          <w:lang w:val="en-GB"/>
        </w:rPr>
        <w:t xml:space="preserve"> Road, </w:t>
      </w:r>
      <w:r>
        <w:rPr>
          <w:lang w:val="en-GB"/>
        </w:rPr>
        <w:t>Leicester</w:t>
      </w:r>
      <w:r w:rsidRPr="00BA6959">
        <w:rPr>
          <w:lang w:val="en-GB"/>
        </w:rPr>
        <w:t xml:space="preserve">, </w:t>
      </w:r>
      <w:r>
        <w:rPr>
          <w:lang w:val="en-GB"/>
        </w:rPr>
        <w:t>LE1 7HB</w:t>
      </w:r>
      <w:r w:rsidRPr="00BA6959">
        <w:rPr>
          <w:lang w:val="en-GB"/>
        </w:rPr>
        <w:t>, United Kingdom</w:t>
      </w:r>
    </w:p>
    <w:p w14:paraId="7BEAD4D9" w14:textId="60E6A185" w:rsidR="00872C3E" w:rsidRPr="00BA6959" w:rsidRDefault="00896210" w:rsidP="00872C3E">
      <w:pPr>
        <w:pStyle w:val="TAMainText"/>
        <w:ind w:firstLine="0"/>
        <w:rPr>
          <w:lang w:val="en-GB"/>
        </w:rPr>
      </w:pPr>
      <w:r>
        <w:rPr>
          <w:vertAlign w:val="superscript"/>
          <w:lang w:val="en-GB"/>
        </w:rPr>
        <w:t>3</w:t>
      </w:r>
      <w:r w:rsidR="00872C3E" w:rsidRPr="00BA6959">
        <w:rPr>
          <w:lang w:val="en-GB"/>
        </w:rPr>
        <w:t>Oak Ridge Institute for Science and Education, Oak Ridge, TN 37830, USA</w:t>
      </w:r>
    </w:p>
    <w:p w14:paraId="7AF48117" w14:textId="50FB0EE5" w:rsidR="00872C3E" w:rsidRPr="00BA6959" w:rsidRDefault="00896210" w:rsidP="00872C3E">
      <w:pPr>
        <w:pStyle w:val="TAMainText"/>
        <w:ind w:firstLine="0"/>
        <w:rPr>
          <w:lang w:val="en-GB"/>
        </w:rPr>
      </w:pPr>
      <w:r>
        <w:rPr>
          <w:vertAlign w:val="superscript"/>
          <w:lang w:val="en-GB"/>
        </w:rPr>
        <w:t>4</w:t>
      </w:r>
      <w:r w:rsidR="00872C3E" w:rsidRPr="00BA6959">
        <w:rPr>
          <w:lang w:val="en-GB"/>
        </w:rPr>
        <w:t>Integrated Systems Toxicology Division, National Health and Environmental Effects Research Laboratory, Office of Research and Development, U.S. Environmental Protection Agency, Research Triangle Park, Durham, NC 27709, USA</w:t>
      </w:r>
    </w:p>
    <w:p w14:paraId="11093DBA" w14:textId="5D2EB442" w:rsidR="00872C3E" w:rsidRPr="00BA6959" w:rsidRDefault="00896210" w:rsidP="00872C3E">
      <w:pPr>
        <w:pStyle w:val="TAMainText"/>
        <w:ind w:firstLine="0"/>
        <w:rPr>
          <w:lang w:val="en-GB"/>
        </w:rPr>
      </w:pPr>
      <w:r>
        <w:rPr>
          <w:rFonts w:cs="Times"/>
          <w:vertAlign w:val="superscript"/>
          <w:lang w:val="en-GB"/>
        </w:rPr>
        <w:t>5</w:t>
      </w:r>
      <w:r w:rsidR="00872C3E" w:rsidRPr="00BA6959">
        <w:rPr>
          <w:lang w:val="en-GB"/>
        </w:rPr>
        <w:t xml:space="preserve">Unilever Safety and Environmental Assurance Centre, </w:t>
      </w:r>
      <w:proofErr w:type="spellStart"/>
      <w:r w:rsidR="00872C3E" w:rsidRPr="00BA6959">
        <w:rPr>
          <w:lang w:val="en-GB"/>
        </w:rPr>
        <w:t>Colworth</w:t>
      </w:r>
      <w:proofErr w:type="spellEnd"/>
      <w:r w:rsidR="00872C3E" w:rsidRPr="00BA6959">
        <w:rPr>
          <w:lang w:val="en-GB"/>
        </w:rPr>
        <w:t xml:space="preserve"> Science Park, Sharnbrook, Bedfordshire, MK44 1LQ, United Kingdom</w:t>
      </w:r>
    </w:p>
    <w:p w14:paraId="2A91D17A" w14:textId="77777777" w:rsidR="00B1670B" w:rsidRPr="00BA6959" w:rsidRDefault="00B1670B" w:rsidP="00872C3E">
      <w:pPr>
        <w:pStyle w:val="TAMainText"/>
        <w:ind w:firstLine="0"/>
        <w:rPr>
          <w:lang w:val="en-GB"/>
        </w:rPr>
      </w:pPr>
    </w:p>
    <w:p w14:paraId="371E050B" w14:textId="77777777" w:rsidR="00872C3E" w:rsidRPr="00BA6959" w:rsidRDefault="00872C3E" w:rsidP="00872C3E">
      <w:pPr>
        <w:pStyle w:val="FACorrespondingAuthorFootnote"/>
        <w:spacing w:after="0"/>
        <w:jc w:val="left"/>
        <w:rPr>
          <w:lang w:val="en-GB"/>
        </w:rPr>
      </w:pPr>
      <w:r w:rsidRPr="00BA6959">
        <w:rPr>
          <w:lang w:val="en-GB"/>
        </w:rPr>
        <w:t>KEYWORDS: Molecular Initiating Event (MIE), Structure Activity Relationship (SAR), Structural Alert, ToxCast Database, Adverse Outcome Pathway (AOP).</w:t>
      </w:r>
    </w:p>
    <w:p w14:paraId="15B45B07" w14:textId="77777777" w:rsidR="00B1670B" w:rsidRPr="00BA6959" w:rsidRDefault="00B1670B">
      <w:pPr>
        <w:spacing w:after="0"/>
        <w:jc w:val="left"/>
        <w:rPr>
          <w:lang w:val="en-GB"/>
        </w:rPr>
      </w:pPr>
      <w:r w:rsidRPr="00BA6959">
        <w:rPr>
          <w:lang w:val="en-GB"/>
        </w:rPr>
        <w:br w:type="page"/>
      </w:r>
    </w:p>
    <w:p w14:paraId="4314E1D3" w14:textId="77777777" w:rsidR="000C05CC" w:rsidRPr="00BA6959" w:rsidRDefault="00B1670B" w:rsidP="00324128">
      <w:pPr>
        <w:pStyle w:val="FACorrespondingAuthorFootnote"/>
        <w:spacing w:after="240"/>
        <w:jc w:val="left"/>
        <w:rPr>
          <w:lang w:val="en-GB"/>
        </w:rPr>
      </w:pPr>
      <w:r w:rsidRPr="00BA6959">
        <w:rPr>
          <w:lang w:val="en-GB"/>
        </w:rPr>
        <w:lastRenderedPageBreak/>
        <w:t>Table of Contents Graphic</w:t>
      </w:r>
    </w:p>
    <w:p w14:paraId="13284408" w14:textId="23DE4549" w:rsidR="00B1670B" w:rsidRPr="00BA6959" w:rsidRDefault="00D2718F" w:rsidP="00B1670B">
      <w:pPr>
        <w:pStyle w:val="TAMainText"/>
        <w:ind w:firstLine="0"/>
        <w:rPr>
          <w:lang w:val="en-GB"/>
        </w:rPr>
      </w:pPr>
      <w:r>
        <w:rPr>
          <w:noProof/>
          <w:lang w:val="en-GB" w:eastAsia="en-GB"/>
        </w:rPr>
        <w:drawing>
          <wp:inline distT="0" distB="0" distL="0" distR="0" wp14:anchorId="2114CAF4" wp14:editId="42478048">
            <wp:extent cx="2979067" cy="17136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TOC Graphic.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979067" cy="1713600"/>
                    </a:xfrm>
                    <a:prstGeom prst="rect">
                      <a:avLst/>
                    </a:prstGeom>
                  </pic:spPr>
                </pic:pic>
              </a:graphicData>
            </a:graphic>
          </wp:inline>
        </w:drawing>
      </w:r>
    </w:p>
    <w:p w14:paraId="0AC69B5C" w14:textId="77777777" w:rsidR="00B1670B" w:rsidRPr="00BA6959" w:rsidRDefault="00B1670B">
      <w:pPr>
        <w:spacing w:after="0"/>
        <w:jc w:val="left"/>
        <w:rPr>
          <w:lang w:val="en-GB"/>
        </w:rPr>
      </w:pPr>
      <w:r w:rsidRPr="00BA6959">
        <w:rPr>
          <w:lang w:val="en-GB"/>
        </w:rPr>
        <w:br w:type="page"/>
      </w:r>
    </w:p>
    <w:p w14:paraId="0042D199" w14:textId="77777777" w:rsidR="00B1670B" w:rsidRPr="00BA6959" w:rsidRDefault="00AB34C5" w:rsidP="00683131">
      <w:pPr>
        <w:pStyle w:val="BDAbstract"/>
        <w:rPr>
          <w:lang w:val="en-GB"/>
        </w:rPr>
      </w:pPr>
      <w:r w:rsidRPr="00BA6959">
        <w:rPr>
          <w:lang w:val="en-GB"/>
        </w:rPr>
        <w:lastRenderedPageBreak/>
        <w:t xml:space="preserve">ABSTRACT </w:t>
      </w:r>
    </w:p>
    <w:p w14:paraId="1E6F7E66" w14:textId="26BD42FD" w:rsidR="00AB34C5" w:rsidRPr="00BA6959" w:rsidRDefault="00B40722" w:rsidP="0086405C">
      <w:pPr>
        <w:pStyle w:val="ACSTEXT"/>
        <w:rPr>
          <w:lang w:val="en-GB"/>
        </w:rPr>
      </w:pPr>
      <w:r w:rsidRPr="00BA6959">
        <w:rPr>
          <w:lang w:val="en-GB"/>
        </w:rPr>
        <w:t xml:space="preserve">Molecular initiating events (MIEs) are key events in adverse outcome pathways (AOPs) that link molecular chemistry to target biology. As they are based in chemistry, these interactions are excellent targets for computational chemistry approaches to </w:t>
      </w:r>
      <w:r w:rsidRPr="00BA6959">
        <w:rPr>
          <w:i/>
          <w:lang w:val="en-GB"/>
        </w:rPr>
        <w:t xml:space="preserve">in silico </w:t>
      </w:r>
      <w:r w:rsidRPr="00BA6959">
        <w:rPr>
          <w:lang w:val="en-GB"/>
        </w:rPr>
        <w:t>modelling. In this work</w:t>
      </w:r>
      <w:r w:rsidR="00F8698B">
        <w:rPr>
          <w:lang w:val="en-GB"/>
        </w:rPr>
        <w:t>,</w:t>
      </w:r>
      <w:r w:rsidRPr="00BA6959">
        <w:rPr>
          <w:lang w:val="en-GB"/>
        </w:rPr>
        <w:t xml:space="preserve"> we aim to link</w:t>
      </w:r>
      <w:r w:rsidR="008606CC">
        <w:rPr>
          <w:lang w:val="en-GB"/>
        </w:rPr>
        <w:t xml:space="preserve"> ligand</w:t>
      </w:r>
      <w:r w:rsidRPr="00BA6959">
        <w:rPr>
          <w:lang w:val="en-GB"/>
        </w:rPr>
        <w:t xml:space="preserve"> chemical structure to MIEs for androgen</w:t>
      </w:r>
      <w:r w:rsidR="00706641">
        <w:rPr>
          <w:lang w:val="en-GB"/>
        </w:rPr>
        <w:t xml:space="preserve"> receptor (AR)</w:t>
      </w:r>
      <w:r w:rsidRPr="00BA6959">
        <w:rPr>
          <w:lang w:val="en-GB"/>
        </w:rPr>
        <w:t xml:space="preserve"> and glucocorticoid receptor</w:t>
      </w:r>
      <w:r w:rsidR="00706641">
        <w:rPr>
          <w:lang w:val="en-GB"/>
        </w:rPr>
        <w:t xml:space="preserve"> (GR)</w:t>
      </w:r>
      <w:r w:rsidRPr="00BA6959">
        <w:rPr>
          <w:lang w:val="en-GB"/>
        </w:rPr>
        <w:t xml:space="preserve"> binding using ToxCast data. </w:t>
      </w:r>
      <w:r w:rsidR="00497227">
        <w:rPr>
          <w:lang w:val="en-GB"/>
        </w:rPr>
        <w:t xml:space="preserve">This has been done using an automated computational algorithm to perform maximal common substructure searches on chemical binders for each target from the ToxCast dataset. </w:t>
      </w:r>
      <w:r w:rsidR="00706641">
        <w:rPr>
          <w:lang w:val="en-GB"/>
        </w:rPr>
        <w:t xml:space="preserve">The models developed show a high level of accuracy, correctly assigning 87.20% of AR binders and 96.81% of GR binders in a 25% test set using holdout cross-validation. </w:t>
      </w:r>
      <w:r w:rsidRPr="00BA6959">
        <w:rPr>
          <w:lang w:val="en-GB"/>
        </w:rPr>
        <w:t xml:space="preserve">The 2D structural alerts developed can be used as </w:t>
      </w:r>
      <w:r w:rsidRPr="00BA6959">
        <w:rPr>
          <w:i/>
          <w:lang w:val="en-GB"/>
        </w:rPr>
        <w:t>in silico</w:t>
      </w:r>
      <w:r w:rsidRPr="00BA6959">
        <w:rPr>
          <w:lang w:val="en-GB"/>
        </w:rPr>
        <w:t xml:space="preserve"> models to predict these MIEs, and as guidance for </w:t>
      </w:r>
      <w:r w:rsidRPr="00BA6959">
        <w:rPr>
          <w:i/>
          <w:lang w:val="en-GB"/>
        </w:rPr>
        <w:t>in vitro</w:t>
      </w:r>
      <w:r w:rsidRPr="00BA6959">
        <w:rPr>
          <w:lang w:val="en-GB"/>
        </w:rPr>
        <w:t xml:space="preserve"> ToxCast assays to confirm hits. These models can target such experimental work, reducing the number of assays to be performed to gain required toxicological insight. </w:t>
      </w:r>
      <w:r w:rsidR="008606CC">
        <w:rPr>
          <w:lang w:val="en-GB"/>
        </w:rPr>
        <w:t>Development of these models</w:t>
      </w:r>
      <w:r w:rsidR="00CA399F" w:rsidRPr="00BA6959">
        <w:rPr>
          <w:lang w:val="en-GB"/>
        </w:rPr>
        <w:t xml:space="preserve"> has also allowed some structural alerts to be identified as predictors for agonist or antagonist </w:t>
      </w:r>
      <w:proofErr w:type="spellStart"/>
      <w:r w:rsidR="00CA399F" w:rsidRPr="00BA6959">
        <w:rPr>
          <w:lang w:val="en-GB"/>
        </w:rPr>
        <w:t>behavior</w:t>
      </w:r>
      <w:proofErr w:type="spellEnd"/>
      <w:r w:rsidR="00CA399F" w:rsidRPr="00BA6959">
        <w:rPr>
          <w:lang w:val="en-GB"/>
        </w:rPr>
        <w:t xml:space="preserve"> at the receptor target. This work represents a first step in using computational methods to guide and target experimental approaches.</w:t>
      </w:r>
    </w:p>
    <w:p w14:paraId="3650E227" w14:textId="77777777" w:rsidR="0086405C" w:rsidRPr="00BA6959" w:rsidRDefault="00FB4DFE" w:rsidP="0086405C">
      <w:pPr>
        <w:pStyle w:val="ACSTEXT"/>
        <w:rPr>
          <w:lang w:val="en-GB"/>
        </w:rPr>
      </w:pPr>
      <w:r w:rsidRPr="00BA6959">
        <w:rPr>
          <w:lang w:val="en-GB"/>
        </w:rPr>
        <w:t>INTRODUCTION</w:t>
      </w:r>
    </w:p>
    <w:p w14:paraId="7173C6DB" w14:textId="7D8F1F1F" w:rsidR="00847E5F" w:rsidRPr="00BA6959" w:rsidRDefault="00847E5F" w:rsidP="00847E5F">
      <w:pPr>
        <w:pStyle w:val="ACSTEXT"/>
        <w:rPr>
          <w:lang w:val="en-GB"/>
        </w:rPr>
      </w:pPr>
      <w:r>
        <w:rPr>
          <w:lang w:val="en-GB"/>
        </w:rPr>
        <w:t>The adverse outcome pathway (AOP) framework for risk assessment provides structure for chemical and biological information to be collected and used in safety science.</w:t>
      </w:r>
      <w:r>
        <w:rPr>
          <w:lang w:val="en-GB"/>
        </w:rPr>
        <w:fldChar w:fldCharType="begin" w:fldLock="1"/>
      </w:r>
      <w:r w:rsidR="001445AC">
        <w:rPr>
          <w:lang w:val="en-GB"/>
        </w:rPr>
        <w:instrText>ADDIN CSL_CITATION {"citationItems":[{"id":"ITEM-1","itemData":{"DOI":"10.1002/etc.34","ISBN":"07307268","ISSN":"07307268","PMID":"20821501","abstract":"Ecological risk assessors face increasing demands to assess more chemicals, with greater speed and accuracy, and to do so using fewer resources and experimental animals. New approaches in biological and computational sciences may be able to generate mechanistic information that could help in meeting these challenges. However, to use mechanistic data to support chemical assessments, there is a need for effective translation of this information into endpoints meaningful to ecological risk-effects on survival, development, and reproduction in individual organisms and, by extension, impacts on populations. Here we discuss a framework designed for this purpose, the adverse outcome pathway (AOP). An AOP is a conceptual construct that portrays existing knowledge concerning the linkage between a direct molecular initiating event and an adverse outcome at a biological level of organization relevant to risk assessment. The practical utility of AOPs for ecological risk assessment of chemicals is illustrated using five case examples. The examples demonstrate how the AOP concept can focus toxicity testing in terms of species and endpoint selection, enhance across-chemical extrapolation, and support prediction of mixture effects. The examples also show how AOPs facilitate use of molecular or biochemical endpoints (sometimes referred to as biomarkers) for forecasting chemical impacts on individuals and populations. In the concluding sections of the paper, we discuss how AOPs can help to guide research that supports chemical risk assessments and advocate for the incorporation of this approach into a broader systems biology framework.","author":[{"dropping-particle":"","family":"Ankley","given":"Gerald T.","non-dropping-particle":"","parse-names":false,"suffix":""},{"dropping-particle":"","family":"Bennett","given":"Richard S.","non-dropping-particle":"","parse-names":false,"suffix":""},{"dropping-particle":"","family":"Erickson","given":"Russell J.","non-dropping-particle":"","parse-names":false,"suffix":""},{"dropping-particle":"","family":"Hoff","given":"Dale J.","non-dropping-particle":"","parse-names":false,"suffix":""},{"dropping-particle":"","family":"Hornung","given":"Michael W.","non-dropping-particle":"","parse-names":false,"suffix":""},{"dropping-particle":"","family":"Johnson","given":"Rodney D.","non-dropping-particle":"","parse-names":false,"suffix":""},{"dropping-particle":"","family":"Mount","given":"David R.","non-dropping-particle":"","parse-names":false,"suffix":""},{"dropping-particle":"","family":"Nichols","given":"John W.","non-dropping-particle":"","parse-names":false,"suffix":""},{"dropping-particle":"","family":"Russom","given":"Christine L.","non-dropping-particle":"","parse-names":false,"suffix":""},{"dropping-particle":"","family":"Schmieder","given":"Patricia K.","non-dropping-particle":"","parse-names":false,"suffix":""},{"dropping-particle":"","family":"Serrrano","given":"Jose A.","non-dropping-particle":"","parse-names":false,"suffix":""},{"dropping-particle":"","family":"Tietge","given":"Joseph E.","non-dropping-particle":"","parse-names":false,"suffix":""},{"dropping-particle":"","family":"Villeneuve","given":"Daniel L.","non-dropping-particle":"","parse-names":false,"suffix":""}],"container-title":"Environmental Toxicology and Chemistry","id":"ITEM-1","issue":"3","issued":{"date-parts":[["2010","3"]]},"page":"730-741","publisher":"John Wiley &amp; Sons, Inc.","title":"Adverse outcome pathways: A conceptual framework to support ecotoxicology research and risk assessment","type":"article-journal","volume":"29"},"uris":["http://www.mendeley.com/documents/?uuid=22423233-f6a0-46ce-9279-40925c2b92ad"]},{"id":"ITEM-2","itemData":{"DOI":"10.1002/etc.396","ISSN":"1552-8618","PMID":"21182100","author":[{"dropping-particle":"","family":"Villeneuve","given":"Daniel L","non-dropping-particle":"","parse-names":false,"suffix":""},{"dropping-particle":"","family":"Garcia-Reyero","given":"Natàlia","non-dropping-particle":"","parse-names":false,"suffix":""}],"container-title":"Environmental Toxicology and Chemistry","id":"ITEM-2","issue":"1","issued":{"date-parts":[["2011","1"]]},"page":"1-8","title":"Vision &amp; strategy: Predictive Ecotoxicology in the 21st century","type":"article-journal","volume":"30"},"uris":["http://www.mendeley.com/documents/?uuid=27d0524b-df74-442d-9d56-22af31ac5d75"]}],"mendeley":{"formattedCitation":"&lt;sup&gt;1,2&lt;/sup&gt;","plainTextFormattedCitation":"1,2","previouslyFormattedCitation":"&lt;sup&gt;1,2&lt;/sup&gt;"},"properties":{"noteIndex":0},"schema":"https://github.com/citation-style-language/schema/raw/master/csl-citation.json"}</w:instrText>
      </w:r>
      <w:r>
        <w:rPr>
          <w:lang w:val="en-GB"/>
        </w:rPr>
        <w:fldChar w:fldCharType="separate"/>
      </w:r>
      <w:r w:rsidRPr="00847E5F">
        <w:rPr>
          <w:noProof/>
          <w:vertAlign w:val="superscript"/>
          <w:lang w:val="en-GB"/>
        </w:rPr>
        <w:t>1,2</w:t>
      </w:r>
      <w:r>
        <w:rPr>
          <w:lang w:val="en-GB"/>
        </w:rPr>
        <w:fldChar w:fldCharType="end"/>
      </w:r>
      <w:r>
        <w:rPr>
          <w:lang w:val="en-GB"/>
        </w:rPr>
        <w:t xml:space="preserve"> The first key event (KE) in an AOP is the molecular initiating event (MIE)</w:t>
      </w:r>
      <w:r w:rsidR="00EE3FDE">
        <w:rPr>
          <w:lang w:val="en-GB"/>
        </w:rPr>
        <w:t>,</w:t>
      </w:r>
      <w:r>
        <w:rPr>
          <w:lang w:val="en-GB"/>
        </w:rPr>
        <w:t xml:space="preserve"> which has been defined as the initial interaction between a molecule and a biomolecule or biosystem that can be causally linked to an outcome via a pathway.</w:t>
      </w:r>
      <w:r>
        <w:rPr>
          <w:lang w:val="en-GB"/>
        </w:rPr>
        <w:fldChar w:fldCharType="begin" w:fldLock="1"/>
      </w:r>
      <w:r w:rsidR="001445AC">
        <w:rPr>
          <w:lang w:val="en-GB"/>
        </w:rPr>
        <w:instrText>ADDIN CSL_CITATION {"citationItems":[{"id":"ITEM-1","itemData":{"author":[{"dropping-particle":"","family":"Allen","given":"Timothy E H","non-dropping-particle":"","parse-names":false,"suffix":""},{"dropping-particle":"","family":"Goodman","given":"Jonathan M","non-dropping-particle":"","parse-names":false,"suffix":""},{"dropping-particle":"","family":"Gutsell","given":"Steve","non-dropping-particle":"","parse-names":false,"suffix":""},{"dropping-particle":"","family":"Russell","given":"Paul J","non-dropping-particle":"","parse-names":false,"suffix":""}],"container-title":"Chemical Research in Toxicology","id":"ITEM-1","issued":{"date-parts":[["2014"]]},"page":"2100-2112","title":"Defining Molecular Initiating Events in the Adverse Outcome Pathway framework for risk assessment","type":"article-journal","volume":"27"},"uris":["http://www.mendeley.com/documents/?uuid=3fc1bdc4-027f-4551-a7a6-84ac43b28baf"]},{"id":"ITEM-2","itemData":{"DOI":"10.1021/acs.chemrestox.6b00341","ISSN":"0893-228X","author":[{"dropping-particle":"","family":"Allen","given":"Timothy E H","non-dropping-particle":"","parse-names":false,"suffix":""},{"dropping-particle":"","family":"Goodman","given":"Jonathan M","non-dropping-particle":"","parse-names":false,"suffix":""},{"dropping-particle":"","family":"Gutsell","given":"Steve","non-dropping-particle":"","parse-names":false,"suffix":""},{"dropping-particle":"","family":"Russell","given":"Paul J","non-dropping-particle":"","parse-names":false,"suffix":""}],"container-title":"Chemical Research in Toxicology","id":"ITEM-2","issue":"12","issued":{"date-parts":[["2016"]]},"page":"2060-2070","title":"A History of the Molecular Initiating Event","type":"article-journal","volume":"29"},"uris":["http://www.mendeley.com/documents/?uuid=7f6de337-aa4e-4be9-9223-d7522c3fc6d4"]}],"mendeley":{"formattedCitation":"&lt;sup&gt;3,4&lt;/sup&gt;","plainTextFormattedCitation":"3,4","previouslyFormattedCitation":"&lt;sup&gt;3,4&lt;/sup&gt;"},"properties":{"noteIndex":0},"schema":"https://github.com/citation-style-language/schema/raw/master/csl-citation.json"}</w:instrText>
      </w:r>
      <w:r>
        <w:rPr>
          <w:lang w:val="en-GB"/>
        </w:rPr>
        <w:fldChar w:fldCharType="separate"/>
      </w:r>
      <w:r w:rsidR="00940D36" w:rsidRPr="00940D36">
        <w:rPr>
          <w:noProof/>
          <w:vertAlign w:val="superscript"/>
          <w:lang w:val="en-GB"/>
        </w:rPr>
        <w:t>3,4</w:t>
      </w:r>
      <w:r>
        <w:rPr>
          <w:lang w:val="en-GB"/>
        </w:rPr>
        <w:fldChar w:fldCharType="end"/>
      </w:r>
      <w:r>
        <w:rPr>
          <w:lang w:val="en-GB"/>
        </w:rPr>
        <w:t xml:space="preserve"> The chemical-biological interactions </w:t>
      </w:r>
      <w:r w:rsidR="00DB48DB">
        <w:rPr>
          <w:lang w:val="en-GB"/>
        </w:rPr>
        <w:t xml:space="preserve">captured by the MIE </w:t>
      </w:r>
      <w:r>
        <w:rPr>
          <w:lang w:val="en-GB"/>
        </w:rPr>
        <w:t xml:space="preserve">are important </w:t>
      </w:r>
      <w:r w:rsidR="00DB48DB">
        <w:rPr>
          <w:lang w:val="en-GB"/>
        </w:rPr>
        <w:t xml:space="preserve">for </w:t>
      </w:r>
      <w:r>
        <w:rPr>
          <w:lang w:val="en-GB"/>
        </w:rPr>
        <w:t xml:space="preserve">understanding why </w:t>
      </w:r>
      <w:r w:rsidR="00DB48DB">
        <w:rPr>
          <w:lang w:val="en-GB"/>
        </w:rPr>
        <w:t xml:space="preserve">a chemical is </w:t>
      </w:r>
      <w:r>
        <w:rPr>
          <w:lang w:val="en-GB"/>
        </w:rPr>
        <w:t>toxic, and the AOP is key to understanding how</w:t>
      </w:r>
      <w:r w:rsidR="00DB48DB">
        <w:rPr>
          <w:lang w:val="en-GB"/>
        </w:rPr>
        <w:t xml:space="preserve"> the </w:t>
      </w:r>
      <w:r w:rsidR="00DB48DB">
        <w:rPr>
          <w:lang w:val="en-GB"/>
        </w:rPr>
        <w:lastRenderedPageBreak/>
        <w:t>perturbation of the system by the chemical leads to toxic outcomes in the organism</w:t>
      </w:r>
      <w:r>
        <w:rPr>
          <w:lang w:val="en-GB"/>
        </w:rPr>
        <w:t xml:space="preserve">. By combining biological and chemical information MIEs can be measured and predicted, and AOPs can be constructed and used to understand the likely toxic outcomes for new molecules. </w:t>
      </w:r>
      <w:r w:rsidRPr="00E12510">
        <w:rPr>
          <w:i/>
          <w:lang w:val="en-GB"/>
        </w:rPr>
        <w:t>In silico</w:t>
      </w:r>
      <w:r>
        <w:rPr>
          <w:lang w:val="en-GB"/>
        </w:rPr>
        <w:t xml:space="preserve"> methods and </w:t>
      </w:r>
      <w:r w:rsidRPr="00E12510">
        <w:rPr>
          <w:i/>
          <w:lang w:val="en-GB"/>
        </w:rPr>
        <w:t>in vitro</w:t>
      </w:r>
      <w:r>
        <w:rPr>
          <w:lang w:val="en-GB"/>
        </w:rPr>
        <w:t xml:space="preserve"> experimental assays play a key role in advancing our understanding and use of MIEs and AOPs in safety science.</w:t>
      </w:r>
      <w:r>
        <w:rPr>
          <w:lang w:val="en-GB"/>
        </w:rPr>
        <w:fldChar w:fldCharType="begin" w:fldLock="1"/>
      </w:r>
      <w:r w:rsidR="001445AC">
        <w:rPr>
          <w:lang w:val="en-GB"/>
        </w:rPr>
        <w:instrText>ADDIN CSL_CITATION {"citationItems":[{"id":"ITEM-1","itemData":{"DOI":"10.14573/altex.1406091","ISBN":"1868-596X (Print) 1868-596X (Linking)","ISSN":"18688551","PMID":"25061899","abstract":"Since March 2013, animal use for cosmetics testing for the European market has been banned. This requires a renewed view on risk assessment in this field. However, in other fields as well, traditional animal experimentation does not always satisfy requirements in safety testing, as the need for human-relevant information is ever increasing. A general strategy for animal-free test approaches was outlined by the US National Research Council`s vision document for Toxicity Testing in the 21st Century in 2007. It is now possible to provide a more defined roadmap on how to implement this vision for the four principal areas of systemic toxicity evaluation: repeat dose organ toxicity, carcinogenicity, reproductive toxicity and allergy induction (skin sensitization), as well as for the evaluation of toxicant metabolism (toxicokinetics) (Fig. 1). CAAT-Europe assembled experts from Europe, America and Asia to design a scientific roadmap for future risk assessment approaches and the outcome was then further discussed and refined in two consensus meetings with over 200 stakeholders. The key recommendations include: focusing on improving existing methods rather than favoring de novo design; combining hazard testing with toxicokinetics predictions; developing integrated test strategies; incorporating new high content endpoints to classical assays; evolving test validation procedures; promoting collaboration and data-sharing of different industrial sectors; integrating new disciplines, such as systems biology and high throughput screening; and involving regulators early on in the test development process. A focus on data quality, combined with increased attention to the scientific background of a test method, will be important drivers. Information from each test system should be mapped along adverse outcome pathways. Finally, quantitative information on all factors and key events will be fed into systems biology models that allow a probabilistic risk assessment with flexible adaptation to exposure scenarios and individual risk factors.","author":[{"dropping-particle":"","family":"Leist","given":"Marcel","non-dropping-particle":"","parse-names":false,"suffix":""},{"dropping-particle":"","family":"Hasiwa","given":"Nina","non-dropping-particle":"","parse-names":false,"suffix":""},{"dropping-particle":"","family":"Rovida","given":"Costanza","non-dropping-particle":"","parse-names":false,"suffix":""},{"dropping-particle":"","family":"Daneshian","given":"Mardas","non-dropping-particle":"","parse-names":false,"suffix":""},{"dropping-particle":"","family":"Basketter","given":"David","non-dropping-particle":"","parse-names":false,"suffix":""},{"dropping-particle":"","family":"Kimber","given":"Ian","non-dropping-particle":"","parse-names":false,"suffix":""},{"dropping-particle":"","family":"Clewell","given":"Harvey","non-dropping-particle":"","parse-names":false,"suffix":""},{"dropping-particle":"","family":"Gocht","given":"Tilman","non-dropping-particle":"","parse-names":false,"suffix":""},{"dropping-particle":"","family":"Goldberg","given":"Alan","non-dropping-particle":"","parse-names":false,"suffix":""},{"dropping-particle":"","family":"Busquet","given":"Francois","non-dropping-particle":"","parse-names":false,"suffix":""},{"dropping-particle":"","family":"Rossi","given":"Anna Maria","non-dropping-particle":"","parse-names":false,"suffix":""},{"dropping-particle":"","family":"Schwarz","given":"Michael","non-dropping-particle":"","parse-names":false,"suffix":""},{"dropping-particle":"","family":"Stephens","given":"Martin","non-dropping-particle":"","parse-names":false,"suffix":""},{"dropping-particle":"","family":"Taalman","given":"Rob","non-dropping-particle":"","parse-names":false,"suffix":""},{"dropping-particle":"","family":"Knudsen","given":"Thomas B.","non-dropping-particle":"","parse-names":false,"suffix":""},{"dropping-particle":"","family":"McKim","given":"James","non-dropping-particle":"","parse-names":false,"suffix":""},{"dropping-particle":"","family":"Harris","given":"Georgina","non-dropping-particle":"","parse-names":false,"suffix":""},{"dropping-particle":"","family":"Pamies","given":"David","non-dropping-particle":"","parse-names":false,"suffix":""},{"dropping-particle":"","family":"Hartung","given":"Thomas","non-dropping-particle":"","parse-names":false,"suffix":""}],"container-title":"ALTEX","id":"ITEM-1","issue":"3","issued":{"date-parts":[["2014"]]},"page":"341-356","title":"Consensus report on the future of animal-free systemic toxicity testing","type":"article-journal","volume":"31"},"uris":["http://www.mendeley.com/documents/?uuid=2b3aca2b-904f-4886-a352-20d3eb1dd620"]}],"mendeley":{"formattedCitation":"&lt;sup&gt;5&lt;/sup&gt;","plainTextFormattedCitation":"5","previouslyFormattedCitation":"&lt;sup&gt;5&lt;/sup&gt;"},"properties":{"noteIndex":0},"schema":"https://github.com/citation-style-language/schema/raw/master/csl-citation.json"}</w:instrText>
      </w:r>
      <w:r>
        <w:rPr>
          <w:lang w:val="en-GB"/>
        </w:rPr>
        <w:fldChar w:fldCharType="separate"/>
      </w:r>
      <w:r w:rsidR="00940D36" w:rsidRPr="00940D36">
        <w:rPr>
          <w:noProof/>
          <w:vertAlign w:val="superscript"/>
          <w:lang w:val="en-GB"/>
        </w:rPr>
        <w:t>5</w:t>
      </w:r>
      <w:r>
        <w:rPr>
          <w:lang w:val="en-GB"/>
        </w:rPr>
        <w:fldChar w:fldCharType="end"/>
      </w:r>
      <w:r>
        <w:rPr>
          <w:lang w:val="en-GB"/>
        </w:rPr>
        <w:t xml:space="preserve"> </w:t>
      </w:r>
    </w:p>
    <w:p w14:paraId="6BB4CD79" w14:textId="523D21CE" w:rsidR="00847E5F" w:rsidRPr="00BA6959" w:rsidRDefault="00531F4D" w:rsidP="00847E5F">
      <w:pPr>
        <w:pStyle w:val="ACSTEXT"/>
        <w:rPr>
          <w:lang w:val="en-GB"/>
        </w:rPr>
      </w:pPr>
      <w:r>
        <w:rPr>
          <w:lang w:val="en-GB"/>
        </w:rPr>
        <w:t xml:space="preserve">The MIE provides a good basis for the construction of </w:t>
      </w:r>
      <w:r w:rsidRPr="00531F4D">
        <w:rPr>
          <w:i/>
          <w:lang w:val="en-GB"/>
        </w:rPr>
        <w:t>in silico</w:t>
      </w:r>
      <w:r>
        <w:rPr>
          <w:lang w:val="en-GB"/>
        </w:rPr>
        <w:t xml:space="preserve"> models as it </w:t>
      </w:r>
      <w:r w:rsidR="00DB48DB">
        <w:rPr>
          <w:lang w:val="en-GB"/>
        </w:rPr>
        <w:t>focuses on the</w:t>
      </w:r>
      <w:r>
        <w:rPr>
          <w:lang w:val="en-GB"/>
        </w:rPr>
        <w:t xml:space="preserve"> biological response </w:t>
      </w:r>
      <w:r w:rsidR="00DB48DB">
        <w:rPr>
          <w:lang w:val="en-GB"/>
        </w:rPr>
        <w:t xml:space="preserve">that is directly tied </w:t>
      </w:r>
      <w:r>
        <w:rPr>
          <w:lang w:val="en-GB"/>
        </w:rPr>
        <w:t>to the chemical features of a compound. As a result of this</w:t>
      </w:r>
      <w:r w:rsidR="000E15BB">
        <w:rPr>
          <w:lang w:val="en-GB"/>
        </w:rPr>
        <w:t>,</w:t>
      </w:r>
      <w:r>
        <w:rPr>
          <w:lang w:val="en-GB"/>
        </w:rPr>
        <w:t xml:space="preserve"> </w:t>
      </w:r>
      <w:r w:rsidRPr="00531F4D">
        <w:rPr>
          <w:i/>
          <w:lang w:val="en-GB"/>
        </w:rPr>
        <w:t>i</w:t>
      </w:r>
      <w:r w:rsidR="000800A0" w:rsidRPr="00531F4D">
        <w:rPr>
          <w:i/>
          <w:lang w:val="en-GB"/>
        </w:rPr>
        <w:t>n</w:t>
      </w:r>
      <w:r w:rsidR="00847E5F" w:rsidRPr="00531F4D">
        <w:rPr>
          <w:i/>
          <w:lang w:val="en-GB"/>
        </w:rPr>
        <w:t xml:space="preserve"> silico</w:t>
      </w:r>
      <w:r w:rsidR="00847E5F">
        <w:rPr>
          <w:lang w:val="en-GB"/>
        </w:rPr>
        <w:t xml:space="preserve"> techniques</w:t>
      </w:r>
      <w:r w:rsidR="000800A0">
        <w:rPr>
          <w:lang w:val="en-GB"/>
        </w:rPr>
        <w:t xml:space="preserve"> have begun to see use in MIE prediction</w:t>
      </w:r>
      <w:r w:rsidR="00DB48DB">
        <w:rPr>
          <w:lang w:val="en-GB"/>
        </w:rPr>
        <w:t>, given that appropriate data is available</w:t>
      </w:r>
      <w:r w:rsidR="000800A0">
        <w:rPr>
          <w:lang w:val="en-GB"/>
        </w:rPr>
        <w:t>.</w:t>
      </w:r>
      <w:r>
        <w:rPr>
          <w:lang w:val="en-GB"/>
        </w:rPr>
        <w:t xml:space="preserve"> </w:t>
      </w:r>
      <w:r w:rsidR="000800A0">
        <w:rPr>
          <w:lang w:val="en-GB"/>
        </w:rPr>
        <w:t>This has included</w:t>
      </w:r>
      <w:r w:rsidR="00D7244D">
        <w:rPr>
          <w:lang w:val="en-GB"/>
        </w:rPr>
        <w:t xml:space="preserve"> the use of molecular modelling approaches to study the interaction of a toxicant with a specific biological target</w:t>
      </w:r>
      <w:r w:rsidR="00D2556B">
        <w:rPr>
          <w:lang w:val="en-GB"/>
        </w:rPr>
        <w:t>.</w:t>
      </w:r>
      <w:r w:rsidR="00D7244D">
        <w:rPr>
          <w:lang w:val="en-GB"/>
        </w:rPr>
        <w:fldChar w:fldCharType="begin" w:fldLock="1"/>
      </w:r>
      <w:r w:rsidR="001445AC">
        <w:rPr>
          <w:lang w:val="en-GB"/>
        </w:rPr>
        <w:instrText>ADDIN CSL_CITATION {"citationItems":[{"id":"ITEM-1","itemData":{"DOI":"10.3390/ijms15057651","ISSN":"1422-0067","PMID":"24857909","abstract":"The comprehensive understanding of the precise mode of action and/or adverse outcome pathway (MoA/AOP) of chemicals has become a key step toward the development of a new generation of predictive toxicology tools. One of the challenges of this process is to test the feasibility of the molecular modelling approaches to explore key molecular initiating events (MIE) within the integrated strategy of MoA/AOP characterisation. The description of MoAs leading to toxicity and liver damage has been the focus of much interest. Growing evidence underlines liver PPARγ ligand-dependent activation as a key MIE in the elicitation of liver steatosis. Synthetic PPARγ full agonists are of special concern, since they may trigger a number of adverse effects not observed with partial agonists. In this study, molecular modelling was performed based on the PPARγ complexes with full agonists extracted from the Protein Data Bank. The receptor binding pocket was analysed, and the specific ligand-receptor interactions were identified for the most active ligands. A pharmacophore model was derived, and the most important pharmacophore features were outlined and characterised in relation to their specific role for PPARγ activation. The results are useful for the characterisation of the chemical space of PPARγ full agonists and could facilitate the development of preliminary filtering rules for the effective virtual ligand screening of compounds with PPARγ full agonistic activity.","author":[{"dropping-particle":"","family":"Tsakovska","given":"Ivanka","non-dropping-particle":"","parse-names":false,"suffix":""},{"dropping-particle":"","family":"Sharif","given":"Merilin","non-dropping-particle":"Al","parse-names":false,"suffix":""},{"dropping-particle":"","family":"Alov","given":"Petko","non-dropping-particle":"","parse-names":false,"suffix":""},{"dropping-particle":"","family":"Diukendjieva","given":"Antonia","non-dropping-particle":"","parse-names":false,"suffix":""},{"dropping-particle":"","family":"Fioravanzo","given":"Elena","non-dropping-particle":"","parse-names":false,"suffix":""},{"dropping-particle":"","family":"Cronin","given":"Mark T D","non-dropping-particle":"","parse-names":false,"suffix":""},{"dropping-particle":"","family":"Pajeva","given":"Ilza","non-dropping-particle":"","parse-names":false,"suffix":""}],"container-title":"International Journal of Molecular Sciences","id":"ITEM-1","issue":"5","issued":{"date-parts":[["2014","1"]]},"page":"7651-7666","title":"Molecular modelling study of the PPARγ receptor in relation to the mode of action/adverse outcome pathway framework for liver steatosis","type":"article-journal","volume":"15"},"uris":["http://www.mendeley.com/documents/?uuid=8edc5a05-ac82-408e-93ff-1d9573ff6fb8"]}],"mendeley":{"formattedCitation":"&lt;sup&gt;6&lt;/sup&gt;","plainTextFormattedCitation":"6","previouslyFormattedCitation":"&lt;sup&gt;6&lt;/sup&gt;"},"properties":{"noteIndex":0},"schema":"https://github.com/citation-style-language/schema/raw/master/csl-citation.json"}</w:instrText>
      </w:r>
      <w:r w:rsidR="00D7244D">
        <w:rPr>
          <w:lang w:val="en-GB"/>
        </w:rPr>
        <w:fldChar w:fldCharType="separate"/>
      </w:r>
      <w:r w:rsidR="00940D36" w:rsidRPr="00940D36">
        <w:rPr>
          <w:noProof/>
          <w:vertAlign w:val="superscript"/>
          <w:lang w:val="en-GB"/>
        </w:rPr>
        <w:t>6</w:t>
      </w:r>
      <w:r w:rsidR="00D7244D">
        <w:rPr>
          <w:lang w:val="en-GB"/>
        </w:rPr>
        <w:fldChar w:fldCharType="end"/>
      </w:r>
      <w:r w:rsidR="001D530B">
        <w:rPr>
          <w:lang w:val="en-GB"/>
        </w:rPr>
        <w:t xml:space="preserve"> </w:t>
      </w:r>
      <w:r w:rsidR="00D2556B">
        <w:rPr>
          <w:lang w:val="en-GB"/>
        </w:rPr>
        <w:t>In addition</w:t>
      </w:r>
      <w:r w:rsidR="002A1991">
        <w:rPr>
          <w:lang w:val="en-GB"/>
        </w:rPr>
        <w:t>,</w:t>
      </w:r>
      <w:r w:rsidR="001D530B">
        <w:rPr>
          <w:lang w:val="en-GB"/>
        </w:rPr>
        <w:t xml:space="preserve"> the use of key concepts in a chemical reaction</w:t>
      </w:r>
      <w:r w:rsidR="00D2556B">
        <w:rPr>
          <w:lang w:val="en-GB"/>
        </w:rPr>
        <w:t xml:space="preserve"> have led</w:t>
      </w:r>
      <w:r w:rsidR="001D530B">
        <w:rPr>
          <w:lang w:val="en-GB"/>
        </w:rPr>
        <w:t xml:space="preserve"> to </w:t>
      </w:r>
      <w:r w:rsidR="008606CC">
        <w:rPr>
          <w:lang w:val="en-GB"/>
        </w:rPr>
        <w:t xml:space="preserve">a </w:t>
      </w:r>
      <w:r w:rsidR="001D530B">
        <w:rPr>
          <w:lang w:val="en-GB"/>
        </w:rPr>
        <w:t>better understand</w:t>
      </w:r>
      <w:r w:rsidR="00D2556B">
        <w:rPr>
          <w:lang w:val="en-GB"/>
        </w:rPr>
        <w:t>ing of</w:t>
      </w:r>
      <w:r w:rsidR="001D530B">
        <w:rPr>
          <w:lang w:val="en-GB"/>
        </w:rPr>
        <w:t xml:space="preserve"> how and why some </w:t>
      </w:r>
      <w:r w:rsidR="00D2556B">
        <w:rPr>
          <w:lang w:val="en-GB"/>
        </w:rPr>
        <w:t xml:space="preserve">chemicals are genotoxic, and models have been constructed </w:t>
      </w:r>
      <w:r w:rsidR="001D530B">
        <w:rPr>
          <w:lang w:val="en-GB"/>
        </w:rPr>
        <w:t>to reflect this.</w:t>
      </w:r>
      <w:r w:rsidR="001D530B">
        <w:rPr>
          <w:lang w:val="en-GB"/>
        </w:rPr>
        <w:fldChar w:fldCharType="begin" w:fldLock="1"/>
      </w:r>
      <w:r w:rsidR="001445AC">
        <w:rPr>
          <w:lang w:val="en-GB"/>
        </w:rPr>
        <w:instrText>ADDIN CSL_CITATION {"citationItems":[{"id":"ITEM-1","itemData":{"abstract":"An important molecular initiating event for genotoxicity is the ability of a compound to bind covalently with DNA. However, not all compounds that can undergo covalent binding mechanisms will result in genotoxicity. One approach to solving this problem, when in silico prediction techniques are being used, is to develop tools that allow chemicals to be grouped into categories based on their ability to bind covalently to DNA. For this analysis to take place, compounds need to be placed within categories where the trend in toxicity can be explained by simple descriptors, such as hydrophobicity. However, this can occur only when the compounds within a category are structurally and mechanistically similar. Chemistry-based profilers have the ability to screen compounds and highlight those with similar structures to a target compound, and are thus likely to act via a similar mechanism of action. Here, examples are reported to highlight how structure-based profilers can be used to form categories and hence fill data gaps. The importance of developing a well-defined and robust category is discussed in terms of both mechanisms of action and structural similarity.","author":[{"dropping-particle":"","family":"Enoch","given":"Steven J","non-dropping-particle":"","parse-names":false,"suffix":""},{"dropping-particle":"","family":"Cronin","given":"Mark T D","non-dropping-particle":"","parse-names":false,"suffix":""},{"dropping-particle":"","family":"Ellison","given":"Claire M","non-dropping-particle":"","parse-names":false,"suffix":""}],"container-title":"ATLA","id":"ITEM-1","issue":"2","issued":{"date-parts":[["2011"]]},"page":"131-145","title":"The use of a chemistry-based profiler for covalent DNA binding in the development of chemical categories for read-across for genotoxicity.","type":"article-journal","volume":"39"},"uris":["http://www.mendeley.com/documents/?uuid=d395537c-94e8-412e-bd40-49d91dc6f1e4"]}],"mendeley":{"formattedCitation":"&lt;sup&gt;7&lt;/sup&gt;","plainTextFormattedCitation":"7","previouslyFormattedCitation":"&lt;sup&gt;7&lt;/sup&gt;"},"properties":{"noteIndex":0},"schema":"https://github.com/citation-style-language/schema/raw/master/csl-citation.json"}</w:instrText>
      </w:r>
      <w:r w:rsidR="001D530B">
        <w:rPr>
          <w:lang w:val="en-GB"/>
        </w:rPr>
        <w:fldChar w:fldCharType="separate"/>
      </w:r>
      <w:r w:rsidR="001D530B" w:rsidRPr="001D530B">
        <w:rPr>
          <w:noProof/>
          <w:vertAlign w:val="superscript"/>
          <w:lang w:val="en-GB"/>
        </w:rPr>
        <w:t>7</w:t>
      </w:r>
      <w:r w:rsidR="001D530B">
        <w:rPr>
          <w:lang w:val="en-GB"/>
        </w:rPr>
        <w:fldChar w:fldCharType="end"/>
      </w:r>
      <w:r w:rsidR="001D530B">
        <w:rPr>
          <w:lang w:val="en-GB"/>
        </w:rPr>
        <w:t xml:space="preserve"> </w:t>
      </w:r>
      <w:r w:rsidR="001D530B" w:rsidRPr="001D530B">
        <w:rPr>
          <w:i/>
          <w:lang w:val="en-GB"/>
        </w:rPr>
        <w:t>In silico</w:t>
      </w:r>
      <w:r w:rsidR="001D530B">
        <w:rPr>
          <w:lang w:val="en-GB"/>
        </w:rPr>
        <w:t xml:space="preserve"> models of </w:t>
      </w:r>
      <w:r>
        <w:rPr>
          <w:lang w:val="en-GB"/>
        </w:rPr>
        <w:t>large amounts of receptor binding data from open sources have been constructed using 2D structure activity relationships (SARs) for human targets, for use in relatively quick and inexpensive screening procedures.</w:t>
      </w:r>
      <w:r>
        <w:rPr>
          <w:lang w:val="en-GB"/>
        </w:rPr>
        <w:fldChar w:fldCharType="begin" w:fldLock="1"/>
      </w:r>
      <w:r w:rsidR="001445AC">
        <w:rPr>
          <w:lang w:val="en-GB"/>
        </w:rPr>
        <w:instrText>ADDIN CSL_CITATION {"citationItems":[{"id":"ITEM-1","itemData":{"DOI":"10.1021/acs.chemrestox.6b00101","ISSN":"15205010","author":[{"dropping-particle":"","family":"Allen","given":"Timothy E H","non-dropping-particle":"","parse-names":false,"suffix":""},{"dropping-particle":"","family":"Liggi","given":"Sonia","non-dropping-particle":"","parse-names":false,"suffix":""},{"dropping-particle":"","family":"Goodman","given":"Jonathan M","non-dropping-particle":"","parse-names":false,"suffix":""},{"dropping-particle":"","family":"Gutsell","given":"Steve","non-dropping-particle":"","parse-names":false,"suffix":""},{"dropping-particle":"","family":"Russell","given":"Paul J","non-dropping-particle":"","parse-names":false,"suffix":""}],"container-title":"Chemical Research in Toxicology","id":"ITEM-1","issue":"10","issued":{"date-parts":[["2016"]]},"page":"2060-2070","title":"Using Molecular Initiating Events to Generate 2D Structure Activity Relationships for Toxicity Screening","type":"article-journal","volume":"29"},"uris":["http://www.mendeley.com/documents/?uuid=c5dc4d3d-f3e6-46e6-a502-bef2426b67af"]}],"mendeley":{"formattedCitation":"&lt;sup&gt;8&lt;/sup&gt;","plainTextFormattedCitation":"8","previouslyFormattedCitation":"&lt;sup&gt;8&lt;/sup&gt;"},"properties":{"noteIndex":0},"schema":"https://github.com/citation-style-language/schema/raw/master/csl-citation.json"}</w:instrText>
      </w:r>
      <w:r>
        <w:rPr>
          <w:lang w:val="en-GB"/>
        </w:rPr>
        <w:fldChar w:fldCharType="separate"/>
      </w:r>
      <w:r w:rsidRPr="00531F4D">
        <w:rPr>
          <w:noProof/>
          <w:vertAlign w:val="superscript"/>
          <w:lang w:val="en-GB"/>
        </w:rPr>
        <w:t>8</w:t>
      </w:r>
      <w:r>
        <w:rPr>
          <w:lang w:val="en-GB"/>
        </w:rPr>
        <w:fldChar w:fldCharType="end"/>
      </w:r>
      <w:r>
        <w:rPr>
          <w:lang w:val="en-GB"/>
        </w:rPr>
        <w:t xml:space="preserve"> In addition to the MIE, </w:t>
      </w:r>
      <w:r w:rsidRPr="00531F4D">
        <w:rPr>
          <w:i/>
          <w:lang w:val="en-GB"/>
        </w:rPr>
        <w:t>in silico</w:t>
      </w:r>
      <w:r>
        <w:rPr>
          <w:lang w:val="en-GB"/>
        </w:rPr>
        <w:t xml:space="preserve"> mathematical modelling</w:t>
      </w:r>
      <w:r w:rsidR="002A1991">
        <w:rPr>
          <w:lang w:val="en-GB"/>
        </w:rPr>
        <w:t xml:space="preserve"> utilizing </w:t>
      </w:r>
      <w:r w:rsidR="002A1991" w:rsidRPr="00362FE1">
        <w:rPr>
          <w:i/>
          <w:iCs/>
          <w:lang w:val="en-GB"/>
        </w:rPr>
        <w:t>in vitro</w:t>
      </w:r>
      <w:r w:rsidR="002A1991">
        <w:rPr>
          <w:lang w:val="en-GB"/>
        </w:rPr>
        <w:t xml:space="preserve"> assay results</w:t>
      </w:r>
      <w:r>
        <w:rPr>
          <w:lang w:val="en-GB"/>
        </w:rPr>
        <w:t xml:space="preserve"> has been used to link KEs </w:t>
      </w:r>
      <w:r w:rsidR="008606CC">
        <w:rPr>
          <w:lang w:val="en-GB"/>
        </w:rPr>
        <w:t>through their key event relationships (</w:t>
      </w:r>
      <w:r>
        <w:rPr>
          <w:lang w:val="en-GB"/>
        </w:rPr>
        <w:t>KERs</w:t>
      </w:r>
      <w:r w:rsidR="008606CC">
        <w:rPr>
          <w:lang w:val="en-GB"/>
        </w:rPr>
        <w:t>)</w:t>
      </w:r>
      <w:r>
        <w:rPr>
          <w:lang w:val="en-GB"/>
        </w:rPr>
        <w:t xml:space="preserve"> further down the AOP for skin sensitization, allowing a link to be established between molecular concentration</w:t>
      </w:r>
      <w:r w:rsidR="003328D2">
        <w:rPr>
          <w:lang w:val="en-GB"/>
        </w:rPr>
        <w:t xml:space="preserve"> of the sensitizer</w:t>
      </w:r>
      <w:r>
        <w:rPr>
          <w:lang w:val="en-GB"/>
        </w:rPr>
        <w:t xml:space="preserve"> and T cell response.</w:t>
      </w:r>
      <w:r>
        <w:rPr>
          <w:lang w:val="en-GB"/>
        </w:rPr>
        <w:fldChar w:fldCharType="begin" w:fldLock="1"/>
      </w:r>
      <w:r w:rsidR="001445AC">
        <w:rPr>
          <w:lang w:val="en-GB"/>
        </w:rPr>
        <w:instrText>ADDIN CSL_CITATION {"citationItems":[{"id":"ITEM-1","itemData":{"DOI":"10.14573/altex.2013.4.473","ISBN":"1868-596X (Print)","ISSN":"1868596X","PMID":"23743629","abstract":"Consumer safety risk assessment of skin sensitization requires information on the both consumer exposure to the ingredient through product use and the hazardous properties of the ingredient. Significant progress has been made in determining the hazard potential of ingredients without animal testing. However, hazard identification is insufficient for risk assessment and an understanding of the dose-response is needed. Obtaining such knowledge without animal testing is challenging, and requires applying available mechanistic knowledge to both assay development and the integration of these data. The recent OECD report 'The Adverse Outcome Pathway for Skin Sensitisation Initiated by Covalent Binding to Proteins' presents the available mechanistic knowledge of the sensitization response within an adverse outcome pathway (AOP). We propose to use this AOP as the mechanistic basis for physiologically- and mechanistically-based toxicokinetic-toxicodynamic models of the sensitization response. The approach would be informed by non-animal data, provide predictions of the dose-response required for risk assessment and would be evaluated against human clinical data.","author":[{"dropping-particle":"","family":"MacKay","given":"Cameron","non-dropping-particle":"","parse-names":false,"suffix":""},{"dropping-particle":"","family":"Davies","given":"Michael","non-dropping-particle":"","parse-names":false,"suffix":""},{"dropping-particle":"","family":"Summerfield","given":"Vicki","non-dropping-particle":"","parse-names":false,"suffix":""},{"dropping-particle":"","family":"Maxwell","given":"Gavin","non-dropping-particle":"","parse-names":false,"suffix":""}],"container-title":"ALTEX","id":"ITEM-1","issue":"4","issued":{"date-parts":[["2013"]]},"page":"473-486","title":"From pathways to people: Applying the adverse outcome pathway (AOP) for skin sensitization to risk assessment","type":"article-journal","volume":"30"},"uris":["http://www.mendeley.com/documents/?uuid=2e5023e8-8c26-429f-b7a7-8bf940cad378"]}],"mendeley":{"formattedCitation":"&lt;sup&gt;9&lt;/sup&gt;","plainTextFormattedCitation":"9","previouslyFormattedCitation":"&lt;sup&gt;9&lt;/sup&gt;"},"properties":{"noteIndex":0},"schema":"https://github.com/citation-style-language/schema/raw/master/csl-citation.json"}</w:instrText>
      </w:r>
      <w:r>
        <w:rPr>
          <w:lang w:val="en-GB"/>
        </w:rPr>
        <w:fldChar w:fldCharType="separate"/>
      </w:r>
      <w:r w:rsidRPr="00531F4D">
        <w:rPr>
          <w:noProof/>
          <w:vertAlign w:val="superscript"/>
          <w:lang w:val="en-GB"/>
        </w:rPr>
        <w:t>9</w:t>
      </w:r>
      <w:r>
        <w:rPr>
          <w:lang w:val="en-GB"/>
        </w:rPr>
        <w:fldChar w:fldCharType="end"/>
      </w:r>
      <w:r>
        <w:rPr>
          <w:lang w:val="en-GB"/>
        </w:rPr>
        <w:t xml:space="preserve"> The establishment of such models and their refinement will be important in the application of AOPs, aiding in making toxicological risk assessment more rapid and less expensive.</w:t>
      </w:r>
    </w:p>
    <w:p w14:paraId="2C566FDC" w14:textId="0041B5ED" w:rsidR="005D0DF8" w:rsidRPr="00BA6959" w:rsidRDefault="005D0DF8" w:rsidP="00847E5F">
      <w:pPr>
        <w:pStyle w:val="ACSTEXT"/>
        <w:rPr>
          <w:lang w:val="en-GB"/>
        </w:rPr>
      </w:pPr>
      <w:r>
        <w:rPr>
          <w:lang w:val="en-GB"/>
        </w:rPr>
        <w:t xml:space="preserve">The combination of </w:t>
      </w:r>
      <w:r w:rsidRPr="00597EB8">
        <w:rPr>
          <w:i/>
          <w:lang w:val="en-GB"/>
        </w:rPr>
        <w:t>in silico</w:t>
      </w:r>
      <w:r>
        <w:rPr>
          <w:lang w:val="en-GB"/>
        </w:rPr>
        <w:t xml:space="preserve"> computational models and </w:t>
      </w:r>
      <w:r w:rsidRPr="00597EB8">
        <w:rPr>
          <w:i/>
          <w:lang w:val="en-GB"/>
        </w:rPr>
        <w:t>in vitro</w:t>
      </w:r>
      <w:r>
        <w:rPr>
          <w:lang w:val="en-GB"/>
        </w:rPr>
        <w:t xml:space="preserve"> assays in toxicology will be a valuable step in the effort to improve mechanistic understanding and scientific </w:t>
      </w:r>
      <w:proofErr w:type="gramStart"/>
      <w:r>
        <w:rPr>
          <w:lang w:val="en-GB"/>
        </w:rPr>
        <w:t>rigor, and</w:t>
      </w:r>
      <w:proofErr w:type="gramEnd"/>
      <w:r>
        <w:rPr>
          <w:lang w:val="en-GB"/>
        </w:rPr>
        <w:t xml:space="preserve"> reduce reliance on </w:t>
      </w:r>
      <w:r w:rsidRPr="00597EB8">
        <w:rPr>
          <w:i/>
          <w:lang w:val="en-GB"/>
        </w:rPr>
        <w:t>in vivo</w:t>
      </w:r>
      <w:r>
        <w:rPr>
          <w:lang w:val="en-GB"/>
        </w:rPr>
        <w:t xml:space="preserve"> experiments in toxicology. The AOP framework provides a good grounding for </w:t>
      </w:r>
      <w:r>
        <w:rPr>
          <w:lang w:val="en-GB"/>
        </w:rPr>
        <w:lastRenderedPageBreak/>
        <w:t>this, as once KEs and KERs are identified and characterized</w:t>
      </w:r>
      <w:r w:rsidR="00FA6C70">
        <w:rPr>
          <w:lang w:val="en-GB"/>
        </w:rPr>
        <w:t>,</w:t>
      </w:r>
      <w:r>
        <w:rPr>
          <w:lang w:val="en-GB"/>
        </w:rPr>
        <w:t xml:space="preserve"> models and assays can be developed to predict and measure them in a </w:t>
      </w:r>
      <w:r w:rsidR="008606CC">
        <w:rPr>
          <w:lang w:val="en-GB"/>
        </w:rPr>
        <w:t xml:space="preserve">manner </w:t>
      </w:r>
      <w:r>
        <w:rPr>
          <w:lang w:val="en-GB"/>
        </w:rPr>
        <w:t xml:space="preserve">mutually beneficial </w:t>
      </w:r>
      <w:r w:rsidR="008606CC">
        <w:rPr>
          <w:lang w:val="en-GB"/>
        </w:rPr>
        <w:t xml:space="preserve">to </w:t>
      </w:r>
      <w:r w:rsidR="008606CC" w:rsidRPr="00B155B2">
        <w:rPr>
          <w:i/>
          <w:lang w:val="en-GB"/>
        </w:rPr>
        <w:t>in vitro</w:t>
      </w:r>
      <w:r w:rsidR="008606CC">
        <w:rPr>
          <w:lang w:val="en-GB"/>
        </w:rPr>
        <w:t xml:space="preserve"> and </w:t>
      </w:r>
      <w:r w:rsidR="008606CC" w:rsidRPr="00B155B2">
        <w:rPr>
          <w:i/>
          <w:lang w:val="en-GB"/>
        </w:rPr>
        <w:t>in silico</w:t>
      </w:r>
      <w:r w:rsidR="008606CC">
        <w:rPr>
          <w:lang w:val="en-GB"/>
        </w:rPr>
        <w:t xml:space="preserve"> science</w:t>
      </w:r>
      <w:r>
        <w:rPr>
          <w:lang w:val="en-GB"/>
        </w:rPr>
        <w:t xml:space="preserve">. This is beginning to become a more common theme in toxicology research, including recent efforts to identify complimentary </w:t>
      </w:r>
      <w:r w:rsidRPr="00597EB8">
        <w:rPr>
          <w:i/>
          <w:lang w:val="en-GB"/>
        </w:rPr>
        <w:t>in silico</w:t>
      </w:r>
      <w:r>
        <w:rPr>
          <w:lang w:val="en-GB"/>
        </w:rPr>
        <w:t xml:space="preserve"> and </w:t>
      </w:r>
      <w:r w:rsidRPr="00597EB8">
        <w:rPr>
          <w:i/>
          <w:lang w:val="en-GB"/>
        </w:rPr>
        <w:t>in vitro</w:t>
      </w:r>
      <w:r>
        <w:rPr>
          <w:lang w:val="en-GB"/>
        </w:rPr>
        <w:t xml:space="preserve"> approaches for the identification of parent compounds which produce active metabolites in estrogen receptor binding,</w:t>
      </w:r>
      <w:r>
        <w:rPr>
          <w:lang w:val="en-GB"/>
        </w:rPr>
        <w:fldChar w:fldCharType="begin" w:fldLock="1"/>
      </w:r>
      <w:r w:rsidR="001445AC">
        <w:rPr>
          <w:lang w:val="en-GB"/>
        </w:rPr>
        <w:instrText>ADDIN CSL_CITATION {"citationItems":[{"id":"ITEM-1","itemData":{"DOI":"10.1016/j.comtox.2017.10.003","ISSN":"24681113","author":[{"dropping-particle":"","family":"Leonard","given":"Jeremy A.","non-dropping-particle":"","parse-names":false,"suffix":""},{"dropping-particle":"","family":"Stevens","given":"Caroline","non-dropping-particle":"","parse-names":false,"suffix":""},{"dropping-particle":"","family":"Mansouri","given":"Kamel","non-dropping-particle":"","parse-names":false,"suffix":""},{"dropping-particle":"","family":"Chang","given":"Daniel","non-dropping-particle":"","parse-names":false,"suffix":""},{"dropping-particle":"","family":"Pudukodu","given":"Harish","non-dropping-particle":"","parse-names":false,"suffix":""},{"dropping-particle":"","family":"Smith","given":"Sherrie","non-dropping-particle":"","parse-names":false,"suffix":""},{"dropping-particle":"","family":"Tan","given":"Yu-Mei","non-dropping-particle":"","parse-names":false,"suffix":""}],"container-title":"Computational Toxicology","id":"ITEM-1","issued":{"date-parts":[["2017"]]},"title":"A Workflow for Identifying Metabolically Active Chemicals to Complement in vitro Toxicity Screening","type":"article-journal"},"uris":["http://www.mendeley.com/documents/?uuid=4e76047e-79e8-4ff5-ac35-3a73a8eca434"]}],"mendeley":{"formattedCitation":"&lt;sup&gt;10&lt;/sup&gt;","plainTextFormattedCitation":"10","previouslyFormattedCitation":"&lt;sup&gt;10&lt;/sup&gt;"},"properties":{"noteIndex":0},"schema":"https://github.com/citation-style-language/schema/raw/master/csl-citation.json"}</w:instrText>
      </w:r>
      <w:r>
        <w:rPr>
          <w:lang w:val="en-GB"/>
        </w:rPr>
        <w:fldChar w:fldCharType="separate"/>
      </w:r>
      <w:r w:rsidR="00531F4D" w:rsidRPr="00531F4D">
        <w:rPr>
          <w:noProof/>
          <w:vertAlign w:val="superscript"/>
          <w:lang w:val="en-GB"/>
        </w:rPr>
        <w:t>10</w:t>
      </w:r>
      <w:r>
        <w:rPr>
          <w:lang w:val="en-GB"/>
        </w:rPr>
        <w:fldChar w:fldCharType="end"/>
      </w:r>
      <w:r>
        <w:rPr>
          <w:lang w:val="en-GB"/>
        </w:rPr>
        <w:t xml:space="preserve"> and comparisons between </w:t>
      </w:r>
      <w:r w:rsidRPr="00597EB8">
        <w:rPr>
          <w:i/>
          <w:lang w:val="en-GB"/>
        </w:rPr>
        <w:t>in silico</w:t>
      </w:r>
      <w:r>
        <w:rPr>
          <w:lang w:val="en-GB"/>
        </w:rPr>
        <w:t xml:space="preserve">, </w:t>
      </w:r>
      <w:r w:rsidRPr="00597EB8">
        <w:rPr>
          <w:i/>
          <w:lang w:val="en-GB"/>
        </w:rPr>
        <w:t>in vitro</w:t>
      </w:r>
      <w:r>
        <w:rPr>
          <w:lang w:val="en-GB"/>
        </w:rPr>
        <w:t xml:space="preserve"> and </w:t>
      </w:r>
      <w:r w:rsidRPr="00597EB8">
        <w:rPr>
          <w:i/>
          <w:lang w:val="en-GB"/>
        </w:rPr>
        <w:t>in vivo</w:t>
      </w:r>
      <w:r>
        <w:rPr>
          <w:lang w:val="en-GB"/>
        </w:rPr>
        <w:t xml:space="preserve"> approaches in skin sensitization.</w:t>
      </w:r>
      <w:r>
        <w:rPr>
          <w:lang w:val="en-GB"/>
        </w:rPr>
        <w:fldChar w:fldCharType="begin" w:fldLock="1"/>
      </w:r>
      <w:r w:rsidR="001445AC">
        <w:rPr>
          <w:lang w:val="en-GB"/>
        </w:rPr>
        <w:instrText>ADDIN CSL_CITATION {"citationItems":[{"id":"ITEM-1","itemData":{"DOI":"10.1016/j.yrtph.2017.09.023","ISSN":"02732300","author":[{"dropping-particle":"","family":"Kreiling","given":"Reinhard","non-dropping-particle":"","parse-names":false,"suffix":""},{"dropping-particle":"","family":"Gehrke","given":"Helge","non-dropping-particle":"","parse-names":false,"suffix":""},{"dropping-particle":"","family":"Broschard","given":"Thomas H.","non-dropping-particle":"","parse-names":false,"suffix":""},{"dropping-particle":"","family":"Dreeßen","given":"Birte","non-dropping-particle":"","parse-names":false,"suffix":""},{"dropping-particle":"","family":"Eigler","given":"Dorothea","non-dropping-particle":"","parse-names":false,"suffix":""},{"dropping-particle":"","family":"Hart","given":"David","non-dropping-particle":"","parse-names":false,"suffix":""},{"dropping-particle":"","family":"Höpflinger","given":"Veronika","non-dropping-particle":"","parse-names":false,"suffix":""},{"dropping-particle":"","family":"Kleber","given":"Marcus","non-dropping-particle":"","parse-names":false,"suffix":""},{"dropping-particle":"","family":"Kupny","given":"Joanna","non-dropping-particle":"","parse-names":false,"suffix":""},{"dropping-particle":"","family":"Li","given":"Qiang","non-dropping-particle":"","parse-names":false,"suffix":""},{"dropping-particle":"","family":"Ungeheuer","given":"Peter","non-dropping-particle":"","parse-names":false,"suffix":""},{"dropping-particle":"","family":"Sauer","given":"Ursula G.","non-dropping-particle":"","parse-names":false,"suffix":""}],"container-title":"Regulatory Toxicology and Pharmacology","id":"ITEM-1","issue":"July","issued":{"date-parts":[["2017"]]},"page":"262-276","title":"In chemico, in vitro and in vivo comparison of the skin sensitizing potential of eight unsaturated and one saturated lipid compounds","type":"article-journal","volume":"90"},"uris":["http://www.mendeley.com/documents/?uuid=6754dbe0-16d0-410e-a8aa-0edf96e815c4"]}],"mendeley":{"formattedCitation":"&lt;sup&gt;11&lt;/sup&gt;","plainTextFormattedCitation":"11","previouslyFormattedCitation":"&lt;sup&gt;11&lt;/sup&gt;"},"properties":{"noteIndex":0},"schema":"https://github.com/citation-style-language/schema/raw/master/csl-citation.json"}</w:instrText>
      </w:r>
      <w:r>
        <w:rPr>
          <w:lang w:val="en-GB"/>
        </w:rPr>
        <w:fldChar w:fldCharType="separate"/>
      </w:r>
      <w:r w:rsidR="00531F4D" w:rsidRPr="00531F4D">
        <w:rPr>
          <w:noProof/>
          <w:vertAlign w:val="superscript"/>
          <w:lang w:val="en-GB"/>
        </w:rPr>
        <w:t>11</w:t>
      </w:r>
      <w:r>
        <w:rPr>
          <w:lang w:val="en-GB"/>
        </w:rPr>
        <w:fldChar w:fldCharType="end"/>
      </w:r>
    </w:p>
    <w:p w14:paraId="5B606515" w14:textId="766B145A" w:rsidR="000800A0" w:rsidRPr="00BA6959" w:rsidRDefault="00BE61E4" w:rsidP="00847E5F">
      <w:pPr>
        <w:pStyle w:val="ACSTEXT"/>
        <w:rPr>
          <w:lang w:val="en-GB"/>
        </w:rPr>
      </w:pPr>
      <w:r>
        <w:rPr>
          <w:lang w:val="en-GB"/>
        </w:rPr>
        <w:t xml:space="preserve">The US EPA Toxicity Forecasting (ToxCast) project has involved the generation of large amount of high throughput </w:t>
      </w:r>
      <w:r w:rsidRPr="00597EB8">
        <w:rPr>
          <w:i/>
          <w:lang w:val="en-GB"/>
        </w:rPr>
        <w:t>in vitro</w:t>
      </w:r>
      <w:r>
        <w:rPr>
          <w:lang w:val="en-GB"/>
        </w:rPr>
        <w:t xml:space="preserve"> data (O</w:t>
      </w:r>
      <w:r w:rsidR="00D85090">
        <w:rPr>
          <w:lang w:val="en-GB"/>
        </w:rPr>
        <w:t>ver 4000 chemicals tested in between 100 and</w:t>
      </w:r>
      <w:r>
        <w:rPr>
          <w:lang w:val="en-GB"/>
        </w:rPr>
        <w:t xml:space="preserve"> 700 assays).</w:t>
      </w:r>
      <w:r w:rsidR="00C63E1E">
        <w:rPr>
          <w:lang w:val="en-GB"/>
        </w:rPr>
        <w:fldChar w:fldCharType="begin" w:fldLock="1"/>
      </w:r>
      <w:r w:rsidR="001445AC">
        <w:rPr>
          <w:lang w:val="en-GB"/>
        </w:rPr>
        <w:instrText>ADDIN CSL_CITATION {"citationItems":[{"id":"ITEM-1","itemData":{"URL":"https://www.epa.gov/chemical-research/toxicity-forecasting","id":"ITEM-1","issued":{"date-parts":[["0"]]},"title":"ToxCast database","type":"webpage"},"uris":["http://www.mendeley.com/documents/?uuid=3a80fb1f-fc68-4344-8ade-b1ab582df0b7"]},{"id":"ITEM-2","itemData":{"DOI":"10.1021/acs.chemrestox.6b00135","ISBN":"0893-228X","ISSN":"15205010","PMID":"27367298","abstract":"The U.S. Environmental Protection Agency's (EPA) ToxCast program is testing a large library of Agency-relevant chemicals using in vitro high-throughput screening (HTS) approaches to support the development of improved toxicity prediction models. Launched in 2007, Phase I of the program screened 310 chemicals, mostly pesticides, across hundreds of ToxCast assay end points. In Phase II, the ToxCast library was expanded to 1878 chemicals, culminating in the public release of screening data at the end of 2013. Subsequent expansion in Phase III has resulted in more than 3800 chemicals actively undergoing ToxCast screening, 96% of which are also being screened in the multi-Agency Tox21 project. The chemical library unpinning these efforts plays a central role in defining the scope and potential application of ToxCast HTS results. The history of the phased construction of EPA's ToxCast library is reviewed, followed by a survey of the library contents from several different vantage points. CAS Registry Numbers are used to assess ToxCast library coverage of important toxicity, regulatory, and exposure inventories. Structure-based representations of ToxCast chemicals are then used to compute physicochemical properties, substructural features, and structural alerts for toxicity and biotransformation. Cheminformatics approaches using these varied representations are applied to defining the boundaries of HTS testability, evaluating chemical diversity, and comparing the ToxCast library to potential target application inventories, such as used in EPA's Endocrine Disruption Screening Program (EDSP). Through several examples, the ToxCast chemical library is demonstrated to provide comprehensive coverage of the knowledge domains and target inventories of potential interest to EPA. Furthermore, the varied representations and approaches presented here define local chemistry domains potentially worthy of further investigation (e.g., not currently covered in the testing library or defined by toxicity \"alerts\") to strategically support data mining and predictive toxicology modeling moving forward.","author":[{"dropping-particle":"","family":"Richard","given":"Ann M.","non-dropping-particle":"","parse-names":false,"suffix":""},{"dropping-particle":"","family":"Judson","given":"Richard S.","non-dropping-particle":"","parse-names":false,"suffix":""},{"dropping-particle":"","family":"Houck","given":"Keith A.","non-dropping-particle":"","parse-names":false,"suffix":""},{"dropping-particle":"","family":"Grulke","given":"Christopher M.","non-dropping-particle":"","parse-names":false,"suffix":""},{"dropping-particle":"","family":"Volarath","given":"Patra","non-dropping-particle":"","parse-names":false,"suffix":""},{"dropping-particle":"","family":"Thillainadarajah","given":"Inthirany","non-dropping-particle":"","parse-names":false,"suffix":""},{"dropping-particle":"","family":"Yang","given":"Chihae","non-dropping-particle":"","parse-names":false,"suffix":""},{"dropping-particle":"","family":"Rathman","given":"James","non-dropping-particle":"","parse-names":false,"suffix":""},{"dropping-particle":"","family":"Martin","given":"Matthew T.","non-dropping-particle":"","parse-names":false,"suffix":""},{"dropping-particle":"","family":"Wambaugh","given":"John F.","non-dropping-particle":"","parse-names":false,"suffix":""},{"dropping-particle":"","family":"Knudsen","given":"Thomas B.","non-dropping-particle":"","parse-names":false,"suffix":""},{"dropping-particle":"","family":"Kancherla","given":"Jayaram","non-dropping-particle":"","parse-names":false,"suffix":""},{"dropping-particle":"","family":"Mansouri","given":"Kamel","non-dropping-particle":"","parse-names":false,"suffix":""},{"dropping-particle":"","family":"Patlewicz","given":"Grace","non-dropping-particle":"","parse-names":false,"suffix":""},{"dropping-particle":"","family":"Williams","given":"Antony J.","non-dropping-particle":"","parse-names":false,"suffix":""},{"dropping-particle":"","family":"Little","given":"Stephen B.","non-dropping-particle":"","parse-names":false,"suffix":""},{"dropping-particle":"","family":"Crofton","given":"Kevin M.","non-dropping-particle":"","parse-names":false,"suffix":""},{"dropping-particle":"","family":"Thomas","given":"Russell S.","non-dropping-particle":"","parse-names":false,"suffix":""}],"container-title":"Chemical Research in Toxicology","id":"ITEM-2","issue":"8","issued":{"date-parts":[["2016"]]},"page":"1225-1251","title":"ToxCast Chemical Landscape: Paving the Road to 21st Century Toxicology","type":"article-journal","volume":"29"},"uris":["http://www.mendeley.com/documents/?uuid=0893590a-55b9-414d-a3f3-2b2794c2deaa"]}],"mendeley":{"formattedCitation":"&lt;sup&gt;12,13&lt;/sup&gt;","plainTextFormattedCitation":"12,13","previouslyFormattedCitation":"&lt;sup&gt;12,13&lt;/sup&gt;"},"properties":{"noteIndex":0},"schema":"https://github.com/citation-style-language/schema/raw/master/csl-citation.json"}</w:instrText>
      </w:r>
      <w:r w:rsidR="00C63E1E">
        <w:rPr>
          <w:lang w:val="en-GB"/>
        </w:rPr>
        <w:fldChar w:fldCharType="separate"/>
      </w:r>
      <w:r w:rsidR="00D85090" w:rsidRPr="00D85090">
        <w:rPr>
          <w:noProof/>
          <w:vertAlign w:val="superscript"/>
          <w:lang w:val="en-GB"/>
        </w:rPr>
        <w:t>12,13</w:t>
      </w:r>
      <w:r w:rsidR="00C63E1E">
        <w:rPr>
          <w:lang w:val="en-GB"/>
        </w:rPr>
        <w:fldChar w:fldCharType="end"/>
      </w:r>
      <w:r>
        <w:rPr>
          <w:lang w:val="en-GB"/>
        </w:rPr>
        <w:t xml:space="preserve"> This data is generated in a consistent manner, and includes a wide variety of chemicals including industrial and consumer products, food additives, pesticides, and drugs. These chemicals were not chosen because they were expected to be active, resulting in a database containing a balance of positive and negative data points. As such this data is useful for computational model construction.</w:t>
      </w:r>
      <w:r w:rsidR="00C63E1E">
        <w:rPr>
          <w:lang w:val="en-GB"/>
        </w:rPr>
        <w:t xml:space="preserve"> This </w:t>
      </w:r>
      <w:r w:rsidR="00C63E1E" w:rsidRPr="003F6C88">
        <w:rPr>
          <w:i/>
          <w:lang w:val="en-GB"/>
        </w:rPr>
        <w:t>in vitro</w:t>
      </w:r>
      <w:r w:rsidR="00C63E1E">
        <w:rPr>
          <w:lang w:val="en-GB"/>
        </w:rPr>
        <w:t xml:space="preserve"> data has been used at the EPA </w:t>
      </w:r>
      <w:r w:rsidR="006F130A">
        <w:rPr>
          <w:lang w:val="en-GB"/>
        </w:rPr>
        <w:t xml:space="preserve">and elsewhere </w:t>
      </w:r>
      <w:r w:rsidR="00C63E1E">
        <w:rPr>
          <w:lang w:val="en-GB"/>
        </w:rPr>
        <w:t>in modelling approaches, including computational modelling for specific target binding</w:t>
      </w:r>
      <w:r w:rsidR="00C63E1E">
        <w:rPr>
          <w:lang w:val="en-GB"/>
        </w:rPr>
        <w:fldChar w:fldCharType="begin" w:fldLock="1"/>
      </w:r>
      <w:r w:rsidR="001445AC">
        <w:rPr>
          <w:lang w:val="en-GB"/>
        </w:rPr>
        <w:instrText>ADDIN CSL_CITATION {"citationItems":[{"id":"ITEM-1","itemData":{"DOI":"10.1093/toxsci/kfv168","ISBN":"1096-6080","ISSN":"10960929","PMID":"26272952","abstract":"We demonstrate a computational network model that integrates 18 in vitro, high-throughput screening assays measuring estrogen receptor (ER) binding, dimerization, chromatin binding, transcriptional activation, and ER-dependent cell proliferation. The network model uses activity patterns across the in vitro assays to predict whether a chemical is an ER agonist or antagonist, or is otherwise influencing the assays through a manner dependent on the physics and chemistry of the technology platform (“assay interference”). The method is applied to a library of 1812 commercial and environmental chemicals, including 45 ER positive and negative reference chemicals. Among the reference chemicals, the network model correctly identified the agonists and antagonists with the exception of very weak compounds whose activity was outside the concentration range tested. The model agonist score also correlated with the expected potency class of the active reference chemicals. Of the 1812 chemicals evaluated, 111 (6.1%) were predicted to be strongly ER active in agonist or antagonist mode. This dataset and model were also used to begin a systematic investigation of assay interference. The most prominent cause of false-positive activity (activity in an assay that is likely not due to interaction of the chemical with ER) is cytotoxicity. The model provides the ability to prioritize a large set of important environmental chemicals with human exposure potential for additional in vivo endocrine testing. Finally, this model is generalizable to any molecular pathway for which there are multiple upstream and downstream assays available.","author":[{"dropping-particle":"","family":"Judson","given":"Richard S.","non-dropping-particle":"","parse-names":false,"suffix":""},{"dropping-particle":"","family":"Magpantay","given":"Felicia Maria","non-dropping-particle":"","parse-names":false,"suffix":""},{"dropping-particle":"","family":"Chickarmane","given":"Vijay","non-dropping-particle":"","parse-names":false,"suffix":""},{"dropping-particle":"","family":"Haskell","given":"Cymra","non-dropping-particle":"","parse-names":false,"suffix":""},{"dropping-particle":"","family":"Tania","given":"Nessy","non-dropping-particle":"","parse-names":false,"suffix":""},{"dropping-particle":"","family":"Taylor","given":"Jean","non-dropping-particle":"","parse-names":false,"suffix":""},{"dropping-particle":"","family":"Xia","given":"Menghang","non-dropping-particle":"","parse-names":false,"suffix":""},{"dropping-particle":"","family":"Huang","given":"Ruili","non-dropping-particle":"","parse-names":false,"suffix":""},{"dropping-particle":"","family":"Rotroff","given":"Daniel M.","non-dropping-particle":"","parse-names":false,"suffix":""},{"dropping-particle":"","family":"Filer","given":"Dayne L.","non-dropping-particle":"","parse-names":false,"suffix":""},{"dropping-particle":"","family":"Houck","given":"Keith A.","non-dropping-particle":"","parse-names":false,"suffix":""},{"dropping-particle":"","family":"Martin","given":"Matthew T.","non-dropping-particle":"","parse-names":false,"suffix":""},{"dropping-particle":"","family":"Sipes","given":"Nisha","non-dropping-particle":"","parse-names":false,"suffix":""},{"dropping-particle":"","family":"Richard","given":"Ann M.","non-dropping-particle":"","parse-names":false,"suffix":""},{"dropping-particle":"","family":"Mansouri","given":"Kamel","non-dropping-particle":"","parse-names":false,"suffix":""},{"dropping-particle":"","family":"Woodrow Setzer","given":"R.","non-dropping-particle":"","parse-names":false,"suffix":""},{"dropping-particle":"","family":"Knudsen","given":"Thomas B.","non-dropping-particle":"","parse-names":false,"suffix":""},{"dropping-particle":"","family":"Crofton","given":"Kevin M.","non-dropping-particle":"","parse-names":false,"suffix":""},{"dropping-particle":"","family":"Thomas","given":"Russell S.","non-dropping-particle":"","parse-names":false,"suffix":""}],"container-title":"Toxicological Sciences","id":"ITEM-1","issue":"1","issued":{"date-parts":[["2015"]]},"page":"137-154","title":"Integrated model of chemical perturbations of a biological pathway using 18 in vitro high-throughput screening assays for the estrogen receptor","type":"article-journal","volume":"148"},"uris":["http://www.mendeley.com/documents/?uuid=c2d9880e-1c12-4b34-a9cf-209032fb69e8"]},{"id":"ITEM-2","itemData":{"DOI":"10.1289/ehp.1510267","ISBN":"0091-6765 (Print)\r1552-9924 (Electronic)","ISSN":"15529924","PMID":"26908244","abstract":"© 2016, Public Health Services, US Dept of Health and Human Services. All rights reserved.Background: Humans are exposed to thousands of man-made chemicals in the environment. Some chemicals mimic natural endocrine hormones and, thus, have the potential to be endocrine disruptors. Most of these chemicals have never been tested for their ability to interact with the estrogen receptor (ER). Risk assessors need tools to prioritize chemicals for evaluation in costly in vivo tests, for instance, within the U.S. EPA Endocrine Disruptor Screening Program. oBjectives: We describe a large-scale modeling project called CERAPP (Collaborative Estrogen Receptor Activity Prediction Project) and demonstrate the efficacy of using predictive computational models trained on high-throughput screening data to evaluate thousands of chemicals for ER-related activity and prioritize them for further testing. Methods: CERAPP combined multiple models developed in collaboration with 17 groups in the United States and Europe to predict ER activity of a common set of 32,464 chemical structures. Quantitative structure-activity relationship models and docking approaches were employed, mostly using a common training set of 1,677 chemical structures provided by the U.S. EPA, to build a total of 40 categorical and 8 continuous models for binding, agonist, and antagonist ER activity. All predictions were evaluated on a set of 7,522 chemicals curated from the literature. To overcome the limitations of single models, a consensus was built by weighting models on scores based on their evaluated accuracies. results: Individual model scores ranged from 0.69 to 0.85, showing high prediction reliabilities. Out of the 32,464 chemicals, the consensus model predicted 4,001 chemicals (12.3%) as high priority actives and 6,742 potential actives (20.8%) to be considered for further testing. conclusion: This project demonstrated the possibility to screen large libraries of chemicals using a consensus of different in silico approaches. This concept will be applied in future projects related to other end points.","author":[{"dropping-particle":"","family":"Mansouri","given":"Kamel","non-dropping-particle":"","parse-names":false,"suffix":""},{"dropping-particle":"","family":"Abdelaziz","given":"Ahmed","non-dropping-particle":"","parse-names":false,"suffix":""},{"dropping-particle":"","family":"Rybacka","given":"Aleksandra","non-dropping-particle":"","parse-names":false,"suffix":""},{"dropping-particle":"","family":"Roncaglioni","given":"Alessandra","non-dropping-particle":"","parse-names":false,"suffix":""},{"dropping-particle":"","family":"Tropsha","given":"Alexander","non-dropping-particle":"","parse-names":false,"suffix":""},{"dropping-particle":"","family":"Varnek","given":"Alexandre","non-dropping-particle":"","parse-names":false,"suffix":""},{"dropping-particle":"","family":"Zakharov","given":"Alexey","non-dropping-particle":"","parse-names":false,"suffix":""},{"dropping-particle":"","family":"Worth","given":"Andrew","non-dropping-particle":"","parse-names":false,"suffix":""},{"dropping-particle":"","family":"Richard","given":"Ann M.","non-dropping-particle":"","parse-names":false,"suffix":""},{"dropping-particle":"","family":"Grulke","given":"Christopher M.","non-dropping-particle":"","parse-names":false,"suffix":""},{"dropping-particle":"","family":"Trisciuzzi","given":"Daniela","non-dropping-particle":"","parse-names":false,"suffix":""},{"dropping-particle":"","family":"Fourches","given":"Denis","non-dropping-particle":"","parse-names":false,"suffix":""},{"dropping-particle":"","family":"Horvath","given":"Dragos","non-dropping-particle":"","parse-names":false,"suffix":""},{"dropping-particle":"","family":"Benfenati","given":"Emilio","non-dropping-particle":"","parse-names":false,"suffix":""},{"dropping-particle":"","family":"Muratov","given":"Eugene","non-dropping-particle":"","parse-names":false,"suffix":""},{"dropping-particle":"","family":"Wedebye","given":"Eva Bay","non-dropping-particle":"","parse-names":false,"suffix":""},{"dropping-particle":"","family":"Grisoni","given":"Francesca","non-dropping-particle":"","parse-names":false,"suffix":""},{"dropping-particle":"","family":"Mangiatordi","given":"Giuseppe F.","non-dropping-particle":"","parse-names":false,"suffix":""},{"dropping-particle":"","family":"Incisivo","given":"Giuseppina M.","non-dropping-particle":"","parse-names":false,"suffix":""},{"dropping-particle":"","family":"Hong","given":"Huixiao","non-dropping-particle":"","parse-names":false,"suffix":""},{"dropping-particle":"","family":"Ng","given":"Hui W.","non-dropping-particle":"","parse-names":false,"suffix":""},{"dropping-particle":"V.","family":"Tetko","given":"Igor","non-dropping-particle":"","parse-names":false,"suffix":""},{"dropping-particle":"","family":"Balabin","given":"Ilya","non-dropping-particle":"","parse-names":false,"suffix":""},{"dropping-particle":"","family":"Kancherla","given":"Jayaram","non-dropping-particle":"","parse-names":false,"suffix":""},{"dropping-particle":"","family":"Shen","given":"Jie","non-dropping-particle":"","parse-names":false,"suffix":""},{"dropping-particle":"","family":"Burton","given":"Julien","non-dropping-particle":"","parse-names":false,"suffix":""},{"dropping-particle":"","family":"Nicklaus","given":"Marc","non-dropping-particle":"","parse-names":false,"suffix":""},{"dropping-particle":"","family":"Cassotti","given":"Matteo","non-dropping-particle":"","parse-names":false,"suffix":""},{"dropping-particle":"","family":"Nikolov","given":"Nikolai G.","non-dropping-particle":"","parse-names":false,"suffix":""},{"dropping-particle":"","family":"Nicolotti","given":"Orazio","non-dropping-particle":"","parse-names":false,"suffix":""},{"dropping-particle":"","family":"Andersson","given":"Patrik L.","non-dropping-particle":"","parse-names":false,"suffix":""},{"dropping-particle":"","family":"Zang","given":"Qingda","non-dropping-particle":"","parse-names":false,"suffix":""},{"dropping-particle":"","family":"Politi","given":"Regina","non-dropping-particle":"","parse-names":false,"suffix":""},{"dropping-particle":"","family":"Beger","given":"Richard D.","non-dropping-particle":"","parse-names":false,"suffix":""},{"dropping-particle":"","family":"Todeschini","given":"Roberto","non-dropping-particle":"","parse-names":false,"suffix":""},{"dropping-particle":"","family":"Huang","given":"Ruili","non-dropping-particle":"","parse-names":false,"suffix":""},{"dropping-particle":"","family":"Farag","given":"Sherif","non-dropping-particle":"","parse-names":false,"suffix":""},{"dropping-particle":"","family":"Rosenberg","given":"Sine A.","non-dropping-particle":"","parse-names":false,"suffix":""},{"dropping-particle":"","family":"Slavov","given":"Svetoslav","non-dropping-particle":"","parse-names":false,"suffix":""},{"dropping-particle":"","family":"Hu","given":"Xin","non-dropping-particle":"","parse-names":false,"suffix":""},{"dropping-particle":"","family":"Judson","given":"Richard S.","non-dropping-particle":"","parse-names":false,"suffix":""}],"container-title":"Environmental Health Perspectives","id":"ITEM-2","issue":"7","issued":{"date-parts":[["2016"]]},"page":"1023-1033","title":"CERAPP: Collaborative estrogen receptor activity prediction project","type":"article-journal","volume":"124"},"uris":["http://www.mendeley.com/documents/?uuid=548305f2-364d-4505-8d05-6e1521f4abec"]}],"mendeley":{"formattedCitation":"&lt;sup&gt;14,15&lt;/sup&gt;","plainTextFormattedCitation":"14,15","previouslyFormattedCitation":"&lt;sup&gt;14,15&lt;/sup&gt;"},"properties":{"noteIndex":0},"schema":"https://github.com/citation-style-language/schema/raw/master/csl-citation.json"}</w:instrText>
      </w:r>
      <w:r w:rsidR="00C63E1E">
        <w:rPr>
          <w:lang w:val="en-GB"/>
        </w:rPr>
        <w:fldChar w:fldCharType="separate"/>
      </w:r>
      <w:r w:rsidR="00D85090" w:rsidRPr="00D85090">
        <w:rPr>
          <w:noProof/>
          <w:vertAlign w:val="superscript"/>
          <w:lang w:val="en-GB"/>
        </w:rPr>
        <w:t>14,15</w:t>
      </w:r>
      <w:r w:rsidR="00C63E1E">
        <w:rPr>
          <w:lang w:val="en-GB"/>
        </w:rPr>
        <w:fldChar w:fldCharType="end"/>
      </w:r>
      <w:r w:rsidR="00C63E1E">
        <w:rPr>
          <w:lang w:val="en-GB"/>
        </w:rPr>
        <w:t xml:space="preserve"> </w:t>
      </w:r>
      <w:r w:rsidR="006F130A">
        <w:rPr>
          <w:lang w:val="en-GB"/>
        </w:rPr>
        <w:t>as biological descriptors for toxicity prediction,</w:t>
      </w:r>
      <w:r w:rsidR="006F130A">
        <w:rPr>
          <w:lang w:val="en-GB"/>
        </w:rPr>
        <w:fldChar w:fldCharType="begin" w:fldLock="1"/>
      </w:r>
      <w:r w:rsidR="001445AC">
        <w:rPr>
          <w:lang w:val="en-GB"/>
        </w:rPr>
        <w:instrText>ADDIN CSL_CITATION {"citationItems":[{"id":"ITEM-1","itemData":{"DOI":"10.1095/biolreprod.111.090977","ISSN":"0006-3363","PMID":"21565999","author":[{"dropping-particle":"","family":"Martin","given":"Matthew T","non-dropping-particle":"","parse-names":false,"suffix":""},{"dropping-particle":"","family":"Knudsen","given":"Thomas B.","non-dropping-particle":"","parse-names":false,"suffix":""},{"dropping-particle":"","family":"Reif","given":"David M.","non-dropping-particle":"","parse-names":false,"suffix":""},{"dropping-particle":"","family":"Houck","given":"Keith A.","non-dropping-particle":"","parse-names":false,"suffix":""},{"dropping-particle":"","family":"Judson","given":"Richard S.","non-dropping-particle":"","parse-names":false,"suffix":""},{"dropping-particle":"","family":"Kavlock","given":"Robert J.","non-dropping-particle":"","parse-names":false,"suffix":""},{"dropping-particle":"","family":"Dix","given":"David J.","non-dropping-particle":"","parse-names":false,"suffix":""}],"container-title":"Biology of Reproduction","id":"ITEM-1","issue":"2","issued":{"date-parts":[["2011"]]},"page":"327-339","title":"Predictive Model of Rat Reproductive Toxicity from ToxCast High Throughput Screening","type":"article-journal","volume":"85"},"uris":["http://www.mendeley.com/documents/?uuid=ec9a51a0-7557-4487-9fd4-8c9614050825"]},{"id":"ITEM-2","itemData":{"DOI":"10.1002/minf.201400168","ISSN":"18681751","PMID":"27490169","abstract":"The availability of large in vitro datasets enables better insight into\\nthe mode of action of chemicals and better identification of potential\\nmechanism(s) of toxicity. Several studies have shown that not all in\\nvitro assays can contribute as equal predictors of in vivo\\ncarcinogenicity for development of hybrid Quantitative Structure\\nActivity Relationship (QSAR) models. We propose two novel approaches for\\nthe use of mechanistically relevant in vitro assay data in the\\nidentification of relevant biological descriptors and development of\\nQuantitative Biological Activity Relationship (QBAR) models for\\ncarcinogenicity prediction. We demonstrate that in vitro assay data can\\nbe used to develop QBAR models for in vivo carcinogenicity prediction\\nvia two case studies corroborated with firm scientific rationale. The\\ncase studies demonstrate the similarities between QBAR and QSAR modeling\\nin: (i) the selection of relevant descriptors to be used in the machine\\nlearning algorithm, and (ii) the development of a computational model\\nthat maps chemical or biological descriptors to a toxic endpoint. The\\nresults of both the case studies show: (i) improved accuracy and\\nsensitivity which is especially desirable under regulatory requirements,\\nand (ii) overall adherence with the OECD/REACH guidelines. Such\\nmechanism based models can be used along with QSAR models for prediction\\nof mechanistically complex toxic endpoints.","author":[{"dropping-particle":"","family":"Pradeep","given":"Prachi","non-dropping-particle":"","parse-names":false,"suffix":""},{"dropping-particle":"","family":"Povinelli","given":"Richard J.","non-dropping-particle":"","parse-names":false,"suffix":""},{"dropping-particle":"","family":"Merrill","given":"Stephen J.","non-dropping-particle":"","parse-names":false,"suffix":""},{"dropping-particle":"","family":"Bozdag","given":"Serdar","non-dropping-particle":"","parse-names":false,"suffix":""},{"dropping-particle":"","family":"Sem","given":"Daniel S.","non-dropping-particle":"","parse-names":false,"suffix":""}],"container-title":"Molecular Informatics","id":"ITEM-2","issue":"4","issued":{"date-parts":[["2015"]]},"page":"236-245","title":"Novel uses of in vitro data to develop quantitative biological activity relationship models for in vivo carcinogenicity prediction","type":"article-journal","volume":"34"},"uris":["http://www.mendeley.com/documents/?uuid=927ff9ce-9de5-4a20-9a6e-6904110d4c04"]}],"mendeley":{"formattedCitation":"&lt;sup&gt;16,17&lt;/sup&gt;","plainTextFormattedCitation":"16,17","previouslyFormattedCitation":"&lt;sup&gt;16,17&lt;/sup&gt;"},"properties":{"noteIndex":0},"schema":"https://github.com/citation-style-language/schema/raw/master/csl-citation.json"}</w:instrText>
      </w:r>
      <w:r w:rsidR="006F130A">
        <w:rPr>
          <w:lang w:val="en-GB"/>
        </w:rPr>
        <w:fldChar w:fldCharType="separate"/>
      </w:r>
      <w:r w:rsidR="006F130A" w:rsidRPr="006F130A">
        <w:rPr>
          <w:noProof/>
          <w:vertAlign w:val="superscript"/>
          <w:lang w:val="en-GB"/>
        </w:rPr>
        <w:t>16,17</w:t>
      </w:r>
      <w:r w:rsidR="006F130A">
        <w:rPr>
          <w:lang w:val="en-GB"/>
        </w:rPr>
        <w:fldChar w:fldCharType="end"/>
      </w:r>
      <w:r w:rsidR="006F130A">
        <w:rPr>
          <w:lang w:val="en-GB"/>
        </w:rPr>
        <w:t xml:space="preserve"> </w:t>
      </w:r>
      <w:r w:rsidR="00C63E1E">
        <w:rPr>
          <w:lang w:val="en-GB"/>
        </w:rPr>
        <w:t>and pharmacokinetic modelling of human dose responses.</w:t>
      </w:r>
      <w:r w:rsidR="00C63E1E">
        <w:rPr>
          <w:lang w:val="en-GB"/>
        </w:rPr>
        <w:fldChar w:fldCharType="begin" w:fldLock="1"/>
      </w:r>
      <w:r w:rsidR="001445AC">
        <w:rPr>
          <w:lang w:val="en-GB"/>
        </w:rPr>
        <w:instrText>ADDIN CSL_CITATION {"citationItems":[{"id":"ITEM-1","itemData":{"DOI":"10.1021/tx100428e","ISBN":"1520-5010 (Electronic)\\r0893-228X (Linking)","ISSN":"0893228X","PMID":"21384849","abstract":"We describe a framework for estimating the human dose at which a chemical significantly alters a biological pathway in vivo, making use of in vitro assay data and an in vitro-derived pharmacokinetic model, coupled with estimates of population variability and uncertainty. The quantity we calculate, the biological pathway altering dose (BPAD), is analogous to current risk assessment metrics in that it combines dose-response data with analysis of uncertainty and population variability to arrive at conservative exposure limits. The analogy is closest when perturbation of a pathway is a key event in the mode of action (MOA) leading to a specified adverse outcome. Because BPADs are derived from relatively inexpensive, high-throughput screening (HTS) in vitro data, this approach can be applied to high-throughput risk assessments (HTRA) for thousands of data-poor environmental chemicals. We envisage the first step of HTRA to be an assessment of in vitro concentration-response relationships across biologically important pathways to derive biological pathway altering concentrations (BPAC). Pharmacokinetic (PK) modeling is then used to estimate the in vivo doses required to achieve the BPACs in the blood at steady state. Uncertainty and variability are incorporated in both the BPAC and the PK parameters and then combined to yield a probability distribution for the dose required to perturb the critical pathway. We finally define the BPADL as the lower confidence bound of this pathway-altering dose. This perspective outlines a framework for using HTRA to estimate BPAD values; provides examples of the use of this approach, including a comparison of BPAD values with published dose-response data from in vivo studies; and discusses challenges and alternative formulations.","author":[{"dropping-particle":"","family":"Judson","given":"Richard S.","non-dropping-particle":"","parse-names":false,"suffix":""},{"dropping-particle":"","family":"Kavlock","given":"Robert J.","non-dropping-particle":"","parse-names":false,"suffix":""},{"dropping-particle":"","family":"Setzer","given":"R. Woodrow","non-dropping-particle":"","parse-names":false,"suffix":""},{"dropping-particle":"","family":"Cohen Hubal","given":"Elaine A.","non-dropping-particle":"","parse-names":false,"suffix":""},{"dropping-particle":"","family":"Martin","given":"Matthew T.","non-dropping-particle":"","parse-names":false,"suffix":""},{"dropping-particle":"","family":"Knudsen","given":"Thomas B.","non-dropping-particle":"","parse-names":false,"suffix":""},{"dropping-particle":"","family":"Houck","given":"Keith A.","non-dropping-particle":"","parse-names":false,"suffix":""},{"dropping-particle":"","family":"Thomas","given":"Russell S.","non-dropping-particle":"","parse-names":false,"suffix":""},{"dropping-particle":"","family":"Wetmore","given":"Barbara A.","non-dropping-particle":"","parse-names":false,"suffix":""},{"dropping-particle":"","family":"Dix","given":"David J.","non-dropping-particle":"","parse-names":false,"suffix":""}],"container-title":"Chemical Research in Toxicology","id":"ITEM-1","issue":"4","issued":{"date-parts":[["2011"]]},"page":"451-462","title":"Estimating toxicity-related biological pathway altering doses for high-throughput chemical risk assessment","type":"article-journal","volume":"24"},"uris":["http://www.mendeley.com/documents/?uuid=497a3950-ace2-4d0b-8a07-b68c32c398c1"]}],"mendeley":{"formattedCitation":"&lt;sup&gt;18&lt;/sup&gt;","plainTextFormattedCitation":"18","previouslyFormattedCitation":"&lt;sup&gt;18&lt;/sup&gt;"},"properties":{"noteIndex":0},"schema":"https://github.com/citation-style-language/schema/raw/master/csl-citation.json"}</w:instrText>
      </w:r>
      <w:r w:rsidR="00C63E1E">
        <w:rPr>
          <w:lang w:val="en-GB"/>
        </w:rPr>
        <w:fldChar w:fldCharType="separate"/>
      </w:r>
      <w:r w:rsidR="006F130A" w:rsidRPr="006F130A">
        <w:rPr>
          <w:noProof/>
          <w:vertAlign w:val="superscript"/>
          <w:lang w:val="en-GB"/>
        </w:rPr>
        <w:t>18</w:t>
      </w:r>
      <w:r w:rsidR="00C63E1E">
        <w:rPr>
          <w:lang w:val="en-GB"/>
        </w:rPr>
        <w:fldChar w:fldCharType="end"/>
      </w:r>
    </w:p>
    <w:p w14:paraId="5642D633" w14:textId="4914BF2B" w:rsidR="008C1FB4" w:rsidRDefault="008866C3" w:rsidP="00847E5F">
      <w:pPr>
        <w:pStyle w:val="ACSTEXT"/>
        <w:rPr>
          <w:lang w:val="en-GB"/>
        </w:rPr>
      </w:pPr>
      <w:r>
        <w:rPr>
          <w:lang w:val="en-GB"/>
        </w:rPr>
        <w:t>Of interest in this study, t</w:t>
      </w:r>
      <w:r w:rsidR="00C239A6">
        <w:rPr>
          <w:lang w:val="en-GB"/>
        </w:rPr>
        <w:t xml:space="preserve">he androgen receptor (AR) and glucocorticoid receptor (GR) are nuclear </w:t>
      </w:r>
      <w:r w:rsidR="008C1FB4">
        <w:rPr>
          <w:lang w:val="en-GB"/>
        </w:rPr>
        <w:t>receptors that</w:t>
      </w:r>
      <w:r w:rsidR="00631DAA">
        <w:rPr>
          <w:lang w:val="en-GB"/>
        </w:rPr>
        <w:t xml:space="preserve"> </w:t>
      </w:r>
      <w:r w:rsidR="00C239A6">
        <w:rPr>
          <w:lang w:val="en-GB"/>
        </w:rPr>
        <w:t xml:space="preserve">are important in human toxicology. Both are involved in gene expression in cells, </w:t>
      </w:r>
      <w:r w:rsidR="00FC2E44">
        <w:rPr>
          <w:lang w:val="en-GB"/>
        </w:rPr>
        <w:t>with AR focused on</w:t>
      </w:r>
      <w:r w:rsidR="00C03FFE">
        <w:rPr>
          <w:lang w:val="en-GB"/>
        </w:rPr>
        <w:t xml:space="preserve"> maintenance of the</w:t>
      </w:r>
      <w:r w:rsidR="00FC2E44">
        <w:rPr>
          <w:lang w:val="en-GB"/>
        </w:rPr>
        <w:t xml:space="preserve"> </w:t>
      </w:r>
      <w:r w:rsidR="00C239A6">
        <w:rPr>
          <w:lang w:val="en-GB"/>
        </w:rPr>
        <w:t xml:space="preserve">male </w:t>
      </w:r>
      <w:r w:rsidR="00C03FFE">
        <w:rPr>
          <w:lang w:val="en-GB"/>
        </w:rPr>
        <w:t xml:space="preserve">phenotype </w:t>
      </w:r>
      <w:r w:rsidR="00C239A6">
        <w:rPr>
          <w:lang w:val="en-GB"/>
        </w:rPr>
        <w:t>and GR on immune response.</w:t>
      </w:r>
      <w:r w:rsidR="00C239A6">
        <w:rPr>
          <w:lang w:val="en-GB"/>
        </w:rPr>
        <w:fldChar w:fldCharType="begin" w:fldLock="1"/>
      </w:r>
      <w:r w:rsidR="001445AC">
        <w:rPr>
          <w:lang w:val="en-GB"/>
        </w:rPr>
        <w:instrText>ADDIN CSL_CITATION {"citationItems":[{"id":"ITEM-1","itemData":{"author":[{"dropping-particle":"","family":"Mooradian","given":"A D","non-dropping-particle":"","parse-names":false,"suffix":""},{"dropping-particle":"","family":"Morley","given":"J E","non-dropping-particle":"","parse-names":false,"suffix":""},{"dropping-particle":"","family":"Korenman","given":"S G","non-dropping-particle":"","parse-names":false,"suffix":""}],"container-title":"Endocrine Reviews","id":"ITEM-1","issue":"1","issued":{"date-parts":[["1987"]]},"page":"1-28","title":"Biological actions of androgens","type":"article-journal","volume":"8"},"uris":["http://www.mendeley.com/documents/?uuid=ba33584a-0fd5-4be3-839c-29b6b7b4c118"]},{"id":"ITEM-2","itemData":{"author":[{"dropping-particle":"","family":"Hollenberg","given":"Stanley M","non-dropping-particle":"","parse-names":false,"suffix":""},{"dropping-particle":"","family":"Weinberger","given":"Cary","non-dropping-particle":"","parse-names":false,"suffix":""},{"dropping-particle":"","family":"Ong","given":"Estelita S","non-dropping-particle":"","parse-names":false,"suffix":""},{"dropping-particle":"","family":"Cerelli","given":"Gail","non-dropping-particle":"","parse-names":false,"suffix":""},{"dropping-particle":"","family":"Oro","given":"Anthony","non-dropping-particle":"","parse-names":false,"suffix":""},{"dropping-particle":"","family":"Lebo","given":"Roger","non-dropping-particle":"","parse-names":false,"suffix":""},{"dropping-particle":"","family":"Thompson","given":"E Brad","non-dropping-particle":"","parse-names":false,"suffix":""},{"dropping-particle":"","family":"Rosenfeld","given":"Michael G","non-dropping-particle":"","parse-names":false,"suffix":""},{"dropping-particle":"","family":"Evans","given":"Ronald M","non-dropping-particle":"","parse-names":false,"suffix":""}],"container-title":"Nature","id":"ITEM-2","issue":"19","issued":{"date-parts":[["1985"]]},"page":"635-641","title":"Primary structure and expression of a functional human glucocorticoid receptor cDNA","type":"article-journal","volume":"318"},"uris":["http://www.mendeley.com/documents/?uuid=892d2644-e03c-4501-8f3d-ad26bceb269f"]}],"mendeley":{"formattedCitation":"&lt;sup&gt;19,20&lt;/sup&gt;","plainTextFormattedCitation":"19,20","previouslyFormattedCitation":"&lt;sup&gt;19,20&lt;/sup&gt;"},"properties":{"noteIndex":0},"schema":"https://github.com/citation-style-language/schema/raw/master/csl-citation.json"}</w:instrText>
      </w:r>
      <w:r w:rsidR="00C239A6">
        <w:rPr>
          <w:lang w:val="en-GB"/>
        </w:rPr>
        <w:fldChar w:fldCharType="separate"/>
      </w:r>
      <w:r w:rsidR="006F130A" w:rsidRPr="006F130A">
        <w:rPr>
          <w:noProof/>
          <w:vertAlign w:val="superscript"/>
          <w:lang w:val="en-GB"/>
        </w:rPr>
        <w:t>19,20</w:t>
      </w:r>
      <w:r w:rsidR="00C239A6">
        <w:rPr>
          <w:lang w:val="en-GB"/>
        </w:rPr>
        <w:fldChar w:fldCharType="end"/>
      </w:r>
      <w:r w:rsidR="00C239A6">
        <w:rPr>
          <w:lang w:val="en-GB"/>
        </w:rPr>
        <w:t xml:space="preserve"> The AR and GR are indicated as being toxicologically relevant in a number of toxicity pathways, and this is illustrated through a number of AOPs in the AOP Wiki,</w:t>
      </w:r>
      <w:r w:rsidR="00C239A6">
        <w:rPr>
          <w:lang w:val="en-GB"/>
        </w:rPr>
        <w:fldChar w:fldCharType="begin" w:fldLock="1"/>
      </w:r>
      <w:r w:rsidR="001445AC">
        <w:rPr>
          <w:lang w:val="en-GB"/>
        </w:rPr>
        <w:instrText>ADDIN CSL_CITATION {"citationItems":[{"id":"ITEM-1","itemData":{"URL":"http://ihcp.jrc.ec.europa.eu/our_activities/alt-animal-testing-safety-assessment-chemicals/improved_safety_assessment_chemicals/adverse-outcome-pathways-aop","author":[{"dropping-particle":"","family":"European Commission Institute for Health and Consumer Protection","given":"","non-dropping-particle":"","parse-names":false,"suffix":""}],"id":"ITEM-1","issued":{"date-parts":[["0"]]},"title":"AOP Wiki","type":"webpage"},"uris":["http://www.mendeley.com/documents/?uuid=f005f7da-f540-4002-8af0-5289f3acfda3"]}],"mendeley":{"formattedCitation":"&lt;sup&gt;21&lt;/sup&gt;","plainTextFormattedCitation":"21","previouslyFormattedCitation":"&lt;sup&gt;21&lt;/sup&gt;"},"properties":{"noteIndex":0},"schema":"https://github.com/citation-style-language/schema/raw/master/csl-citation.json"}</w:instrText>
      </w:r>
      <w:r w:rsidR="00C239A6">
        <w:rPr>
          <w:lang w:val="en-GB"/>
        </w:rPr>
        <w:fldChar w:fldCharType="separate"/>
      </w:r>
      <w:r w:rsidR="006F130A" w:rsidRPr="006F130A">
        <w:rPr>
          <w:noProof/>
          <w:vertAlign w:val="superscript"/>
          <w:lang w:val="en-GB"/>
        </w:rPr>
        <w:t>21</w:t>
      </w:r>
      <w:r w:rsidR="00C239A6">
        <w:rPr>
          <w:lang w:val="en-GB"/>
        </w:rPr>
        <w:fldChar w:fldCharType="end"/>
      </w:r>
      <w:r w:rsidR="00C239A6">
        <w:rPr>
          <w:lang w:val="en-GB"/>
        </w:rPr>
        <w:t xml:space="preserve"> including</w:t>
      </w:r>
      <w:r w:rsidR="008C1FB4">
        <w:rPr>
          <w:lang w:val="en-GB"/>
        </w:rPr>
        <w:t>:</w:t>
      </w:r>
    </w:p>
    <w:p w14:paraId="01D35082" w14:textId="77777777" w:rsidR="008C1FB4" w:rsidRDefault="00C239A6" w:rsidP="00B155B2">
      <w:pPr>
        <w:pStyle w:val="ACSTEXT"/>
        <w:numPr>
          <w:ilvl w:val="0"/>
          <w:numId w:val="11"/>
        </w:numPr>
        <w:rPr>
          <w:lang w:val="en-GB"/>
        </w:rPr>
      </w:pPr>
      <w:r>
        <w:rPr>
          <w:lang w:val="en-GB"/>
        </w:rPr>
        <w:t>cancerous endpoints and teratogenicity for the AR</w:t>
      </w:r>
    </w:p>
    <w:p w14:paraId="5F0D9C11" w14:textId="01077566" w:rsidR="008C1FB4" w:rsidRDefault="00C239A6" w:rsidP="00B155B2">
      <w:pPr>
        <w:pStyle w:val="ACSTEXT"/>
        <w:numPr>
          <w:ilvl w:val="0"/>
          <w:numId w:val="11"/>
        </w:numPr>
        <w:rPr>
          <w:lang w:val="en-GB"/>
        </w:rPr>
      </w:pPr>
      <w:r>
        <w:rPr>
          <w:lang w:val="en-GB"/>
        </w:rPr>
        <w:lastRenderedPageBreak/>
        <w:t>disease susceptibility, decreased male fertility and depression for the GR</w:t>
      </w:r>
    </w:p>
    <w:p w14:paraId="13203BEB" w14:textId="77421321" w:rsidR="00C239A6" w:rsidRPr="00BA6959" w:rsidRDefault="00667AB8" w:rsidP="008C1FB4">
      <w:pPr>
        <w:pStyle w:val="ACSTEXT"/>
        <w:rPr>
          <w:lang w:val="en-GB"/>
        </w:rPr>
      </w:pPr>
      <w:r>
        <w:rPr>
          <w:lang w:val="en-GB"/>
        </w:rPr>
        <w:t>Activation of</w:t>
      </w:r>
      <w:r w:rsidR="00083024">
        <w:rPr>
          <w:lang w:val="en-GB"/>
        </w:rPr>
        <w:t xml:space="preserve"> these important targets is measured in </w:t>
      </w:r>
      <w:r w:rsidR="00C239A6">
        <w:rPr>
          <w:lang w:val="en-GB"/>
        </w:rPr>
        <w:t xml:space="preserve">ToxCast, with 11 assays for AR activity and </w:t>
      </w:r>
      <w:r w:rsidR="007F5A7C">
        <w:rPr>
          <w:lang w:val="en-GB"/>
        </w:rPr>
        <w:t>5</w:t>
      </w:r>
      <w:r w:rsidR="00C239A6">
        <w:rPr>
          <w:lang w:val="en-GB"/>
        </w:rPr>
        <w:t xml:space="preserve"> for GR</w:t>
      </w:r>
      <w:r w:rsidR="00C150C3">
        <w:rPr>
          <w:lang w:val="en-GB"/>
        </w:rPr>
        <w:t xml:space="preserve"> activity</w:t>
      </w:r>
      <w:r w:rsidR="00FA06AB">
        <w:rPr>
          <w:lang w:val="en-GB"/>
        </w:rPr>
        <w:t xml:space="preserve"> included in the database</w:t>
      </w:r>
      <w:r w:rsidR="00C239A6">
        <w:rPr>
          <w:lang w:val="en-GB"/>
        </w:rPr>
        <w:t>.</w:t>
      </w:r>
      <w:r w:rsidR="001D530B">
        <w:rPr>
          <w:lang w:val="en-GB"/>
        </w:rPr>
        <w:fldChar w:fldCharType="begin" w:fldLock="1"/>
      </w:r>
      <w:r w:rsidR="001445AC">
        <w:rPr>
          <w:lang w:val="en-GB"/>
        </w:rPr>
        <w:instrText>ADDIN CSL_CITATION {"citationItems":[{"id":"ITEM-1","itemData":{"URL":"https://www.epa.gov/chemical-research/toxicity-forecasting","id":"ITEM-1","issued":{"date-parts":[["0"]]},"title":"ToxCast database","type":"webpage"},"uris":["http://www.mendeley.com/documents/?uuid=3a80fb1f-fc68-4344-8ade-b1ab582df0b7"]}],"mendeley":{"formattedCitation":"&lt;sup&gt;12&lt;/sup&gt;","plainTextFormattedCitation":"12","previouslyFormattedCitation":"&lt;sup&gt;12&lt;/sup&gt;"},"properties":{"noteIndex":0},"schema":"https://github.com/citation-style-language/schema/raw/master/csl-citation.json"}</w:instrText>
      </w:r>
      <w:r w:rsidR="001D530B">
        <w:rPr>
          <w:lang w:val="en-GB"/>
        </w:rPr>
        <w:fldChar w:fldCharType="separate"/>
      </w:r>
      <w:r w:rsidR="00531F4D" w:rsidRPr="00531F4D">
        <w:rPr>
          <w:noProof/>
          <w:vertAlign w:val="superscript"/>
          <w:lang w:val="en-GB"/>
        </w:rPr>
        <w:t>12</w:t>
      </w:r>
      <w:r w:rsidR="001D530B">
        <w:rPr>
          <w:lang w:val="en-GB"/>
        </w:rPr>
        <w:fldChar w:fldCharType="end"/>
      </w:r>
    </w:p>
    <w:p w14:paraId="1969F89E" w14:textId="25EDB137" w:rsidR="004D7862" w:rsidRPr="00BA6959" w:rsidRDefault="004D7862" w:rsidP="00847E5F">
      <w:pPr>
        <w:pStyle w:val="ACSTEXT"/>
        <w:rPr>
          <w:lang w:val="en-GB"/>
        </w:rPr>
      </w:pPr>
      <w:r>
        <w:rPr>
          <w:lang w:val="en-GB"/>
        </w:rPr>
        <w:t xml:space="preserve">In this study 2D structural alerts have been developed for the AR and GR using openly available ToxCast data. </w:t>
      </w:r>
      <w:r w:rsidR="0062698D">
        <w:rPr>
          <w:lang w:val="en-GB"/>
        </w:rPr>
        <w:t>The protocols used for structural alert generation have been previously developed and validated using ChEMBL data.</w:t>
      </w:r>
      <w:r w:rsidR="0062698D">
        <w:rPr>
          <w:lang w:val="en-GB"/>
        </w:rPr>
        <w:fldChar w:fldCharType="begin" w:fldLock="1"/>
      </w:r>
      <w:r w:rsidR="001445AC">
        <w:rPr>
          <w:lang w:val="en-GB"/>
        </w:rPr>
        <w:instrText>ADDIN CSL_CITATION {"citationItems":[{"id":"ITEM-1","itemData":{"author":[{"dropping-particle":"","family":"Allen","given":"Timothy E H","non-dropping-particle":"","parse-names":false,"suffix":""},{"dropping-particle":"","family":"Goodman","given":"Jonathan M","non-dropping-particle":"","parse-names":false,"suffix":""},{"dropping-particle":"","family":"Gutsell","given":"Steve","non-dropping-particle":"","parse-names":false,"suffix":""},{"dropping-particle":"","family":"Russell","given":"Paul J","non-dropping-particle":"","parse-names":false,"suffix":""}],"container-title":"Toxicological Sciences","id":"ITEM-1","issue":"1","issued":{"date-parts":[["2018"]]},"page":"213-223","title":"Using 2D structural alerts to define chemical categories for molecular initiating events","type":"article-journal","volume":"165"},"uris":["http://www.mendeley.com/documents/?uuid=625208e5-31bf-4713-a0a8-c5ea20f37e61"]}],"mendeley":{"formattedCitation":"&lt;sup&gt;22&lt;/sup&gt;","plainTextFormattedCitation":"22","previouslyFormattedCitation":"&lt;sup&gt;22&lt;/sup&gt;"},"properties":{"noteIndex":0},"schema":"https://github.com/citation-style-language/schema/raw/master/csl-citation.json"}</w:instrText>
      </w:r>
      <w:r w:rsidR="0062698D">
        <w:rPr>
          <w:lang w:val="en-GB"/>
        </w:rPr>
        <w:fldChar w:fldCharType="separate"/>
      </w:r>
      <w:r w:rsidR="0062698D" w:rsidRPr="0062698D">
        <w:rPr>
          <w:noProof/>
          <w:vertAlign w:val="superscript"/>
          <w:lang w:val="en-GB"/>
        </w:rPr>
        <w:t>22</w:t>
      </w:r>
      <w:r w:rsidR="0062698D">
        <w:rPr>
          <w:lang w:val="en-GB"/>
        </w:rPr>
        <w:fldChar w:fldCharType="end"/>
      </w:r>
      <w:r w:rsidR="0062698D">
        <w:rPr>
          <w:lang w:val="en-GB"/>
        </w:rPr>
        <w:t xml:space="preserve"> </w:t>
      </w:r>
      <w:r w:rsidR="00A65179">
        <w:rPr>
          <w:lang w:val="en-GB"/>
        </w:rPr>
        <w:t xml:space="preserve">2D </w:t>
      </w:r>
      <w:r w:rsidR="003C597E">
        <w:rPr>
          <w:lang w:val="en-GB"/>
        </w:rPr>
        <w:t xml:space="preserve">structural alerts </w:t>
      </w:r>
      <w:r w:rsidR="00FB415C">
        <w:rPr>
          <w:lang w:val="en-GB"/>
        </w:rPr>
        <w:t xml:space="preserve">have the strength of </w:t>
      </w:r>
      <w:r w:rsidR="005F11A7">
        <w:rPr>
          <w:lang w:val="en-GB"/>
        </w:rPr>
        <w:t>providing transparent predictions</w:t>
      </w:r>
      <w:r w:rsidR="00626077">
        <w:rPr>
          <w:lang w:val="en-GB"/>
        </w:rPr>
        <w:t>, if a novel molecule contains an alert it is predicted active otherwise it is predicted inactive</w:t>
      </w:r>
      <w:r w:rsidR="00380D4C">
        <w:rPr>
          <w:lang w:val="en-GB"/>
        </w:rPr>
        <w:t>, and the</w:t>
      </w:r>
      <w:r w:rsidR="00896677">
        <w:rPr>
          <w:lang w:val="en-GB"/>
        </w:rPr>
        <w:t xml:space="preserve"> chemistry tied to the active prediction can be </w:t>
      </w:r>
      <w:r w:rsidR="00E65A1F">
        <w:rPr>
          <w:lang w:val="en-GB"/>
        </w:rPr>
        <w:t>viewed in the alert, the novel molecule and seen in the training data</w:t>
      </w:r>
      <w:r w:rsidR="00626077">
        <w:rPr>
          <w:lang w:val="en-GB"/>
        </w:rPr>
        <w:t>.</w:t>
      </w:r>
      <w:r w:rsidR="00E65A1F">
        <w:rPr>
          <w:lang w:val="en-GB"/>
        </w:rPr>
        <w:t xml:space="preserve"> </w:t>
      </w:r>
      <w:r w:rsidR="009E052D">
        <w:rPr>
          <w:lang w:val="en-GB"/>
        </w:rPr>
        <w:t>Because of this</w:t>
      </w:r>
      <w:r w:rsidR="00B562BE">
        <w:rPr>
          <w:lang w:val="en-GB"/>
        </w:rPr>
        <w:t>,</w:t>
      </w:r>
      <w:r w:rsidR="009E052D">
        <w:rPr>
          <w:lang w:val="en-GB"/>
        </w:rPr>
        <w:t xml:space="preserve"> alerts</w:t>
      </w:r>
      <w:r w:rsidR="00FB415C">
        <w:rPr>
          <w:lang w:val="en-GB"/>
        </w:rPr>
        <w:t xml:space="preserve"> can only provide good predictions for molecules similar in chemistry to the training data</w:t>
      </w:r>
      <w:r w:rsidR="00895A64">
        <w:rPr>
          <w:lang w:val="en-GB"/>
        </w:rPr>
        <w:t xml:space="preserve"> and do not pick up 3D features of molecules. Ease of interpretation </w:t>
      </w:r>
      <w:r w:rsidR="005F11A7">
        <w:rPr>
          <w:lang w:val="en-GB"/>
        </w:rPr>
        <w:t xml:space="preserve">of these models </w:t>
      </w:r>
      <w:r w:rsidR="00B8601C">
        <w:rPr>
          <w:lang w:val="en-GB"/>
        </w:rPr>
        <w:t xml:space="preserve">outweighs these disadvantages in their application for </w:t>
      </w:r>
      <w:r w:rsidR="00B8601C">
        <w:rPr>
          <w:i/>
          <w:lang w:val="en-GB"/>
        </w:rPr>
        <w:t>in silico</w:t>
      </w:r>
      <w:r w:rsidR="00B8601C">
        <w:rPr>
          <w:lang w:val="en-GB"/>
        </w:rPr>
        <w:t xml:space="preserve"> modelling</w:t>
      </w:r>
      <w:r w:rsidR="00FB415C">
        <w:rPr>
          <w:lang w:val="en-GB"/>
        </w:rPr>
        <w:t xml:space="preserve">. </w:t>
      </w:r>
      <w:r>
        <w:rPr>
          <w:lang w:val="en-GB"/>
        </w:rPr>
        <w:t xml:space="preserve">Each of these structural alerts can be thought of as a specific chemical category, containing a small number of highly similar chemicals. These categories have then been used to target </w:t>
      </w:r>
      <w:r w:rsidRPr="00597EB8">
        <w:rPr>
          <w:i/>
          <w:lang w:val="en-GB"/>
        </w:rPr>
        <w:t>in vitro</w:t>
      </w:r>
      <w:r>
        <w:rPr>
          <w:lang w:val="en-GB"/>
        </w:rPr>
        <w:t xml:space="preserve"> ToxCast assays, by identifying the ones most likely to be able to confirm a hit that is predicted </w:t>
      </w:r>
      <w:r w:rsidRPr="00597EB8">
        <w:rPr>
          <w:i/>
          <w:lang w:val="en-GB"/>
        </w:rPr>
        <w:t>in silico</w:t>
      </w:r>
      <w:r>
        <w:rPr>
          <w:lang w:val="en-GB"/>
        </w:rPr>
        <w:t>. The ability of computational methods to support experimental procedures can assist in reducing the number of expensive and time</w:t>
      </w:r>
      <w:r w:rsidR="00631DAA">
        <w:rPr>
          <w:lang w:val="en-GB"/>
        </w:rPr>
        <w:t>-</w:t>
      </w:r>
      <w:r>
        <w:rPr>
          <w:lang w:val="en-GB"/>
        </w:rPr>
        <w:t>consuming test</w:t>
      </w:r>
      <w:r w:rsidR="00070FD8">
        <w:rPr>
          <w:lang w:val="en-GB"/>
        </w:rPr>
        <w:t>s</w:t>
      </w:r>
      <w:r>
        <w:rPr>
          <w:lang w:val="en-GB"/>
        </w:rPr>
        <w:t xml:space="preserve"> that are required.</w:t>
      </w:r>
    </w:p>
    <w:p w14:paraId="51FF45C4" w14:textId="77777777" w:rsidR="0086405C" w:rsidRPr="00BA6959" w:rsidRDefault="0086405C" w:rsidP="0086405C">
      <w:pPr>
        <w:pStyle w:val="ACSTEXT"/>
        <w:rPr>
          <w:lang w:val="en-GB"/>
        </w:rPr>
      </w:pPr>
      <w:r w:rsidRPr="00BA6959">
        <w:rPr>
          <w:lang w:val="en-GB"/>
        </w:rPr>
        <w:t>MATERIALS AND METHODS</w:t>
      </w:r>
    </w:p>
    <w:p w14:paraId="5574CD59" w14:textId="77777777" w:rsidR="00361550" w:rsidRDefault="00013936" w:rsidP="00361550">
      <w:pPr>
        <w:pStyle w:val="ACSTEXT"/>
        <w:rPr>
          <w:lang w:val="en-GB"/>
        </w:rPr>
      </w:pPr>
      <w:r w:rsidRPr="00BA6959">
        <w:rPr>
          <w:b/>
          <w:lang w:val="en-GB"/>
        </w:rPr>
        <w:t>Data Set.</w:t>
      </w:r>
      <w:r w:rsidRPr="00BA6959">
        <w:rPr>
          <w:lang w:val="en-GB"/>
        </w:rPr>
        <w:t xml:space="preserve"> </w:t>
      </w:r>
    </w:p>
    <w:p w14:paraId="1B4052AC" w14:textId="7F007B09" w:rsidR="00361550" w:rsidRPr="00BA6959" w:rsidRDefault="00361550" w:rsidP="00361550">
      <w:pPr>
        <w:pStyle w:val="ACSTEXT"/>
        <w:rPr>
          <w:lang w:val="en-GB"/>
        </w:rPr>
      </w:pPr>
      <w:r w:rsidRPr="00BA6959">
        <w:rPr>
          <w:b/>
          <w:lang w:val="en-GB"/>
        </w:rPr>
        <w:t xml:space="preserve">Generation of burst flag hit-call matrix. </w:t>
      </w:r>
      <w:r>
        <w:rPr>
          <w:lang w:val="en-GB"/>
        </w:rPr>
        <w:t>All analyses in the generation</w:t>
      </w:r>
      <w:r w:rsidRPr="00BA6959">
        <w:rPr>
          <w:lang w:val="en-GB"/>
        </w:rPr>
        <w:t xml:space="preserve"> </w:t>
      </w:r>
      <w:r>
        <w:rPr>
          <w:lang w:val="en-GB"/>
        </w:rPr>
        <w:t xml:space="preserve">of the burst flag hit-call matrix and extraction of chemicals for the targets in this study (AR and GR) were performed using </w:t>
      </w:r>
      <w:r>
        <w:rPr>
          <w:lang w:val="en-GB"/>
        </w:rPr>
        <w:lastRenderedPageBreak/>
        <w:t xml:space="preserve">R </w:t>
      </w:r>
      <w:r w:rsidRPr="00597EB8">
        <w:rPr>
          <w:lang w:val="en-GB"/>
        </w:rPr>
        <w:t>v3.</w:t>
      </w:r>
      <w:r w:rsidR="002849C6">
        <w:rPr>
          <w:lang w:val="en-GB"/>
        </w:rPr>
        <w:t>3</w:t>
      </w:r>
      <w:r w:rsidRPr="00597EB8">
        <w:rPr>
          <w:lang w:val="en-GB"/>
        </w:rPr>
        <w:t>.2</w:t>
      </w:r>
      <w:r w:rsidR="001B038B" w:rsidRPr="00597EB8">
        <w:rPr>
          <w:lang w:val="en-GB"/>
        </w:rPr>
        <w:fldChar w:fldCharType="begin" w:fldLock="1"/>
      </w:r>
      <w:r w:rsidR="001445AC">
        <w:rPr>
          <w:lang w:val="en-GB"/>
        </w:rPr>
        <w:instrText>ADDIN CSL_CITATION {"citationItems":[{"id":"ITEM-1","itemData":{"author":[{"dropping-particle":"","family":"Team","given":"R Core","non-dropping-particle":"","parse-names":false,"suffix":""}],"id":"ITEM-1","issued":{"date-parts":[["2017"]]},"publisher":"R Foundation for Statistical Computing","publisher-place":"Vienna, Austria","title":"R: A Language and Environment for Statistical Computing","type":"article"},"uris":["http://www.mendeley.com/documents/?uuid=735b1884-514e-4ad0-a36e-e8a83ae009ae"]}],"mendeley":{"formattedCitation":"&lt;sup&gt;23&lt;/sup&gt;","plainTextFormattedCitation":"23","previouslyFormattedCitation":"&lt;sup&gt;23&lt;/sup&gt;"},"properties":{"noteIndex":0},"schema":"https://github.com/citation-style-language/schema/raw/master/csl-citation.json"}</w:instrText>
      </w:r>
      <w:r w:rsidR="001B038B" w:rsidRPr="00597EB8">
        <w:rPr>
          <w:lang w:val="en-GB"/>
        </w:rPr>
        <w:fldChar w:fldCharType="separate"/>
      </w:r>
      <w:r w:rsidR="0062698D" w:rsidRPr="0062698D">
        <w:rPr>
          <w:noProof/>
          <w:vertAlign w:val="superscript"/>
          <w:lang w:val="en-GB"/>
        </w:rPr>
        <w:t>23</w:t>
      </w:r>
      <w:r w:rsidR="001B038B" w:rsidRPr="00597EB8">
        <w:rPr>
          <w:lang w:val="en-GB"/>
        </w:rPr>
        <w:fldChar w:fldCharType="end"/>
      </w:r>
      <w:r w:rsidR="002849C6">
        <w:rPr>
          <w:lang w:val="en-GB"/>
        </w:rPr>
        <w:t xml:space="preserve"> and are outlined in more detail in Nelms et al (2018).</w:t>
      </w:r>
      <w:r w:rsidR="00853585">
        <w:rPr>
          <w:lang w:val="en-GB"/>
        </w:rPr>
        <w:fldChar w:fldCharType="begin" w:fldLock="1"/>
      </w:r>
      <w:r w:rsidR="0092571A">
        <w:rPr>
          <w:lang w:val="en-GB"/>
        </w:rPr>
        <w:instrText>ADDIN CSL_CITATION {"citationItems":[{"id":"ITEM-1","itemData":{"DOI":"10.1016/j.comtox.2018.08.003","ISSN":"24681113","abstract":"Adverse Outcome Pathways (AOPs) establish a connection between a molecular initiating event (MIE) and an adverse outcome. Detailed understanding of the MIE provides the ideal data for determining chemical properties required to elicit the MIE. This study utilized high-throughput screening data from the ToxCast program, coupled with chemical structural information, to generate chemical clusters using three similarity methods pertaining to nine MIEs within an AOP network for hepatic steatosis. Three case studies demonstrate the utility of the mechanistic information held by the MIE for integrating biological and chemical data. Evaluation of the chemical clusters activating the glucocorticoid receptor identified activity differences in chemicals within a cluster. Comparison of the estrogen receptor results with previous work showed that bioactivity data and structural alerts can be combined to improve predictions in a customizable way where bioactivity data are limited. The aryl hydrocarbon receptor (AHR) highlighted that while structural data can be used to offset limited data for new screening efforts, not all ToxCast targets have sufficient data to define robust chemical clusters. In this context, an alternative to additional receptor assays is proposed where assays for proximal key events downstream of AHR activation could be used to enhance confidence in active calls. These case studies illustrate how the AOP framework can support an iterative process whereby in vitro toxicity testing and chemical structure can be combined to improve toxicity predictions. In vitro assays can inform the development of structural alerts linking chemical structure to toxicity. Consequently, structurally related chemical groups can facilitate identification of assays that would be informative for a specific MIE. Together, these activities form a virtuous cycle where the mechanistic basis for the in vitro results and the breadth of the structural alerts continually improve over time to better predict activity of chemicals for which limited toxicity data exist.","author":[{"dropping-particle":"","family":"Nelms","given":"Mark D.","non-dropping-particle":"","parse-names":false,"suffix":""},{"dropping-particle":"","family":"Mellor","given":"Claire L.","non-dropping-particle":"","parse-names":false,"suffix":""},{"dropping-particle":"","family":"Enoch","given":"Steven J.","non-dropping-particle":"","parse-names":false,"suffix":""},{"dropping-particle":"","family":"Judson","given":"Richard S.","non-dropping-particle":"","parse-names":false,"suffix":""},{"dropping-particle":"","family":"Patlewicz","given":"Grace","non-dropping-particle":"","parse-names":false,"suffix":""},{"dropping-particle":"","family":"Richard","given":"Ann M.","non-dropping-particle":"","parse-names":false,"suffix":""},{"dropping-particle":"","family":"Madden","given":"Judith M.","non-dropping-particle":"","parse-names":false,"suffix":""},{"dropping-particle":"","family":"Cronin","given":"Mark T.D.","non-dropping-particle":"","parse-names":false,"suffix":""},{"dropping-particle":"","family":"Edwards","given":"Stephen W.","non-dropping-particle":"","parse-names":false,"suffix":""}],"container-title":"Computational Toxicology","id":"ITEM-1","issue":"July","issued":{"date-parts":[["2018"]]},"page":"1-12","publisher":"Elsevier","title":"A mechanistic framework for integrating chemical structure and high-throughput screening results to improve toxicity predictions","type":"article-journal","volume":"8"},"uris":["http://www.mendeley.com/documents/?uuid=2e3a84b0-0967-45d9-a6f5-979b0dc6352d"]}],"mendeley":{"formattedCitation":"&lt;sup&gt;24&lt;/sup&gt;","plainTextFormattedCitation":"24","previouslyFormattedCitation":"&lt;sup&gt;24&lt;/sup&gt;"},"properties":{"noteIndex":0},"schema":"https://github.com/citation-style-language/schema/raw/master/csl-citation.json"}</w:instrText>
      </w:r>
      <w:r w:rsidR="00853585">
        <w:rPr>
          <w:lang w:val="en-GB"/>
        </w:rPr>
        <w:fldChar w:fldCharType="separate"/>
      </w:r>
      <w:r w:rsidR="00853585" w:rsidRPr="00853585">
        <w:rPr>
          <w:noProof/>
          <w:vertAlign w:val="superscript"/>
          <w:lang w:val="en-GB"/>
        </w:rPr>
        <w:t>24</w:t>
      </w:r>
      <w:r w:rsidR="00853585">
        <w:rPr>
          <w:lang w:val="en-GB"/>
        </w:rPr>
        <w:fldChar w:fldCharType="end"/>
      </w:r>
      <w:r w:rsidRPr="00597EB8">
        <w:rPr>
          <w:lang w:val="en-GB"/>
        </w:rPr>
        <w:t xml:space="preserve"> </w:t>
      </w:r>
      <w:r w:rsidR="00601C9E">
        <w:rPr>
          <w:lang w:val="en-GB"/>
        </w:rPr>
        <w:t>Briefly, t</w:t>
      </w:r>
      <w:r w:rsidRPr="00597EB8">
        <w:rPr>
          <w:lang w:val="en-GB"/>
        </w:rPr>
        <w:t>he</w:t>
      </w:r>
      <w:r w:rsidRPr="00BA6959">
        <w:rPr>
          <w:lang w:val="en-GB"/>
        </w:rPr>
        <w:t xml:space="preserve"> quality control flag, AC50 and cytotoxicity distribution data files from ToxCast</w:t>
      </w:r>
      <w:r w:rsidR="001B038B">
        <w:rPr>
          <w:lang w:val="en-GB"/>
        </w:rPr>
        <w:fldChar w:fldCharType="begin" w:fldLock="1"/>
      </w:r>
      <w:r w:rsidR="001445AC">
        <w:rPr>
          <w:lang w:val="en-GB"/>
        </w:rPr>
        <w:instrText>ADDIN CSL_CITATION {"citationItems":[{"id":"ITEM-1","itemData":{"URL":"https://www.epa.gov/chemical-research/toxicity-forecasting","id":"ITEM-1","issued":{"date-parts":[["0"]]},"title":"ToxCast database","type":"webpage"},"uris":["http://www.mendeley.com/documents/?uuid=3a80fb1f-fc68-4344-8ade-b1ab582df0b7"]}],"mendeley":{"formattedCitation":"&lt;sup&gt;12&lt;/sup&gt;","plainTextFormattedCitation":"12","previouslyFormattedCitation":"&lt;sup&gt;12&lt;/sup&gt;"},"properties":{"noteIndex":0},"schema":"https://github.com/citation-style-language/schema/raw/master/csl-citation.json"}</w:instrText>
      </w:r>
      <w:r w:rsidR="001B038B">
        <w:rPr>
          <w:lang w:val="en-GB"/>
        </w:rPr>
        <w:fldChar w:fldCharType="separate"/>
      </w:r>
      <w:r w:rsidR="00531F4D" w:rsidRPr="00531F4D">
        <w:rPr>
          <w:noProof/>
          <w:vertAlign w:val="superscript"/>
          <w:lang w:val="en-GB"/>
        </w:rPr>
        <w:t>12</w:t>
      </w:r>
      <w:r w:rsidR="001B038B">
        <w:rPr>
          <w:lang w:val="en-GB"/>
        </w:rPr>
        <w:fldChar w:fldCharType="end"/>
      </w:r>
      <w:r w:rsidRPr="00BA6959">
        <w:rPr>
          <w:lang w:val="en-GB"/>
        </w:rPr>
        <w:t xml:space="preserve"> were utilized to develop a discretised hit-call matrix that takes the cytotoxicity-associated burst phenomenon into account.</w:t>
      </w:r>
      <w:r w:rsidR="00D85090">
        <w:rPr>
          <w:lang w:val="en-GB"/>
        </w:rPr>
        <w:fldChar w:fldCharType="begin" w:fldLock="1"/>
      </w:r>
      <w:r w:rsidR="0092571A">
        <w:rPr>
          <w:lang w:val="en-GB"/>
        </w:rPr>
        <w:instrText>ADDIN CSL_CITATION {"citationItems":[{"id":"ITEM-1","itemData":{"DOI":"10.1093/toxsci/kfw092","ISSN":"10960929","PMID":"27208079","abstract":"Chemical toxicity can arise from disruption of specific biomolecular functions or through more generalized cell stress and cytotoxicity-mediated processes. Here, responses of 1060 chemicals including pharmaceuticals, natural products, pesticidals, consumer, and industrial chemicals across a battery of 815 in vitro assay endpoints from 7 high-throughput assay technology platforms were analyzed in order to distinguish between these types of activities. Both cell-based and cell-free assays showed a rapid increase in the frequency of responses at concentrations where cell stress / cytotoxicity responses were observed in cell-based assays. Chemicals that were positive on at least two viability/cytotoxicity assays within the concentration range tested (typically up to 100 {micro}M) activated a median of 12% of assay endpoints while those that were not cytotoxic in this concentration range activated 1.3% of the assays endpoints. The results suggest that activity can be broadly divided into: (1) specific biomolecular interactions against one or more targets (e.g., receptors or enzymes) at concentrations below which overt cytotoxicity-associated activity is observed; and (2) activity associated with cell stress or cytotoxicity, which may result from triggering specific cell stress pathways, chemical reactivity, physico-chemical disruption of proteins or membranes, or broad low-affinity non-covalent interactions. Chemicals showing a greater number of specific biomolecular interactions are generally designed to be bioactive (pharmaceuticals or pesticidal active ingredients), while intentional food-use chemicals tended to show the fewest specific interactions. The analyses presented here provide context for use of these data in ongoing studies to predict in vivo toxicity from chemicals lacking extensive hazard assessment.","author":[{"dropping-particle":"","family":"Judson","given":"Richard","non-dropping-particle":"","parse-names":false,"suffix":""},{"dropping-particle":"","family":"Houck","given":"Keith","non-dropping-particle":"","parse-names":false,"suffix":""},{"dropping-particle":"","family":"Martin","given":"Matt","non-dropping-particle":"","parse-names":false,"suffix":""},{"dropping-particle":"","family":"Richard","given":"Ann M.","non-dropping-particle":"","parse-names":false,"suffix":""},{"dropping-particle":"","family":"Knudsen","given":"Thomas B.","non-dropping-particle":"","parse-names":false,"suffix":""},{"dropping-particle":"","family":"Shah","given":"Imran","non-dropping-particle":"","parse-names":false,"suffix":""},{"dropping-particle":"","family":"Little","given":"Stephen","non-dropping-particle":"","parse-names":false,"suffix":""},{"dropping-particle":"","family":"Wambaugh","given":"John","non-dropping-particle":"","parse-names":false,"suffix":""},{"dropping-particle":"","family":"Setzer","given":"R. Woodrow","non-dropping-particle":"","parse-names":false,"suffix":""},{"dropping-particle":"","family":"Kothya","given":"Parth","non-dropping-particle":"","parse-names":false,"suffix":""},{"dropping-particle":"","family":"Phuong","given":"Jimmy","non-dropping-particle":"","parse-names":false,"suffix":""},{"dropping-particle":"","family":"Filer","given":"Dayne","non-dropping-particle":"","parse-names":false,"suffix":""},{"dropping-particle":"","family":"Smith","given":"Doris","non-dropping-particle":"","parse-names":false,"suffix":""},{"dropping-particle":"","family":"Reif","given":"David","non-dropping-particle":"","parse-names":false,"suffix":""},{"dropping-particle":"","family":"Rotroff","given":"Daniel","non-dropping-particle":"","parse-names":false,"suffix":""},{"dropping-particle":"","family":"Kleinstreuer","given":"Nicole","non-dropping-particle":"","parse-names":false,"suffix":""},{"dropping-particle":"","family":"Sipes","given":"Nisha","non-dropping-particle":"","parse-names":false,"suffix":""},{"dropping-particle":"","family":"Xia","given":"Menghang","non-dropping-particle":"","parse-names":false,"suffix":""},{"dropping-particle":"","family":"Huang","given":"Ruili","non-dropping-particle":"","parse-names":false,"suffix":""},{"dropping-particle":"","family":"Crofton","given":"Kevin","non-dropping-particle":"","parse-names":false,"suffix":""},{"dropping-particle":"","family":"Thomas","given":"Russell S.","non-dropping-particle":"","parse-names":false,"suffix":""}],"container-title":"Toxicological Sciences","id":"ITEM-1","issue":"2","issued":{"date-parts":[["2016"]]},"page":"323-339","title":"Analysis of the effects of cell stress and cytotoxicity on in vitro assay activity across a diverse chemical and assay space","type":"article-journal","volume":"152"},"uris":["http://www.mendeley.com/documents/?uuid=07530ec1-826e-4f35-a0c7-d8b169102f72"]}],"mendeley":{"formattedCitation":"&lt;sup&gt;25&lt;/sup&gt;","plainTextFormattedCitation":"25","previouslyFormattedCitation":"&lt;sup&gt;25&lt;/sup&gt;"},"properties":{"noteIndex":0},"schema":"https://github.com/citation-style-language/schema/raw/master/csl-citation.json"}</w:instrText>
      </w:r>
      <w:r w:rsidR="00D85090">
        <w:rPr>
          <w:lang w:val="en-GB"/>
        </w:rPr>
        <w:fldChar w:fldCharType="separate"/>
      </w:r>
      <w:r w:rsidR="00853585" w:rsidRPr="00853585">
        <w:rPr>
          <w:noProof/>
          <w:vertAlign w:val="superscript"/>
          <w:lang w:val="en-GB"/>
        </w:rPr>
        <w:t>25</w:t>
      </w:r>
      <w:r w:rsidR="00D85090">
        <w:rPr>
          <w:lang w:val="en-GB"/>
        </w:rPr>
        <w:fldChar w:fldCharType="end"/>
      </w:r>
      <w:r w:rsidRPr="00BA6959">
        <w:rPr>
          <w:lang w:val="en-GB"/>
        </w:rPr>
        <w:t xml:space="preserve"> First, the chemical-specific lower bound of cytotoxicity value was identified for each chemical present within the ToxCast cytotoxicity distribution matrix. The approach used to calculate this lower bound of cytotoxicity is discussed in more detail in Judson </w:t>
      </w:r>
      <w:r w:rsidRPr="00B155B2">
        <w:rPr>
          <w:i/>
          <w:lang w:val="en-GB"/>
        </w:rPr>
        <w:t>et al</w:t>
      </w:r>
      <w:r w:rsidR="00631DAA" w:rsidRPr="00B155B2">
        <w:rPr>
          <w:i/>
          <w:lang w:val="en-GB"/>
        </w:rPr>
        <w:t>.</w:t>
      </w:r>
      <w:r w:rsidRPr="00BA6959">
        <w:rPr>
          <w:lang w:val="en-GB"/>
        </w:rPr>
        <w:t xml:space="preserve"> (2016).</w:t>
      </w:r>
      <w:r w:rsidR="001B038B">
        <w:rPr>
          <w:lang w:val="en-GB"/>
        </w:rPr>
        <w:fldChar w:fldCharType="begin" w:fldLock="1"/>
      </w:r>
      <w:r w:rsidR="0092571A">
        <w:rPr>
          <w:lang w:val="en-GB"/>
        </w:rPr>
        <w:instrText>ADDIN CSL_CITATION {"citationItems":[{"id":"ITEM-1","itemData":{"DOI":"10.1093/toxsci/kfw092","ISSN":"10960929","PMID":"27208079","abstract":"Chemical toxicity can arise from disruption of specific biomolecular functions or through more generalized cell stress and cytotoxicity-mediated processes. Here, responses of 1060 chemicals including pharmaceuticals, natural products, pesticidals, consumer, and industrial chemicals across a battery of 815 in vitro assay endpoints from 7 high-throughput assay technology platforms were analyzed in order to distinguish between these types of activities. Both cell-based and cell-free assays showed a rapid increase in the frequency of responses at concentrations where cell stress / cytotoxicity responses were observed in cell-based assays. Chemicals that were positive on at least two viability/cytotoxicity assays within the concentration range tested (typically up to 100 {micro}M) activated a median of 12% of assay endpoints while those that were not cytotoxic in this concentration range activated 1.3% of the assays endpoints. The results suggest that activity can be broadly divided into: (1) specific biomolecular interactions against one or more targets (e.g., receptors or enzymes) at concentrations below which overt cytotoxicity-associated activity is observed; and (2) activity associated with cell stress or cytotoxicity, which may result from triggering specific cell stress pathways, chemical reactivity, physico-chemical disruption of proteins or membranes, or broad low-affinity non-covalent interactions. Chemicals showing a greater number of specific biomolecular interactions are generally designed to be bioactive (pharmaceuticals or pesticidal active ingredients), while intentional food-use chemicals tended to show the fewest specific interactions. The analyses presented here provide context for use of these data in ongoing studies to predict in vivo toxicity from chemicals lacking extensive hazard assessment.","author":[{"dropping-particle":"","family":"Judson","given":"Richard","non-dropping-particle":"","parse-names":false,"suffix":""},{"dropping-particle":"","family":"Houck","given":"Keith","non-dropping-particle":"","parse-names":false,"suffix":""},{"dropping-particle":"","family":"Martin","given":"Matt","non-dropping-particle":"","parse-names":false,"suffix":""},{"dropping-particle":"","family":"Richard","given":"Ann M.","non-dropping-particle":"","parse-names":false,"suffix":""},{"dropping-particle":"","family":"Knudsen","given":"Thomas B.","non-dropping-particle":"","parse-names":false,"suffix":""},{"dropping-particle":"","family":"Shah","given":"Imran","non-dropping-particle":"","parse-names":false,"suffix":""},{"dropping-particle":"","family":"Little","given":"Stephen","non-dropping-particle":"","parse-names":false,"suffix":""},{"dropping-particle":"","family":"Wambaugh","given":"John","non-dropping-particle":"","parse-names":false,"suffix":""},{"dropping-particle":"","family":"Setzer","given":"R. Woodrow","non-dropping-particle":"","parse-names":false,"suffix":""},{"dropping-particle":"","family":"Kothya","given":"Parth","non-dropping-particle":"","parse-names":false,"suffix":""},{"dropping-particle":"","family":"Phuong","given":"Jimmy","non-dropping-particle":"","parse-names":false,"suffix":""},{"dropping-particle":"","family":"Filer","given":"Dayne","non-dropping-particle":"","parse-names":false,"suffix":""},{"dropping-particle":"","family":"Smith","given":"Doris","non-dropping-particle":"","parse-names":false,"suffix":""},{"dropping-particle":"","family":"Reif","given":"David","non-dropping-particle":"","parse-names":false,"suffix":""},{"dropping-particle":"","family":"Rotroff","given":"Daniel","non-dropping-particle":"","parse-names":false,"suffix":""},{"dropping-particle":"","family":"Kleinstreuer","given":"Nicole","non-dropping-particle":"","parse-names":false,"suffix":""},{"dropping-particle":"","family":"Sipes","given":"Nisha","non-dropping-particle":"","parse-names":false,"suffix":""},{"dropping-particle":"","family":"Xia","given":"Menghang","non-dropping-particle":"","parse-names":false,"suffix":""},{"dropping-particle":"","family":"Huang","given":"Ruili","non-dropping-particle":"","parse-names":false,"suffix":""},{"dropping-particle":"","family":"Crofton","given":"Kevin","non-dropping-particle":"","parse-names":false,"suffix":""},{"dropping-particle":"","family":"Thomas","given":"Russell S.","non-dropping-particle":"","parse-names":false,"suffix":""}],"container-title":"Toxicological Sciences","id":"ITEM-1","issue":"2","issued":{"date-parts":[["2016"]]},"page":"323-339","title":"Analysis of the effects of cell stress and cytotoxicity on in vitro assay activity across a diverse chemical and assay space","type":"article-journal","volume":"152"},"uris":["http://www.mendeley.com/documents/?uuid=07530ec1-826e-4f35-a0c7-d8b169102f72"]}],"mendeley":{"formattedCitation":"&lt;sup&gt;25&lt;/sup&gt;","plainTextFormattedCitation":"25","previouslyFormattedCitation":"&lt;sup&gt;25&lt;/sup&gt;"},"properties":{"noteIndex":0},"schema":"https://github.com/citation-style-language/schema/raw/master/csl-citation.json"}</w:instrText>
      </w:r>
      <w:r w:rsidR="001B038B">
        <w:rPr>
          <w:lang w:val="en-GB"/>
        </w:rPr>
        <w:fldChar w:fldCharType="separate"/>
      </w:r>
      <w:r w:rsidR="00853585" w:rsidRPr="00853585">
        <w:rPr>
          <w:noProof/>
          <w:vertAlign w:val="superscript"/>
          <w:lang w:val="en-GB"/>
        </w:rPr>
        <w:t>25</w:t>
      </w:r>
      <w:r w:rsidR="001B038B">
        <w:rPr>
          <w:lang w:val="en-GB"/>
        </w:rPr>
        <w:fldChar w:fldCharType="end"/>
      </w:r>
      <w:r w:rsidRPr="00BA6959">
        <w:rPr>
          <w:lang w:val="en-GB"/>
        </w:rPr>
        <w:t xml:space="preserve"> Briefly, the concentration threshold at which cytotoxicity was observed for each chemical was calculated using the </w:t>
      </w:r>
      <w:r w:rsidR="00581CDC">
        <w:rPr>
          <w:lang w:val="en-GB"/>
        </w:rPr>
        <w:t>-</w:t>
      </w:r>
      <w:r w:rsidRPr="00BA6959">
        <w:rPr>
          <w:lang w:val="en-GB"/>
        </w:rPr>
        <w:t>log</w:t>
      </w:r>
      <w:r w:rsidR="00702203" w:rsidRPr="00B155B2">
        <w:rPr>
          <w:vertAlign w:val="subscript"/>
          <w:lang w:val="en-GB"/>
        </w:rPr>
        <w:t>10</w:t>
      </w:r>
      <w:r w:rsidRPr="00BA6959">
        <w:rPr>
          <w:lang w:val="en-GB"/>
        </w:rPr>
        <w:t xml:space="preserve">AC50 value associated with each chemical-assay pair. Chemicals that were inactive within a </w:t>
      </w:r>
      <w:proofErr w:type="gramStart"/>
      <w:r w:rsidRPr="00BA6959">
        <w:rPr>
          <w:lang w:val="en-GB"/>
        </w:rPr>
        <w:t>particular assay</w:t>
      </w:r>
      <w:proofErr w:type="gramEnd"/>
      <w:r w:rsidRPr="00BA6959">
        <w:rPr>
          <w:lang w:val="en-GB"/>
        </w:rPr>
        <w:t xml:space="preserve"> were assigned an AC50 of 1,000,000</w:t>
      </w:r>
      <w:r w:rsidR="00631DAA">
        <w:rPr>
          <w:lang w:val="en-GB"/>
        </w:rPr>
        <w:t xml:space="preserve"> </w:t>
      </w:r>
      <w:r w:rsidRPr="00BA6959">
        <w:rPr>
          <w:rFonts w:cs="Times"/>
          <w:lang w:val="en-GB"/>
        </w:rPr>
        <w:t>µ</w:t>
      </w:r>
      <w:r w:rsidRPr="00BA6959">
        <w:rPr>
          <w:lang w:val="en-GB"/>
        </w:rPr>
        <w:t xml:space="preserve">M (i.e. a </w:t>
      </w:r>
      <w:r w:rsidR="00581CDC">
        <w:rPr>
          <w:lang w:val="en-GB"/>
        </w:rPr>
        <w:t>-</w:t>
      </w:r>
      <w:r w:rsidRPr="00BA6959">
        <w:rPr>
          <w:lang w:val="en-GB"/>
        </w:rPr>
        <w:t>log</w:t>
      </w:r>
      <w:r w:rsidR="00702203" w:rsidRPr="00B155B2">
        <w:rPr>
          <w:vertAlign w:val="subscript"/>
          <w:lang w:val="en-GB"/>
        </w:rPr>
        <w:t>10</w:t>
      </w:r>
      <w:r w:rsidRPr="00BA6959">
        <w:rPr>
          <w:lang w:val="en-GB"/>
        </w:rPr>
        <w:t>AC50 value of 0). For those chemicals with two or more hits in the cytotoxicity assays both the median</w:t>
      </w:r>
      <w:r w:rsidR="00702203">
        <w:rPr>
          <w:lang w:val="en-GB"/>
        </w:rPr>
        <w:t>(</w:t>
      </w:r>
      <w:r w:rsidR="00581CDC">
        <w:rPr>
          <w:lang w:val="en-GB"/>
        </w:rPr>
        <w:t>-</w:t>
      </w:r>
      <w:r w:rsidRPr="00BA6959">
        <w:rPr>
          <w:lang w:val="en-GB"/>
        </w:rPr>
        <w:t>log</w:t>
      </w:r>
      <w:r w:rsidR="00702203" w:rsidRPr="00B155B2">
        <w:rPr>
          <w:vertAlign w:val="subscript"/>
          <w:lang w:val="en-GB"/>
        </w:rPr>
        <w:t>10</w:t>
      </w:r>
      <w:r w:rsidR="00DF656F">
        <w:rPr>
          <w:lang w:val="en-GB"/>
        </w:rPr>
        <w:t>(</w:t>
      </w:r>
      <w:r w:rsidRPr="00BA6959">
        <w:rPr>
          <w:lang w:val="en-GB"/>
        </w:rPr>
        <w:t>AC50</w:t>
      </w:r>
      <w:r w:rsidR="00DF656F">
        <w:rPr>
          <w:lang w:val="en-GB"/>
        </w:rPr>
        <w:t>)</w:t>
      </w:r>
      <w:r w:rsidR="00702203">
        <w:rPr>
          <w:lang w:val="en-GB"/>
        </w:rPr>
        <w:t>)</w:t>
      </w:r>
      <w:r w:rsidRPr="00BA6959">
        <w:rPr>
          <w:lang w:val="en-GB"/>
        </w:rPr>
        <w:t xml:space="preserve"> in the cytotoxicity assays and the median absolute deviation (MAD) of the </w:t>
      </w:r>
      <w:r w:rsidR="00581CDC">
        <w:rPr>
          <w:lang w:val="en-GB"/>
        </w:rPr>
        <w:t>-</w:t>
      </w:r>
      <w:r w:rsidRPr="00BA6959">
        <w:rPr>
          <w:lang w:val="en-GB"/>
        </w:rPr>
        <w:t>log</w:t>
      </w:r>
      <w:r w:rsidR="00581CDC" w:rsidRPr="00B155B2">
        <w:rPr>
          <w:vertAlign w:val="subscript"/>
          <w:lang w:val="en-GB"/>
        </w:rPr>
        <w:t>10</w:t>
      </w:r>
      <w:r w:rsidR="00DF656F">
        <w:rPr>
          <w:lang w:val="en-GB"/>
        </w:rPr>
        <w:t>(</w:t>
      </w:r>
      <w:r w:rsidRPr="00BA6959">
        <w:rPr>
          <w:lang w:val="en-GB"/>
        </w:rPr>
        <w:t>AC50</w:t>
      </w:r>
      <w:r w:rsidR="00DF656F">
        <w:rPr>
          <w:lang w:val="en-GB"/>
        </w:rPr>
        <w:t>)</w:t>
      </w:r>
      <w:r w:rsidRPr="00BA6959">
        <w:rPr>
          <w:lang w:val="en-GB"/>
        </w:rPr>
        <w:t xml:space="preserve"> in the cytotoxicity assays were calculated. Meanwhile, an arbitrary default value of 1000</w:t>
      </w:r>
      <w:r w:rsidR="00631DAA">
        <w:rPr>
          <w:lang w:val="en-GB"/>
        </w:rPr>
        <w:t xml:space="preserve"> </w:t>
      </w:r>
      <w:r w:rsidRPr="00BA6959">
        <w:rPr>
          <w:rFonts w:cs="Times"/>
          <w:lang w:val="en-GB"/>
        </w:rPr>
        <w:t>µ</w:t>
      </w:r>
      <w:r w:rsidRPr="00BA6959">
        <w:rPr>
          <w:lang w:val="en-GB"/>
        </w:rPr>
        <w:t xml:space="preserve">M was set for </w:t>
      </w:r>
      <w:proofErr w:type="gramStart"/>
      <w:r w:rsidRPr="00BA6959">
        <w:rPr>
          <w:lang w:val="en-GB"/>
        </w:rPr>
        <w:t>those chemical</w:t>
      </w:r>
      <w:proofErr w:type="gramEnd"/>
      <w:r w:rsidRPr="00BA6959">
        <w:rPr>
          <w:lang w:val="en-GB"/>
        </w:rPr>
        <w:t xml:space="preserve"> with fewer than two hits in the cytotoxicity-related assays. Subsequently, Judson </w:t>
      </w:r>
      <w:r w:rsidRPr="00B155B2">
        <w:rPr>
          <w:i/>
          <w:lang w:val="en-GB"/>
        </w:rPr>
        <w:t>et al</w:t>
      </w:r>
      <w:r w:rsidR="00631DAA" w:rsidRPr="00B155B2">
        <w:rPr>
          <w:i/>
          <w:lang w:val="en-GB"/>
        </w:rPr>
        <w:t>.</w:t>
      </w:r>
      <w:r w:rsidRPr="00BA6959">
        <w:rPr>
          <w:lang w:val="en-GB"/>
        </w:rPr>
        <w:t xml:space="preserve"> (2016) utilised the distribution of the MAD values across these chemicals to calculate the global MAD of cytotoxicity (0.2</w:t>
      </w:r>
      <w:r w:rsidR="00702203">
        <w:rPr>
          <w:lang w:val="en-GB"/>
        </w:rPr>
        <w:t>89</w:t>
      </w:r>
      <w:r w:rsidRPr="00BA6959">
        <w:rPr>
          <w:lang w:val="en-GB"/>
        </w:rPr>
        <w:t xml:space="preserve"> log units). The global MAD value has also been utilised to calculate the lower bound of cytotoxicity. This was achieved by subtracting three times the global MAD from the micromolar concentration of the cytotoxicity value. As such, the lower bound of cytotoxicity gives a measure</w:t>
      </w:r>
      <w:r w:rsidR="007F5A7C">
        <w:rPr>
          <w:lang w:val="en-GB"/>
        </w:rPr>
        <w:t xml:space="preserve"> of</w:t>
      </w:r>
      <w:r w:rsidRPr="00BA6959">
        <w:rPr>
          <w:lang w:val="en-GB"/>
        </w:rPr>
        <w:t xml:space="preserve"> the variability of the cytotoxicity point across the entire ToxCast dataset. Thus, providing a range within which activity may, potentially, be confounded by cytotoxicity. This chemical-specific lower bound of cytotoxicity was then compared against the AC50 for each assay in which the chemical was tested. </w:t>
      </w:r>
      <w:r w:rsidR="00E96628">
        <w:rPr>
          <w:lang w:val="en-GB"/>
        </w:rPr>
        <w:t>The</w:t>
      </w:r>
      <w:r w:rsidR="00E96628" w:rsidRPr="00BA6959">
        <w:rPr>
          <w:lang w:val="en-GB"/>
        </w:rPr>
        <w:t xml:space="preserve"> </w:t>
      </w:r>
      <w:r w:rsidRPr="00BA6959">
        <w:rPr>
          <w:lang w:val="en-GB"/>
        </w:rPr>
        <w:t xml:space="preserve">chemical-assay pairs for which the AC50 was lower than the lower bound of cytotoxicity were considered active (i.e. assigned a value of “1”), whilst chemical-assay pairs with an AC50 above </w:t>
      </w:r>
      <w:r w:rsidRPr="00BA6959">
        <w:rPr>
          <w:lang w:val="en-GB"/>
        </w:rPr>
        <w:lastRenderedPageBreak/>
        <w:t>the lower bound of cytotoxicity were considered inactive (i.e. assigned a value of “0”)</w:t>
      </w:r>
      <w:r w:rsidR="00631DAA">
        <w:rPr>
          <w:lang w:val="en-GB"/>
        </w:rPr>
        <w:t>, as</w:t>
      </w:r>
      <w:r w:rsidR="000D3C27">
        <w:rPr>
          <w:lang w:val="en-GB"/>
        </w:rPr>
        <w:t xml:space="preserve"> illustrated in Figure 1.</w:t>
      </w:r>
    </w:p>
    <w:p w14:paraId="68BF6C0E" w14:textId="57B11045" w:rsidR="00581CDC" w:rsidRDefault="00361550" w:rsidP="00361550">
      <w:pPr>
        <w:pStyle w:val="ACSTEXT"/>
        <w:rPr>
          <w:rFonts w:ascii="Times New Roman" w:hAnsi="Times New Roman"/>
          <w:lang w:val="en-GB"/>
        </w:rPr>
      </w:pPr>
      <w:r w:rsidRPr="00BA6959">
        <w:rPr>
          <w:lang w:val="en-GB"/>
        </w:rPr>
        <w:t xml:space="preserve">Upon generation of the hit-call matrix taking the lower bound of cytotoxicity into consideration an examination of the cytotoxicity assays and their associated specific-target counterparts was conducted. This was </w:t>
      </w:r>
      <w:r w:rsidR="00E15B03">
        <w:rPr>
          <w:lang w:val="en-GB"/>
        </w:rPr>
        <w:t>conducted</w:t>
      </w:r>
      <w:r w:rsidR="00E15B03" w:rsidRPr="00BA6959">
        <w:rPr>
          <w:lang w:val="en-GB"/>
        </w:rPr>
        <w:t xml:space="preserve"> </w:t>
      </w:r>
      <w:r w:rsidR="00E15B03">
        <w:rPr>
          <w:lang w:val="en-GB"/>
        </w:rPr>
        <w:t>using the -log</w:t>
      </w:r>
      <w:r w:rsidR="00E15B03" w:rsidRPr="00B155B2">
        <w:rPr>
          <w:vertAlign w:val="subscript"/>
          <w:lang w:val="en-GB"/>
        </w:rPr>
        <w:t>10</w:t>
      </w:r>
      <w:r w:rsidR="00E15B03">
        <w:rPr>
          <w:lang w:val="en-GB"/>
        </w:rPr>
        <w:t xml:space="preserve">AC50 (available for download from ToxCast) and the hit-call matrix developed above. Scalar multiplication was utilised </w:t>
      </w:r>
      <w:r w:rsidRPr="00BA6959">
        <w:rPr>
          <w:lang w:val="en-GB"/>
        </w:rPr>
        <w:t>so that only the -log</w:t>
      </w:r>
      <w:r w:rsidR="00E15B03" w:rsidRPr="00B155B2">
        <w:rPr>
          <w:vertAlign w:val="subscript"/>
          <w:lang w:val="en-GB"/>
        </w:rPr>
        <w:t>10</w:t>
      </w:r>
      <w:r w:rsidRPr="00BA6959">
        <w:rPr>
          <w:lang w:val="en-GB"/>
        </w:rPr>
        <w:t xml:space="preserve">AC50 values for chemical-assay combinations that were active below the lower bound of cytotoxicity (i.e. active below the burst) remained. </w:t>
      </w:r>
      <w:r w:rsidR="00E15B03">
        <w:rPr>
          <w:lang w:val="en-GB"/>
        </w:rPr>
        <w:t>Subsequently, a</w:t>
      </w:r>
      <w:r w:rsidRPr="00BA6959">
        <w:rPr>
          <w:lang w:val="en-GB"/>
        </w:rPr>
        <w:t xml:space="preserve"> scatterplot of the results for the cytotoxicity assays against the target-specific counterparts was </w:t>
      </w:r>
      <w:r w:rsidR="002166B6">
        <w:rPr>
          <w:lang w:val="en-GB"/>
        </w:rPr>
        <w:t>produced</w:t>
      </w:r>
      <w:r w:rsidR="002166B6" w:rsidRPr="00BA6959">
        <w:rPr>
          <w:lang w:val="en-GB"/>
        </w:rPr>
        <w:t xml:space="preserve"> </w:t>
      </w:r>
      <w:r w:rsidRPr="00BA6959">
        <w:rPr>
          <w:lang w:val="en-GB"/>
        </w:rPr>
        <w:t>(</w:t>
      </w:r>
      <w:r w:rsidRPr="00531F4D">
        <w:rPr>
          <w:lang w:val="en-GB"/>
        </w:rPr>
        <w:t xml:space="preserve">Figure </w:t>
      </w:r>
      <w:r w:rsidR="000D3C27">
        <w:rPr>
          <w:lang w:val="en-GB"/>
        </w:rPr>
        <w:t>2</w:t>
      </w:r>
      <w:r w:rsidRPr="00531F4D">
        <w:rPr>
          <w:lang w:val="en-GB"/>
        </w:rPr>
        <w:t>).</w:t>
      </w:r>
      <w:r w:rsidRPr="00BA6959">
        <w:rPr>
          <w:lang w:val="en-GB"/>
        </w:rPr>
        <w:t xml:space="preserve"> Whilst the majority of the points fell on either the x-axis (</w:t>
      </w:r>
      <w:r w:rsidRPr="00BA6959">
        <w:rPr>
          <w:rFonts w:ascii="Times New Roman" w:hAnsi="Times New Roman"/>
          <w:lang w:val="en-GB"/>
        </w:rPr>
        <w:t>i.e. the chemical exhibited a target-specific effect prior to cytotoxicity) or the y-axis (i.e. the chemical exhibited cytotoxicity prior to the observation of a target-specific effect) a number of points fell along the diagonal (i.e. target-specific effects and cytotoxicity occur at approximately the same concentration</w:t>
      </w:r>
      <w:r w:rsidR="00362D42">
        <w:rPr>
          <w:rFonts w:ascii="Times New Roman" w:hAnsi="Times New Roman"/>
          <w:lang w:val="en-GB"/>
        </w:rPr>
        <w:t>)</w:t>
      </w:r>
      <w:r w:rsidRPr="00BA6959">
        <w:rPr>
          <w:rFonts w:ascii="Times New Roman" w:hAnsi="Times New Roman"/>
          <w:lang w:val="en-GB"/>
        </w:rPr>
        <w:t xml:space="preserve">. Investigation of the points along the diagonal led to the identification of four quality control (QC) flags associated with a large proportion of these points, namely: </w:t>
      </w:r>
    </w:p>
    <w:p w14:paraId="7309FF23" w14:textId="2F7952CA" w:rsidR="00581CDC" w:rsidRDefault="00361550" w:rsidP="00B155B2">
      <w:pPr>
        <w:pStyle w:val="ACSTEXT"/>
        <w:numPr>
          <w:ilvl w:val="0"/>
          <w:numId w:val="12"/>
        </w:numPr>
        <w:rPr>
          <w:rFonts w:ascii="Times New Roman" w:hAnsi="Times New Roman"/>
          <w:lang w:val="en-GB"/>
        </w:rPr>
      </w:pPr>
      <w:r w:rsidRPr="00BA6959">
        <w:rPr>
          <w:rFonts w:ascii="Times New Roman" w:hAnsi="Times New Roman"/>
          <w:lang w:val="en-GB"/>
        </w:rPr>
        <w:t xml:space="preserve">Only one concentration above baseline, active </w:t>
      </w:r>
    </w:p>
    <w:p w14:paraId="56BFF542" w14:textId="6C6BFD5C" w:rsidR="00581CDC" w:rsidRDefault="00361550" w:rsidP="00B155B2">
      <w:pPr>
        <w:pStyle w:val="ACSTEXT"/>
        <w:numPr>
          <w:ilvl w:val="0"/>
          <w:numId w:val="12"/>
        </w:numPr>
        <w:rPr>
          <w:rFonts w:ascii="Times New Roman" w:hAnsi="Times New Roman"/>
          <w:lang w:val="en-GB"/>
        </w:rPr>
      </w:pPr>
      <w:r w:rsidRPr="00BA6959">
        <w:rPr>
          <w:rFonts w:ascii="Times New Roman" w:hAnsi="Times New Roman"/>
          <w:lang w:val="en-GB"/>
        </w:rPr>
        <w:t xml:space="preserve">Borderline active </w:t>
      </w:r>
    </w:p>
    <w:p w14:paraId="3D8294B4" w14:textId="580056DB" w:rsidR="00581CDC" w:rsidRDefault="00361550" w:rsidP="00B155B2">
      <w:pPr>
        <w:pStyle w:val="ACSTEXT"/>
        <w:numPr>
          <w:ilvl w:val="0"/>
          <w:numId w:val="12"/>
        </w:numPr>
        <w:rPr>
          <w:rFonts w:ascii="Times New Roman" w:hAnsi="Times New Roman"/>
          <w:lang w:val="en-GB"/>
        </w:rPr>
      </w:pPr>
      <w:r w:rsidRPr="00BA6959">
        <w:rPr>
          <w:rFonts w:ascii="Times New Roman" w:hAnsi="Times New Roman"/>
          <w:lang w:val="en-GB"/>
        </w:rPr>
        <w:t xml:space="preserve">Gain AC50 &lt; lowest concentration and loss AC50 &lt; mean concentration </w:t>
      </w:r>
    </w:p>
    <w:p w14:paraId="5BB1E147" w14:textId="7F380E04" w:rsidR="00581CDC" w:rsidRDefault="00361550" w:rsidP="00B155B2">
      <w:pPr>
        <w:pStyle w:val="ACSTEXT"/>
        <w:numPr>
          <w:ilvl w:val="0"/>
          <w:numId w:val="12"/>
        </w:numPr>
        <w:rPr>
          <w:rFonts w:ascii="Times New Roman" w:hAnsi="Times New Roman"/>
          <w:lang w:val="en-GB"/>
        </w:rPr>
      </w:pPr>
      <w:proofErr w:type="gramStart"/>
      <w:r w:rsidRPr="00BA6959">
        <w:rPr>
          <w:rFonts w:ascii="Times New Roman" w:hAnsi="Times New Roman"/>
          <w:lang w:val="en-GB"/>
        </w:rPr>
        <w:t>Hit-call</w:t>
      </w:r>
      <w:proofErr w:type="gramEnd"/>
      <w:r w:rsidRPr="00BA6959">
        <w:rPr>
          <w:rFonts w:ascii="Times New Roman" w:hAnsi="Times New Roman"/>
          <w:lang w:val="en-GB"/>
        </w:rPr>
        <w:t xml:space="preserve"> potentially confounded by overfitting </w:t>
      </w:r>
    </w:p>
    <w:p w14:paraId="0DB051FA" w14:textId="7C872B4F" w:rsidR="00361550" w:rsidRDefault="00775164" w:rsidP="00412608">
      <w:pPr>
        <w:pStyle w:val="ACSTEXT"/>
        <w:rPr>
          <w:rFonts w:ascii="Times New Roman" w:hAnsi="Times New Roman"/>
          <w:lang w:val="en-GB"/>
        </w:rPr>
      </w:pPr>
      <w:r>
        <w:rPr>
          <w:rFonts w:ascii="Times New Roman" w:hAnsi="Times New Roman"/>
          <w:lang w:val="en-GB"/>
        </w:rPr>
        <w:lastRenderedPageBreak/>
        <w:t>T</w:t>
      </w:r>
      <w:r w:rsidR="00361550" w:rsidRPr="00BA6959">
        <w:rPr>
          <w:rFonts w:ascii="Times New Roman" w:hAnsi="Times New Roman"/>
          <w:lang w:val="en-GB"/>
        </w:rPr>
        <w:t>he chemical-assay pairs associated with at least one of the</w:t>
      </w:r>
      <w:r>
        <w:rPr>
          <w:rFonts w:ascii="Times New Roman" w:hAnsi="Times New Roman"/>
          <w:lang w:val="en-GB"/>
        </w:rPr>
        <w:t>se</w:t>
      </w:r>
      <w:r w:rsidR="00361550" w:rsidRPr="00BA6959">
        <w:rPr>
          <w:rFonts w:ascii="Times New Roman" w:hAnsi="Times New Roman"/>
          <w:lang w:val="en-GB"/>
        </w:rPr>
        <w:t xml:space="preserve"> QC flags were identified</w:t>
      </w:r>
      <w:r>
        <w:rPr>
          <w:rFonts w:ascii="Times New Roman" w:hAnsi="Times New Roman"/>
          <w:lang w:val="en-GB"/>
        </w:rPr>
        <w:t>. T</w:t>
      </w:r>
      <w:r w:rsidR="00361550" w:rsidRPr="00BA6959">
        <w:rPr>
          <w:rFonts w:ascii="Times New Roman" w:hAnsi="Times New Roman"/>
          <w:lang w:val="en-GB"/>
        </w:rPr>
        <w:t>his information was used to develop a flag hit-call matrix whereby, chemical-assay pairs with an associated flag were given a score of “0” and chemical-assay pairs without an associated flag were given a score of “1”. This hit-call matrix was generated because th</w:t>
      </w:r>
      <w:r>
        <w:rPr>
          <w:rFonts w:ascii="Times New Roman" w:hAnsi="Times New Roman"/>
          <w:lang w:val="en-GB"/>
        </w:rPr>
        <w:t>is</w:t>
      </w:r>
      <w:r w:rsidR="00361550" w:rsidRPr="00BA6959">
        <w:rPr>
          <w:rFonts w:ascii="Times New Roman" w:hAnsi="Times New Roman"/>
          <w:lang w:val="en-GB"/>
        </w:rPr>
        <w:t xml:space="preserve"> type of investigation can only be performed when both cytotoxicity and associated specific-target assays are present</w:t>
      </w:r>
      <w:r>
        <w:rPr>
          <w:rFonts w:ascii="Times New Roman" w:hAnsi="Times New Roman"/>
          <w:lang w:val="en-GB"/>
        </w:rPr>
        <w:t>.</w:t>
      </w:r>
      <w:r w:rsidR="00361550" w:rsidRPr="00BA6959">
        <w:rPr>
          <w:rFonts w:ascii="Times New Roman" w:hAnsi="Times New Roman"/>
          <w:lang w:val="en-GB"/>
        </w:rPr>
        <w:t xml:space="preserve"> </w:t>
      </w:r>
      <w:r>
        <w:rPr>
          <w:rFonts w:ascii="Times New Roman" w:hAnsi="Times New Roman"/>
          <w:lang w:val="en-GB"/>
        </w:rPr>
        <w:t>This</w:t>
      </w:r>
      <w:r w:rsidR="00361550" w:rsidRPr="00BA6959">
        <w:rPr>
          <w:rFonts w:ascii="Times New Roman" w:hAnsi="Times New Roman"/>
          <w:lang w:val="en-GB"/>
        </w:rPr>
        <w:t xml:space="preserve"> is not the case for </w:t>
      </w:r>
      <w:proofErr w:type="gramStart"/>
      <w:r w:rsidR="00361550" w:rsidRPr="00BA6959">
        <w:rPr>
          <w:rFonts w:ascii="Times New Roman" w:hAnsi="Times New Roman"/>
          <w:lang w:val="en-GB"/>
        </w:rPr>
        <w:t>the vast majority of</w:t>
      </w:r>
      <w:proofErr w:type="gramEnd"/>
      <w:r w:rsidR="00361550" w:rsidRPr="00BA6959">
        <w:rPr>
          <w:rFonts w:ascii="Times New Roman" w:hAnsi="Times New Roman"/>
          <w:lang w:val="en-GB"/>
        </w:rPr>
        <w:t xml:space="preserve"> assays in ToxCast. Therefore, utilising </w:t>
      </w:r>
      <w:r w:rsidR="00361550">
        <w:rPr>
          <w:rFonts w:ascii="Times New Roman" w:hAnsi="Times New Roman"/>
          <w:lang w:val="en-GB"/>
        </w:rPr>
        <w:t xml:space="preserve">the four QC flags should assist in removing active calls for chemicals potentially confounded by cytotoxicity and further increase confidence that an active call acts via the target specific mechanism. </w:t>
      </w:r>
    </w:p>
    <w:p w14:paraId="40458DDB" w14:textId="700FD7AF" w:rsidR="00361550" w:rsidRPr="00BA6959" w:rsidRDefault="001E5EF7" w:rsidP="00361550">
      <w:pPr>
        <w:pStyle w:val="ACSTEXT"/>
        <w:rPr>
          <w:lang w:val="en-GB"/>
        </w:rPr>
      </w:pPr>
      <w:r>
        <w:rPr>
          <w:rFonts w:ascii="Times New Roman" w:hAnsi="Times New Roman"/>
          <w:lang w:val="en-GB"/>
        </w:rPr>
        <w:t>In</w:t>
      </w:r>
      <w:r w:rsidR="00775164">
        <w:rPr>
          <w:rFonts w:ascii="Times New Roman" w:hAnsi="Times New Roman"/>
          <w:lang w:val="en-GB"/>
        </w:rPr>
        <w:t xml:space="preserve"> t</w:t>
      </w:r>
      <w:r w:rsidR="00361550">
        <w:rPr>
          <w:rFonts w:ascii="Times New Roman" w:hAnsi="Times New Roman"/>
          <w:lang w:val="en-GB"/>
        </w:rPr>
        <w:t xml:space="preserve">he final hit-call matrix (i.e. the burst flag hit-call matrix) used for the extraction of active chemicals within this study </w:t>
      </w:r>
      <w:r>
        <w:rPr>
          <w:rFonts w:ascii="Times New Roman" w:hAnsi="Times New Roman"/>
          <w:lang w:val="en-GB"/>
        </w:rPr>
        <w:t>a chemical was considered active in an assay only when call a “hit” in both of the previously developed hit-call matrices</w:t>
      </w:r>
      <w:r w:rsidR="00361550">
        <w:rPr>
          <w:rFonts w:ascii="Times New Roman" w:hAnsi="Times New Roman"/>
          <w:lang w:val="en-GB"/>
        </w:rPr>
        <w:t xml:space="preserve">. </w:t>
      </w:r>
      <w:r>
        <w:rPr>
          <w:rFonts w:ascii="Times New Roman" w:hAnsi="Times New Roman"/>
          <w:lang w:val="en-GB"/>
        </w:rPr>
        <w:t>This limits active calls to</w:t>
      </w:r>
      <w:r w:rsidR="00361550" w:rsidRPr="00AC2FAC">
        <w:rPr>
          <w:rFonts w:ascii="Times New Roman" w:hAnsi="Times New Roman"/>
        </w:rPr>
        <w:t xml:space="preserve"> those chemical-assay pairs that were 1) below the lower bound of cytotoxicity, and 2) did not have an associated QC flag.</w:t>
      </w:r>
    </w:p>
    <w:p w14:paraId="49245BE0" w14:textId="2AD24C50" w:rsidR="001F2785" w:rsidRPr="00BA6959" w:rsidRDefault="00361550" w:rsidP="00013936">
      <w:pPr>
        <w:pStyle w:val="ACSTEXT"/>
        <w:rPr>
          <w:lang w:val="en-GB"/>
        </w:rPr>
      </w:pPr>
      <w:r w:rsidRPr="003B7E40">
        <w:rPr>
          <w:b/>
          <w:lang w:val="en-GB"/>
        </w:rPr>
        <w:t>Extraction of AR and GR data</w:t>
      </w:r>
      <w:r w:rsidRPr="003B7E40">
        <w:rPr>
          <w:lang w:val="en-GB"/>
        </w:rPr>
        <w:t xml:space="preserve">. </w:t>
      </w:r>
      <w:r>
        <w:rPr>
          <w:lang w:val="en-GB"/>
        </w:rPr>
        <w:t>In order to be as conservative as possible</w:t>
      </w:r>
      <w:r w:rsidR="001A1C34">
        <w:rPr>
          <w:lang w:val="en-GB"/>
        </w:rPr>
        <w:t>,</w:t>
      </w:r>
      <w:r>
        <w:rPr>
          <w:lang w:val="en-GB"/>
        </w:rPr>
        <w:t xml:space="preserve"> two separate data files were used to identify chemicals that were active or inactive within assays relating to AR and GR activity. The burst flag hit-call matrix developed above was utilised to identify the active chemicals as there was higher confidence that an active call would be due to a target specific effect. Meanwhile, the original ToxCast hit-call matrix was used to identify the inactive chemicals as these calls also took into consideration possible activity via cytotoxicity; therefore, there was higher confidence that an inactive call was truly inactive. The names of the assays associated with the targets of interest were identified and these assays were extracted from both matrices. For each nuclear receptor</w:t>
      </w:r>
      <w:r w:rsidR="007F5A7C">
        <w:rPr>
          <w:lang w:val="en-GB"/>
        </w:rPr>
        <w:t>,</w:t>
      </w:r>
      <w:r>
        <w:rPr>
          <w:lang w:val="en-GB"/>
        </w:rPr>
        <w:t xml:space="preserve"> the list of active (i.e. a “1” designation in burst flag matrix) and inactive (i.e. a </w:t>
      </w:r>
      <w:r>
        <w:rPr>
          <w:lang w:val="en-GB"/>
        </w:rPr>
        <w:lastRenderedPageBreak/>
        <w:t>designation of “0” in original ToxCast matrix) chemicals were ascertained and the associated SMILES strings were gathered. These data were subsequently used in the construction of the models.</w:t>
      </w:r>
    </w:p>
    <w:p w14:paraId="39BED613" w14:textId="448C58B7" w:rsidR="00013936" w:rsidRPr="00BA6959" w:rsidRDefault="00B474B2" w:rsidP="00013936">
      <w:pPr>
        <w:pStyle w:val="ACSTEXT"/>
        <w:rPr>
          <w:lang w:val="en-GB"/>
        </w:rPr>
      </w:pPr>
      <w:r>
        <w:rPr>
          <w:lang w:val="en-GB"/>
        </w:rPr>
        <w:t>D</w:t>
      </w:r>
      <w:r w:rsidR="00013936" w:rsidRPr="00BA6959">
        <w:rPr>
          <w:lang w:val="en-GB"/>
        </w:rPr>
        <w:t xml:space="preserve">ata for each target was </w:t>
      </w:r>
      <w:r>
        <w:rPr>
          <w:lang w:val="en-GB"/>
        </w:rPr>
        <w:t>randomly split</w:t>
      </w:r>
      <w:r w:rsidR="00013936" w:rsidRPr="00BA6959">
        <w:rPr>
          <w:lang w:val="en-GB"/>
        </w:rPr>
        <w:t xml:space="preserve"> into 75% training set and 25% test set </w:t>
      </w:r>
      <w:r>
        <w:rPr>
          <w:lang w:val="en-GB"/>
        </w:rPr>
        <w:t>for</w:t>
      </w:r>
      <w:r w:rsidR="00013936" w:rsidRPr="00BA6959">
        <w:rPr>
          <w:lang w:val="en-GB"/>
        </w:rPr>
        <w:t xml:space="preserve"> </w:t>
      </w:r>
      <w:r w:rsidR="00CE1B0F">
        <w:rPr>
          <w:lang w:val="en-GB"/>
        </w:rPr>
        <w:t>external</w:t>
      </w:r>
      <w:r w:rsidR="00CE1B0F" w:rsidRPr="00BA6959">
        <w:rPr>
          <w:lang w:val="en-GB"/>
        </w:rPr>
        <w:t xml:space="preserve"> </w:t>
      </w:r>
      <w:r w:rsidR="00362FE1">
        <w:rPr>
          <w:lang w:val="en-GB"/>
        </w:rPr>
        <w:t xml:space="preserve">validation </w:t>
      </w:r>
      <w:r>
        <w:rPr>
          <w:lang w:val="en-GB"/>
        </w:rPr>
        <w:t>and</w:t>
      </w:r>
      <w:r w:rsidR="00013936" w:rsidRPr="00BA6959">
        <w:rPr>
          <w:lang w:val="en-GB"/>
        </w:rPr>
        <w:t xml:space="preserve"> </w:t>
      </w:r>
      <w:r>
        <w:rPr>
          <w:lang w:val="en-GB"/>
        </w:rPr>
        <w:t>d</w:t>
      </w:r>
      <w:r w:rsidR="00706641">
        <w:rPr>
          <w:lang w:val="en-GB"/>
        </w:rPr>
        <w:t>uplicate</w:t>
      </w:r>
      <w:r w:rsidR="00706641" w:rsidRPr="00BA6959">
        <w:rPr>
          <w:lang w:val="en-GB"/>
        </w:rPr>
        <w:t xml:space="preserve"> </w:t>
      </w:r>
      <w:r w:rsidR="00013936" w:rsidRPr="00BA6959">
        <w:rPr>
          <w:lang w:val="en-GB"/>
        </w:rPr>
        <w:t>data</w:t>
      </w:r>
      <w:r w:rsidR="00706641">
        <w:rPr>
          <w:lang w:val="en-GB"/>
        </w:rPr>
        <w:t xml:space="preserve"> points were removed</w:t>
      </w:r>
      <w:r w:rsidR="00013936" w:rsidRPr="00BA6959">
        <w:rPr>
          <w:lang w:val="en-GB"/>
        </w:rPr>
        <w:t>. This was performed on the molecular structure of each chemical based on their atomic connectivity, resulting in different tautomers, enantiomers and salts being treated as different data points. In total</w:t>
      </w:r>
      <w:r w:rsidR="001A1C34">
        <w:rPr>
          <w:lang w:val="en-GB"/>
        </w:rPr>
        <w:t>,</w:t>
      </w:r>
      <w:r w:rsidR="00013936" w:rsidRPr="00BA6959">
        <w:rPr>
          <w:lang w:val="en-GB"/>
        </w:rPr>
        <w:t xml:space="preserve"> data points</w:t>
      </w:r>
      <w:r w:rsidR="007E26AF" w:rsidRPr="00BA6959">
        <w:rPr>
          <w:lang w:val="en-GB"/>
        </w:rPr>
        <w:t xml:space="preserve"> for 7,027</w:t>
      </w:r>
      <w:r w:rsidR="00013936" w:rsidRPr="00BA6959">
        <w:rPr>
          <w:lang w:val="en-GB"/>
        </w:rPr>
        <w:t xml:space="preserve"> unique compounds w</w:t>
      </w:r>
      <w:r w:rsidR="007E26AF" w:rsidRPr="00BA6959">
        <w:rPr>
          <w:lang w:val="en-GB"/>
        </w:rPr>
        <w:t>ere extracted for the AR and 7,329</w:t>
      </w:r>
      <w:r w:rsidR="00013936" w:rsidRPr="00BA6959">
        <w:rPr>
          <w:lang w:val="en-GB"/>
        </w:rPr>
        <w:t xml:space="preserve"> unique compounds were extracted for the GR for model construction</w:t>
      </w:r>
      <w:r w:rsidR="00021ABE">
        <w:rPr>
          <w:lang w:val="en-GB"/>
        </w:rPr>
        <w:t xml:space="preserve"> (Table 1)</w:t>
      </w:r>
      <w:r w:rsidR="007E26AF" w:rsidRPr="00BA6959">
        <w:rPr>
          <w:lang w:val="en-GB"/>
        </w:rPr>
        <w:t xml:space="preserve">. </w:t>
      </w:r>
    </w:p>
    <w:p w14:paraId="6927687F" w14:textId="5CEF27DA" w:rsidR="00013936" w:rsidRDefault="00013936" w:rsidP="00013936">
      <w:pPr>
        <w:pStyle w:val="ACSTEXT"/>
        <w:rPr>
          <w:lang w:val="en-GB"/>
        </w:rPr>
      </w:pPr>
      <w:r w:rsidRPr="00BA6959">
        <w:rPr>
          <w:b/>
          <w:lang w:val="en-GB"/>
        </w:rPr>
        <w:t>Structural Alert Construction.</w:t>
      </w:r>
      <w:r w:rsidRPr="00BA6959">
        <w:rPr>
          <w:lang w:val="en-GB"/>
        </w:rPr>
        <w:t xml:space="preserve"> </w:t>
      </w:r>
      <w:r w:rsidR="001445AC">
        <w:rPr>
          <w:lang w:val="en-GB"/>
        </w:rPr>
        <w:t>Structural alerts were developed according to principles developed in previous work on ChEMBL data.</w:t>
      </w:r>
      <w:r w:rsidR="001445AC">
        <w:rPr>
          <w:lang w:val="en-GB"/>
        </w:rPr>
        <w:fldChar w:fldCharType="begin" w:fldLock="1"/>
      </w:r>
      <w:r w:rsidR="001445AC">
        <w:rPr>
          <w:lang w:val="en-GB"/>
        </w:rPr>
        <w:instrText>ADDIN CSL_CITATION {"citationItems":[{"id":"ITEM-1","itemData":{"author":[{"dropping-particle":"","family":"Allen","given":"Timothy E H","non-dropping-particle":"","parse-names":false,"suffix":""},{"dropping-particle":"","family":"Goodman","given":"Jonathan M","non-dropping-particle":"","parse-names":false,"suffix":""},{"dropping-particle":"","family":"Gutsell","given":"Steve","non-dropping-particle":"","parse-names":false,"suffix":""},{"dropping-particle":"","family":"Russell","given":"Paul J","non-dropping-particle":"","parse-names":false,"suffix":""}],"container-title":"Toxicological Sciences","id":"ITEM-1","issue":"1","issued":{"date-parts":[["2018"]]},"page":"213-223","title":"Using 2D structural alerts to define chemical categories for molecular initiating events","type":"article-journal","volume":"165"},"uris":["http://www.mendeley.com/documents/?uuid=625208e5-31bf-4713-a0a8-c5ea20f37e61"]}],"mendeley":{"formattedCitation":"&lt;sup&gt;22&lt;/sup&gt;","plainTextFormattedCitation":"22","previouslyFormattedCitation":"&lt;sup&gt;22&lt;/sup&gt;"},"properties":{"noteIndex":0},"schema":"https://github.com/citation-style-language/schema/raw/master/csl-citation.json"}</w:instrText>
      </w:r>
      <w:r w:rsidR="001445AC">
        <w:rPr>
          <w:lang w:val="en-GB"/>
        </w:rPr>
        <w:fldChar w:fldCharType="separate"/>
      </w:r>
      <w:r w:rsidR="001445AC" w:rsidRPr="001445AC">
        <w:rPr>
          <w:noProof/>
          <w:vertAlign w:val="superscript"/>
          <w:lang w:val="en-GB"/>
        </w:rPr>
        <w:t>22</w:t>
      </w:r>
      <w:r w:rsidR="001445AC">
        <w:rPr>
          <w:lang w:val="en-GB"/>
        </w:rPr>
        <w:fldChar w:fldCharType="end"/>
      </w:r>
      <w:r w:rsidR="001445AC">
        <w:rPr>
          <w:lang w:val="en-GB"/>
        </w:rPr>
        <w:t xml:space="preserve"> </w:t>
      </w:r>
      <w:r w:rsidRPr="00BA6959">
        <w:rPr>
          <w:lang w:val="en-GB"/>
        </w:rPr>
        <w:t>2D fragment-based structural alerts</w:t>
      </w:r>
      <w:r w:rsidR="00DE7968">
        <w:rPr>
          <w:lang w:val="en-GB"/>
        </w:rPr>
        <w:t xml:space="preserve"> were generated</w:t>
      </w:r>
      <w:r w:rsidR="00CD597C">
        <w:rPr>
          <w:lang w:val="en-GB"/>
        </w:rPr>
        <w:t xml:space="preserve"> iteratively</w:t>
      </w:r>
      <w:r w:rsidRPr="00BA6959">
        <w:rPr>
          <w:lang w:val="en-GB"/>
        </w:rPr>
        <w:t xml:space="preserve"> </w:t>
      </w:r>
      <w:r w:rsidRPr="006C6948">
        <w:rPr>
          <w:lang w:val="en-GB"/>
        </w:rPr>
        <w:t xml:space="preserve">using </w:t>
      </w:r>
      <w:r w:rsidR="003E39A6">
        <w:rPr>
          <w:lang w:val="en-GB"/>
        </w:rPr>
        <w:t xml:space="preserve">a maximal common substructure algorithm and </w:t>
      </w:r>
      <w:r w:rsidRPr="00597EB8">
        <w:rPr>
          <w:lang w:val="en-GB"/>
        </w:rPr>
        <w:t>custom scripting in Pipeline Pilot</w:t>
      </w:r>
      <w:r w:rsidR="003E39A6">
        <w:rPr>
          <w:lang w:val="en-GB"/>
        </w:rPr>
        <w:t xml:space="preserve"> (Figure 3)</w:t>
      </w:r>
      <w:r w:rsidRPr="00597EB8">
        <w:rPr>
          <w:lang w:val="en-GB"/>
        </w:rPr>
        <w:t>.</w:t>
      </w:r>
      <w:r w:rsidR="006C6948" w:rsidRPr="00597EB8">
        <w:rPr>
          <w:lang w:val="en-GB"/>
        </w:rPr>
        <w:fldChar w:fldCharType="begin" w:fldLock="1"/>
      </w:r>
      <w:r w:rsidR="0092571A">
        <w:rPr>
          <w:lang w:val="en-GB"/>
        </w:rPr>
        <w:instrText>ADDIN CSL_CITATION {"citationItems":[{"id":"ITEM-1","itemData":{"author":[{"dropping-particle":"","family":"Accelrys Software Inc.","given":"","non-dropping-particle":"","parse-names":false,"suffix":""}],"id":"ITEM-1","issued":{"date-parts":[["0"]]},"title":"Pipeline Pilot v.8.0.1.500","type":"article"},"uris":["http://www.mendeley.com/documents/?uuid=890a666e-3f2c-4735-bc2d-d1f70df77b67"]}],"mendeley":{"formattedCitation":"&lt;sup&gt;26&lt;/sup&gt;","plainTextFormattedCitation":"26","previouslyFormattedCitation":"&lt;sup&gt;26&lt;/sup&gt;"},"properties":{"noteIndex":0},"schema":"https://github.com/citation-style-language/schema/raw/master/csl-citation.json"}</w:instrText>
      </w:r>
      <w:r w:rsidR="006C6948" w:rsidRPr="00597EB8">
        <w:rPr>
          <w:lang w:val="en-GB"/>
        </w:rPr>
        <w:fldChar w:fldCharType="separate"/>
      </w:r>
      <w:r w:rsidR="00853585" w:rsidRPr="00853585">
        <w:rPr>
          <w:noProof/>
          <w:vertAlign w:val="superscript"/>
          <w:lang w:val="en-GB"/>
        </w:rPr>
        <w:t>26</w:t>
      </w:r>
      <w:r w:rsidR="006C6948" w:rsidRPr="00597EB8">
        <w:rPr>
          <w:lang w:val="en-GB"/>
        </w:rPr>
        <w:fldChar w:fldCharType="end"/>
      </w:r>
      <w:r w:rsidRPr="006C6948">
        <w:rPr>
          <w:lang w:val="en-GB"/>
        </w:rPr>
        <w:t xml:space="preserve"> </w:t>
      </w:r>
      <w:r w:rsidR="00082FCD">
        <w:rPr>
          <w:lang w:val="en-GB"/>
        </w:rPr>
        <w:t xml:space="preserve">The use of maximal common substructure searches means no information about the biological target is required for model construction. </w:t>
      </w:r>
      <w:r w:rsidR="003E39A6">
        <w:rPr>
          <w:lang w:val="en-GB"/>
        </w:rPr>
        <w:t>S</w:t>
      </w:r>
      <w:r w:rsidR="0012089A" w:rsidRPr="00BA6959">
        <w:rPr>
          <w:lang w:val="en-GB"/>
        </w:rPr>
        <w:t>tructural</w:t>
      </w:r>
      <w:r w:rsidRPr="00BA6959">
        <w:rPr>
          <w:lang w:val="en-GB"/>
        </w:rPr>
        <w:t xml:space="preserve"> alert</w:t>
      </w:r>
      <w:r w:rsidR="003E39A6">
        <w:rPr>
          <w:lang w:val="en-GB"/>
        </w:rPr>
        <w:t>s were</w:t>
      </w:r>
      <w:r w:rsidRPr="00BA6959">
        <w:rPr>
          <w:lang w:val="en-GB"/>
        </w:rPr>
        <w:t xml:space="preserve"> coded in SMILES</w:t>
      </w:r>
      <w:r w:rsidR="005021D1">
        <w:rPr>
          <w:lang w:val="en-GB"/>
        </w:rPr>
        <w:t xml:space="preserve"> </w:t>
      </w:r>
      <w:r w:rsidRPr="00BA6959">
        <w:rPr>
          <w:lang w:val="en-GB"/>
        </w:rPr>
        <w:t>and statistical performance measures</w:t>
      </w:r>
      <w:r w:rsidR="00BB56C3">
        <w:rPr>
          <w:lang w:val="en-GB"/>
        </w:rPr>
        <w:t xml:space="preserve"> on the training and test sets</w:t>
      </w:r>
      <w:r w:rsidRPr="00BA6959">
        <w:rPr>
          <w:lang w:val="en-GB"/>
        </w:rPr>
        <w:t xml:space="preserve"> are output for expert interpretation and model construction. </w:t>
      </w:r>
    </w:p>
    <w:p w14:paraId="3D73ABE8" w14:textId="496133F1" w:rsidR="001E2823" w:rsidRDefault="001E2823" w:rsidP="001E2823">
      <w:pPr>
        <w:pStyle w:val="ACSTEXT"/>
      </w:pPr>
      <w:r>
        <w:t>The Pipeline Pilot protocol for constructing structural alerts and using the models, and the training and test data are available through Git</w:t>
      </w:r>
      <w:r w:rsidR="00BB56C3">
        <w:t>H</w:t>
      </w:r>
      <w:r>
        <w:t>ub (</w:t>
      </w:r>
      <w:hyperlink r:id="rId9" w:history="1">
        <w:r>
          <w:rPr>
            <w:rStyle w:val="Hyperlink"/>
          </w:rPr>
          <w:t>https://github.com/teha2/chemical_toxicology</w:t>
        </w:r>
      </w:hyperlink>
      <w:r>
        <w:t>).</w:t>
      </w:r>
    </w:p>
    <w:p w14:paraId="27E0C8EC" w14:textId="2F8A0EBC" w:rsidR="00013936" w:rsidRPr="00BA6959" w:rsidRDefault="00013936" w:rsidP="00013936">
      <w:pPr>
        <w:pStyle w:val="ACSTEXT"/>
        <w:rPr>
          <w:lang w:val="en-GB"/>
        </w:rPr>
      </w:pPr>
      <w:r w:rsidRPr="00BA6959">
        <w:rPr>
          <w:b/>
          <w:lang w:val="en-GB"/>
        </w:rPr>
        <w:t xml:space="preserve">Structural Alert Validation and Model Construction. </w:t>
      </w:r>
      <w:r w:rsidR="001445AC">
        <w:rPr>
          <w:lang w:val="en-GB"/>
        </w:rPr>
        <w:t>Validation of the alerts and model construction was performed in an analogous manner to our previous work.</w:t>
      </w:r>
      <w:r w:rsidR="001445AC">
        <w:rPr>
          <w:lang w:val="en-GB"/>
        </w:rPr>
        <w:fldChar w:fldCharType="begin" w:fldLock="1"/>
      </w:r>
      <w:r w:rsidR="00853585">
        <w:rPr>
          <w:lang w:val="en-GB"/>
        </w:rPr>
        <w:instrText>ADDIN CSL_CITATION {"citationItems":[{"id":"ITEM-1","itemData":{"author":[{"dropping-particle":"","family":"Allen","given":"Timothy E H","non-dropping-particle":"","parse-names":false,"suffix":""},{"dropping-particle":"","family":"Goodman","given":"Jonathan M","non-dropping-particle":"","parse-names":false,"suffix":""},{"dropping-particle":"","family":"Gutsell","given":"Steve","non-dropping-particle":"","parse-names":false,"suffix":""},{"dropping-particle":"","family":"Russell","given":"Paul J","non-dropping-particle":"","parse-names":false,"suffix":""}],"container-title":"Toxicological Sciences","id":"ITEM-1","issue":"1","issued":{"date-parts":[["2018"]]},"page":"213-223","title":"Using 2D structural alerts to define chemical categories for molecular initiating events","type":"article-journal","volume":"165"},"uris":["http://www.mendeley.com/documents/?uuid=625208e5-31bf-4713-a0a8-c5ea20f37e61"]}],"mendeley":{"formattedCitation":"&lt;sup&gt;22&lt;/sup&gt;","plainTextFormattedCitation":"22","previouslyFormattedCitation":"&lt;sup&gt;22&lt;/sup&gt;"},"properties":{"noteIndex":0},"schema":"https://github.com/citation-style-language/schema/raw/master/csl-citation.json"}</w:instrText>
      </w:r>
      <w:r w:rsidR="001445AC">
        <w:rPr>
          <w:lang w:val="en-GB"/>
        </w:rPr>
        <w:fldChar w:fldCharType="separate"/>
      </w:r>
      <w:r w:rsidR="001445AC" w:rsidRPr="001445AC">
        <w:rPr>
          <w:noProof/>
          <w:vertAlign w:val="superscript"/>
          <w:lang w:val="en-GB"/>
        </w:rPr>
        <w:t>22</w:t>
      </w:r>
      <w:r w:rsidR="001445AC">
        <w:rPr>
          <w:lang w:val="en-GB"/>
        </w:rPr>
        <w:fldChar w:fldCharType="end"/>
      </w:r>
      <w:r w:rsidR="001445AC">
        <w:rPr>
          <w:lang w:val="en-GB"/>
        </w:rPr>
        <w:t xml:space="preserve"> </w:t>
      </w:r>
      <w:r w:rsidR="005021D1">
        <w:rPr>
          <w:lang w:val="en-GB"/>
        </w:rPr>
        <w:t>The number of true positives (TP), true negatives (TN), false negatives (FN) and false positives (FP) for the t</w:t>
      </w:r>
      <w:r w:rsidRPr="00BA6959">
        <w:rPr>
          <w:lang w:val="en-GB"/>
        </w:rPr>
        <w:t xml:space="preserve">est sets </w:t>
      </w:r>
      <w:r w:rsidRPr="00BA6959">
        <w:rPr>
          <w:lang w:val="en-GB"/>
        </w:rPr>
        <w:lastRenderedPageBreak/>
        <w:t xml:space="preserve">were used </w:t>
      </w:r>
      <w:r w:rsidR="00181F62" w:rsidRPr="006C6948">
        <w:rPr>
          <w:lang w:val="en-GB"/>
        </w:rPr>
        <w:t>for each structural alert</w:t>
      </w:r>
      <w:r w:rsidR="00181F62" w:rsidRPr="00BA6959">
        <w:rPr>
          <w:lang w:val="en-GB"/>
        </w:rPr>
        <w:t xml:space="preserve"> </w:t>
      </w:r>
      <w:r w:rsidRPr="00BA6959">
        <w:rPr>
          <w:lang w:val="en-GB"/>
        </w:rPr>
        <w:t>to calculate sensitivity (</w:t>
      </w:r>
      <w:r w:rsidRPr="007B29CC">
        <w:rPr>
          <w:i/>
          <w:iCs/>
          <w:lang w:val="en-GB"/>
        </w:rPr>
        <w:t>SE</w:t>
      </w:r>
      <w:r w:rsidR="005021D1" w:rsidRPr="007B29CC">
        <w:rPr>
          <w:i/>
          <w:iCs/>
          <w:lang w:val="en-GB"/>
        </w:rPr>
        <w:t xml:space="preserve"> = TP</w:t>
      </w:r>
      <w:r w:rsidR="002E3750">
        <w:rPr>
          <w:i/>
          <w:iCs/>
          <w:lang w:val="en-GB"/>
        </w:rPr>
        <w:t xml:space="preserve"> </w:t>
      </w:r>
      <w:r w:rsidR="005021D1" w:rsidRPr="007B29CC">
        <w:rPr>
          <w:i/>
          <w:iCs/>
          <w:lang w:val="en-GB"/>
        </w:rPr>
        <w:t>/</w:t>
      </w:r>
      <w:r w:rsidR="002E3750">
        <w:rPr>
          <w:i/>
          <w:iCs/>
          <w:lang w:val="en-GB"/>
        </w:rPr>
        <w:t xml:space="preserve"> </w:t>
      </w:r>
      <w:r w:rsidR="005021D1" w:rsidRPr="007B29CC">
        <w:rPr>
          <w:i/>
          <w:iCs/>
          <w:lang w:val="en-GB"/>
        </w:rPr>
        <w:t>(TP</w:t>
      </w:r>
      <w:r w:rsidR="005021D1">
        <w:rPr>
          <w:i/>
          <w:iCs/>
          <w:lang w:val="en-GB"/>
        </w:rPr>
        <w:t xml:space="preserve"> </w:t>
      </w:r>
      <w:r w:rsidR="005021D1" w:rsidRPr="007B29CC">
        <w:rPr>
          <w:i/>
          <w:iCs/>
          <w:lang w:val="en-GB"/>
        </w:rPr>
        <w:t>+</w:t>
      </w:r>
      <w:r w:rsidR="005021D1">
        <w:rPr>
          <w:i/>
          <w:iCs/>
          <w:lang w:val="en-GB"/>
        </w:rPr>
        <w:t xml:space="preserve"> </w:t>
      </w:r>
      <w:r w:rsidR="005021D1" w:rsidRPr="007B29CC">
        <w:rPr>
          <w:i/>
          <w:iCs/>
          <w:lang w:val="en-GB"/>
        </w:rPr>
        <w:t>FN)</w:t>
      </w:r>
      <w:r w:rsidRPr="00BA6959">
        <w:rPr>
          <w:lang w:val="en-GB"/>
        </w:rPr>
        <w:t>), specificity (</w:t>
      </w:r>
      <w:r w:rsidRPr="007B29CC">
        <w:rPr>
          <w:i/>
          <w:iCs/>
          <w:lang w:val="en-GB"/>
        </w:rPr>
        <w:t>SP</w:t>
      </w:r>
      <w:r w:rsidR="005021D1">
        <w:rPr>
          <w:i/>
          <w:iCs/>
          <w:lang w:val="en-GB"/>
        </w:rPr>
        <w:t xml:space="preserve"> = TN</w:t>
      </w:r>
      <w:r w:rsidR="002E3750">
        <w:rPr>
          <w:i/>
          <w:iCs/>
          <w:lang w:val="en-GB"/>
        </w:rPr>
        <w:t xml:space="preserve"> </w:t>
      </w:r>
      <w:r w:rsidR="005021D1">
        <w:rPr>
          <w:i/>
          <w:iCs/>
          <w:lang w:val="en-GB"/>
        </w:rPr>
        <w:t>/</w:t>
      </w:r>
      <w:r w:rsidR="002E3750">
        <w:rPr>
          <w:i/>
          <w:iCs/>
          <w:lang w:val="en-GB"/>
        </w:rPr>
        <w:t xml:space="preserve"> </w:t>
      </w:r>
      <w:r w:rsidR="005021D1">
        <w:rPr>
          <w:i/>
          <w:iCs/>
          <w:lang w:val="en-GB"/>
        </w:rPr>
        <w:t>(TN + FP)</w:t>
      </w:r>
      <w:r w:rsidRPr="00BA6959">
        <w:rPr>
          <w:lang w:val="en-GB"/>
        </w:rPr>
        <w:t>), overall quality (</w:t>
      </w:r>
      <w:r w:rsidRPr="007B29CC">
        <w:rPr>
          <w:i/>
          <w:iCs/>
          <w:lang w:val="en-GB"/>
        </w:rPr>
        <w:t>Q</w:t>
      </w:r>
      <w:r w:rsidR="005021D1" w:rsidRPr="007B29CC">
        <w:rPr>
          <w:i/>
          <w:iCs/>
          <w:lang w:val="en-GB"/>
        </w:rPr>
        <w:t xml:space="preserve"> = </w:t>
      </w:r>
      <w:r w:rsidR="005021D1">
        <w:rPr>
          <w:i/>
          <w:iCs/>
          <w:lang w:val="en-GB"/>
        </w:rPr>
        <w:t>(TP + TN) / (TP + TN + FP + FN)</w:t>
      </w:r>
      <w:r w:rsidRPr="00BA6959">
        <w:rPr>
          <w:lang w:val="en-GB"/>
        </w:rPr>
        <w:t xml:space="preserve">) </w:t>
      </w:r>
      <w:r w:rsidRPr="006C6948">
        <w:rPr>
          <w:lang w:val="en-GB"/>
        </w:rPr>
        <w:t xml:space="preserve">and </w:t>
      </w:r>
      <w:r w:rsidRPr="00597EB8">
        <w:rPr>
          <w:lang w:val="en-GB"/>
        </w:rPr>
        <w:t>Matthews’s correlation coefficient (MCC)</w:t>
      </w:r>
      <w:r w:rsidR="006C6948" w:rsidRPr="00597EB8">
        <w:rPr>
          <w:lang w:val="en-GB"/>
        </w:rPr>
        <w:fldChar w:fldCharType="begin" w:fldLock="1"/>
      </w:r>
      <w:r w:rsidR="0092571A">
        <w:rPr>
          <w:lang w:val="en-GB"/>
        </w:rPr>
        <w:instrText>ADDIN CSL_CITATION {"citationItems":[{"id":"ITEM-1","itemData":{"author":[{"dropping-particle":"","family":"Matthews","given":"B W","non-dropping-particle":"","parse-names":false,"suffix":""}],"container-title":"Biochimica et Biophysica Acta","id":"ITEM-1","issued":{"date-parts":[["1975"]]},"page":"442-451","title":"Comparison of the Predicted and Observed Secondary Structure of T4 Phage Lysozyme","type":"article-journal","volume":"405"},"uris":["http://www.mendeley.com/documents/?uuid=2771810b-093e-43ae-8321-f70a3068ea7a"]}],"mendeley":{"formattedCitation":"&lt;sup&gt;27&lt;/sup&gt;","plainTextFormattedCitation":"27","previouslyFormattedCitation":"&lt;sup&gt;27&lt;/sup&gt;"},"properties":{"noteIndex":0},"schema":"https://github.com/citation-style-language/schema/raw/master/csl-citation.json"}</w:instrText>
      </w:r>
      <w:r w:rsidR="006C6948" w:rsidRPr="00597EB8">
        <w:rPr>
          <w:lang w:val="en-GB"/>
        </w:rPr>
        <w:fldChar w:fldCharType="separate"/>
      </w:r>
      <w:r w:rsidR="00853585" w:rsidRPr="00853585">
        <w:rPr>
          <w:noProof/>
          <w:vertAlign w:val="superscript"/>
          <w:lang w:val="en-GB"/>
        </w:rPr>
        <w:t>27</w:t>
      </w:r>
      <w:r w:rsidR="006C6948" w:rsidRPr="00597EB8">
        <w:rPr>
          <w:lang w:val="en-GB"/>
        </w:rPr>
        <w:fldChar w:fldCharType="end"/>
      </w:r>
      <w:r w:rsidRPr="006C6948">
        <w:rPr>
          <w:lang w:val="en-GB"/>
        </w:rPr>
        <w:t xml:space="preserve"> .</w:t>
      </w:r>
      <w:r w:rsidRPr="00BA6959">
        <w:rPr>
          <w:lang w:val="en-GB"/>
        </w:rPr>
        <w:t xml:space="preserve"> </w:t>
      </w:r>
    </w:p>
    <w:p w14:paraId="70E3DCEF" w14:textId="77777777" w:rsidR="00013936" w:rsidRPr="00BA6959" w:rsidRDefault="00013936" w:rsidP="00013936">
      <w:pPr>
        <w:pStyle w:val="ACSTEXT"/>
        <w:rPr>
          <w:lang w:val="en-GB"/>
        </w:rPr>
      </w:pPr>
      <m:oMathPara>
        <m:oMath>
          <m:r>
            <w:rPr>
              <w:rFonts w:ascii="Cambria Math" w:hAnsi="Cambria Math"/>
              <w:lang w:val="en-GB"/>
            </w:rPr>
            <m:t>MCC=</m:t>
          </m:r>
          <m:f>
            <m:fPr>
              <m:ctrlPr>
                <w:rPr>
                  <w:rFonts w:ascii="Cambria Math" w:hAnsi="Cambria Math"/>
                  <w:i/>
                  <w:lang w:val="en-GB"/>
                </w:rPr>
              </m:ctrlPr>
            </m:fPr>
            <m:num>
              <m:r>
                <w:rPr>
                  <w:rFonts w:ascii="Cambria Math" w:hAnsi="Cambria Math"/>
                  <w:lang w:val="en-GB"/>
                </w:rPr>
                <m:t>TP×TN-FP×FN</m:t>
              </m:r>
            </m:num>
            <m:den>
              <m:rad>
                <m:radPr>
                  <m:degHide m:val="1"/>
                  <m:ctrlPr>
                    <w:rPr>
                      <w:rFonts w:ascii="Cambria Math" w:hAnsi="Cambria Math"/>
                      <w:i/>
                      <w:lang w:val="en-GB"/>
                    </w:rPr>
                  </m:ctrlPr>
                </m:radPr>
                <m:deg/>
                <m:e>
                  <m:r>
                    <w:rPr>
                      <w:rFonts w:ascii="Cambria Math" w:hAnsi="Cambria Math"/>
                      <w:lang w:val="en-GB"/>
                    </w:rPr>
                    <m:t>(TP+FP)(TP+FN)(TN+FP)(TN+FN)</m:t>
                  </m:r>
                </m:e>
              </m:rad>
            </m:den>
          </m:f>
        </m:oMath>
      </m:oMathPara>
    </w:p>
    <w:p w14:paraId="709FAD97" w14:textId="2EB2ED19" w:rsidR="00013936" w:rsidRPr="00BA6959" w:rsidRDefault="00013936" w:rsidP="00013936">
      <w:pPr>
        <w:pStyle w:val="ACSTEXT"/>
        <w:rPr>
          <w:lang w:val="en-GB"/>
        </w:rPr>
      </w:pPr>
      <w:r w:rsidRPr="00BA6959">
        <w:rPr>
          <w:lang w:val="en-GB"/>
        </w:rPr>
        <w:t xml:space="preserve">To use the structural alerts as </w:t>
      </w:r>
      <w:r w:rsidRPr="00BA6959">
        <w:rPr>
          <w:i/>
          <w:lang w:val="en-GB"/>
        </w:rPr>
        <w:t>in silico</w:t>
      </w:r>
      <w:r w:rsidRPr="00BA6959">
        <w:rPr>
          <w:lang w:val="en-GB"/>
        </w:rPr>
        <w:t xml:space="preserve"> models for toxicity evaluation it is important to consider which alerts provide good predictions from two </w:t>
      </w:r>
      <w:r w:rsidR="00AF47EC">
        <w:rPr>
          <w:lang w:val="en-GB"/>
        </w:rPr>
        <w:t>different perspectives</w:t>
      </w:r>
      <w:r w:rsidR="0005070D">
        <w:rPr>
          <w:lang w:val="en-GB"/>
        </w:rPr>
        <w:t>. First</w:t>
      </w:r>
      <w:r w:rsidR="00CE2E09">
        <w:rPr>
          <w:lang w:val="en-GB"/>
        </w:rPr>
        <w:t>,</w:t>
      </w:r>
      <w:r w:rsidR="002B7268">
        <w:rPr>
          <w:lang w:val="en-GB"/>
        </w:rPr>
        <w:t xml:space="preserve"> </w:t>
      </w:r>
      <w:r w:rsidR="00AF47EC" w:rsidRPr="00BA6959">
        <w:rPr>
          <w:lang w:val="en-GB"/>
        </w:rPr>
        <w:t xml:space="preserve">for a risk </w:t>
      </w:r>
      <w:r w:rsidR="00AF47EC">
        <w:rPr>
          <w:lang w:val="en-GB"/>
        </w:rPr>
        <w:t>evaluation</w:t>
      </w:r>
      <w:r w:rsidR="00AF47EC" w:rsidRPr="00BA6959">
        <w:rPr>
          <w:lang w:val="en-GB"/>
        </w:rPr>
        <w:t xml:space="preserve"> procedure (R</w:t>
      </w:r>
      <w:r w:rsidR="00AF47EC">
        <w:rPr>
          <w:lang w:val="en-GB"/>
        </w:rPr>
        <w:t>E</w:t>
      </w:r>
      <w:r w:rsidR="00AF47EC" w:rsidRPr="00BA6959">
        <w:rPr>
          <w:lang w:val="en-GB"/>
        </w:rPr>
        <w:t>)</w:t>
      </w:r>
      <w:r w:rsidR="00AF47EC">
        <w:rPr>
          <w:lang w:val="en-GB"/>
        </w:rPr>
        <w:t xml:space="preserve">, </w:t>
      </w:r>
      <w:r w:rsidR="002B7268">
        <w:rPr>
          <w:lang w:val="en-GB"/>
        </w:rPr>
        <w:t>the aim is to maximize</w:t>
      </w:r>
      <w:r w:rsidR="0005070D">
        <w:rPr>
          <w:lang w:val="en-GB"/>
        </w:rPr>
        <w:t xml:space="preserve"> </w:t>
      </w:r>
      <w:r w:rsidRPr="00BA6959">
        <w:rPr>
          <w:lang w:val="en-GB"/>
        </w:rPr>
        <w:t>overall performance of the model</w:t>
      </w:r>
      <w:r w:rsidR="0005070D">
        <w:rPr>
          <w:lang w:val="en-GB"/>
        </w:rPr>
        <w:t>,</w:t>
      </w:r>
      <w:r w:rsidRPr="00BA6959">
        <w:rPr>
          <w:lang w:val="en-GB"/>
        </w:rPr>
        <w:t xml:space="preserve"> </w:t>
      </w:r>
      <w:r w:rsidR="002B7268">
        <w:rPr>
          <w:lang w:val="en-GB"/>
        </w:rPr>
        <w:t xml:space="preserve">with </w:t>
      </w:r>
      <w:r w:rsidRPr="00BA6959">
        <w:rPr>
          <w:lang w:val="en-GB"/>
        </w:rPr>
        <w:t>high sensitivity, specificity and MCC</w:t>
      </w:r>
      <w:r w:rsidR="0005070D">
        <w:rPr>
          <w:lang w:val="en-GB"/>
        </w:rPr>
        <w:t>.</w:t>
      </w:r>
      <w:r w:rsidR="0005070D" w:rsidRPr="00BA6959">
        <w:rPr>
          <w:lang w:val="en-GB"/>
        </w:rPr>
        <w:t xml:space="preserve"> </w:t>
      </w:r>
      <w:r w:rsidR="0005070D">
        <w:rPr>
          <w:lang w:val="en-GB"/>
        </w:rPr>
        <w:t xml:space="preserve">Second, </w:t>
      </w:r>
      <w:r w:rsidR="00AF47EC" w:rsidRPr="00BA6959">
        <w:rPr>
          <w:lang w:val="en-GB"/>
        </w:rPr>
        <w:t>for the purposes of screening large numbers of chemicals and not missing positives (referred to as Screen)</w:t>
      </w:r>
      <w:r w:rsidR="00AF47EC">
        <w:rPr>
          <w:lang w:val="en-GB"/>
        </w:rPr>
        <w:t xml:space="preserve">, </w:t>
      </w:r>
      <w:r w:rsidR="00CA230F">
        <w:rPr>
          <w:lang w:val="en-GB"/>
        </w:rPr>
        <w:t>it is important</w:t>
      </w:r>
      <w:r w:rsidR="00CA230F" w:rsidRPr="00BA6959">
        <w:rPr>
          <w:lang w:val="en-GB"/>
        </w:rPr>
        <w:t xml:space="preserve"> </w:t>
      </w:r>
      <w:r w:rsidRPr="00BA6959">
        <w:rPr>
          <w:lang w:val="en-GB"/>
        </w:rPr>
        <w:t xml:space="preserve">to minimize false negative </w:t>
      </w:r>
      <w:r w:rsidR="0005070D" w:rsidRPr="00BA6959">
        <w:rPr>
          <w:lang w:val="en-GB"/>
        </w:rPr>
        <w:t>predictions</w:t>
      </w:r>
      <w:r w:rsidR="0005070D">
        <w:rPr>
          <w:lang w:val="en-GB"/>
        </w:rPr>
        <w:t>,</w:t>
      </w:r>
      <w:r w:rsidR="0005070D" w:rsidRPr="00BA6959">
        <w:rPr>
          <w:lang w:val="en-GB"/>
        </w:rPr>
        <w:t xml:space="preserve"> getting</w:t>
      </w:r>
      <w:r w:rsidRPr="00BA6959">
        <w:rPr>
          <w:lang w:val="en-GB"/>
        </w:rPr>
        <w:t xml:space="preserve"> the highest sensitivity possible</w:t>
      </w:r>
      <w:r w:rsidR="000128E0">
        <w:rPr>
          <w:lang w:val="en-GB"/>
        </w:rPr>
        <w:t xml:space="preserve">, even </w:t>
      </w:r>
      <w:r w:rsidRPr="00BA6959">
        <w:rPr>
          <w:lang w:val="en-GB"/>
        </w:rPr>
        <w:t xml:space="preserve">at the cost of a lower specificity. </w:t>
      </w:r>
      <w:r w:rsidR="0002718E">
        <w:rPr>
          <w:lang w:val="en-GB"/>
        </w:rPr>
        <w:t xml:space="preserve">Screening models require the use of </w:t>
      </w:r>
      <w:r w:rsidRPr="00BA6959">
        <w:rPr>
          <w:lang w:val="en-GB"/>
        </w:rPr>
        <w:t xml:space="preserve">structural alerts with two or more molecules in the training set, </w:t>
      </w:r>
      <w:r w:rsidR="00870F2D">
        <w:rPr>
          <w:lang w:val="en-GB"/>
        </w:rPr>
        <w:t>as this connects a hit with</w:t>
      </w:r>
      <w:r w:rsidRPr="00BA6959">
        <w:rPr>
          <w:lang w:val="en-GB"/>
        </w:rPr>
        <w:t xml:space="preserve"> at least two other </w:t>
      </w:r>
      <w:r w:rsidR="002B7268">
        <w:rPr>
          <w:lang w:val="en-GB"/>
        </w:rPr>
        <w:t xml:space="preserve">experimentally </w:t>
      </w:r>
      <w:r w:rsidRPr="00BA6959">
        <w:rPr>
          <w:lang w:val="en-GB"/>
        </w:rPr>
        <w:t xml:space="preserve">positive molecules </w:t>
      </w:r>
      <w:r w:rsidR="002B7268">
        <w:rPr>
          <w:lang w:val="en-GB"/>
        </w:rPr>
        <w:t>in the ToxCast database whose activity is not caused by</w:t>
      </w:r>
      <w:r w:rsidR="00D2556B">
        <w:rPr>
          <w:lang w:val="en-GB"/>
        </w:rPr>
        <w:t xml:space="preserve"> cytotoxicity</w:t>
      </w:r>
      <w:r w:rsidRPr="00BA6959">
        <w:rPr>
          <w:lang w:val="en-GB"/>
        </w:rPr>
        <w:t xml:space="preserve">. </w:t>
      </w:r>
      <w:r w:rsidR="00273C83">
        <w:rPr>
          <w:lang w:val="en-GB"/>
        </w:rPr>
        <w:t>This approach</w:t>
      </w:r>
      <w:r w:rsidRPr="00BA6959">
        <w:rPr>
          <w:lang w:val="en-GB"/>
        </w:rPr>
        <w:t xml:space="preserve"> risks overfitting the training data, </w:t>
      </w:r>
      <w:r w:rsidR="00273C83">
        <w:rPr>
          <w:lang w:val="en-GB"/>
        </w:rPr>
        <w:t>unless</w:t>
      </w:r>
      <w:r w:rsidR="00FA5EB2">
        <w:rPr>
          <w:lang w:val="en-GB"/>
        </w:rPr>
        <w:t>, on average,</w:t>
      </w:r>
      <w:r w:rsidR="00273C83">
        <w:rPr>
          <w:lang w:val="en-GB"/>
        </w:rPr>
        <w:t xml:space="preserve"> each structural alert has a high enough</w:t>
      </w:r>
      <w:r w:rsidRPr="00BA6959">
        <w:rPr>
          <w:lang w:val="en-GB"/>
        </w:rPr>
        <w:t xml:space="preserve"> number of training set chemicals</w:t>
      </w:r>
      <w:r w:rsidR="007A7135" w:rsidRPr="00BA6959">
        <w:rPr>
          <w:lang w:val="en-GB"/>
        </w:rPr>
        <w:t>. In total</w:t>
      </w:r>
      <w:r w:rsidR="007F5A7C">
        <w:rPr>
          <w:lang w:val="en-GB"/>
        </w:rPr>
        <w:t>,</w:t>
      </w:r>
      <w:r w:rsidR="007A7135" w:rsidRPr="00BA6959">
        <w:rPr>
          <w:lang w:val="en-GB"/>
        </w:rPr>
        <w:t xml:space="preserve"> there are 10</w:t>
      </w:r>
      <w:r w:rsidR="00CF4811" w:rsidRPr="00BA6959">
        <w:rPr>
          <w:lang w:val="en-GB"/>
        </w:rPr>
        <w:t>.3</w:t>
      </w:r>
      <w:r w:rsidR="007A7135" w:rsidRPr="00BA6959">
        <w:rPr>
          <w:lang w:val="en-GB"/>
        </w:rPr>
        <w:t xml:space="preserve"> </w:t>
      </w:r>
      <w:r w:rsidR="004E06A6" w:rsidRPr="00BA6959">
        <w:rPr>
          <w:lang w:val="en-GB"/>
        </w:rPr>
        <w:t>total positive</w:t>
      </w:r>
      <w:r w:rsidRPr="00BA6959">
        <w:rPr>
          <w:lang w:val="en-GB"/>
        </w:rPr>
        <w:t xml:space="preserve"> chemicals per structural alert in the</w:t>
      </w:r>
      <w:r w:rsidR="007A7135" w:rsidRPr="00BA6959">
        <w:rPr>
          <w:lang w:val="en-GB"/>
        </w:rPr>
        <w:t xml:space="preserve"> AR Screen model and </w:t>
      </w:r>
      <w:r w:rsidR="004E06A6" w:rsidRPr="00BA6959">
        <w:rPr>
          <w:lang w:val="en-GB"/>
        </w:rPr>
        <w:t>5.8</w:t>
      </w:r>
      <w:r w:rsidR="007A7135" w:rsidRPr="00BA6959">
        <w:rPr>
          <w:lang w:val="en-GB"/>
        </w:rPr>
        <w:t xml:space="preserve"> per structural alert in the GR Screen model. For the</w:t>
      </w:r>
      <w:r w:rsidR="001F3927">
        <w:rPr>
          <w:lang w:val="en-GB"/>
        </w:rPr>
        <w:t xml:space="preserve"> RE </w:t>
      </w:r>
      <w:r w:rsidR="00CF4811" w:rsidRPr="00BA6959">
        <w:rPr>
          <w:lang w:val="en-GB"/>
        </w:rPr>
        <w:t>models</w:t>
      </w:r>
      <w:r w:rsidR="007F5A7C">
        <w:rPr>
          <w:lang w:val="en-GB"/>
        </w:rPr>
        <w:t>,</w:t>
      </w:r>
      <w:r w:rsidR="00CF4811" w:rsidRPr="00BA6959">
        <w:rPr>
          <w:lang w:val="en-GB"/>
        </w:rPr>
        <w:t xml:space="preserve"> there are </w:t>
      </w:r>
      <w:r w:rsidR="002E692D" w:rsidRPr="00BA6959">
        <w:rPr>
          <w:lang w:val="en-GB"/>
        </w:rPr>
        <w:t>64.2</w:t>
      </w:r>
      <w:r w:rsidR="007A7135" w:rsidRPr="00BA6959">
        <w:rPr>
          <w:lang w:val="en-GB"/>
        </w:rPr>
        <w:t xml:space="preserve"> </w:t>
      </w:r>
      <w:r w:rsidR="004E06A6" w:rsidRPr="00BA6959">
        <w:rPr>
          <w:lang w:val="en-GB"/>
        </w:rPr>
        <w:t>total positive</w:t>
      </w:r>
      <w:r w:rsidR="007A7135" w:rsidRPr="00BA6959">
        <w:rPr>
          <w:lang w:val="en-GB"/>
        </w:rPr>
        <w:t xml:space="preserve"> chemicals</w:t>
      </w:r>
      <w:r w:rsidRPr="00BA6959">
        <w:rPr>
          <w:color w:val="FF0000"/>
          <w:lang w:val="en-GB"/>
        </w:rPr>
        <w:t xml:space="preserve"> </w:t>
      </w:r>
      <w:r w:rsidRPr="00BA6959">
        <w:rPr>
          <w:lang w:val="en-GB"/>
        </w:rPr>
        <w:t xml:space="preserve">per alert </w:t>
      </w:r>
      <w:r w:rsidR="007A7135" w:rsidRPr="00BA6959">
        <w:rPr>
          <w:lang w:val="en-GB"/>
        </w:rPr>
        <w:t xml:space="preserve">for the AR and </w:t>
      </w:r>
      <w:r w:rsidR="004E06A6" w:rsidRPr="00BA6959">
        <w:rPr>
          <w:lang w:val="en-GB"/>
        </w:rPr>
        <w:t>17.0</w:t>
      </w:r>
      <w:r w:rsidR="007A7135" w:rsidRPr="00BA6959">
        <w:rPr>
          <w:lang w:val="en-GB"/>
        </w:rPr>
        <w:t xml:space="preserve"> per alert for the GR</w:t>
      </w:r>
      <w:r w:rsidRPr="00BA6959">
        <w:rPr>
          <w:lang w:val="en-GB"/>
        </w:rPr>
        <w:t>. These numbers are</w:t>
      </w:r>
      <w:r w:rsidR="007A7135" w:rsidRPr="00BA6959">
        <w:rPr>
          <w:lang w:val="en-GB"/>
        </w:rPr>
        <w:t xml:space="preserve"> all</w:t>
      </w:r>
      <w:r w:rsidRPr="00BA6959">
        <w:rPr>
          <w:lang w:val="en-GB"/>
        </w:rPr>
        <w:t xml:space="preserve"> higher than </w:t>
      </w:r>
      <w:r w:rsidR="007A7135" w:rsidRPr="00BA6959">
        <w:rPr>
          <w:lang w:val="en-GB"/>
        </w:rPr>
        <w:t>those</w:t>
      </w:r>
      <w:r w:rsidRPr="00BA6959">
        <w:rPr>
          <w:lang w:val="en-GB"/>
        </w:rPr>
        <w:t xml:space="preserve"> dictated by </w:t>
      </w:r>
      <w:r w:rsidRPr="006C6948">
        <w:rPr>
          <w:lang w:val="en-GB"/>
        </w:rPr>
        <w:t>the “</w:t>
      </w:r>
      <w:proofErr w:type="spellStart"/>
      <w:r w:rsidRPr="00597EB8">
        <w:rPr>
          <w:lang w:val="en-GB"/>
        </w:rPr>
        <w:t>Topliss</w:t>
      </w:r>
      <w:proofErr w:type="spellEnd"/>
      <w:r w:rsidRPr="00597EB8">
        <w:rPr>
          <w:lang w:val="en-GB"/>
        </w:rPr>
        <w:t xml:space="preserve"> and Costello rule</w:t>
      </w:r>
      <w:r w:rsidRPr="006C6948">
        <w:rPr>
          <w:lang w:val="en-GB"/>
        </w:rPr>
        <w:t>”</w:t>
      </w:r>
      <w:r w:rsidR="007A7135" w:rsidRPr="00641D08">
        <w:rPr>
          <w:lang w:val="en-GB"/>
        </w:rPr>
        <w:t>,</w:t>
      </w:r>
      <w:r w:rsidR="006C6948">
        <w:rPr>
          <w:lang w:val="en-GB"/>
        </w:rPr>
        <w:fldChar w:fldCharType="begin" w:fldLock="1"/>
      </w:r>
      <w:r w:rsidR="0092571A">
        <w:rPr>
          <w:lang w:val="en-GB"/>
        </w:rPr>
        <w:instrText>ADDIN CSL_CITATION {"citationItems":[{"id":"ITEM-1","itemData":{"author":[{"dropping-particle":"","family":"Topliss","given":"John G.","non-dropping-particle":"","parse-names":false,"suffix":""},{"dropping-particle":"","family":"Costello","given":"Robert J.","non-dropping-particle":"","parse-names":false,"suffix":""}],"container-title":"Journal of Medicinal Chemistry","id":"ITEM-1","issue":"10","issued":{"date-parts":[["1972"]]},"page":"1066–1068","title":"Chance correlations in structure-activity studies using multiple regression analysis","type":"article-journal","volume":"15"},"uris":["http://www.mendeley.com/documents/?uuid=0507d3c1-09c4-4a16-bd8d-dab352a85247"]}],"mendeley":{"formattedCitation":"&lt;sup&gt;28&lt;/sup&gt;","plainTextFormattedCitation":"28","previouslyFormattedCitation":"&lt;sup&gt;28&lt;/sup&gt;"},"properties":{"noteIndex":0},"schema":"https://github.com/citation-style-language/schema/raw/master/csl-citation.json"}</w:instrText>
      </w:r>
      <w:r w:rsidR="006C6948">
        <w:rPr>
          <w:lang w:val="en-GB"/>
        </w:rPr>
        <w:fldChar w:fldCharType="separate"/>
      </w:r>
      <w:r w:rsidR="00853585" w:rsidRPr="00853585">
        <w:rPr>
          <w:noProof/>
          <w:vertAlign w:val="superscript"/>
          <w:lang w:val="en-GB"/>
        </w:rPr>
        <w:t>28</w:t>
      </w:r>
      <w:r w:rsidR="006C6948">
        <w:rPr>
          <w:lang w:val="en-GB"/>
        </w:rPr>
        <w:fldChar w:fldCharType="end"/>
      </w:r>
      <w:r w:rsidRPr="00BA6959">
        <w:rPr>
          <w:lang w:val="en-GB"/>
        </w:rPr>
        <w:t xml:space="preserve"> which </w:t>
      </w:r>
      <w:r w:rsidR="008C0571">
        <w:rPr>
          <w:lang w:val="en-GB"/>
        </w:rPr>
        <w:t>recommends</w:t>
      </w:r>
      <w:r w:rsidR="004D253C">
        <w:rPr>
          <w:lang w:val="en-GB"/>
        </w:rPr>
        <w:t xml:space="preserve"> there should be at least five times as many chemicals as</w:t>
      </w:r>
      <w:r w:rsidRPr="00BA6959">
        <w:rPr>
          <w:lang w:val="en-GB"/>
        </w:rPr>
        <w:t xml:space="preserve"> descriptors</w:t>
      </w:r>
      <w:r w:rsidR="002F5C5D" w:rsidRPr="002F5C5D">
        <w:rPr>
          <w:lang w:val="en-GB"/>
        </w:rPr>
        <w:t xml:space="preserve"> </w:t>
      </w:r>
      <w:r w:rsidR="002F5C5D" w:rsidRPr="00BA6959">
        <w:rPr>
          <w:lang w:val="en-GB"/>
        </w:rPr>
        <w:t>to minimize the risk of chance correlation and overfitting</w:t>
      </w:r>
      <w:r w:rsidRPr="00BA6959">
        <w:rPr>
          <w:lang w:val="en-GB"/>
        </w:rPr>
        <w:t xml:space="preserve"> for simple linear regression QSARs. For risk </w:t>
      </w:r>
      <w:r w:rsidR="001F3927">
        <w:rPr>
          <w:lang w:val="en-GB"/>
        </w:rPr>
        <w:t>evaluation</w:t>
      </w:r>
      <w:r w:rsidR="00FD4B01">
        <w:rPr>
          <w:lang w:val="en-GB"/>
        </w:rPr>
        <w:t xml:space="preserve"> (RE), however,</w:t>
      </w:r>
      <w:r w:rsidRPr="00BA6959">
        <w:rPr>
          <w:lang w:val="en-GB"/>
        </w:rPr>
        <w:t xml:space="preserve"> </w:t>
      </w:r>
      <w:r w:rsidR="00FD4B01">
        <w:rPr>
          <w:lang w:val="en-GB"/>
        </w:rPr>
        <w:t>specificity is more important than false negatives. Using same criterion for number of molecules per</w:t>
      </w:r>
      <w:r w:rsidRPr="00BA6959">
        <w:rPr>
          <w:lang w:val="en-GB"/>
        </w:rPr>
        <w:t xml:space="preserve"> structural </w:t>
      </w:r>
      <w:proofErr w:type="gramStart"/>
      <w:r w:rsidR="00FD4B01">
        <w:rPr>
          <w:lang w:val="en-GB"/>
        </w:rPr>
        <w:t>alert,</w:t>
      </w:r>
      <w:r w:rsidRPr="00BA6959">
        <w:rPr>
          <w:lang w:val="en-GB"/>
        </w:rPr>
        <w:t xml:space="preserve"> and</w:t>
      </w:r>
      <w:proofErr w:type="gramEnd"/>
      <w:r w:rsidRPr="00BA6959">
        <w:rPr>
          <w:lang w:val="en-GB"/>
        </w:rPr>
        <w:t xml:space="preserve"> </w:t>
      </w:r>
      <w:r w:rsidR="00FD4B01">
        <w:rPr>
          <w:lang w:val="en-GB"/>
        </w:rPr>
        <w:t xml:space="preserve">ensuring there </w:t>
      </w:r>
      <w:r w:rsidR="00FD4B01">
        <w:rPr>
          <w:lang w:val="en-GB"/>
        </w:rPr>
        <w:lastRenderedPageBreak/>
        <w:t xml:space="preserve">are </w:t>
      </w:r>
      <w:r w:rsidRPr="00BA6959">
        <w:rPr>
          <w:lang w:val="en-GB"/>
        </w:rPr>
        <w:t xml:space="preserve">more true positives than false positives in the test set, </w:t>
      </w:r>
      <w:r w:rsidR="00FD4B01">
        <w:rPr>
          <w:lang w:val="en-GB"/>
        </w:rPr>
        <w:t>helps show</w:t>
      </w:r>
      <w:r w:rsidR="00FD4B01" w:rsidRPr="00BA6959">
        <w:rPr>
          <w:lang w:val="en-GB"/>
        </w:rPr>
        <w:t xml:space="preserve"> </w:t>
      </w:r>
      <w:r w:rsidRPr="00BA6959">
        <w:rPr>
          <w:lang w:val="en-GB"/>
        </w:rPr>
        <w:t xml:space="preserve">that </w:t>
      </w:r>
      <w:r w:rsidR="00FD4B01">
        <w:rPr>
          <w:lang w:val="en-GB"/>
        </w:rPr>
        <w:t>a</w:t>
      </w:r>
      <w:r w:rsidR="00FD4B01" w:rsidRPr="00BA6959">
        <w:rPr>
          <w:lang w:val="en-GB"/>
        </w:rPr>
        <w:t xml:space="preserve"> </w:t>
      </w:r>
      <w:r w:rsidRPr="00BA6959">
        <w:rPr>
          <w:lang w:val="en-GB"/>
        </w:rPr>
        <w:t xml:space="preserve">fragment is truly indicative of activity, and not just common among </w:t>
      </w:r>
      <w:r w:rsidR="00C95CF0" w:rsidRPr="00BA6959">
        <w:rPr>
          <w:lang w:val="en-GB"/>
        </w:rPr>
        <w:t>ToxCast</w:t>
      </w:r>
      <w:r w:rsidRPr="00BA6959">
        <w:rPr>
          <w:lang w:val="en-GB"/>
        </w:rPr>
        <w:t xml:space="preserve"> chemicals.</w:t>
      </w:r>
    </w:p>
    <w:p w14:paraId="38D361EE" w14:textId="77777777" w:rsidR="0086405C" w:rsidRPr="00BA6959" w:rsidRDefault="0086405C" w:rsidP="0086405C">
      <w:pPr>
        <w:pStyle w:val="ACSTEXT"/>
        <w:rPr>
          <w:lang w:val="en-GB"/>
        </w:rPr>
      </w:pPr>
      <w:r w:rsidRPr="00BA6959">
        <w:rPr>
          <w:lang w:val="en-GB"/>
        </w:rPr>
        <w:t>RESULTS AND DISCUSSION</w:t>
      </w:r>
    </w:p>
    <w:p w14:paraId="2060CCD7" w14:textId="06CA108E" w:rsidR="00FB149D" w:rsidRPr="00BA6959" w:rsidRDefault="00FB149D" w:rsidP="00FB149D">
      <w:pPr>
        <w:pStyle w:val="ACSTEXT"/>
        <w:rPr>
          <w:iCs/>
          <w:lang w:val="en-GB"/>
        </w:rPr>
      </w:pPr>
      <w:r w:rsidRPr="00BA6959">
        <w:rPr>
          <w:rStyle w:val="Emphasis"/>
          <w:b/>
          <w:i w:val="0"/>
          <w:lang w:val="en-GB"/>
        </w:rPr>
        <w:t>2D SARs for ToxCast Assays</w:t>
      </w:r>
      <w:r w:rsidRPr="00BA6959">
        <w:rPr>
          <w:lang w:val="en-GB"/>
        </w:rPr>
        <w:t xml:space="preserve"> In total </w:t>
      </w:r>
      <w:r w:rsidR="004E06A6" w:rsidRPr="00BA6959">
        <w:rPr>
          <w:lang w:val="en-GB"/>
        </w:rPr>
        <w:t>8</w:t>
      </w:r>
      <w:r w:rsidR="003D52CC" w:rsidRPr="00BA6959">
        <w:rPr>
          <w:lang w:val="en-GB"/>
        </w:rPr>
        <w:t>7</w:t>
      </w:r>
      <w:r w:rsidRPr="00BA6959">
        <w:rPr>
          <w:lang w:val="en-GB"/>
        </w:rPr>
        <w:t xml:space="preserve"> structural alerts were identified </w:t>
      </w:r>
      <w:r w:rsidR="00AA7C85" w:rsidRPr="00BA6959">
        <w:rPr>
          <w:lang w:val="en-GB"/>
        </w:rPr>
        <w:t>for the AR a</w:t>
      </w:r>
      <w:r w:rsidR="004E06A6" w:rsidRPr="00BA6959">
        <w:rPr>
          <w:lang w:val="en-GB"/>
        </w:rPr>
        <w:t>nd 57</w:t>
      </w:r>
      <w:r w:rsidR="00AA7C85" w:rsidRPr="00BA6959">
        <w:rPr>
          <w:lang w:val="en-GB"/>
        </w:rPr>
        <w:t xml:space="preserve"> for the GR. </w:t>
      </w:r>
      <w:proofErr w:type="gramStart"/>
      <w:r w:rsidR="00AA7C85" w:rsidRPr="00BA6959">
        <w:rPr>
          <w:lang w:val="en-GB"/>
        </w:rPr>
        <w:t>All of</w:t>
      </w:r>
      <w:proofErr w:type="gramEnd"/>
      <w:r w:rsidR="00AA7C85" w:rsidRPr="00BA6959">
        <w:rPr>
          <w:lang w:val="en-GB"/>
        </w:rPr>
        <w:t xml:space="preserve"> these alerts were used in the Screen models. In the</w:t>
      </w:r>
      <w:r w:rsidR="001F3927">
        <w:rPr>
          <w:lang w:val="en-GB"/>
        </w:rPr>
        <w:t xml:space="preserve"> RE </w:t>
      </w:r>
      <w:r w:rsidR="00AA7C85" w:rsidRPr="00BA6959">
        <w:rPr>
          <w:lang w:val="en-GB"/>
        </w:rPr>
        <w:t>models 1</w:t>
      </w:r>
      <w:r w:rsidR="002E692D" w:rsidRPr="00BA6959">
        <w:rPr>
          <w:lang w:val="en-GB"/>
        </w:rPr>
        <w:t>4</w:t>
      </w:r>
      <w:r w:rsidR="00AA7C85" w:rsidRPr="00BA6959">
        <w:rPr>
          <w:lang w:val="en-GB"/>
        </w:rPr>
        <w:t xml:space="preserve"> alerts were us</w:t>
      </w:r>
      <w:r w:rsidR="00536DF1" w:rsidRPr="00BA6959">
        <w:rPr>
          <w:lang w:val="en-GB"/>
        </w:rPr>
        <w:t>ed for the AR and 18</w:t>
      </w:r>
      <w:r w:rsidR="00AA7C85" w:rsidRPr="00BA6959">
        <w:rPr>
          <w:lang w:val="en-GB"/>
        </w:rPr>
        <w:t xml:space="preserve"> for the GR</w:t>
      </w:r>
      <w:r w:rsidRPr="00BA6959">
        <w:rPr>
          <w:lang w:val="en-GB"/>
        </w:rPr>
        <w:t xml:space="preserve">. </w:t>
      </w:r>
      <w:r w:rsidR="00B574EE" w:rsidRPr="00BA6959">
        <w:rPr>
          <w:lang w:val="en-GB"/>
        </w:rPr>
        <w:t xml:space="preserve">The structural alerts coded in SMILES strings and performance statistics against the training and test sets are provided in the </w:t>
      </w:r>
      <w:r w:rsidR="00B574EE" w:rsidRPr="00803275">
        <w:rPr>
          <w:sz w:val="22"/>
          <w:szCs w:val="18"/>
          <w:lang w:val="en-GB"/>
        </w:rPr>
        <w:t>supporting</w:t>
      </w:r>
      <w:r w:rsidR="00B574EE" w:rsidRPr="00BA6959">
        <w:rPr>
          <w:lang w:val="en-GB"/>
        </w:rPr>
        <w:t xml:space="preserve"> information to aid in toxicological decision making. By considering this information carefully</w:t>
      </w:r>
      <w:r w:rsidR="001A1C34">
        <w:rPr>
          <w:lang w:val="en-GB"/>
        </w:rPr>
        <w:t>,</w:t>
      </w:r>
      <w:r w:rsidR="00B574EE" w:rsidRPr="00BA6959">
        <w:rPr>
          <w:lang w:val="en-GB"/>
        </w:rPr>
        <w:t xml:space="preserve"> better </w:t>
      </w:r>
      <w:r w:rsidR="00B574EE" w:rsidRPr="00BA6959">
        <w:rPr>
          <w:i/>
          <w:lang w:val="en-GB"/>
        </w:rPr>
        <w:t>in silico</w:t>
      </w:r>
      <w:r w:rsidR="00B574EE" w:rsidRPr="00BA6959">
        <w:rPr>
          <w:lang w:val="en-GB"/>
        </w:rPr>
        <w:t xml:space="preserve"> predictions can be made for novel chemicals, and these decisions can be tailored to the user’s requirements.</w:t>
      </w:r>
    </w:p>
    <w:p w14:paraId="3C9F24BB" w14:textId="78E9CE32" w:rsidR="00FB149D" w:rsidRPr="00BA6959" w:rsidRDefault="00FB149D" w:rsidP="00FB149D">
      <w:pPr>
        <w:pStyle w:val="TAMainText"/>
        <w:spacing w:after="240"/>
        <w:ind w:firstLine="0"/>
        <w:jc w:val="left"/>
        <w:rPr>
          <w:lang w:val="en-GB"/>
        </w:rPr>
      </w:pPr>
      <w:r w:rsidRPr="00BA6959">
        <w:rPr>
          <w:lang w:val="en-GB"/>
        </w:rPr>
        <w:t>The</w:t>
      </w:r>
      <w:r w:rsidR="001F3927">
        <w:rPr>
          <w:lang w:val="en-GB"/>
        </w:rPr>
        <w:t xml:space="preserve"> RE </w:t>
      </w:r>
      <w:r w:rsidRPr="00BA6959">
        <w:rPr>
          <w:lang w:val="en-GB"/>
        </w:rPr>
        <w:t xml:space="preserve">model has the highest overall performance across sensitivity, specificity, and MCC.  The Screen model aims to correctly predict as many of the positives as possible, getting a high sensitivity at the cost of specificity. </w:t>
      </w:r>
      <w:r w:rsidR="00675D2D" w:rsidRPr="00BA6959">
        <w:rPr>
          <w:lang w:val="en-GB"/>
        </w:rPr>
        <w:t>All model results for both targets across the training and test sets are included in Table 2.</w:t>
      </w:r>
    </w:p>
    <w:p w14:paraId="4050DE7E" w14:textId="27AD5D83" w:rsidR="00FB149D" w:rsidRDefault="00FB149D" w:rsidP="00FB149D">
      <w:pPr>
        <w:pStyle w:val="TAMainText"/>
        <w:spacing w:after="240"/>
        <w:ind w:firstLine="0"/>
        <w:jc w:val="left"/>
        <w:rPr>
          <w:lang w:val="en-GB"/>
        </w:rPr>
      </w:pPr>
      <w:r w:rsidRPr="00BA6959">
        <w:rPr>
          <w:lang w:val="en-GB"/>
        </w:rPr>
        <w:t xml:space="preserve">The difference between the models </w:t>
      </w:r>
      <w:r w:rsidR="00675D2D" w:rsidRPr="00BA6959">
        <w:rPr>
          <w:lang w:val="en-GB"/>
        </w:rPr>
        <w:t>can be seen when considering the difference in statistical performance for each. For the</w:t>
      </w:r>
      <w:r w:rsidR="001F3927">
        <w:rPr>
          <w:lang w:val="en-GB"/>
        </w:rPr>
        <w:t xml:space="preserve"> RE </w:t>
      </w:r>
      <w:r w:rsidR="00675D2D" w:rsidRPr="00BA6959">
        <w:rPr>
          <w:lang w:val="en-GB"/>
        </w:rPr>
        <w:t>models</w:t>
      </w:r>
      <w:r w:rsidRPr="00BA6959">
        <w:rPr>
          <w:lang w:val="en-GB"/>
        </w:rPr>
        <w:t xml:space="preserve"> (</w:t>
      </w:r>
      <w:r w:rsidR="00675D2D" w:rsidRPr="00BA6959">
        <w:rPr>
          <w:lang w:val="en-GB"/>
        </w:rPr>
        <w:t xml:space="preserve">AR Test: </w:t>
      </w:r>
      <w:r w:rsidR="00695800" w:rsidRPr="00BA6959">
        <w:rPr>
          <w:lang w:val="en-GB"/>
        </w:rPr>
        <w:t xml:space="preserve">SE = </w:t>
      </w:r>
      <w:r w:rsidR="000D64BF" w:rsidRPr="00BA6959">
        <w:rPr>
          <w:lang w:val="en-GB"/>
        </w:rPr>
        <w:t>2</w:t>
      </w:r>
      <w:r w:rsidR="00A01A1D">
        <w:rPr>
          <w:lang w:val="en-GB"/>
        </w:rPr>
        <w:t>3.53</w:t>
      </w:r>
      <w:r w:rsidRPr="00BA6959">
        <w:rPr>
          <w:lang w:val="en-GB"/>
        </w:rPr>
        <w:t xml:space="preserve">%, SP = </w:t>
      </w:r>
      <w:r w:rsidR="00695800" w:rsidRPr="00BA6959">
        <w:rPr>
          <w:lang w:val="en-GB"/>
        </w:rPr>
        <w:t>9</w:t>
      </w:r>
      <w:r w:rsidR="00A01A1D">
        <w:rPr>
          <w:lang w:val="en-GB"/>
        </w:rPr>
        <w:t>6.27</w:t>
      </w:r>
      <w:r w:rsidRPr="00BA6959">
        <w:rPr>
          <w:lang w:val="en-GB"/>
        </w:rPr>
        <w:t xml:space="preserve">%, Q = </w:t>
      </w:r>
      <w:r w:rsidR="0090478A" w:rsidRPr="00BA6959">
        <w:rPr>
          <w:lang w:val="en-GB"/>
        </w:rPr>
        <w:t>8</w:t>
      </w:r>
      <w:r w:rsidR="00A01A1D">
        <w:rPr>
          <w:lang w:val="en-GB"/>
        </w:rPr>
        <w:t>7.20</w:t>
      </w:r>
      <w:r w:rsidRPr="00BA6959">
        <w:rPr>
          <w:lang w:val="en-GB"/>
        </w:rPr>
        <w:t xml:space="preserve">%, MCC = </w:t>
      </w:r>
      <w:r w:rsidR="000D64BF" w:rsidRPr="00BA6959">
        <w:rPr>
          <w:lang w:val="en-GB"/>
        </w:rPr>
        <w:t>0.28</w:t>
      </w:r>
      <w:r w:rsidR="00A01A1D">
        <w:rPr>
          <w:lang w:val="en-GB"/>
        </w:rPr>
        <w:t>1</w:t>
      </w:r>
      <w:r w:rsidR="00675D2D" w:rsidRPr="00BA6959">
        <w:rPr>
          <w:lang w:val="en-GB"/>
        </w:rPr>
        <w:t xml:space="preserve">, GR Test: SE = </w:t>
      </w:r>
      <w:r w:rsidR="00695800" w:rsidRPr="00BA6959">
        <w:rPr>
          <w:lang w:val="en-GB"/>
        </w:rPr>
        <w:t>3</w:t>
      </w:r>
      <w:r w:rsidR="00536DF1" w:rsidRPr="00BA6959">
        <w:rPr>
          <w:lang w:val="en-GB"/>
        </w:rPr>
        <w:t>1.08</w:t>
      </w:r>
      <w:r w:rsidR="00675D2D" w:rsidRPr="00BA6959">
        <w:rPr>
          <w:lang w:val="en-GB"/>
        </w:rPr>
        <w:t xml:space="preserve">%, SP = </w:t>
      </w:r>
      <w:r w:rsidR="0090478A" w:rsidRPr="00BA6959">
        <w:rPr>
          <w:lang w:val="en-GB"/>
        </w:rPr>
        <w:t>99</w:t>
      </w:r>
      <w:r w:rsidR="00536DF1" w:rsidRPr="00BA6959">
        <w:rPr>
          <w:lang w:val="en-GB"/>
        </w:rPr>
        <w:t>.55</w:t>
      </w:r>
      <w:r w:rsidR="00675D2D" w:rsidRPr="00BA6959">
        <w:rPr>
          <w:lang w:val="en-GB"/>
        </w:rPr>
        <w:t xml:space="preserve">%, Q = </w:t>
      </w:r>
      <w:r w:rsidR="0090478A" w:rsidRPr="00BA6959">
        <w:rPr>
          <w:lang w:val="en-GB"/>
        </w:rPr>
        <w:t>96.81</w:t>
      </w:r>
      <w:r w:rsidR="00675D2D" w:rsidRPr="00BA6959">
        <w:rPr>
          <w:lang w:val="en-GB"/>
        </w:rPr>
        <w:t xml:space="preserve">%, MCC = </w:t>
      </w:r>
      <w:r w:rsidR="00536DF1" w:rsidRPr="00BA6959">
        <w:rPr>
          <w:lang w:val="en-GB"/>
        </w:rPr>
        <w:t>0.473</w:t>
      </w:r>
      <w:r w:rsidRPr="00BA6959">
        <w:rPr>
          <w:lang w:val="en-GB"/>
        </w:rPr>
        <w:t>)</w:t>
      </w:r>
      <w:r w:rsidR="00812AAB" w:rsidRPr="00BA6959">
        <w:rPr>
          <w:lang w:val="en-GB"/>
        </w:rPr>
        <w:t xml:space="preserve"> a higher level of SP, Q and MCC was observed</w:t>
      </w:r>
      <w:r w:rsidR="00695800" w:rsidRPr="00BA6959">
        <w:rPr>
          <w:lang w:val="en-GB"/>
        </w:rPr>
        <w:t>.</w:t>
      </w:r>
      <w:r w:rsidRPr="00BA6959">
        <w:rPr>
          <w:lang w:val="en-GB"/>
        </w:rPr>
        <w:t xml:space="preserve"> </w:t>
      </w:r>
      <w:r w:rsidR="00675D2D" w:rsidRPr="00BA6959">
        <w:rPr>
          <w:lang w:val="en-GB"/>
        </w:rPr>
        <w:t xml:space="preserve">For the </w:t>
      </w:r>
      <w:r w:rsidRPr="00BA6959">
        <w:rPr>
          <w:lang w:val="en-GB"/>
        </w:rPr>
        <w:t>Screen models (</w:t>
      </w:r>
      <w:r w:rsidR="00675D2D" w:rsidRPr="00BA6959">
        <w:rPr>
          <w:lang w:val="en-GB"/>
        </w:rPr>
        <w:t xml:space="preserve">AR Test: SE = </w:t>
      </w:r>
      <w:r w:rsidR="00695800" w:rsidRPr="00BA6959">
        <w:rPr>
          <w:lang w:val="en-GB"/>
        </w:rPr>
        <w:t>86.43</w:t>
      </w:r>
      <w:r w:rsidR="00675D2D" w:rsidRPr="00BA6959">
        <w:rPr>
          <w:lang w:val="en-GB"/>
        </w:rPr>
        <w:t xml:space="preserve">%, SP = </w:t>
      </w:r>
      <w:r w:rsidR="00695800" w:rsidRPr="00BA6959">
        <w:rPr>
          <w:lang w:val="en-GB"/>
        </w:rPr>
        <w:t>33.35</w:t>
      </w:r>
      <w:r w:rsidR="00675D2D" w:rsidRPr="00BA6959">
        <w:rPr>
          <w:lang w:val="en-GB"/>
        </w:rPr>
        <w:t xml:space="preserve">%, Q = </w:t>
      </w:r>
      <w:r w:rsidR="00695800" w:rsidRPr="00BA6959">
        <w:rPr>
          <w:lang w:val="en-GB"/>
        </w:rPr>
        <w:t>39.97</w:t>
      </w:r>
      <w:r w:rsidR="00675D2D" w:rsidRPr="00BA6959">
        <w:rPr>
          <w:lang w:val="en-GB"/>
        </w:rPr>
        <w:t xml:space="preserve">%, MCC = </w:t>
      </w:r>
      <w:r w:rsidR="00695800" w:rsidRPr="00BA6959">
        <w:rPr>
          <w:lang w:val="en-GB"/>
        </w:rPr>
        <w:t>0.084</w:t>
      </w:r>
      <w:r w:rsidR="00675D2D" w:rsidRPr="00BA6959">
        <w:rPr>
          <w:lang w:val="en-GB"/>
        </w:rPr>
        <w:t xml:space="preserve">, GR Test: SE = </w:t>
      </w:r>
      <w:r w:rsidR="0090478A" w:rsidRPr="00BA6959">
        <w:rPr>
          <w:lang w:val="en-GB"/>
        </w:rPr>
        <w:t>58.11</w:t>
      </w:r>
      <w:r w:rsidR="00675D2D" w:rsidRPr="00BA6959">
        <w:rPr>
          <w:lang w:val="en-GB"/>
        </w:rPr>
        <w:t xml:space="preserve">%, SP = </w:t>
      </w:r>
      <w:r w:rsidR="0090478A" w:rsidRPr="00BA6959">
        <w:rPr>
          <w:lang w:val="en-GB"/>
        </w:rPr>
        <w:t>88.36</w:t>
      </w:r>
      <w:r w:rsidR="00675D2D" w:rsidRPr="00BA6959">
        <w:rPr>
          <w:lang w:val="en-GB"/>
        </w:rPr>
        <w:t xml:space="preserve">%, Q = </w:t>
      </w:r>
      <w:r w:rsidR="0090478A" w:rsidRPr="00BA6959">
        <w:rPr>
          <w:lang w:val="en-GB"/>
        </w:rPr>
        <w:t>87.15</w:t>
      </w:r>
      <w:r w:rsidR="00675D2D" w:rsidRPr="00BA6959">
        <w:rPr>
          <w:lang w:val="en-GB"/>
        </w:rPr>
        <w:t xml:space="preserve">%, MCC = </w:t>
      </w:r>
      <w:r w:rsidR="0090478A" w:rsidRPr="00BA6959">
        <w:rPr>
          <w:lang w:val="en-GB"/>
        </w:rPr>
        <w:t>0.25</w:t>
      </w:r>
      <w:r w:rsidR="00812AAB" w:rsidRPr="00BA6959">
        <w:rPr>
          <w:lang w:val="en-GB"/>
        </w:rPr>
        <w:t>3</w:t>
      </w:r>
      <w:r w:rsidRPr="00BA6959">
        <w:rPr>
          <w:lang w:val="en-GB"/>
        </w:rPr>
        <w:t>)</w:t>
      </w:r>
      <w:r w:rsidR="00812AAB" w:rsidRPr="00BA6959">
        <w:rPr>
          <w:lang w:val="en-GB"/>
        </w:rPr>
        <w:t xml:space="preserve"> SE is considerably higher at the cost of these other statistics, as expected</w:t>
      </w:r>
      <w:r w:rsidRPr="00BA6959">
        <w:rPr>
          <w:lang w:val="en-GB"/>
        </w:rPr>
        <w:t xml:space="preserve">. </w:t>
      </w:r>
      <w:r w:rsidR="00812AAB" w:rsidRPr="00BA6959">
        <w:rPr>
          <w:lang w:val="en-GB"/>
        </w:rPr>
        <w:t xml:space="preserve">The overall higher level of performance generally for the GR over the AR is </w:t>
      </w:r>
      <w:proofErr w:type="gramStart"/>
      <w:r w:rsidR="00812AAB" w:rsidRPr="00BA6959">
        <w:rPr>
          <w:lang w:val="en-GB"/>
        </w:rPr>
        <w:t>interesting, and</w:t>
      </w:r>
      <w:proofErr w:type="gramEnd"/>
      <w:r w:rsidR="00812AAB" w:rsidRPr="00BA6959">
        <w:rPr>
          <w:lang w:val="en-GB"/>
        </w:rPr>
        <w:t xml:space="preserve"> suggests there is </w:t>
      </w:r>
      <w:r w:rsidR="00812AAB" w:rsidRPr="00BA6959">
        <w:rPr>
          <w:lang w:val="en-GB"/>
        </w:rPr>
        <w:lastRenderedPageBreak/>
        <w:t xml:space="preserve">something in the chemistry of the GR binders which allows them to be more easily differentiated from the non-binders based on their 2D structural chemistry. This is particularly noticeable considering </w:t>
      </w:r>
      <w:r w:rsidR="00812AAB" w:rsidRPr="00BA6959">
        <w:rPr>
          <w:rStyle w:val="ACSTEXTChar"/>
          <w:lang w:val="en-GB"/>
        </w:rPr>
        <w:t xml:space="preserve">the much higher </w:t>
      </w:r>
      <w:r w:rsidR="00A822BF">
        <w:rPr>
          <w:rStyle w:val="ACSTEXTChar"/>
          <w:lang w:val="en-GB"/>
        </w:rPr>
        <w:t>specificity</w:t>
      </w:r>
      <w:r w:rsidR="00A822BF" w:rsidRPr="00BA6959">
        <w:rPr>
          <w:rStyle w:val="ACSTEXTChar"/>
          <w:lang w:val="en-GB"/>
        </w:rPr>
        <w:t xml:space="preserve"> </w:t>
      </w:r>
      <w:r w:rsidR="00812AAB" w:rsidRPr="00BA6959">
        <w:rPr>
          <w:rStyle w:val="ACSTEXTChar"/>
          <w:lang w:val="en-GB"/>
        </w:rPr>
        <w:t>for the GR screen models, meaning that even with a high number of structural alerts the models are not significantly over-firing.</w:t>
      </w:r>
      <w:r w:rsidRPr="00BA6959">
        <w:rPr>
          <w:rStyle w:val="ACSTEXTChar"/>
          <w:lang w:val="en-GB"/>
        </w:rPr>
        <w:t xml:space="preserve"> </w:t>
      </w:r>
      <w:r w:rsidR="00F72323" w:rsidRPr="00BA6959">
        <w:rPr>
          <w:rStyle w:val="ACSTEXTChar"/>
          <w:lang w:val="en-GB"/>
        </w:rPr>
        <w:t>2D structural alerts are computationally simple, quick, inexpensive, and can be used to screen</w:t>
      </w:r>
      <w:r w:rsidR="009B3A0C">
        <w:rPr>
          <w:rStyle w:val="ACSTEXTChar"/>
          <w:lang w:val="en-GB"/>
        </w:rPr>
        <w:t xml:space="preserve"> </w:t>
      </w:r>
      <w:proofErr w:type="gramStart"/>
      <w:r w:rsidR="009B3A0C">
        <w:rPr>
          <w:rStyle w:val="ACSTEXTChar"/>
          <w:lang w:val="en-GB"/>
        </w:rPr>
        <w:t>a</w:t>
      </w:r>
      <w:r w:rsidR="00F72323" w:rsidRPr="00BA6959">
        <w:rPr>
          <w:rStyle w:val="ACSTEXTChar"/>
          <w:lang w:val="en-GB"/>
        </w:rPr>
        <w:t xml:space="preserve"> large number of</w:t>
      </w:r>
      <w:proofErr w:type="gramEnd"/>
      <w:r w:rsidR="00F72323" w:rsidRPr="00BA6959">
        <w:rPr>
          <w:rStyle w:val="ACSTEXTChar"/>
          <w:lang w:val="en-GB"/>
        </w:rPr>
        <w:t xml:space="preserve"> chemicals pre-development. These methods can</w:t>
      </w:r>
      <w:r w:rsidR="00F72323" w:rsidRPr="00BA6959">
        <w:rPr>
          <w:lang w:val="en-GB"/>
        </w:rPr>
        <w:t xml:space="preserve"> also supplement, and target, further toxicity tests in risk assessment procedures. </w:t>
      </w:r>
    </w:p>
    <w:p w14:paraId="4438667B" w14:textId="321C2C1B" w:rsidR="00236C4E" w:rsidRPr="00BA6959" w:rsidRDefault="00236C4E" w:rsidP="00236C4E">
      <w:pPr>
        <w:pStyle w:val="TAMainText"/>
        <w:spacing w:after="240"/>
        <w:ind w:firstLine="0"/>
        <w:jc w:val="left"/>
        <w:rPr>
          <w:color w:val="FF0000"/>
          <w:lang w:val="en-GB"/>
        </w:rPr>
      </w:pPr>
      <w:r>
        <w:rPr>
          <w:lang w:val="en-GB"/>
        </w:rPr>
        <w:t>The typical binders</w:t>
      </w:r>
      <w:r w:rsidR="00B562BE">
        <w:rPr>
          <w:lang w:val="en-GB"/>
        </w:rPr>
        <w:t>,</w:t>
      </w:r>
      <w:r>
        <w:rPr>
          <w:lang w:val="en-GB"/>
        </w:rPr>
        <w:t xml:space="preserve"> testosterone (AR) and dexamethasone (GR)</w:t>
      </w:r>
      <w:r w:rsidR="00B562BE">
        <w:rPr>
          <w:lang w:val="en-GB"/>
        </w:rPr>
        <w:t>,</w:t>
      </w:r>
      <w:r>
        <w:rPr>
          <w:lang w:val="en-GB"/>
        </w:rPr>
        <w:t xml:space="preserve"> are shown in Figure 4 alongside structural alerts that match their structures. The alerts show that the steroidal backbone of each molecule is key for its binding, as is the positioning of the hydrogen bonding oxygen and hydroxyl groups. These molecules are well represented by the ToxCast data set, as shown through the large overlap between them and their structural alerts, but the alerts do allow us to see why the algorithm considers them to be active. For molecules less well matched to the training data the alerts may be able to point to structural features that could be removed to reduce molecular activity at the biological target. In the cases of testosterone and dexamethasone this would have ben be a considerable change to the steroidal structure, due to its significant match to the structural alerts.</w:t>
      </w:r>
    </w:p>
    <w:p w14:paraId="60AD4441" w14:textId="77777777" w:rsidR="00236C4E" w:rsidRPr="00BA6959" w:rsidRDefault="00236C4E" w:rsidP="00FB149D">
      <w:pPr>
        <w:pStyle w:val="TAMainText"/>
        <w:spacing w:after="240"/>
        <w:ind w:firstLine="0"/>
        <w:jc w:val="left"/>
        <w:rPr>
          <w:color w:val="FF0000"/>
          <w:lang w:val="en-GB"/>
        </w:rPr>
      </w:pPr>
    </w:p>
    <w:p w14:paraId="79746954" w14:textId="77777777" w:rsidR="009D4BC5" w:rsidRPr="00BA6959" w:rsidRDefault="007B230A" w:rsidP="009D26C8">
      <w:pPr>
        <w:rPr>
          <w:rStyle w:val="Emphasis"/>
          <w:b/>
          <w:i w:val="0"/>
          <w:lang w:val="en-GB"/>
        </w:rPr>
      </w:pPr>
      <w:r w:rsidRPr="00BA6959">
        <w:rPr>
          <w:rStyle w:val="Emphasis"/>
          <w:b/>
          <w:i w:val="0"/>
          <w:lang w:val="en-GB"/>
        </w:rPr>
        <w:t>Using 2D SAR based chemical categories</w:t>
      </w:r>
      <w:r w:rsidR="009D4BC5" w:rsidRPr="00BA6959">
        <w:rPr>
          <w:rStyle w:val="Emphasis"/>
          <w:b/>
          <w:i w:val="0"/>
          <w:lang w:val="en-GB"/>
        </w:rPr>
        <w:t xml:space="preserve"> to guide </w:t>
      </w:r>
      <w:r w:rsidR="009D4BC5" w:rsidRPr="009F6AB6">
        <w:rPr>
          <w:rStyle w:val="Emphasis"/>
          <w:b/>
          <w:lang w:val="en-GB"/>
        </w:rPr>
        <w:t>in vitro</w:t>
      </w:r>
      <w:r w:rsidR="009D4BC5" w:rsidRPr="00BA6959">
        <w:rPr>
          <w:rStyle w:val="Emphasis"/>
          <w:b/>
          <w:i w:val="0"/>
          <w:lang w:val="en-GB"/>
        </w:rPr>
        <w:t xml:space="preserve"> assays</w:t>
      </w:r>
    </w:p>
    <w:p w14:paraId="01F9A864" w14:textId="17BC7482" w:rsidR="00FE7DC3" w:rsidRPr="00BA6959" w:rsidRDefault="00FE7DC3" w:rsidP="00FE7DC3">
      <w:pPr>
        <w:pStyle w:val="ACSTEXT"/>
        <w:rPr>
          <w:rStyle w:val="Emphasis"/>
          <w:i w:val="0"/>
          <w:lang w:val="en-GB"/>
        </w:rPr>
      </w:pPr>
      <w:r w:rsidRPr="00BA6959">
        <w:rPr>
          <w:rStyle w:val="Emphasis"/>
          <w:i w:val="0"/>
          <w:lang w:val="en-GB"/>
        </w:rPr>
        <w:t xml:space="preserve">The 2D structural alerts developed can be considered as chemical categories, each containing a small number of highly similar chemicals. As ToxCast utilizes </w:t>
      </w:r>
      <w:proofErr w:type="gramStart"/>
      <w:r w:rsidRPr="00BA6959">
        <w:rPr>
          <w:rStyle w:val="Emphasis"/>
          <w:i w:val="0"/>
          <w:lang w:val="en-GB"/>
        </w:rPr>
        <w:t>a number of</w:t>
      </w:r>
      <w:proofErr w:type="gramEnd"/>
      <w:r w:rsidRPr="00BA6959">
        <w:rPr>
          <w:rStyle w:val="Emphasis"/>
          <w:i w:val="0"/>
          <w:lang w:val="en-GB"/>
        </w:rPr>
        <w:t xml:space="preserve"> assays for each MIE, these chemical categories can be thought of as defining specific chemical characteristics that align </w:t>
      </w:r>
      <w:r w:rsidRPr="00BA6959">
        <w:rPr>
          <w:rStyle w:val="Emphasis"/>
          <w:i w:val="0"/>
          <w:lang w:val="en-GB"/>
        </w:rPr>
        <w:lastRenderedPageBreak/>
        <w:t xml:space="preserve">with specific </w:t>
      </w:r>
      <w:r w:rsidRPr="00BA6959">
        <w:rPr>
          <w:rStyle w:val="Emphasis"/>
          <w:lang w:val="en-GB"/>
        </w:rPr>
        <w:t>in vitro</w:t>
      </w:r>
      <w:r w:rsidRPr="00BA6959">
        <w:rPr>
          <w:rStyle w:val="Emphasis"/>
          <w:i w:val="0"/>
          <w:lang w:val="en-GB"/>
        </w:rPr>
        <w:t xml:space="preserve"> tests. Can these categories be used to guide </w:t>
      </w:r>
      <w:r w:rsidRPr="00BA6959">
        <w:rPr>
          <w:rStyle w:val="Emphasis"/>
          <w:lang w:val="en-GB"/>
        </w:rPr>
        <w:t>in vitro</w:t>
      </w:r>
      <w:r w:rsidRPr="00BA6959">
        <w:rPr>
          <w:rStyle w:val="Emphasis"/>
          <w:i w:val="0"/>
          <w:lang w:val="en-GB"/>
        </w:rPr>
        <w:t xml:space="preserve"> assays, allowing the </w:t>
      </w:r>
      <w:proofErr w:type="gramStart"/>
      <w:r w:rsidRPr="00BA6959">
        <w:rPr>
          <w:rStyle w:val="Emphasis"/>
          <w:lang w:val="en-GB"/>
        </w:rPr>
        <w:t>in silico</w:t>
      </w:r>
      <w:proofErr w:type="gramEnd"/>
      <w:r w:rsidRPr="00BA6959">
        <w:rPr>
          <w:rStyle w:val="Emphasis"/>
          <w:i w:val="0"/>
          <w:lang w:val="en-GB"/>
        </w:rPr>
        <w:t xml:space="preserve"> methodology to dictate which test should be performed first?</w:t>
      </w:r>
      <w:r w:rsidR="00CB06C0" w:rsidRPr="00BA6959">
        <w:rPr>
          <w:rStyle w:val="Emphasis"/>
          <w:i w:val="0"/>
          <w:lang w:val="en-GB"/>
        </w:rPr>
        <w:t xml:space="preserve"> By identifying which is most likely to show a hit for a given chemical category we can target future </w:t>
      </w:r>
      <w:r w:rsidR="00CB06C0" w:rsidRPr="00BA6959">
        <w:rPr>
          <w:rStyle w:val="Emphasis"/>
          <w:lang w:val="en-GB"/>
        </w:rPr>
        <w:t>in vitro</w:t>
      </w:r>
      <w:r w:rsidR="00CB06C0" w:rsidRPr="00BA6959">
        <w:rPr>
          <w:rStyle w:val="Emphasis"/>
          <w:i w:val="0"/>
          <w:lang w:val="en-GB"/>
        </w:rPr>
        <w:t xml:space="preserve"> assays. This will result in a reduction in the number of assays required to assess each chemical, making the assessment process more efficient</w:t>
      </w:r>
      <w:r w:rsidR="002D2747">
        <w:rPr>
          <w:rStyle w:val="Emphasis"/>
          <w:i w:val="0"/>
          <w:lang w:val="en-GB"/>
        </w:rPr>
        <w:t xml:space="preserve">, in line with </w:t>
      </w:r>
      <w:r w:rsidR="00DA4267">
        <w:rPr>
          <w:rStyle w:val="Emphasis"/>
          <w:i w:val="0"/>
          <w:lang w:val="en-GB"/>
        </w:rPr>
        <w:t>the aims of AOP frameworks</w:t>
      </w:r>
      <w:r w:rsidR="00CB06C0" w:rsidRPr="00BA6959">
        <w:rPr>
          <w:rStyle w:val="Emphasis"/>
          <w:i w:val="0"/>
          <w:lang w:val="en-GB"/>
        </w:rPr>
        <w:t>.</w:t>
      </w:r>
      <w:r w:rsidR="00DA4267">
        <w:rPr>
          <w:rStyle w:val="Emphasis"/>
          <w:i w:val="0"/>
          <w:lang w:val="en-GB"/>
        </w:rPr>
        <w:fldChar w:fldCharType="begin" w:fldLock="1"/>
      </w:r>
      <w:r w:rsidR="007E2AAC">
        <w:rPr>
          <w:rStyle w:val="Emphasis"/>
          <w:i w:val="0"/>
          <w:lang w:val="en-GB"/>
        </w:rPr>
        <w:instrText>ADDIN CSL_CITATION {"citationItems":[{"id":"ITEM-1","itemData":{"DOI":"10.1016/j.comtox.2018.08.003","ISSN":"24681113","abstract":"Adverse Outcome Pathways (AOPs) establish a connection between a molecular initiating event (MIE) and an adverse outcome. Detailed understanding of the MIE provides the ideal data for determining chemical properties required to elicit the MIE. This study utilized high-throughput screening data from the ToxCast program, coupled with chemical structural information, to generate chemical clusters using three similarity methods pertaining to nine MIEs within an AOP network for hepatic steatosis. Three case studies demonstrate the utility of the mechanistic information held by the MIE for integrating biological and chemical data. Evaluation of the chemical clusters activating the glucocorticoid receptor identified activity differences in chemicals within a cluster. Comparison of the estrogen receptor results with previous work showed that bioactivity data and structural alerts can be combined to improve predictions in a customizable way where bioactivity data are limited. The aryl hydrocarbon receptor (AHR) highlighted that while structural data can be used to offset limited data for new screening efforts, not all ToxCast targets have sufficient data to define robust chemical clusters. In this context, an alternative to additional receptor assays is proposed where assays for proximal key events downstream of AHR activation could be used to enhance confidence in active calls. These case studies illustrate how the AOP framework can support an iterative process whereby in vitro toxicity testing and chemical structure can be combined to improve toxicity predictions. In vitro assays can inform the development of structural alerts linking chemical structure to toxicity. Consequently, structurally related chemical groups can facilitate identification of assays that would be informative for a specific MIE. Together, these activities form a virtuous cycle where the mechanistic basis for the in vitro results and the breadth of the structural alerts continually improve over time to better predict activity of chemicals for which limited toxicity data exist.","author":[{"dropping-particle":"","family":"Nelms","given":"Mark D.","non-dropping-particle":"","parse-names":false,"suffix":""},{"dropping-particle":"","family":"Mellor","given":"Claire L.","non-dropping-particle":"","parse-names":false,"suffix":""},{"dropping-particle":"","family":"Enoch","given":"Steven J.","non-dropping-particle":"","parse-names":false,"suffix":""},{"dropping-particle":"","family":"Judson","given":"Richard S.","non-dropping-particle":"","parse-names":false,"suffix":""},{"dropping-particle":"","family":"Patlewicz","given":"Grace","non-dropping-particle":"","parse-names":false,"suffix":""},{"dropping-particle":"","family":"Richard","given":"Ann M.","non-dropping-particle":"","parse-names":false,"suffix":""},{"dropping-particle":"","family":"Madden","given":"Judith M.","non-dropping-particle":"","parse-names":false,"suffix":""},{"dropping-particle":"","family":"Cronin","given":"Mark T.D.","non-dropping-particle":"","parse-names":false,"suffix":""},{"dropping-particle":"","family":"Edwards","given":"Stephen W.","non-dropping-particle":"","parse-names":false,"suffix":""}],"container-title":"Computational Toxicology","id":"ITEM-1","issue":"July","issued":{"date-parts":[["2018"]]},"page":"1-12","publisher":"Elsevier","title":"A mechanistic framework for integrating chemical structure and high-throughput screening results to improve toxicity predictions","type":"article-journal","volume":"8"},"uris":["http://www.mendeley.com/documents/?uuid=2e3a84b0-0967-45d9-a6f5-979b0dc6352d"]},{"id":"ITEM-2","itemData":{"DOI":"10.1016/j.yrtph.2014.09.009","ISSN":"02732300","author":[{"dropping-particle":"","family":"Tollefsen","given":"Knut Erik","non-dropping-particle":"","parse-names":false,"suffix":""},{"dropping-particle":"","family":"Scholz","given":"Stefan","non-dropping-particle":"","parse-names":false,"suffix":""},{"dropping-particle":"","family":"Cronin","given":"Mark T.","non-dropping-particle":"","parse-names":false,"suffix":""},{"dropping-particle":"","family":"Edwards","given":"Stephen W.","non-dropping-particle":"","parse-names":false,"suffix":""},{"dropping-particle":"","family":"Knecht","given":"Joop","non-dropping-particle":"de","parse-names":false,"suffix":""},{"dropping-particle":"","family":"Crofton","given":"Kevin","non-dropping-particle":"","parse-names":false,"suffix":""},{"dropping-particle":"","family":"Garcia-Reyero","given":"Natalia","non-dropping-particle":"","parse-names":false,"suffix":""},{"dropping-particle":"","family":"Hartung","given":"Thomas","non-dropping-particle":"","parse-names":false,"suffix":""},{"dropping-particle":"","family":"Worth","given":"Andrew","non-dropping-particle":"","parse-names":false,"suffix":""},{"dropping-particle":"","family":"Patlewicz","given":"Grace","non-dropping-particle":"","parse-names":false,"suffix":""}],"container-title":"Regulatory Toxicology and Pharmacology","id":"ITEM-2","issue":"3","issued":{"date-parts":[["2014"]]},"page":"629-640","publisher":"Elsevier Inc.","title":"Applying Adverse Outcome Pathways (AOPs) to support Integrated Approaches to Testing and Assessment (IATA)","type":"article-journal","volume":"70"},"uris":["http://www.mendeley.com/documents/?uuid=5544ed6c-1751-4448-bd7b-f454bf36d7f9"]}],"mendeley":{"formattedCitation":"&lt;sup&gt;24,29&lt;/sup&gt;","plainTextFormattedCitation":"24,29","previouslyFormattedCitation":"&lt;sup&gt;24&lt;/sup&gt;"},"properties":{"noteIndex":0},"schema":"https://github.com/citation-style-language/schema/raw/master/csl-citation.json"}</w:instrText>
      </w:r>
      <w:r w:rsidR="00DA4267">
        <w:rPr>
          <w:rStyle w:val="Emphasis"/>
          <w:i w:val="0"/>
          <w:lang w:val="en-GB"/>
        </w:rPr>
        <w:fldChar w:fldCharType="separate"/>
      </w:r>
      <w:r w:rsidR="007E2AAC" w:rsidRPr="007E2AAC">
        <w:rPr>
          <w:rStyle w:val="Emphasis"/>
          <w:i w:val="0"/>
          <w:noProof/>
          <w:vertAlign w:val="superscript"/>
          <w:lang w:val="en-GB"/>
        </w:rPr>
        <w:t>24,29</w:t>
      </w:r>
      <w:r w:rsidR="00DA4267">
        <w:rPr>
          <w:rStyle w:val="Emphasis"/>
          <w:i w:val="0"/>
          <w:lang w:val="en-GB"/>
        </w:rPr>
        <w:fldChar w:fldCharType="end"/>
      </w:r>
    </w:p>
    <w:p w14:paraId="61BDB4F4" w14:textId="4C698A5F" w:rsidR="002D574E" w:rsidRPr="00BA6959" w:rsidRDefault="00FE7DC3" w:rsidP="00FE7DC3">
      <w:pPr>
        <w:pStyle w:val="ACSTEXT"/>
        <w:rPr>
          <w:rStyle w:val="Emphasis"/>
          <w:i w:val="0"/>
          <w:lang w:val="en-GB"/>
        </w:rPr>
      </w:pPr>
      <w:r w:rsidRPr="00BA6959">
        <w:rPr>
          <w:rStyle w:val="Emphasis"/>
          <w:i w:val="0"/>
          <w:lang w:val="en-GB"/>
        </w:rPr>
        <w:t xml:space="preserve">To test this </w:t>
      </w:r>
      <w:r w:rsidR="009F6AB6" w:rsidRPr="00BA6959">
        <w:rPr>
          <w:rStyle w:val="Emphasis"/>
          <w:i w:val="0"/>
          <w:lang w:val="en-GB"/>
        </w:rPr>
        <w:t>hypothesis,</w:t>
      </w:r>
      <w:r w:rsidRPr="00BA6959">
        <w:rPr>
          <w:rStyle w:val="Emphasis"/>
          <w:i w:val="0"/>
          <w:lang w:val="en-GB"/>
        </w:rPr>
        <w:t xml:space="preserve"> the chemical categories defined by the</w:t>
      </w:r>
      <w:r w:rsidR="001F3927">
        <w:rPr>
          <w:rStyle w:val="Emphasis"/>
          <w:i w:val="0"/>
          <w:lang w:val="en-GB"/>
        </w:rPr>
        <w:t xml:space="preserve"> RE </w:t>
      </w:r>
      <w:r w:rsidRPr="00BA6959">
        <w:rPr>
          <w:rStyle w:val="Emphasis"/>
          <w:i w:val="0"/>
          <w:lang w:val="en-GB"/>
        </w:rPr>
        <w:t xml:space="preserve">models developed above were used to filter compounds and examine their raw ToxCast data. </w:t>
      </w:r>
      <w:r w:rsidR="002D574E" w:rsidRPr="00BA6959">
        <w:rPr>
          <w:rStyle w:val="Emphasis"/>
          <w:i w:val="0"/>
          <w:lang w:val="en-GB"/>
        </w:rPr>
        <w:t xml:space="preserve">Each alert category was examined in turn, using the </w:t>
      </w:r>
      <w:r w:rsidR="002D574E" w:rsidRPr="009F6AB6">
        <w:rPr>
          <w:rStyle w:val="Emphasis"/>
          <w:lang w:val="en-GB"/>
        </w:rPr>
        <w:t>in vitro</w:t>
      </w:r>
      <w:r w:rsidR="002D574E" w:rsidRPr="00BA6959">
        <w:rPr>
          <w:rStyle w:val="Emphasis"/>
          <w:i w:val="0"/>
          <w:lang w:val="en-GB"/>
        </w:rPr>
        <w:t xml:space="preserve"> results to calculate sensitivity values for each assay. These sensitivity values were calculated using true and false positives in the same way as the sensitivity values for the </w:t>
      </w:r>
      <w:proofErr w:type="gramStart"/>
      <w:r w:rsidR="002D574E" w:rsidRPr="009F6AB6">
        <w:rPr>
          <w:rStyle w:val="Emphasis"/>
          <w:lang w:val="en-GB"/>
        </w:rPr>
        <w:t>in silico</w:t>
      </w:r>
      <w:proofErr w:type="gramEnd"/>
      <w:r w:rsidR="002D574E" w:rsidRPr="00BA6959">
        <w:rPr>
          <w:rStyle w:val="Emphasis"/>
          <w:i w:val="0"/>
          <w:lang w:val="en-GB"/>
        </w:rPr>
        <w:t xml:space="preserve"> models. Where a compound was untested in the assay of interest it was omitted from these calculations</w:t>
      </w:r>
      <w:r w:rsidRPr="00BA6959">
        <w:rPr>
          <w:rStyle w:val="Emphasis"/>
          <w:i w:val="0"/>
          <w:lang w:val="en-GB"/>
        </w:rPr>
        <w:t xml:space="preserve">. </w:t>
      </w:r>
      <w:r w:rsidR="002D574E" w:rsidRPr="00BA6959">
        <w:rPr>
          <w:rStyle w:val="Emphasis"/>
          <w:i w:val="0"/>
          <w:lang w:val="en-GB"/>
        </w:rPr>
        <w:t xml:space="preserve">These results are shown for the AR in Table 3 and for GR in Table 4. </w:t>
      </w:r>
      <w:r w:rsidRPr="00BA6959">
        <w:rPr>
          <w:rStyle w:val="Emphasis"/>
          <w:i w:val="0"/>
          <w:lang w:val="en-GB"/>
        </w:rPr>
        <w:t xml:space="preserve">By calculating the sensitivity for each assay and plotting it against each assay from the target </w:t>
      </w:r>
      <w:r w:rsidR="002D574E" w:rsidRPr="00BA6959">
        <w:rPr>
          <w:rStyle w:val="Emphasis"/>
          <w:i w:val="0"/>
          <w:lang w:val="en-GB"/>
        </w:rPr>
        <w:t>it can be seen</w:t>
      </w:r>
      <w:r w:rsidRPr="00BA6959">
        <w:rPr>
          <w:rStyle w:val="Emphasis"/>
          <w:i w:val="0"/>
          <w:lang w:val="en-GB"/>
        </w:rPr>
        <w:t xml:space="preserve"> which assays tend to show hits for which type of molecules. </w:t>
      </w:r>
      <w:r w:rsidR="002D574E" w:rsidRPr="00BA6959">
        <w:rPr>
          <w:rStyle w:val="Emphasis"/>
          <w:i w:val="0"/>
          <w:lang w:val="en-GB"/>
        </w:rPr>
        <w:t xml:space="preserve">Graphs showing these values are shown for the AR in Figure </w:t>
      </w:r>
      <w:r w:rsidR="0069175A">
        <w:rPr>
          <w:rStyle w:val="Emphasis"/>
          <w:i w:val="0"/>
          <w:lang w:val="en-GB"/>
        </w:rPr>
        <w:t>5</w:t>
      </w:r>
      <w:r w:rsidR="002D574E" w:rsidRPr="00BA6959">
        <w:rPr>
          <w:rStyle w:val="Emphasis"/>
          <w:i w:val="0"/>
          <w:lang w:val="en-GB"/>
        </w:rPr>
        <w:t xml:space="preserve"> and for the GR in Figure </w:t>
      </w:r>
      <w:r w:rsidR="0069175A">
        <w:rPr>
          <w:rStyle w:val="Emphasis"/>
          <w:i w:val="0"/>
          <w:lang w:val="en-GB"/>
        </w:rPr>
        <w:t>6</w:t>
      </w:r>
      <w:r w:rsidR="002D574E" w:rsidRPr="00BA6959">
        <w:rPr>
          <w:rStyle w:val="Emphasis"/>
          <w:i w:val="0"/>
          <w:lang w:val="en-GB"/>
        </w:rPr>
        <w:t>.</w:t>
      </w:r>
    </w:p>
    <w:p w14:paraId="6EBB52C5" w14:textId="07EE31B0" w:rsidR="00FE7DC3" w:rsidRPr="00BA6959" w:rsidRDefault="00FE7DC3" w:rsidP="00FE7DC3">
      <w:pPr>
        <w:pStyle w:val="ACSTEXT"/>
        <w:rPr>
          <w:lang w:val="en-GB"/>
        </w:rPr>
      </w:pPr>
      <w:r w:rsidRPr="00BA6959">
        <w:rPr>
          <w:rStyle w:val="Emphasis"/>
          <w:i w:val="0"/>
          <w:lang w:val="en-GB"/>
        </w:rPr>
        <w:t>Th</w:t>
      </w:r>
      <w:r w:rsidR="002D574E" w:rsidRPr="00BA6959">
        <w:rPr>
          <w:rStyle w:val="Emphasis"/>
          <w:i w:val="0"/>
          <w:lang w:val="en-GB"/>
        </w:rPr>
        <w:t>e difference in sensitivity from assay to assay</w:t>
      </w:r>
      <w:r w:rsidRPr="00BA6959">
        <w:rPr>
          <w:rStyle w:val="Emphasis"/>
          <w:i w:val="0"/>
          <w:lang w:val="en-GB"/>
        </w:rPr>
        <w:t xml:space="preserve"> is most notable in the case of the </w:t>
      </w:r>
      <w:r w:rsidR="002D574E" w:rsidRPr="00BA6959">
        <w:rPr>
          <w:rStyle w:val="Emphasis"/>
          <w:i w:val="0"/>
          <w:lang w:val="en-GB"/>
        </w:rPr>
        <w:t>AR</w:t>
      </w:r>
      <w:r w:rsidRPr="00BA6959">
        <w:rPr>
          <w:rStyle w:val="Emphasis"/>
          <w:i w:val="0"/>
          <w:lang w:val="en-GB"/>
        </w:rPr>
        <w:t xml:space="preserve"> as ToxCast contains 11 assay</w:t>
      </w:r>
      <w:r w:rsidR="002D574E" w:rsidRPr="00BA6959">
        <w:rPr>
          <w:rStyle w:val="Emphasis"/>
          <w:i w:val="0"/>
          <w:lang w:val="en-GB"/>
        </w:rPr>
        <w:t>s</w:t>
      </w:r>
      <w:r w:rsidRPr="00BA6959">
        <w:rPr>
          <w:rStyle w:val="Emphasis"/>
          <w:i w:val="0"/>
          <w:lang w:val="en-GB"/>
        </w:rPr>
        <w:t xml:space="preserve"> which suggest a molecule </w:t>
      </w:r>
      <w:r w:rsidR="002D574E" w:rsidRPr="00BA6959">
        <w:rPr>
          <w:rStyle w:val="Emphasis"/>
          <w:i w:val="0"/>
          <w:lang w:val="en-GB"/>
        </w:rPr>
        <w:t xml:space="preserve">is an AR </w:t>
      </w:r>
      <w:r w:rsidRPr="00BA6959">
        <w:rPr>
          <w:rStyle w:val="Emphasis"/>
          <w:i w:val="0"/>
          <w:lang w:val="en-GB"/>
        </w:rPr>
        <w:t>bind</w:t>
      </w:r>
      <w:r w:rsidR="002D574E" w:rsidRPr="00BA6959">
        <w:rPr>
          <w:rStyle w:val="Emphasis"/>
          <w:i w:val="0"/>
          <w:lang w:val="en-GB"/>
        </w:rPr>
        <w:t>er</w:t>
      </w:r>
      <w:r w:rsidRPr="00BA6959">
        <w:rPr>
          <w:rStyle w:val="Emphasis"/>
          <w:i w:val="0"/>
          <w:lang w:val="en-GB"/>
        </w:rPr>
        <w:t xml:space="preserve">. </w:t>
      </w:r>
      <w:r w:rsidR="002335D6" w:rsidRPr="00BA6959">
        <w:rPr>
          <w:rStyle w:val="Emphasis"/>
          <w:i w:val="0"/>
          <w:lang w:val="en-GB"/>
        </w:rPr>
        <w:t xml:space="preserve">To highlight this, four specific AR chemical category sensitivity values have been plotted in Figure </w:t>
      </w:r>
      <w:r w:rsidR="0069175A">
        <w:rPr>
          <w:rStyle w:val="Emphasis"/>
          <w:i w:val="0"/>
          <w:lang w:val="en-GB"/>
        </w:rPr>
        <w:t>7</w:t>
      </w:r>
      <w:r w:rsidR="002335D6" w:rsidRPr="00BA6959">
        <w:rPr>
          <w:rStyle w:val="Emphasis"/>
          <w:i w:val="0"/>
          <w:lang w:val="en-GB"/>
        </w:rPr>
        <w:t>.</w:t>
      </w:r>
      <w:r w:rsidR="0005070D">
        <w:rPr>
          <w:lang w:val="en-GB"/>
        </w:rPr>
        <w:t xml:space="preserve"> This </w:t>
      </w:r>
      <w:r w:rsidRPr="00BA6959">
        <w:rPr>
          <w:lang w:val="en-GB"/>
        </w:rPr>
        <w:t xml:space="preserve">shows a large amount of variability in the distribution of sensitivities for the chemical categories identified, with each assay showing distinctly different performance for each chemical category. </w:t>
      </w:r>
      <w:r w:rsidR="002C09B8" w:rsidRPr="00BA6959">
        <w:rPr>
          <w:lang w:val="en-GB"/>
        </w:rPr>
        <w:t>It</w:t>
      </w:r>
      <w:r w:rsidRPr="00BA6959">
        <w:rPr>
          <w:lang w:val="en-GB"/>
        </w:rPr>
        <w:t xml:space="preserve"> shows, for example, </w:t>
      </w:r>
      <w:r w:rsidR="002C09B8" w:rsidRPr="00BA6959">
        <w:rPr>
          <w:lang w:val="en-GB"/>
        </w:rPr>
        <w:t>if a novel compound were</w:t>
      </w:r>
      <w:r w:rsidRPr="00BA6959">
        <w:rPr>
          <w:lang w:val="en-GB"/>
        </w:rPr>
        <w:t xml:space="preserve"> to fit within the chemical category for alert 9 the best assay to test first would be OT_AR_ARSRC1_0960</w:t>
      </w:r>
      <w:r w:rsidR="002C09B8" w:rsidRPr="00BA6959">
        <w:rPr>
          <w:lang w:val="en-GB"/>
        </w:rPr>
        <w:t>,</w:t>
      </w:r>
      <w:r w:rsidRPr="00BA6959">
        <w:rPr>
          <w:lang w:val="en-GB"/>
        </w:rPr>
        <w:t xml:space="preserve"> as this</w:t>
      </w:r>
      <w:r w:rsidR="002C09B8" w:rsidRPr="00BA6959">
        <w:rPr>
          <w:lang w:val="en-GB"/>
        </w:rPr>
        <w:t xml:space="preserve"> assay has the highest sensitivity value</w:t>
      </w:r>
      <w:r w:rsidRPr="00BA6959">
        <w:rPr>
          <w:lang w:val="en-GB"/>
        </w:rPr>
        <w:t xml:space="preserve">. After this a good choice would be TOX21_AR_LUC_MDAKB2_Agonist or </w:t>
      </w:r>
      <w:proofErr w:type="spellStart"/>
      <w:r w:rsidRPr="00BA6959">
        <w:rPr>
          <w:lang w:val="en-GB"/>
        </w:rPr>
        <w:t>NVS_NR_hAR</w:t>
      </w:r>
      <w:proofErr w:type="spellEnd"/>
      <w:r w:rsidRPr="00BA6959">
        <w:rPr>
          <w:lang w:val="en-GB"/>
        </w:rPr>
        <w:t>. However</w:t>
      </w:r>
      <w:r w:rsidR="00A8278F">
        <w:rPr>
          <w:lang w:val="en-GB"/>
        </w:rPr>
        <w:t>,</w:t>
      </w:r>
      <w:r w:rsidRPr="00BA6959">
        <w:rPr>
          <w:lang w:val="en-GB"/>
        </w:rPr>
        <w:t xml:space="preserve"> if the n</w:t>
      </w:r>
      <w:r w:rsidR="002C09B8" w:rsidRPr="00BA6959">
        <w:rPr>
          <w:lang w:val="en-GB"/>
        </w:rPr>
        <w:t xml:space="preserve">ovel </w:t>
      </w:r>
      <w:r w:rsidR="002C09B8" w:rsidRPr="00BA6959">
        <w:rPr>
          <w:lang w:val="en-GB"/>
        </w:rPr>
        <w:lastRenderedPageBreak/>
        <w:t>molecule contained alert 13</w:t>
      </w:r>
      <w:r w:rsidRPr="00BA6959">
        <w:rPr>
          <w:lang w:val="en-GB"/>
        </w:rPr>
        <w:t xml:space="preserve"> TOX21_AR_LUC_MDAKB2_Antagonist</w:t>
      </w:r>
      <w:r w:rsidR="002C09B8" w:rsidRPr="00BA6959">
        <w:rPr>
          <w:lang w:val="en-GB"/>
        </w:rPr>
        <w:t xml:space="preserve"> or TOX21_AR_LUC_MDAKB2_Antagonist2</w:t>
      </w:r>
      <w:r w:rsidRPr="00BA6959">
        <w:rPr>
          <w:lang w:val="en-GB"/>
        </w:rPr>
        <w:t xml:space="preserve"> would be the best choice, and the best for alerts 6 and 7 would be TOX21_AR_LUC_MDAKB2_Agonist. This methodology allows the chemical categories that are defined by the structural alerts to contribute to </w:t>
      </w:r>
      <w:r w:rsidRPr="00BA6959">
        <w:rPr>
          <w:i/>
          <w:lang w:val="en-GB"/>
        </w:rPr>
        <w:t>in vitro</w:t>
      </w:r>
      <w:r w:rsidRPr="00BA6959">
        <w:rPr>
          <w:lang w:val="en-GB"/>
        </w:rPr>
        <w:t xml:space="preserve"> screening.</w:t>
      </w:r>
    </w:p>
    <w:p w14:paraId="23635338" w14:textId="24A0DCF1" w:rsidR="00FE7DC3" w:rsidRPr="00BA6959" w:rsidRDefault="00FE7DC3" w:rsidP="00FE7DC3">
      <w:pPr>
        <w:pStyle w:val="ACSTEXT"/>
        <w:rPr>
          <w:rStyle w:val="Emphasis"/>
          <w:i w:val="0"/>
          <w:lang w:val="en-GB"/>
        </w:rPr>
      </w:pPr>
      <w:r w:rsidRPr="00BA6959">
        <w:rPr>
          <w:lang w:val="en-GB"/>
        </w:rPr>
        <w:t>In addition</w:t>
      </w:r>
      <w:r w:rsidR="009F6AB6">
        <w:rPr>
          <w:lang w:val="en-GB"/>
        </w:rPr>
        <w:t>,</w:t>
      </w:r>
      <w:r w:rsidRPr="00BA6959">
        <w:rPr>
          <w:lang w:val="en-GB"/>
        </w:rPr>
        <w:t xml:space="preserve"> it is possible to identify if the structural alerts tend to contain agonists or antagonists of the an</w:t>
      </w:r>
      <w:r w:rsidR="002C09B8" w:rsidRPr="00BA6959">
        <w:rPr>
          <w:lang w:val="en-GB"/>
        </w:rPr>
        <w:t>drogen receptor as ToxCast (</w:t>
      </w:r>
      <w:r w:rsidRPr="00BA6959">
        <w:rPr>
          <w:lang w:val="en-GB"/>
        </w:rPr>
        <w:t>sp</w:t>
      </w:r>
      <w:r w:rsidR="002C09B8" w:rsidRPr="00BA6959">
        <w:rPr>
          <w:lang w:val="en-GB"/>
        </w:rPr>
        <w:t xml:space="preserve">ecifically Tox21) contains assays which </w:t>
      </w:r>
      <w:proofErr w:type="gramStart"/>
      <w:r w:rsidR="002C09B8" w:rsidRPr="00BA6959">
        <w:rPr>
          <w:lang w:val="en-GB"/>
        </w:rPr>
        <w:t>are able to</w:t>
      </w:r>
      <w:proofErr w:type="gramEnd"/>
      <w:r w:rsidRPr="00BA6959">
        <w:rPr>
          <w:lang w:val="en-GB"/>
        </w:rPr>
        <w:t xml:space="preserve"> distinguish between them. For example</w:t>
      </w:r>
      <w:r w:rsidR="009F6AB6">
        <w:rPr>
          <w:lang w:val="en-GB"/>
        </w:rPr>
        <w:t>,</w:t>
      </w:r>
      <w:r w:rsidRPr="00BA6959">
        <w:rPr>
          <w:lang w:val="en-GB"/>
        </w:rPr>
        <w:t xml:space="preserve"> </w:t>
      </w:r>
      <w:proofErr w:type="gramStart"/>
      <w:r w:rsidRPr="00BA6959">
        <w:rPr>
          <w:lang w:val="en-GB"/>
        </w:rPr>
        <w:t>it would appear that alerts</w:t>
      </w:r>
      <w:proofErr w:type="gramEnd"/>
      <w:r w:rsidRPr="00BA6959">
        <w:rPr>
          <w:lang w:val="en-GB"/>
        </w:rPr>
        <w:t xml:space="preserve"> 6 and 7 contain primarily agonists due to the high sensitivity of the assay TOX21_AR_LUC_MDAKB2_Agonist. Alert 1</w:t>
      </w:r>
      <w:r w:rsidR="002C09B8" w:rsidRPr="00BA6959">
        <w:rPr>
          <w:lang w:val="en-GB"/>
        </w:rPr>
        <w:t>3</w:t>
      </w:r>
      <w:r w:rsidRPr="00BA6959">
        <w:rPr>
          <w:lang w:val="en-GB"/>
        </w:rPr>
        <w:t xml:space="preserve"> however has a high proportion of antagonists because of the high TOX21_AR_LUC_MDAKB2_Antagonist </w:t>
      </w:r>
      <w:r w:rsidR="002C09B8" w:rsidRPr="00BA6959">
        <w:rPr>
          <w:lang w:val="en-GB"/>
        </w:rPr>
        <w:t xml:space="preserve">and TOX21_AR_LUC_MDAKB2_Antagonist2 </w:t>
      </w:r>
      <w:r w:rsidRPr="00BA6959">
        <w:rPr>
          <w:lang w:val="en-GB"/>
        </w:rPr>
        <w:t xml:space="preserve">sensitivity. </w:t>
      </w:r>
      <w:r w:rsidR="00637513" w:rsidRPr="00BA6959">
        <w:rPr>
          <w:lang w:val="en-GB"/>
        </w:rPr>
        <w:t>Finally,</w:t>
      </w:r>
      <w:r w:rsidRPr="00BA6959">
        <w:rPr>
          <w:lang w:val="en-GB"/>
        </w:rPr>
        <w:t xml:space="preserve"> it would appear alert 9 contains both agonists and antagonists as it has </w:t>
      </w:r>
      <w:proofErr w:type="gramStart"/>
      <w:r w:rsidRPr="00BA6959">
        <w:rPr>
          <w:lang w:val="en-GB"/>
        </w:rPr>
        <w:t>both of these</w:t>
      </w:r>
      <w:proofErr w:type="gramEnd"/>
      <w:r w:rsidRPr="00BA6959">
        <w:rPr>
          <w:lang w:val="en-GB"/>
        </w:rPr>
        <w:t xml:space="preserve"> assays showing sensitivities around 50%.</w:t>
      </w:r>
    </w:p>
    <w:p w14:paraId="00D3B4B6" w14:textId="66D55E32" w:rsidR="00B9070B" w:rsidRPr="00BA6959" w:rsidRDefault="00514895" w:rsidP="0086405C">
      <w:pPr>
        <w:pStyle w:val="ACSTEXT"/>
        <w:rPr>
          <w:lang w:val="en-GB"/>
        </w:rPr>
      </w:pPr>
      <w:r w:rsidRPr="00BA6959">
        <w:rPr>
          <w:lang w:val="en-GB"/>
        </w:rPr>
        <w:t xml:space="preserve">MIEs are important chemical-biological </w:t>
      </w:r>
      <w:proofErr w:type="gramStart"/>
      <w:r w:rsidRPr="00BA6959">
        <w:rPr>
          <w:lang w:val="en-GB"/>
        </w:rPr>
        <w:t>interactions, and</w:t>
      </w:r>
      <w:proofErr w:type="gramEnd"/>
      <w:r w:rsidRPr="00BA6959">
        <w:rPr>
          <w:lang w:val="en-GB"/>
        </w:rPr>
        <w:t xml:space="preserve"> predicting them for novel molecules </w:t>
      </w:r>
      <w:r w:rsidR="0005070D">
        <w:rPr>
          <w:lang w:val="en-GB"/>
        </w:rPr>
        <w:t>using</w:t>
      </w:r>
      <w:r w:rsidR="0005070D" w:rsidRPr="00BA6959">
        <w:rPr>
          <w:lang w:val="en-GB"/>
        </w:rPr>
        <w:t xml:space="preserve"> </w:t>
      </w:r>
      <w:r w:rsidR="00B9070B" w:rsidRPr="00BA6959">
        <w:rPr>
          <w:lang w:val="en-GB"/>
        </w:rPr>
        <w:t xml:space="preserve">computational tools </w:t>
      </w:r>
      <w:r w:rsidR="0005070D">
        <w:rPr>
          <w:lang w:val="en-GB"/>
        </w:rPr>
        <w:t xml:space="preserve">provides an important </w:t>
      </w:r>
      <w:r w:rsidR="00B9070B" w:rsidRPr="00BA6959">
        <w:rPr>
          <w:lang w:val="en-GB"/>
        </w:rPr>
        <w:t>contribut</w:t>
      </w:r>
      <w:r w:rsidR="0005070D">
        <w:rPr>
          <w:lang w:val="en-GB"/>
        </w:rPr>
        <w:t>ion</w:t>
      </w:r>
      <w:r w:rsidR="00B9070B" w:rsidRPr="00BA6959">
        <w:rPr>
          <w:lang w:val="en-GB"/>
        </w:rPr>
        <w:t xml:space="preserve"> to AOP</w:t>
      </w:r>
      <w:r w:rsidR="00C03FFE">
        <w:rPr>
          <w:lang w:val="en-GB"/>
        </w:rPr>
        <w:t>-based</w:t>
      </w:r>
      <w:r w:rsidR="00B9070B" w:rsidRPr="00BA6959">
        <w:rPr>
          <w:lang w:val="en-GB"/>
        </w:rPr>
        <w:t xml:space="preserve"> risk assessment. In this work we have used ToxCast data and chemical informatics approaches to elucidate 2D structural alerts for the prediction of </w:t>
      </w:r>
      <w:r w:rsidR="008C2CA8">
        <w:rPr>
          <w:lang w:val="en-GB"/>
        </w:rPr>
        <w:t>AR and GR</w:t>
      </w:r>
      <w:r w:rsidR="00B9070B" w:rsidRPr="00BA6959">
        <w:rPr>
          <w:lang w:val="en-GB"/>
        </w:rPr>
        <w:t xml:space="preserve"> MIEs. These alerts define tight chemical categories of a small number of molecules, </w:t>
      </w:r>
      <w:r w:rsidR="008C2CA8">
        <w:rPr>
          <w:lang w:val="en-GB"/>
        </w:rPr>
        <w:t>which can be used to guide</w:t>
      </w:r>
      <w:r w:rsidR="00B9070B" w:rsidRPr="00BA6959">
        <w:rPr>
          <w:lang w:val="en-GB"/>
        </w:rPr>
        <w:t xml:space="preserve"> </w:t>
      </w:r>
      <w:r w:rsidR="00B9070B" w:rsidRPr="00BA6959">
        <w:rPr>
          <w:i/>
          <w:lang w:val="en-GB"/>
        </w:rPr>
        <w:t>in vitro</w:t>
      </w:r>
      <w:r w:rsidR="00B9070B" w:rsidRPr="00BA6959">
        <w:rPr>
          <w:lang w:val="en-GB"/>
        </w:rPr>
        <w:t xml:space="preserve"> experimental assays.</w:t>
      </w:r>
      <w:r w:rsidR="008C2CA8">
        <w:rPr>
          <w:lang w:val="en-GB"/>
        </w:rPr>
        <w:t xml:space="preserve"> </w:t>
      </w:r>
      <w:r w:rsidR="00920B43" w:rsidRPr="00BA6959">
        <w:rPr>
          <w:lang w:val="en-GB"/>
        </w:rPr>
        <w:t xml:space="preserve">This </w:t>
      </w:r>
      <w:r w:rsidR="008C2CA8">
        <w:rPr>
          <w:lang w:val="en-GB"/>
        </w:rPr>
        <w:t>wo</w:t>
      </w:r>
      <w:r w:rsidR="00920B43" w:rsidRPr="00BA6959">
        <w:rPr>
          <w:lang w:val="en-GB"/>
        </w:rPr>
        <w:t xml:space="preserve">uld allow for a reduction in the number of </w:t>
      </w:r>
      <w:r w:rsidR="00920B43" w:rsidRPr="00BA6959">
        <w:rPr>
          <w:i/>
          <w:lang w:val="en-GB"/>
        </w:rPr>
        <w:t>in vitro</w:t>
      </w:r>
      <w:r w:rsidR="00920B43" w:rsidRPr="00BA6959">
        <w:rPr>
          <w:lang w:val="en-GB"/>
        </w:rPr>
        <w:t xml:space="preserve"> tests required to confirm molecules as hits for the androgen and glucocorticoid receptors,</w:t>
      </w:r>
      <w:r w:rsidR="008C2CA8">
        <w:rPr>
          <w:lang w:val="en-GB"/>
        </w:rPr>
        <w:t xml:space="preserve"> reducing the number of expensive and time-consuming experiments required to identify this,</w:t>
      </w:r>
      <w:r w:rsidR="00920B43" w:rsidRPr="00BA6959">
        <w:rPr>
          <w:lang w:val="en-GB"/>
        </w:rPr>
        <w:t xml:space="preserve"> and </w:t>
      </w:r>
      <w:r w:rsidR="002015A5" w:rsidRPr="00BA6959">
        <w:rPr>
          <w:lang w:val="en-GB"/>
        </w:rPr>
        <w:t>provides a platform</w:t>
      </w:r>
      <w:r w:rsidR="00920B43" w:rsidRPr="00BA6959">
        <w:rPr>
          <w:lang w:val="en-GB"/>
        </w:rPr>
        <w:t xml:space="preserve"> for further research covering high</w:t>
      </w:r>
      <w:r w:rsidR="00637513">
        <w:rPr>
          <w:lang w:val="en-GB"/>
        </w:rPr>
        <w:t>-</w:t>
      </w:r>
      <w:r w:rsidR="00920B43" w:rsidRPr="00BA6959">
        <w:rPr>
          <w:lang w:val="en-GB"/>
        </w:rPr>
        <w:t>throughput assays and targets.</w:t>
      </w:r>
    </w:p>
    <w:p w14:paraId="54C85773" w14:textId="77777777" w:rsidR="00DD6DBB" w:rsidRPr="00BA6959" w:rsidRDefault="00C10EE0" w:rsidP="000B5610">
      <w:pPr>
        <w:pStyle w:val="TESupportingInformation"/>
        <w:spacing w:after="240"/>
        <w:ind w:firstLine="0"/>
        <w:jc w:val="left"/>
        <w:rPr>
          <w:lang w:val="en-GB"/>
        </w:rPr>
      </w:pPr>
      <w:r w:rsidRPr="00BA6959">
        <w:rPr>
          <w:lang w:val="en-GB"/>
        </w:rPr>
        <w:t>ASSOCIATED CONTENT</w:t>
      </w:r>
    </w:p>
    <w:p w14:paraId="24CFAC80" w14:textId="77777777" w:rsidR="00152FD8" w:rsidRPr="00BA6959" w:rsidRDefault="00152FD8" w:rsidP="00152FD8">
      <w:pPr>
        <w:pStyle w:val="TESupportingInformation"/>
        <w:spacing w:after="240"/>
        <w:ind w:firstLine="0"/>
        <w:jc w:val="left"/>
        <w:rPr>
          <w:lang w:val="en-GB"/>
        </w:rPr>
      </w:pPr>
      <w:r w:rsidRPr="00BA6959">
        <w:rPr>
          <w:b/>
          <w:lang w:val="en-GB"/>
        </w:rPr>
        <w:lastRenderedPageBreak/>
        <w:t>Supporting Information</w:t>
      </w:r>
      <w:r w:rsidRPr="00BA6959">
        <w:rPr>
          <w:lang w:val="en-GB"/>
        </w:rPr>
        <w:t xml:space="preserve">. </w:t>
      </w:r>
    </w:p>
    <w:p w14:paraId="63C44C0D" w14:textId="77777777" w:rsidR="001E2823" w:rsidRDefault="00152FD8" w:rsidP="001E2823">
      <w:pPr>
        <w:pStyle w:val="ACSTEXT"/>
      </w:pPr>
      <w:bookmarkStart w:id="0" w:name="_Hlk13170544"/>
      <w:r w:rsidRPr="00BA6959">
        <w:rPr>
          <w:lang w:val="en-GB"/>
        </w:rPr>
        <w:t>Performance statistics and SMILES strings for the structural alerts developed in this work</w:t>
      </w:r>
      <w:bookmarkEnd w:id="0"/>
      <w:r w:rsidRPr="00BA6959">
        <w:rPr>
          <w:lang w:val="en-GB"/>
        </w:rPr>
        <w:t xml:space="preserve">. This material is available free of charge via the Internet at </w:t>
      </w:r>
      <w:hyperlink r:id="rId10" w:history="1">
        <w:r w:rsidR="007B797E" w:rsidRPr="00141A17">
          <w:rPr>
            <w:rStyle w:val="Hyperlink"/>
            <w:lang w:val="en-GB"/>
          </w:rPr>
          <w:t>http://pubs.acs.org</w:t>
        </w:r>
      </w:hyperlink>
      <w:r w:rsidRPr="00BA6959">
        <w:rPr>
          <w:lang w:val="en-GB"/>
        </w:rPr>
        <w:t>.</w:t>
      </w:r>
      <w:r w:rsidR="007B797E">
        <w:rPr>
          <w:lang w:val="en-GB"/>
        </w:rPr>
        <w:t xml:space="preserve"> </w:t>
      </w:r>
    </w:p>
    <w:p w14:paraId="113B72A0" w14:textId="2EB06D7D" w:rsidR="001E2823" w:rsidRDefault="001E2823" w:rsidP="001E2823">
      <w:pPr>
        <w:pStyle w:val="ACSTEXT"/>
      </w:pPr>
      <w:r>
        <w:t xml:space="preserve">The Pipeline Pilot protocol for constructing structural alerts and using the models, and the training and test data are available through </w:t>
      </w:r>
      <w:r w:rsidR="00CD597C">
        <w:t>GitHub</w:t>
      </w:r>
      <w:r>
        <w:t xml:space="preserve"> (</w:t>
      </w:r>
      <w:hyperlink r:id="rId11" w:history="1">
        <w:r>
          <w:rPr>
            <w:rStyle w:val="Hyperlink"/>
          </w:rPr>
          <w:t>https://github.com/teha2/chemical_toxicology</w:t>
        </w:r>
      </w:hyperlink>
      <w:r>
        <w:t>).</w:t>
      </w:r>
    </w:p>
    <w:p w14:paraId="1195F95F" w14:textId="2861ABD0" w:rsidR="007B797E" w:rsidRDefault="007B797E" w:rsidP="007B797E">
      <w:pPr>
        <w:pStyle w:val="TESupportingInformation"/>
        <w:spacing w:after="240"/>
        <w:ind w:firstLine="0"/>
        <w:jc w:val="left"/>
      </w:pPr>
    </w:p>
    <w:p w14:paraId="4E1961A6" w14:textId="418C66F0" w:rsidR="00152FD8" w:rsidRPr="00BA6959" w:rsidRDefault="00152FD8" w:rsidP="00152FD8">
      <w:pPr>
        <w:pStyle w:val="TESupportingInformation"/>
        <w:spacing w:after="240"/>
        <w:ind w:firstLine="0"/>
        <w:jc w:val="left"/>
        <w:rPr>
          <w:lang w:val="en-GB"/>
        </w:rPr>
      </w:pPr>
    </w:p>
    <w:p w14:paraId="3EC3EB28" w14:textId="77777777" w:rsidR="00DD6DBB" w:rsidRPr="00BA6959" w:rsidRDefault="00DD6DBB" w:rsidP="00DD6DBB">
      <w:pPr>
        <w:pStyle w:val="FACorrespondingAuthorFootnote"/>
        <w:spacing w:after="0"/>
        <w:jc w:val="left"/>
        <w:rPr>
          <w:lang w:val="en-GB"/>
        </w:rPr>
      </w:pPr>
      <w:r w:rsidRPr="00BA6959">
        <w:rPr>
          <w:lang w:val="en-GB"/>
        </w:rPr>
        <w:t>AUTHOR INFORMATION</w:t>
      </w:r>
    </w:p>
    <w:p w14:paraId="7D212CCD" w14:textId="77777777" w:rsidR="00DD6DBB" w:rsidRPr="00BA6959" w:rsidRDefault="00DD6DBB" w:rsidP="004E7185">
      <w:pPr>
        <w:pStyle w:val="FAAuthorInfoSubtitle"/>
        <w:rPr>
          <w:lang w:val="en-GB"/>
        </w:rPr>
      </w:pPr>
      <w:r w:rsidRPr="00BA6959">
        <w:rPr>
          <w:lang w:val="en-GB"/>
        </w:rPr>
        <w:t>Corresponding Author</w:t>
      </w:r>
    </w:p>
    <w:p w14:paraId="17589860" w14:textId="77777777" w:rsidR="00780EAE" w:rsidRPr="00BA6959" w:rsidRDefault="00780EAE" w:rsidP="00780EAE">
      <w:pPr>
        <w:pStyle w:val="FACorrespondingAuthorFootnote"/>
        <w:spacing w:after="240"/>
        <w:jc w:val="left"/>
        <w:rPr>
          <w:lang w:val="en-GB"/>
        </w:rPr>
      </w:pPr>
      <w:r w:rsidRPr="00BA6959">
        <w:rPr>
          <w:lang w:val="en-GB"/>
        </w:rPr>
        <w:t>*</w:t>
      </w:r>
      <w:r>
        <w:rPr>
          <w:lang w:val="en-GB"/>
        </w:rPr>
        <w:t xml:space="preserve">E-mail: </w:t>
      </w:r>
      <w:r w:rsidRPr="0074456B">
        <w:rPr>
          <w:lang w:val="en-GB"/>
        </w:rPr>
        <w:t>jmg11@cam.ac.uk</w:t>
      </w:r>
      <w:r>
        <w:rPr>
          <w:lang w:val="en-GB"/>
        </w:rPr>
        <w:t>. Phone: 01223 336434.</w:t>
      </w:r>
    </w:p>
    <w:p w14:paraId="08E2D6F5" w14:textId="77777777" w:rsidR="00C10EE0" w:rsidRPr="00BA6959" w:rsidRDefault="00C10EE0" w:rsidP="00DD6DBB">
      <w:pPr>
        <w:pStyle w:val="FAAuthorInfoSubtitle"/>
        <w:rPr>
          <w:lang w:val="en-GB"/>
        </w:rPr>
      </w:pPr>
      <w:r w:rsidRPr="00BA6959">
        <w:rPr>
          <w:lang w:val="en-GB"/>
        </w:rPr>
        <w:t>Author Contributions</w:t>
      </w:r>
    </w:p>
    <w:p w14:paraId="015D3BD1" w14:textId="77777777" w:rsidR="00C10EE0" w:rsidRPr="00BA6959" w:rsidRDefault="00C10EE0" w:rsidP="00DD6DBB">
      <w:pPr>
        <w:pStyle w:val="StyleFACorrespondingAuthorFootnote7pt"/>
        <w:spacing w:after="240" w:line="480" w:lineRule="auto"/>
        <w:rPr>
          <w:rFonts w:ascii="Times" w:hAnsi="Times"/>
          <w:kern w:val="0"/>
          <w:sz w:val="24"/>
          <w:lang w:val="en-GB"/>
        </w:rPr>
      </w:pPr>
      <w:r w:rsidRPr="00BA6959">
        <w:rPr>
          <w:rFonts w:ascii="Times" w:hAnsi="Times"/>
          <w:kern w:val="0"/>
          <w:sz w:val="24"/>
          <w:lang w:val="en-GB"/>
        </w:rPr>
        <w:t>The manuscript was written throug</w:t>
      </w:r>
      <w:r w:rsidR="00DD6DBB" w:rsidRPr="00BA6959">
        <w:rPr>
          <w:rFonts w:ascii="Times" w:hAnsi="Times"/>
          <w:kern w:val="0"/>
          <w:sz w:val="24"/>
          <w:lang w:val="en-GB"/>
        </w:rPr>
        <w:t xml:space="preserve">h contributions of all authors. </w:t>
      </w:r>
      <w:r w:rsidRPr="00BA6959">
        <w:rPr>
          <w:rFonts w:ascii="Times" w:hAnsi="Times"/>
          <w:kern w:val="0"/>
          <w:sz w:val="24"/>
          <w:lang w:val="en-GB"/>
        </w:rPr>
        <w:t>All authors have given approval to the final version of the manuscript.</w:t>
      </w:r>
    </w:p>
    <w:p w14:paraId="70CC66FD" w14:textId="77777777" w:rsidR="00C10EE0" w:rsidRPr="00BA6959" w:rsidRDefault="00C10EE0" w:rsidP="00DD6DBB">
      <w:pPr>
        <w:pStyle w:val="FAAuthorInfoSubtitle"/>
        <w:rPr>
          <w:lang w:val="en-GB"/>
        </w:rPr>
      </w:pPr>
      <w:r w:rsidRPr="00BA6959">
        <w:rPr>
          <w:lang w:val="en-GB"/>
        </w:rPr>
        <w:t>Funding Sources</w:t>
      </w:r>
    </w:p>
    <w:p w14:paraId="6C97DC3D" w14:textId="31B152F4" w:rsidR="00152FD8" w:rsidRPr="0028535C" w:rsidRDefault="00152FD8" w:rsidP="0028535C">
      <w:pPr>
        <w:spacing w:before="360" w:after="360" w:line="480" w:lineRule="auto"/>
        <w:rPr>
          <w:rFonts w:ascii="Times New Roman" w:hAnsi="Times New Roman"/>
        </w:rPr>
      </w:pPr>
      <w:r w:rsidRPr="00BA6959">
        <w:rPr>
          <w:lang w:val="en-GB"/>
        </w:rPr>
        <w:t>The authors acknowledge the financial support of Unilever.</w:t>
      </w:r>
      <w:r w:rsidR="0028535C">
        <w:rPr>
          <w:lang w:val="en-GB"/>
        </w:rPr>
        <w:t xml:space="preserve"> </w:t>
      </w:r>
      <w:r w:rsidR="0028535C" w:rsidRPr="00FC35FD">
        <w:rPr>
          <w:rFonts w:ascii="Times New Roman" w:hAnsi="Times New Roman"/>
        </w:rPr>
        <w:t>M.D.N. was supported by an appointment to the Research Participation Program of the U.S. Environmental Protection Agency, Office of Research and Development, administered by the Oak Ridge Institute for Science and Education through an interagency agreement between the U.S. Department of Energy and the U.S. EPA.</w:t>
      </w:r>
    </w:p>
    <w:p w14:paraId="18E8FDEF" w14:textId="77777777" w:rsidR="00152FD8" w:rsidRPr="00BA6959" w:rsidRDefault="00152FD8" w:rsidP="00152FD8">
      <w:pPr>
        <w:pStyle w:val="BGKeywords"/>
        <w:rPr>
          <w:b/>
          <w:lang w:val="en-GB"/>
        </w:rPr>
      </w:pPr>
      <w:r w:rsidRPr="00BA6959">
        <w:rPr>
          <w:b/>
          <w:lang w:val="en-GB"/>
        </w:rPr>
        <w:lastRenderedPageBreak/>
        <w:t>Data Statement</w:t>
      </w:r>
    </w:p>
    <w:p w14:paraId="3D627159" w14:textId="71E9C9FD" w:rsidR="00152FD8" w:rsidRDefault="00152FD8" w:rsidP="00152FD8">
      <w:pPr>
        <w:pStyle w:val="BGKeywords"/>
        <w:rPr>
          <w:lang w:val="en-GB"/>
        </w:rPr>
      </w:pPr>
      <w:r w:rsidRPr="00BA6959">
        <w:rPr>
          <w:lang w:val="en-GB"/>
        </w:rPr>
        <w:t xml:space="preserve">According to the University of Cambridge data management policy, all the data used in this paper is available either in the paper or in the SI. A copy of the data is also available in the University of Cambridge repository </w:t>
      </w:r>
      <w:r w:rsidRPr="00BA6959">
        <w:rPr>
          <w:noProof/>
          <w:lang w:val="en-GB"/>
        </w:rPr>
        <w:t>at:</w:t>
      </w:r>
      <w:r w:rsidRPr="00BA6959">
        <w:rPr>
          <w:lang w:val="en-GB"/>
        </w:rPr>
        <w:t xml:space="preserve"> https://www.repository.cam.ac.uk/ </w:t>
      </w:r>
    </w:p>
    <w:p w14:paraId="3CC13049" w14:textId="77777777" w:rsidR="0028535C" w:rsidRPr="00FC35FD" w:rsidRDefault="0028535C" w:rsidP="0028535C">
      <w:pPr>
        <w:spacing w:before="360" w:after="360" w:line="480" w:lineRule="auto"/>
        <w:outlineLvl w:val="0"/>
        <w:rPr>
          <w:rFonts w:ascii="Times New Roman" w:hAnsi="Times New Roman"/>
          <w:b/>
        </w:rPr>
      </w:pPr>
      <w:r w:rsidRPr="00FC35FD">
        <w:rPr>
          <w:rFonts w:ascii="Times New Roman" w:hAnsi="Times New Roman"/>
          <w:b/>
        </w:rPr>
        <w:t>Disclaimer</w:t>
      </w:r>
    </w:p>
    <w:p w14:paraId="30F6D124" w14:textId="6D2D1E96" w:rsidR="0028535C" w:rsidRPr="00BA6959" w:rsidRDefault="0028535C" w:rsidP="0028535C">
      <w:pPr>
        <w:pStyle w:val="BGKeywords"/>
        <w:rPr>
          <w:lang w:val="en-GB"/>
        </w:rPr>
      </w:pPr>
      <w:r w:rsidRPr="00FC35FD">
        <w:rPr>
          <w:rFonts w:ascii="Times New Roman" w:hAnsi="Times New Roman"/>
        </w:rPr>
        <w:t xml:space="preserve">The information in this document has been funded wholly (or in part) by the U.S. Environmental Protection Agency. It has been subjected to review by the National </w:t>
      </w:r>
      <w:r>
        <w:rPr>
          <w:rFonts w:ascii="Times New Roman" w:hAnsi="Times New Roman"/>
        </w:rPr>
        <w:t>Center for Computational Toxicology</w:t>
      </w:r>
      <w:r w:rsidRPr="00FC35FD">
        <w:rPr>
          <w:rFonts w:ascii="Times New Roman" w:hAnsi="Times New Roman"/>
        </w:rPr>
        <w:t xml:space="preserve"> and approved for publication. Approval does not signify that the contents reflect the views of the Agency, nor does mention of trade names or commercial products constitute endorsement or recommendation for use.</w:t>
      </w:r>
    </w:p>
    <w:p w14:paraId="530D710D" w14:textId="77777777" w:rsidR="00DD6DBB" w:rsidRPr="00BA6959" w:rsidRDefault="00DD6DBB" w:rsidP="00DD6DBB">
      <w:pPr>
        <w:rPr>
          <w:lang w:val="en-GB"/>
        </w:rPr>
      </w:pPr>
      <w:r w:rsidRPr="00BA6959">
        <w:rPr>
          <w:lang w:val="en-GB"/>
        </w:rPr>
        <w:t>ABBREVIATIONS</w:t>
      </w:r>
    </w:p>
    <w:p w14:paraId="45B6F37D" w14:textId="207C929D" w:rsidR="005344AB" w:rsidRPr="00BA6959" w:rsidRDefault="005344AB" w:rsidP="005344AB">
      <w:pPr>
        <w:pStyle w:val="TFReferencesSection"/>
        <w:spacing w:after="0"/>
        <w:ind w:firstLine="0"/>
        <w:jc w:val="left"/>
        <w:rPr>
          <w:lang w:val="en-GB"/>
        </w:rPr>
      </w:pPr>
      <w:r w:rsidRPr="00BA6959">
        <w:rPr>
          <w:lang w:val="en-GB"/>
        </w:rPr>
        <w:t xml:space="preserve">AOP=adverse outcome pathways, </w:t>
      </w:r>
      <w:r w:rsidR="006057FD" w:rsidRPr="00BA6959">
        <w:rPr>
          <w:lang w:val="en-GB"/>
        </w:rPr>
        <w:t xml:space="preserve">AR=androgen receptor, </w:t>
      </w:r>
      <w:r w:rsidRPr="00BA6959">
        <w:rPr>
          <w:lang w:val="en-GB"/>
        </w:rPr>
        <w:t>ATG_AR=</w:t>
      </w:r>
      <w:proofErr w:type="spellStart"/>
      <w:r w:rsidRPr="00BA6959">
        <w:rPr>
          <w:lang w:val="en-GB"/>
        </w:rPr>
        <w:t>ATG_AR_TRANS_up</w:t>
      </w:r>
      <w:proofErr w:type="spellEnd"/>
      <w:r w:rsidRPr="00BA6959">
        <w:rPr>
          <w:lang w:val="en-GB"/>
        </w:rPr>
        <w:t xml:space="preserve">, FN=False Negative, FP=False Positive, GR=glucocorticoid receptor, </w:t>
      </w:r>
      <w:r w:rsidR="006057FD" w:rsidRPr="00BA6959">
        <w:rPr>
          <w:lang w:val="en-GB"/>
        </w:rPr>
        <w:t xml:space="preserve">MCC=Matthews Correlation Coefficient, MCSS=maximal common substructure, MIE=molecular initiating event, </w:t>
      </w:r>
      <w:proofErr w:type="spellStart"/>
      <w:r w:rsidRPr="00BA6959">
        <w:rPr>
          <w:lang w:val="en-GB"/>
        </w:rPr>
        <w:t>NVS_hAR</w:t>
      </w:r>
      <w:proofErr w:type="spellEnd"/>
      <w:r w:rsidRPr="00BA6959">
        <w:rPr>
          <w:lang w:val="en-GB"/>
        </w:rPr>
        <w:t>=</w:t>
      </w:r>
      <w:proofErr w:type="spellStart"/>
      <w:r w:rsidRPr="00BA6959">
        <w:rPr>
          <w:lang w:val="en-GB"/>
        </w:rPr>
        <w:t>NVS_NR_hAR</w:t>
      </w:r>
      <w:proofErr w:type="spellEnd"/>
      <w:r w:rsidRPr="00BA6959">
        <w:rPr>
          <w:lang w:val="en-GB"/>
        </w:rPr>
        <w:t xml:space="preserve">, </w:t>
      </w:r>
      <w:proofErr w:type="spellStart"/>
      <w:r w:rsidRPr="00BA6959">
        <w:rPr>
          <w:lang w:val="en-GB"/>
        </w:rPr>
        <w:t>NVS_rAR</w:t>
      </w:r>
      <w:proofErr w:type="spellEnd"/>
      <w:r w:rsidRPr="00BA6959">
        <w:rPr>
          <w:lang w:val="en-GB"/>
        </w:rPr>
        <w:t>=</w:t>
      </w:r>
      <w:proofErr w:type="spellStart"/>
      <w:r w:rsidRPr="00BA6959">
        <w:rPr>
          <w:lang w:val="en-GB"/>
        </w:rPr>
        <w:t>NVS_NR_rAR</w:t>
      </w:r>
      <w:proofErr w:type="spellEnd"/>
      <w:r w:rsidRPr="00BA6959">
        <w:rPr>
          <w:lang w:val="en-GB"/>
        </w:rPr>
        <w:t xml:space="preserve">, OT_LUC_1440=OT_AR_ARELUC_AG_1440, OT_RC1_0480=OT_AR_ARSRC1_0480, OT_RC1_0960=OT_AR_ARSRC1_0960, </w:t>
      </w:r>
      <w:r w:rsidR="006057FD" w:rsidRPr="00BA6959">
        <w:rPr>
          <w:lang w:val="en-GB"/>
        </w:rPr>
        <w:t>Q=Overall Quality, (Q)SAR=(quantitative) structure activity relationship, R</w:t>
      </w:r>
      <w:r w:rsidR="001F3927">
        <w:rPr>
          <w:lang w:val="en-GB"/>
        </w:rPr>
        <w:t>E</w:t>
      </w:r>
      <w:r w:rsidR="006057FD" w:rsidRPr="00BA6959">
        <w:rPr>
          <w:lang w:val="en-GB"/>
        </w:rPr>
        <w:t xml:space="preserve">=risk </w:t>
      </w:r>
      <w:r w:rsidR="001F3927">
        <w:rPr>
          <w:lang w:val="en-GB"/>
        </w:rPr>
        <w:t>evaluation</w:t>
      </w:r>
      <w:r w:rsidR="006057FD" w:rsidRPr="00BA6959">
        <w:rPr>
          <w:lang w:val="en-GB"/>
        </w:rPr>
        <w:t xml:space="preserve">, SE=Sensitivity, SP=Specificity, </w:t>
      </w:r>
      <w:r w:rsidRPr="00BA6959">
        <w:rPr>
          <w:lang w:val="en-GB"/>
        </w:rPr>
        <w:t xml:space="preserve">TOX21_BLA_Ago=TOX21_AR_BLA_Agonist_ratio, TOX21_BLA_Ant=TOX21_AR_BLA_Antagonist_ratio, TOX21_LUC_Ago=TOX21_AR_LUC_MDAKB2_Agonist, TOX21_LUC_Ant=TOX21_AR_LUC_MDAKB2_Antagonist, </w:t>
      </w:r>
      <w:r w:rsidRPr="00BA6959">
        <w:rPr>
          <w:lang w:val="en-GB"/>
        </w:rPr>
        <w:lastRenderedPageBreak/>
        <w:t xml:space="preserve">TOX21_LUC_Ant2=TOX21_AR_LUC_MDAKB2_Antagonist2, TN=True Negative, </w:t>
      </w:r>
      <w:r w:rsidR="006057FD" w:rsidRPr="00BA6959">
        <w:rPr>
          <w:lang w:val="en-GB"/>
        </w:rPr>
        <w:t>TP=True Positive.</w:t>
      </w:r>
    </w:p>
    <w:p w14:paraId="16A7E53E" w14:textId="77777777" w:rsidR="00DD6DBB" w:rsidRPr="00BA6959" w:rsidRDefault="00DD6DBB" w:rsidP="000B5610">
      <w:pPr>
        <w:pStyle w:val="TFReferencesSection"/>
        <w:spacing w:after="0"/>
        <w:ind w:firstLine="0"/>
        <w:rPr>
          <w:lang w:val="en-GB"/>
        </w:rPr>
      </w:pPr>
      <w:r w:rsidRPr="00BA6959">
        <w:rPr>
          <w:lang w:val="en-GB"/>
        </w:rPr>
        <w:t>REFERENCES</w:t>
      </w:r>
    </w:p>
    <w:p w14:paraId="10ED80D7" w14:textId="7F22C9F6" w:rsidR="007E2AAC" w:rsidRPr="007E2AAC" w:rsidRDefault="00641D08" w:rsidP="007E2AAC">
      <w:pPr>
        <w:widowControl w:val="0"/>
        <w:autoSpaceDE w:val="0"/>
        <w:autoSpaceDN w:val="0"/>
        <w:adjustRightInd w:val="0"/>
        <w:spacing w:after="0"/>
        <w:ind w:left="640" w:hanging="640"/>
        <w:rPr>
          <w:rFonts w:cs="Times"/>
          <w:noProof/>
          <w:szCs w:val="24"/>
        </w:rPr>
      </w:pPr>
      <w:r>
        <w:rPr>
          <w:lang w:val="en-GB"/>
        </w:rPr>
        <w:fldChar w:fldCharType="begin" w:fldLock="1"/>
      </w:r>
      <w:r>
        <w:rPr>
          <w:lang w:val="en-GB"/>
        </w:rPr>
        <w:instrText xml:space="preserve">ADDIN Mendeley Bibliography CSL_BIBLIOGRAPHY </w:instrText>
      </w:r>
      <w:r>
        <w:rPr>
          <w:lang w:val="en-GB"/>
        </w:rPr>
        <w:fldChar w:fldCharType="separate"/>
      </w:r>
      <w:r w:rsidR="007E2AAC" w:rsidRPr="007E2AAC">
        <w:rPr>
          <w:rFonts w:cs="Times"/>
          <w:noProof/>
          <w:szCs w:val="24"/>
        </w:rPr>
        <w:t xml:space="preserve">(1) </w:t>
      </w:r>
      <w:r w:rsidR="007E2AAC" w:rsidRPr="007E2AAC">
        <w:rPr>
          <w:rFonts w:cs="Times"/>
          <w:noProof/>
          <w:szCs w:val="24"/>
        </w:rPr>
        <w:tab/>
        <w:t xml:space="preserve">Ankley, G. T.; Bennett, R. S.; Erickson, R. J.; Hoff, D. J.; Hornung, M. W.; Johnson, R. D.; Mount, D. R.; Nichols, J. W.; Russom, C. L.; Schmieder, P. K.; </w:t>
      </w:r>
      <w:r w:rsidR="008466BC">
        <w:rPr>
          <w:rFonts w:cs="Times"/>
          <w:noProof/>
          <w:szCs w:val="24"/>
        </w:rPr>
        <w:t>Serrano, J. A.; Tietge, J. E.; Villeneuve, D. L.</w:t>
      </w:r>
      <w:r w:rsidR="007E2AAC" w:rsidRPr="007E2AAC">
        <w:rPr>
          <w:rFonts w:cs="Times"/>
          <w:noProof/>
          <w:szCs w:val="24"/>
        </w:rPr>
        <w:t xml:space="preserve"> Adverse Outcome Pathways: A Conceptual Framework to Support Ecotoxicology Research and Risk Assessment. </w:t>
      </w:r>
      <w:r w:rsidR="007E2AAC" w:rsidRPr="007E2AAC">
        <w:rPr>
          <w:rFonts w:cs="Times"/>
          <w:i/>
          <w:iCs/>
          <w:noProof/>
          <w:szCs w:val="24"/>
        </w:rPr>
        <w:t>Environ. Toxicol. Chem.</w:t>
      </w:r>
      <w:r w:rsidR="007E2AAC" w:rsidRPr="007E2AAC">
        <w:rPr>
          <w:rFonts w:cs="Times"/>
          <w:noProof/>
          <w:szCs w:val="24"/>
        </w:rPr>
        <w:t xml:space="preserve"> </w:t>
      </w:r>
      <w:r w:rsidR="007E2AAC" w:rsidRPr="007E2AAC">
        <w:rPr>
          <w:rFonts w:cs="Times"/>
          <w:b/>
          <w:bCs/>
          <w:noProof/>
          <w:szCs w:val="24"/>
        </w:rPr>
        <w:t>2010</w:t>
      </w:r>
      <w:r w:rsidR="007E2AAC" w:rsidRPr="007E2AAC">
        <w:rPr>
          <w:rFonts w:cs="Times"/>
          <w:noProof/>
          <w:szCs w:val="24"/>
        </w:rPr>
        <w:t xml:space="preserve">, </w:t>
      </w:r>
      <w:r w:rsidR="007E2AAC" w:rsidRPr="007E2AAC">
        <w:rPr>
          <w:rFonts w:cs="Times"/>
          <w:i/>
          <w:iCs/>
          <w:noProof/>
          <w:szCs w:val="24"/>
        </w:rPr>
        <w:t>29</w:t>
      </w:r>
      <w:r w:rsidR="007E2AAC" w:rsidRPr="007E2AAC">
        <w:rPr>
          <w:rFonts w:cs="Times"/>
          <w:noProof/>
          <w:szCs w:val="24"/>
        </w:rPr>
        <w:t xml:space="preserve"> (3), 730–741. https://doi.org/10.1002/etc.34.</w:t>
      </w:r>
    </w:p>
    <w:p w14:paraId="02747759" w14:textId="77777777" w:rsidR="007E2AAC" w:rsidRPr="007E2AAC" w:rsidRDefault="007E2AAC" w:rsidP="007E2AAC">
      <w:pPr>
        <w:widowControl w:val="0"/>
        <w:autoSpaceDE w:val="0"/>
        <w:autoSpaceDN w:val="0"/>
        <w:adjustRightInd w:val="0"/>
        <w:spacing w:after="0"/>
        <w:ind w:left="640" w:hanging="640"/>
        <w:rPr>
          <w:rFonts w:cs="Times"/>
          <w:noProof/>
          <w:szCs w:val="24"/>
        </w:rPr>
      </w:pPr>
      <w:r w:rsidRPr="007E2AAC">
        <w:rPr>
          <w:rFonts w:cs="Times"/>
          <w:noProof/>
          <w:szCs w:val="24"/>
        </w:rPr>
        <w:t xml:space="preserve">(2) </w:t>
      </w:r>
      <w:r w:rsidRPr="007E2AAC">
        <w:rPr>
          <w:rFonts w:cs="Times"/>
          <w:noProof/>
          <w:szCs w:val="24"/>
        </w:rPr>
        <w:tab/>
        <w:t xml:space="preserve">Villeneuve, D. L.; Garcia-Reyero, N. Vision &amp; Strategy: Predictive Ecotoxicology in the 21st Century. </w:t>
      </w:r>
      <w:r w:rsidRPr="007E2AAC">
        <w:rPr>
          <w:rFonts w:cs="Times"/>
          <w:i/>
          <w:iCs/>
          <w:noProof/>
          <w:szCs w:val="24"/>
        </w:rPr>
        <w:t>Environ. Toxicol. Chem.</w:t>
      </w:r>
      <w:r w:rsidRPr="007E2AAC">
        <w:rPr>
          <w:rFonts w:cs="Times"/>
          <w:noProof/>
          <w:szCs w:val="24"/>
        </w:rPr>
        <w:t xml:space="preserve"> </w:t>
      </w:r>
      <w:r w:rsidRPr="007E2AAC">
        <w:rPr>
          <w:rFonts w:cs="Times"/>
          <w:b/>
          <w:bCs/>
          <w:noProof/>
          <w:szCs w:val="24"/>
        </w:rPr>
        <w:t>2011</w:t>
      </w:r>
      <w:r w:rsidRPr="007E2AAC">
        <w:rPr>
          <w:rFonts w:cs="Times"/>
          <w:noProof/>
          <w:szCs w:val="24"/>
        </w:rPr>
        <w:t xml:space="preserve">, </w:t>
      </w:r>
      <w:r w:rsidRPr="007E2AAC">
        <w:rPr>
          <w:rFonts w:cs="Times"/>
          <w:i/>
          <w:iCs/>
          <w:noProof/>
          <w:szCs w:val="24"/>
        </w:rPr>
        <w:t>30</w:t>
      </w:r>
      <w:r w:rsidRPr="007E2AAC">
        <w:rPr>
          <w:rFonts w:cs="Times"/>
          <w:noProof/>
          <w:szCs w:val="24"/>
        </w:rPr>
        <w:t xml:space="preserve"> (1), 1–8. https://doi.org/10.1002/etc.396.</w:t>
      </w:r>
    </w:p>
    <w:p w14:paraId="4913507F" w14:textId="77777777" w:rsidR="007E2AAC" w:rsidRPr="007E2AAC" w:rsidRDefault="007E2AAC" w:rsidP="007E2AAC">
      <w:pPr>
        <w:widowControl w:val="0"/>
        <w:autoSpaceDE w:val="0"/>
        <w:autoSpaceDN w:val="0"/>
        <w:adjustRightInd w:val="0"/>
        <w:spacing w:after="0"/>
        <w:ind w:left="640" w:hanging="640"/>
        <w:rPr>
          <w:rFonts w:cs="Times"/>
          <w:noProof/>
          <w:szCs w:val="24"/>
        </w:rPr>
      </w:pPr>
      <w:r w:rsidRPr="007E2AAC">
        <w:rPr>
          <w:rFonts w:cs="Times"/>
          <w:noProof/>
          <w:szCs w:val="24"/>
        </w:rPr>
        <w:t xml:space="preserve">(3) </w:t>
      </w:r>
      <w:r w:rsidRPr="007E2AAC">
        <w:rPr>
          <w:rFonts w:cs="Times"/>
          <w:noProof/>
          <w:szCs w:val="24"/>
        </w:rPr>
        <w:tab/>
        <w:t xml:space="preserve">Allen, T. E. H.; Goodman, J. M.; Gutsell, S.; Russell, P. J. Defining Molecular Initiating Events in the Adverse Outcome Pathway Framework for Risk Assessment. </w:t>
      </w:r>
      <w:r w:rsidRPr="007E2AAC">
        <w:rPr>
          <w:rFonts w:cs="Times"/>
          <w:i/>
          <w:iCs/>
          <w:noProof/>
          <w:szCs w:val="24"/>
        </w:rPr>
        <w:t>Chem. Res. Toxicol.</w:t>
      </w:r>
      <w:r w:rsidRPr="007E2AAC">
        <w:rPr>
          <w:rFonts w:cs="Times"/>
          <w:noProof/>
          <w:szCs w:val="24"/>
        </w:rPr>
        <w:t xml:space="preserve"> </w:t>
      </w:r>
      <w:r w:rsidRPr="007E2AAC">
        <w:rPr>
          <w:rFonts w:cs="Times"/>
          <w:b/>
          <w:bCs/>
          <w:noProof/>
          <w:szCs w:val="24"/>
        </w:rPr>
        <w:t>2014</w:t>
      </w:r>
      <w:r w:rsidRPr="007E2AAC">
        <w:rPr>
          <w:rFonts w:cs="Times"/>
          <w:noProof/>
          <w:szCs w:val="24"/>
        </w:rPr>
        <w:t xml:space="preserve">, </w:t>
      </w:r>
      <w:r w:rsidRPr="007E2AAC">
        <w:rPr>
          <w:rFonts w:cs="Times"/>
          <w:i/>
          <w:iCs/>
          <w:noProof/>
          <w:szCs w:val="24"/>
        </w:rPr>
        <w:t>27</w:t>
      </w:r>
      <w:r w:rsidRPr="007E2AAC">
        <w:rPr>
          <w:rFonts w:cs="Times"/>
          <w:noProof/>
          <w:szCs w:val="24"/>
        </w:rPr>
        <w:t>, 2100–2112.</w:t>
      </w:r>
    </w:p>
    <w:p w14:paraId="0503F6B4" w14:textId="77777777" w:rsidR="007E2AAC" w:rsidRPr="007E2AAC" w:rsidRDefault="007E2AAC" w:rsidP="007E2AAC">
      <w:pPr>
        <w:widowControl w:val="0"/>
        <w:autoSpaceDE w:val="0"/>
        <w:autoSpaceDN w:val="0"/>
        <w:adjustRightInd w:val="0"/>
        <w:spacing w:after="0"/>
        <w:ind w:left="640" w:hanging="640"/>
        <w:rPr>
          <w:rFonts w:cs="Times"/>
          <w:noProof/>
          <w:szCs w:val="24"/>
        </w:rPr>
      </w:pPr>
      <w:r w:rsidRPr="007E2AAC">
        <w:rPr>
          <w:rFonts w:cs="Times"/>
          <w:noProof/>
          <w:szCs w:val="24"/>
        </w:rPr>
        <w:t xml:space="preserve">(4) </w:t>
      </w:r>
      <w:r w:rsidRPr="007E2AAC">
        <w:rPr>
          <w:rFonts w:cs="Times"/>
          <w:noProof/>
          <w:szCs w:val="24"/>
        </w:rPr>
        <w:tab/>
        <w:t xml:space="preserve">Allen, T. E. H.; Goodman, J. M.; Gutsell, S.; Russell, P. J. A History of the Molecular Initiating Event. </w:t>
      </w:r>
      <w:r w:rsidRPr="007E2AAC">
        <w:rPr>
          <w:rFonts w:cs="Times"/>
          <w:i/>
          <w:iCs/>
          <w:noProof/>
          <w:szCs w:val="24"/>
        </w:rPr>
        <w:t>Chem. Res. Toxicol.</w:t>
      </w:r>
      <w:r w:rsidRPr="007E2AAC">
        <w:rPr>
          <w:rFonts w:cs="Times"/>
          <w:noProof/>
          <w:szCs w:val="24"/>
        </w:rPr>
        <w:t xml:space="preserve"> </w:t>
      </w:r>
      <w:r w:rsidRPr="007E2AAC">
        <w:rPr>
          <w:rFonts w:cs="Times"/>
          <w:b/>
          <w:bCs/>
          <w:noProof/>
          <w:szCs w:val="24"/>
        </w:rPr>
        <w:t>2016</w:t>
      </w:r>
      <w:r w:rsidRPr="007E2AAC">
        <w:rPr>
          <w:rFonts w:cs="Times"/>
          <w:noProof/>
          <w:szCs w:val="24"/>
        </w:rPr>
        <w:t xml:space="preserve">, </w:t>
      </w:r>
      <w:r w:rsidRPr="007E2AAC">
        <w:rPr>
          <w:rFonts w:cs="Times"/>
          <w:i/>
          <w:iCs/>
          <w:noProof/>
          <w:szCs w:val="24"/>
        </w:rPr>
        <w:t>29</w:t>
      </w:r>
      <w:r w:rsidRPr="007E2AAC">
        <w:rPr>
          <w:rFonts w:cs="Times"/>
          <w:noProof/>
          <w:szCs w:val="24"/>
        </w:rPr>
        <w:t xml:space="preserve"> (12), 2060–2070. https://doi.org/10.1021/acs.chemrestox.6b00341.</w:t>
      </w:r>
    </w:p>
    <w:p w14:paraId="041C045A" w14:textId="74AADA2D" w:rsidR="007E2AAC" w:rsidRPr="007E2AAC" w:rsidRDefault="007E2AAC" w:rsidP="007E2AAC">
      <w:pPr>
        <w:widowControl w:val="0"/>
        <w:autoSpaceDE w:val="0"/>
        <w:autoSpaceDN w:val="0"/>
        <w:adjustRightInd w:val="0"/>
        <w:spacing w:after="0"/>
        <w:ind w:left="640" w:hanging="640"/>
        <w:rPr>
          <w:rFonts w:cs="Times"/>
          <w:noProof/>
          <w:szCs w:val="24"/>
        </w:rPr>
      </w:pPr>
      <w:r w:rsidRPr="007E2AAC">
        <w:rPr>
          <w:rFonts w:cs="Times"/>
          <w:noProof/>
          <w:szCs w:val="24"/>
        </w:rPr>
        <w:t xml:space="preserve">(5) </w:t>
      </w:r>
      <w:r w:rsidRPr="007E2AAC">
        <w:rPr>
          <w:rFonts w:cs="Times"/>
          <w:noProof/>
          <w:szCs w:val="24"/>
        </w:rPr>
        <w:tab/>
        <w:t xml:space="preserve">Leist, M.; Hasiwa, N.; Rovida, C.; Daneshian, M.; Basketter, D.; Kimber, I.; Clewell, H.; Gocht, T.; Goldberg, A.; Busquet, F.; </w:t>
      </w:r>
      <w:r w:rsidR="008466BC">
        <w:rPr>
          <w:rFonts w:cs="Times"/>
          <w:noProof/>
          <w:szCs w:val="24"/>
        </w:rPr>
        <w:t>Rossi, A. M.; Schwarz, M.; Stephens, M.; Taalman, R.; Knudsen, T. B.; McKim, J.; Harris, G.; Pamies, D.; Hartung, T</w:t>
      </w:r>
      <w:r w:rsidRPr="007E2AAC">
        <w:rPr>
          <w:rFonts w:cs="Times"/>
          <w:noProof/>
          <w:szCs w:val="24"/>
        </w:rPr>
        <w:t xml:space="preserve">. Consensus Report on the Future of Animal-Free Systemic Toxicity Testing. </w:t>
      </w:r>
      <w:r w:rsidRPr="007E2AAC">
        <w:rPr>
          <w:rFonts w:cs="Times"/>
          <w:i/>
          <w:iCs/>
          <w:noProof/>
          <w:szCs w:val="24"/>
        </w:rPr>
        <w:t>ALTEX</w:t>
      </w:r>
      <w:r w:rsidRPr="007E2AAC">
        <w:rPr>
          <w:rFonts w:cs="Times"/>
          <w:noProof/>
          <w:szCs w:val="24"/>
        </w:rPr>
        <w:t xml:space="preserve"> </w:t>
      </w:r>
      <w:r w:rsidRPr="007E2AAC">
        <w:rPr>
          <w:rFonts w:cs="Times"/>
          <w:b/>
          <w:bCs/>
          <w:noProof/>
          <w:szCs w:val="24"/>
        </w:rPr>
        <w:t>2014</w:t>
      </w:r>
      <w:r w:rsidRPr="007E2AAC">
        <w:rPr>
          <w:rFonts w:cs="Times"/>
          <w:noProof/>
          <w:szCs w:val="24"/>
        </w:rPr>
        <w:t xml:space="preserve">, </w:t>
      </w:r>
      <w:r w:rsidRPr="007E2AAC">
        <w:rPr>
          <w:rFonts w:cs="Times"/>
          <w:i/>
          <w:iCs/>
          <w:noProof/>
          <w:szCs w:val="24"/>
        </w:rPr>
        <w:t>31</w:t>
      </w:r>
      <w:r w:rsidRPr="007E2AAC">
        <w:rPr>
          <w:rFonts w:cs="Times"/>
          <w:noProof/>
          <w:szCs w:val="24"/>
        </w:rPr>
        <w:t xml:space="preserve"> (3), 341–356. https://doi.org/10.14573/altex.1406091.</w:t>
      </w:r>
    </w:p>
    <w:p w14:paraId="41DFA392" w14:textId="77777777" w:rsidR="007E2AAC" w:rsidRPr="007E2AAC" w:rsidRDefault="007E2AAC" w:rsidP="007E2AAC">
      <w:pPr>
        <w:widowControl w:val="0"/>
        <w:autoSpaceDE w:val="0"/>
        <w:autoSpaceDN w:val="0"/>
        <w:adjustRightInd w:val="0"/>
        <w:spacing w:after="0"/>
        <w:ind w:left="640" w:hanging="640"/>
        <w:rPr>
          <w:rFonts w:cs="Times"/>
          <w:noProof/>
          <w:szCs w:val="24"/>
        </w:rPr>
      </w:pPr>
      <w:r w:rsidRPr="007E2AAC">
        <w:rPr>
          <w:rFonts w:cs="Times"/>
          <w:noProof/>
          <w:szCs w:val="24"/>
        </w:rPr>
        <w:t xml:space="preserve">(6) </w:t>
      </w:r>
      <w:r w:rsidRPr="007E2AAC">
        <w:rPr>
          <w:rFonts w:cs="Times"/>
          <w:noProof/>
          <w:szCs w:val="24"/>
        </w:rPr>
        <w:tab/>
        <w:t xml:space="preserve">Tsakovska, I.; Al Sharif, M.; Alov, P.; Diukendjieva, A.; Fioravanzo, E.; Cronin, M. T. D.; Pajeva, I. Molecular Modelling Study of the PPARγ Receptor in Relation to the Mode of Action/Adverse Outcome Pathway Framework for Liver Steatosis. </w:t>
      </w:r>
      <w:r w:rsidRPr="007E2AAC">
        <w:rPr>
          <w:rFonts w:cs="Times"/>
          <w:i/>
          <w:iCs/>
          <w:noProof/>
          <w:szCs w:val="24"/>
        </w:rPr>
        <w:t>Int. J. Mol. Sci.</w:t>
      </w:r>
      <w:r w:rsidRPr="007E2AAC">
        <w:rPr>
          <w:rFonts w:cs="Times"/>
          <w:noProof/>
          <w:szCs w:val="24"/>
        </w:rPr>
        <w:t xml:space="preserve"> </w:t>
      </w:r>
      <w:r w:rsidRPr="007E2AAC">
        <w:rPr>
          <w:rFonts w:cs="Times"/>
          <w:b/>
          <w:bCs/>
          <w:noProof/>
          <w:szCs w:val="24"/>
        </w:rPr>
        <w:t>2014</w:t>
      </w:r>
      <w:r w:rsidRPr="007E2AAC">
        <w:rPr>
          <w:rFonts w:cs="Times"/>
          <w:noProof/>
          <w:szCs w:val="24"/>
        </w:rPr>
        <w:t xml:space="preserve">, </w:t>
      </w:r>
      <w:r w:rsidRPr="007E2AAC">
        <w:rPr>
          <w:rFonts w:cs="Times"/>
          <w:i/>
          <w:iCs/>
          <w:noProof/>
          <w:szCs w:val="24"/>
        </w:rPr>
        <w:t>15</w:t>
      </w:r>
      <w:r w:rsidRPr="007E2AAC">
        <w:rPr>
          <w:rFonts w:cs="Times"/>
          <w:noProof/>
          <w:szCs w:val="24"/>
        </w:rPr>
        <w:t xml:space="preserve"> (5), 7651–7666. https://doi.org/10.3390/ijms15057651.</w:t>
      </w:r>
    </w:p>
    <w:p w14:paraId="3B92FEB1" w14:textId="77777777" w:rsidR="007E2AAC" w:rsidRPr="007E2AAC" w:rsidRDefault="007E2AAC" w:rsidP="007E2AAC">
      <w:pPr>
        <w:widowControl w:val="0"/>
        <w:autoSpaceDE w:val="0"/>
        <w:autoSpaceDN w:val="0"/>
        <w:adjustRightInd w:val="0"/>
        <w:spacing w:after="0"/>
        <w:ind w:left="640" w:hanging="640"/>
        <w:rPr>
          <w:rFonts w:cs="Times"/>
          <w:noProof/>
          <w:szCs w:val="24"/>
        </w:rPr>
      </w:pPr>
      <w:r w:rsidRPr="007E2AAC">
        <w:rPr>
          <w:rFonts w:cs="Times"/>
          <w:noProof/>
          <w:szCs w:val="24"/>
        </w:rPr>
        <w:t xml:space="preserve">(7) </w:t>
      </w:r>
      <w:r w:rsidRPr="007E2AAC">
        <w:rPr>
          <w:rFonts w:cs="Times"/>
          <w:noProof/>
          <w:szCs w:val="24"/>
        </w:rPr>
        <w:tab/>
        <w:t xml:space="preserve">Enoch, S. J.; Cronin, M. T. D.; Ellison, C. M. The Use of a Chemistry-Based Profiler for Covalent DNA Binding in the Development of Chemical Categories for Read-across for Genotoxicity. </w:t>
      </w:r>
      <w:r w:rsidRPr="007E2AAC">
        <w:rPr>
          <w:rFonts w:cs="Times"/>
          <w:i/>
          <w:iCs/>
          <w:noProof/>
          <w:szCs w:val="24"/>
        </w:rPr>
        <w:t>ATLA</w:t>
      </w:r>
      <w:r w:rsidRPr="007E2AAC">
        <w:rPr>
          <w:rFonts w:cs="Times"/>
          <w:noProof/>
          <w:szCs w:val="24"/>
        </w:rPr>
        <w:t xml:space="preserve"> </w:t>
      </w:r>
      <w:r w:rsidRPr="007E2AAC">
        <w:rPr>
          <w:rFonts w:cs="Times"/>
          <w:b/>
          <w:bCs/>
          <w:noProof/>
          <w:szCs w:val="24"/>
        </w:rPr>
        <w:t>2011</w:t>
      </w:r>
      <w:r w:rsidRPr="007E2AAC">
        <w:rPr>
          <w:rFonts w:cs="Times"/>
          <w:noProof/>
          <w:szCs w:val="24"/>
        </w:rPr>
        <w:t xml:space="preserve">, </w:t>
      </w:r>
      <w:r w:rsidRPr="007E2AAC">
        <w:rPr>
          <w:rFonts w:cs="Times"/>
          <w:i/>
          <w:iCs/>
          <w:noProof/>
          <w:szCs w:val="24"/>
        </w:rPr>
        <w:t>39</w:t>
      </w:r>
      <w:r w:rsidRPr="007E2AAC">
        <w:rPr>
          <w:rFonts w:cs="Times"/>
          <w:noProof/>
          <w:szCs w:val="24"/>
        </w:rPr>
        <w:t xml:space="preserve"> (2), 131–145.</w:t>
      </w:r>
    </w:p>
    <w:p w14:paraId="1141A04C" w14:textId="77777777" w:rsidR="007E2AAC" w:rsidRPr="007E2AAC" w:rsidRDefault="007E2AAC" w:rsidP="007E2AAC">
      <w:pPr>
        <w:widowControl w:val="0"/>
        <w:autoSpaceDE w:val="0"/>
        <w:autoSpaceDN w:val="0"/>
        <w:adjustRightInd w:val="0"/>
        <w:spacing w:after="0"/>
        <w:ind w:left="640" w:hanging="640"/>
        <w:rPr>
          <w:rFonts w:cs="Times"/>
          <w:noProof/>
          <w:szCs w:val="24"/>
        </w:rPr>
      </w:pPr>
      <w:r w:rsidRPr="007E2AAC">
        <w:rPr>
          <w:rFonts w:cs="Times"/>
          <w:noProof/>
          <w:szCs w:val="24"/>
        </w:rPr>
        <w:t xml:space="preserve">(8) </w:t>
      </w:r>
      <w:r w:rsidRPr="007E2AAC">
        <w:rPr>
          <w:rFonts w:cs="Times"/>
          <w:noProof/>
          <w:szCs w:val="24"/>
        </w:rPr>
        <w:tab/>
        <w:t xml:space="preserve">Allen, T. E. H.; Liggi, S.; Goodman, J. M.; Gutsell, S.; Russell, P. J. Using Molecular Initiating Events to Generate 2D Structure Activity Relationships for Toxicity Screening. </w:t>
      </w:r>
      <w:r w:rsidRPr="007E2AAC">
        <w:rPr>
          <w:rFonts w:cs="Times"/>
          <w:i/>
          <w:iCs/>
          <w:noProof/>
          <w:szCs w:val="24"/>
        </w:rPr>
        <w:t>Chem. Res. Toxicol.</w:t>
      </w:r>
      <w:r w:rsidRPr="007E2AAC">
        <w:rPr>
          <w:rFonts w:cs="Times"/>
          <w:noProof/>
          <w:szCs w:val="24"/>
        </w:rPr>
        <w:t xml:space="preserve"> </w:t>
      </w:r>
      <w:r w:rsidRPr="007E2AAC">
        <w:rPr>
          <w:rFonts w:cs="Times"/>
          <w:b/>
          <w:bCs/>
          <w:noProof/>
          <w:szCs w:val="24"/>
        </w:rPr>
        <w:t>2016</w:t>
      </w:r>
      <w:r w:rsidRPr="007E2AAC">
        <w:rPr>
          <w:rFonts w:cs="Times"/>
          <w:noProof/>
          <w:szCs w:val="24"/>
        </w:rPr>
        <w:t xml:space="preserve">, </w:t>
      </w:r>
      <w:r w:rsidRPr="007E2AAC">
        <w:rPr>
          <w:rFonts w:cs="Times"/>
          <w:i/>
          <w:iCs/>
          <w:noProof/>
          <w:szCs w:val="24"/>
        </w:rPr>
        <w:t>29</w:t>
      </w:r>
      <w:r w:rsidRPr="007E2AAC">
        <w:rPr>
          <w:rFonts w:cs="Times"/>
          <w:noProof/>
          <w:szCs w:val="24"/>
        </w:rPr>
        <w:t xml:space="preserve"> (10), 2060–2070. https://doi.org/10.1021/acs.chemrestox.6b00101.</w:t>
      </w:r>
    </w:p>
    <w:p w14:paraId="1DAF4ED7" w14:textId="77777777" w:rsidR="007E2AAC" w:rsidRPr="007E2AAC" w:rsidRDefault="007E2AAC" w:rsidP="007E2AAC">
      <w:pPr>
        <w:widowControl w:val="0"/>
        <w:autoSpaceDE w:val="0"/>
        <w:autoSpaceDN w:val="0"/>
        <w:adjustRightInd w:val="0"/>
        <w:spacing w:after="0"/>
        <w:ind w:left="640" w:hanging="640"/>
        <w:rPr>
          <w:rFonts w:cs="Times"/>
          <w:noProof/>
          <w:szCs w:val="24"/>
        </w:rPr>
      </w:pPr>
      <w:r w:rsidRPr="007E2AAC">
        <w:rPr>
          <w:rFonts w:cs="Times"/>
          <w:noProof/>
          <w:szCs w:val="24"/>
        </w:rPr>
        <w:t xml:space="preserve">(9) </w:t>
      </w:r>
      <w:r w:rsidRPr="007E2AAC">
        <w:rPr>
          <w:rFonts w:cs="Times"/>
          <w:noProof/>
          <w:szCs w:val="24"/>
        </w:rPr>
        <w:tab/>
        <w:t xml:space="preserve">MacKay, C.; Davies, M.; Summerfield, V.; Maxwell, G. From Pathways to People: Applying the Adverse Outcome Pathway (AOP) for Skin Sensitization to Risk Assessment. </w:t>
      </w:r>
      <w:r w:rsidRPr="007E2AAC">
        <w:rPr>
          <w:rFonts w:cs="Times"/>
          <w:i/>
          <w:iCs/>
          <w:noProof/>
          <w:szCs w:val="24"/>
        </w:rPr>
        <w:t>ALTEX</w:t>
      </w:r>
      <w:r w:rsidRPr="007E2AAC">
        <w:rPr>
          <w:rFonts w:cs="Times"/>
          <w:noProof/>
          <w:szCs w:val="24"/>
        </w:rPr>
        <w:t xml:space="preserve"> </w:t>
      </w:r>
      <w:r w:rsidRPr="007E2AAC">
        <w:rPr>
          <w:rFonts w:cs="Times"/>
          <w:b/>
          <w:bCs/>
          <w:noProof/>
          <w:szCs w:val="24"/>
        </w:rPr>
        <w:t>2013</w:t>
      </w:r>
      <w:r w:rsidRPr="007E2AAC">
        <w:rPr>
          <w:rFonts w:cs="Times"/>
          <w:noProof/>
          <w:szCs w:val="24"/>
        </w:rPr>
        <w:t xml:space="preserve">, </w:t>
      </w:r>
      <w:r w:rsidRPr="007E2AAC">
        <w:rPr>
          <w:rFonts w:cs="Times"/>
          <w:i/>
          <w:iCs/>
          <w:noProof/>
          <w:szCs w:val="24"/>
        </w:rPr>
        <w:t>30</w:t>
      </w:r>
      <w:r w:rsidRPr="007E2AAC">
        <w:rPr>
          <w:rFonts w:cs="Times"/>
          <w:noProof/>
          <w:szCs w:val="24"/>
        </w:rPr>
        <w:t xml:space="preserve"> (4), 473–486. https://doi.org/10.14573/altex.2013.4.473.</w:t>
      </w:r>
    </w:p>
    <w:p w14:paraId="69704FAA" w14:textId="77777777" w:rsidR="007E2AAC" w:rsidRPr="007E2AAC" w:rsidRDefault="007E2AAC" w:rsidP="007E2AAC">
      <w:pPr>
        <w:widowControl w:val="0"/>
        <w:autoSpaceDE w:val="0"/>
        <w:autoSpaceDN w:val="0"/>
        <w:adjustRightInd w:val="0"/>
        <w:spacing w:after="0"/>
        <w:ind w:left="640" w:hanging="640"/>
        <w:rPr>
          <w:rFonts w:cs="Times"/>
          <w:noProof/>
          <w:szCs w:val="24"/>
        </w:rPr>
      </w:pPr>
      <w:r w:rsidRPr="007E2AAC">
        <w:rPr>
          <w:rFonts w:cs="Times"/>
          <w:noProof/>
          <w:szCs w:val="24"/>
        </w:rPr>
        <w:t xml:space="preserve">(10) </w:t>
      </w:r>
      <w:r w:rsidRPr="007E2AAC">
        <w:rPr>
          <w:rFonts w:cs="Times"/>
          <w:noProof/>
          <w:szCs w:val="24"/>
        </w:rPr>
        <w:tab/>
        <w:t xml:space="preserve">Leonard, J. A.; Stevens, C.; Mansouri, K.; Chang, D.; Pudukodu, H.; Smith, S.; Tan, Y.-M. A Workflow for Identifying Metabolically Active Chemicals to Complement in Vitro Toxicity Screening. </w:t>
      </w:r>
      <w:r w:rsidRPr="007E2AAC">
        <w:rPr>
          <w:rFonts w:cs="Times"/>
          <w:i/>
          <w:iCs/>
          <w:noProof/>
          <w:szCs w:val="24"/>
        </w:rPr>
        <w:t>Comput. Toxicol.</w:t>
      </w:r>
      <w:r w:rsidRPr="007E2AAC">
        <w:rPr>
          <w:rFonts w:cs="Times"/>
          <w:noProof/>
          <w:szCs w:val="24"/>
        </w:rPr>
        <w:t xml:space="preserve"> </w:t>
      </w:r>
      <w:r w:rsidRPr="007E2AAC">
        <w:rPr>
          <w:rFonts w:cs="Times"/>
          <w:b/>
          <w:bCs/>
          <w:noProof/>
          <w:szCs w:val="24"/>
        </w:rPr>
        <w:t>2017</w:t>
      </w:r>
      <w:r w:rsidRPr="007E2AAC">
        <w:rPr>
          <w:rFonts w:cs="Times"/>
          <w:noProof/>
          <w:szCs w:val="24"/>
        </w:rPr>
        <w:t>. https://doi.org/10.1016/j.comtox.2017.10.003.</w:t>
      </w:r>
    </w:p>
    <w:p w14:paraId="14AD2A7E" w14:textId="3F68C7B3" w:rsidR="007E2AAC" w:rsidRPr="007E2AAC" w:rsidRDefault="007E2AAC" w:rsidP="007E2AAC">
      <w:pPr>
        <w:widowControl w:val="0"/>
        <w:autoSpaceDE w:val="0"/>
        <w:autoSpaceDN w:val="0"/>
        <w:adjustRightInd w:val="0"/>
        <w:spacing w:after="0"/>
        <w:ind w:left="640" w:hanging="640"/>
        <w:rPr>
          <w:rFonts w:cs="Times"/>
          <w:noProof/>
          <w:szCs w:val="24"/>
        </w:rPr>
      </w:pPr>
      <w:r w:rsidRPr="007E2AAC">
        <w:rPr>
          <w:rFonts w:cs="Times"/>
          <w:noProof/>
          <w:szCs w:val="24"/>
        </w:rPr>
        <w:t xml:space="preserve">(11) </w:t>
      </w:r>
      <w:r w:rsidRPr="007E2AAC">
        <w:rPr>
          <w:rFonts w:cs="Times"/>
          <w:noProof/>
          <w:szCs w:val="24"/>
        </w:rPr>
        <w:tab/>
        <w:t xml:space="preserve">Kreiling, R.; Gehrke, H.; Broschard, T. H.; Dreeßen, B.; Eigler, D.; Hart, D.; Höpflinger, V.; Kleber, M.; Kupny, J.; Li, Q.; </w:t>
      </w:r>
      <w:r w:rsidR="008466BC">
        <w:rPr>
          <w:rFonts w:cs="Times"/>
          <w:noProof/>
          <w:szCs w:val="24"/>
        </w:rPr>
        <w:t xml:space="preserve">Ungeheuer, P.; Sauer, </w:t>
      </w:r>
      <w:r w:rsidR="00D04EF6">
        <w:rPr>
          <w:rFonts w:cs="Times"/>
          <w:noProof/>
          <w:szCs w:val="24"/>
        </w:rPr>
        <w:t>U. G.</w:t>
      </w:r>
      <w:r w:rsidRPr="007E2AAC">
        <w:rPr>
          <w:rFonts w:cs="Times"/>
          <w:noProof/>
          <w:szCs w:val="24"/>
        </w:rPr>
        <w:t xml:space="preserve"> In Chemico, in Vitro and in Vivo Comparison of the Skin Sensitizing Potential of Eight Unsaturated and One Saturated Lipid Compounds. </w:t>
      </w:r>
      <w:r w:rsidRPr="007E2AAC">
        <w:rPr>
          <w:rFonts w:cs="Times"/>
          <w:i/>
          <w:iCs/>
          <w:noProof/>
          <w:szCs w:val="24"/>
        </w:rPr>
        <w:t>Regul. Toxicol. Pharmacol.</w:t>
      </w:r>
      <w:r w:rsidRPr="007E2AAC">
        <w:rPr>
          <w:rFonts w:cs="Times"/>
          <w:noProof/>
          <w:szCs w:val="24"/>
        </w:rPr>
        <w:t xml:space="preserve"> </w:t>
      </w:r>
      <w:r w:rsidRPr="007E2AAC">
        <w:rPr>
          <w:rFonts w:cs="Times"/>
          <w:b/>
          <w:bCs/>
          <w:noProof/>
          <w:szCs w:val="24"/>
        </w:rPr>
        <w:t>2017</w:t>
      </w:r>
      <w:r w:rsidRPr="007E2AAC">
        <w:rPr>
          <w:rFonts w:cs="Times"/>
          <w:noProof/>
          <w:szCs w:val="24"/>
        </w:rPr>
        <w:t xml:space="preserve">, </w:t>
      </w:r>
      <w:r w:rsidRPr="007E2AAC">
        <w:rPr>
          <w:rFonts w:cs="Times"/>
          <w:i/>
          <w:iCs/>
          <w:noProof/>
          <w:szCs w:val="24"/>
        </w:rPr>
        <w:t>90</w:t>
      </w:r>
      <w:r w:rsidRPr="007E2AAC">
        <w:rPr>
          <w:rFonts w:cs="Times"/>
          <w:noProof/>
          <w:szCs w:val="24"/>
        </w:rPr>
        <w:t xml:space="preserve"> (July), 262–276. https://doi.org/10.1016/j.yrtph.2017.09.023.</w:t>
      </w:r>
    </w:p>
    <w:p w14:paraId="5243CF4E" w14:textId="77777777" w:rsidR="007E2AAC" w:rsidRPr="007E2AAC" w:rsidRDefault="007E2AAC" w:rsidP="007E2AAC">
      <w:pPr>
        <w:widowControl w:val="0"/>
        <w:autoSpaceDE w:val="0"/>
        <w:autoSpaceDN w:val="0"/>
        <w:adjustRightInd w:val="0"/>
        <w:spacing w:after="0"/>
        <w:ind w:left="640" w:hanging="640"/>
        <w:rPr>
          <w:rFonts w:cs="Times"/>
          <w:noProof/>
          <w:szCs w:val="24"/>
        </w:rPr>
      </w:pPr>
      <w:r w:rsidRPr="007E2AAC">
        <w:rPr>
          <w:rFonts w:cs="Times"/>
          <w:noProof/>
          <w:szCs w:val="24"/>
        </w:rPr>
        <w:lastRenderedPageBreak/>
        <w:t xml:space="preserve">(12) </w:t>
      </w:r>
      <w:r w:rsidRPr="007E2AAC">
        <w:rPr>
          <w:rFonts w:cs="Times"/>
          <w:noProof/>
          <w:szCs w:val="24"/>
        </w:rPr>
        <w:tab/>
        <w:t>ToxCast database https://www.epa.gov/chemical-research/toxicity-forecasting.</w:t>
      </w:r>
    </w:p>
    <w:p w14:paraId="0E74D1A2" w14:textId="31C1EB81" w:rsidR="007E2AAC" w:rsidRPr="007E2AAC" w:rsidRDefault="007E2AAC" w:rsidP="007E2AAC">
      <w:pPr>
        <w:widowControl w:val="0"/>
        <w:autoSpaceDE w:val="0"/>
        <w:autoSpaceDN w:val="0"/>
        <w:adjustRightInd w:val="0"/>
        <w:spacing w:after="0"/>
        <w:ind w:left="640" w:hanging="640"/>
        <w:rPr>
          <w:rFonts w:cs="Times"/>
          <w:noProof/>
          <w:szCs w:val="24"/>
        </w:rPr>
      </w:pPr>
      <w:r w:rsidRPr="007E2AAC">
        <w:rPr>
          <w:rFonts w:cs="Times"/>
          <w:noProof/>
          <w:szCs w:val="24"/>
        </w:rPr>
        <w:t xml:space="preserve">(13) </w:t>
      </w:r>
      <w:r w:rsidRPr="007E2AAC">
        <w:rPr>
          <w:rFonts w:cs="Times"/>
          <w:noProof/>
          <w:szCs w:val="24"/>
        </w:rPr>
        <w:tab/>
        <w:t xml:space="preserve">Richard, A. M.; Judson, R. S.; Houck, K. A.; Grulke, C. M.; Volarath, P.; Thillainadarajah, I.; Yang, C.; Rathman, J.; Martin, M. T.; Wambaugh, J. F.; </w:t>
      </w:r>
      <w:r w:rsidR="00D04EF6">
        <w:rPr>
          <w:rFonts w:cs="Times"/>
          <w:noProof/>
          <w:szCs w:val="24"/>
        </w:rPr>
        <w:t>Knudsen, T. B.; Kancherla, J.; Mansouri, K.; Patlewicz, G.; Williams, A. J.; Little, S. B.; Crofton, K. M.; Thomas, R. S</w:t>
      </w:r>
      <w:r w:rsidRPr="007E2AAC">
        <w:rPr>
          <w:rFonts w:cs="Times"/>
          <w:noProof/>
          <w:szCs w:val="24"/>
        </w:rPr>
        <w:t xml:space="preserve">. ToxCast Chemical Landscape: Paving the Road to 21st Century Toxicology. </w:t>
      </w:r>
      <w:r w:rsidRPr="007E2AAC">
        <w:rPr>
          <w:rFonts w:cs="Times"/>
          <w:i/>
          <w:iCs/>
          <w:noProof/>
          <w:szCs w:val="24"/>
        </w:rPr>
        <w:t>Chem. Res. Toxicol.</w:t>
      </w:r>
      <w:r w:rsidRPr="007E2AAC">
        <w:rPr>
          <w:rFonts w:cs="Times"/>
          <w:noProof/>
          <w:szCs w:val="24"/>
        </w:rPr>
        <w:t xml:space="preserve"> </w:t>
      </w:r>
      <w:r w:rsidRPr="007E2AAC">
        <w:rPr>
          <w:rFonts w:cs="Times"/>
          <w:b/>
          <w:bCs/>
          <w:noProof/>
          <w:szCs w:val="24"/>
        </w:rPr>
        <w:t>2016</w:t>
      </w:r>
      <w:r w:rsidRPr="007E2AAC">
        <w:rPr>
          <w:rFonts w:cs="Times"/>
          <w:noProof/>
          <w:szCs w:val="24"/>
        </w:rPr>
        <w:t xml:space="preserve">, </w:t>
      </w:r>
      <w:r w:rsidRPr="007E2AAC">
        <w:rPr>
          <w:rFonts w:cs="Times"/>
          <w:i/>
          <w:iCs/>
          <w:noProof/>
          <w:szCs w:val="24"/>
        </w:rPr>
        <w:t>29</w:t>
      </w:r>
      <w:r w:rsidRPr="007E2AAC">
        <w:rPr>
          <w:rFonts w:cs="Times"/>
          <w:noProof/>
          <w:szCs w:val="24"/>
        </w:rPr>
        <w:t xml:space="preserve"> (8), 1225–1251. https://doi.org/10.1021/acs.chemrestox.6b00135.</w:t>
      </w:r>
    </w:p>
    <w:p w14:paraId="329AF5B7" w14:textId="4C5ED038" w:rsidR="007E2AAC" w:rsidRPr="007E2AAC" w:rsidRDefault="007E2AAC" w:rsidP="007E2AAC">
      <w:pPr>
        <w:widowControl w:val="0"/>
        <w:autoSpaceDE w:val="0"/>
        <w:autoSpaceDN w:val="0"/>
        <w:adjustRightInd w:val="0"/>
        <w:spacing w:after="0"/>
        <w:ind w:left="640" w:hanging="640"/>
        <w:rPr>
          <w:rFonts w:cs="Times"/>
          <w:noProof/>
          <w:szCs w:val="24"/>
        </w:rPr>
      </w:pPr>
      <w:r w:rsidRPr="007E2AAC">
        <w:rPr>
          <w:rFonts w:cs="Times"/>
          <w:noProof/>
          <w:szCs w:val="24"/>
        </w:rPr>
        <w:t xml:space="preserve">(14) </w:t>
      </w:r>
      <w:r w:rsidRPr="007E2AAC">
        <w:rPr>
          <w:rFonts w:cs="Times"/>
          <w:noProof/>
          <w:szCs w:val="24"/>
        </w:rPr>
        <w:tab/>
        <w:t xml:space="preserve">Judson, R. S.; Magpantay, F. M.; Chickarmane, V.; Haskell, C.; Tania, N.; Taylor, J.; Xia, M.; Huang, R.; Rotroff, D. M.; Filer, D. L.; </w:t>
      </w:r>
      <w:r w:rsidR="00B61E81">
        <w:rPr>
          <w:rFonts w:cs="Times"/>
          <w:noProof/>
          <w:szCs w:val="24"/>
        </w:rPr>
        <w:t>Houck, K.A.; Martin, M. T.; Sipes, N.; Richard, A. M.; Mansouri, K.; Setzer, R. W.; Knudsen, T. B.; Crofton, K. M.; Thomas, R. S.</w:t>
      </w:r>
      <w:r w:rsidRPr="007E2AAC">
        <w:rPr>
          <w:rFonts w:cs="Times"/>
          <w:noProof/>
          <w:szCs w:val="24"/>
        </w:rPr>
        <w:t xml:space="preserve"> Integrated Model of Chemical Perturbations of a Biological Pathway Using 18 in Vitro High-Throughput Screening Assays for the Estrogen Receptor. </w:t>
      </w:r>
      <w:r w:rsidRPr="007E2AAC">
        <w:rPr>
          <w:rFonts w:cs="Times"/>
          <w:i/>
          <w:iCs/>
          <w:noProof/>
          <w:szCs w:val="24"/>
        </w:rPr>
        <w:t>Toxicol. Sci.</w:t>
      </w:r>
      <w:r w:rsidRPr="007E2AAC">
        <w:rPr>
          <w:rFonts w:cs="Times"/>
          <w:noProof/>
          <w:szCs w:val="24"/>
        </w:rPr>
        <w:t xml:space="preserve"> </w:t>
      </w:r>
      <w:r w:rsidRPr="007E2AAC">
        <w:rPr>
          <w:rFonts w:cs="Times"/>
          <w:b/>
          <w:bCs/>
          <w:noProof/>
          <w:szCs w:val="24"/>
        </w:rPr>
        <w:t>2015</w:t>
      </w:r>
      <w:r w:rsidRPr="007E2AAC">
        <w:rPr>
          <w:rFonts w:cs="Times"/>
          <w:noProof/>
          <w:szCs w:val="24"/>
        </w:rPr>
        <w:t xml:space="preserve">, </w:t>
      </w:r>
      <w:r w:rsidRPr="007E2AAC">
        <w:rPr>
          <w:rFonts w:cs="Times"/>
          <w:i/>
          <w:iCs/>
          <w:noProof/>
          <w:szCs w:val="24"/>
        </w:rPr>
        <w:t>148</w:t>
      </w:r>
      <w:r w:rsidRPr="007E2AAC">
        <w:rPr>
          <w:rFonts w:cs="Times"/>
          <w:noProof/>
          <w:szCs w:val="24"/>
        </w:rPr>
        <w:t xml:space="preserve"> (1), 137–154. https://doi.org/10.1093/toxsci/kfv168.</w:t>
      </w:r>
    </w:p>
    <w:p w14:paraId="7DD13A5A" w14:textId="6C66D17A" w:rsidR="007E2AAC" w:rsidRPr="007E2AAC" w:rsidRDefault="007E2AAC" w:rsidP="007E2AAC">
      <w:pPr>
        <w:widowControl w:val="0"/>
        <w:autoSpaceDE w:val="0"/>
        <w:autoSpaceDN w:val="0"/>
        <w:adjustRightInd w:val="0"/>
        <w:spacing w:after="0"/>
        <w:ind w:left="640" w:hanging="640"/>
        <w:rPr>
          <w:rFonts w:cs="Times"/>
          <w:noProof/>
          <w:szCs w:val="24"/>
        </w:rPr>
      </w:pPr>
      <w:r w:rsidRPr="007E2AAC">
        <w:rPr>
          <w:rFonts w:cs="Times"/>
          <w:noProof/>
          <w:szCs w:val="24"/>
        </w:rPr>
        <w:t xml:space="preserve">(15) </w:t>
      </w:r>
      <w:r w:rsidRPr="007E2AAC">
        <w:rPr>
          <w:rFonts w:cs="Times"/>
          <w:noProof/>
          <w:szCs w:val="24"/>
        </w:rPr>
        <w:tab/>
        <w:t xml:space="preserve">Mansouri, K.; Abdelaziz, A.; Rybacka, A.; Roncaglioni, A.; Tropsha, A.; Varnek, A.; Zakharov, A.; Worth, A.; Richard, A. M.; Grulke, C. M.; </w:t>
      </w:r>
      <w:r w:rsidR="00B61E81">
        <w:rPr>
          <w:rFonts w:cs="Times"/>
          <w:noProof/>
          <w:szCs w:val="24"/>
        </w:rPr>
        <w:t xml:space="preserve">Trisciuzzi, D.; Fourches, D.; Horvath, D.; Benfenati, E.; Muratov, E.; Wedebye, E. B.; Grisoni, F.; Mangiatordi, G. F.; Incisivo, G. M.; </w:t>
      </w:r>
      <w:r w:rsidR="00CE6344">
        <w:rPr>
          <w:rFonts w:cs="Times"/>
          <w:noProof/>
          <w:szCs w:val="24"/>
        </w:rPr>
        <w:t>Hong, H.; Ng, H. W.; Tetko, I. V.; Balabin, I.; Kancherla, J.; Shen, J.; Burton, J.; Nicklaus, M.; Cassotti, M,; Nikolov, N. G.; Nicolotti, O.; Andersson, P. L.; Zang, Q.; Politi, R.; Beger, R. D.; Todeschini, Huang, R.; Farang, S.; Rosenberg, S. A.; Slavov, S.; Hu, X.; Judson, R. S</w:t>
      </w:r>
      <w:r w:rsidRPr="007E2AAC">
        <w:rPr>
          <w:rFonts w:cs="Times"/>
          <w:noProof/>
          <w:szCs w:val="24"/>
        </w:rPr>
        <w:t xml:space="preserve">. CERAPP: Collaborative Estrogen Receptor Activity Prediction Project. </w:t>
      </w:r>
      <w:r w:rsidRPr="007E2AAC">
        <w:rPr>
          <w:rFonts w:cs="Times"/>
          <w:i/>
          <w:iCs/>
          <w:noProof/>
          <w:szCs w:val="24"/>
        </w:rPr>
        <w:t>Environ. Health Perspect.</w:t>
      </w:r>
      <w:r w:rsidRPr="007E2AAC">
        <w:rPr>
          <w:rFonts w:cs="Times"/>
          <w:noProof/>
          <w:szCs w:val="24"/>
        </w:rPr>
        <w:t xml:space="preserve"> </w:t>
      </w:r>
      <w:r w:rsidRPr="007E2AAC">
        <w:rPr>
          <w:rFonts w:cs="Times"/>
          <w:b/>
          <w:bCs/>
          <w:noProof/>
          <w:szCs w:val="24"/>
        </w:rPr>
        <w:t>2016</w:t>
      </w:r>
      <w:r w:rsidRPr="007E2AAC">
        <w:rPr>
          <w:rFonts w:cs="Times"/>
          <w:noProof/>
          <w:szCs w:val="24"/>
        </w:rPr>
        <w:t xml:space="preserve">, </w:t>
      </w:r>
      <w:r w:rsidRPr="007E2AAC">
        <w:rPr>
          <w:rFonts w:cs="Times"/>
          <w:i/>
          <w:iCs/>
          <w:noProof/>
          <w:szCs w:val="24"/>
        </w:rPr>
        <w:t>124</w:t>
      </w:r>
      <w:r w:rsidRPr="007E2AAC">
        <w:rPr>
          <w:rFonts w:cs="Times"/>
          <w:noProof/>
          <w:szCs w:val="24"/>
        </w:rPr>
        <w:t xml:space="preserve"> (7), 1023–1033. https://doi.org/10.1289/ehp.1510267.</w:t>
      </w:r>
    </w:p>
    <w:p w14:paraId="5EB89CD5" w14:textId="77777777" w:rsidR="007E2AAC" w:rsidRPr="007E2AAC" w:rsidRDefault="007E2AAC" w:rsidP="007E2AAC">
      <w:pPr>
        <w:widowControl w:val="0"/>
        <w:autoSpaceDE w:val="0"/>
        <w:autoSpaceDN w:val="0"/>
        <w:adjustRightInd w:val="0"/>
        <w:spacing w:after="0"/>
        <w:ind w:left="640" w:hanging="640"/>
        <w:rPr>
          <w:rFonts w:cs="Times"/>
          <w:noProof/>
          <w:szCs w:val="24"/>
        </w:rPr>
      </w:pPr>
      <w:r w:rsidRPr="007E2AAC">
        <w:rPr>
          <w:rFonts w:cs="Times"/>
          <w:noProof/>
          <w:szCs w:val="24"/>
        </w:rPr>
        <w:t xml:space="preserve">(16) </w:t>
      </w:r>
      <w:r w:rsidRPr="007E2AAC">
        <w:rPr>
          <w:rFonts w:cs="Times"/>
          <w:noProof/>
          <w:szCs w:val="24"/>
        </w:rPr>
        <w:tab/>
        <w:t xml:space="preserve">Martin, M. T.; Knudsen, T. B.; Reif, D. M.; Houck, K. A.; Judson, R. S.; Kavlock, R. J.; Dix, D. J. Predictive Model of Rat Reproductive Toxicity from ToxCast High Throughput Screening. </w:t>
      </w:r>
      <w:r w:rsidRPr="007E2AAC">
        <w:rPr>
          <w:rFonts w:cs="Times"/>
          <w:i/>
          <w:iCs/>
          <w:noProof/>
          <w:szCs w:val="24"/>
        </w:rPr>
        <w:t>Biol. Reprod.</w:t>
      </w:r>
      <w:r w:rsidRPr="007E2AAC">
        <w:rPr>
          <w:rFonts w:cs="Times"/>
          <w:noProof/>
          <w:szCs w:val="24"/>
        </w:rPr>
        <w:t xml:space="preserve"> </w:t>
      </w:r>
      <w:r w:rsidRPr="007E2AAC">
        <w:rPr>
          <w:rFonts w:cs="Times"/>
          <w:b/>
          <w:bCs/>
          <w:noProof/>
          <w:szCs w:val="24"/>
        </w:rPr>
        <w:t>2011</w:t>
      </w:r>
      <w:r w:rsidRPr="007E2AAC">
        <w:rPr>
          <w:rFonts w:cs="Times"/>
          <w:noProof/>
          <w:szCs w:val="24"/>
        </w:rPr>
        <w:t xml:space="preserve">, </w:t>
      </w:r>
      <w:r w:rsidRPr="007E2AAC">
        <w:rPr>
          <w:rFonts w:cs="Times"/>
          <w:i/>
          <w:iCs/>
          <w:noProof/>
          <w:szCs w:val="24"/>
        </w:rPr>
        <w:t>85</w:t>
      </w:r>
      <w:r w:rsidRPr="007E2AAC">
        <w:rPr>
          <w:rFonts w:cs="Times"/>
          <w:noProof/>
          <w:szCs w:val="24"/>
        </w:rPr>
        <w:t xml:space="preserve"> (2), 327–339. https://doi.org/10.1095/biolreprod.111.090977.</w:t>
      </w:r>
    </w:p>
    <w:p w14:paraId="6B65873F" w14:textId="77777777" w:rsidR="007E2AAC" w:rsidRPr="007E2AAC" w:rsidRDefault="007E2AAC" w:rsidP="007E2AAC">
      <w:pPr>
        <w:widowControl w:val="0"/>
        <w:autoSpaceDE w:val="0"/>
        <w:autoSpaceDN w:val="0"/>
        <w:adjustRightInd w:val="0"/>
        <w:spacing w:after="0"/>
        <w:ind w:left="640" w:hanging="640"/>
        <w:rPr>
          <w:rFonts w:cs="Times"/>
          <w:noProof/>
          <w:szCs w:val="24"/>
        </w:rPr>
      </w:pPr>
      <w:r w:rsidRPr="007E2AAC">
        <w:rPr>
          <w:rFonts w:cs="Times"/>
          <w:noProof/>
          <w:szCs w:val="24"/>
        </w:rPr>
        <w:t xml:space="preserve">(17) </w:t>
      </w:r>
      <w:r w:rsidRPr="007E2AAC">
        <w:rPr>
          <w:rFonts w:cs="Times"/>
          <w:noProof/>
          <w:szCs w:val="24"/>
        </w:rPr>
        <w:tab/>
        <w:t xml:space="preserve">Pradeep, P.; Povinelli, R. J.; Merrill, S. J.; Bozdag, S.; Sem, D. S. Novel Uses of in Vitro Data to Develop Quantitative Biological Activity Relationship Models for in Vivo Carcinogenicity Prediction. </w:t>
      </w:r>
      <w:r w:rsidRPr="007E2AAC">
        <w:rPr>
          <w:rFonts w:cs="Times"/>
          <w:i/>
          <w:iCs/>
          <w:noProof/>
          <w:szCs w:val="24"/>
        </w:rPr>
        <w:t>Mol. Inform.</w:t>
      </w:r>
      <w:r w:rsidRPr="007E2AAC">
        <w:rPr>
          <w:rFonts w:cs="Times"/>
          <w:noProof/>
          <w:szCs w:val="24"/>
        </w:rPr>
        <w:t xml:space="preserve"> </w:t>
      </w:r>
      <w:r w:rsidRPr="007E2AAC">
        <w:rPr>
          <w:rFonts w:cs="Times"/>
          <w:b/>
          <w:bCs/>
          <w:noProof/>
          <w:szCs w:val="24"/>
        </w:rPr>
        <w:t>2015</w:t>
      </w:r>
      <w:r w:rsidRPr="007E2AAC">
        <w:rPr>
          <w:rFonts w:cs="Times"/>
          <w:noProof/>
          <w:szCs w:val="24"/>
        </w:rPr>
        <w:t xml:space="preserve">, </w:t>
      </w:r>
      <w:r w:rsidRPr="007E2AAC">
        <w:rPr>
          <w:rFonts w:cs="Times"/>
          <w:i/>
          <w:iCs/>
          <w:noProof/>
          <w:szCs w:val="24"/>
        </w:rPr>
        <w:t>34</w:t>
      </w:r>
      <w:r w:rsidRPr="007E2AAC">
        <w:rPr>
          <w:rFonts w:cs="Times"/>
          <w:noProof/>
          <w:szCs w:val="24"/>
        </w:rPr>
        <w:t xml:space="preserve"> (4), 236–245. https://doi.org/10.1002/minf.201400168.</w:t>
      </w:r>
    </w:p>
    <w:p w14:paraId="31025CFF" w14:textId="77777777" w:rsidR="007E2AAC" w:rsidRPr="007E2AAC" w:rsidRDefault="007E2AAC" w:rsidP="007E2AAC">
      <w:pPr>
        <w:widowControl w:val="0"/>
        <w:autoSpaceDE w:val="0"/>
        <w:autoSpaceDN w:val="0"/>
        <w:adjustRightInd w:val="0"/>
        <w:spacing w:after="0"/>
        <w:ind w:left="640" w:hanging="640"/>
        <w:rPr>
          <w:rFonts w:cs="Times"/>
          <w:noProof/>
          <w:szCs w:val="24"/>
        </w:rPr>
      </w:pPr>
      <w:r w:rsidRPr="007E2AAC">
        <w:rPr>
          <w:rFonts w:cs="Times"/>
          <w:noProof/>
          <w:szCs w:val="24"/>
        </w:rPr>
        <w:t xml:space="preserve">(18) </w:t>
      </w:r>
      <w:r w:rsidRPr="007E2AAC">
        <w:rPr>
          <w:rFonts w:cs="Times"/>
          <w:noProof/>
          <w:szCs w:val="24"/>
        </w:rPr>
        <w:tab/>
        <w:t xml:space="preserve">Judson, R. S.; Kavlock, R. J.; Setzer, R. W.; Cohen Hubal, E. A.; Martin, M. T.; Knudsen, T. B.; Houck, K. A.; Thomas, R. S.; Wetmore, B. A.; Dix, D. J. Estimating Toxicity-Related Biological Pathway Altering Doses for High-Throughput Chemical Risk Assessment. </w:t>
      </w:r>
      <w:r w:rsidRPr="007E2AAC">
        <w:rPr>
          <w:rFonts w:cs="Times"/>
          <w:i/>
          <w:iCs/>
          <w:noProof/>
          <w:szCs w:val="24"/>
        </w:rPr>
        <w:t>Chem. Res. Toxicol.</w:t>
      </w:r>
      <w:r w:rsidRPr="007E2AAC">
        <w:rPr>
          <w:rFonts w:cs="Times"/>
          <w:noProof/>
          <w:szCs w:val="24"/>
        </w:rPr>
        <w:t xml:space="preserve"> </w:t>
      </w:r>
      <w:r w:rsidRPr="007E2AAC">
        <w:rPr>
          <w:rFonts w:cs="Times"/>
          <w:b/>
          <w:bCs/>
          <w:noProof/>
          <w:szCs w:val="24"/>
        </w:rPr>
        <w:t>2011</w:t>
      </w:r>
      <w:r w:rsidRPr="007E2AAC">
        <w:rPr>
          <w:rFonts w:cs="Times"/>
          <w:noProof/>
          <w:szCs w:val="24"/>
        </w:rPr>
        <w:t xml:space="preserve">, </w:t>
      </w:r>
      <w:r w:rsidRPr="007E2AAC">
        <w:rPr>
          <w:rFonts w:cs="Times"/>
          <w:i/>
          <w:iCs/>
          <w:noProof/>
          <w:szCs w:val="24"/>
        </w:rPr>
        <w:t>24</w:t>
      </w:r>
      <w:r w:rsidRPr="007E2AAC">
        <w:rPr>
          <w:rFonts w:cs="Times"/>
          <w:noProof/>
          <w:szCs w:val="24"/>
        </w:rPr>
        <w:t xml:space="preserve"> (4), 451–462. https://doi.org/10.1021/tx100428e.</w:t>
      </w:r>
    </w:p>
    <w:p w14:paraId="42B665B3" w14:textId="77777777" w:rsidR="007E2AAC" w:rsidRPr="007E2AAC" w:rsidRDefault="007E2AAC" w:rsidP="007E2AAC">
      <w:pPr>
        <w:widowControl w:val="0"/>
        <w:autoSpaceDE w:val="0"/>
        <w:autoSpaceDN w:val="0"/>
        <w:adjustRightInd w:val="0"/>
        <w:spacing w:after="0"/>
        <w:ind w:left="640" w:hanging="640"/>
        <w:rPr>
          <w:rFonts w:cs="Times"/>
          <w:noProof/>
          <w:szCs w:val="24"/>
        </w:rPr>
      </w:pPr>
      <w:r w:rsidRPr="007E2AAC">
        <w:rPr>
          <w:rFonts w:cs="Times"/>
          <w:noProof/>
          <w:szCs w:val="24"/>
        </w:rPr>
        <w:t xml:space="preserve">(19) </w:t>
      </w:r>
      <w:r w:rsidRPr="007E2AAC">
        <w:rPr>
          <w:rFonts w:cs="Times"/>
          <w:noProof/>
          <w:szCs w:val="24"/>
        </w:rPr>
        <w:tab/>
        <w:t xml:space="preserve">Mooradian, A. D.; Morley, J. E.; Korenman, S. G. Biological Actions of Androgens. </w:t>
      </w:r>
      <w:r w:rsidRPr="007E2AAC">
        <w:rPr>
          <w:rFonts w:cs="Times"/>
          <w:i/>
          <w:iCs/>
          <w:noProof/>
          <w:szCs w:val="24"/>
        </w:rPr>
        <w:t>Endocr. Rev.</w:t>
      </w:r>
      <w:r w:rsidRPr="007E2AAC">
        <w:rPr>
          <w:rFonts w:cs="Times"/>
          <w:noProof/>
          <w:szCs w:val="24"/>
        </w:rPr>
        <w:t xml:space="preserve"> </w:t>
      </w:r>
      <w:r w:rsidRPr="007E2AAC">
        <w:rPr>
          <w:rFonts w:cs="Times"/>
          <w:b/>
          <w:bCs/>
          <w:noProof/>
          <w:szCs w:val="24"/>
        </w:rPr>
        <w:t>1987</w:t>
      </w:r>
      <w:r w:rsidRPr="007E2AAC">
        <w:rPr>
          <w:rFonts w:cs="Times"/>
          <w:noProof/>
          <w:szCs w:val="24"/>
        </w:rPr>
        <w:t xml:space="preserve">, </w:t>
      </w:r>
      <w:r w:rsidRPr="007E2AAC">
        <w:rPr>
          <w:rFonts w:cs="Times"/>
          <w:i/>
          <w:iCs/>
          <w:noProof/>
          <w:szCs w:val="24"/>
        </w:rPr>
        <w:t>8</w:t>
      </w:r>
      <w:r w:rsidRPr="007E2AAC">
        <w:rPr>
          <w:rFonts w:cs="Times"/>
          <w:noProof/>
          <w:szCs w:val="24"/>
        </w:rPr>
        <w:t xml:space="preserve"> (1), 1–28.</w:t>
      </w:r>
    </w:p>
    <w:p w14:paraId="6A684D4E" w14:textId="77777777" w:rsidR="007E2AAC" w:rsidRPr="007E2AAC" w:rsidRDefault="007E2AAC" w:rsidP="007E2AAC">
      <w:pPr>
        <w:widowControl w:val="0"/>
        <w:autoSpaceDE w:val="0"/>
        <w:autoSpaceDN w:val="0"/>
        <w:adjustRightInd w:val="0"/>
        <w:spacing w:after="0"/>
        <w:ind w:left="640" w:hanging="640"/>
        <w:rPr>
          <w:rFonts w:cs="Times"/>
          <w:noProof/>
          <w:szCs w:val="24"/>
        </w:rPr>
      </w:pPr>
      <w:r w:rsidRPr="007E2AAC">
        <w:rPr>
          <w:rFonts w:cs="Times"/>
          <w:noProof/>
          <w:szCs w:val="24"/>
        </w:rPr>
        <w:t xml:space="preserve">(20) </w:t>
      </w:r>
      <w:r w:rsidRPr="007E2AAC">
        <w:rPr>
          <w:rFonts w:cs="Times"/>
          <w:noProof/>
          <w:szCs w:val="24"/>
        </w:rPr>
        <w:tab/>
        <w:t xml:space="preserve">Hollenberg, S. M.; Weinberger, C.; Ong, E. S.; Cerelli, G.; Oro, A.; Lebo, R.; Thompson, E. B.; Rosenfeld, M. G.; Evans, R. M. Primary Structure and Expression of a Functional Human Glucocorticoid Receptor CDNA. </w:t>
      </w:r>
      <w:r w:rsidRPr="007E2AAC">
        <w:rPr>
          <w:rFonts w:cs="Times"/>
          <w:i/>
          <w:iCs/>
          <w:noProof/>
          <w:szCs w:val="24"/>
        </w:rPr>
        <w:t>Nature</w:t>
      </w:r>
      <w:r w:rsidRPr="007E2AAC">
        <w:rPr>
          <w:rFonts w:cs="Times"/>
          <w:noProof/>
          <w:szCs w:val="24"/>
        </w:rPr>
        <w:t xml:space="preserve"> </w:t>
      </w:r>
      <w:r w:rsidRPr="007E2AAC">
        <w:rPr>
          <w:rFonts w:cs="Times"/>
          <w:b/>
          <w:bCs/>
          <w:noProof/>
          <w:szCs w:val="24"/>
        </w:rPr>
        <w:t>1985</w:t>
      </w:r>
      <w:r w:rsidRPr="007E2AAC">
        <w:rPr>
          <w:rFonts w:cs="Times"/>
          <w:noProof/>
          <w:szCs w:val="24"/>
        </w:rPr>
        <w:t xml:space="preserve">, </w:t>
      </w:r>
      <w:r w:rsidRPr="007E2AAC">
        <w:rPr>
          <w:rFonts w:cs="Times"/>
          <w:i/>
          <w:iCs/>
          <w:noProof/>
          <w:szCs w:val="24"/>
        </w:rPr>
        <w:t>318</w:t>
      </w:r>
      <w:r w:rsidRPr="007E2AAC">
        <w:rPr>
          <w:rFonts w:cs="Times"/>
          <w:noProof/>
          <w:szCs w:val="24"/>
        </w:rPr>
        <w:t xml:space="preserve"> (19), 635–641.</w:t>
      </w:r>
    </w:p>
    <w:p w14:paraId="3E6A9BE7" w14:textId="77777777" w:rsidR="007E2AAC" w:rsidRPr="007E2AAC" w:rsidRDefault="007E2AAC" w:rsidP="007E2AAC">
      <w:pPr>
        <w:widowControl w:val="0"/>
        <w:autoSpaceDE w:val="0"/>
        <w:autoSpaceDN w:val="0"/>
        <w:adjustRightInd w:val="0"/>
        <w:spacing w:after="0"/>
        <w:ind w:left="640" w:hanging="640"/>
        <w:rPr>
          <w:rFonts w:cs="Times"/>
          <w:noProof/>
          <w:szCs w:val="24"/>
        </w:rPr>
      </w:pPr>
      <w:r w:rsidRPr="007E2AAC">
        <w:rPr>
          <w:rFonts w:cs="Times"/>
          <w:noProof/>
          <w:szCs w:val="24"/>
        </w:rPr>
        <w:t xml:space="preserve">(21) </w:t>
      </w:r>
      <w:r w:rsidRPr="007E2AAC">
        <w:rPr>
          <w:rFonts w:cs="Times"/>
          <w:noProof/>
          <w:szCs w:val="24"/>
        </w:rPr>
        <w:tab/>
        <w:t>European Commission Institute for Health and Consumer Protection. AOP Wiki http://ihcp.jrc.ec.europa.eu/our_activities/alt-animal-testing-safety-assessment-chemicals/improved_safety_assessment_chemicals/adverse-outcome-pathways-aop.</w:t>
      </w:r>
    </w:p>
    <w:p w14:paraId="1AEBBC58" w14:textId="77777777" w:rsidR="007E2AAC" w:rsidRPr="007E2AAC" w:rsidRDefault="007E2AAC" w:rsidP="007E2AAC">
      <w:pPr>
        <w:widowControl w:val="0"/>
        <w:autoSpaceDE w:val="0"/>
        <w:autoSpaceDN w:val="0"/>
        <w:adjustRightInd w:val="0"/>
        <w:spacing w:after="0"/>
        <w:ind w:left="640" w:hanging="640"/>
        <w:rPr>
          <w:rFonts w:cs="Times"/>
          <w:noProof/>
          <w:szCs w:val="24"/>
        </w:rPr>
      </w:pPr>
      <w:r w:rsidRPr="007E2AAC">
        <w:rPr>
          <w:rFonts w:cs="Times"/>
          <w:noProof/>
          <w:szCs w:val="24"/>
        </w:rPr>
        <w:t xml:space="preserve">(22) </w:t>
      </w:r>
      <w:r w:rsidRPr="007E2AAC">
        <w:rPr>
          <w:rFonts w:cs="Times"/>
          <w:noProof/>
          <w:szCs w:val="24"/>
        </w:rPr>
        <w:tab/>
        <w:t xml:space="preserve">Allen, T. E. H.; Goodman, J. M.; Gutsell, S.; Russell, P. J. Using 2D Structural Alerts to Define Chemical Categories for Molecular Initiating Events. </w:t>
      </w:r>
      <w:r w:rsidRPr="007E2AAC">
        <w:rPr>
          <w:rFonts w:cs="Times"/>
          <w:i/>
          <w:iCs/>
          <w:noProof/>
          <w:szCs w:val="24"/>
        </w:rPr>
        <w:t>Toxicol. Sci.</w:t>
      </w:r>
      <w:r w:rsidRPr="007E2AAC">
        <w:rPr>
          <w:rFonts w:cs="Times"/>
          <w:noProof/>
          <w:szCs w:val="24"/>
        </w:rPr>
        <w:t xml:space="preserve"> </w:t>
      </w:r>
      <w:r w:rsidRPr="007E2AAC">
        <w:rPr>
          <w:rFonts w:cs="Times"/>
          <w:b/>
          <w:bCs/>
          <w:noProof/>
          <w:szCs w:val="24"/>
        </w:rPr>
        <w:t>2018</w:t>
      </w:r>
      <w:r w:rsidRPr="007E2AAC">
        <w:rPr>
          <w:rFonts w:cs="Times"/>
          <w:noProof/>
          <w:szCs w:val="24"/>
        </w:rPr>
        <w:t xml:space="preserve">, </w:t>
      </w:r>
      <w:r w:rsidRPr="007E2AAC">
        <w:rPr>
          <w:rFonts w:cs="Times"/>
          <w:i/>
          <w:iCs/>
          <w:noProof/>
          <w:szCs w:val="24"/>
        </w:rPr>
        <w:t>165</w:t>
      </w:r>
      <w:r w:rsidRPr="007E2AAC">
        <w:rPr>
          <w:rFonts w:cs="Times"/>
          <w:noProof/>
          <w:szCs w:val="24"/>
        </w:rPr>
        <w:t xml:space="preserve"> (1), 213–223.</w:t>
      </w:r>
    </w:p>
    <w:p w14:paraId="60A5441F" w14:textId="77777777" w:rsidR="007E2AAC" w:rsidRPr="007E2AAC" w:rsidRDefault="007E2AAC" w:rsidP="007E2AAC">
      <w:pPr>
        <w:widowControl w:val="0"/>
        <w:autoSpaceDE w:val="0"/>
        <w:autoSpaceDN w:val="0"/>
        <w:adjustRightInd w:val="0"/>
        <w:spacing w:after="0"/>
        <w:ind w:left="640" w:hanging="640"/>
        <w:rPr>
          <w:rFonts w:cs="Times"/>
          <w:noProof/>
          <w:szCs w:val="24"/>
        </w:rPr>
      </w:pPr>
      <w:r w:rsidRPr="007E2AAC">
        <w:rPr>
          <w:rFonts w:cs="Times"/>
          <w:noProof/>
          <w:szCs w:val="24"/>
        </w:rPr>
        <w:t xml:space="preserve">(23) </w:t>
      </w:r>
      <w:r w:rsidRPr="007E2AAC">
        <w:rPr>
          <w:rFonts w:cs="Times"/>
          <w:noProof/>
          <w:szCs w:val="24"/>
        </w:rPr>
        <w:tab/>
        <w:t>Team, R. C. R: A Language and Environment for Statistical Computing. R Foundation for Statistical Computing: Vienna, Austria 2017.</w:t>
      </w:r>
    </w:p>
    <w:p w14:paraId="3F335664" w14:textId="77777777" w:rsidR="007E2AAC" w:rsidRPr="007E2AAC" w:rsidRDefault="007E2AAC" w:rsidP="007E2AAC">
      <w:pPr>
        <w:widowControl w:val="0"/>
        <w:autoSpaceDE w:val="0"/>
        <w:autoSpaceDN w:val="0"/>
        <w:adjustRightInd w:val="0"/>
        <w:spacing w:after="0"/>
        <w:ind w:left="640" w:hanging="640"/>
        <w:rPr>
          <w:rFonts w:cs="Times"/>
          <w:noProof/>
          <w:szCs w:val="24"/>
        </w:rPr>
      </w:pPr>
      <w:r w:rsidRPr="007E2AAC">
        <w:rPr>
          <w:rFonts w:cs="Times"/>
          <w:noProof/>
          <w:szCs w:val="24"/>
        </w:rPr>
        <w:lastRenderedPageBreak/>
        <w:t xml:space="preserve">(24) </w:t>
      </w:r>
      <w:r w:rsidRPr="007E2AAC">
        <w:rPr>
          <w:rFonts w:cs="Times"/>
          <w:noProof/>
          <w:szCs w:val="24"/>
        </w:rPr>
        <w:tab/>
        <w:t xml:space="preserve">Nelms, M. D.; Mellor, C. L.; Enoch, S. J.; Judson, R. S.; Patlewicz, G.; Richard, A. M.; Madden, J. M.; Cronin, M. T. D.; Edwards, S. W. A Mechanistic Framework for Integrating Chemical Structure and High-Throughput Screening Results to Improve Toxicity Predictions. </w:t>
      </w:r>
      <w:r w:rsidRPr="007E2AAC">
        <w:rPr>
          <w:rFonts w:cs="Times"/>
          <w:i/>
          <w:iCs/>
          <w:noProof/>
          <w:szCs w:val="24"/>
        </w:rPr>
        <w:t>Comput. Toxicol.</w:t>
      </w:r>
      <w:r w:rsidRPr="007E2AAC">
        <w:rPr>
          <w:rFonts w:cs="Times"/>
          <w:noProof/>
          <w:szCs w:val="24"/>
        </w:rPr>
        <w:t xml:space="preserve"> </w:t>
      </w:r>
      <w:r w:rsidRPr="007E2AAC">
        <w:rPr>
          <w:rFonts w:cs="Times"/>
          <w:b/>
          <w:bCs/>
          <w:noProof/>
          <w:szCs w:val="24"/>
        </w:rPr>
        <w:t>2018</w:t>
      </w:r>
      <w:r w:rsidRPr="007E2AAC">
        <w:rPr>
          <w:rFonts w:cs="Times"/>
          <w:noProof/>
          <w:szCs w:val="24"/>
        </w:rPr>
        <w:t xml:space="preserve">, </w:t>
      </w:r>
      <w:r w:rsidRPr="007E2AAC">
        <w:rPr>
          <w:rFonts w:cs="Times"/>
          <w:i/>
          <w:iCs/>
          <w:noProof/>
          <w:szCs w:val="24"/>
        </w:rPr>
        <w:t>8</w:t>
      </w:r>
      <w:r w:rsidRPr="007E2AAC">
        <w:rPr>
          <w:rFonts w:cs="Times"/>
          <w:noProof/>
          <w:szCs w:val="24"/>
        </w:rPr>
        <w:t xml:space="preserve"> (July), 1–12. https://doi.org/10.1016/j.comtox.2018.08.003.</w:t>
      </w:r>
    </w:p>
    <w:p w14:paraId="2F862135" w14:textId="3F7F2D0E" w:rsidR="007E2AAC" w:rsidRPr="007E2AAC" w:rsidRDefault="007E2AAC" w:rsidP="007E2AAC">
      <w:pPr>
        <w:widowControl w:val="0"/>
        <w:autoSpaceDE w:val="0"/>
        <w:autoSpaceDN w:val="0"/>
        <w:adjustRightInd w:val="0"/>
        <w:spacing w:after="0"/>
        <w:ind w:left="640" w:hanging="640"/>
        <w:rPr>
          <w:rFonts w:cs="Times"/>
          <w:noProof/>
          <w:szCs w:val="24"/>
        </w:rPr>
      </w:pPr>
      <w:r w:rsidRPr="007E2AAC">
        <w:rPr>
          <w:rFonts w:cs="Times"/>
          <w:noProof/>
          <w:szCs w:val="24"/>
        </w:rPr>
        <w:t xml:space="preserve">(25) </w:t>
      </w:r>
      <w:r w:rsidRPr="007E2AAC">
        <w:rPr>
          <w:rFonts w:cs="Times"/>
          <w:noProof/>
          <w:szCs w:val="24"/>
        </w:rPr>
        <w:tab/>
        <w:t xml:space="preserve">Judson, R.; Houck, K.; Martin, M.; Richard, A. M.; Knudsen, T. B.; Shah, I.; Little, S.; Wambaugh, J.; Setzer, R. W.; Kothya, P.; </w:t>
      </w:r>
      <w:r w:rsidR="00ED7DA7">
        <w:rPr>
          <w:rFonts w:cs="Times"/>
          <w:noProof/>
          <w:szCs w:val="24"/>
        </w:rPr>
        <w:t>Phuong, J.; Filer, D.; Smith, D.; Reif, D.; Rotroff, D.; Kleinstreuer, N.; Sipes, N.; Xia, M.; Huang, R.; Crofton, K.; Thomas, R. S</w:t>
      </w:r>
      <w:r w:rsidRPr="007E2AAC">
        <w:rPr>
          <w:rFonts w:cs="Times"/>
          <w:noProof/>
          <w:szCs w:val="24"/>
        </w:rPr>
        <w:t xml:space="preserve">. Analysis of the Effects of Cell Stress and Cytotoxicity on in Vitro Assay Activity across a Diverse Chemical and Assay Space. </w:t>
      </w:r>
      <w:r w:rsidRPr="007E2AAC">
        <w:rPr>
          <w:rFonts w:cs="Times"/>
          <w:i/>
          <w:iCs/>
          <w:noProof/>
          <w:szCs w:val="24"/>
        </w:rPr>
        <w:t>Toxicol. Sci.</w:t>
      </w:r>
      <w:r w:rsidRPr="007E2AAC">
        <w:rPr>
          <w:rFonts w:cs="Times"/>
          <w:noProof/>
          <w:szCs w:val="24"/>
        </w:rPr>
        <w:t xml:space="preserve"> </w:t>
      </w:r>
      <w:r w:rsidRPr="007E2AAC">
        <w:rPr>
          <w:rFonts w:cs="Times"/>
          <w:b/>
          <w:bCs/>
          <w:noProof/>
          <w:szCs w:val="24"/>
        </w:rPr>
        <w:t>2016</w:t>
      </w:r>
      <w:r w:rsidRPr="007E2AAC">
        <w:rPr>
          <w:rFonts w:cs="Times"/>
          <w:noProof/>
          <w:szCs w:val="24"/>
        </w:rPr>
        <w:t xml:space="preserve">, </w:t>
      </w:r>
      <w:r w:rsidRPr="007E2AAC">
        <w:rPr>
          <w:rFonts w:cs="Times"/>
          <w:i/>
          <w:iCs/>
          <w:noProof/>
          <w:szCs w:val="24"/>
        </w:rPr>
        <w:t>152</w:t>
      </w:r>
      <w:r w:rsidRPr="007E2AAC">
        <w:rPr>
          <w:rFonts w:cs="Times"/>
          <w:noProof/>
          <w:szCs w:val="24"/>
        </w:rPr>
        <w:t xml:space="preserve"> (2), 323–339. https://doi.org/10.1093/toxsci/kfw092.</w:t>
      </w:r>
    </w:p>
    <w:p w14:paraId="47B4B0CA" w14:textId="77777777" w:rsidR="007E2AAC" w:rsidRPr="007E2AAC" w:rsidRDefault="007E2AAC" w:rsidP="007E2AAC">
      <w:pPr>
        <w:widowControl w:val="0"/>
        <w:autoSpaceDE w:val="0"/>
        <w:autoSpaceDN w:val="0"/>
        <w:adjustRightInd w:val="0"/>
        <w:spacing w:after="0"/>
        <w:ind w:left="640" w:hanging="640"/>
        <w:rPr>
          <w:rFonts w:cs="Times"/>
          <w:noProof/>
          <w:szCs w:val="24"/>
        </w:rPr>
      </w:pPr>
      <w:r w:rsidRPr="007E2AAC">
        <w:rPr>
          <w:rFonts w:cs="Times"/>
          <w:noProof/>
          <w:szCs w:val="24"/>
        </w:rPr>
        <w:t xml:space="preserve">(26) </w:t>
      </w:r>
      <w:r w:rsidRPr="007E2AAC">
        <w:rPr>
          <w:rFonts w:cs="Times"/>
          <w:noProof/>
          <w:szCs w:val="24"/>
        </w:rPr>
        <w:tab/>
        <w:t>Accelrys Software Inc. Pipeline Pilot v.8.0.1.500.</w:t>
      </w:r>
    </w:p>
    <w:p w14:paraId="79EF1A9C" w14:textId="77777777" w:rsidR="007E2AAC" w:rsidRPr="007E2AAC" w:rsidRDefault="007E2AAC" w:rsidP="007E2AAC">
      <w:pPr>
        <w:widowControl w:val="0"/>
        <w:autoSpaceDE w:val="0"/>
        <w:autoSpaceDN w:val="0"/>
        <w:adjustRightInd w:val="0"/>
        <w:spacing w:after="0"/>
        <w:ind w:left="640" w:hanging="640"/>
        <w:rPr>
          <w:rFonts w:cs="Times"/>
          <w:noProof/>
          <w:szCs w:val="24"/>
        </w:rPr>
      </w:pPr>
      <w:r w:rsidRPr="007E2AAC">
        <w:rPr>
          <w:rFonts w:cs="Times"/>
          <w:noProof/>
          <w:szCs w:val="24"/>
        </w:rPr>
        <w:t xml:space="preserve">(27) </w:t>
      </w:r>
      <w:r w:rsidRPr="007E2AAC">
        <w:rPr>
          <w:rFonts w:cs="Times"/>
          <w:noProof/>
          <w:szCs w:val="24"/>
        </w:rPr>
        <w:tab/>
        <w:t xml:space="preserve">Matthews, B. W. Comparison of the Predicted and Observed Secondary Structure of T4 Phage Lysozyme. </w:t>
      </w:r>
      <w:r w:rsidRPr="007E2AAC">
        <w:rPr>
          <w:rFonts w:cs="Times"/>
          <w:i/>
          <w:iCs/>
          <w:noProof/>
          <w:szCs w:val="24"/>
        </w:rPr>
        <w:t>Biochim. Biophys. Acta</w:t>
      </w:r>
      <w:r w:rsidRPr="007E2AAC">
        <w:rPr>
          <w:rFonts w:cs="Times"/>
          <w:noProof/>
          <w:szCs w:val="24"/>
        </w:rPr>
        <w:t xml:space="preserve"> </w:t>
      </w:r>
      <w:r w:rsidRPr="007E2AAC">
        <w:rPr>
          <w:rFonts w:cs="Times"/>
          <w:b/>
          <w:bCs/>
          <w:noProof/>
          <w:szCs w:val="24"/>
        </w:rPr>
        <w:t>1975</w:t>
      </w:r>
      <w:r w:rsidRPr="007E2AAC">
        <w:rPr>
          <w:rFonts w:cs="Times"/>
          <w:noProof/>
          <w:szCs w:val="24"/>
        </w:rPr>
        <w:t xml:space="preserve">, </w:t>
      </w:r>
      <w:r w:rsidRPr="007E2AAC">
        <w:rPr>
          <w:rFonts w:cs="Times"/>
          <w:i/>
          <w:iCs/>
          <w:noProof/>
          <w:szCs w:val="24"/>
        </w:rPr>
        <w:t>405</w:t>
      </w:r>
      <w:r w:rsidRPr="007E2AAC">
        <w:rPr>
          <w:rFonts w:cs="Times"/>
          <w:noProof/>
          <w:szCs w:val="24"/>
        </w:rPr>
        <w:t>, 442–451.</w:t>
      </w:r>
    </w:p>
    <w:p w14:paraId="64DCBBB8" w14:textId="77777777" w:rsidR="007E2AAC" w:rsidRPr="007E2AAC" w:rsidRDefault="007E2AAC" w:rsidP="007E2AAC">
      <w:pPr>
        <w:widowControl w:val="0"/>
        <w:autoSpaceDE w:val="0"/>
        <w:autoSpaceDN w:val="0"/>
        <w:adjustRightInd w:val="0"/>
        <w:spacing w:after="0"/>
        <w:ind w:left="640" w:hanging="640"/>
        <w:rPr>
          <w:rFonts w:cs="Times"/>
          <w:noProof/>
          <w:szCs w:val="24"/>
        </w:rPr>
      </w:pPr>
      <w:r w:rsidRPr="007E2AAC">
        <w:rPr>
          <w:rFonts w:cs="Times"/>
          <w:noProof/>
          <w:szCs w:val="24"/>
        </w:rPr>
        <w:t xml:space="preserve">(28) </w:t>
      </w:r>
      <w:r w:rsidRPr="007E2AAC">
        <w:rPr>
          <w:rFonts w:cs="Times"/>
          <w:noProof/>
          <w:szCs w:val="24"/>
        </w:rPr>
        <w:tab/>
        <w:t xml:space="preserve">Topliss, J. G.; Costello, R. J. Chance Correlations in Structure-Activity Studies Using Multiple Regression Analysis. </w:t>
      </w:r>
      <w:r w:rsidRPr="007E2AAC">
        <w:rPr>
          <w:rFonts w:cs="Times"/>
          <w:i/>
          <w:iCs/>
          <w:noProof/>
          <w:szCs w:val="24"/>
        </w:rPr>
        <w:t>J. Med. Chem.</w:t>
      </w:r>
      <w:r w:rsidRPr="007E2AAC">
        <w:rPr>
          <w:rFonts w:cs="Times"/>
          <w:noProof/>
          <w:szCs w:val="24"/>
        </w:rPr>
        <w:t xml:space="preserve"> </w:t>
      </w:r>
      <w:r w:rsidRPr="007E2AAC">
        <w:rPr>
          <w:rFonts w:cs="Times"/>
          <w:b/>
          <w:bCs/>
          <w:noProof/>
          <w:szCs w:val="24"/>
        </w:rPr>
        <w:t>1972</w:t>
      </w:r>
      <w:r w:rsidRPr="007E2AAC">
        <w:rPr>
          <w:rFonts w:cs="Times"/>
          <w:noProof/>
          <w:szCs w:val="24"/>
        </w:rPr>
        <w:t xml:space="preserve">, </w:t>
      </w:r>
      <w:r w:rsidRPr="007E2AAC">
        <w:rPr>
          <w:rFonts w:cs="Times"/>
          <w:i/>
          <w:iCs/>
          <w:noProof/>
          <w:szCs w:val="24"/>
        </w:rPr>
        <w:t>15</w:t>
      </w:r>
      <w:r w:rsidRPr="007E2AAC">
        <w:rPr>
          <w:rFonts w:cs="Times"/>
          <w:noProof/>
          <w:szCs w:val="24"/>
        </w:rPr>
        <w:t xml:space="preserve"> (10), 1066–1068.</w:t>
      </w:r>
    </w:p>
    <w:p w14:paraId="031A752A" w14:textId="77777777" w:rsidR="007E2AAC" w:rsidRPr="007E2AAC" w:rsidRDefault="007E2AAC" w:rsidP="007E2AAC">
      <w:pPr>
        <w:widowControl w:val="0"/>
        <w:autoSpaceDE w:val="0"/>
        <w:autoSpaceDN w:val="0"/>
        <w:adjustRightInd w:val="0"/>
        <w:spacing w:after="0"/>
        <w:ind w:left="640" w:hanging="640"/>
        <w:rPr>
          <w:rFonts w:cs="Times"/>
          <w:noProof/>
        </w:rPr>
      </w:pPr>
      <w:r w:rsidRPr="007E2AAC">
        <w:rPr>
          <w:rFonts w:cs="Times"/>
          <w:noProof/>
          <w:szCs w:val="24"/>
        </w:rPr>
        <w:t xml:space="preserve">(29) </w:t>
      </w:r>
      <w:r w:rsidRPr="007E2AAC">
        <w:rPr>
          <w:rFonts w:cs="Times"/>
          <w:noProof/>
          <w:szCs w:val="24"/>
        </w:rPr>
        <w:tab/>
        <w:t xml:space="preserve">Tollefsen, K. E.; Scholz, S.; Cronin, M. T.; Edwards, S. W.; de Knecht, J.; Crofton, K.; Garcia-Reyero, N.; Hartung, T.; Worth, A.; Patlewicz, G. Applying Adverse Outcome Pathways (AOPs) to Support Integrated Approaches to Testing and Assessment (IATA). </w:t>
      </w:r>
      <w:r w:rsidRPr="007E2AAC">
        <w:rPr>
          <w:rFonts w:cs="Times"/>
          <w:i/>
          <w:iCs/>
          <w:noProof/>
          <w:szCs w:val="24"/>
        </w:rPr>
        <w:t>Regul. Toxicol. Pharmacol.</w:t>
      </w:r>
      <w:r w:rsidRPr="007E2AAC">
        <w:rPr>
          <w:rFonts w:cs="Times"/>
          <w:noProof/>
          <w:szCs w:val="24"/>
        </w:rPr>
        <w:t xml:space="preserve"> </w:t>
      </w:r>
      <w:r w:rsidRPr="007E2AAC">
        <w:rPr>
          <w:rFonts w:cs="Times"/>
          <w:b/>
          <w:bCs/>
          <w:noProof/>
          <w:szCs w:val="24"/>
        </w:rPr>
        <w:t>2014</w:t>
      </w:r>
      <w:r w:rsidRPr="007E2AAC">
        <w:rPr>
          <w:rFonts w:cs="Times"/>
          <w:noProof/>
          <w:szCs w:val="24"/>
        </w:rPr>
        <w:t xml:space="preserve">, </w:t>
      </w:r>
      <w:r w:rsidRPr="007E2AAC">
        <w:rPr>
          <w:rFonts w:cs="Times"/>
          <w:i/>
          <w:iCs/>
          <w:noProof/>
          <w:szCs w:val="24"/>
        </w:rPr>
        <w:t>70</w:t>
      </w:r>
      <w:r w:rsidRPr="007E2AAC">
        <w:rPr>
          <w:rFonts w:cs="Times"/>
          <w:noProof/>
          <w:szCs w:val="24"/>
        </w:rPr>
        <w:t xml:space="preserve"> (3), 629–640. https://doi.org/10.1016/j.yrtph.2014.09.009.</w:t>
      </w:r>
    </w:p>
    <w:p w14:paraId="27290195" w14:textId="45DDDFF5" w:rsidR="002849C6" w:rsidRPr="00601C9E" w:rsidRDefault="00641D08" w:rsidP="007E26AF">
      <w:pPr>
        <w:pStyle w:val="TFReferencesSection"/>
        <w:spacing w:after="240"/>
        <w:ind w:firstLine="0"/>
        <w:jc w:val="left"/>
        <w:rPr>
          <w:lang w:val="en-GB"/>
        </w:rPr>
      </w:pPr>
      <w:r>
        <w:rPr>
          <w:lang w:val="en-GB"/>
        </w:rPr>
        <w:fldChar w:fldCharType="end"/>
      </w:r>
    </w:p>
    <w:p w14:paraId="51FD5E01" w14:textId="77777777" w:rsidR="007E26AF" w:rsidRPr="00BA6959" w:rsidRDefault="007E26AF">
      <w:pPr>
        <w:spacing w:after="0"/>
        <w:jc w:val="left"/>
        <w:rPr>
          <w:lang w:val="en-GB"/>
        </w:rPr>
      </w:pPr>
      <w:r w:rsidRPr="00BA6959">
        <w:rPr>
          <w:lang w:val="en-GB"/>
        </w:rPr>
        <w:br w:type="page"/>
      </w:r>
    </w:p>
    <w:p w14:paraId="0B6BB298" w14:textId="77777777" w:rsidR="000D6B97" w:rsidRDefault="000D6B97" w:rsidP="007E26AF">
      <w:pPr>
        <w:pStyle w:val="TFReferencesSection"/>
        <w:spacing w:after="240"/>
        <w:ind w:firstLine="0"/>
        <w:jc w:val="left"/>
        <w:rPr>
          <w:u w:val="single"/>
          <w:lang w:val="en-GB"/>
        </w:rPr>
        <w:sectPr w:rsidR="000D6B97" w:rsidSect="00D1679B">
          <w:footerReference w:type="even" r:id="rId12"/>
          <w:footerReference w:type="default" r:id="rId13"/>
          <w:type w:val="continuous"/>
          <w:pgSz w:w="12240" w:h="15840"/>
          <w:pgMar w:top="1440" w:right="1440" w:bottom="1440" w:left="1440" w:header="0" w:footer="0" w:gutter="0"/>
          <w:lnNumType w:countBy="1" w:restart="continuous"/>
          <w:cols w:space="475"/>
          <w:docGrid w:linePitch="326"/>
        </w:sectPr>
      </w:pPr>
    </w:p>
    <w:p w14:paraId="000C2130" w14:textId="3352D2BF" w:rsidR="007E26AF" w:rsidRDefault="007E26AF" w:rsidP="007E26AF">
      <w:pPr>
        <w:pStyle w:val="TFReferencesSection"/>
        <w:spacing w:after="240"/>
        <w:ind w:firstLine="0"/>
        <w:jc w:val="left"/>
        <w:rPr>
          <w:u w:val="single"/>
          <w:lang w:val="en-GB"/>
        </w:rPr>
      </w:pPr>
      <w:r w:rsidRPr="00BA6959">
        <w:rPr>
          <w:u w:val="single"/>
          <w:lang w:val="en-GB"/>
        </w:rPr>
        <w:lastRenderedPageBreak/>
        <w:t>FIGURES</w:t>
      </w:r>
    </w:p>
    <w:p w14:paraId="2C10AE05" w14:textId="77777777" w:rsidR="000D3C27" w:rsidRDefault="000D3C27" w:rsidP="000D3C27">
      <w:pPr>
        <w:spacing w:after="0"/>
        <w:jc w:val="left"/>
        <w:rPr>
          <w:u w:val="single"/>
          <w:lang w:val="en-GB"/>
        </w:rPr>
        <w:sectPr w:rsidR="000D3C27" w:rsidSect="00D1679B">
          <w:pgSz w:w="15840" w:h="12240" w:orient="landscape"/>
          <w:pgMar w:top="1440" w:right="1440" w:bottom="1440" w:left="1440" w:header="0" w:footer="0" w:gutter="0"/>
          <w:cols w:space="475"/>
          <w:docGrid w:linePitch="326"/>
        </w:sectPr>
      </w:pPr>
    </w:p>
    <w:p w14:paraId="2AA6C7E4" w14:textId="77777777" w:rsidR="000D3C27" w:rsidRDefault="000D3C27" w:rsidP="000D3C27">
      <w:pPr>
        <w:spacing w:after="0"/>
        <w:jc w:val="left"/>
        <w:rPr>
          <w:u w:val="single"/>
          <w:lang w:val="en-GB"/>
        </w:rPr>
      </w:pPr>
      <w:r w:rsidRPr="00E976E0">
        <w:rPr>
          <w:noProof/>
          <w:lang w:val="en-GB" w:eastAsia="en-GB"/>
        </w:rPr>
        <w:lastRenderedPageBreak/>
        <w:drawing>
          <wp:inline distT="0" distB="0" distL="0" distR="0" wp14:anchorId="2C4A1AE5" wp14:editId="6C4558C3">
            <wp:extent cx="4102920" cy="524441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cat_plot.png"/>
                    <pic:cNvPicPr/>
                  </pic:nvPicPr>
                  <pic:blipFill>
                    <a:blip r:embed="rId14">
                      <a:extLst>
                        <a:ext uri="{28A0092B-C50C-407E-A947-70E740481C1C}">
                          <a14:useLocalDpi xmlns:a14="http://schemas.microsoft.com/office/drawing/2010/main" val="0"/>
                        </a:ext>
                      </a:extLst>
                    </a:blip>
                    <a:stretch>
                      <a:fillRect/>
                    </a:stretch>
                  </pic:blipFill>
                  <pic:spPr>
                    <a:xfrm>
                      <a:off x="0" y="0"/>
                      <a:ext cx="4102920" cy="5244415"/>
                    </a:xfrm>
                    <a:prstGeom prst="rect">
                      <a:avLst/>
                    </a:prstGeom>
                  </pic:spPr>
                </pic:pic>
              </a:graphicData>
            </a:graphic>
          </wp:inline>
        </w:drawing>
      </w:r>
    </w:p>
    <w:p w14:paraId="2E48D652" w14:textId="77777777" w:rsidR="000D3C27" w:rsidRDefault="000D3C27" w:rsidP="000D3C27">
      <w:pPr>
        <w:spacing w:after="0"/>
        <w:jc w:val="left"/>
        <w:rPr>
          <w:u w:val="single"/>
          <w:lang w:val="en-GB"/>
        </w:rPr>
      </w:pPr>
    </w:p>
    <w:p w14:paraId="50FEC7D9" w14:textId="77777777" w:rsidR="000D3C27" w:rsidRDefault="000D3C27" w:rsidP="000D3C27">
      <w:pPr>
        <w:spacing w:after="0"/>
        <w:jc w:val="left"/>
        <w:rPr>
          <w:u w:val="single"/>
          <w:lang w:val="en-GB"/>
        </w:rPr>
      </w:pPr>
    </w:p>
    <w:p w14:paraId="5945BBE1" w14:textId="689352EC" w:rsidR="000D3C27" w:rsidRDefault="000D3C27" w:rsidP="000D3C27">
      <w:pPr>
        <w:rPr>
          <w:u w:val="single"/>
          <w:lang w:val="en-GB"/>
        </w:rPr>
        <w:sectPr w:rsidR="000D3C27" w:rsidSect="000D3C27">
          <w:type w:val="continuous"/>
          <w:pgSz w:w="12240" w:h="15840"/>
          <w:pgMar w:top="1440" w:right="1440" w:bottom="1440" w:left="1440" w:header="0" w:footer="0" w:gutter="0"/>
          <w:cols w:space="475"/>
          <w:docGrid w:linePitch="326"/>
        </w:sectPr>
      </w:pPr>
      <w:r w:rsidRPr="00E976E0">
        <w:rPr>
          <w:b/>
          <w:lang w:val="en-GB"/>
        </w:rPr>
        <w:t xml:space="preserve">Figure </w:t>
      </w:r>
      <w:r>
        <w:rPr>
          <w:b/>
          <w:lang w:val="en-GB"/>
        </w:rPr>
        <w:t>1</w:t>
      </w:r>
      <w:r w:rsidRPr="00E976E0">
        <w:rPr>
          <w:b/>
          <w:lang w:val="en-GB"/>
        </w:rPr>
        <w:t xml:space="preserve"> </w:t>
      </w:r>
      <w:r w:rsidRPr="000D3C27">
        <w:rPr>
          <w:lang w:val="en-GB"/>
        </w:rPr>
        <w:t>Chart showing</w:t>
      </w:r>
      <w:r>
        <w:rPr>
          <w:lang w:val="en-GB"/>
        </w:rPr>
        <w:t xml:space="preserve"> AC50 values across a range of assays for a single compound.</w:t>
      </w:r>
      <w:r w:rsidRPr="000D3C27">
        <w:rPr>
          <w:lang w:val="en-GB"/>
        </w:rPr>
        <w:t xml:space="preserve"> </w:t>
      </w:r>
      <w:r w:rsidR="000D7688" w:rsidRPr="000D3C27">
        <w:rPr>
          <w:lang w:val="en-GB"/>
        </w:rPr>
        <w:t xml:space="preserve">The top line </w:t>
      </w:r>
      <w:r w:rsidR="000D7688">
        <w:rPr>
          <w:lang w:val="en-GB"/>
        </w:rPr>
        <w:t>shows</w:t>
      </w:r>
      <w:r w:rsidR="000D7688" w:rsidRPr="000D3C27">
        <w:rPr>
          <w:lang w:val="en-GB"/>
        </w:rPr>
        <w:t xml:space="preserve"> the chemical specific cytotoxicity point and the bottom line is the chemical specific lower bound of cytotoxicity</w:t>
      </w:r>
      <w:r w:rsidR="000D7688">
        <w:rPr>
          <w:lang w:val="en-GB"/>
        </w:rPr>
        <w:t>. Points above the bottom line are considered inactive as their response</w:t>
      </w:r>
      <w:r w:rsidR="003328D2">
        <w:rPr>
          <w:lang w:val="en-GB"/>
        </w:rPr>
        <w:t xml:space="preserve"> in the specific assay</w:t>
      </w:r>
      <w:r w:rsidR="000D7688">
        <w:rPr>
          <w:lang w:val="en-GB"/>
        </w:rPr>
        <w:t xml:space="preserve"> is</w:t>
      </w:r>
      <w:r w:rsidR="003328D2">
        <w:rPr>
          <w:lang w:val="en-GB"/>
        </w:rPr>
        <w:t xml:space="preserve"> either</w:t>
      </w:r>
      <w:r w:rsidR="000D7688">
        <w:rPr>
          <w:lang w:val="en-GB"/>
        </w:rPr>
        <w:t xml:space="preserve"> weak, or </w:t>
      </w:r>
      <w:r w:rsidR="009B3A0C">
        <w:rPr>
          <w:lang w:val="en-GB"/>
        </w:rPr>
        <w:t xml:space="preserve">potentially </w:t>
      </w:r>
      <w:r w:rsidR="000D7688">
        <w:rPr>
          <w:lang w:val="en-GB"/>
        </w:rPr>
        <w:t>caused by cytotoxicity. Using this approach b</w:t>
      </w:r>
      <w:r w:rsidRPr="000D3C27">
        <w:rPr>
          <w:lang w:val="en-GB"/>
        </w:rPr>
        <w:t xml:space="preserve">lue </w:t>
      </w:r>
      <w:r>
        <w:rPr>
          <w:lang w:val="en-GB"/>
        </w:rPr>
        <w:t>point</w:t>
      </w:r>
      <w:r w:rsidRPr="000D3C27">
        <w:rPr>
          <w:lang w:val="en-GB"/>
        </w:rPr>
        <w:t>s are consider</w:t>
      </w:r>
      <w:r>
        <w:rPr>
          <w:lang w:val="en-GB"/>
        </w:rPr>
        <w:t>ed</w:t>
      </w:r>
      <w:r w:rsidRPr="000D3C27">
        <w:rPr>
          <w:lang w:val="en-GB"/>
        </w:rPr>
        <w:t xml:space="preserve"> active</w:t>
      </w:r>
      <w:r>
        <w:rPr>
          <w:lang w:val="en-GB"/>
        </w:rPr>
        <w:t xml:space="preserve"> and</w:t>
      </w:r>
      <w:r w:rsidR="000D7688">
        <w:rPr>
          <w:lang w:val="en-GB"/>
        </w:rPr>
        <w:t xml:space="preserve"> red point</w:t>
      </w:r>
      <w:r w:rsidRPr="000D3C27">
        <w:rPr>
          <w:lang w:val="en-GB"/>
        </w:rPr>
        <w:t xml:space="preserve">s are </w:t>
      </w:r>
      <w:r>
        <w:rPr>
          <w:lang w:val="en-GB"/>
        </w:rPr>
        <w:t>con</w:t>
      </w:r>
      <w:r w:rsidRPr="000D3C27">
        <w:rPr>
          <w:lang w:val="en-GB"/>
        </w:rPr>
        <w:t>sider</w:t>
      </w:r>
      <w:r>
        <w:rPr>
          <w:lang w:val="en-GB"/>
        </w:rPr>
        <w:t>ed</w:t>
      </w:r>
      <w:r w:rsidRPr="000D3C27">
        <w:rPr>
          <w:lang w:val="en-GB"/>
        </w:rPr>
        <w:t xml:space="preserve"> </w:t>
      </w:r>
      <w:r>
        <w:rPr>
          <w:lang w:val="en-GB"/>
        </w:rPr>
        <w:t>i</w:t>
      </w:r>
      <w:r w:rsidRPr="000D3C27">
        <w:rPr>
          <w:lang w:val="en-GB"/>
        </w:rPr>
        <w:t>nactive</w:t>
      </w:r>
      <w:r w:rsidR="000D7688">
        <w:rPr>
          <w:lang w:val="en-GB"/>
        </w:rPr>
        <w:t>. One</w:t>
      </w:r>
      <w:r w:rsidRPr="000D3C27">
        <w:rPr>
          <w:lang w:val="en-GB"/>
        </w:rPr>
        <w:t xml:space="preserve"> red point </w:t>
      </w:r>
      <w:r w:rsidR="000D7688">
        <w:rPr>
          <w:lang w:val="en-GB"/>
        </w:rPr>
        <w:t>lies below the lower bound of chemical specific cytotoxicity due to at</w:t>
      </w:r>
      <w:r w:rsidRPr="000D3C27">
        <w:rPr>
          <w:lang w:val="en-GB"/>
        </w:rPr>
        <w:t xml:space="preserve"> least 1 quality control flag used to further increase confidence that an active call is "true" activity.</w:t>
      </w:r>
    </w:p>
    <w:p w14:paraId="347E4547" w14:textId="32A891F9" w:rsidR="000D6B97" w:rsidRDefault="0053684A" w:rsidP="000D6B97">
      <w:pPr>
        <w:spacing w:after="0"/>
        <w:jc w:val="left"/>
        <w:rPr>
          <w:u w:val="single"/>
          <w:lang w:val="en-GB"/>
        </w:rPr>
      </w:pPr>
      <w:r>
        <w:rPr>
          <w:noProof/>
          <w:lang w:val="en-GB" w:eastAsia="en-GB"/>
        </w:rPr>
        <w:lastRenderedPageBreak/>
        <w:drawing>
          <wp:inline distT="0" distB="0" distL="0" distR="0" wp14:anchorId="3F68AEEE" wp14:editId="72FCA518">
            <wp:extent cx="5943600" cy="59436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Viability_vs_target_scatterplot.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943600" cy="5943600"/>
                    </a:xfrm>
                    <a:prstGeom prst="rect">
                      <a:avLst/>
                    </a:prstGeom>
                  </pic:spPr>
                </pic:pic>
              </a:graphicData>
            </a:graphic>
          </wp:inline>
        </w:drawing>
      </w:r>
    </w:p>
    <w:p w14:paraId="6B347348" w14:textId="77777777" w:rsidR="000D6B97" w:rsidRDefault="000D6B97" w:rsidP="000D6B97">
      <w:pPr>
        <w:spacing w:after="0"/>
        <w:jc w:val="left"/>
        <w:rPr>
          <w:b/>
          <w:lang w:val="en-GB"/>
        </w:rPr>
      </w:pPr>
    </w:p>
    <w:p w14:paraId="56377DBA" w14:textId="77777777" w:rsidR="000D6B97" w:rsidRDefault="000D6B97" w:rsidP="000D6B97">
      <w:pPr>
        <w:spacing w:after="0"/>
        <w:jc w:val="left"/>
        <w:rPr>
          <w:b/>
          <w:lang w:val="en-GB"/>
        </w:rPr>
      </w:pPr>
    </w:p>
    <w:p w14:paraId="29DF2A0E" w14:textId="77777777" w:rsidR="000D6B97" w:rsidRDefault="000D6B97" w:rsidP="000D6B97">
      <w:pPr>
        <w:spacing w:after="0"/>
        <w:jc w:val="left"/>
        <w:rPr>
          <w:b/>
          <w:lang w:val="en-GB"/>
        </w:rPr>
      </w:pPr>
    </w:p>
    <w:p w14:paraId="7F21936B" w14:textId="251D1A62" w:rsidR="000D6B97" w:rsidRDefault="000D6B97" w:rsidP="000D6B97">
      <w:pPr>
        <w:spacing w:after="0"/>
        <w:jc w:val="left"/>
        <w:rPr>
          <w:u w:val="single"/>
          <w:lang w:val="en-GB"/>
        </w:rPr>
      </w:pPr>
      <w:r w:rsidRPr="00E976E0">
        <w:rPr>
          <w:b/>
          <w:lang w:val="en-GB"/>
        </w:rPr>
        <w:t xml:space="preserve">Figure </w:t>
      </w:r>
      <w:r w:rsidR="000D3C27">
        <w:rPr>
          <w:b/>
          <w:lang w:val="en-GB"/>
        </w:rPr>
        <w:t>2</w:t>
      </w:r>
      <w:r w:rsidRPr="00E976E0">
        <w:rPr>
          <w:b/>
          <w:lang w:val="en-GB"/>
        </w:rPr>
        <w:t xml:space="preserve"> </w:t>
      </w:r>
      <w:r>
        <w:rPr>
          <w:lang w:val="en-GB"/>
        </w:rPr>
        <w:t>Scatterplot of -logAC50 values for chemicals tested within each cytotoxicity assay against the results for the specific target counterpart assay. Points lying along the diagonal were investigated and it was observed that four quality control flags (</w:t>
      </w:r>
      <w:r w:rsidRPr="00AC2FAC">
        <w:rPr>
          <w:rFonts w:ascii="Times New Roman" w:hAnsi="Times New Roman"/>
        </w:rPr>
        <w:t>“Only one concentration above baseline, active”, “Borderline active”, “Gain AC50 &lt; lowest concentration and loss AC50 &lt; mean concentration”, and “Hit-call potentially confounded by overfitting”</w:t>
      </w:r>
      <w:r>
        <w:rPr>
          <w:rFonts w:ascii="Times New Roman" w:hAnsi="Times New Roman"/>
        </w:rPr>
        <w:t xml:space="preserve">) </w:t>
      </w:r>
      <w:r>
        <w:rPr>
          <w:lang w:val="en-GB"/>
        </w:rPr>
        <w:t>were associated with a large number of these points. These flags were subsequently used to further increase confidence in active calls.</w:t>
      </w:r>
      <w:r>
        <w:rPr>
          <w:u w:val="single"/>
          <w:lang w:val="en-GB"/>
        </w:rPr>
        <w:br w:type="page"/>
      </w:r>
    </w:p>
    <w:p w14:paraId="05C8D3B1" w14:textId="77777777" w:rsidR="000D6B97" w:rsidRDefault="000D6B97" w:rsidP="007E26AF">
      <w:pPr>
        <w:pStyle w:val="TFReferencesSection"/>
        <w:spacing w:after="240"/>
        <w:ind w:firstLine="0"/>
        <w:jc w:val="left"/>
        <w:rPr>
          <w:lang w:val="en-GB"/>
        </w:rPr>
        <w:sectPr w:rsidR="000D6B97" w:rsidSect="000D3C27">
          <w:pgSz w:w="15840" w:h="12240" w:orient="landscape"/>
          <w:pgMar w:top="1440" w:right="1440" w:bottom="1440" w:left="1440" w:header="0" w:footer="0" w:gutter="0"/>
          <w:cols w:space="475"/>
          <w:docGrid w:linePitch="326"/>
        </w:sectPr>
      </w:pPr>
    </w:p>
    <w:p w14:paraId="6C61D33A" w14:textId="77777777" w:rsidR="00476EF3" w:rsidRPr="00BA6959" w:rsidRDefault="00476EF3" w:rsidP="00476EF3">
      <w:pPr>
        <w:pStyle w:val="BHBriefs"/>
        <w:spacing w:after="240"/>
        <w:jc w:val="left"/>
        <w:rPr>
          <w:u w:val="single"/>
          <w:lang w:val="en-GB"/>
        </w:rPr>
      </w:pPr>
      <w:r w:rsidRPr="00BA6959">
        <w:rPr>
          <w:noProof/>
          <w:lang w:val="en-GB" w:eastAsia="en-GB"/>
        </w:rPr>
        <w:lastRenderedPageBreak/>
        <w:drawing>
          <wp:inline distT="0" distB="0" distL="0" distR="0" wp14:anchorId="73C65DF9" wp14:editId="38A523D2">
            <wp:extent cx="5942670" cy="1293124"/>
            <wp:effectExtent l="0" t="0" r="1270" b="254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im.e.allen\Desktop\Project V2.0\V2.0 Alert Generation Graphic (general data) (paper).png"/>
                    <pic:cNvPicPr>
                      <a:picLocks noChangeAspect="1" noChangeArrowheads="1"/>
                    </pic:cNvPicPr>
                  </pic:nvPicPr>
                  <pic:blipFill>
                    <a:blip r:embed="rId16" cstate="print">
                      <a:extLst>
                        <a:ext uri="{28A0092B-C50C-407E-A947-70E740481C1C}">
                          <a14:useLocalDpi xmlns:a14="http://schemas.microsoft.com/office/drawing/2010/main" val="0"/>
                        </a:ext>
                      </a:extLst>
                    </a:blip>
                    <a:stretch>
                      <a:fillRect/>
                    </a:stretch>
                  </pic:blipFill>
                  <pic:spPr bwMode="auto">
                    <a:xfrm>
                      <a:off x="0" y="0"/>
                      <a:ext cx="5942670" cy="1293124"/>
                    </a:xfrm>
                    <a:prstGeom prst="rect">
                      <a:avLst/>
                    </a:prstGeom>
                    <a:noFill/>
                    <a:ln>
                      <a:noFill/>
                    </a:ln>
                  </pic:spPr>
                </pic:pic>
              </a:graphicData>
            </a:graphic>
          </wp:inline>
        </w:drawing>
      </w:r>
    </w:p>
    <w:p w14:paraId="0C4373FE" w14:textId="5DB5E9D6" w:rsidR="00476EF3" w:rsidRDefault="00476EF3" w:rsidP="00476EF3">
      <w:pPr>
        <w:rPr>
          <w:lang w:val="en-GB"/>
        </w:rPr>
      </w:pPr>
      <w:r w:rsidRPr="00BA6959">
        <w:rPr>
          <w:b/>
          <w:lang w:val="en-GB"/>
        </w:rPr>
        <w:t xml:space="preserve">Figure </w:t>
      </w:r>
      <w:r w:rsidR="000D3C27">
        <w:rPr>
          <w:b/>
          <w:lang w:val="en-GB"/>
        </w:rPr>
        <w:t>3</w:t>
      </w:r>
      <w:r w:rsidRPr="00BA6959">
        <w:rPr>
          <w:lang w:val="en-GB"/>
        </w:rPr>
        <w:t xml:space="preserve">. </w:t>
      </w:r>
      <w:r w:rsidR="00BB56C3">
        <w:rPr>
          <w:lang w:val="en-GB"/>
        </w:rPr>
        <w:t>The</w:t>
      </w:r>
      <w:r w:rsidRPr="00BA6959">
        <w:rPr>
          <w:lang w:val="en-GB"/>
        </w:rPr>
        <w:t xml:space="preserve"> computational procedure for structural alert generation and the criteria for </w:t>
      </w:r>
      <w:r w:rsidR="00BB56C3">
        <w:rPr>
          <w:lang w:val="en-GB"/>
        </w:rPr>
        <w:t xml:space="preserve">different </w:t>
      </w:r>
      <w:r w:rsidRPr="00BA6959">
        <w:rPr>
          <w:lang w:val="en-GB"/>
        </w:rPr>
        <w:t>model</w:t>
      </w:r>
      <w:r w:rsidR="00BB56C3">
        <w:rPr>
          <w:lang w:val="en-GB"/>
        </w:rPr>
        <w:t>s</w:t>
      </w:r>
      <w:r w:rsidRPr="00BA6959">
        <w:rPr>
          <w:lang w:val="en-GB"/>
        </w:rPr>
        <w:t xml:space="preserve">.  An iterative process is used to find the largest alert common to 2% of the training set, code the alert </w:t>
      </w:r>
      <w:r w:rsidR="00BB56C3">
        <w:rPr>
          <w:lang w:val="en-GB"/>
        </w:rPr>
        <w:t>in</w:t>
      </w:r>
      <w:r w:rsidRPr="00BA6959">
        <w:rPr>
          <w:lang w:val="en-GB"/>
        </w:rPr>
        <w:t xml:space="preserve"> SMILES and calculate its performance statistics. This iterative loop runs until a fragment </w:t>
      </w:r>
      <w:r w:rsidR="00C72EA5">
        <w:rPr>
          <w:lang w:val="en-GB"/>
        </w:rPr>
        <w:t>category i</w:t>
      </w:r>
      <w:r w:rsidRPr="00BA6959">
        <w:rPr>
          <w:lang w:val="en-GB"/>
        </w:rPr>
        <w:t xml:space="preserve">s identified </w:t>
      </w:r>
      <w:r w:rsidR="00C72EA5">
        <w:rPr>
          <w:lang w:val="en-GB"/>
        </w:rPr>
        <w:t>containing</w:t>
      </w:r>
      <w:r w:rsidRPr="00BA6959">
        <w:rPr>
          <w:lang w:val="en-GB"/>
        </w:rPr>
        <w:t xml:space="preserve"> only one chemical. </w:t>
      </w:r>
      <w:r w:rsidR="00BB56C3">
        <w:rPr>
          <w:lang w:val="en-GB"/>
        </w:rPr>
        <w:t>A</w:t>
      </w:r>
      <w:r w:rsidRPr="00BA6959">
        <w:rPr>
          <w:lang w:val="en-GB"/>
        </w:rPr>
        <w:t xml:space="preserve"> human expert can </w:t>
      </w:r>
      <w:r w:rsidR="00BB56C3">
        <w:rPr>
          <w:lang w:val="en-GB"/>
        </w:rPr>
        <w:t xml:space="preserve">then </w:t>
      </w:r>
      <w:r w:rsidRPr="00BA6959">
        <w:rPr>
          <w:lang w:val="en-GB"/>
        </w:rPr>
        <w:t xml:space="preserve">judge on </w:t>
      </w:r>
      <w:r w:rsidR="00BB56C3">
        <w:rPr>
          <w:lang w:val="en-GB"/>
        </w:rPr>
        <w:t>alert</w:t>
      </w:r>
      <w:r w:rsidRPr="00BA6959">
        <w:rPr>
          <w:lang w:val="en-GB"/>
        </w:rPr>
        <w:t xml:space="preserve"> effectiveness</w:t>
      </w:r>
      <w:r w:rsidR="00C72EA5">
        <w:rPr>
          <w:lang w:val="en-GB"/>
        </w:rPr>
        <w:t>.</w:t>
      </w:r>
      <w:r w:rsidR="00C72EA5">
        <w:rPr>
          <w:noProof/>
          <w:lang w:val="en-GB"/>
        </w:rPr>
        <w:t xml:space="preserve"> Here</w:t>
      </w:r>
      <w:r w:rsidRPr="00BA6959">
        <w:rPr>
          <w:lang w:val="en-GB"/>
        </w:rPr>
        <w:t xml:space="preserve"> we present two model</w:t>
      </w:r>
      <w:r w:rsidR="00C72EA5">
        <w:rPr>
          <w:lang w:val="en-GB"/>
        </w:rPr>
        <w:t>s</w:t>
      </w:r>
      <w:r w:rsidRPr="00BA6959">
        <w:rPr>
          <w:lang w:val="en-GB"/>
        </w:rPr>
        <w:t xml:space="preserve">, one for risk </w:t>
      </w:r>
      <w:r w:rsidR="001F3927">
        <w:rPr>
          <w:lang w:val="en-GB"/>
        </w:rPr>
        <w:t>evaluation</w:t>
      </w:r>
      <w:r w:rsidRPr="00BA6959">
        <w:rPr>
          <w:lang w:val="en-GB"/>
        </w:rPr>
        <w:t xml:space="preserve"> and one for chemical screening. MCSS=Maximal Common Substructure</w:t>
      </w:r>
      <w:r w:rsidR="001969B7" w:rsidRPr="00BA6959">
        <w:rPr>
          <w:lang w:val="en-GB"/>
        </w:rPr>
        <w:t>.</w:t>
      </w:r>
      <w:r w:rsidR="008E6CB3" w:rsidRPr="008E6CB3">
        <w:t xml:space="preserve"> </w:t>
      </w:r>
      <w:r w:rsidR="008E6CB3" w:rsidRPr="008E6CB3">
        <w:rPr>
          <w:lang w:val="en-GB"/>
        </w:rPr>
        <w:t xml:space="preserve">Allen, T. E. H.; Goodman, J. M.; Gutsell, S.; Russell, P. J. Using 2D Structural Alerts to Define Chemical Categories for Molecular Initiating Events. </w:t>
      </w:r>
      <w:proofErr w:type="spellStart"/>
      <w:r w:rsidR="008E6CB3" w:rsidRPr="008E6CB3">
        <w:rPr>
          <w:lang w:val="en-GB"/>
        </w:rPr>
        <w:t>Toxicol</w:t>
      </w:r>
      <w:proofErr w:type="spellEnd"/>
      <w:r w:rsidR="008E6CB3" w:rsidRPr="008E6CB3">
        <w:rPr>
          <w:lang w:val="en-GB"/>
        </w:rPr>
        <w:t>. Sci. 2018, 165 (1), 213–223.</w:t>
      </w:r>
      <w:r w:rsidR="008E6CB3">
        <w:rPr>
          <w:lang w:val="en-GB"/>
        </w:rPr>
        <w:t xml:space="preserve"> </w:t>
      </w:r>
      <w:r w:rsidR="008E6CB3" w:rsidRPr="008E6CB3">
        <w:rPr>
          <w:lang w:val="en-GB"/>
        </w:rPr>
        <w:t>by permission of Oxford University Press</w:t>
      </w:r>
      <w:r w:rsidR="008E6CB3">
        <w:rPr>
          <w:lang w:val="en-GB"/>
        </w:rPr>
        <w:t>.</w:t>
      </w:r>
    </w:p>
    <w:p w14:paraId="7FF13906" w14:textId="402C30A1" w:rsidR="00C72EA5" w:rsidRDefault="00C72EA5">
      <w:pPr>
        <w:spacing w:after="0"/>
        <w:jc w:val="left"/>
        <w:rPr>
          <w:lang w:val="en-GB"/>
        </w:rPr>
      </w:pPr>
      <w:r>
        <w:rPr>
          <w:lang w:val="en-GB"/>
        </w:rPr>
        <w:br w:type="page"/>
      </w:r>
    </w:p>
    <w:p w14:paraId="7A525E30" w14:textId="77777777" w:rsidR="00C72EA5" w:rsidRPr="00BA6959" w:rsidRDefault="00C72EA5" w:rsidP="00476EF3">
      <w:pPr>
        <w:rPr>
          <w:u w:val="single"/>
          <w:lang w:val="en-GB"/>
        </w:rPr>
        <w:sectPr w:rsidR="00C72EA5" w:rsidRPr="00BA6959" w:rsidSect="000D6B97">
          <w:pgSz w:w="12240" w:h="15840"/>
          <w:pgMar w:top="1440" w:right="1440" w:bottom="1440" w:left="1440" w:header="0" w:footer="0" w:gutter="0"/>
          <w:cols w:space="475"/>
          <w:docGrid w:linePitch="326"/>
        </w:sectPr>
      </w:pPr>
    </w:p>
    <w:p w14:paraId="6E304530" w14:textId="26D8AF74" w:rsidR="00F26A3A" w:rsidRDefault="00F26A3A" w:rsidP="00F26A3A">
      <w:pPr>
        <w:spacing w:after="0"/>
        <w:jc w:val="left"/>
        <w:rPr>
          <w:lang w:val="en-GB"/>
        </w:rPr>
      </w:pPr>
    </w:p>
    <w:p w14:paraId="4CDB4410" w14:textId="77777777" w:rsidR="00F26A3A" w:rsidRPr="00BA6959" w:rsidRDefault="00F26A3A" w:rsidP="00F26A3A">
      <w:pPr>
        <w:rPr>
          <w:u w:val="single"/>
          <w:lang w:val="en-GB"/>
        </w:rPr>
        <w:sectPr w:rsidR="00F26A3A" w:rsidRPr="00BA6959" w:rsidSect="00F26A3A">
          <w:type w:val="continuous"/>
          <w:pgSz w:w="12240" w:h="15840"/>
          <w:pgMar w:top="1440" w:right="1440" w:bottom="1440" w:left="1440" w:header="0" w:footer="0" w:gutter="0"/>
          <w:cols w:space="475"/>
          <w:docGrid w:linePitch="326"/>
        </w:sectPr>
      </w:pPr>
    </w:p>
    <w:p w14:paraId="12CEFCF2" w14:textId="77777777" w:rsidR="00F26A3A" w:rsidRDefault="00F26A3A" w:rsidP="00F26A3A">
      <w:pPr>
        <w:rPr>
          <w:b/>
          <w:lang w:val="en-GB"/>
        </w:rPr>
      </w:pPr>
      <w:r>
        <w:rPr>
          <w:b/>
          <w:noProof/>
          <w:lang w:val="en-GB"/>
        </w:rPr>
        <w:drawing>
          <wp:anchor distT="0" distB="0" distL="114300" distR="114300" simplePos="0" relativeHeight="251659264" behindDoc="1" locked="0" layoutInCell="1" allowOverlap="1" wp14:anchorId="6599BCCB" wp14:editId="55EC9302">
            <wp:simplePos x="0" y="0"/>
            <wp:positionH relativeFrom="margin">
              <wp:align>left</wp:align>
            </wp:positionH>
            <wp:positionV relativeFrom="paragraph">
              <wp:posOffset>0</wp:posOffset>
            </wp:positionV>
            <wp:extent cx="3076575" cy="3890010"/>
            <wp:effectExtent l="0" t="0" r="9525" b="0"/>
            <wp:wrapTopAndBottom/>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076575" cy="389001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9CA8F4E" w14:textId="77777777" w:rsidR="00F26A3A" w:rsidRDefault="00F26A3A" w:rsidP="00F26A3A">
      <w:pPr>
        <w:rPr>
          <w:lang w:val="en-GB"/>
        </w:rPr>
      </w:pPr>
      <w:r w:rsidRPr="00BA6959">
        <w:rPr>
          <w:b/>
          <w:lang w:val="en-GB"/>
        </w:rPr>
        <w:t xml:space="preserve">Figure </w:t>
      </w:r>
      <w:r>
        <w:rPr>
          <w:b/>
          <w:lang w:val="en-GB"/>
        </w:rPr>
        <w:t>4</w:t>
      </w:r>
      <w:r w:rsidRPr="00BA6959">
        <w:rPr>
          <w:lang w:val="en-GB"/>
        </w:rPr>
        <w:t xml:space="preserve">. </w:t>
      </w:r>
      <w:r>
        <w:rPr>
          <w:lang w:val="en-GB"/>
        </w:rPr>
        <w:t>Typical binders for AR (Testosterone) and GR (Dexamethasone) are shown alongside the largest structural alerts contained within their structures. These structures shown the importance of the steroidal shape of the binders and their hydrogen bonding potential.</w:t>
      </w:r>
    </w:p>
    <w:p w14:paraId="5AE87070" w14:textId="77777777" w:rsidR="00F26A3A" w:rsidRPr="00BA6959" w:rsidRDefault="00F26A3A" w:rsidP="00F26A3A">
      <w:pPr>
        <w:pStyle w:val="TFReferencesSection"/>
        <w:spacing w:after="240"/>
        <w:ind w:firstLine="0"/>
        <w:jc w:val="left"/>
        <w:rPr>
          <w:lang w:val="en-GB"/>
        </w:rPr>
      </w:pPr>
    </w:p>
    <w:p w14:paraId="1416F5B6" w14:textId="222E4F02" w:rsidR="007E26AF" w:rsidRPr="00BA6959" w:rsidRDefault="007E26AF">
      <w:pPr>
        <w:spacing w:after="0"/>
        <w:jc w:val="left"/>
        <w:rPr>
          <w:lang w:val="en-GB"/>
        </w:rPr>
      </w:pPr>
    </w:p>
    <w:p w14:paraId="4FDCFC2A" w14:textId="77777777" w:rsidR="00FE1CD8" w:rsidRPr="00BA6959" w:rsidRDefault="00FE1CD8">
      <w:pPr>
        <w:spacing w:after="0"/>
        <w:jc w:val="left"/>
        <w:rPr>
          <w:u w:val="single"/>
          <w:lang w:val="en-GB"/>
        </w:rPr>
        <w:sectPr w:rsidR="00FE1CD8" w:rsidRPr="00BA6959" w:rsidSect="000B5610">
          <w:footerReference w:type="even" r:id="rId18"/>
          <w:footerReference w:type="default" r:id="rId19"/>
          <w:type w:val="continuous"/>
          <w:pgSz w:w="12240" w:h="15840"/>
          <w:pgMar w:top="1440" w:right="1440" w:bottom="1440" w:left="1440" w:header="0" w:footer="0" w:gutter="0"/>
          <w:cols w:space="475"/>
          <w:docGrid w:linePitch="326"/>
        </w:sectPr>
      </w:pPr>
    </w:p>
    <w:p w14:paraId="6BC2C82C" w14:textId="77777777" w:rsidR="00FE1CD8" w:rsidRPr="00BA6959" w:rsidRDefault="00FE1CD8">
      <w:pPr>
        <w:spacing w:after="0"/>
        <w:jc w:val="left"/>
        <w:rPr>
          <w:u w:val="single"/>
          <w:lang w:val="en-GB"/>
        </w:rPr>
      </w:pPr>
      <w:r w:rsidRPr="00BA6959">
        <w:rPr>
          <w:noProof/>
          <w:lang w:val="en-GB" w:eastAsia="en-GB"/>
        </w:rPr>
        <w:lastRenderedPageBreak/>
        <w:drawing>
          <wp:inline distT="0" distB="0" distL="0" distR="0" wp14:anchorId="2DAFFD02" wp14:editId="5389F2B8">
            <wp:extent cx="8229600" cy="5369560"/>
            <wp:effectExtent l="0" t="0" r="0" b="254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2A8635EC" w14:textId="77777777" w:rsidR="00FE1CD8" w:rsidRPr="00BA6959" w:rsidRDefault="00FE1CD8">
      <w:pPr>
        <w:spacing w:after="0"/>
        <w:jc w:val="left"/>
        <w:rPr>
          <w:u w:val="single"/>
          <w:lang w:val="en-GB"/>
        </w:rPr>
      </w:pPr>
    </w:p>
    <w:p w14:paraId="79CF74F9" w14:textId="531210C3" w:rsidR="00FE1CD8" w:rsidRPr="00BA6959" w:rsidRDefault="00FE1CD8" w:rsidP="00FE1CD8">
      <w:pPr>
        <w:pStyle w:val="BHBriefs"/>
        <w:spacing w:after="240"/>
        <w:jc w:val="left"/>
        <w:rPr>
          <w:lang w:val="en-GB"/>
        </w:rPr>
      </w:pPr>
      <w:r w:rsidRPr="00BA6959">
        <w:rPr>
          <w:b/>
          <w:lang w:val="en-GB"/>
        </w:rPr>
        <w:lastRenderedPageBreak/>
        <w:t xml:space="preserve">Figure </w:t>
      </w:r>
      <w:r w:rsidR="0069175A">
        <w:rPr>
          <w:b/>
          <w:lang w:val="en-GB"/>
        </w:rPr>
        <w:t>5</w:t>
      </w:r>
      <w:r w:rsidRPr="00BA6959">
        <w:rPr>
          <w:b/>
          <w:lang w:val="en-GB"/>
        </w:rPr>
        <w:t xml:space="preserve">. </w:t>
      </w:r>
      <w:r w:rsidRPr="00BA6959">
        <w:rPr>
          <w:lang w:val="en-GB"/>
        </w:rPr>
        <w:t>Sensitivities for each AR ToxCast assay for chemicals in specific chemical categories, shown graphically. Each category is defined by an individual structural alert. Assay names are abbreviated for convenience. Some values are zero due to no chemicals in those categories being tested in that specific assay, these can be identified using Table 3. AR=androgen receptor, ATG_AR=</w:t>
      </w:r>
      <w:proofErr w:type="spellStart"/>
      <w:r w:rsidRPr="00BA6959">
        <w:rPr>
          <w:lang w:val="en-GB"/>
        </w:rPr>
        <w:t>ATG_AR_TRANS_up</w:t>
      </w:r>
      <w:proofErr w:type="spellEnd"/>
      <w:r w:rsidRPr="00BA6959">
        <w:rPr>
          <w:lang w:val="en-GB"/>
        </w:rPr>
        <w:t xml:space="preserve">, </w:t>
      </w:r>
      <w:proofErr w:type="spellStart"/>
      <w:r w:rsidRPr="00BA6959">
        <w:rPr>
          <w:lang w:val="en-GB"/>
        </w:rPr>
        <w:t>NVS_hAR</w:t>
      </w:r>
      <w:proofErr w:type="spellEnd"/>
      <w:r w:rsidRPr="00BA6959">
        <w:rPr>
          <w:lang w:val="en-GB"/>
        </w:rPr>
        <w:t>=</w:t>
      </w:r>
      <w:proofErr w:type="spellStart"/>
      <w:r w:rsidRPr="00BA6959">
        <w:rPr>
          <w:lang w:val="en-GB"/>
        </w:rPr>
        <w:t>NVS_NR_hAR</w:t>
      </w:r>
      <w:proofErr w:type="spellEnd"/>
      <w:r w:rsidRPr="00BA6959">
        <w:rPr>
          <w:lang w:val="en-GB"/>
        </w:rPr>
        <w:t xml:space="preserve">, </w:t>
      </w:r>
      <w:proofErr w:type="spellStart"/>
      <w:r w:rsidRPr="00BA6959">
        <w:rPr>
          <w:lang w:val="en-GB"/>
        </w:rPr>
        <w:t>NVS_rAR</w:t>
      </w:r>
      <w:proofErr w:type="spellEnd"/>
      <w:r w:rsidRPr="00BA6959">
        <w:rPr>
          <w:lang w:val="en-GB"/>
        </w:rPr>
        <w:t>=</w:t>
      </w:r>
      <w:proofErr w:type="spellStart"/>
      <w:r w:rsidRPr="00BA6959">
        <w:rPr>
          <w:lang w:val="en-GB"/>
        </w:rPr>
        <w:t>NVS_NR_rAR</w:t>
      </w:r>
      <w:proofErr w:type="spellEnd"/>
      <w:r w:rsidRPr="00BA6959">
        <w:rPr>
          <w:lang w:val="en-GB"/>
        </w:rPr>
        <w:t xml:space="preserve">, OT_LUC_1440=OT_AR_ARELUC_AG_1440, OT_RC1_0480=OT_AR_ARSRC1_0480, OT_RC1_0960=OT_AR_ARSRC1_0960, TOX21_BLA_Ago=TOX21_AR_BLA_Agonist_ratio, TOX21_BLA_Ant=TOX21_AR_BLA_Antagonist_ratio, TOX21_LUC_Ago=TOX21_AR_LUC_MDAKB2_Agonist, TOX21_LUC_Ant=TOX21_AR_LUC_MDAKB2_Antagonist, TOX21_LUC_Ant2=TOX21_AR_LUC_MDAKB2_Antagonist2. </w:t>
      </w:r>
    </w:p>
    <w:p w14:paraId="26C77749" w14:textId="77777777" w:rsidR="00FE1CD8" w:rsidRPr="00BA6959" w:rsidRDefault="00FE1CD8" w:rsidP="00FE1CD8">
      <w:pPr>
        <w:pStyle w:val="BHBriefs"/>
        <w:spacing w:after="240"/>
        <w:jc w:val="left"/>
        <w:rPr>
          <w:lang w:val="en-GB"/>
        </w:rPr>
      </w:pPr>
    </w:p>
    <w:p w14:paraId="4D37E4B0" w14:textId="77777777" w:rsidR="00FE1CD8" w:rsidRPr="00BA6959" w:rsidRDefault="00FE1CD8">
      <w:pPr>
        <w:spacing w:after="0"/>
        <w:jc w:val="left"/>
        <w:rPr>
          <w:u w:val="single"/>
          <w:lang w:val="en-GB"/>
        </w:rPr>
      </w:pPr>
      <w:r w:rsidRPr="00BA6959">
        <w:rPr>
          <w:u w:val="single"/>
          <w:lang w:val="en-GB"/>
        </w:rPr>
        <w:br w:type="page"/>
      </w:r>
    </w:p>
    <w:p w14:paraId="744D247A" w14:textId="77777777" w:rsidR="00FE1CD8" w:rsidRPr="00BA6959" w:rsidRDefault="00FE1CD8">
      <w:pPr>
        <w:spacing w:after="0"/>
        <w:jc w:val="left"/>
        <w:rPr>
          <w:u w:val="single"/>
          <w:lang w:val="en-GB"/>
        </w:rPr>
      </w:pPr>
      <w:r w:rsidRPr="00BA6959">
        <w:rPr>
          <w:noProof/>
          <w:lang w:val="en-GB" w:eastAsia="en-GB"/>
        </w:rPr>
        <w:lastRenderedPageBreak/>
        <w:drawing>
          <wp:inline distT="0" distB="0" distL="0" distR="0" wp14:anchorId="6E315123" wp14:editId="750292D0">
            <wp:extent cx="8229600" cy="5375275"/>
            <wp:effectExtent l="0" t="0" r="0" b="15875"/>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4E7D55C7" w14:textId="7719F27C" w:rsidR="00FE1CD8" w:rsidRPr="00BA6959" w:rsidRDefault="00FE1CD8" w:rsidP="00FE1CD8">
      <w:pPr>
        <w:pStyle w:val="ACSTEXT"/>
        <w:jc w:val="left"/>
        <w:rPr>
          <w:u w:val="single"/>
          <w:lang w:val="en-GB"/>
        </w:rPr>
      </w:pPr>
      <w:r w:rsidRPr="00BA6959">
        <w:rPr>
          <w:b/>
          <w:lang w:val="en-GB"/>
        </w:rPr>
        <w:lastRenderedPageBreak/>
        <w:t xml:space="preserve">Figure </w:t>
      </w:r>
      <w:r w:rsidR="0069175A">
        <w:rPr>
          <w:b/>
          <w:lang w:val="en-GB"/>
        </w:rPr>
        <w:t>6</w:t>
      </w:r>
      <w:r w:rsidRPr="00BA6959">
        <w:rPr>
          <w:b/>
          <w:lang w:val="en-GB"/>
        </w:rPr>
        <w:t xml:space="preserve">. </w:t>
      </w:r>
      <w:r w:rsidRPr="00BA6959">
        <w:rPr>
          <w:lang w:val="en-GB"/>
        </w:rPr>
        <w:t>Sensitivities for each GR ToxCast assay for chemicals in specific chemical categories, shown graphically. Each category is defined by an individual structural alert. Some values are zero due to no chemicals in those categories being tested in that specific assay, these can be identified using Table 4. GR=glucocorticoid receptor.</w:t>
      </w:r>
      <w:r w:rsidRPr="00BA6959">
        <w:rPr>
          <w:u w:val="single"/>
          <w:lang w:val="en-GB"/>
        </w:rPr>
        <w:br w:type="page"/>
      </w:r>
    </w:p>
    <w:p w14:paraId="39509E11" w14:textId="77777777" w:rsidR="00FE1CD8" w:rsidRPr="00BA6959" w:rsidRDefault="00FE1CD8" w:rsidP="00FE1CD8">
      <w:pPr>
        <w:pStyle w:val="ACSTEXT"/>
        <w:jc w:val="left"/>
        <w:rPr>
          <w:u w:val="single"/>
          <w:lang w:val="en-GB"/>
        </w:rPr>
      </w:pPr>
      <w:r w:rsidRPr="00BA6959">
        <w:rPr>
          <w:noProof/>
          <w:lang w:val="en-GB" w:eastAsia="en-GB"/>
        </w:rPr>
        <w:lastRenderedPageBreak/>
        <w:drawing>
          <wp:inline distT="0" distB="0" distL="0" distR="0" wp14:anchorId="7EC7335D" wp14:editId="3B0A7617">
            <wp:extent cx="8220710" cy="4692650"/>
            <wp:effectExtent l="0" t="0" r="8890" b="0"/>
            <wp:docPr id="3" name="Picture 3" descr="C:\Users\tim.e.allen\Desktop\EPA Collaboration\ToxCast Data\AR SAs\Sensitivity % for ToxCast Assays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im.e.allen\Desktop\EPA Collaboration\ToxCast Data\AR SAs\Sensitivity % for ToxCast Assays 2.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8220710" cy="4692650"/>
                    </a:xfrm>
                    <a:prstGeom prst="rect">
                      <a:avLst/>
                    </a:prstGeom>
                    <a:noFill/>
                    <a:ln>
                      <a:noFill/>
                    </a:ln>
                  </pic:spPr>
                </pic:pic>
              </a:graphicData>
            </a:graphic>
          </wp:inline>
        </w:drawing>
      </w:r>
    </w:p>
    <w:p w14:paraId="64CCC5CB" w14:textId="77777777" w:rsidR="00FE1CD8" w:rsidRPr="00BA6959" w:rsidRDefault="00FE1CD8" w:rsidP="00FE1CD8">
      <w:pPr>
        <w:pStyle w:val="ACSTEXT"/>
        <w:jc w:val="left"/>
        <w:rPr>
          <w:u w:val="single"/>
          <w:lang w:val="en-GB"/>
        </w:rPr>
      </w:pPr>
    </w:p>
    <w:p w14:paraId="1ECCF1DD" w14:textId="39788399" w:rsidR="00FE1CD8" w:rsidRPr="00BA6959" w:rsidRDefault="00FE1CD8" w:rsidP="00FE1CD8">
      <w:pPr>
        <w:pStyle w:val="BHBriefs"/>
        <w:spacing w:after="240"/>
        <w:jc w:val="left"/>
        <w:rPr>
          <w:lang w:val="en-GB"/>
        </w:rPr>
      </w:pPr>
      <w:r w:rsidRPr="00BA6959">
        <w:rPr>
          <w:b/>
          <w:lang w:val="en-GB"/>
        </w:rPr>
        <w:lastRenderedPageBreak/>
        <w:t xml:space="preserve">Figure </w:t>
      </w:r>
      <w:r w:rsidR="0069175A">
        <w:rPr>
          <w:b/>
          <w:lang w:val="en-GB"/>
        </w:rPr>
        <w:t>7</w:t>
      </w:r>
      <w:r w:rsidRPr="00BA6959">
        <w:rPr>
          <w:b/>
          <w:lang w:val="en-GB"/>
        </w:rPr>
        <w:t xml:space="preserve">. </w:t>
      </w:r>
      <w:r w:rsidRPr="00BA6959">
        <w:rPr>
          <w:lang w:val="en-GB"/>
        </w:rPr>
        <w:t>Sensitivities for selected AR ToxCast assays for chemicals in specific chemical categories, shown graphically. Each category is defined by an individual structural alert. Assay names are abbreviated for convenience. Some values are zero due to no chemicals in those categories being tested in that specific assay, these can be identified using Table 3. AR=androgen receptor, ATG_AR=</w:t>
      </w:r>
      <w:proofErr w:type="spellStart"/>
      <w:r w:rsidRPr="00BA6959">
        <w:rPr>
          <w:lang w:val="en-GB"/>
        </w:rPr>
        <w:t>ATG_AR_TRANS_up</w:t>
      </w:r>
      <w:proofErr w:type="spellEnd"/>
      <w:r w:rsidRPr="00BA6959">
        <w:rPr>
          <w:lang w:val="en-GB"/>
        </w:rPr>
        <w:t xml:space="preserve">, </w:t>
      </w:r>
      <w:proofErr w:type="spellStart"/>
      <w:r w:rsidRPr="00BA6959">
        <w:rPr>
          <w:lang w:val="en-GB"/>
        </w:rPr>
        <w:t>NVS_hAR</w:t>
      </w:r>
      <w:proofErr w:type="spellEnd"/>
      <w:r w:rsidRPr="00BA6959">
        <w:rPr>
          <w:lang w:val="en-GB"/>
        </w:rPr>
        <w:t>=</w:t>
      </w:r>
      <w:proofErr w:type="spellStart"/>
      <w:r w:rsidRPr="00BA6959">
        <w:rPr>
          <w:lang w:val="en-GB"/>
        </w:rPr>
        <w:t>NVS_NR_hAR</w:t>
      </w:r>
      <w:proofErr w:type="spellEnd"/>
      <w:r w:rsidRPr="00BA6959">
        <w:rPr>
          <w:lang w:val="en-GB"/>
        </w:rPr>
        <w:t xml:space="preserve">, </w:t>
      </w:r>
      <w:proofErr w:type="spellStart"/>
      <w:r w:rsidRPr="00BA6959">
        <w:rPr>
          <w:lang w:val="en-GB"/>
        </w:rPr>
        <w:t>NVS_rAR</w:t>
      </w:r>
      <w:proofErr w:type="spellEnd"/>
      <w:r w:rsidRPr="00BA6959">
        <w:rPr>
          <w:lang w:val="en-GB"/>
        </w:rPr>
        <w:t>=</w:t>
      </w:r>
      <w:proofErr w:type="spellStart"/>
      <w:r w:rsidRPr="00BA6959">
        <w:rPr>
          <w:lang w:val="en-GB"/>
        </w:rPr>
        <w:t>NVS_NR_rAR</w:t>
      </w:r>
      <w:proofErr w:type="spellEnd"/>
      <w:r w:rsidRPr="00BA6959">
        <w:rPr>
          <w:lang w:val="en-GB"/>
        </w:rPr>
        <w:t xml:space="preserve">, OT_LUC_1440=OT_AR_ARELUC_AG_1440, OT_RC1_0480=OT_AR_ARSRC1_0480, OT_RC1_0960=OT_AR_ARSRC1_0960, TOX21_BLA_Ago=TOX21_AR_BLA_Agonist_ratio, TOX21_BLA_Ant=TOX21_AR_BLA_Antagonist_ratio, TOX21_LUC_Ago=TOX21_AR_LUC_MDAKB2_Agonist, TOX21_LUC_Ant=TOX21_AR_LUC_MDAKB2_Antagonist, TOX21_LUC_Ant2=TOX21_AR_LUC_MDAKB2_Antagonist2. </w:t>
      </w:r>
    </w:p>
    <w:p w14:paraId="37675B17" w14:textId="77777777" w:rsidR="00FE1CD8" w:rsidRPr="00BA6959" w:rsidRDefault="00FE1CD8" w:rsidP="00FE1CD8">
      <w:pPr>
        <w:pStyle w:val="ACSTEXT"/>
        <w:jc w:val="left"/>
        <w:rPr>
          <w:u w:val="single"/>
          <w:lang w:val="en-GB"/>
        </w:rPr>
        <w:sectPr w:rsidR="00FE1CD8" w:rsidRPr="00BA6959" w:rsidSect="00FE1CD8">
          <w:type w:val="continuous"/>
          <w:pgSz w:w="15840" w:h="12240" w:orient="landscape"/>
          <w:pgMar w:top="1440" w:right="1440" w:bottom="1440" w:left="1440" w:header="0" w:footer="0" w:gutter="0"/>
          <w:cols w:space="475"/>
          <w:docGrid w:linePitch="326"/>
        </w:sectPr>
      </w:pPr>
    </w:p>
    <w:p w14:paraId="131E56DA" w14:textId="53EA2FEE" w:rsidR="00136CC4" w:rsidRPr="00E976E0" w:rsidRDefault="00136CC4">
      <w:pPr>
        <w:spacing w:after="0"/>
        <w:jc w:val="left"/>
        <w:rPr>
          <w:b/>
          <w:lang w:val="en-GB"/>
        </w:rPr>
      </w:pPr>
      <w:r w:rsidRPr="00E976E0">
        <w:rPr>
          <w:b/>
          <w:lang w:val="en-GB"/>
        </w:rPr>
        <w:lastRenderedPageBreak/>
        <w:br w:type="page"/>
      </w:r>
    </w:p>
    <w:p w14:paraId="0DF6A657" w14:textId="77777777" w:rsidR="007E26AF" w:rsidRPr="00BA6959" w:rsidRDefault="007E26AF" w:rsidP="007E26AF">
      <w:pPr>
        <w:pStyle w:val="TFReferencesSection"/>
        <w:spacing w:after="240"/>
        <w:ind w:firstLine="0"/>
        <w:jc w:val="left"/>
        <w:rPr>
          <w:lang w:val="en-GB"/>
        </w:rPr>
      </w:pPr>
      <w:r w:rsidRPr="00BA6959">
        <w:rPr>
          <w:u w:val="single"/>
          <w:lang w:val="en-GB"/>
        </w:rPr>
        <w:lastRenderedPageBreak/>
        <w:t>TABLES</w:t>
      </w:r>
    </w:p>
    <w:tbl>
      <w:tblPr>
        <w:tblW w:w="5812" w:type="dxa"/>
        <w:tblLook w:val="04A0" w:firstRow="1" w:lastRow="0" w:firstColumn="1" w:lastColumn="0" w:noHBand="0" w:noVBand="1"/>
      </w:tblPr>
      <w:tblGrid>
        <w:gridCol w:w="1030"/>
        <w:gridCol w:w="961"/>
        <w:gridCol w:w="960"/>
        <w:gridCol w:w="300"/>
        <w:gridCol w:w="640"/>
        <w:gridCol w:w="961"/>
        <w:gridCol w:w="960"/>
      </w:tblGrid>
      <w:tr w:rsidR="002779B7" w:rsidRPr="00BA6959" w14:paraId="1F6E795F" w14:textId="77777777" w:rsidTr="002779B7">
        <w:trPr>
          <w:trHeight w:val="300"/>
        </w:trPr>
        <w:tc>
          <w:tcPr>
            <w:tcW w:w="1030" w:type="dxa"/>
            <w:tcBorders>
              <w:top w:val="nil"/>
              <w:left w:val="nil"/>
              <w:bottom w:val="single" w:sz="4" w:space="0" w:color="auto"/>
              <w:right w:val="nil"/>
            </w:tcBorders>
            <w:shd w:val="clear" w:color="auto" w:fill="auto"/>
            <w:noWrap/>
            <w:vAlign w:val="bottom"/>
          </w:tcPr>
          <w:p w14:paraId="4A22265D" w14:textId="77777777" w:rsidR="002779B7" w:rsidRPr="00BA6959" w:rsidRDefault="002779B7" w:rsidP="007E26AF">
            <w:pPr>
              <w:spacing w:after="0"/>
              <w:jc w:val="center"/>
              <w:rPr>
                <w:rFonts w:ascii="Calibri" w:hAnsi="Calibri" w:cs="Calibri"/>
                <w:b/>
                <w:bCs/>
                <w:color w:val="000000"/>
                <w:sz w:val="22"/>
                <w:szCs w:val="22"/>
                <w:lang w:val="en-GB" w:eastAsia="en-GB"/>
              </w:rPr>
            </w:pPr>
          </w:p>
        </w:tc>
        <w:tc>
          <w:tcPr>
            <w:tcW w:w="1921" w:type="dxa"/>
            <w:gridSpan w:val="2"/>
            <w:tcBorders>
              <w:top w:val="nil"/>
              <w:left w:val="nil"/>
              <w:bottom w:val="single" w:sz="4" w:space="0" w:color="auto"/>
              <w:right w:val="nil"/>
            </w:tcBorders>
            <w:shd w:val="clear" w:color="auto" w:fill="auto"/>
            <w:noWrap/>
            <w:vAlign w:val="bottom"/>
          </w:tcPr>
          <w:p w14:paraId="306E9F80" w14:textId="64E3852D" w:rsidR="002779B7" w:rsidRPr="00BA6959" w:rsidRDefault="002779B7" w:rsidP="007E26AF">
            <w:pPr>
              <w:spacing w:after="0"/>
              <w:jc w:val="center"/>
              <w:rPr>
                <w:rFonts w:ascii="Calibri" w:hAnsi="Calibri" w:cs="Calibri"/>
                <w:b/>
                <w:bCs/>
                <w:color w:val="000000"/>
                <w:sz w:val="22"/>
                <w:szCs w:val="22"/>
                <w:lang w:val="en-GB" w:eastAsia="en-GB"/>
              </w:rPr>
            </w:pPr>
            <w:r w:rsidRPr="00BA6959">
              <w:rPr>
                <w:rFonts w:ascii="Calibri" w:hAnsi="Calibri" w:cs="Calibri"/>
                <w:b/>
                <w:bCs/>
                <w:color w:val="000000"/>
                <w:sz w:val="22"/>
                <w:szCs w:val="22"/>
                <w:lang w:val="en-GB" w:eastAsia="en-GB"/>
              </w:rPr>
              <w:t>AR</w:t>
            </w:r>
          </w:p>
        </w:tc>
        <w:tc>
          <w:tcPr>
            <w:tcW w:w="300" w:type="dxa"/>
            <w:tcBorders>
              <w:top w:val="nil"/>
              <w:left w:val="nil"/>
              <w:bottom w:val="single" w:sz="4" w:space="0" w:color="auto"/>
              <w:right w:val="nil"/>
            </w:tcBorders>
            <w:shd w:val="clear" w:color="auto" w:fill="auto"/>
            <w:noWrap/>
            <w:vAlign w:val="bottom"/>
          </w:tcPr>
          <w:p w14:paraId="1EE9B862" w14:textId="77777777" w:rsidR="002779B7" w:rsidRPr="00BA6959" w:rsidRDefault="002779B7" w:rsidP="007E26AF">
            <w:pPr>
              <w:spacing w:after="0"/>
              <w:jc w:val="left"/>
              <w:rPr>
                <w:rFonts w:ascii="Calibri" w:hAnsi="Calibri" w:cs="Calibri"/>
                <w:b/>
                <w:bCs/>
                <w:color w:val="000000"/>
                <w:sz w:val="22"/>
                <w:szCs w:val="22"/>
                <w:lang w:val="en-GB" w:eastAsia="en-GB"/>
              </w:rPr>
            </w:pPr>
          </w:p>
        </w:tc>
        <w:tc>
          <w:tcPr>
            <w:tcW w:w="640" w:type="dxa"/>
            <w:tcBorders>
              <w:top w:val="nil"/>
              <w:left w:val="nil"/>
              <w:bottom w:val="single" w:sz="4" w:space="0" w:color="auto"/>
              <w:right w:val="nil"/>
            </w:tcBorders>
            <w:shd w:val="clear" w:color="auto" w:fill="auto"/>
            <w:noWrap/>
            <w:vAlign w:val="bottom"/>
          </w:tcPr>
          <w:p w14:paraId="07535B00" w14:textId="77777777" w:rsidR="002779B7" w:rsidRPr="00BA6959" w:rsidRDefault="002779B7" w:rsidP="007E26AF">
            <w:pPr>
              <w:spacing w:after="0"/>
              <w:jc w:val="center"/>
              <w:rPr>
                <w:rFonts w:ascii="Calibri" w:hAnsi="Calibri" w:cs="Calibri"/>
                <w:b/>
                <w:bCs/>
                <w:color w:val="000000"/>
                <w:sz w:val="22"/>
                <w:szCs w:val="22"/>
                <w:lang w:val="en-GB" w:eastAsia="en-GB"/>
              </w:rPr>
            </w:pPr>
          </w:p>
        </w:tc>
        <w:tc>
          <w:tcPr>
            <w:tcW w:w="1921" w:type="dxa"/>
            <w:gridSpan w:val="2"/>
            <w:tcBorders>
              <w:top w:val="nil"/>
              <w:left w:val="nil"/>
              <w:bottom w:val="single" w:sz="4" w:space="0" w:color="auto"/>
              <w:right w:val="nil"/>
            </w:tcBorders>
            <w:shd w:val="clear" w:color="auto" w:fill="auto"/>
            <w:noWrap/>
            <w:vAlign w:val="bottom"/>
          </w:tcPr>
          <w:p w14:paraId="01E3E901" w14:textId="35285258" w:rsidR="002779B7" w:rsidRPr="00BA6959" w:rsidRDefault="002779B7" w:rsidP="007E26AF">
            <w:pPr>
              <w:spacing w:after="0"/>
              <w:jc w:val="center"/>
              <w:rPr>
                <w:rFonts w:ascii="Calibri" w:hAnsi="Calibri" w:cs="Calibri"/>
                <w:b/>
                <w:bCs/>
                <w:color w:val="000000"/>
                <w:sz w:val="22"/>
                <w:szCs w:val="22"/>
                <w:lang w:val="en-GB" w:eastAsia="en-GB"/>
              </w:rPr>
            </w:pPr>
            <w:r w:rsidRPr="00BA6959">
              <w:rPr>
                <w:rFonts w:ascii="Calibri" w:hAnsi="Calibri" w:cs="Calibri"/>
                <w:b/>
                <w:bCs/>
                <w:color w:val="000000"/>
                <w:sz w:val="22"/>
                <w:szCs w:val="22"/>
                <w:lang w:val="en-GB" w:eastAsia="en-GB"/>
              </w:rPr>
              <w:t>GR</w:t>
            </w:r>
          </w:p>
        </w:tc>
      </w:tr>
      <w:tr w:rsidR="007E26AF" w:rsidRPr="00BA6959" w14:paraId="5CF03884" w14:textId="77777777" w:rsidTr="007E26AF">
        <w:trPr>
          <w:trHeight w:val="300"/>
        </w:trPr>
        <w:tc>
          <w:tcPr>
            <w:tcW w:w="1030" w:type="dxa"/>
            <w:tcBorders>
              <w:top w:val="nil"/>
              <w:left w:val="nil"/>
              <w:bottom w:val="single" w:sz="4" w:space="0" w:color="auto"/>
              <w:right w:val="nil"/>
            </w:tcBorders>
            <w:shd w:val="clear" w:color="auto" w:fill="auto"/>
            <w:noWrap/>
            <w:vAlign w:val="bottom"/>
            <w:hideMark/>
          </w:tcPr>
          <w:p w14:paraId="4A581379" w14:textId="7F1B3F44" w:rsidR="007E26AF" w:rsidRPr="00BA6959" w:rsidRDefault="007E26AF" w:rsidP="007E26AF">
            <w:pPr>
              <w:spacing w:after="0"/>
              <w:jc w:val="center"/>
              <w:rPr>
                <w:rFonts w:ascii="Calibri" w:hAnsi="Calibri" w:cs="Calibri"/>
                <w:b/>
                <w:bCs/>
                <w:color w:val="000000"/>
                <w:sz w:val="22"/>
                <w:szCs w:val="22"/>
                <w:lang w:val="en-GB" w:eastAsia="en-GB"/>
              </w:rPr>
            </w:pPr>
          </w:p>
        </w:tc>
        <w:tc>
          <w:tcPr>
            <w:tcW w:w="961" w:type="dxa"/>
            <w:tcBorders>
              <w:top w:val="nil"/>
              <w:left w:val="nil"/>
              <w:bottom w:val="single" w:sz="4" w:space="0" w:color="auto"/>
              <w:right w:val="nil"/>
            </w:tcBorders>
            <w:shd w:val="clear" w:color="auto" w:fill="auto"/>
            <w:noWrap/>
            <w:vAlign w:val="bottom"/>
            <w:hideMark/>
          </w:tcPr>
          <w:p w14:paraId="2FEFE7D1" w14:textId="77777777" w:rsidR="007E26AF" w:rsidRPr="00BA6959" w:rsidRDefault="007E26AF" w:rsidP="007E26AF">
            <w:pPr>
              <w:spacing w:after="0"/>
              <w:jc w:val="center"/>
              <w:rPr>
                <w:rFonts w:ascii="Calibri" w:hAnsi="Calibri" w:cs="Calibri"/>
                <w:b/>
                <w:bCs/>
                <w:color w:val="000000"/>
                <w:sz w:val="22"/>
                <w:szCs w:val="22"/>
                <w:lang w:val="en-GB" w:eastAsia="en-GB"/>
              </w:rPr>
            </w:pPr>
            <w:r w:rsidRPr="00BA6959">
              <w:rPr>
                <w:rFonts w:ascii="Calibri" w:hAnsi="Calibri" w:cs="Calibri"/>
                <w:b/>
                <w:bCs/>
                <w:color w:val="000000"/>
                <w:sz w:val="22"/>
                <w:szCs w:val="22"/>
                <w:lang w:val="en-GB" w:eastAsia="en-GB"/>
              </w:rPr>
              <w:t>Training</w:t>
            </w:r>
          </w:p>
        </w:tc>
        <w:tc>
          <w:tcPr>
            <w:tcW w:w="960" w:type="dxa"/>
            <w:tcBorders>
              <w:top w:val="nil"/>
              <w:left w:val="nil"/>
              <w:bottom w:val="single" w:sz="4" w:space="0" w:color="auto"/>
              <w:right w:val="nil"/>
            </w:tcBorders>
            <w:shd w:val="clear" w:color="auto" w:fill="auto"/>
            <w:noWrap/>
            <w:vAlign w:val="bottom"/>
            <w:hideMark/>
          </w:tcPr>
          <w:p w14:paraId="219D151E" w14:textId="77777777" w:rsidR="007E26AF" w:rsidRPr="00BA6959" w:rsidRDefault="007E26AF" w:rsidP="007E26AF">
            <w:pPr>
              <w:spacing w:after="0"/>
              <w:jc w:val="center"/>
              <w:rPr>
                <w:rFonts w:ascii="Calibri" w:hAnsi="Calibri" w:cs="Calibri"/>
                <w:b/>
                <w:bCs/>
                <w:color w:val="000000"/>
                <w:sz w:val="22"/>
                <w:szCs w:val="22"/>
                <w:lang w:val="en-GB" w:eastAsia="en-GB"/>
              </w:rPr>
            </w:pPr>
            <w:r w:rsidRPr="00BA6959">
              <w:rPr>
                <w:rFonts w:ascii="Calibri" w:hAnsi="Calibri" w:cs="Calibri"/>
                <w:b/>
                <w:bCs/>
                <w:color w:val="000000"/>
                <w:sz w:val="22"/>
                <w:szCs w:val="22"/>
                <w:lang w:val="en-GB" w:eastAsia="en-GB"/>
              </w:rPr>
              <w:t>Test</w:t>
            </w:r>
          </w:p>
        </w:tc>
        <w:tc>
          <w:tcPr>
            <w:tcW w:w="300" w:type="dxa"/>
            <w:tcBorders>
              <w:top w:val="nil"/>
              <w:left w:val="nil"/>
              <w:bottom w:val="single" w:sz="4" w:space="0" w:color="auto"/>
              <w:right w:val="nil"/>
            </w:tcBorders>
            <w:shd w:val="clear" w:color="auto" w:fill="auto"/>
            <w:noWrap/>
            <w:vAlign w:val="bottom"/>
            <w:hideMark/>
          </w:tcPr>
          <w:p w14:paraId="223FF1B9" w14:textId="77777777" w:rsidR="007E26AF" w:rsidRPr="00BA6959" w:rsidRDefault="007E26AF" w:rsidP="007E26AF">
            <w:pPr>
              <w:spacing w:after="0"/>
              <w:jc w:val="left"/>
              <w:rPr>
                <w:rFonts w:ascii="Calibri" w:hAnsi="Calibri" w:cs="Calibri"/>
                <w:b/>
                <w:bCs/>
                <w:color w:val="000000"/>
                <w:sz w:val="22"/>
                <w:szCs w:val="22"/>
                <w:lang w:val="en-GB" w:eastAsia="en-GB"/>
              </w:rPr>
            </w:pPr>
            <w:r w:rsidRPr="00BA6959">
              <w:rPr>
                <w:rFonts w:ascii="Calibri" w:hAnsi="Calibri" w:cs="Calibri"/>
                <w:b/>
                <w:bCs/>
                <w:color w:val="000000"/>
                <w:sz w:val="22"/>
                <w:szCs w:val="22"/>
                <w:lang w:val="en-GB" w:eastAsia="en-GB"/>
              </w:rPr>
              <w:t> </w:t>
            </w:r>
          </w:p>
        </w:tc>
        <w:tc>
          <w:tcPr>
            <w:tcW w:w="640" w:type="dxa"/>
            <w:tcBorders>
              <w:top w:val="nil"/>
              <w:left w:val="nil"/>
              <w:bottom w:val="single" w:sz="4" w:space="0" w:color="auto"/>
              <w:right w:val="nil"/>
            </w:tcBorders>
            <w:shd w:val="clear" w:color="auto" w:fill="auto"/>
            <w:noWrap/>
            <w:vAlign w:val="bottom"/>
            <w:hideMark/>
          </w:tcPr>
          <w:p w14:paraId="0A29072C" w14:textId="5357152E" w:rsidR="007E26AF" w:rsidRPr="00BA6959" w:rsidRDefault="007E26AF" w:rsidP="007E26AF">
            <w:pPr>
              <w:spacing w:after="0"/>
              <w:jc w:val="center"/>
              <w:rPr>
                <w:rFonts w:ascii="Calibri" w:hAnsi="Calibri" w:cs="Calibri"/>
                <w:b/>
                <w:bCs/>
                <w:color w:val="000000"/>
                <w:sz w:val="22"/>
                <w:szCs w:val="22"/>
                <w:lang w:val="en-GB" w:eastAsia="en-GB"/>
              </w:rPr>
            </w:pPr>
          </w:p>
        </w:tc>
        <w:tc>
          <w:tcPr>
            <w:tcW w:w="961" w:type="dxa"/>
            <w:tcBorders>
              <w:top w:val="nil"/>
              <w:left w:val="nil"/>
              <w:bottom w:val="single" w:sz="4" w:space="0" w:color="auto"/>
              <w:right w:val="nil"/>
            </w:tcBorders>
            <w:shd w:val="clear" w:color="auto" w:fill="auto"/>
            <w:noWrap/>
            <w:vAlign w:val="bottom"/>
            <w:hideMark/>
          </w:tcPr>
          <w:p w14:paraId="6304E8F7" w14:textId="77777777" w:rsidR="007E26AF" w:rsidRPr="00BA6959" w:rsidRDefault="007E26AF" w:rsidP="007E26AF">
            <w:pPr>
              <w:spacing w:after="0"/>
              <w:jc w:val="center"/>
              <w:rPr>
                <w:rFonts w:ascii="Calibri" w:hAnsi="Calibri" w:cs="Calibri"/>
                <w:b/>
                <w:bCs/>
                <w:color w:val="000000"/>
                <w:sz w:val="22"/>
                <w:szCs w:val="22"/>
                <w:lang w:val="en-GB" w:eastAsia="en-GB"/>
              </w:rPr>
            </w:pPr>
            <w:r w:rsidRPr="00BA6959">
              <w:rPr>
                <w:rFonts w:ascii="Calibri" w:hAnsi="Calibri" w:cs="Calibri"/>
                <w:b/>
                <w:bCs/>
                <w:color w:val="000000"/>
                <w:sz w:val="22"/>
                <w:szCs w:val="22"/>
                <w:lang w:val="en-GB" w:eastAsia="en-GB"/>
              </w:rPr>
              <w:t>Training</w:t>
            </w:r>
          </w:p>
        </w:tc>
        <w:tc>
          <w:tcPr>
            <w:tcW w:w="960" w:type="dxa"/>
            <w:tcBorders>
              <w:top w:val="nil"/>
              <w:left w:val="nil"/>
              <w:bottom w:val="single" w:sz="4" w:space="0" w:color="auto"/>
              <w:right w:val="nil"/>
            </w:tcBorders>
            <w:shd w:val="clear" w:color="auto" w:fill="auto"/>
            <w:noWrap/>
            <w:vAlign w:val="bottom"/>
            <w:hideMark/>
          </w:tcPr>
          <w:p w14:paraId="4E6A3E98" w14:textId="77777777" w:rsidR="007E26AF" w:rsidRPr="00BA6959" w:rsidRDefault="007E26AF" w:rsidP="007E26AF">
            <w:pPr>
              <w:spacing w:after="0"/>
              <w:jc w:val="center"/>
              <w:rPr>
                <w:rFonts w:ascii="Calibri" w:hAnsi="Calibri" w:cs="Calibri"/>
                <w:b/>
                <w:bCs/>
                <w:color w:val="000000"/>
                <w:sz w:val="22"/>
                <w:szCs w:val="22"/>
                <w:lang w:val="en-GB" w:eastAsia="en-GB"/>
              </w:rPr>
            </w:pPr>
            <w:r w:rsidRPr="00BA6959">
              <w:rPr>
                <w:rFonts w:ascii="Calibri" w:hAnsi="Calibri" w:cs="Calibri"/>
                <w:b/>
                <w:bCs/>
                <w:color w:val="000000"/>
                <w:sz w:val="22"/>
                <w:szCs w:val="22"/>
                <w:lang w:val="en-GB" w:eastAsia="en-GB"/>
              </w:rPr>
              <w:t>Test</w:t>
            </w:r>
          </w:p>
        </w:tc>
      </w:tr>
      <w:tr w:rsidR="007E26AF" w:rsidRPr="00BA6959" w14:paraId="02128DA6" w14:textId="77777777" w:rsidTr="007E26AF">
        <w:trPr>
          <w:trHeight w:val="150"/>
        </w:trPr>
        <w:tc>
          <w:tcPr>
            <w:tcW w:w="1030" w:type="dxa"/>
            <w:tcBorders>
              <w:top w:val="nil"/>
              <w:left w:val="nil"/>
              <w:bottom w:val="nil"/>
              <w:right w:val="nil"/>
            </w:tcBorders>
            <w:shd w:val="clear" w:color="auto" w:fill="auto"/>
            <w:noWrap/>
            <w:vAlign w:val="bottom"/>
            <w:hideMark/>
          </w:tcPr>
          <w:p w14:paraId="06B4FDFE" w14:textId="77777777" w:rsidR="007E26AF" w:rsidRPr="00BA6959" w:rsidRDefault="007E26AF" w:rsidP="007E26AF">
            <w:pPr>
              <w:spacing w:after="0"/>
              <w:jc w:val="center"/>
              <w:rPr>
                <w:rFonts w:ascii="Calibri" w:hAnsi="Calibri" w:cs="Calibri"/>
                <w:b/>
                <w:bCs/>
                <w:color w:val="000000"/>
                <w:sz w:val="22"/>
                <w:szCs w:val="22"/>
                <w:lang w:val="en-GB" w:eastAsia="en-GB"/>
              </w:rPr>
            </w:pPr>
          </w:p>
        </w:tc>
        <w:tc>
          <w:tcPr>
            <w:tcW w:w="961" w:type="dxa"/>
            <w:tcBorders>
              <w:top w:val="nil"/>
              <w:left w:val="nil"/>
              <w:bottom w:val="nil"/>
              <w:right w:val="nil"/>
            </w:tcBorders>
            <w:shd w:val="clear" w:color="auto" w:fill="auto"/>
            <w:noWrap/>
            <w:vAlign w:val="bottom"/>
            <w:hideMark/>
          </w:tcPr>
          <w:p w14:paraId="6880AB2C" w14:textId="77777777" w:rsidR="007E26AF" w:rsidRPr="00BA6959" w:rsidRDefault="007E26AF" w:rsidP="007E26AF">
            <w:pPr>
              <w:spacing w:after="0"/>
              <w:jc w:val="left"/>
              <w:rPr>
                <w:rFonts w:ascii="Times New Roman" w:hAnsi="Times New Roman"/>
                <w:sz w:val="20"/>
                <w:lang w:val="en-GB" w:eastAsia="en-GB"/>
              </w:rPr>
            </w:pPr>
          </w:p>
        </w:tc>
        <w:tc>
          <w:tcPr>
            <w:tcW w:w="960" w:type="dxa"/>
            <w:tcBorders>
              <w:top w:val="nil"/>
              <w:left w:val="nil"/>
              <w:bottom w:val="nil"/>
              <w:right w:val="nil"/>
            </w:tcBorders>
            <w:shd w:val="clear" w:color="auto" w:fill="auto"/>
            <w:noWrap/>
            <w:vAlign w:val="bottom"/>
            <w:hideMark/>
          </w:tcPr>
          <w:p w14:paraId="2B33B624" w14:textId="77777777" w:rsidR="007E26AF" w:rsidRPr="00BA6959" w:rsidRDefault="007E26AF" w:rsidP="007E26AF">
            <w:pPr>
              <w:spacing w:after="0"/>
              <w:jc w:val="center"/>
              <w:rPr>
                <w:rFonts w:ascii="Times New Roman" w:hAnsi="Times New Roman"/>
                <w:sz w:val="20"/>
                <w:lang w:val="en-GB" w:eastAsia="en-GB"/>
              </w:rPr>
            </w:pPr>
          </w:p>
        </w:tc>
        <w:tc>
          <w:tcPr>
            <w:tcW w:w="300" w:type="dxa"/>
            <w:tcBorders>
              <w:top w:val="nil"/>
              <w:left w:val="nil"/>
              <w:bottom w:val="nil"/>
              <w:right w:val="nil"/>
            </w:tcBorders>
            <w:shd w:val="clear" w:color="auto" w:fill="auto"/>
            <w:noWrap/>
            <w:vAlign w:val="bottom"/>
            <w:hideMark/>
          </w:tcPr>
          <w:p w14:paraId="79DF3FEB" w14:textId="77777777" w:rsidR="007E26AF" w:rsidRPr="00BA6959" w:rsidRDefault="007E26AF" w:rsidP="007E26AF">
            <w:pPr>
              <w:spacing w:after="0"/>
              <w:jc w:val="center"/>
              <w:rPr>
                <w:rFonts w:ascii="Times New Roman" w:hAnsi="Times New Roman"/>
                <w:sz w:val="20"/>
                <w:lang w:val="en-GB" w:eastAsia="en-GB"/>
              </w:rPr>
            </w:pPr>
          </w:p>
        </w:tc>
        <w:tc>
          <w:tcPr>
            <w:tcW w:w="640" w:type="dxa"/>
            <w:tcBorders>
              <w:top w:val="nil"/>
              <w:left w:val="nil"/>
              <w:bottom w:val="nil"/>
              <w:right w:val="nil"/>
            </w:tcBorders>
            <w:shd w:val="clear" w:color="auto" w:fill="auto"/>
            <w:noWrap/>
            <w:vAlign w:val="bottom"/>
            <w:hideMark/>
          </w:tcPr>
          <w:p w14:paraId="04A40719" w14:textId="77777777" w:rsidR="007E26AF" w:rsidRPr="00BA6959" w:rsidRDefault="007E26AF" w:rsidP="007E26AF">
            <w:pPr>
              <w:spacing w:after="0"/>
              <w:jc w:val="left"/>
              <w:rPr>
                <w:rFonts w:ascii="Times New Roman" w:hAnsi="Times New Roman"/>
                <w:sz w:val="20"/>
                <w:lang w:val="en-GB" w:eastAsia="en-GB"/>
              </w:rPr>
            </w:pPr>
          </w:p>
        </w:tc>
        <w:tc>
          <w:tcPr>
            <w:tcW w:w="961" w:type="dxa"/>
            <w:tcBorders>
              <w:top w:val="nil"/>
              <w:left w:val="nil"/>
              <w:bottom w:val="nil"/>
              <w:right w:val="nil"/>
            </w:tcBorders>
            <w:shd w:val="clear" w:color="auto" w:fill="auto"/>
            <w:noWrap/>
            <w:vAlign w:val="bottom"/>
            <w:hideMark/>
          </w:tcPr>
          <w:p w14:paraId="23B0ECC7" w14:textId="77777777" w:rsidR="007E26AF" w:rsidRPr="00BA6959" w:rsidRDefault="007E26AF" w:rsidP="007E26AF">
            <w:pPr>
              <w:spacing w:after="0"/>
              <w:jc w:val="left"/>
              <w:rPr>
                <w:rFonts w:ascii="Times New Roman" w:hAnsi="Times New Roman"/>
                <w:sz w:val="20"/>
                <w:lang w:val="en-GB" w:eastAsia="en-GB"/>
              </w:rPr>
            </w:pPr>
          </w:p>
        </w:tc>
        <w:tc>
          <w:tcPr>
            <w:tcW w:w="960" w:type="dxa"/>
            <w:tcBorders>
              <w:top w:val="nil"/>
              <w:left w:val="nil"/>
              <w:bottom w:val="nil"/>
              <w:right w:val="nil"/>
            </w:tcBorders>
            <w:shd w:val="clear" w:color="auto" w:fill="auto"/>
            <w:noWrap/>
            <w:vAlign w:val="bottom"/>
            <w:hideMark/>
          </w:tcPr>
          <w:p w14:paraId="55784597" w14:textId="77777777" w:rsidR="007E26AF" w:rsidRPr="00BA6959" w:rsidRDefault="007E26AF" w:rsidP="007E26AF">
            <w:pPr>
              <w:spacing w:after="0"/>
              <w:jc w:val="center"/>
              <w:rPr>
                <w:rFonts w:ascii="Times New Roman" w:hAnsi="Times New Roman"/>
                <w:sz w:val="20"/>
                <w:lang w:val="en-GB" w:eastAsia="en-GB"/>
              </w:rPr>
            </w:pPr>
          </w:p>
        </w:tc>
      </w:tr>
      <w:tr w:rsidR="007E26AF" w:rsidRPr="00BA6959" w14:paraId="3ACCCC48" w14:textId="77777777" w:rsidTr="007E26AF">
        <w:trPr>
          <w:trHeight w:val="300"/>
        </w:trPr>
        <w:tc>
          <w:tcPr>
            <w:tcW w:w="1030" w:type="dxa"/>
            <w:tcBorders>
              <w:top w:val="nil"/>
              <w:left w:val="nil"/>
              <w:bottom w:val="nil"/>
              <w:right w:val="nil"/>
            </w:tcBorders>
            <w:shd w:val="clear" w:color="auto" w:fill="auto"/>
            <w:noWrap/>
            <w:vAlign w:val="bottom"/>
            <w:hideMark/>
          </w:tcPr>
          <w:p w14:paraId="1CD0B9FA" w14:textId="77777777" w:rsidR="007E26AF" w:rsidRPr="00BA6959" w:rsidRDefault="007E26AF" w:rsidP="007E26AF">
            <w:pPr>
              <w:spacing w:after="0"/>
              <w:jc w:val="left"/>
              <w:rPr>
                <w:rFonts w:ascii="Calibri" w:hAnsi="Calibri" w:cs="Calibri"/>
                <w:b/>
                <w:bCs/>
                <w:color w:val="000000"/>
                <w:sz w:val="22"/>
                <w:szCs w:val="22"/>
                <w:lang w:val="en-GB" w:eastAsia="en-GB"/>
              </w:rPr>
            </w:pPr>
            <w:r w:rsidRPr="00BA6959">
              <w:rPr>
                <w:rFonts w:ascii="Calibri" w:hAnsi="Calibri" w:cs="Calibri"/>
                <w:b/>
                <w:bCs/>
                <w:color w:val="000000"/>
                <w:sz w:val="22"/>
                <w:szCs w:val="22"/>
                <w:lang w:val="en-GB" w:eastAsia="en-GB"/>
              </w:rPr>
              <w:t>Positive</w:t>
            </w:r>
          </w:p>
        </w:tc>
        <w:tc>
          <w:tcPr>
            <w:tcW w:w="961" w:type="dxa"/>
            <w:tcBorders>
              <w:top w:val="nil"/>
              <w:left w:val="nil"/>
              <w:bottom w:val="nil"/>
              <w:right w:val="nil"/>
            </w:tcBorders>
            <w:shd w:val="clear" w:color="auto" w:fill="auto"/>
            <w:noWrap/>
            <w:vAlign w:val="bottom"/>
            <w:hideMark/>
          </w:tcPr>
          <w:p w14:paraId="0E7B66CB" w14:textId="77777777" w:rsidR="007E26AF" w:rsidRPr="00BA6959" w:rsidRDefault="007E26AF" w:rsidP="007E26AF">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678</w:t>
            </w:r>
          </w:p>
        </w:tc>
        <w:tc>
          <w:tcPr>
            <w:tcW w:w="960" w:type="dxa"/>
            <w:tcBorders>
              <w:top w:val="nil"/>
              <w:left w:val="nil"/>
              <w:bottom w:val="nil"/>
              <w:right w:val="nil"/>
            </w:tcBorders>
            <w:shd w:val="clear" w:color="auto" w:fill="auto"/>
            <w:noWrap/>
            <w:vAlign w:val="bottom"/>
            <w:hideMark/>
          </w:tcPr>
          <w:p w14:paraId="2F23425A" w14:textId="77777777" w:rsidR="007E26AF" w:rsidRPr="00BA6959" w:rsidRDefault="007E26AF" w:rsidP="007E26AF">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221</w:t>
            </w:r>
          </w:p>
        </w:tc>
        <w:tc>
          <w:tcPr>
            <w:tcW w:w="300" w:type="dxa"/>
            <w:tcBorders>
              <w:top w:val="nil"/>
              <w:left w:val="nil"/>
              <w:bottom w:val="nil"/>
              <w:right w:val="nil"/>
            </w:tcBorders>
            <w:shd w:val="clear" w:color="auto" w:fill="auto"/>
            <w:noWrap/>
            <w:vAlign w:val="bottom"/>
            <w:hideMark/>
          </w:tcPr>
          <w:p w14:paraId="76B550E8" w14:textId="77777777" w:rsidR="007E26AF" w:rsidRPr="00BA6959" w:rsidRDefault="007E26AF" w:rsidP="007E26AF">
            <w:pPr>
              <w:spacing w:after="0"/>
              <w:jc w:val="center"/>
              <w:rPr>
                <w:rFonts w:ascii="Calibri" w:hAnsi="Calibri" w:cs="Calibri"/>
                <w:color w:val="000000"/>
                <w:sz w:val="22"/>
                <w:szCs w:val="22"/>
                <w:lang w:val="en-GB" w:eastAsia="en-GB"/>
              </w:rPr>
            </w:pPr>
          </w:p>
        </w:tc>
        <w:tc>
          <w:tcPr>
            <w:tcW w:w="640" w:type="dxa"/>
            <w:tcBorders>
              <w:top w:val="nil"/>
              <w:left w:val="nil"/>
              <w:bottom w:val="nil"/>
              <w:right w:val="nil"/>
            </w:tcBorders>
            <w:shd w:val="clear" w:color="auto" w:fill="auto"/>
            <w:noWrap/>
            <w:vAlign w:val="bottom"/>
            <w:hideMark/>
          </w:tcPr>
          <w:p w14:paraId="24EDC8CC" w14:textId="77777777" w:rsidR="007E26AF" w:rsidRPr="00BA6959" w:rsidRDefault="007E26AF" w:rsidP="007E26AF">
            <w:pPr>
              <w:spacing w:after="0"/>
              <w:jc w:val="left"/>
              <w:rPr>
                <w:rFonts w:ascii="Times New Roman" w:hAnsi="Times New Roman"/>
                <w:sz w:val="20"/>
                <w:lang w:val="en-GB" w:eastAsia="en-GB"/>
              </w:rPr>
            </w:pPr>
          </w:p>
        </w:tc>
        <w:tc>
          <w:tcPr>
            <w:tcW w:w="961" w:type="dxa"/>
            <w:tcBorders>
              <w:top w:val="nil"/>
              <w:left w:val="nil"/>
              <w:bottom w:val="nil"/>
              <w:right w:val="nil"/>
            </w:tcBorders>
            <w:shd w:val="clear" w:color="auto" w:fill="auto"/>
            <w:noWrap/>
            <w:vAlign w:val="bottom"/>
            <w:hideMark/>
          </w:tcPr>
          <w:p w14:paraId="513CFEF8" w14:textId="77777777" w:rsidR="007E26AF" w:rsidRPr="00BA6959" w:rsidRDefault="007E26AF" w:rsidP="007E26AF">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249</w:t>
            </w:r>
          </w:p>
        </w:tc>
        <w:tc>
          <w:tcPr>
            <w:tcW w:w="960" w:type="dxa"/>
            <w:tcBorders>
              <w:top w:val="nil"/>
              <w:left w:val="nil"/>
              <w:bottom w:val="nil"/>
              <w:right w:val="nil"/>
            </w:tcBorders>
            <w:shd w:val="clear" w:color="auto" w:fill="auto"/>
            <w:noWrap/>
            <w:vAlign w:val="bottom"/>
            <w:hideMark/>
          </w:tcPr>
          <w:p w14:paraId="2C0E4729" w14:textId="77777777" w:rsidR="007E26AF" w:rsidRPr="00BA6959" w:rsidRDefault="007E26AF" w:rsidP="007E26AF">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74</w:t>
            </w:r>
          </w:p>
        </w:tc>
      </w:tr>
      <w:tr w:rsidR="007E26AF" w:rsidRPr="00BA6959" w14:paraId="590B18FD" w14:textId="77777777" w:rsidTr="007E26AF">
        <w:trPr>
          <w:trHeight w:val="150"/>
        </w:trPr>
        <w:tc>
          <w:tcPr>
            <w:tcW w:w="1030" w:type="dxa"/>
            <w:tcBorders>
              <w:top w:val="nil"/>
              <w:left w:val="nil"/>
              <w:bottom w:val="nil"/>
              <w:right w:val="nil"/>
            </w:tcBorders>
            <w:shd w:val="clear" w:color="auto" w:fill="auto"/>
            <w:noWrap/>
            <w:vAlign w:val="bottom"/>
            <w:hideMark/>
          </w:tcPr>
          <w:p w14:paraId="5DC5BE92" w14:textId="77777777" w:rsidR="007E26AF" w:rsidRPr="00BA6959" w:rsidRDefault="007E26AF" w:rsidP="007E26AF">
            <w:pPr>
              <w:spacing w:after="0"/>
              <w:jc w:val="center"/>
              <w:rPr>
                <w:rFonts w:ascii="Calibri" w:hAnsi="Calibri" w:cs="Calibri"/>
                <w:color w:val="000000"/>
                <w:sz w:val="22"/>
                <w:szCs w:val="22"/>
                <w:lang w:val="en-GB" w:eastAsia="en-GB"/>
              </w:rPr>
            </w:pPr>
          </w:p>
        </w:tc>
        <w:tc>
          <w:tcPr>
            <w:tcW w:w="961" w:type="dxa"/>
            <w:tcBorders>
              <w:top w:val="nil"/>
              <w:left w:val="nil"/>
              <w:bottom w:val="nil"/>
              <w:right w:val="nil"/>
            </w:tcBorders>
            <w:shd w:val="clear" w:color="auto" w:fill="auto"/>
            <w:noWrap/>
            <w:vAlign w:val="bottom"/>
            <w:hideMark/>
          </w:tcPr>
          <w:p w14:paraId="062CCDC5" w14:textId="77777777" w:rsidR="007E26AF" w:rsidRPr="00BA6959" w:rsidRDefault="007E26AF" w:rsidP="007E26AF">
            <w:pPr>
              <w:spacing w:after="0"/>
              <w:jc w:val="left"/>
              <w:rPr>
                <w:rFonts w:ascii="Times New Roman" w:hAnsi="Times New Roman"/>
                <w:sz w:val="20"/>
                <w:lang w:val="en-GB" w:eastAsia="en-GB"/>
              </w:rPr>
            </w:pPr>
          </w:p>
        </w:tc>
        <w:tc>
          <w:tcPr>
            <w:tcW w:w="960" w:type="dxa"/>
            <w:tcBorders>
              <w:top w:val="nil"/>
              <w:left w:val="nil"/>
              <w:bottom w:val="nil"/>
              <w:right w:val="nil"/>
            </w:tcBorders>
            <w:shd w:val="clear" w:color="auto" w:fill="auto"/>
            <w:noWrap/>
            <w:vAlign w:val="bottom"/>
            <w:hideMark/>
          </w:tcPr>
          <w:p w14:paraId="7FDEB32A" w14:textId="77777777" w:rsidR="007E26AF" w:rsidRPr="00BA6959" w:rsidRDefault="007E26AF" w:rsidP="007E26AF">
            <w:pPr>
              <w:spacing w:after="0"/>
              <w:jc w:val="left"/>
              <w:rPr>
                <w:rFonts w:ascii="Times New Roman" w:hAnsi="Times New Roman"/>
                <w:sz w:val="20"/>
                <w:lang w:val="en-GB" w:eastAsia="en-GB"/>
              </w:rPr>
            </w:pPr>
          </w:p>
        </w:tc>
        <w:tc>
          <w:tcPr>
            <w:tcW w:w="300" w:type="dxa"/>
            <w:tcBorders>
              <w:top w:val="nil"/>
              <w:left w:val="nil"/>
              <w:bottom w:val="nil"/>
              <w:right w:val="nil"/>
            </w:tcBorders>
            <w:shd w:val="clear" w:color="auto" w:fill="auto"/>
            <w:noWrap/>
            <w:vAlign w:val="bottom"/>
            <w:hideMark/>
          </w:tcPr>
          <w:p w14:paraId="1D8C3FBB" w14:textId="77777777" w:rsidR="007E26AF" w:rsidRPr="00BA6959" w:rsidRDefault="007E26AF" w:rsidP="007E26AF">
            <w:pPr>
              <w:spacing w:after="0"/>
              <w:jc w:val="left"/>
              <w:rPr>
                <w:rFonts w:ascii="Times New Roman" w:hAnsi="Times New Roman"/>
                <w:sz w:val="20"/>
                <w:lang w:val="en-GB" w:eastAsia="en-GB"/>
              </w:rPr>
            </w:pPr>
          </w:p>
        </w:tc>
        <w:tc>
          <w:tcPr>
            <w:tcW w:w="640" w:type="dxa"/>
            <w:tcBorders>
              <w:top w:val="nil"/>
              <w:left w:val="nil"/>
              <w:bottom w:val="nil"/>
              <w:right w:val="nil"/>
            </w:tcBorders>
            <w:shd w:val="clear" w:color="auto" w:fill="auto"/>
            <w:noWrap/>
            <w:vAlign w:val="bottom"/>
            <w:hideMark/>
          </w:tcPr>
          <w:p w14:paraId="2875AAF2" w14:textId="77777777" w:rsidR="007E26AF" w:rsidRPr="00BA6959" w:rsidRDefault="007E26AF" w:rsidP="007E26AF">
            <w:pPr>
              <w:spacing w:after="0"/>
              <w:jc w:val="left"/>
              <w:rPr>
                <w:rFonts w:ascii="Times New Roman" w:hAnsi="Times New Roman"/>
                <w:sz w:val="20"/>
                <w:lang w:val="en-GB" w:eastAsia="en-GB"/>
              </w:rPr>
            </w:pPr>
          </w:p>
        </w:tc>
        <w:tc>
          <w:tcPr>
            <w:tcW w:w="961" w:type="dxa"/>
            <w:tcBorders>
              <w:top w:val="nil"/>
              <w:left w:val="nil"/>
              <w:bottom w:val="nil"/>
              <w:right w:val="nil"/>
            </w:tcBorders>
            <w:shd w:val="clear" w:color="auto" w:fill="auto"/>
            <w:noWrap/>
            <w:vAlign w:val="bottom"/>
            <w:hideMark/>
          </w:tcPr>
          <w:p w14:paraId="452BE0BA" w14:textId="77777777" w:rsidR="007E26AF" w:rsidRPr="00BA6959" w:rsidRDefault="007E26AF" w:rsidP="007E26AF">
            <w:pPr>
              <w:spacing w:after="0"/>
              <w:jc w:val="left"/>
              <w:rPr>
                <w:rFonts w:ascii="Times New Roman" w:hAnsi="Times New Roman"/>
                <w:sz w:val="20"/>
                <w:lang w:val="en-GB" w:eastAsia="en-GB"/>
              </w:rPr>
            </w:pPr>
          </w:p>
        </w:tc>
        <w:tc>
          <w:tcPr>
            <w:tcW w:w="960" w:type="dxa"/>
            <w:tcBorders>
              <w:top w:val="nil"/>
              <w:left w:val="nil"/>
              <w:bottom w:val="nil"/>
              <w:right w:val="nil"/>
            </w:tcBorders>
            <w:shd w:val="clear" w:color="auto" w:fill="auto"/>
            <w:noWrap/>
            <w:vAlign w:val="bottom"/>
            <w:hideMark/>
          </w:tcPr>
          <w:p w14:paraId="3F591F1B" w14:textId="77777777" w:rsidR="007E26AF" w:rsidRPr="00BA6959" w:rsidRDefault="007E26AF" w:rsidP="007E26AF">
            <w:pPr>
              <w:spacing w:after="0"/>
              <w:jc w:val="center"/>
              <w:rPr>
                <w:rFonts w:ascii="Times New Roman" w:hAnsi="Times New Roman"/>
                <w:sz w:val="20"/>
                <w:lang w:val="en-GB" w:eastAsia="en-GB"/>
              </w:rPr>
            </w:pPr>
          </w:p>
        </w:tc>
      </w:tr>
      <w:tr w:rsidR="007E26AF" w:rsidRPr="00BA6959" w14:paraId="3039C914" w14:textId="77777777" w:rsidTr="007E26AF">
        <w:trPr>
          <w:trHeight w:val="300"/>
        </w:trPr>
        <w:tc>
          <w:tcPr>
            <w:tcW w:w="1030" w:type="dxa"/>
            <w:tcBorders>
              <w:top w:val="nil"/>
              <w:left w:val="nil"/>
              <w:bottom w:val="nil"/>
              <w:right w:val="nil"/>
            </w:tcBorders>
            <w:shd w:val="clear" w:color="auto" w:fill="auto"/>
            <w:noWrap/>
            <w:vAlign w:val="bottom"/>
            <w:hideMark/>
          </w:tcPr>
          <w:p w14:paraId="19CA7502" w14:textId="77777777" w:rsidR="007E26AF" w:rsidRPr="00BA6959" w:rsidRDefault="007E26AF" w:rsidP="007E26AF">
            <w:pPr>
              <w:spacing w:after="0"/>
              <w:jc w:val="left"/>
              <w:rPr>
                <w:rFonts w:ascii="Calibri" w:hAnsi="Calibri" w:cs="Calibri"/>
                <w:b/>
                <w:bCs/>
                <w:color w:val="000000"/>
                <w:sz w:val="22"/>
                <w:szCs w:val="22"/>
                <w:lang w:val="en-GB" w:eastAsia="en-GB"/>
              </w:rPr>
            </w:pPr>
            <w:r w:rsidRPr="00BA6959">
              <w:rPr>
                <w:rFonts w:ascii="Calibri" w:hAnsi="Calibri" w:cs="Calibri"/>
                <w:b/>
                <w:bCs/>
                <w:color w:val="000000"/>
                <w:sz w:val="22"/>
                <w:szCs w:val="22"/>
                <w:lang w:val="en-GB" w:eastAsia="en-GB"/>
              </w:rPr>
              <w:t>Negative</w:t>
            </w:r>
          </w:p>
        </w:tc>
        <w:tc>
          <w:tcPr>
            <w:tcW w:w="961" w:type="dxa"/>
            <w:tcBorders>
              <w:top w:val="nil"/>
              <w:left w:val="nil"/>
              <w:bottom w:val="nil"/>
              <w:right w:val="nil"/>
            </w:tcBorders>
            <w:shd w:val="clear" w:color="auto" w:fill="auto"/>
            <w:noWrap/>
            <w:vAlign w:val="bottom"/>
            <w:hideMark/>
          </w:tcPr>
          <w:p w14:paraId="06F79211" w14:textId="77777777" w:rsidR="007E26AF" w:rsidRPr="00BA6959" w:rsidRDefault="007E26AF" w:rsidP="007E26AF">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4575</w:t>
            </w:r>
          </w:p>
        </w:tc>
        <w:tc>
          <w:tcPr>
            <w:tcW w:w="960" w:type="dxa"/>
            <w:tcBorders>
              <w:top w:val="nil"/>
              <w:left w:val="nil"/>
              <w:bottom w:val="nil"/>
              <w:right w:val="nil"/>
            </w:tcBorders>
            <w:shd w:val="clear" w:color="auto" w:fill="auto"/>
            <w:noWrap/>
            <w:vAlign w:val="bottom"/>
            <w:hideMark/>
          </w:tcPr>
          <w:p w14:paraId="62AB3C76" w14:textId="77777777" w:rsidR="007E26AF" w:rsidRPr="00BA6959" w:rsidRDefault="007E26AF" w:rsidP="007E26AF">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1553</w:t>
            </w:r>
          </w:p>
        </w:tc>
        <w:tc>
          <w:tcPr>
            <w:tcW w:w="300" w:type="dxa"/>
            <w:tcBorders>
              <w:top w:val="nil"/>
              <w:left w:val="nil"/>
              <w:bottom w:val="nil"/>
              <w:right w:val="nil"/>
            </w:tcBorders>
            <w:shd w:val="clear" w:color="auto" w:fill="auto"/>
            <w:noWrap/>
            <w:vAlign w:val="bottom"/>
            <w:hideMark/>
          </w:tcPr>
          <w:p w14:paraId="5E3B741A" w14:textId="77777777" w:rsidR="007E26AF" w:rsidRPr="00BA6959" w:rsidRDefault="007E26AF" w:rsidP="007E26AF">
            <w:pPr>
              <w:spacing w:after="0"/>
              <w:jc w:val="center"/>
              <w:rPr>
                <w:rFonts w:ascii="Calibri" w:hAnsi="Calibri" w:cs="Calibri"/>
                <w:color w:val="000000"/>
                <w:sz w:val="22"/>
                <w:szCs w:val="22"/>
                <w:lang w:val="en-GB" w:eastAsia="en-GB"/>
              </w:rPr>
            </w:pPr>
          </w:p>
        </w:tc>
        <w:tc>
          <w:tcPr>
            <w:tcW w:w="640" w:type="dxa"/>
            <w:tcBorders>
              <w:top w:val="nil"/>
              <w:left w:val="nil"/>
              <w:bottom w:val="nil"/>
              <w:right w:val="nil"/>
            </w:tcBorders>
            <w:shd w:val="clear" w:color="auto" w:fill="auto"/>
            <w:noWrap/>
            <w:vAlign w:val="bottom"/>
            <w:hideMark/>
          </w:tcPr>
          <w:p w14:paraId="29E1DF3D" w14:textId="77777777" w:rsidR="007E26AF" w:rsidRPr="00BA6959" w:rsidRDefault="007E26AF" w:rsidP="007E26AF">
            <w:pPr>
              <w:spacing w:after="0"/>
              <w:jc w:val="left"/>
              <w:rPr>
                <w:rFonts w:ascii="Times New Roman" w:hAnsi="Times New Roman"/>
                <w:sz w:val="20"/>
                <w:lang w:val="en-GB" w:eastAsia="en-GB"/>
              </w:rPr>
            </w:pPr>
          </w:p>
        </w:tc>
        <w:tc>
          <w:tcPr>
            <w:tcW w:w="961" w:type="dxa"/>
            <w:tcBorders>
              <w:top w:val="nil"/>
              <w:left w:val="nil"/>
              <w:bottom w:val="nil"/>
              <w:right w:val="nil"/>
            </w:tcBorders>
            <w:shd w:val="clear" w:color="auto" w:fill="auto"/>
            <w:noWrap/>
            <w:vAlign w:val="bottom"/>
            <w:hideMark/>
          </w:tcPr>
          <w:p w14:paraId="593E002C" w14:textId="77777777" w:rsidR="007E26AF" w:rsidRPr="00BA6959" w:rsidRDefault="007E26AF" w:rsidP="007E26AF">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5228</w:t>
            </w:r>
          </w:p>
        </w:tc>
        <w:tc>
          <w:tcPr>
            <w:tcW w:w="960" w:type="dxa"/>
            <w:tcBorders>
              <w:top w:val="nil"/>
              <w:left w:val="nil"/>
              <w:bottom w:val="nil"/>
              <w:right w:val="nil"/>
            </w:tcBorders>
            <w:shd w:val="clear" w:color="auto" w:fill="auto"/>
            <w:noWrap/>
            <w:vAlign w:val="bottom"/>
            <w:hideMark/>
          </w:tcPr>
          <w:p w14:paraId="3A999018" w14:textId="77777777" w:rsidR="007E26AF" w:rsidRPr="00BA6959" w:rsidRDefault="007E26AF" w:rsidP="007E26AF">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1778</w:t>
            </w:r>
          </w:p>
        </w:tc>
      </w:tr>
    </w:tbl>
    <w:p w14:paraId="33E3CE5F" w14:textId="77777777" w:rsidR="007E26AF" w:rsidRPr="00BA6959" w:rsidRDefault="007E26AF" w:rsidP="007E26AF">
      <w:pPr>
        <w:pStyle w:val="BHBriefs"/>
        <w:spacing w:after="240"/>
        <w:jc w:val="left"/>
        <w:rPr>
          <w:b/>
          <w:lang w:val="en-GB"/>
        </w:rPr>
      </w:pPr>
    </w:p>
    <w:p w14:paraId="4570DEA4" w14:textId="77777777" w:rsidR="007E26AF" w:rsidRPr="00BA6959" w:rsidRDefault="007E26AF" w:rsidP="007E26AF">
      <w:pPr>
        <w:pStyle w:val="BHBriefs"/>
        <w:spacing w:after="240"/>
        <w:jc w:val="left"/>
        <w:rPr>
          <w:lang w:val="en-GB"/>
        </w:rPr>
      </w:pPr>
      <w:r w:rsidRPr="00BA6959">
        <w:rPr>
          <w:b/>
          <w:lang w:val="en-GB"/>
        </w:rPr>
        <w:t xml:space="preserve">Table 1. </w:t>
      </w:r>
      <w:r w:rsidRPr="00BA6959">
        <w:rPr>
          <w:lang w:val="en-GB"/>
        </w:rPr>
        <w:t>Data extracted from</w:t>
      </w:r>
      <w:r w:rsidR="002F0FBE" w:rsidRPr="00BA6959">
        <w:rPr>
          <w:lang w:val="en-GB"/>
        </w:rPr>
        <w:t xml:space="preserve"> the</w:t>
      </w:r>
      <w:r w:rsidRPr="00BA6959">
        <w:rPr>
          <w:lang w:val="en-GB"/>
        </w:rPr>
        <w:t xml:space="preserve"> ToxCast </w:t>
      </w:r>
      <w:r w:rsidR="002F0FBE" w:rsidRPr="00BA6959">
        <w:rPr>
          <w:lang w:val="en-GB"/>
        </w:rPr>
        <w:t xml:space="preserve">database </w:t>
      </w:r>
      <w:r w:rsidRPr="00BA6959">
        <w:rPr>
          <w:lang w:val="en-GB"/>
        </w:rPr>
        <w:t>for this study shown as divided between positive and negative data points and training and test sets. AR=androgen receptor, GR=glucocorticoid receptor.</w:t>
      </w:r>
    </w:p>
    <w:p w14:paraId="161A0209" w14:textId="77777777" w:rsidR="00A80789" w:rsidRPr="00BA6959" w:rsidRDefault="00A80789">
      <w:pPr>
        <w:spacing w:after="0"/>
        <w:jc w:val="left"/>
        <w:rPr>
          <w:lang w:val="en-GB"/>
        </w:rPr>
      </w:pPr>
      <w:r w:rsidRPr="00BA6959">
        <w:rPr>
          <w:lang w:val="en-GB"/>
        </w:rPr>
        <w:br w:type="page"/>
      </w:r>
    </w:p>
    <w:p w14:paraId="7ECCDF8B" w14:textId="77777777" w:rsidR="00A80789" w:rsidRPr="00BA6959" w:rsidRDefault="00A80789" w:rsidP="00A80789">
      <w:pPr>
        <w:spacing w:after="0"/>
        <w:jc w:val="left"/>
        <w:rPr>
          <w:rFonts w:ascii="Times New Roman" w:hAnsi="Times New Roman"/>
          <w:sz w:val="20"/>
          <w:szCs w:val="24"/>
          <w:lang w:val="en-GB" w:eastAsia="en-GB"/>
        </w:rPr>
        <w:sectPr w:rsidR="00A80789" w:rsidRPr="00BA6959" w:rsidSect="00E976E0">
          <w:pgSz w:w="15840" w:h="12240" w:orient="landscape"/>
          <w:pgMar w:top="1440" w:right="1440" w:bottom="1440" w:left="1440" w:header="0" w:footer="0" w:gutter="0"/>
          <w:cols w:space="475"/>
          <w:docGrid w:linePitch="326"/>
        </w:sectPr>
      </w:pPr>
    </w:p>
    <w:tbl>
      <w:tblPr>
        <w:tblW w:w="12824" w:type="dxa"/>
        <w:tblLook w:val="04A0" w:firstRow="1" w:lastRow="0" w:firstColumn="1" w:lastColumn="0" w:noHBand="0" w:noVBand="1"/>
      </w:tblPr>
      <w:tblGrid>
        <w:gridCol w:w="1474"/>
        <w:gridCol w:w="551"/>
        <w:gridCol w:w="551"/>
        <w:gridCol w:w="664"/>
        <w:gridCol w:w="551"/>
        <w:gridCol w:w="262"/>
        <w:gridCol w:w="741"/>
        <w:gridCol w:w="741"/>
        <w:gridCol w:w="741"/>
        <w:gridCol w:w="741"/>
        <w:gridCol w:w="262"/>
        <w:gridCol w:w="551"/>
        <w:gridCol w:w="440"/>
        <w:gridCol w:w="664"/>
        <w:gridCol w:w="664"/>
        <w:gridCol w:w="262"/>
        <w:gridCol w:w="741"/>
        <w:gridCol w:w="741"/>
        <w:gridCol w:w="741"/>
        <w:gridCol w:w="741"/>
      </w:tblGrid>
      <w:tr w:rsidR="00536DF1" w:rsidRPr="00BA6959" w14:paraId="573B0A10" w14:textId="77777777" w:rsidTr="00536DF1">
        <w:trPr>
          <w:trHeight w:val="300"/>
        </w:trPr>
        <w:tc>
          <w:tcPr>
            <w:tcW w:w="1474" w:type="dxa"/>
            <w:tcBorders>
              <w:top w:val="nil"/>
              <w:left w:val="nil"/>
              <w:bottom w:val="nil"/>
              <w:right w:val="nil"/>
            </w:tcBorders>
            <w:shd w:val="clear" w:color="auto" w:fill="auto"/>
            <w:noWrap/>
            <w:vAlign w:val="bottom"/>
            <w:hideMark/>
          </w:tcPr>
          <w:p w14:paraId="14A8D441" w14:textId="77777777" w:rsidR="00536DF1" w:rsidRPr="00BA6959" w:rsidRDefault="00536DF1" w:rsidP="00536DF1">
            <w:pPr>
              <w:spacing w:after="0"/>
              <w:jc w:val="left"/>
              <w:rPr>
                <w:rFonts w:ascii="Times New Roman" w:hAnsi="Times New Roman"/>
                <w:sz w:val="20"/>
                <w:szCs w:val="24"/>
                <w:lang w:val="en-GB" w:eastAsia="en-GB"/>
              </w:rPr>
            </w:pPr>
          </w:p>
        </w:tc>
        <w:tc>
          <w:tcPr>
            <w:tcW w:w="5543" w:type="dxa"/>
            <w:gridSpan w:val="9"/>
            <w:tcBorders>
              <w:top w:val="nil"/>
              <w:left w:val="nil"/>
              <w:bottom w:val="nil"/>
              <w:right w:val="nil"/>
            </w:tcBorders>
            <w:shd w:val="clear" w:color="auto" w:fill="auto"/>
            <w:noWrap/>
            <w:vAlign w:val="bottom"/>
            <w:hideMark/>
          </w:tcPr>
          <w:p w14:paraId="2BE385BA" w14:textId="70C10FCA" w:rsidR="00536DF1" w:rsidRPr="00BA6959" w:rsidRDefault="00536DF1" w:rsidP="00536DF1">
            <w:pPr>
              <w:spacing w:after="0"/>
              <w:jc w:val="center"/>
              <w:rPr>
                <w:rFonts w:ascii="Calibri" w:hAnsi="Calibri" w:cs="Calibri"/>
                <w:b/>
                <w:bCs/>
                <w:color w:val="000000"/>
                <w:sz w:val="20"/>
                <w:lang w:val="en-GB" w:eastAsia="en-GB"/>
              </w:rPr>
            </w:pPr>
            <w:r w:rsidRPr="00BA6959">
              <w:rPr>
                <w:rFonts w:ascii="Calibri" w:hAnsi="Calibri" w:cs="Calibri"/>
                <w:b/>
                <w:bCs/>
                <w:color w:val="000000"/>
                <w:sz w:val="20"/>
                <w:lang w:val="en-GB" w:eastAsia="en-GB"/>
              </w:rPr>
              <w:t>R</w:t>
            </w:r>
            <w:r w:rsidR="001F3927">
              <w:rPr>
                <w:rFonts w:ascii="Calibri" w:hAnsi="Calibri" w:cs="Calibri"/>
                <w:b/>
                <w:bCs/>
                <w:color w:val="000000"/>
                <w:sz w:val="20"/>
                <w:lang w:val="en-GB" w:eastAsia="en-GB"/>
              </w:rPr>
              <w:t>E</w:t>
            </w:r>
          </w:p>
        </w:tc>
        <w:tc>
          <w:tcPr>
            <w:tcW w:w="262" w:type="dxa"/>
            <w:tcBorders>
              <w:top w:val="nil"/>
              <w:left w:val="nil"/>
              <w:bottom w:val="nil"/>
              <w:right w:val="nil"/>
            </w:tcBorders>
            <w:shd w:val="clear" w:color="auto" w:fill="auto"/>
            <w:noWrap/>
            <w:vAlign w:val="bottom"/>
            <w:hideMark/>
          </w:tcPr>
          <w:p w14:paraId="528DE851" w14:textId="77777777" w:rsidR="00536DF1" w:rsidRPr="00BA6959" w:rsidRDefault="00536DF1" w:rsidP="00536DF1">
            <w:pPr>
              <w:spacing w:after="0"/>
              <w:jc w:val="center"/>
              <w:rPr>
                <w:rFonts w:ascii="Calibri" w:hAnsi="Calibri" w:cs="Calibri"/>
                <w:b/>
                <w:bCs/>
                <w:color w:val="000000"/>
                <w:sz w:val="20"/>
                <w:lang w:val="en-GB" w:eastAsia="en-GB"/>
              </w:rPr>
            </w:pPr>
          </w:p>
        </w:tc>
        <w:tc>
          <w:tcPr>
            <w:tcW w:w="5545" w:type="dxa"/>
            <w:gridSpan w:val="9"/>
            <w:tcBorders>
              <w:top w:val="nil"/>
              <w:left w:val="nil"/>
              <w:bottom w:val="nil"/>
              <w:right w:val="nil"/>
            </w:tcBorders>
            <w:shd w:val="clear" w:color="auto" w:fill="auto"/>
            <w:noWrap/>
            <w:vAlign w:val="bottom"/>
            <w:hideMark/>
          </w:tcPr>
          <w:p w14:paraId="29164AA9" w14:textId="77777777" w:rsidR="00536DF1" w:rsidRPr="00BA6959" w:rsidRDefault="00536DF1" w:rsidP="00536DF1">
            <w:pPr>
              <w:spacing w:after="0"/>
              <w:jc w:val="center"/>
              <w:rPr>
                <w:rFonts w:ascii="Calibri" w:hAnsi="Calibri" w:cs="Calibri"/>
                <w:b/>
                <w:bCs/>
                <w:color w:val="000000"/>
                <w:sz w:val="20"/>
                <w:lang w:val="en-GB" w:eastAsia="en-GB"/>
              </w:rPr>
            </w:pPr>
            <w:r w:rsidRPr="00BA6959">
              <w:rPr>
                <w:rFonts w:ascii="Calibri" w:hAnsi="Calibri" w:cs="Calibri"/>
                <w:b/>
                <w:bCs/>
                <w:color w:val="000000"/>
                <w:sz w:val="20"/>
                <w:lang w:val="en-GB" w:eastAsia="en-GB"/>
              </w:rPr>
              <w:t>Screen</w:t>
            </w:r>
          </w:p>
        </w:tc>
      </w:tr>
      <w:tr w:rsidR="00536DF1" w:rsidRPr="00BA6959" w14:paraId="7DA647EE" w14:textId="77777777" w:rsidTr="00536DF1">
        <w:trPr>
          <w:trHeight w:val="300"/>
        </w:trPr>
        <w:tc>
          <w:tcPr>
            <w:tcW w:w="1474" w:type="dxa"/>
            <w:tcBorders>
              <w:top w:val="nil"/>
              <w:left w:val="nil"/>
              <w:bottom w:val="single" w:sz="4" w:space="0" w:color="auto"/>
              <w:right w:val="nil"/>
            </w:tcBorders>
            <w:shd w:val="clear" w:color="auto" w:fill="auto"/>
            <w:noWrap/>
            <w:vAlign w:val="bottom"/>
            <w:hideMark/>
          </w:tcPr>
          <w:p w14:paraId="0EFDEB65" w14:textId="77777777" w:rsidR="00536DF1" w:rsidRPr="00BA6959" w:rsidRDefault="00536DF1" w:rsidP="00536DF1">
            <w:pPr>
              <w:spacing w:after="0"/>
              <w:jc w:val="left"/>
              <w:rPr>
                <w:rFonts w:ascii="Calibri" w:hAnsi="Calibri" w:cs="Calibri"/>
                <w:b/>
                <w:bCs/>
                <w:color w:val="000000"/>
                <w:sz w:val="20"/>
                <w:lang w:val="en-GB" w:eastAsia="en-GB"/>
              </w:rPr>
            </w:pPr>
            <w:r w:rsidRPr="00BA6959">
              <w:rPr>
                <w:rFonts w:ascii="Calibri" w:hAnsi="Calibri" w:cs="Calibri"/>
                <w:b/>
                <w:bCs/>
                <w:color w:val="000000"/>
                <w:sz w:val="20"/>
                <w:lang w:val="en-GB" w:eastAsia="en-GB"/>
              </w:rPr>
              <w:t>Target</w:t>
            </w:r>
          </w:p>
        </w:tc>
        <w:tc>
          <w:tcPr>
            <w:tcW w:w="551" w:type="dxa"/>
            <w:tcBorders>
              <w:top w:val="nil"/>
              <w:left w:val="nil"/>
              <w:bottom w:val="single" w:sz="4" w:space="0" w:color="auto"/>
              <w:right w:val="nil"/>
            </w:tcBorders>
            <w:shd w:val="clear" w:color="auto" w:fill="auto"/>
            <w:noWrap/>
            <w:vAlign w:val="bottom"/>
            <w:hideMark/>
          </w:tcPr>
          <w:p w14:paraId="3E3C4487" w14:textId="77777777" w:rsidR="00536DF1" w:rsidRPr="00BA6959" w:rsidRDefault="00536DF1" w:rsidP="00536DF1">
            <w:pPr>
              <w:spacing w:after="0"/>
              <w:jc w:val="center"/>
              <w:rPr>
                <w:rFonts w:ascii="Calibri" w:hAnsi="Calibri" w:cs="Calibri"/>
                <w:b/>
                <w:bCs/>
                <w:color w:val="000000"/>
                <w:sz w:val="20"/>
                <w:lang w:val="en-GB" w:eastAsia="en-GB"/>
              </w:rPr>
            </w:pPr>
            <w:r w:rsidRPr="00BA6959">
              <w:rPr>
                <w:rFonts w:ascii="Calibri" w:hAnsi="Calibri" w:cs="Calibri"/>
                <w:b/>
                <w:bCs/>
                <w:color w:val="000000"/>
                <w:sz w:val="20"/>
                <w:lang w:val="en-GB" w:eastAsia="en-GB"/>
              </w:rPr>
              <w:t>TP</w:t>
            </w:r>
          </w:p>
        </w:tc>
        <w:tc>
          <w:tcPr>
            <w:tcW w:w="551" w:type="dxa"/>
            <w:tcBorders>
              <w:top w:val="nil"/>
              <w:left w:val="nil"/>
              <w:bottom w:val="single" w:sz="4" w:space="0" w:color="auto"/>
              <w:right w:val="nil"/>
            </w:tcBorders>
            <w:shd w:val="clear" w:color="auto" w:fill="auto"/>
            <w:noWrap/>
            <w:vAlign w:val="bottom"/>
            <w:hideMark/>
          </w:tcPr>
          <w:p w14:paraId="291DC9C8" w14:textId="77777777" w:rsidR="00536DF1" w:rsidRPr="00BA6959" w:rsidRDefault="00536DF1" w:rsidP="00536DF1">
            <w:pPr>
              <w:spacing w:after="0"/>
              <w:jc w:val="center"/>
              <w:rPr>
                <w:rFonts w:ascii="Calibri" w:hAnsi="Calibri" w:cs="Calibri"/>
                <w:b/>
                <w:bCs/>
                <w:color w:val="000000"/>
                <w:sz w:val="20"/>
                <w:lang w:val="en-GB" w:eastAsia="en-GB"/>
              </w:rPr>
            </w:pPr>
            <w:r w:rsidRPr="00BA6959">
              <w:rPr>
                <w:rFonts w:ascii="Calibri" w:hAnsi="Calibri" w:cs="Calibri"/>
                <w:b/>
                <w:bCs/>
                <w:color w:val="000000"/>
                <w:sz w:val="20"/>
                <w:lang w:val="en-GB" w:eastAsia="en-GB"/>
              </w:rPr>
              <w:t>FN</w:t>
            </w:r>
          </w:p>
        </w:tc>
        <w:tc>
          <w:tcPr>
            <w:tcW w:w="664" w:type="dxa"/>
            <w:tcBorders>
              <w:top w:val="nil"/>
              <w:left w:val="nil"/>
              <w:bottom w:val="single" w:sz="4" w:space="0" w:color="auto"/>
              <w:right w:val="nil"/>
            </w:tcBorders>
            <w:shd w:val="clear" w:color="auto" w:fill="auto"/>
            <w:noWrap/>
            <w:vAlign w:val="bottom"/>
            <w:hideMark/>
          </w:tcPr>
          <w:p w14:paraId="76D2D638" w14:textId="77777777" w:rsidR="00536DF1" w:rsidRPr="00BA6959" w:rsidRDefault="00536DF1" w:rsidP="00536DF1">
            <w:pPr>
              <w:spacing w:after="0"/>
              <w:jc w:val="center"/>
              <w:rPr>
                <w:rFonts w:ascii="Calibri" w:hAnsi="Calibri" w:cs="Calibri"/>
                <w:b/>
                <w:bCs/>
                <w:color w:val="000000"/>
                <w:sz w:val="20"/>
                <w:lang w:val="en-GB" w:eastAsia="en-GB"/>
              </w:rPr>
            </w:pPr>
            <w:r w:rsidRPr="00BA6959">
              <w:rPr>
                <w:rFonts w:ascii="Calibri" w:hAnsi="Calibri" w:cs="Calibri"/>
                <w:b/>
                <w:bCs/>
                <w:color w:val="000000"/>
                <w:sz w:val="20"/>
                <w:lang w:val="en-GB" w:eastAsia="en-GB"/>
              </w:rPr>
              <w:t>TN</w:t>
            </w:r>
          </w:p>
        </w:tc>
        <w:tc>
          <w:tcPr>
            <w:tcW w:w="551" w:type="dxa"/>
            <w:tcBorders>
              <w:top w:val="nil"/>
              <w:left w:val="nil"/>
              <w:bottom w:val="single" w:sz="4" w:space="0" w:color="auto"/>
              <w:right w:val="nil"/>
            </w:tcBorders>
            <w:shd w:val="clear" w:color="auto" w:fill="auto"/>
            <w:noWrap/>
            <w:vAlign w:val="bottom"/>
            <w:hideMark/>
          </w:tcPr>
          <w:p w14:paraId="11711703" w14:textId="77777777" w:rsidR="00536DF1" w:rsidRPr="00BA6959" w:rsidRDefault="00536DF1" w:rsidP="00536DF1">
            <w:pPr>
              <w:spacing w:after="0"/>
              <w:jc w:val="center"/>
              <w:rPr>
                <w:rFonts w:ascii="Calibri" w:hAnsi="Calibri" w:cs="Calibri"/>
                <w:b/>
                <w:bCs/>
                <w:color w:val="000000"/>
                <w:sz w:val="20"/>
                <w:lang w:val="en-GB" w:eastAsia="en-GB"/>
              </w:rPr>
            </w:pPr>
            <w:r w:rsidRPr="00BA6959">
              <w:rPr>
                <w:rFonts w:ascii="Calibri" w:hAnsi="Calibri" w:cs="Calibri"/>
                <w:b/>
                <w:bCs/>
                <w:color w:val="000000"/>
                <w:sz w:val="20"/>
                <w:lang w:val="en-GB" w:eastAsia="en-GB"/>
              </w:rPr>
              <w:t>FP</w:t>
            </w:r>
          </w:p>
        </w:tc>
        <w:tc>
          <w:tcPr>
            <w:tcW w:w="262" w:type="dxa"/>
            <w:tcBorders>
              <w:top w:val="nil"/>
              <w:left w:val="nil"/>
              <w:bottom w:val="single" w:sz="4" w:space="0" w:color="auto"/>
              <w:right w:val="nil"/>
            </w:tcBorders>
            <w:shd w:val="clear" w:color="auto" w:fill="auto"/>
            <w:noWrap/>
            <w:vAlign w:val="bottom"/>
            <w:hideMark/>
          </w:tcPr>
          <w:p w14:paraId="3A8C7A86" w14:textId="77777777" w:rsidR="00536DF1" w:rsidRPr="00BA6959" w:rsidRDefault="00536DF1" w:rsidP="00536DF1">
            <w:pPr>
              <w:spacing w:after="0"/>
              <w:jc w:val="center"/>
              <w:rPr>
                <w:rFonts w:ascii="Calibri" w:hAnsi="Calibri" w:cs="Calibri"/>
                <w:b/>
                <w:bCs/>
                <w:color w:val="000000"/>
                <w:sz w:val="20"/>
                <w:lang w:val="en-GB" w:eastAsia="en-GB"/>
              </w:rPr>
            </w:pPr>
            <w:r w:rsidRPr="00BA6959">
              <w:rPr>
                <w:rFonts w:ascii="Calibri" w:hAnsi="Calibri" w:cs="Calibri"/>
                <w:b/>
                <w:bCs/>
                <w:color w:val="000000"/>
                <w:sz w:val="20"/>
                <w:lang w:val="en-GB" w:eastAsia="en-GB"/>
              </w:rPr>
              <w:t> </w:t>
            </w:r>
          </w:p>
        </w:tc>
        <w:tc>
          <w:tcPr>
            <w:tcW w:w="741" w:type="dxa"/>
            <w:tcBorders>
              <w:top w:val="nil"/>
              <w:left w:val="nil"/>
              <w:bottom w:val="single" w:sz="4" w:space="0" w:color="auto"/>
              <w:right w:val="nil"/>
            </w:tcBorders>
            <w:shd w:val="clear" w:color="auto" w:fill="auto"/>
            <w:noWrap/>
            <w:vAlign w:val="bottom"/>
            <w:hideMark/>
          </w:tcPr>
          <w:p w14:paraId="3A453581" w14:textId="77777777" w:rsidR="00536DF1" w:rsidRPr="00BA6959" w:rsidRDefault="00536DF1" w:rsidP="00536DF1">
            <w:pPr>
              <w:spacing w:after="0"/>
              <w:jc w:val="center"/>
              <w:rPr>
                <w:rFonts w:ascii="Calibri" w:hAnsi="Calibri" w:cs="Calibri"/>
                <w:b/>
                <w:bCs/>
                <w:color w:val="000000"/>
                <w:sz w:val="20"/>
                <w:lang w:val="en-GB" w:eastAsia="en-GB"/>
              </w:rPr>
            </w:pPr>
            <w:r w:rsidRPr="00BA6959">
              <w:rPr>
                <w:rFonts w:ascii="Calibri" w:hAnsi="Calibri" w:cs="Calibri"/>
                <w:b/>
                <w:bCs/>
                <w:color w:val="000000"/>
                <w:sz w:val="20"/>
                <w:lang w:val="en-GB" w:eastAsia="en-GB"/>
              </w:rPr>
              <w:t>SE</w:t>
            </w:r>
          </w:p>
        </w:tc>
        <w:tc>
          <w:tcPr>
            <w:tcW w:w="741" w:type="dxa"/>
            <w:tcBorders>
              <w:top w:val="nil"/>
              <w:left w:val="nil"/>
              <w:bottom w:val="single" w:sz="4" w:space="0" w:color="auto"/>
              <w:right w:val="nil"/>
            </w:tcBorders>
            <w:shd w:val="clear" w:color="auto" w:fill="auto"/>
            <w:noWrap/>
            <w:vAlign w:val="bottom"/>
            <w:hideMark/>
          </w:tcPr>
          <w:p w14:paraId="0C227301" w14:textId="77777777" w:rsidR="00536DF1" w:rsidRPr="00BA6959" w:rsidRDefault="00536DF1" w:rsidP="00536DF1">
            <w:pPr>
              <w:spacing w:after="0"/>
              <w:jc w:val="center"/>
              <w:rPr>
                <w:rFonts w:ascii="Calibri" w:hAnsi="Calibri" w:cs="Calibri"/>
                <w:b/>
                <w:bCs/>
                <w:color w:val="000000"/>
                <w:sz w:val="20"/>
                <w:lang w:val="en-GB" w:eastAsia="en-GB"/>
              </w:rPr>
            </w:pPr>
            <w:r w:rsidRPr="00BA6959">
              <w:rPr>
                <w:rFonts w:ascii="Calibri" w:hAnsi="Calibri" w:cs="Calibri"/>
                <w:b/>
                <w:bCs/>
                <w:color w:val="000000"/>
                <w:sz w:val="20"/>
                <w:lang w:val="en-GB" w:eastAsia="en-GB"/>
              </w:rPr>
              <w:t>SP</w:t>
            </w:r>
          </w:p>
        </w:tc>
        <w:tc>
          <w:tcPr>
            <w:tcW w:w="741" w:type="dxa"/>
            <w:tcBorders>
              <w:top w:val="nil"/>
              <w:left w:val="nil"/>
              <w:bottom w:val="single" w:sz="4" w:space="0" w:color="auto"/>
              <w:right w:val="nil"/>
            </w:tcBorders>
            <w:shd w:val="clear" w:color="auto" w:fill="auto"/>
            <w:noWrap/>
            <w:vAlign w:val="bottom"/>
            <w:hideMark/>
          </w:tcPr>
          <w:p w14:paraId="20A29860" w14:textId="77777777" w:rsidR="00536DF1" w:rsidRPr="00BA6959" w:rsidRDefault="00536DF1" w:rsidP="00536DF1">
            <w:pPr>
              <w:spacing w:after="0"/>
              <w:jc w:val="center"/>
              <w:rPr>
                <w:rFonts w:ascii="Calibri" w:hAnsi="Calibri" w:cs="Calibri"/>
                <w:b/>
                <w:bCs/>
                <w:color w:val="000000"/>
                <w:sz w:val="20"/>
                <w:lang w:val="en-GB" w:eastAsia="en-GB"/>
              </w:rPr>
            </w:pPr>
            <w:r w:rsidRPr="00BA6959">
              <w:rPr>
                <w:rFonts w:ascii="Calibri" w:hAnsi="Calibri" w:cs="Calibri"/>
                <w:b/>
                <w:bCs/>
                <w:color w:val="000000"/>
                <w:sz w:val="20"/>
                <w:lang w:val="en-GB" w:eastAsia="en-GB"/>
              </w:rPr>
              <w:t>Q</w:t>
            </w:r>
          </w:p>
        </w:tc>
        <w:tc>
          <w:tcPr>
            <w:tcW w:w="741" w:type="dxa"/>
            <w:tcBorders>
              <w:top w:val="nil"/>
              <w:left w:val="nil"/>
              <w:bottom w:val="single" w:sz="4" w:space="0" w:color="auto"/>
              <w:right w:val="nil"/>
            </w:tcBorders>
            <w:shd w:val="clear" w:color="auto" w:fill="auto"/>
            <w:noWrap/>
            <w:vAlign w:val="bottom"/>
            <w:hideMark/>
          </w:tcPr>
          <w:p w14:paraId="18BC5865" w14:textId="77777777" w:rsidR="00536DF1" w:rsidRPr="00BA6959" w:rsidRDefault="00536DF1" w:rsidP="00536DF1">
            <w:pPr>
              <w:spacing w:after="0"/>
              <w:jc w:val="center"/>
              <w:rPr>
                <w:rFonts w:ascii="Calibri" w:hAnsi="Calibri" w:cs="Calibri"/>
                <w:b/>
                <w:bCs/>
                <w:color w:val="000000"/>
                <w:sz w:val="20"/>
                <w:lang w:val="en-GB" w:eastAsia="en-GB"/>
              </w:rPr>
            </w:pPr>
            <w:r w:rsidRPr="00BA6959">
              <w:rPr>
                <w:rFonts w:ascii="Calibri" w:hAnsi="Calibri" w:cs="Calibri"/>
                <w:b/>
                <w:bCs/>
                <w:color w:val="000000"/>
                <w:sz w:val="20"/>
                <w:lang w:val="en-GB" w:eastAsia="en-GB"/>
              </w:rPr>
              <w:t>MCC</w:t>
            </w:r>
          </w:p>
        </w:tc>
        <w:tc>
          <w:tcPr>
            <w:tcW w:w="262" w:type="dxa"/>
            <w:tcBorders>
              <w:top w:val="nil"/>
              <w:left w:val="nil"/>
              <w:bottom w:val="single" w:sz="4" w:space="0" w:color="auto"/>
              <w:right w:val="nil"/>
            </w:tcBorders>
            <w:shd w:val="clear" w:color="auto" w:fill="auto"/>
            <w:noWrap/>
            <w:vAlign w:val="bottom"/>
            <w:hideMark/>
          </w:tcPr>
          <w:p w14:paraId="0C97D30A" w14:textId="77777777" w:rsidR="00536DF1" w:rsidRPr="00BA6959" w:rsidRDefault="00536DF1" w:rsidP="00536DF1">
            <w:pPr>
              <w:spacing w:after="0"/>
              <w:jc w:val="center"/>
              <w:rPr>
                <w:rFonts w:ascii="Calibri" w:hAnsi="Calibri" w:cs="Calibri"/>
                <w:b/>
                <w:bCs/>
                <w:color w:val="000000"/>
                <w:sz w:val="20"/>
                <w:lang w:val="en-GB" w:eastAsia="en-GB"/>
              </w:rPr>
            </w:pPr>
            <w:r w:rsidRPr="00BA6959">
              <w:rPr>
                <w:rFonts w:ascii="Calibri" w:hAnsi="Calibri" w:cs="Calibri"/>
                <w:b/>
                <w:bCs/>
                <w:color w:val="000000"/>
                <w:sz w:val="20"/>
                <w:lang w:val="en-GB" w:eastAsia="en-GB"/>
              </w:rPr>
              <w:t> </w:t>
            </w:r>
          </w:p>
        </w:tc>
        <w:tc>
          <w:tcPr>
            <w:tcW w:w="551" w:type="dxa"/>
            <w:tcBorders>
              <w:top w:val="nil"/>
              <w:left w:val="nil"/>
              <w:bottom w:val="single" w:sz="4" w:space="0" w:color="auto"/>
              <w:right w:val="nil"/>
            </w:tcBorders>
            <w:shd w:val="clear" w:color="auto" w:fill="auto"/>
            <w:noWrap/>
            <w:vAlign w:val="bottom"/>
            <w:hideMark/>
          </w:tcPr>
          <w:p w14:paraId="3787F0E3" w14:textId="77777777" w:rsidR="00536DF1" w:rsidRPr="00BA6959" w:rsidRDefault="00536DF1" w:rsidP="00536DF1">
            <w:pPr>
              <w:spacing w:after="0"/>
              <w:jc w:val="center"/>
              <w:rPr>
                <w:rFonts w:ascii="Calibri" w:hAnsi="Calibri" w:cs="Calibri"/>
                <w:b/>
                <w:bCs/>
                <w:color w:val="000000"/>
                <w:sz w:val="20"/>
                <w:lang w:val="en-GB" w:eastAsia="en-GB"/>
              </w:rPr>
            </w:pPr>
            <w:r w:rsidRPr="00BA6959">
              <w:rPr>
                <w:rFonts w:ascii="Calibri" w:hAnsi="Calibri" w:cs="Calibri"/>
                <w:b/>
                <w:bCs/>
                <w:color w:val="000000"/>
                <w:sz w:val="20"/>
                <w:lang w:val="en-GB" w:eastAsia="en-GB"/>
              </w:rPr>
              <w:t>TP</w:t>
            </w:r>
          </w:p>
        </w:tc>
        <w:tc>
          <w:tcPr>
            <w:tcW w:w="440" w:type="dxa"/>
            <w:tcBorders>
              <w:top w:val="nil"/>
              <w:left w:val="nil"/>
              <w:bottom w:val="single" w:sz="4" w:space="0" w:color="auto"/>
              <w:right w:val="nil"/>
            </w:tcBorders>
            <w:shd w:val="clear" w:color="auto" w:fill="auto"/>
            <w:noWrap/>
            <w:vAlign w:val="bottom"/>
            <w:hideMark/>
          </w:tcPr>
          <w:p w14:paraId="75310E87" w14:textId="77777777" w:rsidR="00536DF1" w:rsidRPr="00BA6959" w:rsidRDefault="00536DF1" w:rsidP="00536DF1">
            <w:pPr>
              <w:spacing w:after="0"/>
              <w:jc w:val="center"/>
              <w:rPr>
                <w:rFonts w:ascii="Calibri" w:hAnsi="Calibri" w:cs="Calibri"/>
                <w:b/>
                <w:bCs/>
                <w:color w:val="000000"/>
                <w:sz w:val="20"/>
                <w:lang w:val="en-GB" w:eastAsia="en-GB"/>
              </w:rPr>
            </w:pPr>
            <w:r w:rsidRPr="00BA6959">
              <w:rPr>
                <w:rFonts w:ascii="Calibri" w:hAnsi="Calibri" w:cs="Calibri"/>
                <w:b/>
                <w:bCs/>
                <w:color w:val="000000"/>
                <w:sz w:val="20"/>
                <w:lang w:val="en-GB" w:eastAsia="en-GB"/>
              </w:rPr>
              <w:t>FN</w:t>
            </w:r>
          </w:p>
        </w:tc>
        <w:tc>
          <w:tcPr>
            <w:tcW w:w="664" w:type="dxa"/>
            <w:tcBorders>
              <w:top w:val="nil"/>
              <w:left w:val="nil"/>
              <w:bottom w:val="single" w:sz="4" w:space="0" w:color="auto"/>
              <w:right w:val="nil"/>
            </w:tcBorders>
            <w:shd w:val="clear" w:color="auto" w:fill="auto"/>
            <w:noWrap/>
            <w:vAlign w:val="bottom"/>
            <w:hideMark/>
          </w:tcPr>
          <w:p w14:paraId="7607379E" w14:textId="77777777" w:rsidR="00536DF1" w:rsidRPr="00BA6959" w:rsidRDefault="00536DF1" w:rsidP="00536DF1">
            <w:pPr>
              <w:spacing w:after="0"/>
              <w:jc w:val="center"/>
              <w:rPr>
                <w:rFonts w:ascii="Calibri" w:hAnsi="Calibri" w:cs="Calibri"/>
                <w:b/>
                <w:bCs/>
                <w:color w:val="000000"/>
                <w:sz w:val="20"/>
                <w:lang w:val="en-GB" w:eastAsia="en-GB"/>
              </w:rPr>
            </w:pPr>
            <w:r w:rsidRPr="00BA6959">
              <w:rPr>
                <w:rFonts w:ascii="Calibri" w:hAnsi="Calibri" w:cs="Calibri"/>
                <w:b/>
                <w:bCs/>
                <w:color w:val="000000"/>
                <w:sz w:val="20"/>
                <w:lang w:val="en-GB" w:eastAsia="en-GB"/>
              </w:rPr>
              <w:t>TN</w:t>
            </w:r>
          </w:p>
        </w:tc>
        <w:tc>
          <w:tcPr>
            <w:tcW w:w="664" w:type="dxa"/>
            <w:tcBorders>
              <w:top w:val="nil"/>
              <w:left w:val="nil"/>
              <w:bottom w:val="single" w:sz="4" w:space="0" w:color="auto"/>
              <w:right w:val="nil"/>
            </w:tcBorders>
            <w:shd w:val="clear" w:color="auto" w:fill="auto"/>
            <w:noWrap/>
            <w:vAlign w:val="bottom"/>
            <w:hideMark/>
          </w:tcPr>
          <w:p w14:paraId="0DED9BDE" w14:textId="77777777" w:rsidR="00536DF1" w:rsidRPr="00BA6959" w:rsidRDefault="00536DF1" w:rsidP="00536DF1">
            <w:pPr>
              <w:spacing w:after="0"/>
              <w:jc w:val="center"/>
              <w:rPr>
                <w:rFonts w:ascii="Calibri" w:hAnsi="Calibri" w:cs="Calibri"/>
                <w:b/>
                <w:bCs/>
                <w:color w:val="000000"/>
                <w:sz w:val="20"/>
                <w:lang w:val="en-GB" w:eastAsia="en-GB"/>
              </w:rPr>
            </w:pPr>
            <w:r w:rsidRPr="00BA6959">
              <w:rPr>
                <w:rFonts w:ascii="Calibri" w:hAnsi="Calibri" w:cs="Calibri"/>
                <w:b/>
                <w:bCs/>
                <w:color w:val="000000"/>
                <w:sz w:val="20"/>
                <w:lang w:val="en-GB" w:eastAsia="en-GB"/>
              </w:rPr>
              <w:t>FP</w:t>
            </w:r>
          </w:p>
        </w:tc>
        <w:tc>
          <w:tcPr>
            <w:tcW w:w="262" w:type="dxa"/>
            <w:tcBorders>
              <w:top w:val="nil"/>
              <w:left w:val="nil"/>
              <w:bottom w:val="single" w:sz="4" w:space="0" w:color="auto"/>
              <w:right w:val="nil"/>
            </w:tcBorders>
            <w:shd w:val="clear" w:color="auto" w:fill="auto"/>
            <w:noWrap/>
            <w:vAlign w:val="bottom"/>
            <w:hideMark/>
          </w:tcPr>
          <w:p w14:paraId="6F8143AD" w14:textId="77777777" w:rsidR="00536DF1" w:rsidRPr="00BA6959" w:rsidRDefault="00536DF1" w:rsidP="00536DF1">
            <w:pPr>
              <w:spacing w:after="0"/>
              <w:jc w:val="center"/>
              <w:rPr>
                <w:rFonts w:ascii="Calibri" w:hAnsi="Calibri" w:cs="Calibri"/>
                <w:b/>
                <w:bCs/>
                <w:color w:val="000000"/>
                <w:sz w:val="20"/>
                <w:lang w:val="en-GB" w:eastAsia="en-GB"/>
              </w:rPr>
            </w:pPr>
            <w:r w:rsidRPr="00BA6959">
              <w:rPr>
                <w:rFonts w:ascii="Calibri" w:hAnsi="Calibri" w:cs="Calibri"/>
                <w:b/>
                <w:bCs/>
                <w:color w:val="000000"/>
                <w:sz w:val="20"/>
                <w:lang w:val="en-GB" w:eastAsia="en-GB"/>
              </w:rPr>
              <w:t> </w:t>
            </w:r>
          </w:p>
        </w:tc>
        <w:tc>
          <w:tcPr>
            <w:tcW w:w="741" w:type="dxa"/>
            <w:tcBorders>
              <w:top w:val="nil"/>
              <w:left w:val="nil"/>
              <w:bottom w:val="single" w:sz="4" w:space="0" w:color="auto"/>
              <w:right w:val="nil"/>
            </w:tcBorders>
            <w:shd w:val="clear" w:color="auto" w:fill="auto"/>
            <w:noWrap/>
            <w:vAlign w:val="bottom"/>
            <w:hideMark/>
          </w:tcPr>
          <w:p w14:paraId="4D0E2E3F" w14:textId="77777777" w:rsidR="00536DF1" w:rsidRPr="00BA6959" w:rsidRDefault="00536DF1" w:rsidP="00536DF1">
            <w:pPr>
              <w:spacing w:after="0"/>
              <w:jc w:val="center"/>
              <w:rPr>
                <w:rFonts w:ascii="Calibri" w:hAnsi="Calibri" w:cs="Calibri"/>
                <w:b/>
                <w:bCs/>
                <w:color w:val="000000"/>
                <w:sz w:val="20"/>
                <w:lang w:val="en-GB" w:eastAsia="en-GB"/>
              </w:rPr>
            </w:pPr>
            <w:r w:rsidRPr="00BA6959">
              <w:rPr>
                <w:rFonts w:ascii="Calibri" w:hAnsi="Calibri" w:cs="Calibri"/>
                <w:b/>
                <w:bCs/>
                <w:color w:val="000000"/>
                <w:sz w:val="20"/>
                <w:lang w:val="en-GB" w:eastAsia="en-GB"/>
              </w:rPr>
              <w:t>SE</w:t>
            </w:r>
          </w:p>
        </w:tc>
        <w:tc>
          <w:tcPr>
            <w:tcW w:w="741" w:type="dxa"/>
            <w:tcBorders>
              <w:top w:val="nil"/>
              <w:left w:val="nil"/>
              <w:bottom w:val="single" w:sz="4" w:space="0" w:color="auto"/>
              <w:right w:val="nil"/>
            </w:tcBorders>
            <w:shd w:val="clear" w:color="auto" w:fill="auto"/>
            <w:noWrap/>
            <w:vAlign w:val="bottom"/>
            <w:hideMark/>
          </w:tcPr>
          <w:p w14:paraId="3410FE08" w14:textId="77777777" w:rsidR="00536DF1" w:rsidRPr="00BA6959" w:rsidRDefault="00536DF1" w:rsidP="00536DF1">
            <w:pPr>
              <w:spacing w:after="0"/>
              <w:jc w:val="center"/>
              <w:rPr>
                <w:rFonts w:ascii="Calibri" w:hAnsi="Calibri" w:cs="Calibri"/>
                <w:b/>
                <w:bCs/>
                <w:color w:val="000000"/>
                <w:sz w:val="20"/>
                <w:lang w:val="en-GB" w:eastAsia="en-GB"/>
              </w:rPr>
            </w:pPr>
            <w:r w:rsidRPr="00BA6959">
              <w:rPr>
                <w:rFonts w:ascii="Calibri" w:hAnsi="Calibri" w:cs="Calibri"/>
                <w:b/>
                <w:bCs/>
                <w:color w:val="000000"/>
                <w:sz w:val="20"/>
                <w:lang w:val="en-GB" w:eastAsia="en-GB"/>
              </w:rPr>
              <w:t>SP</w:t>
            </w:r>
          </w:p>
        </w:tc>
        <w:tc>
          <w:tcPr>
            <w:tcW w:w="741" w:type="dxa"/>
            <w:tcBorders>
              <w:top w:val="nil"/>
              <w:left w:val="nil"/>
              <w:bottom w:val="single" w:sz="4" w:space="0" w:color="auto"/>
              <w:right w:val="nil"/>
            </w:tcBorders>
            <w:shd w:val="clear" w:color="auto" w:fill="auto"/>
            <w:noWrap/>
            <w:vAlign w:val="bottom"/>
            <w:hideMark/>
          </w:tcPr>
          <w:p w14:paraId="0AEE35E7" w14:textId="77777777" w:rsidR="00536DF1" w:rsidRPr="00BA6959" w:rsidRDefault="00536DF1" w:rsidP="00536DF1">
            <w:pPr>
              <w:spacing w:after="0"/>
              <w:jc w:val="center"/>
              <w:rPr>
                <w:rFonts w:ascii="Calibri" w:hAnsi="Calibri" w:cs="Calibri"/>
                <w:b/>
                <w:bCs/>
                <w:color w:val="000000"/>
                <w:sz w:val="20"/>
                <w:lang w:val="en-GB" w:eastAsia="en-GB"/>
              </w:rPr>
            </w:pPr>
            <w:r w:rsidRPr="00BA6959">
              <w:rPr>
                <w:rFonts w:ascii="Calibri" w:hAnsi="Calibri" w:cs="Calibri"/>
                <w:b/>
                <w:bCs/>
                <w:color w:val="000000"/>
                <w:sz w:val="20"/>
                <w:lang w:val="en-GB" w:eastAsia="en-GB"/>
              </w:rPr>
              <w:t>Q</w:t>
            </w:r>
          </w:p>
        </w:tc>
        <w:tc>
          <w:tcPr>
            <w:tcW w:w="741" w:type="dxa"/>
            <w:tcBorders>
              <w:top w:val="nil"/>
              <w:left w:val="nil"/>
              <w:bottom w:val="single" w:sz="4" w:space="0" w:color="auto"/>
              <w:right w:val="nil"/>
            </w:tcBorders>
            <w:shd w:val="clear" w:color="auto" w:fill="auto"/>
            <w:noWrap/>
            <w:vAlign w:val="bottom"/>
            <w:hideMark/>
          </w:tcPr>
          <w:p w14:paraId="6F968CD9" w14:textId="77777777" w:rsidR="00536DF1" w:rsidRPr="00BA6959" w:rsidRDefault="00536DF1" w:rsidP="00536DF1">
            <w:pPr>
              <w:spacing w:after="0"/>
              <w:jc w:val="center"/>
              <w:rPr>
                <w:rFonts w:ascii="Calibri" w:hAnsi="Calibri" w:cs="Calibri"/>
                <w:b/>
                <w:bCs/>
                <w:color w:val="000000"/>
                <w:sz w:val="20"/>
                <w:lang w:val="en-GB" w:eastAsia="en-GB"/>
              </w:rPr>
            </w:pPr>
            <w:r w:rsidRPr="00BA6959">
              <w:rPr>
                <w:rFonts w:ascii="Calibri" w:hAnsi="Calibri" w:cs="Calibri"/>
                <w:b/>
                <w:bCs/>
                <w:color w:val="000000"/>
                <w:sz w:val="20"/>
                <w:lang w:val="en-GB" w:eastAsia="en-GB"/>
              </w:rPr>
              <w:t>MCC</w:t>
            </w:r>
          </w:p>
        </w:tc>
      </w:tr>
      <w:tr w:rsidR="00536DF1" w:rsidRPr="00BA6959" w14:paraId="2B404B94" w14:textId="77777777" w:rsidTr="00536DF1">
        <w:trPr>
          <w:trHeight w:val="300"/>
        </w:trPr>
        <w:tc>
          <w:tcPr>
            <w:tcW w:w="1474" w:type="dxa"/>
            <w:tcBorders>
              <w:top w:val="nil"/>
              <w:left w:val="nil"/>
              <w:bottom w:val="nil"/>
              <w:right w:val="nil"/>
            </w:tcBorders>
            <w:shd w:val="clear" w:color="auto" w:fill="auto"/>
            <w:noWrap/>
            <w:vAlign w:val="bottom"/>
            <w:hideMark/>
          </w:tcPr>
          <w:p w14:paraId="6F227343" w14:textId="77777777" w:rsidR="00536DF1" w:rsidRPr="00BA6959" w:rsidRDefault="00536DF1" w:rsidP="00536DF1">
            <w:pPr>
              <w:spacing w:after="0"/>
              <w:jc w:val="center"/>
              <w:rPr>
                <w:rFonts w:ascii="Calibri" w:hAnsi="Calibri" w:cs="Calibri"/>
                <w:b/>
                <w:bCs/>
                <w:color w:val="000000"/>
                <w:sz w:val="20"/>
                <w:lang w:val="en-GB" w:eastAsia="en-GB"/>
              </w:rPr>
            </w:pPr>
          </w:p>
        </w:tc>
        <w:tc>
          <w:tcPr>
            <w:tcW w:w="551" w:type="dxa"/>
            <w:tcBorders>
              <w:top w:val="nil"/>
              <w:left w:val="nil"/>
              <w:bottom w:val="nil"/>
              <w:right w:val="nil"/>
            </w:tcBorders>
            <w:shd w:val="clear" w:color="auto" w:fill="auto"/>
            <w:noWrap/>
            <w:vAlign w:val="bottom"/>
            <w:hideMark/>
          </w:tcPr>
          <w:p w14:paraId="17ACD0A5" w14:textId="77777777" w:rsidR="00536DF1" w:rsidRPr="00BA6959" w:rsidRDefault="00536DF1" w:rsidP="00536DF1">
            <w:pPr>
              <w:spacing w:after="0"/>
              <w:jc w:val="left"/>
              <w:rPr>
                <w:rFonts w:ascii="Times New Roman" w:hAnsi="Times New Roman"/>
                <w:sz w:val="20"/>
                <w:lang w:val="en-GB" w:eastAsia="en-GB"/>
              </w:rPr>
            </w:pPr>
          </w:p>
        </w:tc>
        <w:tc>
          <w:tcPr>
            <w:tcW w:w="551" w:type="dxa"/>
            <w:tcBorders>
              <w:top w:val="nil"/>
              <w:left w:val="nil"/>
              <w:bottom w:val="nil"/>
              <w:right w:val="nil"/>
            </w:tcBorders>
            <w:shd w:val="clear" w:color="auto" w:fill="auto"/>
            <w:noWrap/>
            <w:vAlign w:val="bottom"/>
            <w:hideMark/>
          </w:tcPr>
          <w:p w14:paraId="5BCD14CB" w14:textId="77777777" w:rsidR="00536DF1" w:rsidRPr="00BA6959" w:rsidRDefault="00536DF1" w:rsidP="00536DF1">
            <w:pPr>
              <w:spacing w:after="0"/>
              <w:jc w:val="center"/>
              <w:rPr>
                <w:rFonts w:ascii="Times New Roman" w:hAnsi="Times New Roman"/>
                <w:sz w:val="20"/>
                <w:lang w:val="en-GB" w:eastAsia="en-GB"/>
              </w:rPr>
            </w:pPr>
          </w:p>
        </w:tc>
        <w:tc>
          <w:tcPr>
            <w:tcW w:w="664" w:type="dxa"/>
            <w:tcBorders>
              <w:top w:val="nil"/>
              <w:left w:val="nil"/>
              <w:bottom w:val="nil"/>
              <w:right w:val="nil"/>
            </w:tcBorders>
            <w:shd w:val="clear" w:color="auto" w:fill="auto"/>
            <w:noWrap/>
            <w:vAlign w:val="bottom"/>
            <w:hideMark/>
          </w:tcPr>
          <w:p w14:paraId="65A39B31" w14:textId="77777777" w:rsidR="00536DF1" w:rsidRPr="00BA6959" w:rsidRDefault="00536DF1" w:rsidP="00536DF1">
            <w:pPr>
              <w:spacing w:after="0"/>
              <w:jc w:val="center"/>
              <w:rPr>
                <w:rFonts w:ascii="Times New Roman" w:hAnsi="Times New Roman"/>
                <w:sz w:val="20"/>
                <w:lang w:val="en-GB" w:eastAsia="en-GB"/>
              </w:rPr>
            </w:pPr>
          </w:p>
        </w:tc>
        <w:tc>
          <w:tcPr>
            <w:tcW w:w="551" w:type="dxa"/>
            <w:tcBorders>
              <w:top w:val="nil"/>
              <w:left w:val="nil"/>
              <w:bottom w:val="nil"/>
              <w:right w:val="nil"/>
            </w:tcBorders>
            <w:shd w:val="clear" w:color="auto" w:fill="auto"/>
            <w:noWrap/>
            <w:vAlign w:val="bottom"/>
            <w:hideMark/>
          </w:tcPr>
          <w:p w14:paraId="508592C6" w14:textId="77777777" w:rsidR="00536DF1" w:rsidRPr="00BA6959" w:rsidRDefault="00536DF1" w:rsidP="00536DF1">
            <w:pPr>
              <w:spacing w:after="0"/>
              <w:jc w:val="center"/>
              <w:rPr>
                <w:rFonts w:ascii="Times New Roman" w:hAnsi="Times New Roman"/>
                <w:sz w:val="20"/>
                <w:lang w:val="en-GB" w:eastAsia="en-GB"/>
              </w:rPr>
            </w:pPr>
          </w:p>
        </w:tc>
        <w:tc>
          <w:tcPr>
            <w:tcW w:w="262" w:type="dxa"/>
            <w:tcBorders>
              <w:top w:val="nil"/>
              <w:left w:val="nil"/>
              <w:bottom w:val="nil"/>
              <w:right w:val="nil"/>
            </w:tcBorders>
            <w:shd w:val="clear" w:color="auto" w:fill="auto"/>
            <w:noWrap/>
            <w:vAlign w:val="bottom"/>
            <w:hideMark/>
          </w:tcPr>
          <w:p w14:paraId="2F5C85F4" w14:textId="77777777" w:rsidR="00536DF1" w:rsidRPr="00BA6959" w:rsidRDefault="00536DF1" w:rsidP="00536DF1">
            <w:pPr>
              <w:spacing w:after="0"/>
              <w:jc w:val="center"/>
              <w:rPr>
                <w:rFonts w:ascii="Times New Roman" w:hAnsi="Times New Roman"/>
                <w:sz w:val="20"/>
                <w:lang w:val="en-GB" w:eastAsia="en-GB"/>
              </w:rPr>
            </w:pPr>
          </w:p>
        </w:tc>
        <w:tc>
          <w:tcPr>
            <w:tcW w:w="741" w:type="dxa"/>
            <w:tcBorders>
              <w:top w:val="nil"/>
              <w:left w:val="nil"/>
              <w:bottom w:val="nil"/>
              <w:right w:val="nil"/>
            </w:tcBorders>
            <w:shd w:val="clear" w:color="auto" w:fill="auto"/>
            <w:noWrap/>
            <w:vAlign w:val="bottom"/>
            <w:hideMark/>
          </w:tcPr>
          <w:p w14:paraId="0B8BBB2F" w14:textId="77777777" w:rsidR="00536DF1" w:rsidRPr="00BA6959" w:rsidRDefault="00536DF1" w:rsidP="00536DF1">
            <w:pPr>
              <w:spacing w:after="0"/>
              <w:jc w:val="center"/>
              <w:rPr>
                <w:rFonts w:ascii="Times New Roman" w:hAnsi="Times New Roman"/>
                <w:sz w:val="20"/>
                <w:lang w:val="en-GB" w:eastAsia="en-GB"/>
              </w:rPr>
            </w:pPr>
          </w:p>
        </w:tc>
        <w:tc>
          <w:tcPr>
            <w:tcW w:w="741" w:type="dxa"/>
            <w:tcBorders>
              <w:top w:val="nil"/>
              <w:left w:val="nil"/>
              <w:bottom w:val="nil"/>
              <w:right w:val="nil"/>
            </w:tcBorders>
            <w:shd w:val="clear" w:color="auto" w:fill="auto"/>
            <w:noWrap/>
            <w:vAlign w:val="bottom"/>
            <w:hideMark/>
          </w:tcPr>
          <w:p w14:paraId="0A98AFE0" w14:textId="77777777" w:rsidR="00536DF1" w:rsidRPr="00BA6959" w:rsidRDefault="00536DF1" w:rsidP="00536DF1">
            <w:pPr>
              <w:spacing w:after="0"/>
              <w:jc w:val="center"/>
              <w:rPr>
                <w:rFonts w:ascii="Times New Roman" w:hAnsi="Times New Roman"/>
                <w:sz w:val="20"/>
                <w:lang w:val="en-GB" w:eastAsia="en-GB"/>
              </w:rPr>
            </w:pPr>
          </w:p>
        </w:tc>
        <w:tc>
          <w:tcPr>
            <w:tcW w:w="741" w:type="dxa"/>
            <w:tcBorders>
              <w:top w:val="nil"/>
              <w:left w:val="nil"/>
              <w:bottom w:val="nil"/>
              <w:right w:val="nil"/>
            </w:tcBorders>
            <w:shd w:val="clear" w:color="auto" w:fill="auto"/>
            <w:noWrap/>
            <w:vAlign w:val="bottom"/>
            <w:hideMark/>
          </w:tcPr>
          <w:p w14:paraId="1E9FE7E3" w14:textId="77777777" w:rsidR="00536DF1" w:rsidRPr="00BA6959" w:rsidRDefault="00536DF1" w:rsidP="00536DF1">
            <w:pPr>
              <w:spacing w:after="0"/>
              <w:jc w:val="center"/>
              <w:rPr>
                <w:rFonts w:ascii="Times New Roman" w:hAnsi="Times New Roman"/>
                <w:sz w:val="20"/>
                <w:lang w:val="en-GB" w:eastAsia="en-GB"/>
              </w:rPr>
            </w:pPr>
          </w:p>
        </w:tc>
        <w:tc>
          <w:tcPr>
            <w:tcW w:w="741" w:type="dxa"/>
            <w:tcBorders>
              <w:top w:val="nil"/>
              <w:left w:val="nil"/>
              <w:bottom w:val="nil"/>
              <w:right w:val="nil"/>
            </w:tcBorders>
            <w:shd w:val="clear" w:color="auto" w:fill="auto"/>
            <w:noWrap/>
            <w:vAlign w:val="bottom"/>
            <w:hideMark/>
          </w:tcPr>
          <w:p w14:paraId="778FBC30" w14:textId="77777777" w:rsidR="00536DF1" w:rsidRPr="00BA6959" w:rsidRDefault="00536DF1" w:rsidP="00536DF1">
            <w:pPr>
              <w:spacing w:after="0"/>
              <w:jc w:val="center"/>
              <w:rPr>
                <w:rFonts w:ascii="Times New Roman" w:hAnsi="Times New Roman"/>
                <w:sz w:val="20"/>
                <w:lang w:val="en-GB" w:eastAsia="en-GB"/>
              </w:rPr>
            </w:pPr>
          </w:p>
        </w:tc>
        <w:tc>
          <w:tcPr>
            <w:tcW w:w="262" w:type="dxa"/>
            <w:tcBorders>
              <w:top w:val="nil"/>
              <w:left w:val="nil"/>
              <w:bottom w:val="nil"/>
              <w:right w:val="nil"/>
            </w:tcBorders>
            <w:shd w:val="clear" w:color="auto" w:fill="auto"/>
            <w:noWrap/>
            <w:vAlign w:val="bottom"/>
            <w:hideMark/>
          </w:tcPr>
          <w:p w14:paraId="60337DA3" w14:textId="77777777" w:rsidR="00536DF1" w:rsidRPr="00BA6959" w:rsidRDefault="00536DF1" w:rsidP="00536DF1">
            <w:pPr>
              <w:spacing w:after="0"/>
              <w:jc w:val="center"/>
              <w:rPr>
                <w:rFonts w:ascii="Times New Roman" w:hAnsi="Times New Roman"/>
                <w:sz w:val="20"/>
                <w:lang w:val="en-GB" w:eastAsia="en-GB"/>
              </w:rPr>
            </w:pPr>
          </w:p>
        </w:tc>
        <w:tc>
          <w:tcPr>
            <w:tcW w:w="551" w:type="dxa"/>
            <w:tcBorders>
              <w:top w:val="nil"/>
              <w:left w:val="nil"/>
              <w:bottom w:val="nil"/>
              <w:right w:val="nil"/>
            </w:tcBorders>
            <w:shd w:val="clear" w:color="auto" w:fill="auto"/>
            <w:noWrap/>
            <w:vAlign w:val="bottom"/>
            <w:hideMark/>
          </w:tcPr>
          <w:p w14:paraId="3267CE53" w14:textId="77777777" w:rsidR="00536DF1" w:rsidRPr="00BA6959" w:rsidRDefault="00536DF1" w:rsidP="00536DF1">
            <w:pPr>
              <w:spacing w:after="0"/>
              <w:jc w:val="center"/>
              <w:rPr>
                <w:rFonts w:ascii="Times New Roman" w:hAnsi="Times New Roman"/>
                <w:sz w:val="20"/>
                <w:lang w:val="en-GB" w:eastAsia="en-GB"/>
              </w:rPr>
            </w:pPr>
          </w:p>
        </w:tc>
        <w:tc>
          <w:tcPr>
            <w:tcW w:w="440" w:type="dxa"/>
            <w:tcBorders>
              <w:top w:val="nil"/>
              <w:left w:val="nil"/>
              <w:bottom w:val="nil"/>
              <w:right w:val="nil"/>
            </w:tcBorders>
            <w:shd w:val="clear" w:color="auto" w:fill="auto"/>
            <w:noWrap/>
            <w:vAlign w:val="bottom"/>
            <w:hideMark/>
          </w:tcPr>
          <w:p w14:paraId="53632682" w14:textId="77777777" w:rsidR="00536DF1" w:rsidRPr="00BA6959" w:rsidRDefault="00536DF1" w:rsidP="00536DF1">
            <w:pPr>
              <w:spacing w:after="0"/>
              <w:jc w:val="center"/>
              <w:rPr>
                <w:rFonts w:ascii="Times New Roman" w:hAnsi="Times New Roman"/>
                <w:sz w:val="20"/>
                <w:lang w:val="en-GB" w:eastAsia="en-GB"/>
              </w:rPr>
            </w:pPr>
          </w:p>
        </w:tc>
        <w:tc>
          <w:tcPr>
            <w:tcW w:w="664" w:type="dxa"/>
            <w:tcBorders>
              <w:top w:val="nil"/>
              <w:left w:val="nil"/>
              <w:bottom w:val="nil"/>
              <w:right w:val="nil"/>
            </w:tcBorders>
            <w:shd w:val="clear" w:color="auto" w:fill="auto"/>
            <w:noWrap/>
            <w:vAlign w:val="bottom"/>
            <w:hideMark/>
          </w:tcPr>
          <w:p w14:paraId="1DC939B2" w14:textId="77777777" w:rsidR="00536DF1" w:rsidRPr="00BA6959" w:rsidRDefault="00536DF1" w:rsidP="00536DF1">
            <w:pPr>
              <w:spacing w:after="0"/>
              <w:jc w:val="center"/>
              <w:rPr>
                <w:rFonts w:ascii="Times New Roman" w:hAnsi="Times New Roman"/>
                <w:sz w:val="20"/>
                <w:lang w:val="en-GB" w:eastAsia="en-GB"/>
              </w:rPr>
            </w:pPr>
          </w:p>
        </w:tc>
        <w:tc>
          <w:tcPr>
            <w:tcW w:w="664" w:type="dxa"/>
            <w:tcBorders>
              <w:top w:val="nil"/>
              <w:left w:val="nil"/>
              <w:bottom w:val="nil"/>
              <w:right w:val="nil"/>
            </w:tcBorders>
            <w:shd w:val="clear" w:color="auto" w:fill="auto"/>
            <w:noWrap/>
            <w:vAlign w:val="bottom"/>
            <w:hideMark/>
          </w:tcPr>
          <w:p w14:paraId="4BB72DCA" w14:textId="77777777" w:rsidR="00536DF1" w:rsidRPr="00BA6959" w:rsidRDefault="00536DF1" w:rsidP="00536DF1">
            <w:pPr>
              <w:spacing w:after="0"/>
              <w:jc w:val="center"/>
              <w:rPr>
                <w:rFonts w:ascii="Times New Roman" w:hAnsi="Times New Roman"/>
                <w:sz w:val="20"/>
                <w:lang w:val="en-GB" w:eastAsia="en-GB"/>
              </w:rPr>
            </w:pPr>
          </w:p>
        </w:tc>
        <w:tc>
          <w:tcPr>
            <w:tcW w:w="262" w:type="dxa"/>
            <w:tcBorders>
              <w:top w:val="nil"/>
              <w:left w:val="nil"/>
              <w:bottom w:val="nil"/>
              <w:right w:val="nil"/>
            </w:tcBorders>
            <w:shd w:val="clear" w:color="auto" w:fill="auto"/>
            <w:noWrap/>
            <w:vAlign w:val="bottom"/>
            <w:hideMark/>
          </w:tcPr>
          <w:p w14:paraId="4D648D34" w14:textId="77777777" w:rsidR="00536DF1" w:rsidRPr="00BA6959" w:rsidRDefault="00536DF1" w:rsidP="00536DF1">
            <w:pPr>
              <w:spacing w:after="0"/>
              <w:jc w:val="center"/>
              <w:rPr>
                <w:rFonts w:ascii="Times New Roman" w:hAnsi="Times New Roman"/>
                <w:sz w:val="20"/>
                <w:lang w:val="en-GB" w:eastAsia="en-GB"/>
              </w:rPr>
            </w:pPr>
          </w:p>
        </w:tc>
        <w:tc>
          <w:tcPr>
            <w:tcW w:w="741" w:type="dxa"/>
            <w:tcBorders>
              <w:top w:val="nil"/>
              <w:left w:val="nil"/>
              <w:bottom w:val="nil"/>
              <w:right w:val="nil"/>
            </w:tcBorders>
            <w:shd w:val="clear" w:color="auto" w:fill="auto"/>
            <w:noWrap/>
            <w:vAlign w:val="bottom"/>
            <w:hideMark/>
          </w:tcPr>
          <w:p w14:paraId="2589D02B" w14:textId="77777777" w:rsidR="00536DF1" w:rsidRPr="00BA6959" w:rsidRDefault="00536DF1" w:rsidP="00536DF1">
            <w:pPr>
              <w:spacing w:after="0"/>
              <w:jc w:val="center"/>
              <w:rPr>
                <w:rFonts w:ascii="Times New Roman" w:hAnsi="Times New Roman"/>
                <w:sz w:val="20"/>
                <w:lang w:val="en-GB" w:eastAsia="en-GB"/>
              </w:rPr>
            </w:pPr>
          </w:p>
        </w:tc>
        <w:tc>
          <w:tcPr>
            <w:tcW w:w="741" w:type="dxa"/>
            <w:tcBorders>
              <w:top w:val="nil"/>
              <w:left w:val="nil"/>
              <w:bottom w:val="nil"/>
              <w:right w:val="nil"/>
            </w:tcBorders>
            <w:shd w:val="clear" w:color="auto" w:fill="auto"/>
            <w:noWrap/>
            <w:vAlign w:val="bottom"/>
            <w:hideMark/>
          </w:tcPr>
          <w:p w14:paraId="3303D804" w14:textId="77777777" w:rsidR="00536DF1" w:rsidRPr="00BA6959" w:rsidRDefault="00536DF1" w:rsidP="00536DF1">
            <w:pPr>
              <w:spacing w:after="0"/>
              <w:jc w:val="center"/>
              <w:rPr>
                <w:rFonts w:ascii="Times New Roman" w:hAnsi="Times New Roman"/>
                <w:sz w:val="20"/>
                <w:lang w:val="en-GB" w:eastAsia="en-GB"/>
              </w:rPr>
            </w:pPr>
          </w:p>
        </w:tc>
        <w:tc>
          <w:tcPr>
            <w:tcW w:w="741" w:type="dxa"/>
            <w:tcBorders>
              <w:top w:val="nil"/>
              <w:left w:val="nil"/>
              <w:bottom w:val="nil"/>
              <w:right w:val="nil"/>
            </w:tcBorders>
            <w:shd w:val="clear" w:color="auto" w:fill="auto"/>
            <w:noWrap/>
            <w:vAlign w:val="bottom"/>
            <w:hideMark/>
          </w:tcPr>
          <w:p w14:paraId="3582D57D" w14:textId="77777777" w:rsidR="00536DF1" w:rsidRPr="00BA6959" w:rsidRDefault="00536DF1" w:rsidP="00536DF1">
            <w:pPr>
              <w:spacing w:after="0"/>
              <w:jc w:val="center"/>
              <w:rPr>
                <w:rFonts w:ascii="Times New Roman" w:hAnsi="Times New Roman"/>
                <w:sz w:val="20"/>
                <w:lang w:val="en-GB" w:eastAsia="en-GB"/>
              </w:rPr>
            </w:pPr>
          </w:p>
        </w:tc>
        <w:tc>
          <w:tcPr>
            <w:tcW w:w="741" w:type="dxa"/>
            <w:tcBorders>
              <w:top w:val="nil"/>
              <w:left w:val="nil"/>
              <w:bottom w:val="nil"/>
              <w:right w:val="nil"/>
            </w:tcBorders>
            <w:shd w:val="clear" w:color="auto" w:fill="auto"/>
            <w:noWrap/>
            <w:vAlign w:val="bottom"/>
            <w:hideMark/>
          </w:tcPr>
          <w:p w14:paraId="7744F38C" w14:textId="77777777" w:rsidR="00536DF1" w:rsidRPr="00BA6959" w:rsidRDefault="00536DF1" w:rsidP="00536DF1">
            <w:pPr>
              <w:spacing w:after="0"/>
              <w:jc w:val="center"/>
              <w:rPr>
                <w:rFonts w:ascii="Times New Roman" w:hAnsi="Times New Roman"/>
                <w:sz w:val="20"/>
                <w:lang w:val="en-GB" w:eastAsia="en-GB"/>
              </w:rPr>
            </w:pPr>
          </w:p>
        </w:tc>
      </w:tr>
      <w:tr w:rsidR="00536DF1" w:rsidRPr="00BA6959" w14:paraId="65F333A7" w14:textId="77777777" w:rsidTr="00536DF1">
        <w:trPr>
          <w:trHeight w:val="300"/>
        </w:trPr>
        <w:tc>
          <w:tcPr>
            <w:tcW w:w="1474" w:type="dxa"/>
            <w:tcBorders>
              <w:top w:val="nil"/>
              <w:left w:val="nil"/>
              <w:bottom w:val="nil"/>
              <w:right w:val="nil"/>
            </w:tcBorders>
            <w:shd w:val="clear" w:color="auto" w:fill="auto"/>
            <w:noWrap/>
            <w:vAlign w:val="bottom"/>
            <w:hideMark/>
          </w:tcPr>
          <w:p w14:paraId="5CA04135" w14:textId="77777777" w:rsidR="00536DF1" w:rsidRPr="00BA6959" w:rsidRDefault="00536DF1" w:rsidP="00536DF1">
            <w:pPr>
              <w:spacing w:after="0"/>
              <w:jc w:val="left"/>
              <w:rPr>
                <w:rFonts w:ascii="Calibri" w:hAnsi="Calibri" w:cs="Calibri"/>
                <w:color w:val="000000"/>
                <w:sz w:val="20"/>
                <w:lang w:val="en-GB" w:eastAsia="en-GB"/>
              </w:rPr>
            </w:pPr>
            <w:r w:rsidRPr="00BA6959">
              <w:rPr>
                <w:rFonts w:ascii="Calibri" w:hAnsi="Calibri" w:cs="Calibri"/>
                <w:color w:val="000000"/>
                <w:sz w:val="20"/>
                <w:lang w:val="en-GB" w:eastAsia="en-GB"/>
              </w:rPr>
              <w:t>AR Training Set</w:t>
            </w:r>
          </w:p>
        </w:tc>
        <w:tc>
          <w:tcPr>
            <w:tcW w:w="551" w:type="dxa"/>
            <w:tcBorders>
              <w:top w:val="nil"/>
              <w:left w:val="nil"/>
              <w:bottom w:val="nil"/>
              <w:right w:val="nil"/>
            </w:tcBorders>
            <w:shd w:val="clear" w:color="auto" w:fill="auto"/>
            <w:noWrap/>
            <w:vAlign w:val="bottom"/>
            <w:hideMark/>
          </w:tcPr>
          <w:p w14:paraId="0AF2834C" w14:textId="77777777" w:rsidR="00536DF1" w:rsidRPr="00BA6959" w:rsidRDefault="00536DF1" w:rsidP="00536DF1">
            <w:pPr>
              <w:spacing w:after="0"/>
              <w:jc w:val="center"/>
              <w:rPr>
                <w:rFonts w:ascii="Calibri" w:hAnsi="Calibri" w:cs="Calibri"/>
                <w:sz w:val="22"/>
                <w:szCs w:val="22"/>
                <w:lang w:val="en-GB" w:eastAsia="en-GB"/>
              </w:rPr>
            </w:pPr>
            <w:r w:rsidRPr="00BA6959">
              <w:rPr>
                <w:rFonts w:ascii="Calibri" w:hAnsi="Calibri" w:cs="Calibri"/>
                <w:sz w:val="22"/>
                <w:szCs w:val="22"/>
                <w:lang w:val="en-GB" w:eastAsia="en-GB"/>
              </w:rPr>
              <w:t>184</w:t>
            </w:r>
          </w:p>
        </w:tc>
        <w:tc>
          <w:tcPr>
            <w:tcW w:w="551" w:type="dxa"/>
            <w:tcBorders>
              <w:top w:val="nil"/>
              <w:left w:val="nil"/>
              <w:bottom w:val="nil"/>
              <w:right w:val="nil"/>
            </w:tcBorders>
            <w:shd w:val="clear" w:color="auto" w:fill="auto"/>
            <w:noWrap/>
            <w:vAlign w:val="bottom"/>
            <w:hideMark/>
          </w:tcPr>
          <w:p w14:paraId="14A3A373" w14:textId="77777777" w:rsidR="00536DF1" w:rsidRPr="00BA6959" w:rsidRDefault="00536DF1" w:rsidP="00536DF1">
            <w:pPr>
              <w:spacing w:after="0"/>
              <w:jc w:val="center"/>
              <w:rPr>
                <w:rFonts w:ascii="Calibri" w:hAnsi="Calibri" w:cs="Calibri"/>
                <w:sz w:val="22"/>
                <w:szCs w:val="22"/>
                <w:lang w:val="en-GB" w:eastAsia="en-GB"/>
              </w:rPr>
            </w:pPr>
            <w:r w:rsidRPr="00BA6959">
              <w:rPr>
                <w:rFonts w:ascii="Calibri" w:hAnsi="Calibri" w:cs="Calibri"/>
                <w:sz w:val="22"/>
                <w:szCs w:val="22"/>
                <w:lang w:val="en-GB" w:eastAsia="en-GB"/>
              </w:rPr>
              <w:t>494</w:t>
            </w:r>
          </w:p>
        </w:tc>
        <w:tc>
          <w:tcPr>
            <w:tcW w:w="664" w:type="dxa"/>
            <w:tcBorders>
              <w:top w:val="nil"/>
              <w:left w:val="nil"/>
              <w:bottom w:val="nil"/>
              <w:right w:val="nil"/>
            </w:tcBorders>
            <w:shd w:val="clear" w:color="auto" w:fill="auto"/>
            <w:noWrap/>
            <w:vAlign w:val="bottom"/>
            <w:hideMark/>
          </w:tcPr>
          <w:p w14:paraId="64C22607" w14:textId="77777777" w:rsidR="00536DF1" w:rsidRPr="00BA6959" w:rsidRDefault="00536DF1" w:rsidP="00536DF1">
            <w:pPr>
              <w:spacing w:after="0"/>
              <w:jc w:val="center"/>
              <w:rPr>
                <w:rFonts w:ascii="Calibri" w:hAnsi="Calibri" w:cs="Calibri"/>
                <w:sz w:val="22"/>
                <w:szCs w:val="22"/>
                <w:lang w:val="en-GB" w:eastAsia="en-GB"/>
              </w:rPr>
            </w:pPr>
            <w:r w:rsidRPr="00BA6959">
              <w:rPr>
                <w:rFonts w:ascii="Calibri" w:hAnsi="Calibri" w:cs="Calibri"/>
                <w:sz w:val="22"/>
                <w:szCs w:val="22"/>
                <w:lang w:val="en-GB" w:eastAsia="en-GB"/>
              </w:rPr>
              <w:t>4349</w:t>
            </w:r>
          </w:p>
        </w:tc>
        <w:tc>
          <w:tcPr>
            <w:tcW w:w="551" w:type="dxa"/>
            <w:tcBorders>
              <w:top w:val="nil"/>
              <w:left w:val="nil"/>
              <w:bottom w:val="nil"/>
              <w:right w:val="nil"/>
            </w:tcBorders>
            <w:shd w:val="clear" w:color="auto" w:fill="auto"/>
            <w:noWrap/>
            <w:vAlign w:val="bottom"/>
            <w:hideMark/>
          </w:tcPr>
          <w:p w14:paraId="0739BDAD" w14:textId="77777777" w:rsidR="00536DF1" w:rsidRPr="00BA6959" w:rsidRDefault="00536DF1" w:rsidP="00536DF1">
            <w:pPr>
              <w:spacing w:after="0"/>
              <w:jc w:val="center"/>
              <w:rPr>
                <w:rFonts w:ascii="Calibri" w:hAnsi="Calibri" w:cs="Calibri"/>
                <w:sz w:val="22"/>
                <w:szCs w:val="22"/>
                <w:lang w:val="en-GB" w:eastAsia="en-GB"/>
              </w:rPr>
            </w:pPr>
            <w:r w:rsidRPr="00BA6959">
              <w:rPr>
                <w:rFonts w:ascii="Calibri" w:hAnsi="Calibri" w:cs="Calibri"/>
                <w:sz w:val="22"/>
                <w:szCs w:val="22"/>
                <w:lang w:val="en-GB" w:eastAsia="en-GB"/>
              </w:rPr>
              <w:t>225</w:t>
            </w:r>
          </w:p>
        </w:tc>
        <w:tc>
          <w:tcPr>
            <w:tcW w:w="262" w:type="dxa"/>
            <w:tcBorders>
              <w:top w:val="nil"/>
              <w:left w:val="nil"/>
              <w:bottom w:val="nil"/>
              <w:right w:val="nil"/>
            </w:tcBorders>
            <w:shd w:val="clear" w:color="auto" w:fill="auto"/>
            <w:noWrap/>
            <w:vAlign w:val="bottom"/>
            <w:hideMark/>
          </w:tcPr>
          <w:p w14:paraId="4D2E553D" w14:textId="77777777" w:rsidR="00536DF1" w:rsidRPr="00BA6959" w:rsidRDefault="00536DF1" w:rsidP="00536DF1">
            <w:pPr>
              <w:spacing w:after="0"/>
              <w:jc w:val="center"/>
              <w:rPr>
                <w:rFonts w:ascii="Calibri" w:hAnsi="Calibri" w:cs="Calibri"/>
                <w:sz w:val="22"/>
                <w:szCs w:val="22"/>
                <w:lang w:val="en-GB" w:eastAsia="en-GB"/>
              </w:rPr>
            </w:pPr>
          </w:p>
        </w:tc>
        <w:tc>
          <w:tcPr>
            <w:tcW w:w="741" w:type="dxa"/>
            <w:tcBorders>
              <w:top w:val="nil"/>
              <w:left w:val="nil"/>
              <w:bottom w:val="nil"/>
              <w:right w:val="nil"/>
            </w:tcBorders>
            <w:shd w:val="clear" w:color="auto" w:fill="auto"/>
            <w:noWrap/>
            <w:vAlign w:val="bottom"/>
            <w:hideMark/>
          </w:tcPr>
          <w:p w14:paraId="0588D244" w14:textId="77777777" w:rsidR="00536DF1" w:rsidRPr="00BA6959" w:rsidRDefault="00536DF1" w:rsidP="00536DF1">
            <w:pPr>
              <w:spacing w:after="0"/>
              <w:jc w:val="center"/>
              <w:rPr>
                <w:rFonts w:ascii="Calibri" w:hAnsi="Calibri" w:cs="Calibri"/>
                <w:sz w:val="22"/>
                <w:szCs w:val="22"/>
                <w:lang w:val="en-GB" w:eastAsia="en-GB"/>
              </w:rPr>
            </w:pPr>
            <w:r w:rsidRPr="00BA6959">
              <w:rPr>
                <w:rFonts w:ascii="Calibri" w:hAnsi="Calibri" w:cs="Calibri"/>
                <w:sz w:val="22"/>
                <w:szCs w:val="22"/>
                <w:lang w:val="en-GB" w:eastAsia="en-GB"/>
              </w:rPr>
              <w:t>27.14</w:t>
            </w:r>
          </w:p>
        </w:tc>
        <w:tc>
          <w:tcPr>
            <w:tcW w:w="741" w:type="dxa"/>
            <w:tcBorders>
              <w:top w:val="nil"/>
              <w:left w:val="nil"/>
              <w:bottom w:val="nil"/>
              <w:right w:val="nil"/>
            </w:tcBorders>
            <w:shd w:val="clear" w:color="auto" w:fill="auto"/>
            <w:noWrap/>
            <w:vAlign w:val="bottom"/>
            <w:hideMark/>
          </w:tcPr>
          <w:p w14:paraId="6CF72AA8" w14:textId="77777777" w:rsidR="00536DF1" w:rsidRPr="00BA6959" w:rsidRDefault="00536DF1" w:rsidP="00536DF1">
            <w:pPr>
              <w:spacing w:after="0"/>
              <w:jc w:val="center"/>
              <w:rPr>
                <w:rFonts w:ascii="Calibri" w:hAnsi="Calibri" w:cs="Calibri"/>
                <w:sz w:val="22"/>
                <w:szCs w:val="22"/>
                <w:lang w:val="en-GB" w:eastAsia="en-GB"/>
              </w:rPr>
            </w:pPr>
            <w:r w:rsidRPr="00BA6959">
              <w:rPr>
                <w:rFonts w:ascii="Calibri" w:hAnsi="Calibri" w:cs="Calibri"/>
                <w:sz w:val="22"/>
                <w:szCs w:val="22"/>
                <w:lang w:val="en-GB" w:eastAsia="en-GB"/>
              </w:rPr>
              <w:t>95.08</w:t>
            </w:r>
          </w:p>
        </w:tc>
        <w:tc>
          <w:tcPr>
            <w:tcW w:w="741" w:type="dxa"/>
            <w:tcBorders>
              <w:top w:val="nil"/>
              <w:left w:val="nil"/>
              <w:bottom w:val="nil"/>
              <w:right w:val="nil"/>
            </w:tcBorders>
            <w:shd w:val="clear" w:color="auto" w:fill="auto"/>
            <w:noWrap/>
            <w:vAlign w:val="bottom"/>
            <w:hideMark/>
          </w:tcPr>
          <w:p w14:paraId="612C5276" w14:textId="77777777" w:rsidR="00536DF1" w:rsidRPr="00BA6959" w:rsidRDefault="00536DF1" w:rsidP="00536DF1">
            <w:pPr>
              <w:spacing w:after="0"/>
              <w:jc w:val="center"/>
              <w:rPr>
                <w:rFonts w:ascii="Calibri" w:hAnsi="Calibri" w:cs="Calibri"/>
                <w:sz w:val="22"/>
                <w:szCs w:val="22"/>
                <w:lang w:val="en-GB" w:eastAsia="en-GB"/>
              </w:rPr>
            </w:pPr>
            <w:r w:rsidRPr="00BA6959">
              <w:rPr>
                <w:rFonts w:ascii="Calibri" w:hAnsi="Calibri" w:cs="Calibri"/>
                <w:sz w:val="22"/>
                <w:szCs w:val="22"/>
                <w:lang w:val="en-GB" w:eastAsia="en-GB"/>
              </w:rPr>
              <w:t>86.31</w:t>
            </w:r>
          </w:p>
        </w:tc>
        <w:tc>
          <w:tcPr>
            <w:tcW w:w="741" w:type="dxa"/>
            <w:tcBorders>
              <w:top w:val="nil"/>
              <w:left w:val="nil"/>
              <w:bottom w:val="nil"/>
              <w:right w:val="nil"/>
            </w:tcBorders>
            <w:shd w:val="clear" w:color="auto" w:fill="auto"/>
            <w:noWrap/>
            <w:vAlign w:val="bottom"/>
            <w:hideMark/>
          </w:tcPr>
          <w:p w14:paraId="7C645434" w14:textId="77777777" w:rsidR="00536DF1" w:rsidRPr="00BA6959" w:rsidRDefault="00536DF1" w:rsidP="00536DF1">
            <w:pPr>
              <w:spacing w:after="0"/>
              <w:jc w:val="center"/>
              <w:rPr>
                <w:rFonts w:ascii="Calibri" w:hAnsi="Calibri" w:cs="Calibri"/>
                <w:sz w:val="22"/>
                <w:szCs w:val="22"/>
                <w:lang w:val="en-GB" w:eastAsia="en-GB"/>
              </w:rPr>
            </w:pPr>
            <w:r w:rsidRPr="00BA6959">
              <w:rPr>
                <w:rFonts w:ascii="Calibri" w:hAnsi="Calibri" w:cs="Calibri"/>
                <w:sz w:val="22"/>
                <w:szCs w:val="22"/>
                <w:lang w:val="en-GB" w:eastAsia="en-GB"/>
              </w:rPr>
              <w:t>0.286</w:t>
            </w:r>
          </w:p>
        </w:tc>
        <w:tc>
          <w:tcPr>
            <w:tcW w:w="262" w:type="dxa"/>
            <w:tcBorders>
              <w:top w:val="nil"/>
              <w:left w:val="nil"/>
              <w:bottom w:val="nil"/>
              <w:right w:val="nil"/>
            </w:tcBorders>
            <w:shd w:val="clear" w:color="auto" w:fill="auto"/>
            <w:noWrap/>
            <w:vAlign w:val="bottom"/>
            <w:hideMark/>
          </w:tcPr>
          <w:p w14:paraId="2FFF38D7" w14:textId="77777777" w:rsidR="00536DF1" w:rsidRPr="00BA6959" w:rsidRDefault="00536DF1" w:rsidP="00536DF1">
            <w:pPr>
              <w:spacing w:after="0"/>
              <w:jc w:val="center"/>
              <w:rPr>
                <w:rFonts w:ascii="Calibri" w:hAnsi="Calibri" w:cs="Calibri"/>
                <w:sz w:val="22"/>
                <w:szCs w:val="22"/>
                <w:lang w:val="en-GB" w:eastAsia="en-GB"/>
              </w:rPr>
            </w:pPr>
          </w:p>
        </w:tc>
        <w:tc>
          <w:tcPr>
            <w:tcW w:w="551" w:type="dxa"/>
            <w:tcBorders>
              <w:top w:val="nil"/>
              <w:left w:val="nil"/>
              <w:bottom w:val="nil"/>
              <w:right w:val="nil"/>
            </w:tcBorders>
            <w:shd w:val="clear" w:color="auto" w:fill="auto"/>
            <w:noWrap/>
            <w:vAlign w:val="bottom"/>
            <w:hideMark/>
          </w:tcPr>
          <w:p w14:paraId="6D3463F3" w14:textId="77777777" w:rsidR="00536DF1" w:rsidRPr="00BA6959" w:rsidRDefault="00536DF1" w:rsidP="00536DF1">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629</w:t>
            </w:r>
          </w:p>
        </w:tc>
        <w:tc>
          <w:tcPr>
            <w:tcW w:w="440" w:type="dxa"/>
            <w:tcBorders>
              <w:top w:val="nil"/>
              <w:left w:val="nil"/>
              <w:bottom w:val="nil"/>
              <w:right w:val="nil"/>
            </w:tcBorders>
            <w:shd w:val="clear" w:color="auto" w:fill="auto"/>
            <w:noWrap/>
            <w:vAlign w:val="bottom"/>
            <w:hideMark/>
          </w:tcPr>
          <w:p w14:paraId="0DEB44EF" w14:textId="77777777" w:rsidR="00536DF1" w:rsidRPr="00BA6959" w:rsidRDefault="00536DF1" w:rsidP="00536DF1">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49</w:t>
            </w:r>
          </w:p>
        </w:tc>
        <w:tc>
          <w:tcPr>
            <w:tcW w:w="664" w:type="dxa"/>
            <w:tcBorders>
              <w:top w:val="nil"/>
              <w:left w:val="nil"/>
              <w:bottom w:val="nil"/>
              <w:right w:val="nil"/>
            </w:tcBorders>
            <w:shd w:val="clear" w:color="auto" w:fill="auto"/>
            <w:noWrap/>
            <w:vAlign w:val="bottom"/>
            <w:hideMark/>
          </w:tcPr>
          <w:p w14:paraId="15C04EC8" w14:textId="77777777" w:rsidR="00536DF1" w:rsidRPr="00BA6959" w:rsidRDefault="00536DF1" w:rsidP="00536DF1">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1559</w:t>
            </w:r>
          </w:p>
        </w:tc>
        <w:tc>
          <w:tcPr>
            <w:tcW w:w="664" w:type="dxa"/>
            <w:tcBorders>
              <w:top w:val="nil"/>
              <w:left w:val="nil"/>
              <w:bottom w:val="nil"/>
              <w:right w:val="nil"/>
            </w:tcBorders>
            <w:shd w:val="clear" w:color="auto" w:fill="auto"/>
            <w:noWrap/>
            <w:vAlign w:val="bottom"/>
            <w:hideMark/>
          </w:tcPr>
          <w:p w14:paraId="0D9B0CDA" w14:textId="77777777" w:rsidR="00536DF1" w:rsidRPr="00BA6959" w:rsidRDefault="00536DF1" w:rsidP="00536DF1">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3015</w:t>
            </w:r>
          </w:p>
        </w:tc>
        <w:tc>
          <w:tcPr>
            <w:tcW w:w="262" w:type="dxa"/>
            <w:tcBorders>
              <w:top w:val="nil"/>
              <w:left w:val="nil"/>
              <w:bottom w:val="nil"/>
              <w:right w:val="nil"/>
            </w:tcBorders>
            <w:shd w:val="clear" w:color="auto" w:fill="auto"/>
            <w:noWrap/>
            <w:vAlign w:val="bottom"/>
            <w:hideMark/>
          </w:tcPr>
          <w:p w14:paraId="1048B188" w14:textId="77777777" w:rsidR="00536DF1" w:rsidRPr="00BA6959" w:rsidRDefault="00536DF1" w:rsidP="00536DF1">
            <w:pPr>
              <w:spacing w:after="0"/>
              <w:jc w:val="center"/>
              <w:rPr>
                <w:rFonts w:ascii="Calibri" w:hAnsi="Calibri" w:cs="Calibri"/>
                <w:color w:val="000000"/>
                <w:sz w:val="22"/>
                <w:szCs w:val="22"/>
                <w:lang w:val="en-GB" w:eastAsia="en-GB"/>
              </w:rPr>
            </w:pPr>
          </w:p>
        </w:tc>
        <w:tc>
          <w:tcPr>
            <w:tcW w:w="741" w:type="dxa"/>
            <w:tcBorders>
              <w:top w:val="nil"/>
              <w:left w:val="nil"/>
              <w:bottom w:val="nil"/>
              <w:right w:val="nil"/>
            </w:tcBorders>
            <w:shd w:val="clear" w:color="auto" w:fill="auto"/>
            <w:noWrap/>
            <w:vAlign w:val="bottom"/>
            <w:hideMark/>
          </w:tcPr>
          <w:p w14:paraId="4FCF79EF" w14:textId="77777777" w:rsidR="00536DF1" w:rsidRPr="00BA6959" w:rsidRDefault="00536DF1" w:rsidP="00536DF1">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92.77</w:t>
            </w:r>
          </w:p>
        </w:tc>
        <w:tc>
          <w:tcPr>
            <w:tcW w:w="741" w:type="dxa"/>
            <w:tcBorders>
              <w:top w:val="nil"/>
              <w:left w:val="nil"/>
              <w:bottom w:val="nil"/>
              <w:right w:val="nil"/>
            </w:tcBorders>
            <w:shd w:val="clear" w:color="auto" w:fill="auto"/>
            <w:noWrap/>
            <w:vAlign w:val="bottom"/>
            <w:hideMark/>
          </w:tcPr>
          <w:p w14:paraId="6585A342" w14:textId="77777777" w:rsidR="00536DF1" w:rsidRPr="00BA6959" w:rsidRDefault="00536DF1" w:rsidP="00536DF1">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34.08</w:t>
            </w:r>
          </w:p>
        </w:tc>
        <w:tc>
          <w:tcPr>
            <w:tcW w:w="741" w:type="dxa"/>
            <w:tcBorders>
              <w:top w:val="nil"/>
              <w:left w:val="nil"/>
              <w:bottom w:val="nil"/>
              <w:right w:val="nil"/>
            </w:tcBorders>
            <w:shd w:val="clear" w:color="auto" w:fill="auto"/>
            <w:noWrap/>
            <w:vAlign w:val="bottom"/>
            <w:hideMark/>
          </w:tcPr>
          <w:p w14:paraId="52D50839" w14:textId="77777777" w:rsidR="00536DF1" w:rsidRPr="00BA6959" w:rsidRDefault="00536DF1" w:rsidP="00536DF1">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41.66</w:t>
            </w:r>
          </w:p>
        </w:tc>
        <w:tc>
          <w:tcPr>
            <w:tcW w:w="741" w:type="dxa"/>
            <w:tcBorders>
              <w:top w:val="nil"/>
              <w:left w:val="nil"/>
              <w:bottom w:val="nil"/>
              <w:right w:val="nil"/>
            </w:tcBorders>
            <w:shd w:val="clear" w:color="auto" w:fill="auto"/>
            <w:noWrap/>
            <w:vAlign w:val="bottom"/>
            <w:hideMark/>
          </w:tcPr>
          <w:p w14:paraId="51A9461A" w14:textId="77777777" w:rsidR="00536DF1" w:rsidRPr="00BA6959" w:rsidRDefault="00536DF1" w:rsidP="00536DF1">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0.116</w:t>
            </w:r>
          </w:p>
        </w:tc>
      </w:tr>
      <w:tr w:rsidR="00536DF1" w:rsidRPr="00BA6959" w14:paraId="1A78EAB7" w14:textId="77777777" w:rsidTr="00536DF1">
        <w:trPr>
          <w:trHeight w:val="300"/>
        </w:trPr>
        <w:tc>
          <w:tcPr>
            <w:tcW w:w="1474" w:type="dxa"/>
            <w:tcBorders>
              <w:top w:val="nil"/>
              <w:left w:val="nil"/>
              <w:bottom w:val="nil"/>
              <w:right w:val="nil"/>
            </w:tcBorders>
            <w:shd w:val="clear" w:color="auto" w:fill="auto"/>
            <w:noWrap/>
            <w:vAlign w:val="bottom"/>
            <w:hideMark/>
          </w:tcPr>
          <w:p w14:paraId="3E117033" w14:textId="77777777" w:rsidR="00536DF1" w:rsidRPr="00BA6959" w:rsidRDefault="00536DF1" w:rsidP="00536DF1">
            <w:pPr>
              <w:spacing w:after="0"/>
              <w:jc w:val="center"/>
              <w:rPr>
                <w:rFonts w:ascii="Calibri" w:hAnsi="Calibri" w:cs="Calibri"/>
                <w:color w:val="000000"/>
                <w:sz w:val="22"/>
                <w:szCs w:val="22"/>
                <w:lang w:val="en-GB" w:eastAsia="en-GB"/>
              </w:rPr>
            </w:pPr>
          </w:p>
        </w:tc>
        <w:tc>
          <w:tcPr>
            <w:tcW w:w="551" w:type="dxa"/>
            <w:tcBorders>
              <w:top w:val="nil"/>
              <w:left w:val="nil"/>
              <w:bottom w:val="nil"/>
              <w:right w:val="nil"/>
            </w:tcBorders>
            <w:shd w:val="clear" w:color="auto" w:fill="auto"/>
            <w:noWrap/>
            <w:vAlign w:val="bottom"/>
            <w:hideMark/>
          </w:tcPr>
          <w:p w14:paraId="3E0A28E6" w14:textId="77777777" w:rsidR="00536DF1" w:rsidRPr="00BA6959" w:rsidRDefault="00536DF1" w:rsidP="00536DF1">
            <w:pPr>
              <w:spacing w:after="0"/>
              <w:jc w:val="left"/>
              <w:rPr>
                <w:rFonts w:ascii="Times New Roman" w:hAnsi="Times New Roman"/>
                <w:sz w:val="20"/>
                <w:lang w:val="en-GB" w:eastAsia="en-GB"/>
              </w:rPr>
            </w:pPr>
          </w:p>
        </w:tc>
        <w:tc>
          <w:tcPr>
            <w:tcW w:w="551" w:type="dxa"/>
            <w:tcBorders>
              <w:top w:val="nil"/>
              <w:left w:val="nil"/>
              <w:bottom w:val="nil"/>
              <w:right w:val="nil"/>
            </w:tcBorders>
            <w:shd w:val="clear" w:color="auto" w:fill="auto"/>
            <w:noWrap/>
            <w:vAlign w:val="bottom"/>
            <w:hideMark/>
          </w:tcPr>
          <w:p w14:paraId="26CFC743" w14:textId="77777777" w:rsidR="00536DF1" w:rsidRPr="00BA6959" w:rsidRDefault="00536DF1" w:rsidP="00536DF1">
            <w:pPr>
              <w:spacing w:after="0"/>
              <w:jc w:val="center"/>
              <w:rPr>
                <w:rFonts w:ascii="Times New Roman" w:hAnsi="Times New Roman"/>
                <w:sz w:val="20"/>
                <w:lang w:val="en-GB" w:eastAsia="en-GB"/>
              </w:rPr>
            </w:pPr>
          </w:p>
        </w:tc>
        <w:tc>
          <w:tcPr>
            <w:tcW w:w="664" w:type="dxa"/>
            <w:tcBorders>
              <w:top w:val="nil"/>
              <w:left w:val="nil"/>
              <w:bottom w:val="nil"/>
              <w:right w:val="nil"/>
            </w:tcBorders>
            <w:shd w:val="clear" w:color="auto" w:fill="auto"/>
            <w:noWrap/>
            <w:vAlign w:val="bottom"/>
            <w:hideMark/>
          </w:tcPr>
          <w:p w14:paraId="0C1C28AA" w14:textId="77777777" w:rsidR="00536DF1" w:rsidRPr="00BA6959" w:rsidRDefault="00536DF1" w:rsidP="00536DF1">
            <w:pPr>
              <w:spacing w:after="0"/>
              <w:jc w:val="center"/>
              <w:rPr>
                <w:rFonts w:ascii="Times New Roman" w:hAnsi="Times New Roman"/>
                <w:sz w:val="20"/>
                <w:lang w:val="en-GB" w:eastAsia="en-GB"/>
              </w:rPr>
            </w:pPr>
          </w:p>
        </w:tc>
        <w:tc>
          <w:tcPr>
            <w:tcW w:w="551" w:type="dxa"/>
            <w:tcBorders>
              <w:top w:val="nil"/>
              <w:left w:val="nil"/>
              <w:bottom w:val="nil"/>
              <w:right w:val="nil"/>
            </w:tcBorders>
            <w:shd w:val="clear" w:color="auto" w:fill="auto"/>
            <w:noWrap/>
            <w:vAlign w:val="bottom"/>
            <w:hideMark/>
          </w:tcPr>
          <w:p w14:paraId="2F50B4A3" w14:textId="77777777" w:rsidR="00536DF1" w:rsidRPr="00BA6959" w:rsidRDefault="00536DF1" w:rsidP="00536DF1">
            <w:pPr>
              <w:spacing w:after="0"/>
              <w:jc w:val="center"/>
              <w:rPr>
                <w:rFonts w:ascii="Times New Roman" w:hAnsi="Times New Roman"/>
                <w:sz w:val="20"/>
                <w:lang w:val="en-GB" w:eastAsia="en-GB"/>
              </w:rPr>
            </w:pPr>
          </w:p>
        </w:tc>
        <w:tc>
          <w:tcPr>
            <w:tcW w:w="262" w:type="dxa"/>
            <w:tcBorders>
              <w:top w:val="nil"/>
              <w:left w:val="nil"/>
              <w:bottom w:val="nil"/>
              <w:right w:val="nil"/>
            </w:tcBorders>
            <w:shd w:val="clear" w:color="auto" w:fill="auto"/>
            <w:noWrap/>
            <w:vAlign w:val="bottom"/>
            <w:hideMark/>
          </w:tcPr>
          <w:p w14:paraId="462E9181" w14:textId="77777777" w:rsidR="00536DF1" w:rsidRPr="00BA6959" w:rsidRDefault="00536DF1" w:rsidP="00536DF1">
            <w:pPr>
              <w:spacing w:after="0"/>
              <w:jc w:val="center"/>
              <w:rPr>
                <w:rFonts w:ascii="Times New Roman" w:hAnsi="Times New Roman"/>
                <w:sz w:val="20"/>
                <w:lang w:val="en-GB" w:eastAsia="en-GB"/>
              </w:rPr>
            </w:pPr>
          </w:p>
        </w:tc>
        <w:tc>
          <w:tcPr>
            <w:tcW w:w="741" w:type="dxa"/>
            <w:tcBorders>
              <w:top w:val="nil"/>
              <w:left w:val="nil"/>
              <w:bottom w:val="nil"/>
              <w:right w:val="nil"/>
            </w:tcBorders>
            <w:shd w:val="clear" w:color="auto" w:fill="auto"/>
            <w:noWrap/>
            <w:vAlign w:val="bottom"/>
            <w:hideMark/>
          </w:tcPr>
          <w:p w14:paraId="0390D5DD" w14:textId="77777777" w:rsidR="00536DF1" w:rsidRPr="00BA6959" w:rsidRDefault="00536DF1" w:rsidP="00536DF1">
            <w:pPr>
              <w:spacing w:after="0"/>
              <w:jc w:val="center"/>
              <w:rPr>
                <w:rFonts w:ascii="Times New Roman" w:hAnsi="Times New Roman"/>
                <w:sz w:val="20"/>
                <w:lang w:val="en-GB" w:eastAsia="en-GB"/>
              </w:rPr>
            </w:pPr>
          </w:p>
        </w:tc>
        <w:tc>
          <w:tcPr>
            <w:tcW w:w="741" w:type="dxa"/>
            <w:tcBorders>
              <w:top w:val="nil"/>
              <w:left w:val="nil"/>
              <w:bottom w:val="nil"/>
              <w:right w:val="nil"/>
            </w:tcBorders>
            <w:shd w:val="clear" w:color="auto" w:fill="auto"/>
            <w:noWrap/>
            <w:vAlign w:val="bottom"/>
            <w:hideMark/>
          </w:tcPr>
          <w:p w14:paraId="66692426" w14:textId="77777777" w:rsidR="00536DF1" w:rsidRPr="00BA6959" w:rsidRDefault="00536DF1" w:rsidP="00536DF1">
            <w:pPr>
              <w:spacing w:after="0"/>
              <w:jc w:val="center"/>
              <w:rPr>
                <w:rFonts w:ascii="Times New Roman" w:hAnsi="Times New Roman"/>
                <w:sz w:val="20"/>
                <w:lang w:val="en-GB" w:eastAsia="en-GB"/>
              </w:rPr>
            </w:pPr>
          </w:p>
        </w:tc>
        <w:tc>
          <w:tcPr>
            <w:tcW w:w="741" w:type="dxa"/>
            <w:tcBorders>
              <w:top w:val="nil"/>
              <w:left w:val="nil"/>
              <w:bottom w:val="nil"/>
              <w:right w:val="nil"/>
            </w:tcBorders>
            <w:shd w:val="clear" w:color="auto" w:fill="auto"/>
            <w:noWrap/>
            <w:vAlign w:val="bottom"/>
            <w:hideMark/>
          </w:tcPr>
          <w:p w14:paraId="6A9CADBA" w14:textId="77777777" w:rsidR="00536DF1" w:rsidRPr="00BA6959" w:rsidRDefault="00536DF1" w:rsidP="00536DF1">
            <w:pPr>
              <w:spacing w:after="0"/>
              <w:jc w:val="center"/>
              <w:rPr>
                <w:rFonts w:ascii="Times New Roman" w:hAnsi="Times New Roman"/>
                <w:sz w:val="20"/>
                <w:lang w:val="en-GB" w:eastAsia="en-GB"/>
              </w:rPr>
            </w:pPr>
          </w:p>
        </w:tc>
        <w:tc>
          <w:tcPr>
            <w:tcW w:w="741" w:type="dxa"/>
            <w:tcBorders>
              <w:top w:val="nil"/>
              <w:left w:val="nil"/>
              <w:bottom w:val="nil"/>
              <w:right w:val="nil"/>
            </w:tcBorders>
            <w:shd w:val="clear" w:color="auto" w:fill="auto"/>
            <w:noWrap/>
            <w:vAlign w:val="bottom"/>
            <w:hideMark/>
          </w:tcPr>
          <w:p w14:paraId="17C1B64E" w14:textId="77777777" w:rsidR="00536DF1" w:rsidRPr="00BA6959" w:rsidRDefault="00536DF1" w:rsidP="00536DF1">
            <w:pPr>
              <w:spacing w:after="0"/>
              <w:jc w:val="center"/>
              <w:rPr>
                <w:rFonts w:ascii="Times New Roman" w:hAnsi="Times New Roman"/>
                <w:sz w:val="20"/>
                <w:lang w:val="en-GB" w:eastAsia="en-GB"/>
              </w:rPr>
            </w:pPr>
          </w:p>
        </w:tc>
        <w:tc>
          <w:tcPr>
            <w:tcW w:w="262" w:type="dxa"/>
            <w:tcBorders>
              <w:top w:val="nil"/>
              <w:left w:val="nil"/>
              <w:bottom w:val="nil"/>
              <w:right w:val="nil"/>
            </w:tcBorders>
            <w:shd w:val="clear" w:color="auto" w:fill="auto"/>
            <w:noWrap/>
            <w:vAlign w:val="bottom"/>
            <w:hideMark/>
          </w:tcPr>
          <w:p w14:paraId="7D7B79DE" w14:textId="77777777" w:rsidR="00536DF1" w:rsidRPr="00BA6959" w:rsidRDefault="00536DF1" w:rsidP="00536DF1">
            <w:pPr>
              <w:spacing w:after="0"/>
              <w:jc w:val="center"/>
              <w:rPr>
                <w:rFonts w:ascii="Times New Roman" w:hAnsi="Times New Roman"/>
                <w:sz w:val="20"/>
                <w:lang w:val="en-GB" w:eastAsia="en-GB"/>
              </w:rPr>
            </w:pPr>
          </w:p>
        </w:tc>
        <w:tc>
          <w:tcPr>
            <w:tcW w:w="551" w:type="dxa"/>
            <w:tcBorders>
              <w:top w:val="nil"/>
              <w:left w:val="nil"/>
              <w:bottom w:val="nil"/>
              <w:right w:val="nil"/>
            </w:tcBorders>
            <w:shd w:val="clear" w:color="auto" w:fill="auto"/>
            <w:noWrap/>
            <w:vAlign w:val="bottom"/>
            <w:hideMark/>
          </w:tcPr>
          <w:p w14:paraId="04FF27F2" w14:textId="77777777" w:rsidR="00536DF1" w:rsidRPr="00BA6959" w:rsidRDefault="00536DF1" w:rsidP="00536DF1">
            <w:pPr>
              <w:spacing w:after="0"/>
              <w:jc w:val="center"/>
              <w:rPr>
                <w:rFonts w:ascii="Times New Roman" w:hAnsi="Times New Roman"/>
                <w:sz w:val="20"/>
                <w:lang w:val="en-GB" w:eastAsia="en-GB"/>
              </w:rPr>
            </w:pPr>
          </w:p>
        </w:tc>
        <w:tc>
          <w:tcPr>
            <w:tcW w:w="440" w:type="dxa"/>
            <w:tcBorders>
              <w:top w:val="nil"/>
              <w:left w:val="nil"/>
              <w:bottom w:val="nil"/>
              <w:right w:val="nil"/>
            </w:tcBorders>
            <w:shd w:val="clear" w:color="auto" w:fill="auto"/>
            <w:noWrap/>
            <w:vAlign w:val="bottom"/>
            <w:hideMark/>
          </w:tcPr>
          <w:p w14:paraId="4BAC30C7" w14:textId="77777777" w:rsidR="00536DF1" w:rsidRPr="00BA6959" w:rsidRDefault="00536DF1" w:rsidP="00536DF1">
            <w:pPr>
              <w:spacing w:after="0"/>
              <w:jc w:val="center"/>
              <w:rPr>
                <w:rFonts w:ascii="Times New Roman" w:hAnsi="Times New Roman"/>
                <w:sz w:val="20"/>
                <w:lang w:val="en-GB" w:eastAsia="en-GB"/>
              </w:rPr>
            </w:pPr>
          </w:p>
        </w:tc>
        <w:tc>
          <w:tcPr>
            <w:tcW w:w="664" w:type="dxa"/>
            <w:tcBorders>
              <w:top w:val="nil"/>
              <w:left w:val="nil"/>
              <w:bottom w:val="nil"/>
              <w:right w:val="nil"/>
            </w:tcBorders>
            <w:shd w:val="clear" w:color="auto" w:fill="auto"/>
            <w:noWrap/>
            <w:vAlign w:val="bottom"/>
            <w:hideMark/>
          </w:tcPr>
          <w:p w14:paraId="27D80F2C" w14:textId="77777777" w:rsidR="00536DF1" w:rsidRPr="00BA6959" w:rsidRDefault="00536DF1" w:rsidP="00536DF1">
            <w:pPr>
              <w:spacing w:after="0"/>
              <w:jc w:val="center"/>
              <w:rPr>
                <w:rFonts w:ascii="Times New Roman" w:hAnsi="Times New Roman"/>
                <w:sz w:val="20"/>
                <w:lang w:val="en-GB" w:eastAsia="en-GB"/>
              </w:rPr>
            </w:pPr>
          </w:p>
        </w:tc>
        <w:tc>
          <w:tcPr>
            <w:tcW w:w="664" w:type="dxa"/>
            <w:tcBorders>
              <w:top w:val="nil"/>
              <w:left w:val="nil"/>
              <w:bottom w:val="nil"/>
              <w:right w:val="nil"/>
            </w:tcBorders>
            <w:shd w:val="clear" w:color="auto" w:fill="auto"/>
            <w:noWrap/>
            <w:vAlign w:val="bottom"/>
            <w:hideMark/>
          </w:tcPr>
          <w:p w14:paraId="26CACC66" w14:textId="77777777" w:rsidR="00536DF1" w:rsidRPr="00BA6959" w:rsidRDefault="00536DF1" w:rsidP="00536DF1">
            <w:pPr>
              <w:spacing w:after="0"/>
              <w:jc w:val="center"/>
              <w:rPr>
                <w:rFonts w:ascii="Times New Roman" w:hAnsi="Times New Roman"/>
                <w:sz w:val="20"/>
                <w:lang w:val="en-GB" w:eastAsia="en-GB"/>
              </w:rPr>
            </w:pPr>
          </w:p>
        </w:tc>
        <w:tc>
          <w:tcPr>
            <w:tcW w:w="262" w:type="dxa"/>
            <w:tcBorders>
              <w:top w:val="nil"/>
              <w:left w:val="nil"/>
              <w:bottom w:val="nil"/>
              <w:right w:val="nil"/>
            </w:tcBorders>
            <w:shd w:val="clear" w:color="auto" w:fill="auto"/>
            <w:noWrap/>
            <w:vAlign w:val="bottom"/>
            <w:hideMark/>
          </w:tcPr>
          <w:p w14:paraId="4D102E7C" w14:textId="77777777" w:rsidR="00536DF1" w:rsidRPr="00BA6959" w:rsidRDefault="00536DF1" w:rsidP="00536DF1">
            <w:pPr>
              <w:spacing w:after="0"/>
              <w:jc w:val="center"/>
              <w:rPr>
                <w:rFonts w:ascii="Times New Roman" w:hAnsi="Times New Roman"/>
                <w:sz w:val="20"/>
                <w:lang w:val="en-GB" w:eastAsia="en-GB"/>
              </w:rPr>
            </w:pPr>
          </w:p>
        </w:tc>
        <w:tc>
          <w:tcPr>
            <w:tcW w:w="741" w:type="dxa"/>
            <w:tcBorders>
              <w:top w:val="nil"/>
              <w:left w:val="nil"/>
              <w:bottom w:val="nil"/>
              <w:right w:val="nil"/>
            </w:tcBorders>
            <w:shd w:val="clear" w:color="auto" w:fill="auto"/>
            <w:noWrap/>
            <w:vAlign w:val="bottom"/>
            <w:hideMark/>
          </w:tcPr>
          <w:p w14:paraId="00D42531" w14:textId="77777777" w:rsidR="00536DF1" w:rsidRPr="00BA6959" w:rsidRDefault="00536DF1" w:rsidP="00536DF1">
            <w:pPr>
              <w:spacing w:after="0"/>
              <w:jc w:val="center"/>
              <w:rPr>
                <w:rFonts w:ascii="Times New Roman" w:hAnsi="Times New Roman"/>
                <w:sz w:val="20"/>
                <w:lang w:val="en-GB" w:eastAsia="en-GB"/>
              </w:rPr>
            </w:pPr>
          </w:p>
        </w:tc>
        <w:tc>
          <w:tcPr>
            <w:tcW w:w="741" w:type="dxa"/>
            <w:tcBorders>
              <w:top w:val="nil"/>
              <w:left w:val="nil"/>
              <w:bottom w:val="nil"/>
              <w:right w:val="nil"/>
            </w:tcBorders>
            <w:shd w:val="clear" w:color="auto" w:fill="auto"/>
            <w:noWrap/>
            <w:vAlign w:val="bottom"/>
            <w:hideMark/>
          </w:tcPr>
          <w:p w14:paraId="65A3699E" w14:textId="77777777" w:rsidR="00536DF1" w:rsidRPr="00BA6959" w:rsidRDefault="00536DF1" w:rsidP="00536DF1">
            <w:pPr>
              <w:spacing w:after="0"/>
              <w:jc w:val="center"/>
              <w:rPr>
                <w:rFonts w:ascii="Times New Roman" w:hAnsi="Times New Roman"/>
                <w:sz w:val="20"/>
                <w:lang w:val="en-GB" w:eastAsia="en-GB"/>
              </w:rPr>
            </w:pPr>
          </w:p>
        </w:tc>
        <w:tc>
          <w:tcPr>
            <w:tcW w:w="741" w:type="dxa"/>
            <w:tcBorders>
              <w:top w:val="nil"/>
              <w:left w:val="nil"/>
              <w:bottom w:val="nil"/>
              <w:right w:val="nil"/>
            </w:tcBorders>
            <w:shd w:val="clear" w:color="auto" w:fill="auto"/>
            <w:noWrap/>
            <w:vAlign w:val="bottom"/>
            <w:hideMark/>
          </w:tcPr>
          <w:p w14:paraId="4917C1AB" w14:textId="77777777" w:rsidR="00536DF1" w:rsidRPr="00BA6959" w:rsidRDefault="00536DF1" w:rsidP="00536DF1">
            <w:pPr>
              <w:spacing w:after="0"/>
              <w:jc w:val="center"/>
              <w:rPr>
                <w:rFonts w:ascii="Times New Roman" w:hAnsi="Times New Roman"/>
                <w:sz w:val="20"/>
                <w:lang w:val="en-GB" w:eastAsia="en-GB"/>
              </w:rPr>
            </w:pPr>
          </w:p>
        </w:tc>
        <w:tc>
          <w:tcPr>
            <w:tcW w:w="741" w:type="dxa"/>
            <w:tcBorders>
              <w:top w:val="nil"/>
              <w:left w:val="nil"/>
              <w:bottom w:val="nil"/>
              <w:right w:val="nil"/>
            </w:tcBorders>
            <w:shd w:val="clear" w:color="auto" w:fill="auto"/>
            <w:noWrap/>
            <w:vAlign w:val="bottom"/>
            <w:hideMark/>
          </w:tcPr>
          <w:p w14:paraId="2F6D984F" w14:textId="77777777" w:rsidR="00536DF1" w:rsidRPr="00BA6959" w:rsidRDefault="00536DF1" w:rsidP="00536DF1">
            <w:pPr>
              <w:spacing w:after="0"/>
              <w:jc w:val="center"/>
              <w:rPr>
                <w:rFonts w:ascii="Times New Roman" w:hAnsi="Times New Roman"/>
                <w:sz w:val="20"/>
                <w:lang w:val="en-GB" w:eastAsia="en-GB"/>
              </w:rPr>
            </w:pPr>
          </w:p>
        </w:tc>
      </w:tr>
      <w:tr w:rsidR="00536DF1" w:rsidRPr="00BA6959" w14:paraId="5FE5711B" w14:textId="77777777" w:rsidTr="00536DF1">
        <w:trPr>
          <w:trHeight w:val="300"/>
        </w:trPr>
        <w:tc>
          <w:tcPr>
            <w:tcW w:w="1474" w:type="dxa"/>
            <w:tcBorders>
              <w:top w:val="nil"/>
              <w:left w:val="nil"/>
              <w:bottom w:val="nil"/>
              <w:right w:val="nil"/>
            </w:tcBorders>
            <w:shd w:val="clear" w:color="auto" w:fill="auto"/>
            <w:noWrap/>
            <w:vAlign w:val="bottom"/>
            <w:hideMark/>
          </w:tcPr>
          <w:p w14:paraId="2BD1240E" w14:textId="77777777" w:rsidR="00536DF1" w:rsidRPr="00BA6959" w:rsidRDefault="00536DF1" w:rsidP="00536DF1">
            <w:pPr>
              <w:spacing w:after="0"/>
              <w:jc w:val="left"/>
              <w:rPr>
                <w:rFonts w:ascii="Calibri" w:hAnsi="Calibri" w:cs="Calibri"/>
                <w:color w:val="000000"/>
                <w:sz w:val="20"/>
                <w:lang w:val="en-GB" w:eastAsia="en-GB"/>
              </w:rPr>
            </w:pPr>
            <w:r w:rsidRPr="00BA6959">
              <w:rPr>
                <w:rFonts w:ascii="Calibri" w:hAnsi="Calibri" w:cs="Calibri"/>
                <w:color w:val="000000"/>
                <w:sz w:val="20"/>
                <w:lang w:val="en-GB" w:eastAsia="en-GB"/>
              </w:rPr>
              <w:t>AR Test Set</w:t>
            </w:r>
          </w:p>
        </w:tc>
        <w:tc>
          <w:tcPr>
            <w:tcW w:w="551" w:type="dxa"/>
            <w:tcBorders>
              <w:top w:val="nil"/>
              <w:left w:val="nil"/>
              <w:bottom w:val="nil"/>
              <w:right w:val="nil"/>
            </w:tcBorders>
            <w:shd w:val="clear" w:color="auto" w:fill="auto"/>
            <w:noWrap/>
            <w:vAlign w:val="bottom"/>
            <w:hideMark/>
          </w:tcPr>
          <w:p w14:paraId="1161020F" w14:textId="77777777" w:rsidR="00536DF1" w:rsidRPr="00BA6959" w:rsidRDefault="00536DF1" w:rsidP="00536DF1">
            <w:pPr>
              <w:spacing w:after="0"/>
              <w:jc w:val="center"/>
              <w:rPr>
                <w:rFonts w:ascii="Calibri" w:hAnsi="Calibri" w:cs="Calibri"/>
                <w:sz w:val="22"/>
                <w:szCs w:val="22"/>
                <w:lang w:val="en-GB" w:eastAsia="en-GB"/>
              </w:rPr>
            </w:pPr>
            <w:r w:rsidRPr="00BA6959">
              <w:rPr>
                <w:rFonts w:ascii="Calibri" w:hAnsi="Calibri" w:cs="Calibri"/>
                <w:sz w:val="22"/>
                <w:szCs w:val="22"/>
                <w:lang w:val="en-GB" w:eastAsia="en-GB"/>
              </w:rPr>
              <w:t>52</w:t>
            </w:r>
          </w:p>
        </w:tc>
        <w:tc>
          <w:tcPr>
            <w:tcW w:w="551" w:type="dxa"/>
            <w:tcBorders>
              <w:top w:val="nil"/>
              <w:left w:val="nil"/>
              <w:bottom w:val="nil"/>
              <w:right w:val="nil"/>
            </w:tcBorders>
            <w:shd w:val="clear" w:color="auto" w:fill="auto"/>
            <w:noWrap/>
            <w:vAlign w:val="bottom"/>
            <w:hideMark/>
          </w:tcPr>
          <w:p w14:paraId="5198AC2D" w14:textId="77777777" w:rsidR="00536DF1" w:rsidRPr="00BA6959" w:rsidRDefault="00536DF1" w:rsidP="00536DF1">
            <w:pPr>
              <w:spacing w:after="0"/>
              <w:jc w:val="center"/>
              <w:rPr>
                <w:rFonts w:ascii="Calibri" w:hAnsi="Calibri" w:cs="Calibri"/>
                <w:sz w:val="22"/>
                <w:szCs w:val="22"/>
                <w:lang w:val="en-GB" w:eastAsia="en-GB"/>
              </w:rPr>
            </w:pPr>
            <w:r w:rsidRPr="00BA6959">
              <w:rPr>
                <w:rFonts w:ascii="Calibri" w:hAnsi="Calibri" w:cs="Calibri"/>
                <w:sz w:val="22"/>
                <w:szCs w:val="22"/>
                <w:lang w:val="en-GB" w:eastAsia="en-GB"/>
              </w:rPr>
              <w:t>169</w:t>
            </w:r>
          </w:p>
        </w:tc>
        <w:tc>
          <w:tcPr>
            <w:tcW w:w="664" w:type="dxa"/>
            <w:tcBorders>
              <w:top w:val="nil"/>
              <w:left w:val="nil"/>
              <w:bottom w:val="nil"/>
              <w:right w:val="nil"/>
            </w:tcBorders>
            <w:shd w:val="clear" w:color="auto" w:fill="auto"/>
            <w:noWrap/>
            <w:vAlign w:val="bottom"/>
            <w:hideMark/>
          </w:tcPr>
          <w:p w14:paraId="69121310" w14:textId="77777777" w:rsidR="00536DF1" w:rsidRPr="00BA6959" w:rsidRDefault="00536DF1" w:rsidP="00536DF1">
            <w:pPr>
              <w:spacing w:after="0"/>
              <w:jc w:val="center"/>
              <w:rPr>
                <w:rFonts w:ascii="Calibri" w:hAnsi="Calibri" w:cs="Calibri"/>
                <w:sz w:val="22"/>
                <w:szCs w:val="22"/>
                <w:lang w:val="en-GB" w:eastAsia="en-GB"/>
              </w:rPr>
            </w:pPr>
            <w:r w:rsidRPr="00BA6959">
              <w:rPr>
                <w:rFonts w:ascii="Calibri" w:hAnsi="Calibri" w:cs="Calibri"/>
                <w:sz w:val="22"/>
                <w:szCs w:val="22"/>
                <w:lang w:val="en-GB" w:eastAsia="en-GB"/>
              </w:rPr>
              <w:t>1495</w:t>
            </w:r>
          </w:p>
        </w:tc>
        <w:tc>
          <w:tcPr>
            <w:tcW w:w="551" w:type="dxa"/>
            <w:tcBorders>
              <w:top w:val="nil"/>
              <w:left w:val="nil"/>
              <w:bottom w:val="nil"/>
              <w:right w:val="nil"/>
            </w:tcBorders>
            <w:shd w:val="clear" w:color="auto" w:fill="auto"/>
            <w:noWrap/>
            <w:vAlign w:val="bottom"/>
            <w:hideMark/>
          </w:tcPr>
          <w:p w14:paraId="7572290C" w14:textId="77777777" w:rsidR="00536DF1" w:rsidRPr="00BA6959" w:rsidRDefault="00536DF1" w:rsidP="00536DF1">
            <w:pPr>
              <w:spacing w:after="0"/>
              <w:jc w:val="center"/>
              <w:rPr>
                <w:rFonts w:ascii="Calibri" w:hAnsi="Calibri" w:cs="Calibri"/>
                <w:sz w:val="22"/>
                <w:szCs w:val="22"/>
                <w:lang w:val="en-GB" w:eastAsia="en-GB"/>
              </w:rPr>
            </w:pPr>
            <w:r w:rsidRPr="00BA6959">
              <w:rPr>
                <w:rFonts w:ascii="Calibri" w:hAnsi="Calibri" w:cs="Calibri"/>
                <w:sz w:val="22"/>
                <w:szCs w:val="22"/>
                <w:lang w:val="en-GB" w:eastAsia="en-GB"/>
              </w:rPr>
              <w:t>58</w:t>
            </w:r>
          </w:p>
        </w:tc>
        <w:tc>
          <w:tcPr>
            <w:tcW w:w="262" w:type="dxa"/>
            <w:tcBorders>
              <w:top w:val="nil"/>
              <w:left w:val="nil"/>
              <w:bottom w:val="nil"/>
              <w:right w:val="nil"/>
            </w:tcBorders>
            <w:shd w:val="clear" w:color="auto" w:fill="auto"/>
            <w:noWrap/>
            <w:vAlign w:val="bottom"/>
            <w:hideMark/>
          </w:tcPr>
          <w:p w14:paraId="379DA234" w14:textId="77777777" w:rsidR="00536DF1" w:rsidRPr="00BA6959" w:rsidRDefault="00536DF1" w:rsidP="00536DF1">
            <w:pPr>
              <w:spacing w:after="0"/>
              <w:jc w:val="center"/>
              <w:rPr>
                <w:rFonts w:ascii="Calibri" w:hAnsi="Calibri" w:cs="Calibri"/>
                <w:sz w:val="22"/>
                <w:szCs w:val="22"/>
                <w:lang w:val="en-GB" w:eastAsia="en-GB"/>
              </w:rPr>
            </w:pPr>
          </w:p>
        </w:tc>
        <w:tc>
          <w:tcPr>
            <w:tcW w:w="741" w:type="dxa"/>
            <w:tcBorders>
              <w:top w:val="nil"/>
              <w:left w:val="nil"/>
              <w:bottom w:val="nil"/>
              <w:right w:val="nil"/>
            </w:tcBorders>
            <w:shd w:val="clear" w:color="auto" w:fill="auto"/>
            <w:noWrap/>
            <w:vAlign w:val="bottom"/>
            <w:hideMark/>
          </w:tcPr>
          <w:p w14:paraId="35646DA6" w14:textId="77777777" w:rsidR="00536DF1" w:rsidRPr="00BA6959" w:rsidRDefault="00536DF1" w:rsidP="00536DF1">
            <w:pPr>
              <w:spacing w:after="0"/>
              <w:jc w:val="center"/>
              <w:rPr>
                <w:rFonts w:ascii="Calibri" w:hAnsi="Calibri" w:cs="Calibri"/>
                <w:sz w:val="22"/>
                <w:szCs w:val="22"/>
                <w:lang w:val="en-GB" w:eastAsia="en-GB"/>
              </w:rPr>
            </w:pPr>
            <w:r w:rsidRPr="00BA6959">
              <w:rPr>
                <w:rFonts w:ascii="Calibri" w:hAnsi="Calibri" w:cs="Calibri"/>
                <w:sz w:val="22"/>
                <w:szCs w:val="22"/>
                <w:lang w:val="en-GB" w:eastAsia="en-GB"/>
              </w:rPr>
              <w:t>23.53</w:t>
            </w:r>
          </w:p>
        </w:tc>
        <w:tc>
          <w:tcPr>
            <w:tcW w:w="741" w:type="dxa"/>
            <w:tcBorders>
              <w:top w:val="nil"/>
              <w:left w:val="nil"/>
              <w:bottom w:val="nil"/>
              <w:right w:val="nil"/>
            </w:tcBorders>
            <w:shd w:val="clear" w:color="auto" w:fill="auto"/>
            <w:noWrap/>
            <w:vAlign w:val="bottom"/>
            <w:hideMark/>
          </w:tcPr>
          <w:p w14:paraId="68CF3B17" w14:textId="77777777" w:rsidR="00536DF1" w:rsidRPr="00BA6959" w:rsidRDefault="00536DF1" w:rsidP="00536DF1">
            <w:pPr>
              <w:spacing w:after="0"/>
              <w:jc w:val="center"/>
              <w:rPr>
                <w:rFonts w:ascii="Calibri" w:hAnsi="Calibri" w:cs="Calibri"/>
                <w:sz w:val="22"/>
                <w:szCs w:val="22"/>
                <w:lang w:val="en-GB" w:eastAsia="en-GB"/>
              </w:rPr>
            </w:pPr>
            <w:r w:rsidRPr="00BA6959">
              <w:rPr>
                <w:rFonts w:ascii="Calibri" w:hAnsi="Calibri" w:cs="Calibri"/>
                <w:sz w:val="22"/>
                <w:szCs w:val="22"/>
                <w:lang w:val="en-GB" w:eastAsia="en-GB"/>
              </w:rPr>
              <w:t>96.27</w:t>
            </w:r>
          </w:p>
        </w:tc>
        <w:tc>
          <w:tcPr>
            <w:tcW w:w="741" w:type="dxa"/>
            <w:tcBorders>
              <w:top w:val="nil"/>
              <w:left w:val="nil"/>
              <w:bottom w:val="nil"/>
              <w:right w:val="nil"/>
            </w:tcBorders>
            <w:shd w:val="clear" w:color="auto" w:fill="auto"/>
            <w:noWrap/>
            <w:vAlign w:val="bottom"/>
            <w:hideMark/>
          </w:tcPr>
          <w:p w14:paraId="711ACDA0" w14:textId="77777777" w:rsidR="00536DF1" w:rsidRPr="00BA6959" w:rsidRDefault="00536DF1" w:rsidP="00536DF1">
            <w:pPr>
              <w:spacing w:after="0"/>
              <w:jc w:val="center"/>
              <w:rPr>
                <w:rFonts w:ascii="Calibri" w:hAnsi="Calibri" w:cs="Calibri"/>
                <w:sz w:val="22"/>
                <w:szCs w:val="22"/>
                <w:lang w:val="en-GB" w:eastAsia="en-GB"/>
              </w:rPr>
            </w:pPr>
            <w:r w:rsidRPr="00BA6959">
              <w:rPr>
                <w:rFonts w:ascii="Calibri" w:hAnsi="Calibri" w:cs="Calibri"/>
                <w:sz w:val="22"/>
                <w:szCs w:val="22"/>
                <w:lang w:val="en-GB" w:eastAsia="en-GB"/>
              </w:rPr>
              <w:t>87.20</w:t>
            </w:r>
          </w:p>
        </w:tc>
        <w:tc>
          <w:tcPr>
            <w:tcW w:w="741" w:type="dxa"/>
            <w:tcBorders>
              <w:top w:val="nil"/>
              <w:left w:val="nil"/>
              <w:bottom w:val="nil"/>
              <w:right w:val="nil"/>
            </w:tcBorders>
            <w:shd w:val="clear" w:color="auto" w:fill="auto"/>
            <w:noWrap/>
            <w:vAlign w:val="bottom"/>
            <w:hideMark/>
          </w:tcPr>
          <w:p w14:paraId="2C4F5F06" w14:textId="77777777" w:rsidR="00536DF1" w:rsidRPr="00BA6959" w:rsidRDefault="00536DF1" w:rsidP="00536DF1">
            <w:pPr>
              <w:spacing w:after="0"/>
              <w:jc w:val="center"/>
              <w:rPr>
                <w:rFonts w:ascii="Calibri" w:hAnsi="Calibri" w:cs="Calibri"/>
                <w:sz w:val="22"/>
                <w:szCs w:val="22"/>
                <w:lang w:val="en-GB" w:eastAsia="en-GB"/>
              </w:rPr>
            </w:pPr>
            <w:r w:rsidRPr="00BA6959">
              <w:rPr>
                <w:rFonts w:ascii="Calibri" w:hAnsi="Calibri" w:cs="Calibri"/>
                <w:sz w:val="22"/>
                <w:szCs w:val="22"/>
                <w:lang w:val="en-GB" w:eastAsia="en-GB"/>
              </w:rPr>
              <w:t>0.281</w:t>
            </w:r>
          </w:p>
        </w:tc>
        <w:tc>
          <w:tcPr>
            <w:tcW w:w="262" w:type="dxa"/>
            <w:tcBorders>
              <w:top w:val="nil"/>
              <w:left w:val="nil"/>
              <w:bottom w:val="nil"/>
              <w:right w:val="nil"/>
            </w:tcBorders>
            <w:shd w:val="clear" w:color="auto" w:fill="auto"/>
            <w:noWrap/>
            <w:vAlign w:val="bottom"/>
            <w:hideMark/>
          </w:tcPr>
          <w:p w14:paraId="7BFD323B" w14:textId="77777777" w:rsidR="00536DF1" w:rsidRPr="00BA6959" w:rsidRDefault="00536DF1" w:rsidP="00536DF1">
            <w:pPr>
              <w:spacing w:after="0"/>
              <w:jc w:val="center"/>
              <w:rPr>
                <w:rFonts w:ascii="Calibri" w:hAnsi="Calibri" w:cs="Calibri"/>
                <w:sz w:val="22"/>
                <w:szCs w:val="22"/>
                <w:lang w:val="en-GB" w:eastAsia="en-GB"/>
              </w:rPr>
            </w:pPr>
          </w:p>
        </w:tc>
        <w:tc>
          <w:tcPr>
            <w:tcW w:w="551" w:type="dxa"/>
            <w:tcBorders>
              <w:top w:val="nil"/>
              <w:left w:val="nil"/>
              <w:bottom w:val="nil"/>
              <w:right w:val="nil"/>
            </w:tcBorders>
            <w:shd w:val="clear" w:color="auto" w:fill="auto"/>
            <w:noWrap/>
            <w:vAlign w:val="bottom"/>
            <w:hideMark/>
          </w:tcPr>
          <w:p w14:paraId="3B7D0575" w14:textId="77777777" w:rsidR="00536DF1" w:rsidRPr="00BA6959" w:rsidRDefault="00536DF1" w:rsidP="00536DF1">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191</w:t>
            </w:r>
          </w:p>
        </w:tc>
        <w:tc>
          <w:tcPr>
            <w:tcW w:w="440" w:type="dxa"/>
            <w:tcBorders>
              <w:top w:val="nil"/>
              <w:left w:val="nil"/>
              <w:bottom w:val="nil"/>
              <w:right w:val="nil"/>
            </w:tcBorders>
            <w:shd w:val="clear" w:color="auto" w:fill="auto"/>
            <w:noWrap/>
            <w:vAlign w:val="bottom"/>
            <w:hideMark/>
          </w:tcPr>
          <w:p w14:paraId="46473571" w14:textId="77777777" w:rsidR="00536DF1" w:rsidRPr="00BA6959" w:rsidRDefault="00536DF1" w:rsidP="00536DF1">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30</w:t>
            </w:r>
          </w:p>
        </w:tc>
        <w:tc>
          <w:tcPr>
            <w:tcW w:w="664" w:type="dxa"/>
            <w:tcBorders>
              <w:top w:val="nil"/>
              <w:left w:val="nil"/>
              <w:bottom w:val="nil"/>
              <w:right w:val="nil"/>
            </w:tcBorders>
            <w:shd w:val="clear" w:color="auto" w:fill="auto"/>
            <w:noWrap/>
            <w:vAlign w:val="bottom"/>
            <w:hideMark/>
          </w:tcPr>
          <w:p w14:paraId="34DA0505" w14:textId="77777777" w:rsidR="00536DF1" w:rsidRPr="00BA6959" w:rsidRDefault="00536DF1" w:rsidP="00536DF1">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518</w:t>
            </w:r>
          </w:p>
        </w:tc>
        <w:tc>
          <w:tcPr>
            <w:tcW w:w="664" w:type="dxa"/>
            <w:tcBorders>
              <w:top w:val="nil"/>
              <w:left w:val="nil"/>
              <w:bottom w:val="nil"/>
              <w:right w:val="nil"/>
            </w:tcBorders>
            <w:shd w:val="clear" w:color="auto" w:fill="auto"/>
            <w:noWrap/>
            <w:vAlign w:val="bottom"/>
            <w:hideMark/>
          </w:tcPr>
          <w:p w14:paraId="2AFF69E8" w14:textId="77777777" w:rsidR="00536DF1" w:rsidRPr="00BA6959" w:rsidRDefault="00536DF1" w:rsidP="00536DF1">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1035</w:t>
            </w:r>
          </w:p>
        </w:tc>
        <w:tc>
          <w:tcPr>
            <w:tcW w:w="262" w:type="dxa"/>
            <w:tcBorders>
              <w:top w:val="nil"/>
              <w:left w:val="nil"/>
              <w:bottom w:val="nil"/>
              <w:right w:val="nil"/>
            </w:tcBorders>
            <w:shd w:val="clear" w:color="auto" w:fill="auto"/>
            <w:noWrap/>
            <w:vAlign w:val="bottom"/>
            <w:hideMark/>
          </w:tcPr>
          <w:p w14:paraId="238EC200" w14:textId="77777777" w:rsidR="00536DF1" w:rsidRPr="00BA6959" w:rsidRDefault="00536DF1" w:rsidP="00536DF1">
            <w:pPr>
              <w:spacing w:after="0"/>
              <w:jc w:val="center"/>
              <w:rPr>
                <w:rFonts w:ascii="Calibri" w:hAnsi="Calibri" w:cs="Calibri"/>
                <w:color w:val="000000"/>
                <w:sz w:val="22"/>
                <w:szCs w:val="22"/>
                <w:lang w:val="en-GB" w:eastAsia="en-GB"/>
              </w:rPr>
            </w:pPr>
          </w:p>
        </w:tc>
        <w:tc>
          <w:tcPr>
            <w:tcW w:w="741" w:type="dxa"/>
            <w:tcBorders>
              <w:top w:val="nil"/>
              <w:left w:val="nil"/>
              <w:bottom w:val="nil"/>
              <w:right w:val="nil"/>
            </w:tcBorders>
            <w:shd w:val="clear" w:color="auto" w:fill="auto"/>
            <w:noWrap/>
            <w:vAlign w:val="bottom"/>
            <w:hideMark/>
          </w:tcPr>
          <w:p w14:paraId="36B52FE0" w14:textId="77777777" w:rsidR="00536DF1" w:rsidRPr="00BA6959" w:rsidRDefault="00536DF1" w:rsidP="00536DF1">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86.43</w:t>
            </w:r>
          </w:p>
        </w:tc>
        <w:tc>
          <w:tcPr>
            <w:tcW w:w="741" w:type="dxa"/>
            <w:tcBorders>
              <w:top w:val="nil"/>
              <w:left w:val="nil"/>
              <w:bottom w:val="nil"/>
              <w:right w:val="nil"/>
            </w:tcBorders>
            <w:shd w:val="clear" w:color="auto" w:fill="auto"/>
            <w:noWrap/>
            <w:vAlign w:val="bottom"/>
            <w:hideMark/>
          </w:tcPr>
          <w:p w14:paraId="5FFA6EDA" w14:textId="77777777" w:rsidR="00536DF1" w:rsidRPr="00BA6959" w:rsidRDefault="00536DF1" w:rsidP="00536DF1">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33.35</w:t>
            </w:r>
          </w:p>
        </w:tc>
        <w:tc>
          <w:tcPr>
            <w:tcW w:w="741" w:type="dxa"/>
            <w:tcBorders>
              <w:top w:val="nil"/>
              <w:left w:val="nil"/>
              <w:bottom w:val="nil"/>
              <w:right w:val="nil"/>
            </w:tcBorders>
            <w:shd w:val="clear" w:color="auto" w:fill="auto"/>
            <w:noWrap/>
            <w:vAlign w:val="bottom"/>
            <w:hideMark/>
          </w:tcPr>
          <w:p w14:paraId="257B902B" w14:textId="77777777" w:rsidR="00536DF1" w:rsidRPr="00BA6959" w:rsidRDefault="00536DF1" w:rsidP="00536DF1">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39.97</w:t>
            </w:r>
          </w:p>
        </w:tc>
        <w:tc>
          <w:tcPr>
            <w:tcW w:w="741" w:type="dxa"/>
            <w:tcBorders>
              <w:top w:val="nil"/>
              <w:left w:val="nil"/>
              <w:bottom w:val="nil"/>
              <w:right w:val="nil"/>
            </w:tcBorders>
            <w:shd w:val="clear" w:color="auto" w:fill="auto"/>
            <w:noWrap/>
            <w:vAlign w:val="bottom"/>
            <w:hideMark/>
          </w:tcPr>
          <w:p w14:paraId="1056757A" w14:textId="77777777" w:rsidR="00536DF1" w:rsidRPr="00BA6959" w:rsidRDefault="00536DF1" w:rsidP="00536DF1">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0.084</w:t>
            </w:r>
          </w:p>
        </w:tc>
      </w:tr>
      <w:tr w:rsidR="00536DF1" w:rsidRPr="00BA6959" w14:paraId="22B112E7" w14:textId="77777777" w:rsidTr="00536DF1">
        <w:trPr>
          <w:trHeight w:val="300"/>
        </w:trPr>
        <w:tc>
          <w:tcPr>
            <w:tcW w:w="1474" w:type="dxa"/>
            <w:tcBorders>
              <w:top w:val="nil"/>
              <w:left w:val="nil"/>
              <w:bottom w:val="nil"/>
              <w:right w:val="nil"/>
            </w:tcBorders>
            <w:shd w:val="clear" w:color="auto" w:fill="auto"/>
            <w:noWrap/>
            <w:vAlign w:val="bottom"/>
            <w:hideMark/>
          </w:tcPr>
          <w:p w14:paraId="003103F6" w14:textId="77777777" w:rsidR="00536DF1" w:rsidRPr="00BA6959" w:rsidRDefault="00536DF1" w:rsidP="00536DF1">
            <w:pPr>
              <w:spacing w:after="0"/>
              <w:jc w:val="center"/>
              <w:rPr>
                <w:rFonts w:ascii="Calibri" w:hAnsi="Calibri" w:cs="Calibri"/>
                <w:color w:val="000000"/>
                <w:sz w:val="22"/>
                <w:szCs w:val="22"/>
                <w:lang w:val="en-GB" w:eastAsia="en-GB"/>
              </w:rPr>
            </w:pPr>
          </w:p>
        </w:tc>
        <w:tc>
          <w:tcPr>
            <w:tcW w:w="551" w:type="dxa"/>
            <w:tcBorders>
              <w:top w:val="nil"/>
              <w:left w:val="nil"/>
              <w:bottom w:val="nil"/>
              <w:right w:val="nil"/>
            </w:tcBorders>
            <w:shd w:val="clear" w:color="auto" w:fill="auto"/>
            <w:noWrap/>
            <w:vAlign w:val="bottom"/>
            <w:hideMark/>
          </w:tcPr>
          <w:p w14:paraId="73719E19" w14:textId="77777777" w:rsidR="00536DF1" w:rsidRPr="00BA6959" w:rsidRDefault="00536DF1" w:rsidP="00536DF1">
            <w:pPr>
              <w:spacing w:after="0"/>
              <w:jc w:val="left"/>
              <w:rPr>
                <w:rFonts w:ascii="Times New Roman" w:hAnsi="Times New Roman"/>
                <w:sz w:val="20"/>
                <w:lang w:val="en-GB" w:eastAsia="en-GB"/>
              </w:rPr>
            </w:pPr>
          </w:p>
        </w:tc>
        <w:tc>
          <w:tcPr>
            <w:tcW w:w="551" w:type="dxa"/>
            <w:tcBorders>
              <w:top w:val="nil"/>
              <w:left w:val="nil"/>
              <w:bottom w:val="nil"/>
              <w:right w:val="nil"/>
            </w:tcBorders>
            <w:shd w:val="clear" w:color="auto" w:fill="auto"/>
            <w:noWrap/>
            <w:vAlign w:val="bottom"/>
            <w:hideMark/>
          </w:tcPr>
          <w:p w14:paraId="68CB2BF4" w14:textId="77777777" w:rsidR="00536DF1" w:rsidRPr="00BA6959" w:rsidRDefault="00536DF1" w:rsidP="00536DF1">
            <w:pPr>
              <w:spacing w:after="0"/>
              <w:jc w:val="center"/>
              <w:rPr>
                <w:rFonts w:ascii="Times New Roman" w:hAnsi="Times New Roman"/>
                <w:sz w:val="20"/>
                <w:lang w:val="en-GB" w:eastAsia="en-GB"/>
              </w:rPr>
            </w:pPr>
          </w:p>
        </w:tc>
        <w:tc>
          <w:tcPr>
            <w:tcW w:w="664" w:type="dxa"/>
            <w:tcBorders>
              <w:top w:val="nil"/>
              <w:left w:val="nil"/>
              <w:bottom w:val="nil"/>
              <w:right w:val="nil"/>
            </w:tcBorders>
            <w:shd w:val="clear" w:color="auto" w:fill="auto"/>
            <w:noWrap/>
            <w:vAlign w:val="bottom"/>
            <w:hideMark/>
          </w:tcPr>
          <w:p w14:paraId="55621611" w14:textId="77777777" w:rsidR="00536DF1" w:rsidRPr="00BA6959" w:rsidRDefault="00536DF1" w:rsidP="00536DF1">
            <w:pPr>
              <w:spacing w:after="0"/>
              <w:jc w:val="center"/>
              <w:rPr>
                <w:rFonts w:ascii="Times New Roman" w:hAnsi="Times New Roman"/>
                <w:sz w:val="20"/>
                <w:lang w:val="en-GB" w:eastAsia="en-GB"/>
              </w:rPr>
            </w:pPr>
          </w:p>
        </w:tc>
        <w:tc>
          <w:tcPr>
            <w:tcW w:w="551" w:type="dxa"/>
            <w:tcBorders>
              <w:top w:val="nil"/>
              <w:left w:val="nil"/>
              <w:bottom w:val="nil"/>
              <w:right w:val="nil"/>
            </w:tcBorders>
            <w:shd w:val="clear" w:color="auto" w:fill="auto"/>
            <w:noWrap/>
            <w:vAlign w:val="bottom"/>
            <w:hideMark/>
          </w:tcPr>
          <w:p w14:paraId="2EF56FA1" w14:textId="77777777" w:rsidR="00536DF1" w:rsidRPr="00BA6959" w:rsidRDefault="00536DF1" w:rsidP="00536DF1">
            <w:pPr>
              <w:spacing w:after="0"/>
              <w:jc w:val="center"/>
              <w:rPr>
                <w:rFonts w:ascii="Times New Roman" w:hAnsi="Times New Roman"/>
                <w:sz w:val="20"/>
                <w:lang w:val="en-GB" w:eastAsia="en-GB"/>
              </w:rPr>
            </w:pPr>
          </w:p>
        </w:tc>
        <w:tc>
          <w:tcPr>
            <w:tcW w:w="262" w:type="dxa"/>
            <w:tcBorders>
              <w:top w:val="nil"/>
              <w:left w:val="nil"/>
              <w:bottom w:val="nil"/>
              <w:right w:val="nil"/>
            </w:tcBorders>
            <w:shd w:val="clear" w:color="auto" w:fill="auto"/>
            <w:noWrap/>
            <w:vAlign w:val="bottom"/>
            <w:hideMark/>
          </w:tcPr>
          <w:p w14:paraId="18C84B15" w14:textId="77777777" w:rsidR="00536DF1" w:rsidRPr="00BA6959" w:rsidRDefault="00536DF1" w:rsidP="00536DF1">
            <w:pPr>
              <w:spacing w:after="0"/>
              <w:jc w:val="center"/>
              <w:rPr>
                <w:rFonts w:ascii="Times New Roman" w:hAnsi="Times New Roman"/>
                <w:sz w:val="20"/>
                <w:lang w:val="en-GB" w:eastAsia="en-GB"/>
              </w:rPr>
            </w:pPr>
          </w:p>
        </w:tc>
        <w:tc>
          <w:tcPr>
            <w:tcW w:w="741" w:type="dxa"/>
            <w:tcBorders>
              <w:top w:val="nil"/>
              <w:left w:val="nil"/>
              <w:bottom w:val="nil"/>
              <w:right w:val="nil"/>
            </w:tcBorders>
            <w:shd w:val="clear" w:color="auto" w:fill="auto"/>
            <w:noWrap/>
            <w:vAlign w:val="bottom"/>
            <w:hideMark/>
          </w:tcPr>
          <w:p w14:paraId="56F52511" w14:textId="77777777" w:rsidR="00536DF1" w:rsidRPr="00BA6959" w:rsidRDefault="00536DF1" w:rsidP="00536DF1">
            <w:pPr>
              <w:spacing w:after="0"/>
              <w:jc w:val="center"/>
              <w:rPr>
                <w:rFonts w:ascii="Times New Roman" w:hAnsi="Times New Roman"/>
                <w:sz w:val="20"/>
                <w:lang w:val="en-GB" w:eastAsia="en-GB"/>
              </w:rPr>
            </w:pPr>
          </w:p>
        </w:tc>
        <w:tc>
          <w:tcPr>
            <w:tcW w:w="741" w:type="dxa"/>
            <w:tcBorders>
              <w:top w:val="nil"/>
              <w:left w:val="nil"/>
              <w:bottom w:val="nil"/>
              <w:right w:val="nil"/>
            </w:tcBorders>
            <w:shd w:val="clear" w:color="auto" w:fill="auto"/>
            <w:noWrap/>
            <w:vAlign w:val="bottom"/>
            <w:hideMark/>
          </w:tcPr>
          <w:p w14:paraId="159BDF1C" w14:textId="77777777" w:rsidR="00536DF1" w:rsidRPr="00BA6959" w:rsidRDefault="00536DF1" w:rsidP="00536DF1">
            <w:pPr>
              <w:spacing w:after="0"/>
              <w:jc w:val="center"/>
              <w:rPr>
                <w:rFonts w:ascii="Times New Roman" w:hAnsi="Times New Roman"/>
                <w:sz w:val="20"/>
                <w:lang w:val="en-GB" w:eastAsia="en-GB"/>
              </w:rPr>
            </w:pPr>
          </w:p>
        </w:tc>
        <w:tc>
          <w:tcPr>
            <w:tcW w:w="741" w:type="dxa"/>
            <w:tcBorders>
              <w:top w:val="nil"/>
              <w:left w:val="nil"/>
              <w:bottom w:val="nil"/>
              <w:right w:val="nil"/>
            </w:tcBorders>
            <w:shd w:val="clear" w:color="auto" w:fill="auto"/>
            <w:noWrap/>
            <w:vAlign w:val="bottom"/>
            <w:hideMark/>
          </w:tcPr>
          <w:p w14:paraId="17CAF829" w14:textId="77777777" w:rsidR="00536DF1" w:rsidRPr="00BA6959" w:rsidRDefault="00536DF1" w:rsidP="00536DF1">
            <w:pPr>
              <w:spacing w:after="0"/>
              <w:jc w:val="center"/>
              <w:rPr>
                <w:rFonts w:ascii="Times New Roman" w:hAnsi="Times New Roman"/>
                <w:sz w:val="20"/>
                <w:lang w:val="en-GB" w:eastAsia="en-GB"/>
              </w:rPr>
            </w:pPr>
          </w:p>
        </w:tc>
        <w:tc>
          <w:tcPr>
            <w:tcW w:w="741" w:type="dxa"/>
            <w:tcBorders>
              <w:top w:val="nil"/>
              <w:left w:val="nil"/>
              <w:bottom w:val="nil"/>
              <w:right w:val="nil"/>
            </w:tcBorders>
            <w:shd w:val="clear" w:color="auto" w:fill="auto"/>
            <w:noWrap/>
            <w:vAlign w:val="bottom"/>
            <w:hideMark/>
          </w:tcPr>
          <w:p w14:paraId="609EFF34" w14:textId="77777777" w:rsidR="00536DF1" w:rsidRPr="00BA6959" w:rsidRDefault="00536DF1" w:rsidP="00536DF1">
            <w:pPr>
              <w:spacing w:after="0"/>
              <w:jc w:val="center"/>
              <w:rPr>
                <w:rFonts w:ascii="Times New Roman" w:hAnsi="Times New Roman"/>
                <w:sz w:val="20"/>
                <w:lang w:val="en-GB" w:eastAsia="en-GB"/>
              </w:rPr>
            </w:pPr>
          </w:p>
        </w:tc>
        <w:tc>
          <w:tcPr>
            <w:tcW w:w="262" w:type="dxa"/>
            <w:tcBorders>
              <w:top w:val="nil"/>
              <w:left w:val="nil"/>
              <w:bottom w:val="nil"/>
              <w:right w:val="nil"/>
            </w:tcBorders>
            <w:shd w:val="clear" w:color="auto" w:fill="auto"/>
            <w:noWrap/>
            <w:vAlign w:val="bottom"/>
            <w:hideMark/>
          </w:tcPr>
          <w:p w14:paraId="4EB16494" w14:textId="77777777" w:rsidR="00536DF1" w:rsidRPr="00BA6959" w:rsidRDefault="00536DF1" w:rsidP="00536DF1">
            <w:pPr>
              <w:spacing w:after="0"/>
              <w:jc w:val="center"/>
              <w:rPr>
                <w:rFonts w:ascii="Times New Roman" w:hAnsi="Times New Roman"/>
                <w:sz w:val="20"/>
                <w:lang w:val="en-GB" w:eastAsia="en-GB"/>
              </w:rPr>
            </w:pPr>
          </w:p>
        </w:tc>
        <w:tc>
          <w:tcPr>
            <w:tcW w:w="551" w:type="dxa"/>
            <w:tcBorders>
              <w:top w:val="nil"/>
              <w:left w:val="nil"/>
              <w:bottom w:val="nil"/>
              <w:right w:val="nil"/>
            </w:tcBorders>
            <w:shd w:val="clear" w:color="auto" w:fill="auto"/>
            <w:noWrap/>
            <w:vAlign w:val="bottom"/>
            <w:hideMark/>
          </w:tcPr>
          <w:p w14:paraId="066C50D2" w14:textId="77777777" w:rsidR="00536DF1" w:rsidRPr="00BA6959" w:rsidRDefault="00536DF1" w:rsidP="00536DF1">
            <w:pPr>
              <w:spacing w:after="0"/>
              <w:jc w:val="center"/>
              <w:rPr>
                <w:rFonts w:ascii="Times New Roman" w:hAnsi="Times New Roman"/>
                <w:sz w:val="20"/>
                <w:lang w:val="en-GB" w:eastAsia="en-GB"/>
              </w:rPr>
            </w:pPr>
          </w:p>
        </w:tc>
        <w:tc>
          <w:tcPr>
            <w:tcW w:w="440" w:type="dxa"/>
            <w:tcBorders>
              <w:top w:val="nil"/>
              <w:left w:val="nil"/>
              <w:bottom w:val="nil"/>
              <w:right w:val="nil"/>
            </w:tcBorders>
            <w:shd w:val="clear" w:color="auto" w:fill="auto"/>
            <w:noWrap/>
            <w:vAlign w:val="bottom"/>
            <w:hideMark/>
          </w:tcPr>
          <w:p w14:paraId="04652D9B" w14:textId="77777777" w:rsidR="00536DF1" w:rsidRPr="00BA6959" w:rsidRDefault="00536DF1" w:rsidP="00536DF1">
            <w:pPr>
              <w:spacing w:after="0"/>
              <w:jc w:val="center"/>
              <w:rPr>
                <w:rFonts w:ascii="Times New Roman" w:hAnsi="Times New Roman"/>
                <w:sz w:val="20"/>
                <w:lang w:val="en-GB" w:eastAsia="en-GB"/>
              </w:rPr>
            </w:pPr>
          </w:p>
        </w:tc>
        <w:tc>
          <w:tcPr>
            <w:tcW w:w="664" w:type="dxa"/>
            <w:tcBorders>
              <w:top w:val="nil"/>
              <w:left w:val="nil"/>
              <w:bottom w:val="nil"/>
              <w:right w:val="nil"/>
            </w:tcBorders>
            <w:shd w:val="clear" w:color="auto" w:fill="auto"/>
            <w:noWrap/>
            <w:vAlign w:val="bottom"/>
            <w:hideMark/>
          </w:tcPr>
          <w:p w14:paraId="38935851" w14:textId="77777777" w:rsidR="00536DF1" w:rsidRPr="00BA6959" w:rsidRDefault="00536DF1" w:rsidP="00536DF1">
            <w:pPr>
              <w:spacing w:after="0"/>
              <w:jc w:val="center"/>
              <w:rPr>
                <w:rFonts w:ascii="Times New Roman" w:hAnsi="Times New Roman"/>
                <w:sz w:val="20"/>
                <w:lang w:val="en-GB" w:eastAsia="en-GB"/>
              </w:rPr>
            </w:pPr>
          </w:p>
        </w:tc>
        <w:tc>
          <w:tcPr>
            <w:tcW w:w="664" w:type="dxa"/>
            <w:tcBorders>
              <w:top w:val="nil"/>
              <w:left w:val="nil"/>
              <w:bottom w:val="nil"/>
              <w:right w:val="nil"/>
            </w:tcBorders>
            <w:shd w:val="clear" w:color="auto" w:fill="auto"/>
            <w:noWrap/>
            <w:vAlign w:val="bottom"/>
            <w:hideMark/>
          </w:tcPr>
          <w:p w14:paraId="07B0006F" w14:textId="77777777" w:rsidR="00536DF1" w:rsidRPr="00BA6959" w:rsidRDefault="00536DF1" w:rsidP="00536DF1">
            <w:pPr>
              <w:spacing w:after="0"/>
              <w:jc w:val="center"/>
              <w:rPr>
                <w:rFonts w:ascii="Times New Roman" w:hAnsi="Times New Roman"/>
                <w:sz w:val="20"/>
                <w:lang w:val="en-GB" w:eastAsia="en-GB"/>
              </w:rPr>
            </w:pPr>
          </w:p>
        </w:tc>
        <w:tc>
          <w:tcPr>
            <w:tcW w:w="262" w:type="dxa"/>
            <w:tcBorders>
              <w:top w:val="nil"/>
              <w:left w:val="nil"/>
              <w:bottom w:val="nil"/>
              <w:right w:val="nil"/>
            </w:tcBorders>
            <w:shd w:val="clear" w:color="auto" w:fill="auto"/>
            <w:noWrap/>
            <w:vAlign w:val="bottom"/>
            <w:hideMark/>
          </w:tcPr>
          <w:p w14:paraId="060D501C" w14:textId="77777777" w:rsidR="00536DF1" w:rsidRPr="00BA6959" w:rsidRDefault="00536DF1" w:rsidP="00536DF1">
            <w:pPr>
              <w:spacing w:after="0"/>
              <w:jc w:val="center"/>
              <w:rPr>
                <w:rFonts w:ascii="Times New Roman" w:hAnsi="Times New Roman"/>
                <w:sz w:val="20"/>
                <w:lang w:val="en-GB" w:eastAsia="en-GB"/>
              </w:rPr>
            </w:pPr>
          </w:p>
        </w:tc>
        <w:tc>
          <w:tcPr>
            <w:tcW w:w="741" w:type="dxa"/>
            <w:tcBorders>
              <w:top w:val="nil"/>
              <w:left w:val="nil"/>
              <w:bottom w:val="nil"/>
              <w:right w:val="nil"/>
            </w:tcBorders>
            <w:shd w:val="clear" w:color="auto" w:fill="auto"/>
            <w:noWrap/>
            <w:vAlign w:val="bottom"/>
            <w:hideMark/>
          </w:tcPr>
          <w:p w14:paraId="47C6F4F9" w14:textId="77777777" w:rsidR="00536DF1" w:rsidRPr="00BA6959" w:rsidRDefault="00536DF1" w:rsidP="00536DF1">
            <w:pPr>
              <w:spacing w:after="0"/>
              <w:jc w:val="center"/>
              <w:rPr>
                <w:rFonts w:ascii="Times New Roman" w:hAnsi="Times New Roman"/>
                <w:sz w:val="20"/>
                <w:lang w:val="en-GB" w:eastAsia="en-GB"/>
              </w:rPr>
            </w:pPr>
          </w:p>
        </w:tc>
        <w:tc>
          <w:tcPr>
            <w:tcW w:w="741" w:type="dxa"/>
            <w:tcBorders>
              <w:top w:val="nil"/>
              <w:left w:val="nil"/>
              <w:bottom w:val="nil"/>
              <w:right w:val="nil"/>
            </w:tcBorders>
            <w:shd w:val="clear" w:color="auto" w:fill="auto"/>
            <w:noWrap/>
            <w:vAlign w:val="bottom"/>
            <w:hideMark/>
          </w:tcPr>
          <w:p w14:paraId="36B0D424" w14:textId="77777777" w:rsidR="00536DF1" w:rsidRPr="00BA6959" w:rsidRDefault="00536DF1" w:rsidP="00536DF1">
            <w:pPr>
              <w:spacing w:after="0"/>
              <w:jc w:val="center"/>
              <w:rPr>
                <w:rFonts w:ascii="Times New Roman" w:hAnsi="Times New Roman"/>
                <w:sz w:val="20"/>
                <w:lang w:val="en-GB" w:eastAsia="en-GB"/>
              </w:rPr>
            </w:pPr>
          </w:p>
        </w:tc>
        <w:tc>
          <w:tcPr>
            <w:tcW w:w="741" w:type="dxa"/>
            <w:tcBorders>
              <w:top w:val="nil"/>
              <w:left w:val="nil"/>
              <w:bottom w:val="nil"/>
              <w:right w:val="nil"/>
            </w:tcBorders>
            <w:shd w:val="clear" w:color="auto" w:fill="auto"/>
            <w:noWrap/>
            <w:vAlign w:val="bottom"/>
            <w:hideMark/>
          </w:tcPr>
          <w:p w14:paraId="38C74132" w14:textId="77777777" w:rsidR="00536DF1" w:rsidRPr="00BA6959" w:rsidRDefault="00536DF1" w:rsidP="00536DF1">
            <w:pPr>
              <w:spacing w:after="0"/>
              <w:jc w:val="center"/>
              <w:rPr>
                <w:rFonts w:ascii="Times New Roman" w:hAnsi="Times New Roman"/>
                <w:sz w:val="20"/>
                <w:lang w:val="en-GB" w:eastAsia="en-GB"/>
              </w:rPr>
            </w:pPr>
          </w:p>
        </w:tc>
        <w:tc>
          <w:tcPr>
            <w:tcW w:w="741" w:type="dxa"/>
            <w:tcBorders>
              <w:top w:val="nil"/>
              <w:left w:val="nil"/>
              <w:bottom w:val="nil"/>
              <w:right w:val="nil"/>
            </w:tcBorders>
            <w:shd w:val="clear" w:color="auto" w:fill="auto"/>
            <w:noWrap/>
            <w:vAlign w:val="bottom"/>
            <w:hideMark/>
          </w:tcPr>
          <w:p w14:paraId="4F1CE604" w14:textId="77777777" w:rsidR="00536DF1" w:rsidRPr="00BA6959" w:rsidRDefault="00536DF1" w:rsidP="00536DF1">
            <w:pPr>
              <w:spacing w:after="0"/>
              <w:jc w:val="center"/>
              <w:rPr>
                <w:rFonts w:ascii="Times New Roman" w:hAnsi="Times New Roman"/>
                <w:sz w:val="20"/>
                <w:lang w:val="en-GB" w:eastAsia="en-GB"/>
              </w:rPr>
            </w:pPr>
          </w:p>
        </w:tc>
      </w:tr>
      <w:tr w:rsidR="00536DF1" w:rsidRPr="00BA6959" w14:paraId="0AC6482F" w14:textId="77777777" w:rsidTr="00536DF1">
        <w:trPr>
          <w:trHeight w:val="300"/>
        </w:trPr>
        <w:tc>
          <w:tcPr>
            <w:tcW w:w="1474" w:type="dxa"/>
            <w:tcBorders>
              <w:top w:val="nil"/>
              <w:left w:val="nil"/>
              <w:bottom w:val="nil"/>
              <w:right w:val="nil"/>
            </w:tcBorders>
            <w:shd w:val="clear" w:color="auto" w:fill="auto"/>
            <w:noWrap/>
            <w:vAlign w:val="bottom"/>
            <w:hideMark/>
          </w:tcPr>
          <w:p w14:paraId="7E2EED86" w14:textId="77777777" w:rsidR="00536DF1" w:rsidRPr="00BA6959" w:rsidRDefault="00536DF1" w:rsidP="00536DF1">
            <w:pPr>
              <w:spacing w:after="0"/>
              <w:jc w:val="left"/>
              <w:rPr>
                <w:rFonts w:ascii="Calibri" w:hAnsi="Calibri" w:cs="Calibri"/>
                <w:color w:val="000000"/>
                <w:sz w:val="20"/>
                <w:lang w:val="en-GB" w:eastAsia="en-GB"/>
              </w:rPr>
            </w:pPr>
            <w:r w:rsidRPr="00BA6959">
              <w:rPr>
                <w:rFonts w:ascii="Calibri" w:hAnsi="Calibri" w:cs="Calibri"/>
                <w:color w:val="000000"/>
                <w:sz w:val="20"/>
                <w:lang w:val="en-GB" w:eastAsia="en-GB"/>
              </w:rPr>
              <w:t>GR Training Set</w:t>
            </w:r>
          </w:p>
        </w:tc>
        <w:tc>
          <w:tcPr>
            <w:tcW w:w="551" w:type="dxa"/>
            <w:tcBorders>
              <w:top w:val="nil"/>
              <w:left w:val="nil"/>
              <w:bottom w:val="nil"/>
              <w:right w:val="nil"/>
            </w:tcBorders>
            <w:shd w:val="clear" w:color="auto" w:fill="auto"/>
            <w:noWrap/>
            <w:vAlign w:val="bottom"/>
            <w:hideMark/>
          </w:tcPr>
          <w:p w14:paraId="695B2410" w14:textId="77777777" w:rsidR="00536DF1" w:rsidRPr="00BA6959" w:rsidRDefault="00536DF1" w:rsidP="00536DF1">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96</w:t>
            </w:r>
          </w:p>
        </w:tc>
        <w:tc>
          <w:tcPr>
            <w:tcW w:w="551" w:type="dxa"/>
            <w:tcBorders>
              <w:top w:val="nil"/>
              <w:left w:val="nil"/>
              <w:bottom w:val="nil"/>
              <w:right w:val="nil"/>
            </w:tcBorders>
            <w:shd w:val="clear" w:color="auto" w:fill="auto"/>
            <w:noWrap/>
            <w:vAlign w:val="bottom"/>
            <w:hideMark/>
          </w:tcPr>
          <w:p w14:paraId="688379B7" w14:textId="77777777" w:rsidR="00536DF1" w:rsidRPr="00BA6959" w:rsidRDefault="00536DF1" w:rsidP="00536DF1">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153</w:t>
            </w:r>
          </w:p>
        </w:tc>
        <w:tc>
          <w:tcPr>
            <w:tcW w:w="664" w:type="dxa"/>
            <w:tcBorders>
              <w:top w:val="nil"/>
              <w:left w:val="nil"/>
              <w:bottom w:val="nil"/>
              <w:right w:val="nil"/>
            </w:tcBorders>
            <w:shd w:val="clear" w:color="auto" w:fill="auto"/>
            <w:noWrap/>
            <w:vAlign w:val="bottom"/>
            <w:hideMark/>
          </w:tcPr>
          <w:p w14:paraId="16E13DA5" w14:textId="77777777" w:rsidR="00536DF1" w:rsidRPr="00BA6959" w:rsidRDefault="00536DF1" w:rsidP="00536DF1">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5213</w:t>
            </w:r>
          </w:p>
        </w:tc>
        <w:tc>
          <w:tcPr>
            <w:tcW w:w="551" w:type="dxa"/>
            <w:tcBorders>
              <w:top w:val="nil"/>
              <w:left w:val="nil"/>
              <w:bottom w:val="nil"/>
              <w:right w:val="nil"/>
            </w:tcBorders>
            <w:shd w:val="clear" w:color="auto" w:fill="auto"/>
            <w:noWrap/>
            <w:vAlign w:val="bottom"/>
            <w:hideMark/>
          </w:tcPr>
          <w:p w14:paraId="5A06A673" w14:textId="77777777" w:rsidR="00536DF1" w:rsidRPr="00BA6959" w:rsidRDefault="00536DF1" w:rsidP="00536DF1">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14</w:t>
            </w:r>
          </w:p>
        </w:tc>
        <w:tc>
          <w:tcPr>
            <w:tcW w:w="262" w:type="dxa"/>
            <w:tcBorders>
              <w:top w:val="nil"/>
              <w:left w:val="nil"/>
              <w:bottom w:val="nil"/>
              <w:right w:val="nil"/>
            </w:tcBorders>
            <w:shd w:val="clear" w:color="auto" w:fill="auto"/>
            <w:noWrap/>
            <w:vAlign w:val="bottom"/>
            <w:hideMark/>
          </w:tcPr>
          <w:p w14:paraId="4C2C7CDE" w14:textId="77777777" w:rsidR="00536DF1" w:rsidRPr="00BA6959" w:rsidRDefault="00536DF1" w:rsidP="00536DF1">
            <w:pPr>
              <w:spacing w:after="0"/>
              <w:jc w:val="center"/>
              <w:rPr>
                <w:rFonts w:ascii="Calibri" w:hAnsi="Calibri" w:cs="Calibri"/>
                <w:color w:val="000000"/>
                <w:sz w:val="22"/>
                <w:szCs w:val="22"/>
                <w:lang w:val="en-GB" w:eastAsia="en-GB"/>
              </w:rPr>
            </w:pPr>
          </w:p>
        </w:tc>
        <w:tc>
          <w:tcPr>
            <w:tcW w:w="741" w:type="dxa"/>
            <w:tcBorders>
              <w:top w:val="nil"/>
              <w:left w:val="nil"/>
              <w:bottom w:val="nil"/>
              <w:right w:val="nil"/>
            </w:tcBorders>
            <w:shd w:val="clear" w:color="auto" w:fill="auto"/>
            <w:noWrap/>
            <w:vAlign w:val="bottom"/>
            <w:hideMark/>
          </w:tcPr>
          <w:p w14:paraId="61BF2A7C" w14:textId="77777777" w:rsidR="00536DF1" w:rsidRPr="00BA6959" w:rsidRDefault="00536DF1" w:rsidP="00536DF1">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38.55</w:t>
            </w:r>
          </w:p>
        </w:tc>
        <w:tc>
          <w:tcPr>
            <w:tcW w:w="741" w:type="dxa"/>
            <w:tcBorders>
              <w:top w:val="nil"/>
              <w:left w:val="nil"/>
              <w:bottom w:val="nil"/>
              <w:right w:val="nil"/>
            </w:tcBorders>
            <w:shd w:val="clear" w:color="auto" w:fill="auto"/>
            <w:noWrap/>
            <w:vAlign w:val="bottom"/>
            <w:hideMark/>
          </w:tcPr>
          <w:p w14:paraId="7DCDCF14" w14:textId="77777777" w:rsidR="00536DF1" w:rsidRPr="00BA6959" w:rsidRDefault="00536DF1" w:rsidP="00536DF1">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99.73</w:t>
            </w:r>
          </w:p>
        </w:tc>
        <w:tc>
          <w:tcPr>
            <w:tcW w:w="741" w:type="dxa"/>
            <w:tcBorders>
              <w:top w:val="nil"/>
              <w:left w:val="nil"/>
              <w:bottom w:val="nil"/>
              <w:right w:val="nil"/>
            </w:tcBorders>
            <w:shd w:val="clear" w:color="auto" w:fill="auto"/>
            <w:noWrap/>
            <w:vAlign w:val="bottom"/>
            <w:hideMark/>
          </w:tcPr>
          <w:p w14:paraId="5B8E3204" w14:textId="77777777" w:rsidR="00536DF1" w:rsidRPr="00BA6959" w:rsidRDefault="00536DF1" w:rsidP="00536DF1">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96.95</w:t>
            </w:r>
          </w:p>
        </w:tc>
        <w:tc>
          <w:tcPr>
            <w:tcW w:w="741" w:type="dxa"/>
            <w:tcBorders>
              <w:top w:val="nil"/>
              <w:left w:val="nil"/>
              <w:bottom w:val="nil"/>
              <w:right w:val="nil"/>
            </w:tcBorders>
            <w:shd w:val="clear" w:color="auto" w:fill="auto"/>
            <w:noWrap/>
            <w:vAlign w:val="bottom"/>
            <w:hideMark/>
          </w:tcPr>
          <w:p w14:paraId="7921B81D" w14:textId="77777777" w:rsidR="00536DF1" w:rsidRPr="00BA6959" w:rsidRDefault="00536DF1" w:rsidP="00536DF1">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0.576</w:t>
            </w:r>
          </w:p>
        </w:tc>
        <w:tc>
          <w:tcPr>
            <w:tcW w:w="262" w:type="dxa"/>
            <w:tcBorders>
              <w:top w:val="nil"/>
              <w:left w:val="nil"/>
              <w:bottom w:val="nil"/>
              <w:right w:val="nil"/>
            </w:tcBorders>
            <w:shd w:val="clear" w:color="auto" w:fill="auto"/>
            <w:noWrap/>
            <w:vAlign w:val="bottom"/>
            <w:hideMark/>
          </w:tcPr>
          <w:p w14:paraId="1DA1299F" w14:textId="77777777" w:rsidR="00536DF1" w:rsidRPr="00BA6959" w:rsidRDefault="00536DF1" w:rsidP="00536DF1">
            <w:pPr>
              <w:spacing w:after="0"/>
              <w:jc w:val="center"/>
              <w:rPr>
                <w:rFonts w:ascii="Calibri" w:hAnsi="Calibri" w:cs="Calibri"/>
                <w:color w:val="000000"/>
                <w:sz w:val="22"/>
                <w:szCs w:val="22"/>
                <w:lang w:val="en-GB" w:eastAsia="en-GB"/>
              </w:rPr>
            </w:pPr>
          </w:p>
        </w:tc>
        <w:tc>
          <w:tcPr>
            <w:tcW w:w="551" w:type="dxa"/>
            <w:tcBorders>
              <w:top w:val="nil"/>
              <w:left w:val="nil"/>
              <w:bottom w:val="nil"/>
              <w:right w:val="nil"/>
            </w:tcBorders>
            <w:shd w:val="clear" w:color="auto" w:fill="auto"/>
            <w:noWrap/>
            <w:vAlign w:val="bottom"/>
            <w:hideMark/>
          </w:tcPr>
          <w:p w14:paraId="4AC6809E" w14:textId="77777777" w:rsidR="00536DF1" w:rsidRPr="00BA6959" w:rsidRDefault="00536DF1" w:rsidP="00536DF1">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194</w:t>
            </w:r>
          </w:p>
        </w:tc>
        <w:tc>
          <w:tcPr>
            <w:tcW w:w="440" w:type="dxa"/>
            <w:tcBorders>
              <w:top w:val="nil"/>
              <w:left w:val="nil"/>
              <w:bottom w:val="nil"/>
              <w:right w:val="nil"/>
            </w:tcBorders>
            <w:shd w:val="clear" w:color="auto" w:fill="auto"/>
            <w:noWrap/>
            <w:vAlign w:val="bottom"/>
            <w:hideMark/>
          </w:tcPr>
          <w:p w14:paraId="3C410EA8" w14:textId="77777777" w:rsidR="00536DF1" w:rsidRPr="00BA6959" w:rsidRDefault="00536DF1" w:rsidP="00536DF1">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55</w:t>
            </w:r>
          </w:p>
        </w:tc>
        <w:tc>
          <w:tcPr>
            <w:tcW w:w="664" w:type="dxa"/>
            <w:tcBorders>
              <w:top w:val="nil"/>
              <w:left w:val="nil"/>
              <w:bottom w:val="nil"/>
              <w:right w:val="nil"/>
            </w:tcBorders>
            <w:shd w:val="clear" w:color="auto" w:fill="auto"/>
            <w:noWrap/>
            <w:vAlign w:val="bottom"/>
            <w:hideMark/>
          </w:tcPr>
          <w:p w14:paraId="26DC1408" w14:textId="77777777" w:rsidR="00536DF1" w:rsidRPr="00BA6959" w:rsidRDefault="00536DF1" w:rsidP="00536DF1">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4669</w:t>
            </w:r>
          </w:p>
        </w:tc>
        <w:tc>
          <w:tcPr>
            <w:tcW w:w="664" w:type="dxa"/>
            <w:tcBorders>
              <w:top w:val="nil"/>
              <w:left w:val="nil"/>
              <w:bottom w:val="nil"/>
              <w:right w:val="nil"/>
            </w:tcBorders>
            <w:shd w:val="clear" w:color="auto" w:fill="auto"/>
            <w:noWrap/>
            <w:vAlign w:val="bottom"/>
            <w:hideMark/>
          </w:tcPr>
          <w:p w14:paraId="63F937F1" w14:textId="77777777" w:rsidR="00536DF1" w:rsidRPr="00BA6959" w:rsidRDefault="00536DF1" w:rsidP="00536DF1">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558</w:t>
            </w:r>
          </w:p>
        </w:tc>
        <w:tc>
          <w:tcPr>
            <w:tcW w:w="262" w:type="dxa"/>
            <w:tcBorders>
              <w:top w:val="nil"/>
              <w:left w:val="nil"/>
              <w:bottom w:val="nil"/>
              <w:right w:val="nil"/>
            </w:tcBorders>
            <w:shd w:val="clear" w:color="auto" w:fill="auto"/>
            <w:noWrap/>
            <w:vAlign w:val="bottom"/>
            <w:hideMark/>
          </w:tcPr>
          <w:p w14:paraId="6AE40BDD" w14:textId="77777777" w:rsidR="00536DF1" w:rsidRPr="00BA6959" w:rsidRDefault="00536DF1" w:rsidP="00536DF1">
            <w:pPr>
              <w:spacing w:after="0"/>
              <w:jc w:val="center"/>
              <w:rPr>
                <w:rFonts w:ascii="Calibri" w:hAnsi="Calibri" w:cs="Calibri"/>
                <w:color w:val="000000"/>
                <w:sz w:val="22"/>
                <w:szCs w:val="22"/>
                <w:lang w:val="en-GB" w:eastAsia="en-GB"/>
              </w:rPr>
            </w:pPr>
          </w:p>
        </w:tc>
        <w:tc>
          <w:tcPr>
            <w:tcW w:w="741" w:type="dxa"/>
            <w:tcBorders>
              <w:top w:val="nil"/>
              <w:left w:val="nil"/>
              <w:bottom w:val="nil"/>
              <w:right w:val="nil"/>
            </w:tcBorders>
            <w:shd w:val="clear" w:color="auto" w:fill="auto"/>
            <w:noWrap/>
            <w:vAlign w:val="bottom"/>
            <w:hideMark/>
          </w:tcPr>
          <w:p w14:paraId="49A80C07" w14:textId="77777777" w:rsidR="00536DF1" w:rsidRPr="00BA6959" w:rsidRDefault="00536DF1" w:rsidP="00536DF1">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77.91</w:t>
            </w:r>
          </w:p>
        </w:tc>
        <w:tc>
          <w:tcPr>
            <w:tcW w:w="741" w:type="dxa"/>
            <w:tcBorders>
              <w:top w:val="nil"/>
              <w:left w:val="nil"/>
              <w:bottom w:val="nil"/>
              <w:right w:val="nil"/>
            </w:tcBorders>
            <w:shd w:val="clear" w:color="auto" w:fill="auto"/>
            <w:noWrap/>
            <w:vAlign w:val="bottom"/>
            <w:hideMark/>
          </w:tcPr>
          <w:p w14:paraId="4EE2545D" w14:textId="77777777" w:rsidR="00536DF1" w:rsidRPr="00BA6959" w:rsidRDefault="00536DF1" w:rsidP="00536DF1">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89.32</w:t>
            </w:r>
          </w:p>
        </w:tc>
        <w:tc>
          <w:tcPr>
            <w:tcW w:w="741" w:type="dxa"/>
            <w:tcBorders>
              <w:top w:val="nil"/>
              <w:left w:val="nil"/>
              <w:bottom w:val="nil"/>
              <w:right w:val="nil"/>
            </w:tcBorders>
            <w:shd w:val="clear" w:color="auto" w:fill="auto"/>
            <w:noWrap/>
            <w:vAlign w:val="bottom"/>
            <w:hideMark/>
          </w:tcPr>
          <w:p w14:paraId="5BCB5C3C" w14:textId="77777777" w:rsidR="00536DF1" w:rsidRPr="00BA6959" w:rsidRDefault="00536DF1" w:rsidP="00536DF1">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88.81</w:t>
            </w:r>
          </w:p>
        </w:tc>
        <w:tc>
          <w:tcPr>
            <w:tcW w:w="741" w:type="dxa"/>
            <w:tcBorders>
              <w:top w:val="nil"/>
              <w:left w:val="nil"/>
              <w:bottom w:val="nil"/>
              <w:right w:val="nil"/>
            </w:tcBorders>
            <w:shd w:val="clear" w:color="auto" w:fill="auto"/>
            <w:noWrap/>
            <w:vAlign w:val="bottom"/>
            <w:hideMark/>
          </w:tcPr>
          <w:p w14:paraId="239E4B95" w14:textId="77777777" w:rsidR="00536DF1" w:rsidRPr="00BA6959" w:rsidRDefault="00536DF1" w:rsidP="00536DF1">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0.387</w:t>
            </w:r>
          </w:p>
        </w:tc>
      </w:tr>
      <w:tr w:rsidR="00536DF1" w:rsidRPr="00BA6959" w14:paraId="56BAF917" w14:textId="77777777" w:rsidTr="00536DF1">
        <w:trPr>
          <w:trHeight w:val="300"/>
        </w:trPr>
        <w:tc>
          <w:tcPr>
            <w:tcW w:w="1474" w:type="dxa"/>
            <w:tcBorders>
              <w:top w:val="nil"/>
              <w:left w:val="nil"/>
              <w:bottom w:val="nil"/>
              <w:right w:val="nil"/>
            </w:tcBorders>
            <w:shd w:val="clear" w:color="auto" w:fill="auto"/>
            <w:noWrap/>
            <w:vAlign w:val="bottom"/>
            <w:hideMark/>
          </w:tcPr>
          <w:p w14:paraId="73CBD743" w14:textId="77777777" w:rsidR="00536DF1" w:rsidRPr="00BA6959" w:rsidRDefault="00536DF1" w:rsidP="00536DF1">
            <w:pPr>
              <w:spacing w:after="0"/>
              <w:jc w:val="center"/>
              <w:rPr>
                <w:rFonts w:ascii="Calibri" w:hAnsi="Calibri" w:cs="Calibri"/>
                <w:color w:val="000000"/>
                <w:sz w:val="22"/>
                <w:szCs w:val="22"/>
                <w:lang w:val="en-GB" w:eastAsia="en-GB"/>
              </w:rPr>
            </w:pPr>
          </w:p>
        </w:tc>
        <w:tc>
          <w:tcPr>
            <w:tcW w:w="551" w:type="dxa"/>
            <w:tcBorders>
              <w:top w:val="nil"/>
              <w:left w:val="nil"/>
              <w:bottom w:val="nil"/>
              <w:right w:val="nil"/>
            </w:tcBorders>
            <w:shd w:val="clear" w:color="auto" w:fill="auto"/>
            <w:noWrap/>
            <w:vAlign w:val="bottom"/>
            <w:hideMark/>
          </w:tcPr>
          <w:p w14:paraId="6E0E1B46" w14:textId="77777777" w:rsidR="00536DF1" w:rsidRPr="00BA6959" w:rsidRDefault="00536DF1" w:rsidP="00536DF1">
            <w:pPr>
              <w:spacing w:after="0"/>
              <w:jc w:val="left"/>
              <w:rPr>
                <w:rFonts w:ascii="Times New Roman" w:hAnsi="Times New Roman"/>
                <w:sz w:val="20"/>
                <w:lang w:val="en-GB" w:eastAsia="en-GB"/>
              </w:rPr>
            </w:pPr>
          </w:p>
        </w:tc>
        <w:tc>
          <w:tcPr>
            <w:tcW w:w="551" w:type="dxa"/>
            <w:tcBorders>
              <w:top w:val="nil"/>
              <w:left w:val="nil"/>
              <w:bottom w:val="nil"/>
              <w:right w:val="nil"/>
            </w:tcBorders>
            <w:shd w:val="clear" w:color="auto" w:fill="auto"/>
            <w:noWrap/>
            <w:vAlign w:val="bottom"/>
            <w:hideMark/>
          </w:tcPr>
          <w:p w14:paraId="2E394909" w14:textId="77777777" w:rsidR="00536DF1" w:rsidRPr="00BA6959" w:rsidRDefault="00536DF1" w:rsidP="00536DF1">
            <w:pPr>
              <w:spacing w:after="0"/>
              <w:jc w:val="center"/>
              <w:rPr>
                <w:rFonts w:ascii="Times New Roman" w:hAnsi="Times New Roman"/>
                <w:sz w:val="20"/>
                <w:lang w:val="en-GB" w:eastAsia="en-GB"/>
              </w:rPr>
            </w:pPr>
          </w:p>
        </w:tc>
        <w:tc>
          <w:tcPr>
            <w:tcW w:w="664" w:type="dxa"/>
            <w:tcBorders>
              <w:top w:val="nil"/>
              <w:left w:val="nil"/>
              <w:bottom w:val="nil"/>
              <w:right w:val="nil"/>
            </w:tcBorders>
            <w:shd w:val="clear" w:color="auto" w:fill="auto"/>
            <w:noWrap/>
            <w:vAlign w:val="bottom"/>
            <w:hideMark/>
          </w:tcPr>
          <w:p w14:paraId="66B3BACE" w14:textId="77777777" w:rsidR="00536DF1" w:rsidRPr="00BA6959" w:rsidRDefault="00536DF1" w:rsidP="00536DF1">
            <w:pPr>
              <w:spacing w:after="0"/>
              <w:jc w:val="center"/>
              <w:rPr>
                <w:rFonts w:ascii="Times New Roman" w:hAnsi="Times New Roman"/>
                <w:sz w:val="20"/>
                <w:lang w:val="en-GB" w:eastAsia="en-GB"/>
              </w:rPr>
            </w:pPr>
          </w:p>
        </w:tc>
        <w:tc>
          <w:tcPr>
            <w:tcW w:w="551" w:type="dxa"/>
            <w:tcBorders>
              <w:top w:val="nil"/>
              <w:left w:val="nil"/>
              <w:bottom w:val="nil"/>
              <w:right w:val="nil"/>
            </w:tcBorders>
            <w:shd w:val="clear" w:color="auto" w:fill="auto"/>
            <w:noWrap/>
            <w:vAlign w:val="bottom"/>
            <w:hideMark/>
          </w:tcPr>
          <w:p w14:paraId="18125731" w14:textId="77777777" w:rsidR="00536DF1" w:rsidRPr="00BA6959" w:rsidRDefault="00536DF1" w:rsidP="00536DF1">
            <w:pPr>
              <w:spacing w:after="0"/>
              <w:jc w:val="center"/>
              <w:rPr>
                <w:rFonts w:ascii="Times New Roman" w:hAnsi="Times New Roman"/>
                <w:sz w:val="20"/>
                <w:lang w:val="en-GB" w:eastAsia="en-GB"/>
              </w:rPr>
            </w:pPr>
          </w:p>
        </w:tc>
        <w:tc>
          <w:tcPr>
            <w:tcW w:w="262" w:type="dxa"/>
            <w:tcBorders>
              <w:top w:val="nil"/>
              <w:left w:val="nil"/>
              <w:bottom w:val="nil"/>
              <w:right w:val="nil"/>
            </w:tcBorders>
            <w:shd w:val="clear" w:color="auto" w:fill="auto"/>
            <w:noWrap/>
            <w:vAlign w:val="bottom"/>
            <w:hideMark/>
          </w:tcPr>
          <w:p w14:paraId="12A7AAED" w14:textId="77777777" w:rsidR="00536DF1" w:rsidRPr="00BA6959" w:rsidRDefault="00536DF1" w:rsidP="00536DF1">
            <w:pPr>
              <w:spacing w:after="0"/>
              <w:jc w:val="center"/>
              <w:rPr>
                <w:rFonts w:ascii="Times New Roman" w:hAnsi="Times New Roman"/>
                <w:sz w:val="20"/>
                <w:lang w:val="en-GB" w:eastAsia="en-GB"/>
              </w:rPr>
            </w:pPr>
          </w:p>
        </w:tc>
        <w:tc>
          <w:tcPr>
            <w:tcW w:w="741" w:type="dxa"/>
            <w:tcBorders>
              <w:top w:val="nil"/>
              <w:left w:val="nil"/>
              <w:bottom w:val="nil"/>
              <w:right w:val="nil"/>
            </w:tcBorders>
            <w:shd w:val="clear" w:color="auto" w:fill="auto"/>
            <w:noWrap/>
            <w:vAlign w:val="bottom"/>
            <w:hideMark/>
          </w:tcPr>
          <w:p w14:paraId="4554FB72" w14:textId="77777777" w:rsidR="00536DF1" w:rsidRPr="00BA6959" w:rsidRDefault="00536DF1" w:rsidP="00536DF1">
            <w:pPr>
              <w:spacing w:after="0"/>
              <w:jc w:val="center"/>
              <w:rPr>
                <w:rFonts w:ascii="Times New Roman" w:hAnsi="Times New Roman"/>
                <w:sz w:val="20"/>
                <w:lang w:val="en-GB" w:eastAsia="en-GB"/>
              </w:rPr>
            </w:pPr>
          </w:p>
        </w:tc>
        <w:tc>
          <w:tcPr>
            <w:tcW w:w="741" w:type="dxa"/>
            <w:tcBorders>
              <w:top w:val="nil"/>
              <w:left w:val="nil"/>
              <w:bottom w:val="nil"/>
              <w:right w:val="nil"/>
            </w:tcBorders>
            <w:shd w:val="clear" w:color="auto" w:fill="auto"/>
            <w:noWrap/>
            <w:vAlign w:val="bottom"/>
            <w:hideMark/>
          </w:tcPr>
          <w:p w14:paraId="683F2AD7" w14:textId="77777777" w:rsidR="00536DF1" w:rsidRPr="00BA6959" w:rsidRDefault="00536DF1" w:rsidP="00536DF1">
            <w:pPr>
              <w:spacing w:after="0"/>
              <w:jc w:val="center"/>
              <w:rPr>
                <w:rFonts w:ascii="Times New Roman" w:hAnsi="Times New Roman"/>
                <w:sz w:val="20"/>
                <w:lang w:val="en-GB" w:eastAsia="en-GB"/>
              </w:rPr>
            </w:pPr>
          </w:p>
        </w:tc>
        <w:tc>
          <w:tcPr>
            <w:tcW w:w="741" w:type="dxa"/>
            <w:tcBorders>
              <w:top w:val="nil"/>
              <w:left w:val="nil"/>
              <w:bottom w:val="nil"/>
              <w:right w:val="nil"/>
            </w:tcBorders>
            <w:shd w:val="clear" w:color="auto" w:fill="auto"/>
            <w:noWrap/>
            <w:vAlign w:val="bottom"/>
            <w:hideMark/>
          </w:tcPr>
          <w:p w14:paraId="5A5B5F8F" w14:textId="77777777" w:rsidR="00536DF1" w:rsidRPr="00BA6959" w:rsidRDefault="00536DF1" w:rsidP="00536DF1">
            <w:pPr>
              <w:spacing w:after="0"/>
              <w:jc w:val="center"/>
              <w:rPr>
                <w:rFonts w:ascii="Times New Roman" w:hAnsi="Times New Roman"/>
                <w:sz w:val="20"/>
                <w:lang w:val="en-GB" w:eastAsia="en-GB"/>
              </w:rPr>
            </w:pPr>
          </w:p>
        </w:tc>
        <w:tc>
          <w:tcPr>
            <w:tcW w:w="741" w:type="dxa"/>
            <w:tcBorders>
              <w:top w:val="nil"/>
              <w:left w:val="nil"/>
              <w:bottom w:val="nil"/>
              <w:right w:val="nil"/>
            </w:tcBorders>
            <w:shd w:val="clear" w:color="auto" w:fill="auto"/>
            <w:noWrap/>
            <w:vAlign w:val="bottom"/>
            <w:hideMark/>
          </w:tcPr>
          <w:p w14:paraId="7E6DC889" w14:textId="77777777" w:rsidR="00536DF1" w:rsidRPr="00BA6959" w:rsidRDefault="00536DF1" w:rsidP="00536DF1">
            <w:pPr>
              <w:spacing w:after="0"/>
              <w:jc w:val="center"/>
              <w:rPr>
                <w:rFonts w:ascii="Times New Roman" w:hAnsi="Times New Roman"/>
                <w:sz w:val="20"/>
                <w:lang w:val="en-GB" w:eastAsia="en-GB"/>
              </w:rPr>
            </w:pPr>
          </w:p>
        </w:tc>
        <w:tc>
          <w:tcPr>
            <w:tcW w:w="262" w:type="dxa"/>
            <w:tcBorders>
              <w:top w:val="nil"/>
              <w:left w:val="nil"/>
              <w:bottom w:val="nil"/>
              <w:right w:val="nil"/>
            </w:tcBorders>
            <w:shd w:val="clear" w:color="auto" w:fill="auto"/>
            <w:noWrap/>
            <w:vAlign w:val="bottom"/>
            <w:hideMark/>
          </w:tcPr>
          <w:p w14:paraId="54B33CEF" w14:textId="77777777" w:rsidR="00536DF1" w:rsidRPr="00BA6959" w:rsidRDefault="00536DF1" w:rsidP="00536DF1">
            <w:pPr>
              <w:spacing w:after="0"/>
              <w:jc w:val="center"/>
              <w:rPr>
                <w:rFonts w:ascii="Times New Roman" w:hAnsi="Times New Roman"/>
                <w:sz w:val="20"/>
                <w:lang w:val="en-GB" w:eastAsia="en-GB"/>
              </w:rPr>
            </w:pPr>
          </w:p>
        </w:tc>
        <w:tc>
          <w:tcPr>
            <w:tcW w:w="551" w:type="dxa"/>
            <w:tcBorders>
              <w:top w:val="nil"/>
              <w:left w:val="nil"/>
              <w:bottom w:val="nil"/>
              <w:right w:val="nil"/>
            </w:tcBorders>
            <w:shd w:val="clear" w:color="auto" w:fill="auto"/>
            <w:noWrap/>
            <w:vAlign w:val="bottom"/>
            <w:hideMark/>
          </w:tcPr>
          <w:p w14:paraId="7B357EC1" w14:textId="77777777" w:rsidR="00536DF1" w:rsidRPr="00BA6959" w:rsidRDefault="00536DF1" w:rsidP="00536DF1">
            <w:pPr>
              <w:spacing w:after="0"/>
              <w:jc w:val="center"/>
              <w:rPr>
                <w:rFonts w:ascii="Times New Roman" w:hAnsi="Times New Roman"/>
                <w:sz w:val="20"/>
                <w:lang w:val="en-GB" w:eastAsia="en-GB"/>
              </w:rPr>
            </w:pPr>
          </w:p>
        </w:tc>
        <w:tc>
          <w:tcPr>
            <w:tcW w:w="440" w:type="dxa"/>
            <w:tcBorders>
              <w:top w:val="nil"/>
              <w:left w:val="nil"/>
              <w:bottom w:val="nil"/>
              <w:right w:val="nil"/>
            </w:tcBorders>
            <w:shd w:val="clear" w:color="auto" w:fill="auto"/>
            <w:noWrap/>
            <w:vAlign w:val="bottom"/>
            <w:hideMark/>
          </w:tcPr>
          <w:p w14:paraId="4E4C9B76" w14:textId="77777777" w:rsidR="00536DF1" w:rsidRPr="00BA6959" w:rsidRDefault="00536DF1" w:rsidP="00536DF1">
            <w:pPr>
              <w:spacing w:after="0"/>
              <w:jc w:val="center"/>
              <w:rPr>
                <w:rFonts w:ascii="Times New Roman" w:hAnsi="Times New Roman"/>
                <w:sz w:val="20"/>
                <w:lang w:val="en-GB" w:eastAsia="en-GB"/>
              </w:rPr>
            </w:pPr>
          </w:p>
        </w:tc>
        <w:tc>
          <w:tcPr>
            <w:tcW w:w="664" w:type="dxa"/>
            <w:tcBorders>
              <w:top w:val="nil"/>
              <w:left w:val="nil"/>
              <w:bottom w:val="nil"/>
              <w:right w:val="nil"/>
            </w:tcBorders>
            <w:shd w:val="clear" w:color="auto" w:fill="auto"/>
            <w:noWrap/>
            <w:vAlign w:val="bottom"/>
            <w:hideMark/>
          </w:tcPr>
          <w:p w14:paraId="6BF4E6B1" w14:textId="77777777" w:rsidR="00536DF1" w:rsidRPr="00BA6959" w:rsidRDefault="00536DF1" w:rsidP="00536DF1">
            <w:pPr>
              <w:spacing w:after="0"/>
              <w:jc w:val="center"/>
              <w:rPr>
                <w:rFonts w:ascii="Times New Roman" w:hAnsi="Times New Roman"/>
                <w:sz w:val="20"/>
                <w:lang w:val="en-GB" w:eastAsia="en-GB"/>
              </w:rPr>
            </w:pPr>
          </w:p>
        </w:tc>
        <w:tc>
          <w:tcPr>
            <w:tcW w:w="664" w:type="dxa"/>
            <w:tcBorders>
              <w:top w:val="nil"/>
              <w:left w:val="nil"/>
              <w:bottom w:val="nil"/>
              <w:right w:val="nil"/>
            </w:tcBorders>
            <w:shd w:val="clear" w:color="auto" w:fill="auto"/>
            <w:noWrap/>
            <w:vAlign w:val="bottom"/>
            <w:hideMark/>
          </w:tcPr>
          <w:p w14:paraId="2D42F290" w14:textId="77777777" w:rsidR="00536DF1" w:rsidRPr="00BA6959" w:rsidRDefault="00536DF1" w:rsidP="00536DF1">
            <w:pPr>
              <w:spacing w:after="0"/>
              <w:jc w:val="center"/>
              <w:rPr>
                <w:rFonts w:ascii="Times New Roman" w:hAnsi="Times New Roman"/>
                <w:sz w:val="20"/>
                <w:lang w:val="en-GB" w:eastAsia="en-GB"/>
              </w:rPr>
            </w:pPr>
          </w:p>
        </w:tc>
        <w:tc>
          <w:tcPr>
            <w:tcW w:w="262" w:type="dxa"/>
            <w:tcBorders>
              <w:top w:val="nil"/>
              <w:left w:val="nil"/>
              <w:bottom w:val="nil"/>
              <w:right w:val="nil"/>
            </w:tcBorders>
            <w:shd w:val="clear" w:color="auto" w:fill="auto"/>
            <w:noWrap/>
            <w:vAlign w:val="bottom"/>
            <w:hideMark/>
          </w:tcPr>
          <w:p w14:paraId="7C604544" w14:textId="77777777" w:rsidR="00536DF1" w:rsidRPr="00BA6959" w:rsidRDefault="00536DF1" w:rsidP="00536DF1">
            <w:pPr>
              <w:spacing w:after="0"/>
              <w:jc w:val="center"/>
              <w:rPr>
                <w:rFonts w:ascii="Times New Roman" w:hAnsi="Times New Roman"/>
                <w:sz w:val="20"/>
                <w:lang w:val="en-GB" w:eastAsia="en-GB"/>
              </w:rPr>
            </w:pPr>
          </w:p>
        </w:tc>
        <w:tc>
          <w:tcPr>
            <w:tcW w:w="741" w:type="dxa"/>
            <w:tcBorders>
              <w:top w:val="nil"/>
              <w:left w:val="nil"/>
              <w:bottom w:val="nil"/>
              <w:right w:val="nil"/>
            </w:tcBorders>
            <w:shd w:val="clear" w:color="auto" w:fill="auto"/>
            <w:noWrap/>
            <w:vAlign w:val="bottom"/>
            <w:hideMark/>
          </w:tcPr>
          <w:p w14:paraId="144E426F" w14:textId="77777777" w:rsidR="00536DF1" w:rsidRPr="00BA6959" w:rsidRDefault="00536DF1" w:rsidP="00536DF1">
            <w:pPr>
              <w:spacing w:after="0"/>
              <w:jc w:val="center"/>
              <w:rPr>
                <w:rFonts w:ascii="Times New Roman" w:hAnsi="Times New Roman"/>
                <w:sz w:val="20"/>
                <w:lang w:val="en-GB" w:eastAsia="en-GB"/>
              </w:rPr>
            </w:pPr>
          </w:p>
        </w:tc>
        <w:tc>
          <w:tcPr>
            <w:tcW w:w="741" w:type="dxa"/>
            <w:tcBorders>
              <w:top w:val="nil"/>
              <w:left w:val="nil"/>
              <w:bottom w:val="nil"/>
              <w:right w:val="nil"/>
            </w:tcBorders>
            <w:shd w:val="clear" w:color="auto" w:fill="auto"/>
            <w:noWrap/>
            <w:vAlign w:val="bottom"/>
            <w:hideMark/>
          </w:tcPr>
          <w:p w14:paraId="19575233" w14:textId="77777777" w:rsidR="00536DF1" w:rsidRPr="00BA6959" w:rsidRDefault="00536DF1" w:rsidP="00536DF1">
            <w:pPr>
              <w:spacing w:after="0"/>
              <w:jc w:val="center"/>
              <w:rPr>
                <w:rFonts w:ascii="Times New Roman" w:hAnsi="Times New Roman"/>
                <w:sz w:val="20"/>
                <w:lang w:val="en-GB" w:eastAsia="en-GB"/>
              </w:rPr>
            </w:pPr>
          </w:p>
        </w:tc>
        <w:tc>
          <w:tcPr>
            <w:tcW w:w="741" w:type="dxa"/>
            <w:tcBorders>
              <w:top w:val="nil"/>
              <w:left w:val="nil"/>
              <w:bottom w:val="nil"/>
              <w:right w:val="nil"/>
            </w:tcBorders>
            <w:shd w:val="clear" w:color="auto" w:fill="auto"/>
            <w:noWrap/>
            <w:vAlign w:val="bottom"/>
            <w:hideMark/>
          </w:tcPr>
          <w:p w14:paraId="45F93902" w14:textId="77777777" w:rsidR="00536DF1" w:rsidRPr="00BA6959" w:rsidRDefault="00536DF1" w:rsidP="00536DF1">
            <w:pPr>
              <w:spacing w:after="0"/>
              <w:jc w:val="center"/>
              <w:rPr>
                <w:rFonts w:ascii="Times New Roman" w:hAnsi="Times New Roman"/>
                <w:sz w:val="20"/>
                <w:lang w:val="en-GB" w:eastAsia="en-GB"/>
              </w:rPr>
            </w:pPr>
          </w:p>
        </w:tc>
        <w:tc>
          <w:tcPr>
            <w:tcW w:w="741" w:type="dxa"/>
            <w:tcBorders>
              <w:top w:val="nil"/>
              <w:left w:val="nil"/>
              <w:bottom w:val="nil"/>
              <w:right w:val="nil"/>
            </w:tcBorders>
            <w:shd w:val="clear" w:color="auto" w:fill="auto"/>
            <w:noWrap/>
            <w:vAlign w:val="bottom"/>
            <w:hideMark/>
          </w:tcPr>
          <w:p w14:paraId="050CCA56" w14:textId="77777777" w:rsidR="00536DF1" w:rsidRPr="00BA6959" w:rsidRDefault="00536DF1" w:rsidP="00536DF1">
            <w:pPr>
              <w:spacing w:after="0"/>
              <w:jc w:val="center"/>
              <w:rPr>
                <w:rFonts w:ascii="Times New Roman" w:hAnsi="Times New Roman"/>
                <w:sz w:val="20"/>
                <w:lang w:val="en-GB" w:eastAsia="en-GB"/>
              </w:rPr>
            </w:pPr>
          </w:p>
        </w:tc>
      </w:tr>
      <w:tr w:rsidR="00536DF1" w:rsidRPr="00BA6959" w14:paraId="1599E7CF" w14:textId="77777777" w:rsidTr="00536DF1">
        <w:trPr>
          <w:trHeight w:val="300"/>
        </w:trPr>
        <w:tc>
          <w:tcPr>
            <w:tcW w:w="1474" w:type="dxa"/>
            <w:tcBorders>
              <w:top w:val="nil"/>
              <w:left w:val="nil"/>
              <w:bottom w:val="nil"/>
              <w:right w:val="nil"/>
            </w:tcBorders>
            <w:shd w:val="clear" w:color="auto" w:fill="auto"/>
            <w:noWrap/>
            <w:vAlign w:val="bottom"/>
            <w:hideMark/>
          </w:tcPr>
          <w:p w14:paraId="5DF2DBDE" w14:textId="77777777" w:rsidR="00536DF1" w:rsidRPr="00BA6959" w:rsidRDefault="00536DF1" w:rsidP="00536DF1">
            <w:pPr>
              <w:spacing w:after="0"/>
              <w:jc w:val="left"/>
              <w:rPr>
                <w:rFonts w:ascii="Calibri" w:hAnsi="Calibri" w:cs="Calibri"/>
                <w:color w:val="000000"/>
                <w:sz w:val="20"/>
                <w:lang w:val="en-GB" w:eastAsia="en-GB"/>
              </w:rPr>
            </w:pPr>
            <w:r w:rsidRPr="00BA6959">
              <w:rPr>
                <w:rFonts w:ascii="Calibri" w:hAnsi="Calibri" w:cs="Calibri"/>
                <w:color w:val="000000"/>
                <w:sz w:val="20"/>
                <w:lang w:val="en-GB" w:eastAsia="en-GB"/>
              </w:rPr>
              <w:t xml:space="preserve"> GR Test Set</w:t>
            </w:r>
          </w:p>
        </w:tc>
        <w:tc>
          <w:tcPr>
            <w:tcW w:w="551" w:type="dxa"/>
            <w:tcBorders>
              <w:top w:val="nil"/>
              <w:left w:val="nil"/>
              <w:bottom w:val="nil"/>
              <w:right w:val="nil"/>
            </w:tcBorders>
            <w:shd w:val="clear" w:color="auto" w:fill="auto"/>
            <w:noWrap/>
            <w:vAlign w:val="bottom"/>
            <w:hideMark/>
          </w:tcPr>
          <w:p w14:paraId="48E9BECC" w14:textId="77777777" w:rsidR="00536DF1" w:rsidRPr="00BA6959" w:rsidRDefault="00536DF1" w:rsidP="00536DF1">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23</w:t>
            </w:r>
          </w:p>
        </w:tc>
        <w:tc>
          <w:tcPr>
            <w:tcW w:w="551" w:type="dxa"/>
            <w:tcBorders>
              <w:top w:val="nil"/>
              <w:left w:val="nil"/>
              <w:bottom w:val="nil"/>
              <w:right w:val="nil"/>
            </w:tcBorders>
            <w:shd w:val="clear" w:color="auto" w:fill="auto"/>
            <w:noWrap/>
            <w:vAlign w:val="bottom"/>
            <w:hideMark/>
          </w:tcPr>
          <w:p w14:paraId="4A496835" w14:textId="77777777" w:rsidR="00536DF1" w:rsidRPr="00BA6959" w:rsidRDefault="00536DF1" w:rsidP="00536DF1">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51</w:t>
            </w:r>
          </w:p>
        </w:tc>
        <w:tc>
          <w:tcPr>
            <w:tcW w:w="664" w:type="dxa"/>
            <w:tcBorders>
              <w:top w:val="nil"/>
              <w:left w:val="nil"/>
              <w:bottom w:val="nil"/>
              <w:right w:val="nil"/>
            </w:tcBorders>
            <w:shd w:val="clear" w:color="auto" w:fill="auto"/>
            <w:noWrap/>
            <w:vAlign w:val="bottom"/>
            <w:hideMark/>
          </w:tcPr>
          <w:p w14:paraId="7D2F99C2" w14:textId="77777777" w:rsidR="00536DF1" w:rsidRPr="00BA6959" w:rsidRDefault="00536DF1" w:rsidP="00536DF1">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1770</w:t>
            </w:r>
          </w:p>
        </w:tc>
        <w:tc>
          <w:tcPr>
            <w:tcW w:w="551" w:type="dxa"/>
            <w:tcBorders>
              <w:top w:val="nil"/>
              <w:left w:val="nil"/>
              <w:bottom w:val="nil"/>
              <w:right w:val="nil"/>
            </w:tcBorders>
            <w:shd w:val="clear" w:color="auto" w:fill="auto"/>
            <w:noWrap/>
            <w:vAlign w:val="bottom"/>
            <w:hideMark/>
          </w:tcPr>
          <w:p w14:paraId="262AA5E2" w14:textId="77777777" w:rsidR="00536DF1" w:rsidRPr="00BA6959" w:rsidRDefault="00536DF1" w:rsidP="00536DF1">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8</w:t>
            </w:r>
          </w:p>
        </w:tc>
        <w:tc>
          <w:tcPr>
            <w:tcW w:w="262" w:type="dxa"/>
            <w:tcBorders>
              <w:top w:val="nil"/>
              <w:left w:val="nil"/>
              <w:bottom w:val="nil"/>
              <w:right w:val="nil"/>
            </w:tcBorders>
            <w:shd w:val="clear" w:color="auto" w:fill="auto"/>
            <w:noWrap/>
            <w:vAlign w:val="bottom"/>
            <w:hideMark/>
          </w:tcPr>
          <w:p w14:paraId="4D2A9310" w14:textId="77777777" w:rsidR="00536DF1" w:rsidRPr="00BA6959" w:rsidRDefault="00536DF1" w:rsidP="00536DF1">
            <w:pPr>
              <w:spacing w:after="0"/>
              <w:jc w:val="center"/>
              <w:rPr>
                <w:rFonts w:ascii="Calibri" w:hAnsi="Calibri" w:cs="Calibri"/>
                <w:color w:val="000000"/>
                <w:sz w:val="22"/>
                <w:szCs w:val="22"/>
                <w:lang w:val="en-GB" w:eastAsia="en-GB"/>
              </w:rPr>
            </w:pPr>
          </w:p>
        </w:tc>
        <w:tc>
          <w:tcPr>
            <w:tcW w:w="741" w:type="dxa"/>
            <w:tcBorders>
              <w:top w:val="nil"/>
              <w:left w:val="nil"/>
              <w:bottom w:val="nil"/>
              <w:right w:val="nil"/>
            </w:tcBorders>
            <w:shd w:val="clear" w:color="auto" w:fill="auto"/>
            <w:noWrap/>
            <w:vAlign w:val="bottom"/>
            <w:hideMark/>
          </w:tcPr>
          <w:p w14:paraId="75589CFC" w14:textId="77777777" w:rsidR="00536DF1" w:rsidRPr="00BA6959" w:rsidRDefault="00536DF1" w:rsidP="00536DF1">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31.08</w:t>
            </w:r>
          </w:p>
        </w:tc>
        <w:tc>
          <w:tcPr>
            <w:tcW w:w="741" w:type="dxa"/>
            <w:tcBorders>
              <w:top w:val="nil"/>
              <w:left w:val="nil"/>
              <w:bottom w:val="nil"/>
              <w:right w:val="nil"/>
            </w:tcBorders>
            <w:shd w:val="clear" w:color="auto" w:fill="auto"/>
            <w:noWrap/>
            <w:vAlign w:val="bottom"/>
            <w:hideMark/>
          </w:tcPr>
          <w:p w14:paraId="638B5705" w14:textId="77777777" w:rsidR="00536DF1" w:rsidRPr="00BA6959" w:rsidRDefault="00536DF1" w:rsidP="00536DF1">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99.55</w:t>
            </w:r>
          </w:p>
        </w:tc>
        <w:tc>
          <w:tcPr>
            <w:tcW w:w="741" w:type="dxa"/>
            <w:tcBorders>
              <w:top w:val="nil"/>
              <w:left w:val="nil"/>
              <w:bottom w:val="nil"/>
              <w:right w:val="nil"/>
            </w:tcBorders>
            <w:shd w:val="clear" w:color="auto" w:fill="auto"/>
            <w:noWrap/>
            <w:vAlign w:val="bottom"/>
            <w:hideMark/>
          </w:tcPr>
          <w:p w14:paraId="7396552C" w14:textId="77777777" w:rsidR="00536DF1" w:rsidRPr="00BA6959" w:rsidRDefault="00536DF1" w:rsidP="00536DF1">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96.81</w:t>
            </w:r>
          </w:p>
        </w:tc>
        <w:tc>
          <w:tcPr>
            <w:tcW w:w="741" w:type="dxa"/>
            <w:tcBorders>
              <w:top w:val="nil"/>
              <w:left w:val="nil"/>
              <w:bottom w:val="nil"/>
              <w:right w:val="nil"/>
            </w:tcBorders>
            <w:shd w:val="clear" w:color="auto" w:fill="auto"/>
            <w:noWrap/>
            <w:vAlign w:val="bottom"/>
            <w:hideMark/>
          </w:tcPr>
          <w:p w14:paraId="694E6A93" w14:textId="77777777" w:rsidR="00536DF1" w:rsidRPr="00BA6959" w:rsidRDefault="00536DF1" w:rsidP="00536DF1">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0.473</w:t>
            </w:r>
          </w:p>
        </w:tc>
        <w:tc>
          <w:tcPr>
            <w:tcW w:w="262" w:type="dxa"/>
            <w:tcBorders>
              <w:top w:val="nil"/>
              <w:left w:val="nil"/>
              <w:bottom w:val="nil"/>
              <w:right w:val="nil"/>
            </w:tcBorders>
            <w:shd w:val="clear" w:color="auto" w:fill="auto"/>
            <w:noWrap/>
            <w:vAlign w:val="bottom"/>
            <w:hideMark/>
          </w:tcPr>
          <w:p w14:paraId="005B7155" w14:textId="77777777" w:rsidR="00536DF1" w:rsidRPr="00BA6959" w:rsidRDefault="00536DF1" w:rsidP="00536DF1">
            <w:pPr>
              <w:spacing w:after="0"/>
              <w:jc w:val="center"/>
              <w:rPr>
                <w:rFonts w:ascii="Calibri" w:hAnsi="Calibri" w:cs="Calibri"/>
                <w:color w:val="000000"/>
                <w:sz w:val="22"/>
                <w:szCs w:val="22"/>
                <w:lang w:val="en-GB" w:eastAsia="en-GB"/>
              </w:rPr>
            </w:pPr>
          </w:p>
        </w:tc>
        <w:tc>
          <w:tcPr>
            <w:tcW w:w="551" w:type="dxa"/>
            <w:tcBorders>
              <w:top w:val="nil"/>
              <w:left w:val="nil"/>
              <w:bottom w:val="nil"/>
              <w:right w:val="nil"/>
            </w:tcBorders>
            <w:shd w:val="clear" w:color="auto" w:fill="auto"/>
            <w:noWrap/>
            <w:vAlign w:val="bottom"/>
            <w:hideMark/>
          </w:tcPr>
          <w:p w14:paraId="4F177AE2" w14:textId="77777777" w:rsidR="00536DF1" w:rsidRPr="00BA6959" w:rsidRDefault="00536DF1" w:rsidP="00536DF1">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43</w:t>
            </w:r>
          </w:p>
        </w:tc>
        <w:tc>
          <w:tcPr>
            <w:tcW w:w="440" w:type="dxa"/>
            <w:tcBorders>
              <w:top w:val="nil"/>
              <w:left w:val="nil"/>
              <w:bottom w:val="nil"/>
              <w:right w:val="nil"/>
            </w:tcBorders>
            <w:shd w:val="clear" w:color="auto" w:fill="auto"/>
            <w:noWrap/>
            <w:vAlign w:val="bottom"/>
            <w:hideMark/>
          </w:tcPr>
          <w:p w14:paraId="52D20200" w14:textId="77777777" w:rsidR="00536DF1" w:rsidRPr="00BA6959" w:rsidRDefault="00536DF1" w:rsidP="00536DF1">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31</w:t>
            </w:r>
          </w:p>
        </w:tc>
        <w:tc>
          <w:tcPr>
            <w:tcW w:w="664" w:type="dxa"/>
            <w:tcBorders>
              <w:top w:val="nil"/>
              <w:left w:val="nil"/>
              <w:bottom w:val="nil"/>
              <w:right w:val="nil"/>
            </w:tcBorders>
            <w:shd w:val="clear" w:color="auto" w:fill="auto"/>
            <w:noWrap/>
            <w:vAlign w:val="bottom"/>
            <w:hideMark/>
          </w:tcPr>
          <w:p w14:paraId="5DA39051" w14:textId="77777777" w:rsidR="00536DF1" w:rsidRPr="00BA6959" w:rsidRDefault="00536DF1" w:rsidP="00536DF1">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1571</w:t>
            </w:r>
          </w:p>
        </w:tc>
        <w:tc>
          <w:tcPr>
            <w:tcW w:w="664" w:type="dxa"/>
            <w:tcBorders>
              <w:top w:val="nil"/>
              <w:left w:val="nil"/>
              <w:bottom w:val="nil"/>
              <w:right w:val="nil"/>
            </w:tcBorders>
            <w:shd w:val="clear" w:color="auto" w:fill="auto"/>
            <w:noWrap/>
            <w:vAlign w:val="bottom"/>
            <w:hideMark/>
          </w:tcPr>
          <w:p w14:paraId="66E456DB" w14:textId="77777777" w:rsidR="00536DF1" w:rsidRPr="00BA6959" w:rsidRDefault="00536DF1" w:rsidP="00536DF1">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207</w:t>
            </w:r>
          </w:p>
        </w:tc>
        <w:tc>
          <w:tcPr>
            <w:tcW w:w="262" w:type="dxa"/>
            <w:tcBorders>
              <w:top w:val="nil"/>
              <w:left w:val="nil"/>
              <w:bottom w:val="nil"/>
              <w:right w:val="nil"/>
            </w:tcBorders>
            <w:shd w:val="clear" w:color="auto" w:fill="auto"/>
            <w:noWrap/>
            <w:vAlign w:val="bottom"/>
            <w:hideMark/>
          </w:tcPr>
          <w:p w14:paraId="60E4EAD2" w14:textId="77777777" w:rsidR="00536DF1" w:rsidRPr="00BA6959" w:rsidRDefault="00536DF1" w:rsidP="00536DF1">
            <w:pPr>
              <w:spacing w:after="0"/>
              <w:jc w:val="center"/>
              <w:rPr>
                <w:rFonts w:ascii="Calibri" w:hAnsi="Calibri" w:cs="Calibri"/>
                <w:color w:val="000000"/>
                <w:sz w:val="22"/>
                <w:szCs w:val="22"/>
                <w:lang w:val="en-GB" w:eastAsia="en-GB"/>
              </w:rPr>
            </w:pPr>
          </w:p>
        </w:tc>
        <w:tc>
          <w:tcPr>
            <w:tcW w:w="741" w:type="dxa"/>
            <w:tcBorders>
              <w:top w:val="nil"/>
              <w:left w:val="nil"/>
              <w:bottom w:val="nil"/>
              <w:right w:val="nil"/>
            </w:tcBorders>
            <w:shd w:val="clear" w:color="auto" w:fill="auto"/>
            <w:noWrap/>
            <w:vAlign w:val="bottom"/>
            <w:hideMark/>
          </w:tcPr>
          <w:p w14:paraId="49115D45" w14:textId="77777777" w:rsidR="00536DF1" w:rsidRPr="00BA6959" w:rsidRDefault="00536DF1" w:rsidP="00536DF1">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58.11</w:t>
            </w:r>
          </w:p>
        </w:tc>
        <w:tc>
          <w:tcPr>
            <w:tcW w:w="741" w:type="dxa"/>
            <w:tcBorders>
              <w:top w:val="nil"/>
              <w:left w:val="nil"/>
              <w:bottom w:val="nil"/>
              <w:right w:val="nil"/>
            </w:tcBorders>
            <w:shd w:val="clear" w:color="auto" w:fill="auto"/>
            <w:noWrap/>
            <w:vAlign w:val="bottom"/>
            <w:hideMark/>
          </w:tcPr>
          <w:p w14:paraId="3A33F7E2" w14:textId="77777777" w:rsidR="00536DF1" w:rsidRPr="00BA6959" w:rsidRDefault="00536DF1" w:rsidP="00536DF1">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88.36</w:t>
            </w:r>
          </w:p>
        </w:tc>
        <w:tc>
          <w:tcPr>
            <w:tcW w:w="741" w:type="dxa"/>
            <w:tcBorders>
              <w:top w:val="nil"/>
              <w:left w:val="nil"/>
              <w:bottom w:val="nil"/>
              <w:right w:val="nil"/>
            </w:tcBorders>
            <w:shd w:val="clear" w:color="auto" w:fill="auto"/>
            <w:noWrap/>
            <w:vAlign w:val="bottom"/>
            <w:hideMark/>
          </w:tcPr>
          <w:p w14:paraId="76B96E71" w14:textId="77777777" w:rsidR="00536DF1" w:rsidRPr="00BA6959" w:rsidRDefault="00536DF1" w:rsidP="00536DF1">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87.15</w:t>
            </w:r>
          </w:p>
        </w:tc>
        <w:tc>
          <w:tcPr>
            <w:tcW w:w="741" w:type="dxa"/>
            <w:tcBorders>
              <w:top w:val="nil"/>
              <w:left w:val="nil"/>
              <w:bottom w:val="nil"/>
              <w:right w:val="nil"/>
            </w:tcBorders>
            <w:shd w:val="clear" w:color="auto" w:fill="auto"/>
            <w:noWrap/>
            <w:vAlign w:val="bottom"/>
            <w:hideMark/>
          </w:tcPr>
          <w:p w14:paraId="42CEE0FB" w14:textId="77777777" w:rsidR="00536DF1" w:rsidRPr="00BA6959" w:rsidRDefault="00536DF1" w:rsidP="00536DF1">
            <w:pPr>
              <w:spacing w:after="0"/>
              <w:jc w:val="center"/>
              <w:rPr>
                <w:rFonts w:ascii="Calibri" w:hAnsi="Calibri" w:cs="Calibri"/>
                <w:color w:val="000000"/>
                <w:sz w:val="22"/>
                <w:szCs w:val="22"/>
                <w:lang w:val="en-GB" w:eastAsia="en-GB"/>
              </w:rPr>
            </w:pPr>
            <w:r w:rsidRPr="00BA6959">
              <w:rPr>
                <w:rFonts w:ascii="Calibri" w:hAnsi="Calibri" w:cs="Calibri"/>
                <w:color w:val="000000"/>
                <w:sz w:val="22"/>
                <w:szCs w:val="22"/>
                <w:lang w:val="en-GB" w:eastAsia="en-GB"/>
              </w:rPr>
              <w:t>0.253</w:t>
            </w:r>
          </w:p>
        </w:tc>
      </w:tr>
    </w:tbl>
    <w:p w14:paraId="4C5EB5E2" w14:textId="77777777" w:rsidR="00A80789" w:rsidRPr="00BA6959" w:rsidRDefault="00A80789" w:rsidP="00A80789">
      <w:pPr>
        <w:pStyle w:val="BHBriefs"/>
        <w:spacing w:after="240"/>
        <w:jc w:val="left"/>
        <w:rPr>
          <w:b/>
          <w:lang w:val="en-GB"/>
        </w:rPr>
      </w:pPr>
    </w:p>
    <w:p w14:paraId="68747617" w14:textId="3987AD7F" w:rsidR="00A80789" w:rsidRPr="00BA6959" w:rsidRDefault="00A80789" w:rsidP="00A80789">
      <w:pPr>
        <w:pStyle w:val="BHBriefs"/>
        <w:spacing w:after="240"/>
        <w:jc w:val="left"/>
        <w:rPr>
          <w:lang w:val="en-GB" w:eastAsia="en-GB"/>
        </w:rPr>
        <w:sectPr w:rsidR="00A80789" w:rsidRPr="00BA6959" w:rsidSect="00A80789">
          <w:type w:val="continuous"/>
          <w:pgSz w:w="15840" w:h="12240" w:orient="landscape"/>
          <w:pgMar w:top="1440" w:right="1440" w:bottom="1440" w:left="1440" w:header="0" w:footer="0" w:gutter="0"/>
          <w:cols w:space="475"/>
          <w:docGrid w:linePitch="326"/>
        </w:sectPr>
      </w:pPr>
      <w:r w:rsidRPr="00BA6959">
        <w:rPr>
          <w:b/>
          <w:lang w:val="en-GB"/>
        </w:rPr>
        <w:t xml:space="preserve">Table 2. </w:t>
      </w:r>
      <w:r w:rsidRPr="00BA6959">
        <w:rPr>
          <w:lang w:val="en-GB"/>
        </w:rPr>
        <w:t>Performance data for</w:t>
      </w:r>
      <w:r w:rsidR="001F3927">
        <w:rPr>
          <w:lang w:val="en-GB"/>
        </w:rPr>
        <w:t xml:space="preserve"> RE </w:t>
      </w:r>
      <w:r w:rsidR="005D1082" w:rsidRPr="00BA6959">
        <w:rPr>
          <w:lang w:val="en-GB"/>
        </w:rPr>
        <w:t>and Screen</w:t>
      </w:r>
      <w:r w:rsidRPr="00BA6959">
        <w:rPr>
          <w:lang w:val="en-GB"/>
        </w:rPr>
        <w:t xml:space="preserve"> models for each target for the training and test sets. AR=androgen receptor, GR=glucocorticoid receptor, TP=True Positive, FN=False Negative, TN=True Negative, FP=False Positive, SE=Sensitivity, SP=Specificity, Q=Overall Quality, MCC=Matthews Correlation Coefficient.  </w:t>
      </w:r>
    </w:p>
    <w:p w14:paraId="56E34C23" w14:textId="77777777" w:rsidR="00A80789" w:rsidRPr="00BA6959" w:rsidRDefault="00A80789" w:rsidP="00A80789">
      <w:pPr>
        <w:pStyle w:val="BHBriefs"/>
        <w:spacing w:after="240"/>
        <w:jc w:val="left"/>
        <w:rPr>
          <w:lang w:val="en-GB"/>
        </w:rPr>
      </w:pPr>
    </w:p>
    <w:p w14:paraId="68ECB740" w14:textId="77777777" w:rsidR="00A80789" w:rsidRPr="00BA6959" w:rsidRDefault="00A80789" w:rsidP="007E26AF">
      <w:pPr>
        <w:pStyle w:val="TFReferencesSection"/>
        <w:spacing w:after="240"/>
        <w:ind w:firstLine="0"/>
        <w:jc w:val="left"/>
        <w:rPr>
          <w:lang w:val="en-GB"/>
        </w:rPr>
        <w:sectPr w:rsidR="00A80789" w:rsidRPr="00BA6959" w:rsidSect="00A80789">
          <w:type w:val="continuous"/>
          <w:pgSz w:w="15840" w:h="12240" w:orient="landscape"/>
          <w:pgMar w:top="1440" w:right="4581" w:bottom="1440" w:left="1440" w:header="0" w:footer="0" w:gutter="0"/>
          <w:cols w:space="475"/>
          <w:docGrid w:linePitch="326"/>
        </w:sectPr>
      </w:pPr>
    </w:p>
    <w:tbl>
      <w:tblPr>
        <w:tblW w:w="13760" w:type="dxa"/>
        <w:jc w:val="center"/>
        <w:tblLook w:val="04A0" w:firstRow="1" w:lastRow="0" w:firstColumn="1" w:lastColumn="0" w:noHBand="0" w:noVBand="1"/>
      </w:tblPr>
      <w:tblGrid>
        <w:gridCol w:w="1080"/>
        <w:gridCol w:w="886"/>
        <w:gridCol w:w="761"/>
        <w:gridCol w:w="845"/>
        <w:gridCol w:w="816"/>
        <w:gridCol w:w="1144"/>
        <w:gridCol w:w="1144"/>
        <w:gridCol w:w="1144"/>
        <w:gridCol w:w="1327"/>
        <w:gridCol w:w="1306"/>
        <w:gridCol w:w="1329"/>
        <w:gridCol w:w="1309"/>
        <w:gridCol w:w="1390"/>
      </w:tblGrid>
      <w:tr w:rsidR="00C1514C" w:rsidRPr="00BA6959" w14:paraId="1D9721EA" w14:textId="77777777" w:rsidTr="00C1514C">
        <w:trPr>
          <w:trHeight w:val="300"/>
          <w:jc w:val="center"/>
        </w:trPr>
        <w:tc>
          <w:tcPr>
            <w:tcW w:w="1080" w:type="dxa"/>
            <w:tcBorders>
              <w:top w:val="nil"/>
              <w:left w:val="nil"/>
              <w:bottom w:val="nil"/>
              <w:right w:val="nil"/>
            </w:tcBorders>
            <w:shd w:val="clear" w:color="auto" w:fill="auto"/>
            <w:noWrap/>
            <w:vAlign w:val="bottom"/>
            <w:hideMark/>
          </w:tcPr>
          <w:p w14:paraId="5C3EF89A" w14:textId="77777777" w:rsidR="00C1514C" w:rsidRPr="00BA6959" w:rsidRDefault="00C1514C" w:rsidP="00C1514C">
            <w:pPr>
              <w:spacing w:after="0"/>
              <w:jc w:val="left"/>
              <w:rPr>
                <w:rFonts w:ascii="Times New Roman" w:hAnsi="Times New Roman"/>
                <w:sz w:val="20"/>
                <w:szCs w:val="24"/>
                <w:lang w:val="en-GB" w:eastAsia="en-GB"/>
              </w:rPr>
            </w:pPr>
          </w:p>
        </w:tc>
        <w:tc>
          <w:tcPr>
            <w:tcW w:w="880" w:type="dxa"/>
            <w:tcBorders>
              <w:top w:val="nil"/>
              <w:left w:val="nil"/>
              <w:bottom w:val="nil"/>
              <w:right w:val="nil"/>
            </w:tcBorders>
            <w:shd w:val="clear" w:color="auto" w:fill="auto"/>
            <w:noWrap/>
            <w:vAlign w:val="bottom"/>
            <w:hideMark/>
          </w:tcPr>
          <w:p w14:paraId="76D40A6D" w14:textId="77777777" w:rsidR="00C1514C" w:rsidRPr="00BA6959" w:rsidRDefault="00C1514C" w:rsidP="00C1514C">
            <w:pPr>
              <w:spacing w:after="0"/>
              <w:jc w:val="left"/>
              <w:rPr>
                <w:rFonts w:ascii="Times New Roman" w:hAnsi="Times New Roman"/>
                <w:sz w:val="20"/>
                <w:lang w:val="en-GB" w:eastAsia="en-GB"/>
              </w:rPr>
            </w:pPr>
          </w:p>
        </w:tc>
        <w:tc>
          <w:tcPr>
            <w:tcW w:w="11800" w:type="dxa"/>
            <w:gridSpan w:val="11"/>
            <w:tcBorders>
              <w:top w:val="nil"/>
              <w:left w:val="nil"/>
              <w:bottom w:val="nil"/>
              <w:right w:val="nil"/>
            </w:tcBorders>
            <w:shd w:val="clear" w:color="auto" w:fill="auto"/>
            <w:noWrap/>
            <w:vAlign w:val="bottom"/>
            <w:hideMark/>
          </w:tcPr>
          <w:p w14:paraId="3FA0F9AC" w14:textId="77777777" w:rsidR="00C1514C" w:rsidRPr="00BA6959" w:rsidRDefault="00C1514C" w:rsidP="00C1514C">
            <w:pPr>
              <w:spacing w:after="0"/>
              <w:jc w:val="center"/>
              <w:rPr>
                <w:rFonts w:ascii="Calibri" w:hAnsi="Calibri" w:cs="Calibri"/>
                <w:b/>
                <w:bCs/>
                <w:color w:val="000000"/>
                <w:sz w:val="16"/>
                <w:szCs w:val="16"/>
                <w:lang w:val="en-GB" w:eastAsia="en-GB"/>
              </w:rPr>
            </w:pPr>
            <w:r w:rsidRPr="00BA6959">
              <w:rPr>
                <w:rFonts w:ascii="Calibri" w:hAnsi="Calibri" w:cs="Calibri"/>
                <w:b/>
                <w:bCs/>
                <w:color w:val="000000"/>
                <w:sz w:val="16"/>
                <w:szCs w:val="16"/>
                <w:lang w:val="en-GB" w:eastAsia="en-GB"/>
              </w:rPr>
              <w:t>ToxCast AR Assay</w:t>
            </w:r>
          </w:p>
        </w:tc>
      </w:tr>
      <w:tr w:rsidR="00C1514C" w:rsidRPr="00BA6959" w14:paraId="0DA5B86E" w14:textId="77777777" w:rsidTr="00C1514C">
        <w:trPr>
          <w:trHeight w:val="300"/>
          <w:jc w:val="center"/>
        </w:trPr>
        <w:tc>
          <w:tcPr>
            <w:tcW w:w="1080" w:type="dxa"/>
            <w:tcBorders>
              <w:top w:val="nil"/>
              <w:left w:val="nil"/>
              <w:bottom w:val="single" w:sz="4" w:space="0" w:color="auto"/>
              <w:right w:val="nil"/>
            </w:tcBorders>
            <w:shd w:val="clear" w:color="auto" w:fill="auto"/>
            <w:noWrap/>
            <w:vAlign w:val="bottom"/>
            <w:hideMark/>
          </w:tcPr>
          <w:p w14:paraId="49FCCD19" w14:textId="77777777" w:rsidR="00C1514C" w:rsidRPr="00BA6959" w:rsidRDefault="00C1514C" w:rsidP="00C1514C">
            <w:pPr>
              <w:spacing w:after="0"/>
              <w:jc w:val="left"/>
              <w:rPr>
                <w:rFonts w:ascii="Calibri" w:hAnsi="Calibri" w:cs="Calibri"/>
                <w:b/>
                <w:bCs/>
                <w:color w:val="000000"/>
                <w:sz w:val="16"/>
                <w:szCs w:val="16"/>
                <w:lang w:val="en-GB" w:eastAsia="en-GB"/>
              </w:rPr>
            </w:pPr>
            <w:r w:rsidRPr="00BA6959">
              <w:rPr>
                <w:rFonts w:ascii="Calibri" w:hAnsi="Calibri" w:cs="Calibri"/>
                <w:b/>
                <w:bCs/>
                <w:color w:val="000000"/>
                <w:sz w:val="16"/>
                <w:szCs w:val="16"/>
                <w:lang w:val="en-GB" w:eastAsia="en-GB"/>
              </w:rPr>
              <w:t>Alert</w:t>
            </w:r>
            <w:r w:rsidR="007D78D8" w:rsidRPr="00BA6959">
              <w:rPr>
                <w:rFonts w:ascii="Calibri" w:hAnsi="Calibri" w:cs="Calibri"/>
                <w:b/>
                <w:bCs/>
                <w:color w:val="000000"/>
                <w:sz w:val="16"/>
                <w:szCs w:val="16"/>
                <w:lang w:val="en-GB" w:eastAsia="en-GB"/>
              </w:rPr>
              <w:t xml:space="preserve"> Category</w:t>
            </w:r>
          </w:p>
        </w:tc>
        <w:tc>
          <w:tcPr>
            <w:tcW w:w="880" w:type="dxa"/>
            <w:tcBorders>
              <w:top w:val="nil"/>
              <w:left w:val="nil"/>
              <w:bottom w:val="single" w:sz="4" w:space="0" w:color="auto"/>
              <w:right w:val="nil"/>
            </w:tcBorders>
            <w:shd w:val="clear" w:color="auto" w:fill="auto"/>
            <w:noWrap/>
            <w:vAlign w:val="bottom"/>
            <w:hideMark/>
          </w:tcPr>
          <w:p w14:paraId="02550FAD" w14:textId="77777777" w:rsidR="00C1514C" w:rsidRPr="00BA6959" w:rsidRDefault="00C1514C" w:rsidP="00C1514C">
            <w:pPr>
              <w:spacing w:after="0"/>
              <w:jc w:val="center"/>
              <w:rPr>
                <w:rFonts w:ascii="Calibri" w:hAnsi="Calibri" w:cs="Calibri"/>
                <w:b/>
                <w:bCs/>
                <w:color w:val="000000"/>
                <w:sz w:val="16"/>
                <w:szCs w:val="16"/>
                <w:lang w:val="en-GB" w:eastAsia="en-GB"/>
              </w:rPr>
            </w:pPr>
            <w:r w:rsidRPr="00BA6959">
              <w:rPr>
                <w:rFonts w:ascii="Calibri" w:hAnsi="Calibri" w:cs="Calibri"/>
                <w:b/>
                <w:bCs/>
                <w:color w:val="000000"/>
                <w:sz w:val="16"/>
                <w:szCs w:val="16"/>
                <w:lang w:val="en-GB" w:eastAsia="en-GB"/>
              </w:rPr>
              <w:t>Chemicals</w:t>
            </w:r>
          </w:p>
        </w:tc>
        <w:tc>
          <w:tcPr>
            <w:tcW w:w="648" w:type="dxa"/>
            <w:tcBorders>
              <w:top w:val="nil"/>
              <w:left w:val="nil"/>
              <w:bottom w:val="single" w:sz="4" w:space="0" w:color="auto"/>
              <w:right w:val="nil"/>
            </w:tcBorders>
            <w:shd w:val="clear" w:color="auto" w:fill="auto"/>
            <w:noWrap/>
            <w:vAlign w:val="bottom"/>
            <w:hideMark/>
          </w:tcPr>
          <w:p w14:paraId="1447204A" w14:textId="77777777" w:rsidR="00C1514C" w:rsidRPr="00BA6959" w:rsidRDefault="00C1514C" w:rsidP="00C1514C">
            <w:pPr>
              <w:spacing w:after="0"/>
              <w:jc w:val="center"/>
              <w:rPr>
                <w:rFonts w:ascii="Calibri" w:hAnsi="Calibri" w:cs="Calibri"/>
                <w:b/>
                <w:bCs/>
                <w:color w:val="000000"/>
                <w:sz w:val="16"/>
                <w:szCs w:val="16"/>
                <w:lang w:val="en-GB" w:eastAsia="en-GB"/>
              </w:rPr>
            </w:pPr>
            <w:r w:rsidRPr="00BA6959">
              <w:rPr>
                <w:rFonts w:ascii="Calibri" w:hAnsi="Calibri" w:cs="Calibri"/>
                <w:b/>
                <w:bCs/>
                <w:color w:val="000000"/>
                <w:sz w:val="16"/>
                <w:szCs w:val="16"/>
                <w:lang w:val="en-GB" w:eastAsia="en-GB"/>
              </w:rPr>
              <w:t>ATG_AR</w:t>
            </w:r>
          </w:p>
        </w:tc>
        <w:tc>
          <w:tcPr>
            <w:tcW w:w="743" w:type="dxa"/>
            <w:tcBorders>
              <w:top w:val="nil"/>
              <w:left w:val="nil"/>
              <w:bottom w:val="single" w:sz="4" w:space="0" w:color="auto"/>
              <w:right w:val="nil"/>
            </w:tcBorders>
            <w:shd w:val="clear" w:color="auto" w:fill="auto"/>
            <w:noWrap/>
            <w:vAlign w:val="bottom"/>
            <w:hideMark/>
          </w:tcPr>
          <w:p w14:paraId="07AE7275" w14:textId="77777777" w:rsidR="00C1514C" w:rsidRPr="00BA6959" w:rsidRDefault="00C1514C" w:rsidP="00C1514C">
            <w:pPr>
              <w:spacing w:after="0"/>
              <w:jc w:val="center"/>
              <w:rPr>
                <w:rFonts w:ascii="Calibri" w:hAnsi="Calibri" w:cs="Calibri"/>
                <w:b/>
                <w:bCs/>
                <w:color w:val="000000"/>
                <w:sz w:val="16"/>
                <w:szCs w:val="16"/>
                <w:lang w:val="en-GB" w:eastAsia="en-GB"/>
              </w:rPr>
            </w:pPr>
            <w:proofErr w:type="spellStart"/>
            <w:r w:rsidRPr="00BA6959">
              <w:rPr>
                <w:rFonts w:ascii="Calibri" w:hAnsi="Calibri" w:cs="Calibri"/>
                <w:b/>
                <w:bCs/>
                <w:color w:val="000000"/>
                <w:sz w:val="16"/>
                <w:szCs w:val="16"/>
                <w:lang w:val="en-GB" w:eastAsia="en-GB"/>
              </w:rPr>
              <w:t>NVS_hAR</w:t>
            </w:r>
            <w:proofErr w:type="spellEnd"/>
          </w:p>
        </w:tc>
        <w:tc>
          <w:tcPr>
            <w:tcW w:w="710" w:type="dxa"/>
            <w:tcBorders>
              <w:top w:val="nil"/>
              <w:left w:val="nil"/>
              <w:bottom w:val="single" w:sz="4" w:space="0" w:color="auto"/>
              <w:right w:val="nil"/>
            </w:tcBorders>
            <w:shd w:val="clear" w:color="auto" w:fill="auto"/>
            <w:noWrap/>
            <w:vAlign w:val="bottom"/>
            <w:hideMark/>
          </w:tcPr>
          <w:p w14:paraId="4A69A621" w14:textId="77777777" w:rsidR="00C1514C" w:rsidRPr="00BA6959" w:rsidRDefault="00C1514C" w:rsidP="00C1514C">
            <w:pPr>
              <w:spacing w:after="0"/>
              <w:jc w:val="center"/>
              <w:rPr>
                <w:rFonts w:ascii="Calibri" w:hAnsi="Calibri" w:cs="Calibri"/>
                <w:b/>
                <w:bCs/>
                <w:color w:val="000000"/>
                <w:sz w:val="16"/>
                <w:szCs w:val="16"/>
                <w:lang w:val="en-GB" w:eastAsia="en-GB"/>
              </w:rPr>
            </w:pPr>
            <w:proofErr w:type="spellStart"/>
            <w:r w:rsidRPr="00BA6959">
              <w:rPr>
                <w:rFonts w:ascii="Calibri" w:hAnsi="Calibri" w:cs="Calibri"/>
                <w:b/>
                <w:bCs/>
                <w:color w:val="000000"/>
                <w:sz w:val="16"/>
                <w:szCs w:val="16"/>
                <w:lang w:val="en-GB" w:eastAsia="en-GB"/>
              </w:rPr>
              <w:t>NVS_rAR</w:t>
            </w:r>
            <w:proofErr w:type="spellEnd"/>
          </w:p>
        </w:tc>
        <w:tc>
          <w:tcPr>
            <w:tcW w:w="1080" w:type="dxa"/>
            <w:tcBorders>
              <w:top w:val="nil"/>
              <w:left w:val="nil"/>
              <w:bottom w:val="single" w:sz="4" w:space="0" w:color="auto"/>
              <w:right w:val="nil"/>
            </w:tcBorders>
            <w:shd w:val="clear" w:color="auto" w:fill="auto"/>
            <w:noWrap/>
            <w:vAlign w:val="bottom"/>
            <w:hideMark/>
          </w:tcPr>
          <w:p w14:paraId="52171F99" w14:textId="77777777" w:rsidR="00C1514C" w:rsidRPr="00BA6959" w:rsidRDefault="00C1514C" w:rsidP="00C1514C">
            <w:pPr>
              <w:spacing w:after="0"/>
              <w:jc w:val="center"/>
              <w:rPr>
                <w:rFonts w:ascii="Calibri" w:hAnsi="Calibri" w:cs="Calibri"/>
                <w:b/>
                <w:bCs/>
                <w:color w:val="000000"/>
                <w:sz w:val="16"/>
                <w:szCs w:val="16"/>
                <w:lang w:val="en-GB" w:eastAsia="en-GB"/>
              </w:rPr>
            </w:pPr>
            <w:r w:rsidRPr="00BA6959">
              <w:rPr>
                <w:rFonts w:ascii="Calibri" w:hAnsi="Calibri" w:cs="Calibri"/>
                <w:b/>
                <w:bCs/>
                <w:color w:val="000000"/>
                <w:sz w:val="16"/>
                <w:szCs w:val="16"/>
                <w:lang w:val="en-GB" w:eastAsia="en-GB"/>
              </w:rPr>
              <w:t>OT_LUC_1440</w:t>
            </w:r>
          </w:p>
        </w:tc>
        <w:tc>
          <w:tcPr>
            <w:tcW w:w="1080" w:type="dxa"/>
            <w:tcBorders>
              <w:top w:val="nil"/>
              <w:left w:val="nil"/>
              <w:bottom w:val="single" w:sz="4" w:space="0" w:color="auto"/>
              <w:right w:val="nil"/>
            </w:tcBorders>
            <w:shd w:val="clear" w:color="auto" w:fill="auto"/>
            <w:noWrap/>
            <w:vAlign w:val="bottom"/>
            <w:hideMark/>
          </w:tcPr>
          <w:p w14:paraId="5C2401BA" w14:textId="77777777" w:rsidR="00C1514C" w:rsidRPr="00BA6959" w:rsidRDefault="00C1514C" w:rsidP="00C1514C">
            <w:pPr>
              <w:spacing w:after="0"/>
              <w:jc w:val="center"/>
              <w:rPr>
                <w:rFonts w:ascii="Calibri" w:hAnsi="Calibri" w:cs="Calibri"/>
                <w:b/>
                <w:bCs/>
                <w:color w:val="000000"/>
                <w:sz w:val="16"/>
                <w:szCs w:val="16"/>
                <w:lang w:val="en-GB" w:eastAsia="en-GB"/>
              </w:rPr>
            </w:pPr>
            <w:r w:rsidRPr="00BA6959">
              <w:rPr>
                <w:rFonts w:ascii="Calibri" w:hAnsi="Calibri" w:cs="Calibri"/>
                <w:b/>
                <w:bCs/>
                <w:color w:val="000000"/>
                <w:sz w:val="16"/>
                <w:szCs w:val="16"/>
                <w:lang w:val="en-GB" w:eastAsia="en-GB"/>
              </w:rPr>
              <w:t>OT_RC1_0480</w:t>
            </w:r>
          </w:p>
        </w:tc>
        <w:tc>
          <w:tcPr>
            <w:tcW w:w="1080" w:type="dxa"/>
            <w:tcBorders>
              <w:top w:val="nil"/>
              <w:left w:val="nil"/>
              <w:bottom w:val="single" w:sz="4" w:space="0" w:color="auto"/>
              <w:right w:val="nil"/>
            </w:tcBorders>
            <w:shd w:val="clear" w:color="auto" w:fill="auto"/>
            <w:noWrap/>
            <w:vAlign w:val="bottom"/>
            <w:hideMark/>
          </w:tcPr>
          <w:p w14:paraId="6C6331E8" w14:textId="77777777" w:rsidR="00C1514C" w:rsidRPr="00BA6959" w:rsidRDefault="00C1514C" w:rsidP="00C1514C">
            <w:pPr>
              <w:spacing w:after="0"/>
              <w:jc w:val="center"/>
              <w:rPr>
                <w:rFonts w:ascii="Calibri" w:hAnsi="Calibri" w:cs="Calibri"/>
                <w:b/>
                <w:bCs/>
                <w:color w:val="000000"/>
                <w:sz w:val="16"/>
                <w:szCs w:val="16"/>
                <w:lang w:val="en-GB" w:eastAsia="en-GB"/>
              </w:rPr>
            </w:pPr>
            <w:r w:rsidRPr="00BA6959">
              <w:rPr>
                <w:rFonts w:ascii="Calibri" w:hAnsi="Calibri" w:cs="Calibri"/>
                <w:b/>
                <w:bCs/>
                <w:color w:val="000000"/>
                <w:sz w:val="16"/>
                <w:szCs w:val="16"/>
                <w:lang w:val="en-GB" w:eastAsia="en-GB"/>
              </w:rPr>
              <w:t>OT_RC1_0960</w:t>
            </w:r>
          </w:p>
        </w:tc>
        <w:tc>
          <w:tcPr>
            <w:tcW w:w="1286" w:type="dxa"/>
            <w:tcBorders>
              <w:top w:val="nil"/>
              <w:left w:val="nil"/>
              <w:bottom w:val="single" w:sz="4" w:space="0" w:color="auto"/>
              <w:right w:val="nil"/>
            </w:tcBorders>
            <w:shd w:val="clear" w:color="auto" w:fill="auto"/>
            <w:noWrap/>
            <w:vAlign w:val="bottom"/>
            <w:hideMark/>
          </w:tcPr>
          <w:p w14:paraId="347E7C5B" w14:textId="77777777" w:rsidR="00C1514C" w:rsidRPr="00BA6959" w:rsidRDefault="00C1514C" w:rsidP="00C1514C">
            <w:pPr>
              <w:spacing w:after="0"/>
              <w:jc w:val="center"/>
              <w:rPr>
                <w:rFonts w:ascii="Calibri" w:hAnsi="Calibri" w:cs="Calibri"/>
                <w:b/>
                <w:bCs/>
                <w:color w:val="000000"/>
                <w:sz w:val="16"/>
                <w:szCs w:val="16"/>
                <w:lang w:val="en-GB" w:eastAsia="en-GB"/>
              </w:rPr>
            </w:pPr>
            <w:r w:rsidRPr="00BA6959">
              <w:rPr>
                <w:rFonts w:ascii="Calibri" w:hAnsi="Calibri" w:cs="Calibri"/>
                <w:b/>
                <w:bCs/>
                <w:color w:val="000000"/>
                <w:sz w:val="16"/>
                <w:szCs w:val="16"/>
                <w:lang w:val="en-GB" w:eastAsia="en-GB"/>
              </w:rPr>
              <w:t>TOX21_BLA_Ago</w:t>
            </w:r>
          </w:p>
        </w:tc>
        <w:tc>
          <w:tcPr>
            <w:tcW w:w="1262" w:type="dxa"/>
            <w:tcBorders>
              <w:top w:val="nil"/>
              <w:left w:val="nil"/>
              <w:bottom w:val="single" w:sz="4" w:space="0" w:color="auto"/>
              <w:right w:val="nil"/>
            </w:tcBorders>
            <w:shd w:val="clear" w:color="auto" w:fill="auto"/>
            <w:noWrap/>
            <w:vAlign w:val="bottom"/>
            <w:hideMark/>
          </w:tcPr>
          <w:p w14:paraId="73757843" w14:textId="77777777" w:rsidR="00C1514C" w:rsidRPr="00BA6959" w:rsidRDefault="00C1514C" w:rsidP="00C1514C">
            <w:pPr>
              <w:spacing w:after="0"/>
              <w:jc w:val="center"/>
              <w:rPr>
                <w:rFonts w:ascii="Calibri" w:hAnsi="Calibri" w:cs="Calibri"/>
                <w:b/>
                <w:bCs/>
                <w:color w:val="000000"/>
                <w:sz w:val="16"/>
                <w:szCs w:val="16"/>
                <w:lang w:val="en-GB" w:eastAsia="en-GB"/>
              </w:rPr>
            </w:pPr>
            <w:r w:rsidRPr="00BA6959">
              <w:rPr>
                <w:rFonts w:ascii="Calibri" w:hAnsi="Calibri" w:cs="Calibri"/>
                <w:b/>
                <w:bCs/>
                <w:color w:val="000000"/>
                <w:sz w:val="16"/>
                <w:szCs w:val="16"/>
                <w:lang w:val="en-GB" w:eastAsia="en-GB"/>
              </w:rPr>
              <w:t>TOX21_BLA_Ant</w:t>
            </w:r>
          </w:p>
        </w:tc>
        <w:tc>
          <w:tcPr>
            <w:tcW w:w="1288" w:type="dxa"/>
            <w:tcBorders>
              <w:top w:val="nil"/>
              <w:left w:val="nil"/>
              <w:bottom w:val="single" w:sz="4" w:space="0" w:color="auto"/>
              <w:right w:val="nil"/>
            </w:tcBorders>
            <w:shd w:val="clear" w:color="auto" w:fill="auto"/>
            <w:noWrap/>
            <w:vAlign w:val="bottom"/>
            <w:hideMark/>
          </w:tcPr>
          <w:p w14:paraId="7C938DEF" w14:textId="77777777" w:rsidR="00C1514C" w:rsidRPr="00BA6959" w:rsidRDefault="00C1514C" w:rsidP="00C1514C">
            <w:pPr>
              <w:spacing w:after="0"/>
              <w:jc w:val="center"/>
              <w:rPr>
                <w:rFonts w:ascii="Calibri" w:hAnsi="Calibri" w:cs="Calibri"/>
                <w:b/>
                <w:bCs/>
                <w:color w:val="000000"/>
                <w:sz w:val="16"/>
                <w:szCs w:val="16"/>
                <w:lang w:val="en-GB" w:eastAsia="en-GB"/>
              </w:rPr>
            </w:pPr>
            <w:r w:rsidRPr="00BA6959">
              <w:rPr>
                <w:rFonts w:ascii="Calibri" w:hAnsi="Calibri" w:cs="Calibri"/>
                <w:b/>
                <w:bCs/>
                <w:color w:val="000000"/>
                <w:sz w:val="16"/>
                <w:szCs w:val="16"/>
                <w:lang w:val="en-GB" w:eastAsia="en-GB"/>
              </w:rPr>
              <w:t>TOX21_LUC_Ago</w:t>
            </w:r>
          </w:p>
        </w:tc>
        <w:tc>
          <w:tcPr>
            <w:tcW w:w="1266" w:type="dxa"/>
            <w:tcBorders>
              <w:top w:val="nil"/>
              <w:left w:val="nil"/>
              <w:bottom w:val="single" w:sz="4" w:space="0" w:color="auto"/>
              <w:right w:val="nil"/>
            </w:tcBorders>
            <w:shd w:val="clear" w:color="auto" w:fill="auto"/>
            <w:noWrap/>
            <w:vAlign w:val="bottom"/>
            <w:hideMark/>
          </w:tcPr>
          <w:p w14:paraId="43B903BC" w14:textId="77777777" w:rsidR="00C1514C" w:rsidRPr="00BA6959" w:rsidRDefault="00C1514C" w:rsidP="00C1514C">
            <w:pPr>
              <w:spacing w:after="0"/>
              <w:jc w:val="center"/>
              <w:rPr>
                <w:rFonts w:ascii="Calibri" w:hAnsi="Calibri" w:cs="Calibri"/>
                <w:b/>
                <w:bCs/>
                <w:color w:val="000000"/>
                <w:sz w:val="16"/>
                <w:szCs w:val="16"/>
                <w:lang w:val="en-GB" w:eastAsia="en-GB"/>
              </w:rPr>
            </w:pPr>
            <w:r w:rsidRPr="00BA6959">
              <w:rPr>
                <w:rFonts w:ascii="Calibri" w:hAnsi="Calibri" w:cs="Calibri"/>
                <w:b/>
                <w:bCs/>
                <w:color w:val="000000"/>
                <w:sz w:val="16"/>
                <w:szCs w:val="16"/>
                <w:lang w:val="en-GB" w:eastAsia="en-GB"/>
              </w:rPr>
              <w:t>TOX21_LUC_Ant</w:t>
            </w:r>
          </w:p>
        </w:tc>
        <w:tc>
          <w:tcPr>
            <w:tcW w:w="1357" w:type="dxa"/>
            <w:tcBorders>
              <w:top w:val="nil"/>
              <w:left w:val="nil"/>
              <w:bottom w:val="single" w:sz="4" w:space="0" w:color="auto"/>
              <w:right w:val="nil"/>
            </w:tcBorders>
            <w:shd w:val="clear" w:color="auto" w:fill="auto"/>
            <w:noWrap/>
            <w:vAlign w:val="bottom"/>
            <w:hideMark/>
          </w:tcPr>
          <w:p w14:paraId="2BD10B28" w14:textId="77777777" w:rsidR="00C1514C" w:rsidRPr="00BA6959" w:rsidRDefault="00C1514C" w:rsidP="00C1514C">
            <w:pPr>
              <w:spacing w:after="0"/>
              <w:jc w:val="center"/>
              <w:rPr>
                <w:rFonts w:ascii="Calibri" w:hAnsi="Calibri" w:cs="Calibri"/>
                <w:b/>
                <w:bCs/>
                <w:color w:val="000000"/>
                <w:sz w:val="16"/>
                <w:szCs w:val="16"/>
                <w:lang w:val="en-GB" w:eastAsia="en-GB"/>
              </w:rPr>
            </w:pPr>
            <w:r w:rsidRPr="00BA6959">
              <w:rPr>
                <w:rFonts w:ascii="Calibri" w:hAnsi="Calibri" w:cs="Calibri"/>
                <w:b/>
                <w:bCs/>
                <w:color w:val="000000"/>
                <w:sz w:val="16"/>
                <w:szCs w:val="16"/>
                <w:lang w:val="en-GB" w:eastAsia="en-GB"/>
              </w:rPr>
              <w:t>TOX21_LUC_Ant2</w:t>
            </w:r>
          </w:p>
        </w:tc>
      </w:tr>
      <w:tr w:rsidR="00C1514C" w:rsidRPr="00BA6959" w14:paraId="5290B9BE" w14:textId="77777777" w:rsidTr="00C1514C">
        <w:trPr>
          <w:trHeight w:val="300"/>
          <w:jc w:val="center"/>
        </w:trPr>
        <w:tc>
          <w:tcPr>
            <w:tcW w:w="1080" w:type="dxa"/>
            <w:tcBorders>
              <w:top w:val="nil"/>
              <w:left w:val="nil"/>
              <w:bottom w:val="nil"/>
              <w:right w:val="nil"/>
            </w:tcBorders>
            <w:shd w:val="clear" w:color="auto" w:fill="auto"/>
            <w:noWrap/>
            <w:vAlign w:val="bottom"/>
            <w:hideMark/>
          </w:tcPr>
          <w:p w14:paraId="29A0FE99" w14:textId="77777777" w:rsidR="00C1514C" w:rsidRPr="00BA6959" w:rsidRDefault="00C1514C" w:rsidP="00C1514C">
            <w:pPr>
              <w:spacing w:after="0"/>
              <w:jc w:val="left"/>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AR Binders</w:t>
            </w:r>
          </w:p>
        </w:tc>
        <w:tc>
          <w:tcPr>
            <w:tcW w:w="880" w:type="dxa"/>
            <w:tcBorders>
              <w:top w:val="nil"/>
              <w:left w:val="nil"/>
              <w:bottom w:val="nil"/>
              <w:right w:val="nil"/>
            </w:tcBorders>
            <w:shd w:val="clear" w:color="auto" w:fill="auto"/>
            <w:noWrap/>
            <w:vAlign w:val="bottom"/>
            <w:hideMark/>
          </w:tcPr>
          <w:p w14:paraId="2053F49F"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899</w:t>
            </w:r>
          </w:p>
        </w:tc>
        <w:tc>
          <w:tcPr>
            <w:tcW w:w="648" w:type="dxa"/>
            <w:tcBorders>
              <w:top w:val="nil"/>
              <w:left w:val="nil"/>
              <w:bottom w:val="nil"/>
              <w:right w:val="nil"/>
            </w:tcBorders>
            <w:shd w:val="clear" w:color="auto" w:fill="auto"/>
            <w:noWrap/>
            <w:vAlign w:val="bottom"/>
            <w:hideMark/>
          </w:tcPr>
          <w:p w14:paraId="4FDC44B6"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2.65</w:t>
            </w:r>
          </w:p>
        </w:tc>
        <w:tc>
          <w:tcPr>
            <w:tcW w:w="743" w:type="dxa"/>
            <w:tcBorders>
              <w:top w:val="nil"/>
              <w:left w:val="nil"/>
              <w:bottom w:val="nil"/>
              <w:right w:val="nil"/>
            </w:tcBorders>
            <w:shd w:val="clear" w:color="auto" w:fill="auto"/>
            <w:noWrap/>
            <w:vAlign w:val="bottom"/>
            <w:hideMark/>
          </w:tcPr>
          <w:p w14:paraId="5044E8DC"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15.09</w:t>
            </w:r>
          </w:p>
        </w:tc>
        <w:tc>
          <w:tcPr>
            <w:tcW w:w="710" w:type="dxa"/>
            <w:tcBorders>
              <w:top w:val="nil"/>
              <w:left w:val="nil"/>
              <w:bottom w:val="nil"/>
              <w:right w:val="nil"/>
            </w:tcBorders>
            <w:shd w:val="clear" w:color="auto" w:fill="auto"/>
            <w:noWrap/>
            <w:vAlign w:val="bottom"/>
            <w:hideMark/>
          </w:tcPr>
          <w:p w14:paraId="7EA62B97"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12.10</w:t>
            </w:r>
          </w:p>
        </w:tc>
        <w:tc>
          <w:tcPr>
            <w:tcW w:w="1080" w:type="dxa"/>
            <w:tcBorders>
              <w:top w:val="nil"/>
              <w:left w:val="nil"/>
              <w:bottom w:val="nil"/>
              <w:right w:val="nil"/>
            </w:tcBorders>
            <w:shd w:val="clear" w:color="auto" w:fill="auto"/>
            <w:noWrap/>
            <w:vAlign w:val="bottom"/>
            <w:hideMark/>
          </w:tcPr>
          <w:p w14:paraId="47E340BB"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41.96</w:t>
            </w:r>
          </w:p>
        </w:tc>
        <w:tc>
          <w:tcPr>
            <w:tcW w:w="1080" w:type="dxa"/>
            <w:tcBorders>
              <w:top w:val="nil"/>
              <w:left w:val="nil"/>
              <w:bottom w:val="nil"/>
              <w:right w:val="nil"/>
            </w:tcBorders>
            <w:shd w:val="clear" w:color="auto" w:fill="auto"/>
            <w:noWrap/>
            <w:vAlign w:val="bottom"/>
            <w:hideMark/>
          </w:tcPr>
          <w:p w14:paraId="74372FF4"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12.24</w:t>
            </w:r>
          </w:p>
        </w:tc>
        <w:tc>
          <w:tcPr>
            <w:tcW w:w="1080" w:type="dxa"/>
            <w:tcBorders>
              <w:top w:val="nil"/>
              <w:left w:val="nil"/>
              <w:bottom w:val="nil"/>
              <w:right w:val="nil"/>
            </w:tcBorders>
            <w:shd w:val="clear" w:color="auto" w:fill="auto"/>
            <w:noWrap/>
            <w:vAlign w:val="bottom"/>
            <w:hideMark/>
          </w:tcPr>
          <w:p w14:paraId="0437A4AC"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16.78</w:t>
            </w:r>
          </w:p>
        </w:tc>
        <w:tc>
          <w:tcPr>
            <w:tcW w:w="1286" w:type="dxa"/>
            <w:tcBorders>
              <w:top w:val="nil"/>
              <w:left w:val="nil"/>
              <w:bottom w:val="nil"/>
              <w:right w:val="nil"/>
            </w:tcBorders>
            <w:shd w:val="clear" w:color="auto" w:fill="auto"/>
            <w:noWrap/>
            <w:vAlign w:val="bottom"/>
            <w:hideMark/>
          </w:tcPr>
          <w:p w14:paraId="65B505DE"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19.59</w:t>
            </w:r>
          </w:p>
        </w:tc>
        <w:tc>
          <w:tcPr>
            <w:tcW w:w="1262" w:type="dxa"/>
            <w:tcBorders>
              <w:top w:val="nil"/>
              <w:left w:val="nil"/>
              <w:bottom w:val="nil"/>
              <w:right w:val="nil"/>
            </w:tcBorders>
            <w:shd w:val="clear" w:color="auto" w:fill="auto"/>
            <w:noWrap/>
            <w:vAlign w:val="bottom"/>
            <w:hideMark/>
          </w:tcPr>
          <w:p w14:paraId="6CAEF601"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29.73</w:t>
            </w:r>
          </w:p>
        </w:tc>
        <w:tc>
          <w:tcPr>
            <w:tcW w:w="1288" w:type="dxa"/>
            <w:tcBorders>
              <w:top w:val="nil"/>
              <w:left w:val="nil"/>
              <w:bottom w:val="nil"/>
              <w:right w:val="nil"/>
            </w:tcBorders>
            <w:shd w:val="clear" w:color="auto" w:fill="auto"/>
            <w:noWrap/>
            <w:vAlign w:val="bottom"/>
            <w:hideMark/>
          </w:tcPr>
          <w:p w14:paraId="0F2074D5"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31.55</w:t>
            </w:r>
          </w:p>
        </w:tc>
        <w:tc>
          <w:tcPr>
            <w:tcW w:w="1266" w:type="dxa"/>
            <w:tcBorders>
              <w:top w:val="nil"/>
              <w:left w:val="nil"/>
              <w:bottom w:val="nil"/>
              <w:right w:val="nil"/>
            </w:tcBorders>
            <w:shd w:val="clear" w:color="auto" w:fill="auto"/>
            <w:noWrap/>
            <w:vAlign w:val="bottom"/>
            <w:hideMark/>
          </w:tcPr>
          <w:p w14:paraId="6B2EDB94"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15.15</w:t>
            </w:r>
          </w:p>
        </w:tc>
        <w:tc>
          <w:tcPr>
            <w:tcW w:w="1357" w:type="dxa"/>
            <w:tcBorders>
              <w:top w:val="nil"/>
              <w:left w:val="nil"/>
              <w:bottom w:val="nil"/>
              <w:right w:val="nil"/>
            </w:tcBorders>
            <w:shd w:val="clear" w:color="auto" w:fill="auto"/>
            <w:noWrap/>
            <w:vAlign w:val="bottom"/>
            <w:hideMark/>
          </w:tcPr>
          <w:p w14:paraId="7FAAB28D"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32.98</w:t>
            </w:r>
          </w:p>
        </w:tc>
      </w:tr>
      <w:tr w:rsidR="00C1514C" w:rsidRPr="00BA6959" w14:paraId="0255A551" w14:textId="77777777" w:rsidTr="00C1514C">
        <w:trPr>
          <w:trHeight w:val="300"/>
          <w:jc w:val="center"/>
        </w:trPr>
        <w:tc>
          <w:tcPr>
            <w:tcW w:w="1080" w:type="dxa"/>
            <w:tcBorders>
              <w:top w:val="nil"/>
              <w:left w:val="nil"/>
              <w:bottom w:val="nil"/>
              <w:right w:val="nil"/>
            </w:tcBorders>
            <w:shd w:val="clear" w:color="auto" w:fill="auto"/>
            <w:noWrap/>
            <w:vAlign w:val="bottom"/>
            <w:hideMark/>
          </w:tcPr>
          <w:p w14:paraId="153284DE" w14:textId="77777777" w:rsidR="00C1514C" w:rsidRPr="00BA6959" w:rsidRDefault="00C1514C" w:rsidP="00C1514C">
            <w:pPr>
              <w:spacing w:after="0"/>
              <w:jc w:val="left"/>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AR Alert 1</w:t>
            </w:r>
          </w:p>
        </w:tc>
        <w:tc>
          <w:tcPr>
            <w:tcW w:w="880" w:type="dxa"/>
            <w:tcBorders>
              <w:top w:val="nil"/>
              <w:left w:val="nil"/>
              <w:bottom w:val="nil"/>
              <w:right w:val="nil"/>
            </w:tcBorders>
            <w:shd w:val="clear" w:color="auto" w:fill="auto"/>
            <w:noWrap/>
            <w:vAlign w:val="bottom"/>
            <w:hideMark/>
          </w:tcPr>
          <w:p w14:paraId="4E200021" w14:textId="77777777" w:rsidR="00C1514C" w:rsidRPr="00BA6959" w:rsidRDefault="00C1514C" w:rsidP="00C1514C">
            <w:pPr>
              <w:spacing w:after="0"/>
              <w:jc w:val="center"/>
              <w:rPr>
                <w:rFonts w:ascii="Calibri" w:hAnsi="Calibri" w:cs="Calibri"/>
                <w:sz w:val="16"/>
                <w:szCs w:val="16"/>
                <w:lang w:val="en-GB" w:eastAsia="en-GB"/>
              </w:rPr>
            </w:pPr>
            <w:r w:rsidRPr="00BA6959">
              <w:rPr>
                <w:rFonts w:ascii="Calibri" w:hAnsi="Calibri" w:cs="Calibri"/>
                <w:sz w:val="16"/>
                <w:szCs w:val="16"/>
                <w:lang w:val="en-GB" w:eastAsia="en-GB"/>
              </w:rPr>
              <w:t>23</w:t>
            </w:r>
          </w:p>
        </w:tc>
        <w:tc>
          <w:tcPr>
            <w:tcW w:w="648" w:type="dxa"/>
            <w:tcBorders>
              <w:top w:val="nil"/>
              <w:left w:val="nil"/>
              <w:bottom w:val="nil"/>
              <w:right w:val="nil"/>
            </w:tcBorders>
            <w:shd w:val="clear" w:color="auto" w:fill="auto"/>
            <w:noWrap/>
            <w:vAlign w:val="bottom"/>
            <w:hideMark/>
          </w:tcPr>
          <w:p w14:paraId="3CB1D6C4"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N/A</w:t>
            </w:r>
          </w:p>
        </w:tc>
        <w:tc>
          <w:tcPr>
            <w:tcW w:w="743" w:type="dxa"/>
            <w:tcBorders>
              <w:top w:val="nil"/>
              <w:left w:val="nil"/>
              <w:bottom w:val="nil"/>
              <w:right w:val="nil"/>
            </w:tcBorders>
            <w:shd w:val="clear" w:color="auto" w:fill="auto"/>
            <w:noWrap/>
            <w:vAlign w:val="bottom"/>
            <w:hideMark/>
          </w:tcPr>
          <w:p w14:paraId="0D8902CF"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N/A</w:t>
            </w:r>
          </w:p>
        </w:tc>
        <w:tc>
          <w:tcPr>
            <w:tcW w:w="710" w:type="dxa"/>
            <w:tcBorders>
              <w:top w:val="nil"/>
              <w:left w:val="nil"/>
              <w:bottom w:val="nil"/>
              <w:right w:val="nil"/>
            </w:tcBorders>
            <w:shd w:val="clear" w:color="auto" w:fill="auto"/>
            <w:noWrap/>
            <w:vAlign w:val="bottom"/>
            <w:hideMark/>
          </w:tcPr>
          <w:p w14:paraId="5C3D7E5D"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N/A</w:t>
            </w:r>
          </w:p>
        </w:tc>
        <w:tc>
          <w:tcPr>
            <w:tcW w:w="1080" w:type="dxa"/>
            <w:tcBorders>
              <w:top w:val="nil"/>
              <w:left w:val="nil"/>
              <w:bottom w:val="nil"/>
              <w:right w:val="nil"/>
            </w:tcBorders>
            <w:shd w:val="clear" w:color="auto" w:fill="auto"/>
            <w:noWrap/>
            <w:vAlign w:val="bottom"/>
            <w:hideMark/>
          </w:tcPr>
          <w:p w14:paraId="3E259458"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N/A</w:t>
            </w:r>
          </w:p>
        </w:tc>
        <w:tc>
          <w:tcPr>
            <w:tcW w:w="1080" w:type="dxa"/>
            <w:tcBorders>
              <w:top w:val="nil"/>
              <w:left w:val="nil"/>
              <w:bottom w:val="nil"/>
              <w:right w:val="nil"/>
            </w:tcBorders>
            <w:shd w:val="clear" w:color="auto" w:fill="auto"/>
            <w:noWrap/>
            <w:vAlign w:val="bottom"/>
            <w:hideMark/>
          </w:tcPr>
          <w:p w14:paraId="42B8D6A6"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N/A</w:t>
            </w:r>
          </w:p>
        </w:tc>
        <w:tc>
          <w:tcPr>
            <w:tcW w:w="1080" w:type="dxa"/>
            <w:tcBorders>
              <w:top w:val="nil"/>
              <w:left w:val="nil"/>
              <w:bottom w:val="nil"/>
              <w:right w:val="nil"/>
            </w:tcBorders>
            <w:shd w:val="clear" w:color="auto" w:fill="auto"/>
            <w:noWrap/>
            <w:vAlign w:val="bottom"/>
            <w:hideMark/>
          </w:tcPr>
          <w:p w14:paraId="480F809C"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N/A</w:t>
            </w:r>
          </w:p>
        </w:tc>
        <w:tc>
          <w:tcPr>
            <w:tcW w:w="1286" w:type="dxa"/>
            <w:tcBorders>
              <w:top w:val="nil"/>
              <w:left w:val="nil"/>
              <w:bottom w:val="nil"/>
              <w:right w:val="nil"/>
            </w:tcBorders>
            <w:shd w:val="clear" w:color="auto" w:fill="auto"/>
            <w:noWrap/>
            <w:vAlign w:val="bottom"/>
            <w:hideMark/>
          </w:tcPr>
          <w:p w14:paraId="15C5C681"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78.26</w:t>
            </w:r>
          </w:p>
        </w:tc>
        <w:tc>
          <w:tcPr>
            <w:tcW w:w="1262" w:type="dxa"/>
            <w:tcBorders>
              <w:top w:val="nil"/>
              <w:left w:val="nil"/>
              <w:bottom w:val="nil"/>
              <w:right w:val="nil"/>
            </w:tcBorders>
            <w:shd w:val="clear" w:color="auto" w:fill="auto"/>
            <w:noWrap/>
            <w:vAlign w:val="bottom"/>
            <w:hideMark/>
          </w:tcPr>
          <w:p w14:paraId="5F5CF091"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13.04</w:t>
            </w:r>
          </w:p>
        </w:tc>
        <w:tc>
          <w:tcPr>
            <w:tcW w:w="1288" w:type="dxa"/>
            <w:tcBorders>
              <w:top w:val="nil"/>
              <w:left w:val="nil"/>
              <w:bottom w:val="nil"/>
              <w:right w:val="nil"/>
            </w:tcBorders>
            <w:shd w:val="clear" w:color="auto" w:fill="auto"/>
            <w:noWrap/>
            <w:vAlign w:val="bottom"/>
            <w:hideMark/>
          </w:tcPr>
          <w:p w14:paraId="0B85E33D"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100.00</w:t>
            </w:r>
          </w:p>
        </w:tc>
        <w:tc>
          <w:tcPr>
            <w:tcW w:w="1266" w:type="dxa"/>
            <w:tcBorders>
              <w:top w:val="nil"/>
              <w:left w:val="nil"/>
              <w:bottom w:val="nil"/>
              <w:right w:val="nil"/>
            </w:tcBorders>
            <w:shd w:val="clear" w:color="auto" w:fill="auto"/>
            <w:noWrap/>
            <w:vAlign w:val="bottom"/>
            <w:hideMark/>
          </w:tcPr>
          <w:p w14:paraId="2A6B589A"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0.00</w:t>
            </w:r>
          </w:p>
        </w:tc>
        <w:tc>
          <w:tcPr>
            <w:tcW w:w="1357" w:type="dxa"/>
            <w:tcBorders>
              <w:top w:val="nil"/>
              <w:left w:val="nil"/>
              <w:bottom w:val="nil"/>
              <w:right w:val="nil"/>
            </w:tcBorders>
            <w:shd w:val="clear" w:color="auto" w:fill="auto"/>
            <w:noWrap/>
            <w:vAlign w:val="bottom"/>
            <w:hideMark/>
          </w:tcPr>
          <w:p w14:paraId="7332E3AF"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0.00</w:t>
            </w:r>
          </w:p>
        </w:tc>
      </w:tr>
      <w:tr w:rsidR="00C1514C" w:rsidRPr="00BA6959" w14:paraId="6DE19B93" w14:textId="77777777" w:rsidTr="00C1514C">
        <w:trPr>
          <w:trHeight w:val="300"/>
          <w:jc w:val="center"/>
        </w:trPr>
        <w:tc>
          <w:tcPr>
            <w:tcW w:w="1080" w:type="dxa"/>
            <w:tcBorders>
              <w:top w:val="nil"/>
              <w:left w:val="nil"/>
              <w:bottom w:val="nil"/>
              <w:right w:val="nil"/>
            </w:tcBorders>
            <w:shd w:val="clear" w:color="auto" w:fill="auto"/>
            <w:noWrap/>
            <w:vAlign w:val="bottom"/>
            <w:hideMark/>
          </w:tcPr>
          <w:p w14:paraId="2AB3C7E7" w14:textId="77777777" w:rsidR="00C1514C" w:rsidRPr="00BA6959" w:rsidRDefault="00C1514C" w:rsidP="00C1514C">
            <w:pPr>
              <w:spacing w:after="0"/>
              <w:jc w:val="left"/>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AR Alert 2</w:t>
            </w:r>
          </w:p>
        </w:tc>
        <w:tc>
          <w:tcPr>
            <w:tcW w:w="880" w:type="dxa"/>
            <w:tcBorders>
              <w:top w:val="nil"/>
              <w:left w:val="nil"/>
              <w:bottom w:val="nil"/>
              <w:right w:val="nil"/>
            </w:tcBorders>
            <w:shd w:val="clear" w:color="auto" w:fill="auto"/>
            <w:noWrap/>
            <w:vAlign w:val="bottom"/>
            <w:hideMark/>
          </w:tcPr>
          <w:p w14:paraId="4E08BA97" w14:textId="77777777" w:rsidR="00C1514C" w:rsidRPr="00BA6959" w:rsidRDefault="00C1514C" w:rsidP="00C1514C">
            <w:pPr>
              <w:spacing w:after="0"/>
              <w:jc w:val="center"/>
              <w:rPr>
                <w:rFonts w:ascii="Calibri" w:hAnsi="Calibri" w:cs="Calibri"/>
                <w:sz w:val="16"/>
                <w:szCs w:val="16"/>
                <w:lang w:val="en-GB" w:eastAsia="en-GB"/>
              </w:rPr>
            </w:pPr>
            <w:r w:rsidRPr="00BA6959">
              <w:rPr>
                <w:rFonts w:ascii="Calibri" w:hAnsi="Calibri" w:cs="Calibri"/>
                <w:sz w:val="16"/>
                <w:szCs w:val="16"/>
                <w:lang w:val="en-GB" w:eastAsia="en-GB"/>
              </w:rPr>
              <w:t>41</w:t>
            </w:r>
          </w:p>
        </w:tc>
        <w:tc>
          <w:tcPr>
            <w:tcW w:w="648" w:type="dxa"/>
            <w:tcBorders>
              <w:top w:val="nil"/>
              <w:left w:val="nil"/>
              <w:bottom w:val="nil"/>
              <w:right w:val="nil"/>
            </w:tcBorders>
            <w:shd w:val="clear" w:color="auto" w:fill="auto"/>
            <w:noWrap/>
            <w:vAlign w:val="bottom"/>
            <w:hideMark/>
          </w:tcPr>
          <w:p w14:paraId="3FEB2340"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0.00</w:t>
            </w:r>
          </w:p>
        </w:tc>
        <w:tc>
          <w:tcPr>
            <w:tcW w:w="743" w:type="dxa"/>
            <w:tcBorders>
              <w:top w:val="nil"/>
              <w:left w:val="nil"/>
              <w:bottom w:val="nil"/>
              <w:right w:val="nil"/>
            </w:tcBorders>
            <w:shd w:val="clear" w:color="auto" w:fill="auto"/>
            <w:noWrap/>
            <w:vAlign w:val="bottom"/>
            <w:hideMark/>
          </w:tcPr>
          <w:p w14:paraId="3AB41369"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22.22</w:t>
            </w:r>
          </w:p>
        </w:tc>
        <w:tc>
          <w:tcPr>
            <w:tcW w:w="710" w:type="dxa"/>
            <w:tcBorders>
              <w:top w:val="nil"/>
              <w:left w:val="nil"/>
              <w:bottom w:val="nil"/>
              <w:right w:val="nil"/>
            </w:tcBorders>
            <w:shd w:val="clear" w:color="auto" w:fill="auto"/>
            <w:noWrap/>
            <w:vAlign w:val="bottom"/>
            <w:hideMark/>
          </w:tcPr>
          <w:p w14:paraId="29596FB9"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0.00</w:t>
            </w:r>
          </w:p>
        </w:tc>
        <w:tc>
          <w:tcPr>
            <w:tcW w:w="1080" w:type="dxa"/>
            <w:tcBorders>
              <w:top w:val="nil"/>
              <w:left w:val="nil"/>
              <w:bottom w:val="nil"/>
              <w:right w:val="nil"/>
            </w:tcBorders>
            <w:shd w:val="clear" w:color="auto" w:fill="auto"/>
            <w:noWrap/>
            <w:vAlign w:val="bottom"/>
            <w:hideMark/>
          </w:tcPr>
          <w:p w14:paraId="671FD81B"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0.00</w:t>
            </w:r>
          </w:p>
        </w:tc>
        <w:tc>
          <w:tcPr>
            <w:tcW w:w="1080" w:type="dxa"/>
            <w:tcBorders>
              <w:top w:val="nil"/>
              <w:left w:val="nil"/>
              <w:bottom w:val="nil"/>
              <w:right w:val="nil"/>
            </w:tcBorders>
            <w:shd w:val="clear" w:color="auto" w:fill="auto"/>
            <w:noWrap/>
            <w:vAlign w:val="bottom"/>
            <w:hideMark/>
          </w:tcPr>
          <w:p w14:paraId="4BB28416"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0.00</w:t>
            </w:r>
          </w:p>
        </w:tc>
        <w:tc>
          <w:tcPr>
            <w:tcW w:w="1080" w:type="dxa"/>
            <w:tcBorders>
              <w:top w:val="nil"/>
              <w:left w:val="nil"/>
              <w:bottom w:val="nil"/>
              <w:right w:val="nil"/>
            </w:tcBorders>
            <w:shd w:val="clear" w:color="auto" w:fill="auto"/>
            <w:noWrap/>
            <w:vAlign w:val="bottom"/>
            <w:hideMark/>
          </w:tcPr>
          <w:p w14:paraId="1A8218A3"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0.00</w:t>
            </w:r>
          </w:p>
        </w:tc>
        <w:tc>
          <w:tcPr>
            <w:tcW w:w="1286" w:type="dxa"/>
            <w:tcBorders>
              <w:top w:val="nil"/>
              <w:left w:val="nil"/>
              <w:bottom w:val="nil"/>
              <w:right w:val="nil"/>
            </w:tcBorders>
            <w:shd w:val="clear" w:color="auto" w:fill="auto"/>
            <w:noWrap/>
            <w:vAlign w:val="bottom"/>
            <w:hideMark/>
          </w:tcPr>
          <w:p w14:paraId="0BF7D420"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73.17</w:t>
            </w:r>
          </w:p>
        </w:tc>
        <w:tc>
          <w:tcPr>
            <w:tcW w:w="1262" w:type="dxa"/>
            <w:tcBorders>
              <w:top w:val="nil"/>
              <w:left w:val="nil"/>
              <w:bottom w:val="nil"/>
              <w:right w:val="nil"/>
            </w:tcBorders>
            <w:shd w:val="clear" w:color="auto" w:fill="auto"/>
            <w:noWrap/>
            <w:vAlign w:val="bottom"/>
            <w:hideMark/>
          </w:tcPr>
          <w:p w14:paraId="3D9177DD"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12.20</w:t>
            </w:r>
          </w:p>
        </w:tc>
        <w:tc>
          <w:tcPr>
            <w:tcW w:w="1288" w:type="dxa"/>
            <w:tcBorders>
              <w:top w:val="nil"/>
              <w:left w:val="nil"/>
              <w:bottom w:val="nil"/>
              <w:right w:val="nil"/>
            </w:tcBorders>
            <w:shd w:val="clear" w:color="auto" w:fill="auto"/>
            <w:noWrap/>
            <w:vAlign w:val="bottom"/>
            <w:hideMark/>
          </w:tcPr>
          <w:p w14:paraId="10B02185"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100.00</w:t>
            </w:r>
          </w:p>
        </w:tc>
        <w:tc>
          <w:tcPr>
            <w:tcW w:w="1266" w:type="dxa"/>
            <w:tcBorders>
              <w:top w:val="nil"/>
              <w:left w:val="nil"/>
              <w:bottom w:val="nil"/>
              <w:right w:val="nil"/>
            </w:tcBorders>
            <w:shd w:val="clear" w:color="auto" w:fill="auto"/>
            <w:noWrap/>
            <w:vAlign w:val="bottom"/>
            <w:hideMark/>
          </w:tcPr>
          <w:p w14:paraId="5002A2B0"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0.00</w:t>
            </w:r>
          </w:p>
        </w:tc>
        <w:tc>
          <w:tcPr>
            <w:tcW w:w="1357" w:type="dxa"/>
            <w:tcBorders>
              <w:top w:val="nil"/>
              <w:left w:val="nil"/>
              <w:bottom w:val="nil"/>
              <w:right w:val="nil"/>
            </w:tcBorders>
            <w:shd w:val="clear" w:color="auto" w:fill="auto"/>
            <w:noWrap/>
            <w:vAlign w:val="bottom"/>
            <w:hideMark/>
          </w:tcPr>
          <w:p w14:paraId="10281CB2"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0.00</w:t>
            </w:r>
          </w:p>
        </w:tc>
      </w:tr>
      <w:tr w:rsidR="00C1514C" w:rsidRPr="00BA6959" w14:paraId="1B117CF0" w14:textId="77777777" w:rsidTr="00C1514C">
        <w:trPr>
          <w:trHeight w:val="300"/>
          <w:jc w:val="center"/>
        </w:trPr>
        <w:tc>
          <w:tcPr>
            <w:tcW w:w="1080" w:type="dxa"/>
            <w:tcBorders>
              <w:top w:val="nil"/>
              <w:left w:val="nil"/>
              <w:bottom w:val="nil"/>
              <w:right w:val="nil"/>
            </w:tcBorders>
            <w:shd w:val="clear" w:color="auto" w:fill="auto"/>
            <w:noWrap/>
            <w:vAlign w:val="bottom"/>
            <w:hideMark/>
          </w:tcPr>
          <w:p w14:paraId="031A381D" w14:textId="77777777" w:rsidR="00C1514C" w:rsidRPr="00BA6959" w:rsidRDefault="00C1514C" w:rsidP="00C1514C">
            <w:pPr>
              <w:spacing w:after="0"/>
              <w:jc w:val="left"/>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AR Alert 3</w:t>
            </w:r>
          </w:p>
        </w:tc>
        <w:tc>
          <w:tcPr>
            <w:tcW w:w="880" w:type="dxa"/>
            <w:tcBorders>
              <w:top w:val="nil"/>
              <w:left w:val="nil"/>
              <w:bottom w:val="nil"/>
              <w:right w:val="nil"/>
            </w:tcBorders>
            <w:shd w:val="clear" w:color="auto" w:fill="auto"/>
            <w:noWrap/>
            <w:vAlign w:val="bottom"/>
            <w:hideMark/>
          </w:tcPr>
          <w:p w14:paraId="1FE75E9E" w14:textId="77777777" w:rsidR="00C1514C" w:rsidRPr="00BA6959" w:rsidRDefault="00C1514C" w:rsidP="00C1514C">
            <w:pPr>
              <w:spacing w:after="0"/>
              <w:jc w:val="center"/>
              <w:rPr>
                <w:rFonts w:ascii="Calibri" w:hAnsi="Calibri" w:cs="Calibri"/>
                <w:sz w:val="16"/>
                <w:szCs w:val="16"/>
                <w:lang w:val="en-GB" w:eastAsia="en-GB"/>
              </w:rPr>
            </w:pPr>
            <w:r w:rsidRPr="00BA6959">
              <w:rPr>
                <w:rFonts w:ascii="Calibri" w:hAnsi="Calibri" w:cs="Calibri"/>
                <w:sz w:val="16"/>
                <w:szCs w:val="16"/>
                <w:lang w:val="en-GB" w:eastAsia="en-GB"/>
              </w:rPr>
              <w:t>18</w:t>
            </w:r>
          </w:p>
        </w:tc>
        <w:tc>
          <w:tcPr>
            <w:tcW w:w="648" w:type="dxa"/>
            <w:tcBorders>
              <w:top w:val="nil"/>
              <w:left w:val="nil"/>
              <w:bottom w:val="nil"/>
              <w:right w:val="nil"/>
            </w:tcBorders>
            <w:shd w:val="clear" w:color="auto" w:fill="auto"/>
            <w:noWrap/>
            <w:vAlign w:val="bottom"/>
            <w:hideMark/>
          </w:tcPr>
          <w:p w14:paraId="0A25A214"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0.00</w:t>
            </w:r>
          </w:p>
        </w:tc>
        <w:tc>
          <w:tcPr>
            <w:tcW w:w="743" w:type="dxa"/>
            <w:tcBorders>
              <w:top w:val="nil"/>
              <w:left w:val="nil"/>
              <w:bottom w:val="nil"/>
              <w:right w:val="nil"/>
            </w:tcBorders>
            <w:shd w:val="clear" w:color="auto" w:fill="auto"/>
            <w:noWrap/>
            <w:vAlign w:val="bottom"/>
            <w:hideMark/>
          </w:tcPr>
          <w:p w14:paraId="60C7991A"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25.00</w:t>
            </w:r>
          </w:p>
        </w:tc>
        <w:tc>
          <w:tcPr>
            <w:tcW w:w="710" w:type="dxa"/>
            <w:tcBorders>
              <w:top w:val="nil"/>
              <w:left w:val="nil"/>
              <w:bottom w:val="nil"/>
              <w:right w:val="nil"/>
            </w:tcBorders>
            <w:shd w:val="clear" w:color="auto" w:fill="auto"/>
            <w:noWrap/>
            <w:vAlign w:val="bottom"/>
            <w:hideMark/>
          </w:tcPr>
          <w:p w14:paraId="6449715B"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0.00</w:t>
            </w:r>
          </w:p>
        </w:tc>
        <w:tc>
          <w:tcPr>
            <w:tcW w:w="1080" w:type="dxa"/>
            <w:tcBorders>
              <w:top w:val="nil"/>
              <w:left w:val="nil"/>
              <w:bottom w:val="nil"/>
              <w:right w:val="nil"/>
            </w:tcBorders>
            <w:shd w:val="clear" w:color="auto" w:fill="auto"/>
            <w:noWrap/>
            <w:vAlign w:val="bottom"/>
            <w:hideMark/>
          </w:tcPr>
          <w:p w14:paraId="708E9403"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50.00</w:t>
            </w:r>
          </w:p>
        </w:tc>
        <w:tc>
          <w:tcPr>
            <w:tcW w:w="1080" w:type="dxa"/>
            <w:tcBorders>
              <w:top w:val="nil"/>
              <w:left w:val="nil"/>
              <w:bottom w:val="nil"/>
              <w:right w:val="nil"/>
            </w:tcBorders>
            <w:shd w:val="clear" w:color="auto" w:fill="auto"/>
            <w:noWrap/>
            <w:vAlign w:val="bottom"/>
            <w:hideMark/>
          </w:tcPr>
          <w:p w14:paraId="28D11CC5"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50.00</w:t>
            </w:r>
          </w:p>
        </w:tc>
        <w:tc>
          <w:tcPr>
            <w:tcW w:w="1080" w:type="dxa"/>
            <w:tcBorders>
              <w:top w:val="nil"/>
              <w:left w:val="nil"/>
              <w:bottom w:val="nil"/>
              <w:right w:val="nil"/>
            </w:tcBorders>
            <w:shd w:val="clear" w:color="auto" w:fill="auto"/>
            <w:noWrap/>
            <w:vAlign w:val="bottom"/>
            <w:hideMark/>
          </w:tcPr>
          <w:p w14:paraId="794977C5"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50.00</w:t>
            </w:r>
          </w:p>
        </w:tc>
        <w:tc>
          <w:tcPr>
            <w:tcW w:w="1286" w:type="dxa"/>
            <w:tcBorders>
              <w:top w:val="nil"/>
              <w:left w:val="nil"/>
              <w:bottom w:val="nil"/>
              <w:right w:val="nil"/>
            </w:tcBorders>
            <w:shd w:val="clear" w:color="auto" w:fill="auto"/>
            <w:noWrap/>
            <w:vAlign w:val="bottom"/>
            <w:hideMark/>
          </w:tcPr>
          <w:p w14:paraId="1284C857"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77.78</w:t>
            </w:r>
          </w:p>
        </w:tc>
        <w:tc>
          <w:tcPr>
            <w:tcW w:w="1262" w:type="dxa"/>
            <w:tcBorders>
              <w:top w:val="nil"/>
              <w:left w:val="nil"/>
              <w:bottom w:val="nil"/>
              <w:right w:val="nil"/>
            </w:tcBorders>
            <w:shd w:val="clear" w:color="auto" w:fill="auto"/>
            <w:noWrap/>
            <w:vAlign w:val="bottom"/>
            <w:hideMark/>
          </w:tcPr>
          <w:p w14:paraId="0B066A2E"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5.56</w:t>
            </w:r>
          </w:p>
        </w:tc>
        <w:tc>
          <w:tcPr>
            <w:tcW w:w="1288" w:type="dxa"/>
            <w:tcBorders>
              <w:top w:val="nil"/>
              <w:left w:val="nil"/>
              <w:bottom w:val="nil"/>
              <w:right w:val="nil"/>
            </w:tcBorders>
            <w:shd w:val="clear" w:color="auto" w:fill="auto"/>
            <w:noWrap/>
            <w:vAlign w:val="bottom"/>
            <w:hideMark/>
          </w:tcPr>
          <w:p w14:paraId="10241F83"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88.89</w:t>
            </w:r>
          </w:p>
        </w:tc>
        <w:tc>
          <w:tcPr>
            <w:tcW w:w="1266" w:type="dxa"/>
            <w:tcBorders>
              <w:top w:val="nil"/>
              <w:left w:val="nil"/>
              <w:bottom w:val="nil"/>
              <w:right w:val="nil"/>
            </w:tcBorders>
            <w:shd w:val="clear" w:color="auto" w:fill="auto"/>
            <w:noWrap/>
            <w:vAlign w:val="bottom"/>
            <w:hideMark/>
          </w:tcPr>
          <w:p w14:paraId="54D98BED"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0.00</w:t>
            </w:r>
          </w:p>
        </w:tc>
        <w:tc>
          <w:tcPr>
            <w:tcW w:w="1357" w:type="dxa"/>
            <w:tcBorders>
              <w:top w:val="nil"/>
              <w:left w:val="nil"/>
              <w:bottom w:val="nil"/>
              <w:right w:val="nil"/>
            </w:tcBorders>
            <w:shd w:val="clear" w:color="auto" w:fill="auto"/>
            <w:noWrap/>
            <w:vAlign w:val="bottom"/>
            <w:hideMark/>
          </w:tcPr>
          <w:p w14:paraId="38D9EACD"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0.00</w:t>
            </w:r>
          </w:p>
        </w:tc>
      </w:tr>
      <w:tr w:rsidR="00C1514C" w:rsidRPr="00BA6959" w14:paraId="3A3A0107" w14:textId="77777777" w:rsidTr="00C1514C">
        <w:trPr>
          <w:trHeight w:val="300"/>
          <w:jc w:val="center"/>
        </w:trPr>
        <w:tc>
          <w:tcPr>
            <w:tcW w:w="1080" w:type="dxa"/>
            <w:tcBorders>
              <w:top w:val="nil"/>
              <w:left w:val="nil"/>
              <w:bottom w:val="nil"/>
              <w:right w:val="nil"/>
            </w:tcBorders>
            <w:shd w:val="clear" w:color="auto" w:fill="auto"/>
            <w:noWrap/>
            <w:vAlign w:val="bottom"/>
            <w:hideMark/>
          </w:tcPr>
          <w:p w14:paraId="08F2BB16" w14:textId="77777777" w:rsidR="00C1514C" w:rsidRPr="00BA6959" w:rsidRDefault="00C1514C" w:rsidP="00C1514C">
            <w:pPr>
              <w:spacing w:after="0"/>
              <w:jc w:val="left"/>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AR Alert 4</w:t>
            </w:r>
          </w:p>
        </w:tc>
        <w:tc>
          <w:tcPr>
            <w:tcW w:w="880" w:type="dxa"/>
            <w:tcBorders>
              <w:top w:val="nil"/>
              <w:left w:val="nil"/>
              <w:bottom w:val="nil"/>
              <w:right w:val="nil"/>
            </w:tcBorders>
            <w:shd w:val="clear" w:color="auto" w:fill="auto"/>
            <w:noWrap/>
            <w:vAlign w:val="bottom"/>
            <w:hideMark/>
          </w:tcPr>
          <w:p w14:paraId="630001CC" w14:textId="77777777" w:rsidR="00C1514C" w:rsidRPr="00BA6959" w:rsidRDefault="00C1514C" w:rsidP="00C1514C">
            <w:pPr>
              <w:spacing w:after="0"/>
              <w:jc w:val="center"/>
              <w:rPr>
                <w:rFonts w:ascii="Calibri" w:hAnsi="Calibri" w:cs="Calibri"/>
                <w:sz w:val="16"/>
                <w:szCs w:val="16"/>
                <w:lang w:val="en-GB" w:eastAsia="en-GB"/>
              </w:rPr>
            </w:pPr>
            <w:r w:rsidRPr="00BA6959">
              <w:rPr>
                <w:rFonts w:ascii="Calibri" w:hAnsi="Calibri" w:cs="Calibri"/>
                <w:sz w:val="16"/>
                <w:szCs w:val="16"/>
                <w:lang w:val="en-GB" w:eastAsia="en-GB"/>
              </w:rPr>
              <w:t>75</w:t>
            </w:r>
          </w:p>
        </w:tc>
        <w:tc>
          <w:tcPr>
            <w:tcW w:w="648" w:type="dxa"/>
            <w:tcBorders>
              <w:top w:val="nil"/>
              <w:left w:val="nil"/>
              <w:bottom w:val="nil"/>
              <w:right w:val="nil"/>
            </w:tcBorders>
            <w:shd w:val="clear" w:color="auto" w:fill="auto"/>
            <w:noWrap/>
            <w:vAlign w:val="bottom"/>
            <w:hideMark/>
          </w:tcPr>
          <w:p w14:paraId="1251E1E7"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5.26</w:t>
            </w:r>
          </w:p>
        </w:tc>
        <w:tc>
          <w:tcPr>
            <w:tcW w:w="743" w:type="dxa"/>
            <w:tcBorders>
              <w:top w:val="nil"/>
              <w:left w:val="nil"/>
              <w:bottom w:val="nil"/>
              <w:right w:val="nil"/>
            </w:tcBorders>
            <w:shd w:val="clear" w:color="auto" w:fill="auto"/>
            <w:noWrap/>
            <w:vAlign w:val="bottom"/>
            <w:hideMark/>
          </w:tcPr>
          <w:p w14:paraId="6A5418E2"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33.33</w:t>
            </w:r>
          </w:p>
        </w:tc>
        <w:tc>
          <w:tcPr>
            <w:tcW w:w="710" w:type="dxa"/>
            <w:tcBorders>
              <w:top w:val="nil"/>
              <w:left w:val="nil"/>
              <w:bottom w:val="nil"/>
              <w:right w:val="nil"/>
            </w:tcBorders>
            <w:shd w:val="clear" w:color="auto" w:fill="auto"/>
            <w:noWrap/>
            <w:vAlign w:val="bottom"/>
            <w:hideMark/>
          </w:tcPr>
          <w:p w14:paraId="374B7842"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10.53</w:t>
            </w:r>
          </w:p>
        </w:tc>
        <w:tc>
          <w:tcPr>
            <w:tcW w:w="1080" w:type="dxa"/>
            <w:tcBorders>
              <w:top w:val="nil"/>
              <w:left w:val="nil"/>
              <w:bottom w:val="nil"/>
              <w:right w:val="nil"/>
            </w:tcBorders>
            <w:shd w:val="clear" w:color="auto" w:fill="auto"/>
            <w:noWrap/>
            <w:vAlign w:val="bottom"/>
            <w:hideMark/>
          </w:tcPr>
          <w:p w14:paraId="655153DE"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42.86</w:t>
            </w:r>
          </w:p>
        </w:tc>
        <w:tc>
          <w:tcPr>
            <w:tcW w:w="1080" w:type="dxa"/>
            <w:tcBorders>
              <w:top w:val="nil"/>
              <w:left w:val="nil"/>
              <w:bottom w:val="nil"/>
              <w:right w:val="nil"/>
            </w:tcBorders>
            <w:shd w:val="clear" w:color="auto" w:fill="auto"/>
            <w:noWrap/>
            <w:vAlign w:val="bottom"/>
            <w:hideMark/>
          </w:tcPr>
          <w:p w14:paraId="7C0B47F5"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42.86</w:t>
            </w:r>
          </w:p>
        </w:tc>
        <w:tc>
          <w:tcPr>
            <w:tcW w:w="1080" w:type="dxa"/>
            <w:tcBorders>
              <w:top w:val="nil"/>
              <w:left w:val="nil"/>
              <w:bottom w:val="nil"/>
              <w:right w:val="nil"/>
            </w:tcBorders>
            <w:shd w:val="clear" w:color="auto" w:fill="auto"/>
            <w:noWrap/>
            <w:vAlign w:val="bottom"/>
            <w:hideMark/>
          </w:tcPr>
          <w:p w14:paraId="57D479D0"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42.86</w:t>
            </w:r>
          </w:p>
        </w:tc>
        <w:tc>
          <w:tcPr>
            <w:tcW w:w="1286" w:type="dxa"/>
            <w:tcBorders>
              <w:top w:val="nil"/>
              <w:left w:val="nil"/>
              <w:bottom w:val="nil"/>
              <w:right w:val="nil"/>
            </w:tcBorders>
            <w:shd w:val="clear" w:color="auto" w:fill="auto"/>
            <w:noWrap/>
            <w:vAlign w:val="bottom"/>
            <w:hideMark/>
          </w:tcPr>
          <w:p w14:paraId="0D520B7D"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73.33</w:t>
            </w:r>
          </w:p>
        </w:tc>
        <w:tc>
          <w:tcPr>
            <w:tcW w:w="1262" w:type="dxa"/>
            <w:tcBorders>
              <w:top w:val="nil"/>
              <w:left w:val="nil"/>
              <w:bottom w:val="nil"/>
              <w:right w:val="nil"/>
            </w:tcBorders>
            <w:shd w:val="clear" w:color="auto" w:fill="auto"/>
            <w:noWrap/>
            <w:vAlign w:val="bottom"/>
            <w:hideMark/>
          </w:tcPr>
          <w:p w14:paraId="1F8F759B"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9.33</w:t>
            </w:r>
          </w:p>
        </w:tc>
        <w:tc>
          <w:tcPr>
            <w:tcW w:w="1288" w:type="dxa"/>
            <w:tcBorders>
              <w:top w:val="nil"/>
              <w:left w:val="nil"/>
              <w:bottom w:val="nil"/>
              <w:right w:val="nil"/>
            </w:tcBorders>
            <w:shd w:val="clear" w:color="auto" w:fill="auto"/>
            <w:noWrap/>
            <w:vAlign w:val="bottom"/>
            <w:hideMark/>
          </w:tcPr>
          <w:p w14:paraId="5D9F81D1"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97.33</w:t>
            </w:r>
          </w:p>
        </w:tc>
        <w:tc>
          <w:tcPr>
            <w:tcW w:w="1266" w:type="dxa"/>
            <w:tcBorders>
              <w:top w:val="nil"/>
              <w:left w:val="nil"/>
              <w:bottom w:val="nil"/>
              <w:right w:val="nil"/>
            </w:tcBorders>
            <w:shd w:val="clear" w:color="auto" w:fill="auto"/>
            <w:noWrap/>
            <w:vAlign w:val="bottom"/>
            <w:hideMark/>
          </w:tcPr>
          <w:p w14:paraId="4B4405D8"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0.00</w:t>
            </w:r>
          </w:p>
        </w:tc>
        <w:tc>
          <w:tcPr>
            <w:tcW w:w="1357" w:type="dxa"/>
            <w:tcBorders>
              <w:top w:val="nil"/>
              <w:left w:val="nil"/>
              <w:bottom w:val="nil"/>
              <w:right w:val="nil"/>
            </w:tcBorders>
            <w:shd w:val="clear" w:color="auto" w:fill="auto"/>
            <w:noWrap/>
            <w:vAlign w:val="bottom"/>
            <w:hideMark/>
          </w:tcPr>
          <w:p w14:paraId="0BA0FDEC"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0.00</w:t>
            </w:r>
          </w:p>
        </w:tc>
      </w:tr>
      <w:tr w:rsidR="00C1514C" w:rsidRPr="00BA6959" w14:paraId="7FA1809C" w14:textId="77777777" w:rsidTr="00C1514C">
        <w:trPr>
          <w:trHeight w:val="300"/>
          <w:jc w:val="center"/>
        </w:trPr>
        <w:tc>
          <w:tcPr>
            <w:tcW w:w="1080" w:type="dxa"/>
            <w:tcBorders>
              <w:top w:val="nil"/>
              <w:left w:val="nil"/>
              <w:bottom w:val="nil"/>
              <w:right w:val="nil"/>
            </w:tcBorders>
            <w:shd w:val="clear" w:color="auto" w:fill="auto"/>
            <w:noWrap/>
            <w:vAlign w:val="bottom"/>
            <w:hideMark/>
          </w:tcPr>
          <w:p w14:paraId="5E464F85" w14:textId="77777777" w:rsidR="00C1514C" w:rsidRPr="00BA6959" w:rsidRDefault="00C1514C" w:rsidP="00C1514C">
            <w:pPr>
              <w:spacing w:after="0"/>
              <w:jc w:val="left"/>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AR Alert 5</w:t>
            </w:r>
          </w:p>
        </w:tc>
        <w:tc>
          <w:tcPr>
            <w:tcW w:w="880" w:type="dxa"/>
            <w:tcBorders>
              <w:top w:val="nil"/>
              <w:left w:val="nil"/>
              <w:bottom w:val="nil"/>
              <w:right w:val="nil"/>
            </w:tcBorders>
            <w:shd w:val="clear" w:color="auto" w:fill="auto"/>
            <w:noWrap/>
            <w:vAlign w:val="bottom"/>
            <w:hideMark/>
          </w:tcPr>
          <w:p w14:paraId="4A658353" w14:textId="77777777" w:rsidR="00C1514C" w:rsidRPr="00BA6959" w:rsidRDefault="00C1514C" w:rsidP="00C1514C">
            <w:pPr>
              <w:spacing w:after="0"/>
              <w:jc w:val="center"/>
              <w:rPr>
                <w:rFonts w:ascii="Calibri" w:hAnsi="Calibri" w:cs="Calibri"/>
                <w:sz w:val="16"/>
                <w:szCs w:val="16"/>
                <w:lang w:val="en-GB" w:eastAsia="en-GB"/>
              </w:rPr>
            </w:pPr>
            <w:r w:rsidRPr="00BA6959">
              <w:rPr>
                <w:rFonts w:ascii="Calibri" w:hAnsi="Calibri" w:cs="Calibri"/>
                <w:sz w:val="16"/>
                <w:szCs w:val="16"/>
                <w:lang w:val="en-GB" w:eastAsia="en-GB"/>
              </w:rPr>
              <w:t>40</w:t>
            </w:r>
          </w:p>
        </w:tc>
        <w:tc>
          <w:tcPr>
            <w:tcW w:w="648" w:type="dxa"/>
            <w:tcBorders>
              <w:top w:val="nil"/>
              <w:left w:val="nil"/>
              <w:bottom w:val="nil"/>
              <w:right w:val="nil"/>
            </w:tcBorders>
            <w:shd w:val="clear" w:color="auto" w:fill="auto"/>
            <w:noWrap/>
            <w:vAlign w:val="bottom"/>
            <w:hideMark/>
          </w:tcPr>
          <w:p w14:paraId="336BD11C"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28.57</w:t>
            </w:r>
          </w:p>
        </w:tc>
        <w:tc>
          <w:tcPr>
            <w:tcW w:w="743" w:type="dxa"/>
            <w:tcBorders>
              <w:top w:val="nil"/>
              <w:left w:val="nil"/>
              <w:bottom w:val="nil"/>
              <w:right w:val="nil"/>
            </w:tcBorders>
            <w:shd w:val="clear" w:color="auto" w:fill="auto"/>
            <w:noWrap/>
            <w:vAlign w:val="bottom"/>
            <w:hideMark/>
          </w:tcPr>
          <w:p w14:paraId="4A41DD5D"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53.85</w:t>
            </w:r>
          </w:p>
        </w:tc>
        <w:tc>
          <w:tcPr>
            <w:tcW w:w="710" w:type="dxa"/>
            <w:tcBorders>
              <w:top w:val="nil"/>
              <w:left w:val="nil"/>
              <w:bottom w:val="nil"/>
              <w:right w:val="nil"/>
            </w:tcBorders>
            <w:shd w:val="clear" w:color="auto" w:fill="auto"/>
            <w:noWrap/>
            <w:vAlign w:val="bottom"/>
            <w:hideMark/>
          </w:tcPr>
          <w:p w14:paraId="5BD6097B"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28.57</w:t>
            </w:r>
          </w:p>
        </w:tc>
        <w:tc>
          <w:tcPr>
            <w:tcW w:w="1080" w:type="dxa"/>
            <w:tcBorders>
              <w:top w:val="nil"/>
              <w:left w:val="nil"/>
              <w:bottom w:val="nil"/>
              <w:right w:val="nil"/>
            </w:tcBorders>
            <w:shd w:val="clear" w:color="auto" w:fill="auto"/>
            <w:noWrap/>
            <w:vAlign w:val="bottom"/>
            <w:hideMark/>
          </w:tcPr>
          <w:p w14:paraId="3D36A593"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87.50</w:t>
            </w:r>
          </w:p>
        </w:tc>
        <w:tc>
          <w:tcPr>
            <w:tcW w:w="1080" w:type="dxa"/>
            <w:tcBorders>
              <w:top w:val="nil"/>
              <w:left w:val="nil"/>
              <w:bottom w:val="nil"/>
              <w:right w:val="nil"/>
            </w:tcBorders>
            <w:shd w:val="clear" w:color="auto" w:fill="auto"/>
            <w:noWrap/>
            <w:vAlign w:val="bottom"/>
            <w:hideMark/>
          </w:tcPr>
          <w:p w14:paraId="747AD5D6"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75.00</w:t>
            </w:r>
          </w:p>
        </w:tc>
        <w:tc>
          <w:tcPr>
            <w:tcW w:w="1080" w:type="dxa"/>
            <w:tcBorders>
              <w:top w:val="nil"/>
              <w:left w:val="nil"/>
              <w:bottom w:val="nil"/>
              <w:right w:val="nil"/>
            </w:tcBorders>
            <w:shd w:val="clear" w:color="auto" w:fill="auto"/>
            <w:noWrap/>
            <w:vAlign w:val="bottom"/>
            <w:hideMark/>
          </w:tcPr>
          <w:p w14:paraId="276A5FFD"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75.00</w:t>
            </w:r>
          </w:p>
        </w:tc>
        <w:tc>
          <w:tcPr>
            <w:tcW w:w="1286" w:type="dxa"/>
            <w:tcBorders>
              <w:top w:val="nil"/>
              <w:left w:val="nil"/>
              <w:bottom w:val="nil"/>
              <w:right w:val="nil"/>
            </w:tcBorders>
            <w:shd w:val="clear" w:color="auto" w:fill="auto"/>
            <w:noWrap/>
            <w:vAlign w:val="bottom"/>
            <w:hideMark/>
          </w:tcPr>
          <w:p w14:paraId="36F14075"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85.00</w:t>
            </w:r>
          </w:p>
        </w:tc>
        <w:tc>
          <w:tcPr>
            <w:tcW w:w="1262" w:type="dxa"/>
            <w:tcBorders>
              <w:top w:val="nil"/>
              <w:left w:val="nil"/>
              <w:bottom w:val="nil"/>
              <w:right w:val="nil"/>
            </w:tcBorders>
            <w:shd w:val="clear" w:color="auto" w:fill="auto"/>
            <w:noWrap/>
            <w:vAlign w:val="bottom"/>
            <w:hideMark/>
          </w:tcPr>
          <w:p w14:paraId="60429049"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7.50</w:t>
            </w:r>
          </w:p>
        </w:tc>
        <w:tc>
          <w:tcPr>
            <w:tcW w:w="1288" w:type="dxa"/>
            <w:tcBorders>
              <w:top w:val="nil"/>
              <w:left w:val="nil"/>
              <w:bottom w:val="nil"/>
              <w:right w:val="nil"/>
            </w:tcBorders>
            <w:shd w:val="clear" w:color="auto" w:fill="auto"/>
            <w:noWrap/>
            <w:vAlign w:val="bottom"/>
            <w:hideMark/>
          </w:tcPr>
          <w:p w14:paraId="74A61ACE"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90.00</w:t>
            </w:r>
          </w:p>
        </w:tc>
        <w:tc>
          <w:tcPr>
            <w:tcW w:w="1266" w:type="dxa"/>
            <w:tcBorders>
              <w:top w:val="nil"/>
              <w:left w:val="nil"/>
              <w:bottom w:val="nil"/>
              <w:right w:val="nil"/>
            </w:tcBorders>
            <w:shd w:val="clear" w:color="auto" w:fill="auto"/>
            <w:noWrap/>
            <w:vAlign w:val="bottom"/>
            <w:hideMark/>
          </w:tcPr>
          <w:p w14:paraId="235F4C52"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2.50</w:t>
            </w:r>
          </w:p>
        </w:tc>
        <w:tc>
          <w:tcPr>
            <w:tcW w:w="1357" w:type="dxa"/>
            <w:tcBorders>
              <w:top w:val="nil"/>
              <w:left w:val="nil"/>
              <w:bottom w:val="nil"/>
              <w:right w:val="nil"/>
            </w:tcBorders>
            <w:shd w:val="clear" w:color="auto" w:fill="auto"/>
            <w:noWrap/>
            <w:vAlign w:val="bottom"/>
            <w:hideMark/>
          </w:tcPr>
          <w:p w14:paraId="19FFA674"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6.45</w:t>
            </w:r>
          </w:p>
        </w:tc>
      </w:tr>
      <w:tr w:rsidR="00C1514C" w:rsidRPr="00BA6959" w14:paraId="28E02CC2" w14:textId="77777777" w:rsidTr="00C1514C">
        <w:trPr>
          <w:trHeight w:val="300"/>
          <w:jc w:val="center"/>
        </w:trPr>
        <w:tc>
          <w:tcPr>
            <w:tcW w:w="1080" w:type="dxa"/>
            <w:tcBorders>
              <w:top w:val="nil"/>
              <w:left w:val="nil"/>
              <w:bottom w:val="nil"/>
              <w:right w:val="nil"/>
            </w:tcBorders>
            <w:shd w:val="clear" w:color="auto" w:fill="auto"/>
            <w:noWrap/>
            <w:vAlign w:val="bottom"/>
            <w:hideMark/>
          </w:tcPr>
          <w:p w14:paraId="71CFE405" w14:textId="77777777" w:rsidR="00C1514C" w:rsidRPr="00BA6959" w:rsidRDefault="00C1514C" w:rsidP="00C1514C">
            <w:pPr>
              <w:spacing w:after="0"/>
              <w:jc w:val="left"/>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AR Alert 6</w:t>
            </w:r>
          </w:p>
        </w:tc>
        <w:tc>
          <w:tcPr>
            <w:tcW w:w="880" w:type="dxa"/>
            <w:tcBorders>
              <w:top w:val="nil"/>
              <w:left w:val="nil"/>
              <w:bottom w:val="nil"/>
              <w:right w:val="nil"/>
            </w:tcBorders>
            <w:shd w:val="clear" w:color="auto" w:fill="auto"/>
            <w:noWrap/>
            <w:vAlign w:val="bottom"/>
            <w:hideMark/>
          </w:tcPr>
          <w:p w14:paraId="4F6B7DB1" w14:textId="77777777" w:rsidR="00C1514C" w:rsidRPr="00BA6959" w:rsidRDefault="00C1514C" w:rsidP="00C1514C">
            <w:pPr>
              <w:spacing w:after="0"/>
              <w:jc w:val="center"/>
              <w:rPr>
                <w:rFonts w:ascii="Calibri" w:hAnsi="Calibri" w:cs="Calibri"/>
                <w:sz w:val="16"/>
                <w:szCs w:val="16"/>
                <w:lang w:val="en-GB" w:eastAsia="en-GB"/>
              </w:rPr>
            </w:pPr>
            <w:r w:rsidRPr="00BA6959">
              <w:rPr>
                <w:rFonts w:ascii="Calibri" w:hAnsi="Calibri" w:cs="Calibri"/>
                <w:sz w:val="16"/>
                <w:szCs w:val="16"/>
                <w:lang w:val="en-GB" w:eastAsia="en-GB"/>
              </w:rPr>
              <w:t>57</w:t>
            </w:r>
          </w:p>
        </w:tc>
        <w:tc>
          <w:tcPr>
            <w:tcW w:w="648" w:type="dxa"/>
            <w:tcBorders>
              <w:top w:val="nil"/>
              <w:left w:val="nil"/>
              <w:bottom w:val="nil"/>
              <w:right w:val="nil"/>
            </w:tcBorders>
            <w:shd w:val="clear" w:color="auto" w:fill="auto"/>
            <w:noWrap/>
            <w:vAlign w:val="bottom"/>
            <w:hideMark/>
          </w:tcPr>
          <w:p w14:paraId="69C1BC1A"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26.67</w:t>
            </w:r>
          </w:p>
        </w:tc>
        <w:tc>
          <w:tcPr>
            <w:tcW w:w="743" w:type="dxa"/>
            <w:tcBorders>
              <w:top w:val="nil"/>
              <w:left w:val="nil"/>
              <w:bottom w:val="nil"/>
              <w:right w:val="nil"/>
            </w:tcBorders>
            <w:shd w:val="clear" w:color="auto" w:fill="auto"/>
            <w:noWrap/>
            <w:vAlign w:val="bottom"/>
            <w:hideMark/>
          </w:tcPr>
          <w:p w14:paraId="485A1241"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50.00</w:t>
            </w:r>
          </w:p>
        </w:tc>
        <w:tc>
          <w:tcPr>
            <w:tcW w:w="710" w:type="dxa"/>
            <w:tcBorders>
              <w:top w:val="nil"/>
              <w:left w:val="nil"/>
              <w:bottom w:val="nil"/>
              <w:right w:val="nil"/>
            </w:tcBorders>
            <w:shd w:val="clear" w:color="auto" w:fill="auto"/>
            <w:noWrap/>
            <w:vAlign w:val="bottom"/>
            <w:hideMark/>
          </w:tcPr>
          <w:p w14:paraId="427B152A"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37.50</w:t>
            </w:r>
          </w:p>
        </w:tc>
        <w:tc>
          <w:tcPr>
            <w:tcW w:w="1080" w:type="dxa"/>
            <w:tcBorders>
              <w:top w:val="nil"/>
              <w:left w:val="nil"/>
              <w:bottom w:val="nil"/>
              <w:right w:val="nil"/>
            </w:tcBorders>
            <w:shd w:val="clear" w:color="auto" w:fill="auto"/>
            <w:noWrap/>
            <w:vAlign w:val="bottom"/>
            <w:hideMark/>
          </w:tcPr>
          <w:p w14:paraId="06E7C607"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88.89</w:t>
            </w:r>
          </w:p>
        </w:tc>
        <w:tc>
          <w:tcPr>
            <w:tcW w:w="1080" w:type="dxa"/>
            <w:tcBorders>
              <w:top w:val="nil"/>
              <w:left w:val="nil"/>
              <w:bottom w:val="nil"/>
              <w:right w:val="nil"/>
            </w:tcBorders>
            <w:shd w:val="clear" w:color="auto" w:fill="auto"/>
            <w:noWrap/>
            <w:vAlign w:val="bottom"/>
            <w:hideMark/>
          </w:tcPr>
          <w:p w14:paraId="04A49EE3"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88.89</w:t>
            </w:r>
          </w:p>
        </w:tc>
        <w:tc>
          <w:tcPr>
            <w:tcW w:w="1080" w:type="dxa"/>
            <w:tcBorders>
              <w:top w:val="nil"/>
              <w:left w:val="nil"/>
              <w:bottom w:val="nil"/>
              <w:right w:val="nil"/>
            </w:tcBorders>
            <w:shd w:val="clear" w:color="auto" w:fill="auto"/>
            <w:noWrap/>
            <w:vAlign w:val="bottom"/>
            <w:hideMark/>
          </w:tcPr>
          <w:p w14:paraId="3A70219D"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88.89</w:t>
            </w:r>
          </w:p>
        </w:tc>
        <w:tc>
          <w:tcPr>
            <w:tcW w:w="1286" w:type="dxa"/>
            <w:tcBorders>
              <w:top w:val="nil"/>
              <w:left w:val="nil"/>
              <w:bottom w:val="nil"/>
              <w:right w:val="nil"/>
            </w:tcBorders>
            <w:shd w:val="clear" w:color="auto" w:fill="auto"/>
            <w:noWrap/>
            <w:vAlign w:val="bottom"/>
            <w:hideMark/>
          </w:tcPr>
          <w:p w14:paraId="7AC651E2"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75.44</w:t>
            </w:r>
          </w:p>
        </w:tc>
        <w:tc>
          <w:tcPr>
            <w:tcW w:w="1262" w:type="dxa"/>
            <w:tcBorders>
              <w:top w:val="nil"/>
              <w:left w:val="nil"/>
              <w:bottom w:val="nil"/>
              <w:right w:val="nil"/>
            </w:tcBorders>
            <w:shd w:val="clear" w:color="auto" w:fill="auto"/>
            <w:noWrap/>
            <w:vAlign w:val="bottom"/>
            <w:hideMark/>
          </w:tcPr>
          <w:p w14:paraId="254040BE"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17.54</w:t>
            </w:r>
          </w:p>
        </w:tc>
        <w:tc>
          <w:tcPr>
            <w:tcW w:w="1288" w:type="dxa"/>
            <w:tcBorders>
              <w:top w:val="nil"/>
              <w:left w:val="nil"/>
              <w:bottom w:val="nil"/>
              <w:right w:val="nil"/>
            </w:tcBorders>
            <w:shd w:val="clear" w:color="auto" w:fill="auto"/>
            <w:noWrap/>
            <w:vAlign w:val="bottom"/>
            <w:hideMark/>
          </w:tcPr>
          <w:p w14:paraId="2D007365"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94.74</w:t>
            </w:r>
          </w:p>
        </w:tc>
        <w:tc>
          <w:tcPr>
            <w:tcW w:w="1266" w:type="dxa"/>
            <w:tcBorders>
              <w:top w:val="nil"/>
              <w:left w:val="nil"/>
              <w:bottom w:val="nil"/>
              <w:right w:val="nil"/>
            </w:tcBorders>
            <w:shd w:val="clear" w:color="auto" w:fill="auto"/>
            <w:noWrap/>
            <w:vAlign w:val="bottom"/>
            <w:hideMark/>
          </w:tcPr>
          <w:p w14:paraId="0557B047"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3.51</w:t>
            </w:r>
          </w:p>
        </w:tc>
        <w:tc>
          <w:tcPr>
            <w:tcW w:w="1357" w:type="dxa"/>
            <w:tcBorders>
              <w:top w:val="nil"/>
              <w:left w:val="nil"/>
              <w:bottom w:val="nil"/>
              <w:right w:val="nil"/>
            </w:tcBorders>
            <w:shd w:val="clear" w:color="auto" w:fill="auto"/>
            <w:noWrap/>
            <w:vAlign w:val="bottom"/>
            <w:hideMark/>
          </w:tcPr>
          <w:p w14:paraId="10124B51"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2.63</w:t>
            </w:r>
          </w:p>
        </w:tc>
      </w:tr>
      <w:tr w:rsidR="00C1514C" w:rsidRPr="00BA6959" w14:paraId="67DF715D" w14:textId="77777777" w:rsidTr="00C1514C">
        <w:trPr>
          <w:trHeight w:val="300"/>
          <w:jc w:val="center"/>
        </w:trPr>
        <w:tc>
          <w:tcPr>
            <w:tcW w:w="1080" w:type="dxa"/>
            <w:tcBorders>
              <w:top w:val="nil"/>
              <w:left w:val="nil"/>
              <w:bottom w:val="nil"/>
              <w:right w:val="nil"/>
            </w:tcBorders>
            <w:shd w:val="clear" w:color="auto" w:fill="auto"/>
            <w:noWrap/>
            <w:vAlign w:val="bottom"/>
            <w:hideMark/>
          </w:tcPr>
          <w:p w14:paraId="3B21C925" w14:textId="77777777" w:rsidR="00C1514C" w:rsidRPr="00BA6959" w:rsidRDefault="00C1514C" w:rsidP="00C1514C">
            <w:pPr>
              <w:spacing w:after="0"/>
              <w:jc w:val="left"/>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AR Alert 7</w:t>
            </w:r>
          </w:p>
        </w:tc>
        <w:tc>
          <w:tcPr>
            <w:tcW w:w="880" w:type="dxa"/>
            <w:tcBorders>
              <w:top w:val="nil"/>
              <w:left w:val="nil"/>
              <w:bottom w:val="nil"/>
              <w:right w:val="nil"/>
            </w:tcBorders>
            <w:shd w:val="clear" w:color="auto" w:fill="auto"/>
            <w:noWrap/>
            <w:vAlign w:val="bottom"/>
            <w:hideMark/>
          </w:tcPr>
          <w:p w14:paraId="1A2E72E6" w14:textId="77777777" w:rsidR="00C1514C" w:rsidRPr="00BA6959" w:rsidRDefault="00C1514C" w:rsidP="00C1514C">
            <w:pPr>
              <w:spacing w:after="0"/>
              <w:jc w:val="center"/>
              <w:rPr>
                <w:rFonts w:ascii="Calibri" w:hAnsi="Calibri" w:cs="Calibri"/>
                <w:sz w:val="16"/>
                <w:szCs w:val="16"/>
                <w:lang w:val="en-GB" w:eastAsia="en-GB"/>
              </w:rPr>
            </w:pPr>
            <w:r w:rsidRPr="00BA6959">
              <w:rPr>
                <w:rFonts w:ascii="Calibri" w:hAnsi="Calibri" w:cs="Calibri"/>
                <w:sz w:val="16"/>
                <w:szCs w:val="16"/>
                <w:lang w:val="en-GB" w:eastAsia="en-GB"/>
              </w:rPr>
              <w:t>112</w:t>
            </w:r>
          </w:p>
        </w:tc>
        <w:tc>
          <w:tcPr>
            <w:tcW w:w="648" w:type="dxa"/>
            <w:tcBorders>
              <w:top w:val="nil"/>
              <w:left w:val="nil"/>
              <w:bottom w:val="nil"/>
              <w:right w:val="nil"/>
            </w:tcBorders>
            <w:shd w:val="clear" w:color="auto" w:fill="auto"/>
            <w:noWrap/>
            <w:vAlign w:val="bottom"/>
            <w:hideMark/>
          </w:tcPr>
          <w:p w14:paraId="02FAAEF6"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22.58</w:t>
            </w:r>
          </w:p>
        </w:tc>
        <w:tc>
          <w:tcPr>
            <w:tcW w:w="743" w:type="dxa"/>
            <w:tcBorders>
              <w:top w:val="nil"/>
              <w:left w:val="nil"/>
              <w:bottom w:val="nil"/>
              <w:right w:val="nil"/>
            </w:tcBorders>
            <w:shd w:val="clear" w:color="auto" w:fill="auto"/>
            <w:noWrap/>
            <w:vAlign w:val="bottom"/>
            <w:hideMark/>
          </w:tcPr>
          <w:p w14:paraId="6616B8D4"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39.29</w:t>
            </w:r>
          </w:p>
        </w:tc>
        <w:tc>
          <w:tcPr>
            <w:tcW w:w="710" w:type="dxa"/>
            <w:tcBorders>
              <w:top w:val="nil"/>
              <w:left w:val="nil"/>
              <w:bottom w:val="nil"/>
              <w:right w:val="nil"/>
            </w:tcBorders>
            <w:shd w:val="clear" w:color="auto" w:fill="auto"/>
            <w:noWrap/>
            <w:vAlign w:val="bottom"/>
            <w:hideMark/>
          </w:tcPr>
          <w:p w14:paraId="10BD9655"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16.13</w:t>
            </w:r>
          </w:p>
        </w:tc>
        <w:tc>
          <w:tcPr>
            <w:tcW w:w="1080" w:type="dxa"/>
            <w:tcBorders>
              <w:top w:val="nil"/>
              <w:left w:val="nil"/>
              <w:bottom w:val="nil"/>
              <w:right w:val="nil"/>
            </w:tcBorders>
            <w:shd w:val="clear" w:color="auto" w:fill="auto"/>
            <w:noWrap/>
            <w:vAlign w:val="bottom"/>
            <w:hideMark/>
          </w:tcPr>
          <w:p w14:paraId="543CE1EA"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61.54</w:t>
            </w:r>
          </w:p>
        </w:tc>
        <w:tc>
          <w:tcPr>
            <w:tcW w:w="1080" w:type="dxa"/>
            <w:tcBorders>
              <w:top w:val="nil"/>
              <w:left w:val="nil"/>
              <w:bottom w:val="nil"/>
              <w:right w:val="nil"/>
            </w:tcBorders>
            <w:shd w:val="clear" w:color="auto" w:fill="auto"/>
            <w:noWrap/>
            <w:vAlign w:val="bottom"/>
            <w:hideMark/>
          </w:tcPr>
          <w:p w14:paraId="3EB3C033"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53.85</w:t>
            </w:r>
          </w:p>
        </w:tc>
        <w:tc>
          <w:tcPr>
            <w:tcW w:w="1080" w:type="dxa"/>
            <w:tcBorders>
              <w:top w:val="nil"/>
              <w:left w:val="nil"/>
              <w:bottom w:val="nil"/>
              <w:right w:val="nil"/>
            </w:tcBorders>
            <w:shd w:val="clear" w:color="auto" w:fill="auto"/>
            <w:noWrap/>
            <w:vAlign w:val="bottom"/>
            <w:hideMark/>
          </w:tcPr>
          <w:p w14:paraId="10E1377A"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53.85</w:t>
            </w:r>
          </w:p>
        </w:tc>
        <w:tc>
          <w:tcPr>
            <w:tcW w:w="1286" w:type="dxa"/>
            <w:tcBorders>
              <w:top w:val="nil"/>
              <w:left w:val="nil"/>
              <w:bottom w:val="nil"/>
              <w:right w:val="nil"/>
            </w:tcBorders>
            <w:shd w:val="clear" w:color="auto" w:fill="auto"/>
            <w:noWrap/>
            <w:vAlign w:val="bottom"/>
            <w:hideMark/>
          </w:tcPr>
          <w:p w14:paraId="2B19F9B8"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74.77</w:t>
            </w:r>
          </w:p>
        </w:tc>
        <w:tc>
          <w:tcPr>
            <w:tcW w:w="1262" w:type="dxa"/>
            <w:tcBorders>
              <w:top w:val="nil"/>
              <w:left w:val="nil"/>
              <w:bottom w:val="nil"/>
              <w:right w:val="nil"/>
            </w:tcBorders>
            <w:shd w:val="clear" w:color="auto" w:fill="auto"/>
            <w:noWrap/>
            <w:vAlign w:val="bottom"/>
            <w:hideMark/>
          </w:tcPr>
          <w:p w14:paraId="1E8DDCBD"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9.91</w:t>
            </w:r>
          </w:p>
        </w:tc>
        <w:tc>
          <w:tcPr>
            <w:tcW w:w="1288" w:type="dxa"/>
            <w:tcBorders>
              <w:top w:val="nil"/>
              <w:left w:val="nil"/>
              <w:bottom w:val="nil"/>
              <w:right w:val="nil"/>
            </w:tcBorders>
            <w:shd w:val="clear" w:color="auto" w:fill="auto"/>
            <w:noWrap/>
            <w:vAlign w:val="bottom"/>
            <w:hideMark/>
          </w:tcPr>
          <w:p w14:paraId="435A10C8"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94.59</w:t>
            </w:r>
          </w:p>
        </w:tc>
        <w:tc>
          <w:tcPr>
            <w:tcW w:w="1266" w:type="dxa"/>
            <w:tcBorders>
              <w:top w:val="nil"/>
              <w:left w:val="nil"/>
              <w:bottom w:val="nil"/>
              <w:right w:val="nil"/>
            </w:tcBorders>
            <w:shd w:val="clear" w:color="auto" w:fill="auto"/>
            <w:noWrap/>
            <w:vAlign w:val="bottom"/>
            <w:hideMark/>
          </w:tcPr>
          <w:p w14:paraId="7142A57D"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0.90</w:t>
            </w:r>
          </w:p>
        </w:tc>
        <w:tc>
          <w:tcPr>
            <w:tcW w:w="1357" w:type="dxa"/>
            <w:tcBorders>
              <w:top w:val="nil"/>
              <w:left w:val="nil"/>
              <w:bottom w:val="nil"/>
              <w:right w:val="nil"/>
            </w:tcBorders>
            <w:shd w:val="clear" w:color="auto" w:fill="auto"/>
            <w:noWrap/>
            <w:vAlign w:val="bottom"/>
            <w:hideMark/>
          </w:tcPr>
          <w:p w14:paraId="24D3AEA3"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3.95</w:t>
            </w:r>
          </w:p>
        </w:tc>
      </w:tr>
      <w:tr w:rsidR="00C1514C" w:rsidRPr="00BA6959" w14:paraId="78A831CA" w14:textId="77777777" w:rsidTr="00C1514C">
        <w:trPr>
          <w:trHeight w:val="300"/>
          <w:jc w:val="center"/>
        </w:trPr>
        <w:tc>
          <w:tcPr>
            <w:tcW w:w="1080" w:type="dxa"/>
            <w:tcBorders>
              <w:top w:val="nil"/>
              <w:left w:val="nil"/>
              <w:bottom w:val="nil"/>
              <w:right w:val="nil"/>
            </w:tcBorders>
            <w:shd w:val="clear" w:color="auto" w:fill="auto"/>
            <w:noWrap/>
            <w:vAlign w:val="bottom"/>
            <w:hideMark/>
          </w:tcPr>
          <w:p w14:paraId="020CE7F0" w14:textId="77777777" w:rsidR="00C1514C" w:rsidRPr="00BA6959" w:rsidRDefault="00C1514C" w:rsidP="00C1514C">
            <w:pPr>
              <w:spacing w:after="0"/>
              <w:jc w:val="left"/>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AR Alert 9</w:t>
            </w:r>
          </w:p>
        </w:tc>
        <w:tc>
          <w:tcPr>
            <w:tcW w:w="880" w:type="dxa"/>
            <w:tcBorders>
              <w:top w:val="nil"/>
              <w:left w:val="nil"/>
              <w:bottom w:val="nil"/>
              <w:right w:val="nil"/>
            </w:tcBorders>
            <w:shd w:val="clear" w:color="auto" w:fill="auto"/>
            <w:noWrap/>
            <w:vAlign w:val="bottom"/>
            <w:hideMark/>
          </w:tcPr>
          <w:p w14:paraId="442A8BEC" w14:textId="77777777" w:rsidR="00C1514C" w:rsidRPr="00BA6959" w:rsidRDefault="00C1514C" w:rsidP="00C1514C">
            <w:pPr>
              <w:spacing w:after="0"/>
              <w:jc w:val="center"/>
              <w:rPr>
                <w:rFonts w:ascii="Calibri" w:hAnsi="Calibri" w:cs="Calibri"/>
                <w:sz w:val="16"/>
                <w:szCs w:val="16"/>
                <w:lang w:val="en-GB" w:eastAsia="en-GB"/>
              </w:rPr>
            </w:pPr>
            <w:r w:rsidRPr="00BA6959">
              <w:rPr>
                <w:rFonts w:ascii="Calibri" w:hAnsi="Calibri" w:cs="Calibri"/>
                <w:sz w:val="16"/>
                <w:szCs w:val="16"/>
                <w:lang w:val="en-GB" w:eastAsia="en-GB"/>
              </w:rPr>
              <w:t>18</w:t>
            </w:r>
          </w:p>
        </w:tc>
        <w:tc>
          <w:tcPr>
            <w:tcW w:w="648" w:type="dxa"/>
            <w:tcBorders>
              <w:top w:val="nil"/>
              <w:left w:val="nil"/>
              <w:bottom w:val="nil"/>
              <w:right w:val="nil"/>
            </w:tcBorders>
            <w:shd w:val="clear" w:color="auto" w:fill="auto"/>
            <w:noWrap/>
            <w:vAlign w:val="bottom"/>
            <w:hideMark/>
          </w:tcPr>
          <w:p w14:paraId="2F46BD3F"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0.00</w:t>
            </w:r>
          </w:p>
        </w:tc>
        <w:tc>
          <w:tcPr>
            <w:tcW w:w="743" w:type="dxa"/>
            <w:tcBorders>
              <w:top w:val="nil"/>
              <w:left w:val="nil"/>
              <w:bottom w:val="nil"/>
              <w:right w:val="nil"/>
            </w:tcBorders>
            <w:shd w:val="clear" w:color="auto" w:fill="auto"/>
            <w:noWrap/>
            <w:vAlign w:val="bottom"/>
            <w:hideMark/>
          </w:tcPr>
          <w:p w14:paraId="47D6E291"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55.56</w:t>
            </w:r>
          </w:p>
        </w:tc>
        <w:tc>
          <w:tcPr>
            <w:tcW w:w="710" w:type="dxa"/>
            <w:tcBorders>
              <w:top w:val="nil"/>
              <w:left w:val="nil"/>
              <w:bottom w:val="nil"/>
              <w:right w:val="nil"/>
            </w:tcBorders>
            <w:shd w:val="clear" w:color="auto" w:fill="auto"/>
            <w:noWrap/>
            <w:vAlign w:val="bottom"/>
            <w:hideMark/>
          </w:tcPr>
          <w:p w14:paraId="19BEB5DC"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33.33</w:t>
            </w:r>
          </w:p>
        </w:tc>
        <w:tc>
          <w:tcPr>
            <w:tcW w:w="1080" w:type="dxa"/>
            <w:tcBorders>
              <w:top w:val="nil"/>
              <w:left w:val="nil"/>
              <w:bottom w:val="nil"/>
              <w:right w:val="nil"/>
            </w:tcBorders>
            <w:shd w:val="clear" w:color="auto" w:fill="auto"/>
            <w:noWrap/>
            <w:vAlign w:val="bottom"/>
            <w:hideMark/>
          </w:tcPr>
          <w:p w14:paraId="445382F3"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50.00</w:t>
            </w:r>
          </w:p>
        </w:tc>
        <w:tc>
          <w:tcPr>
            <w:tcW w:w="1080" w:type="dxa"/>
            <w:tcBorders>
              <w:top w:val="nil"/>
              <w:left w:val="nil"/>
              <w:bottom w:val="nil"/>
              <w:right w:val="nil"/>
            </w:tcBorders>
            <w:shd w:val="clear" w:color="auto" w:fill="auto"/>
            <w:noWrap/>
            <w:vAlign w:val="bottom"/>
            <w:hideMark/>
          </w:tcPr>
          <w:p w14:paraId="52D38FCC"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50.00</w:t>
            </w:r>
          </w:p>
        </w:tc>
        <w:tc>
          <w:tcPr>
            <w:tcW w:w="1080" w:type="dxa"/>
            <w:tcBorders>
              <w:top w:val="nil"/>
              <w:left w:val="nil"/>
              <w:bottom w:val="nil"/>
              <w:right w:val="nil"/>
            </w:tcBorders>
            <w:shd w:val="clear" w:color="auto" w:fill="auto"/>
            <w:noWrap/>
            <w:vAlign w:val="bottom"/>
            <w:hideMark/>
          </w:tcPr>
          <w:p w14:paraId="1940780D"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87.50</w:t>
            </w:r>
          </w:p>
        </w:tc>
        <w:tc>
          <w:tcPr>
            <w:tcW w:w="1286" w:type="dxa"/>
            <w:tcBorders>
              <w:top w:val="nil"/>
              <w:left w:val="nil"/>
              <w:bottom w:val="nil"/>
              <w:right w:val="nil"/>
            </w:tcBorders>
            <w:shd w:val="clear" w:color="auto" w:fill="auto"/>
            <w:noWrap/>
            <w:vAlign w:val="bottom"/>
            <w:hideMark/>
          </w:tcPr>
          <w:p w14:paraId="594A56A0"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47.06</w:t>
            </w:r>
          </w:p>
        </w:tc>
        <w:tc>
          <w:tcPr>
            <w:tcW w:w="1262" w:type="dxa"/>
            <w:tcBorders>
              <w:top w:val="nil"/>
              <w:left w:val="nil"/>
              <w:bottom w:val="nil"/>
              <w:right w:val="nil"/>
            </w:tcBorders>
            <w:shd w:val="clear" w:color="auto" w:fill="auto"/>
            <w:noWrap/>
            <w:vAlign w:val="bottom"/>
            <w:hideMark/>
          </w:tcPr>
          <w:p w14:paraId="13EA120B"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29.41</w:t>
            </w:r>
          </w:p>
        </w:tc>
        <w:tc>
          <w:tcPr>
            <w:tcW w:w="1288" w:type="dxa"/>
            <w:tcBorders>
              <w:top w:val="nil"/>
              <w:left w:val="nil"/>
              <w:bottom w:val="nil"/>
              <w:right w:val="nil"/>
            </w:tcBorders>
            <w:shd w:val="clear" w:color="auto" w:fill="auto"/>
            <w:noWrap/>
            <w:vAlign w:val="bottom"/>
            <w:hideMark/>
          </w:tcPr>
          <w:p w14:paraId="15C2E247"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58.82</w:t>
            </w:r>
          </w:p>
        </w:tc>
        <w:tc>
          <w:tcPr>
            <w:tcW w:w="1266" w:type="dxa"/>
            <w:tcBorders>
              <w:top w:val="nil"/>
              <w:left w:val="nil"/>
              <w:bottom w:val="nil"/>
              <w:right w:val="nil"/>
            </w:tcBorders>
            <w:shd w:val="clear" w:color="auto" w:fill="auto"/>
            <w:noWrap/>
            <w:vAlign w:val="bottom"/>
            <w:hideMark/>
          </w:tcPr>
          <w:p w14:paraId="706F6CB2"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5.88</w:t>
            </w:r>
          </w:p>
        </w:tc>
        <w:tc>
          <w:tcPr>
            <w:tcW w:w="1357" w:type="dxa"/>
            <w:tcBorders>
              <w:top w:val="nil"/>
              <w:left w:val="nil"/>
              <w:bottom w:val="nil"/>
              <w:right w:val="nil"/>
            </w:tcBorders>
            <w:shd w:val="clear" w:color="auto" w:fill="auto"/>
            <w:noWrap/>
            <w:vAlign w:val="bottom"/>
            <w:hideMark/>
          </w:tcPr>
          <w:p w14:paraId="7DA9DDA0"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45.45</w:t>
            </w:r>
          </w:p>
        </w:tc>
      </w:tr>
      <w:tr w:rsidR="00C1514C" w:rsidRPr="00BA6959" w14:paraId="41A78A11" w14:textId="77777777" w:rsidTr="00C1514C">
        <w:trPr>
          <w:trHeight w:val="300"/>
          <w:jc w:val="center"/>
        </w:trPr>
        <w:tc>
          <w:tcPr>
            <w:tcW w:w="1080" w:type="dxa"/>
            <w:tcBorders>
              <w:top w:val="nil"/>
              <w:left w:val="nil"/>
              <w:bottom w:val="nil"/>
              <w:right w:val="nil"/>
            </w:tcBorders>
            <w:shd w:val="clear" w:color="auto" w:fill="auto"/>
            <w:noWrap/>
            <w:vAlign w:val="bottom"/>
            <w:hideMark/>
          </w:tcPr>
          <w:p w14:paraId="678B1D86" w14:textId="77777777" w:rsidR="00C1514C" w:rsidRPr="00BA6959" w:rsidRDefault="00C1514C" w:rsidP="00C1514C">
            <w:pPr>
              <w:spacing w:after="0"/>
              <w:jc w:val="left"/>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AR Alert 13</w:t>
            </w:r>
          </w:p>
        </w:tc>
        <w:tc>
          <w:tcPr>
            <w:tcW w:w="880" w:type="dxa"/>
            <w:tcBorders>
              <w:top w:val="nil"/>
              <w:left w:val="nil"/>
              <w:bottom w:val="nil"/>
              <w:right w:val="nil"/>
            </w:tcBorders>
            <w:shd w:val="clear" w:color="auto" w:fill="auto"/>
            <w:noWrap/>
            <w:vAlign w:val="bottom"/>
            <w:hideMark/>
          </w:tcPr>
          <w:p w14:paraId="5EF8835B" w14:textId="77777777" w:rsidR="00C1514C" w:rsidRPr="00BA6959" w:rsidRDefault="00C1514C" w:rsidP="00C1514C">
            <w:pPr>
              <w:spacing w:after="0"/>
              <w:jc w:val="center"/>
              <w:rPr>
                <w:rFonts w:ascii="Calibri" w:hAnsi="Calibri" w:cs="Calibri"/>
                <w:sz w:val="16"/>
                <w:szCs w:val="16"/>
                <w:lang w:val="en-GB" w:eastAsia="en-GB"/>
              </w:rPr>
            </w:pPr>
            <w:r w:rsidRPr="00BA6959">
              <w:rPr>
                <w:rFonts w:ascii="Calibri" w:hAnsi="Calibri" w:cs="Calibri"/>
                <w:sz w:val="16"/>
                <w:szCs w:val="16"/>
                <w:lang w:val="en-GB" w:eastAsia="en-GB"/>
              </w:rPr>
              <w:t>16</w:t>
            </w:r>
          </w:p>
        </w:tc>
        <w:tc>
          <w:tcPr>
            <w:tcW w:w="648" w:type="dxa"/>
            <w:tcBorders>
              <w:top w:val="nil"/>
              <w:left w:val="nil"/>
              <w:bottom w:val="nil"/>
              <w:right w:val="nil"/>
            </w:tcBorders>
            <w:shd w:val="clear" w:color="auto" w:fill="auto"/>
            <w:noWrap/>
            <w:vAlign w:val="bottom"/>
            <w:hideMark/>
          </w:tcPr>
          <w:p w14:paraId="7ED4268D"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N/A</w:t>
            </w:r>
          </w:p>
        </w:tc>
        <w:tc>
          <w:tcPr>
            <w:tcW w:w="743" w:type="dxa"/>
            <w:tcBorders>
              <w:top w:val="nil"/>
              <w:left w:val="nil"/>
              <w:bottom w:val="nil"/>
              <w:right w:val="nil"/>
            </w:tcBorders>
            <w:shd w:val="clear" w:color="auto" w:fill="auto"/>
            <w:noWrap/>
            <w:vAlign w:val="bottom"/>
            <w:hideMark/>
          </w:tcPr>
          <w:p w14:paraId="2BD7F007"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N/A</w:t>
            </w:r>
          </w:p>
        </w:tc>
        <w:tc>
          <w:tcPr>
            <w:tcW w:w="710" w:type="dxa"/>
            <w:tcBorders>
              <w:top w:val="nil"/>
              <w:left w:val="nil"/>
              <w:bottom w:val="nil"/>
              <w:right w:val="nil"/>
            </w:tcBorders>
            <w:shd w:val="clear" w:color="auto" w:fill="auto"/>
            <w:noWrap/>
            <w:vAlign w:val="bottom"/>
            <w:hideMark/>
          </w:tcPr>
          <w:p w14:paraId="161FF950"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N/A</w:t>
            </w:r>
          </w:p>
        </w:tc>
        <w:tc>
          <w:tcPr>
            <w:tcW w:w="1080" w:type="dxa"/>
            <w:tcBorders>
              <w:top w:val="nil"/>
              <w:left w:val="nil"/>
              <w:bottom w:val="nil"/>
              <w:right w:val="nil"/>
            </w:tcBorders>
            <w:shd w:val="clear" w:color="auto" w:fill="auto"/>
            <w:noWrap/>
            <w:vAlign w:val="bottom"/>
            <w:hideMark/>
          </w:tcPr>
          <w:p w14:paraId="63AC3173"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N/A</w:t>
            </w:r>
          </w:p>
        </w:tc>
        <w:tc>
          <w:tcPr>
            <w:tcW w:w="1080" w:type="dxa"/>
            <w:tcBorders>
              <w:top w:val="nil"/>
              <w:left w:val="nil"/>
              <w:bottom w:val="nil"/>
              <w:right w:val="nil"/>
            </w:tcBorders>
            <w:shd w:val="clear" w:color="auto" w:fill="auto"/>
            <w:noWrap/>
            <w:vAlign w:val="bottom"/>
            <w:hideMark/>
          </w:tcPr>
          <w:p w14:paraId="5FF1FC3D"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N/A</w:t>
            </w:r>
          </w:p>
        </w:tc>
        <w:tc>
          <w:tcPr>
            <w:tcW w:w="1080" w:type="dxa"/>
            <w:tcBorders>
              <w:top w:val="nil"/>
              <w:left w:val="nil"/>
              <w:bottom w:val="nil"/>
              <w:right w:val="nil"/>
            </w:tcBorders>
            <w:shd w:val="clear" w:color="auto" w:fill="auto"/>
            <w:noWrap/>
            <w:vAlign w:val="bottom"/>
            <w:hideMark/>
          </w:tcPr>
          <w:p w14:paraId="6166ACD7"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N/A</w:t>
            </w:r>
          </w:p>
        </w:tc>
        <w:tc>
          <w:tcPr>
            <w:tcW w:w="1286" w:type="dxa"/>
            <w:tcBorders>
              <w:top w:val="nil"/>
              <w:left w:val="nil"/>
              <w:bottom w:val="nil"/>
              <w:right w:val="nil"/>
            </w:tcBorders>
            <w:shd w:val="clear" w:color="auto" w:fill="auto"/>
            <w:noWrap/>
            <w:vAlign w:val="bottom"/>
            <w:hideMark/>
          </w:tcPr>
          <w:p w14:paraId="3B019789"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0.00</w:t>
            </w:r>
          </w:p>
        </w:tc>
        <w:tc>
          <w:tcPr>
            <w:tcW w:w="1262" w:type="dxa"/>
            <w:tcBorders>
              <w:top w:val="nil"/>
              <w:left w:val="nil"/>
              <w:bottom w:val="nil"/>
              <w:right w:val="nil"/>
            </w:tcBorders>
            <w:shd w:val="clear" w:color="auto" w:fill="auto"/>
            <w:noWrap/>
            <w:vAlign w:val="bottom"/>
            <w:hideMark/>
          </w:tcPr>
          <w:p w14:paraId="471F3E08"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68.75</w:t>
            </w:r>
          </w:p>
        </w:tc>
        <w:tc>
          <w:tcPr>
            <w:tcW w:w="1288" w:type="dxa"/>
            <w:tcBorders>
              <w:top w:val="nil"/>
              <w:left w:val="nil"/>
              <w:bottom w:val="nil"/>
              <w:right w:val="nil"/>
            </w:tcBorders>
            <w:shd w:val="clear" w:color="auto" w:fill="auto"/>
            <w:noWrap/>
            <w:vAlign w:val="bottom"/>
            <w:hideMark/>
          </w:tcPr>
          <w:p w14:paraId="149B9BE4"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0.00</w:t>
            </w:r>
          </w:p>
        </w:tc>
        <w:tc>
          <w:tcPr>
            <w:tcW w:w="1266" w:type="dxa"/>
            <w:tcBorders>
              <w:top w:val="nil"/>
              <w:left w:val="nil"/>
              <w:bottom w:val="nil"/>
              <w:right w:val="nil"/>
            </w:tcBorders>
            <w:shd w:val="clear" w:color="auto" w:fill="auto"/>
            <w:noWrap/>
            <w:vAlign w:val="bottom"/>
            <w:hideMark/>
          </w:tcPr>
          <w:p w14:paraId="30B82B48"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93.75</w:t>
            </w:r>
          </w:p>
        </w:tc>
        <w:tc>
          <w:tcPr>
            <w:tcW w:w="1357" w:type="dxa"/>
            <w:tcBorders>
              <w:top w:val="nil"/>
              <w:left w:val="nil"/>
              <w:bottom w:val="nil"/>
              <w:right w:val="nil"/>
            </w:tcBorders>
            <w:shd w:val="clear" w:color="auto" w:fill="auto"/>
            <w:noWrap/>
            <w:vAlign w:val="bottom"/>
            <w:hideMark/>
          </w:tcPr>
          <w:p w14:paraId="24613E80"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93.75</w:t>
            </w:r>
          </w:p>
        </w:tc>
      </w:tr>
      <w:tr w:rsidR="00C1514C" w:rsidRPr="00BA6959" w14:paraId="7FC9E50F" w14:textId="77777777" w:rsidTr="00C1514C">
        <w:trPr>
          <w:trHeight w:val="300"/>
          <w:jc w:val="center"/>
        </w:trPr>
        <w:tc>
          <w:tcPr>
            <w:tcW w:w="1080" w:type="dxa"/>
            <w:tcBorders>
              <w:top w:val="nil"/>
              <w:left w:val="nil"/>
              <w:bottom w:val="nil"/>
              <w:right w:val="nil"/>
            </w:tcBorders>
            <w:shd w:val="clear" w:color="auto" w:fill="auto"/>
            <w:noWrap/>
            <w:vAlign w:val="bottom"/>
            <w:hideMark/>
          </w:tcPr>
          <w:p w14:paraId="536898A6" w14:textId="77777777" w:rsidR="00C1514C" w:rsidRPr="00BA6959" w:rsidRDefault="00C1514C" w:rsidP="00C1514C">
            <w:pPr>
              <w:spacing w:after="0"/>
              <w:jc w:val="left"/>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AR Alert 19</w:t>
            </w:r>
          </w:p>
        </w:tc>
        <w:tc>
          <w:tcPr>
            <w:tcW w:w="880" w:type="dxa"/>
            <w:tcBorders>
              <w:top w:val="nil"/>
              <w:left w:val="nil"/>
              <w:bottom w:val="nil"/>
              <w:right w:val="nil"/>
            </w:tcBorders>
            <w:shd w:val="clear" w:color="auto" w:fill="auto"/>
            <w:noWrap/>
            <w:vAlign w:val="bottom"/>
            <w:hideMark/>
          </w:tcPr>
          <w:p w14:paraId="6EB4F669" w14:textId="77777777" w:rsidR="00C1514C" w:rsidRPr="00BA6959" w:rsidRDefault="00C1514C" w:rsidP="00C1514C">
            <w:pPr>
              <w:spacing w:after="0"/>
              <w:jc w:val="center"/>
              <w:rPr>
                <w:rFonts w:ascii="Calibri" w:hAnsi="Calibri" w:cs="Calibri"/>
                <w:sz w:val="16"/>
                <w:szCs w:val="16"/>
                <w:lang w:val="en-GB" w:eastAsia="en-GB"/>
              </w:rPr>
            </w:pPr>
            <w:r w:rsidRPr="00BA6959">
              <w:rPr>
                <w:rFonts w:ascii="Calibri" w:hAnsi="Calibri" w:cs="Calibri"/>
                <w:sz w:val="16"/>
                <w:szCs w:val="16"/>
                <w:lang w:val="en-GB" w:eastAsia="en-GB"/>
              </w:rPr>
              <w:t>156</w:t>
            </w:r>
          </w:p>
        </w:tc>
        <w:tc>
          <w:tcPr>
            <w:tcW w:w="648" w:type="dxa"/>
            <w:tcBorders>
              <w:top w:val="nil"/>
              <w:left w:val="nil"/>
              <w:bottom w:val="nil"/>
              <w:right w:val="nil"/>
            </w:tcBorders>
            <w:shd w:val="clear" w:color="auto" w:fill="auto"/>
            <w:noWrap/>
            <w:vAlign w:val="bottom"/>
            <w:hideMark/>
          </w:tcPr>
          <w:p w14:paraId="2F5E1FBE"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21.95</w:t>
            </w:r>
          </w:p>
        </w:tc>
        <w:tc>
          <w:tcPr>
            <w:tcW w:w="743" w:type="dxa"/>
            <w:tcBorders>
              <w:top w:val="nil"/>
              <w:left w:val="nil"/>
              <w:bottom w:val="nil"/>
              <w:right w:val="nil"/>
            </w:tcBorders>
            <w:shd w:val="clear" w:color="auto" w:fill="auto"/>
            <w:noWrap/>
            <w:vAlign w:val="bottom"/>
            <w:hideMark/>
          </w:tcPr>
          <w:p w14:paraId="48F490C4"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39.47</w:t>
            </w:r>
          </w:p>
        </w:tc>
        <w:tc>
          <w:tcPr>
            <w:tcW w:w="710" w:type="dxa"/>
            <w:tcBorders>
              <w:top w:val="nil"/>
              <w:left w:val="nil"/>
              <w:bottom w:val="nil"/>
              <w:right w:val="nil"/>
            </w:tcBorders>
            <w:shd w:val="clear" w:color="auto" w:fill="auto"/>
            <w:noWrap/>
            <w:vAlign w:val="bottom"/>
            <w:hideMark/>
          </w:tcPr>
          <w:p w14:paraId="696299C0"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21.43</w:t>
            </w:r>
          </w:p>
        </w:tc>
        <w:tc>
          <w:tcPr>
            <w:tcW w:w="1080" w:type="dxa"/>
            <w:tcBorders>
              <w:top w:val="nil"/>
              <w:left w:val="nil"/>
              <w:bottom w:val="nil"/>
              <w:right w:val="nil"/>
            </w:tcBorders>
            <w:shd w:val="clear" w:color="auto" w:fill="auto"/>
            <w:noWrap/>
            <w:vAlign w:val="bottom"/>
            <w:hideMark/>
          </w:tcPr>
          <w:p w14:paraId="06B13FD5"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61.90</w:t>
            </w:r>
          </w:p>
        </w:tc>
        <w:tc>
          <w:tcPr>
            <w:tcW w:w="1080" w:type="dxa"/>
            <w:tcBorders>
              <w:top w:val="nil"/>
              <w:left w:val="nil"/>
              <w:bottom w:val="nil"/>
              <w:right w:val="nil"/>
            </w:tcBorders>
            <w:shd w:val="clear" w:color="auto" w:fill="auto"/>
            <w:noWrap/>
            <w:vAlign w:val="bottom"/>
            <w:hideMark/>
          </w:tcPr>
          <w:p w14:paraId="58EA8321"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52.38</w:t>
            </w:r>
          </w:p>
        </w:tc>
        <w:tc>
          <w:tcPr>
            <w:tcW w:w="1080" w:type="dxa"/>
            <w:tcBorders>
              <w:top w:val="nil"/>
              <w:left w:val="nil"/>
              <w:bottom w:val="nil"/>
              <w:right w:val="nil"/>
            </w:tcBorders>
            <w:shd w:val="clear" w:color="auto" w:fill="auto"/>
            <w:noWrap/>
            <w:vAlign w:val="bottom"/>
            <w:hideMark/>
          </w:tcPr>
          <w:p w14:paraId="37B55E08"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61.90</w:t>
            </w:r>
          </w:p>
        </w:tc>
        <w:tc>
          <w:tcPr>
            <w:tcW w:w="1286" w:type="dxa"/>
            <w:tcBorders>
              <w:top w:val="nil"/>
              <w:left w:val="nil"/>
              <w:bottom w:val="nil"/>
              <w:right w:val="nil"/>
            </w:tcBorders>
            <w:shd w:val="clear" w:color="auto" w:fill="auto"/>
            <w:noWrap/>
            <w:vAlign w:val="bottom"/>
            <w:hideMark/>
          </w:tcPr>
          <w:p w14:paraId="43E538F7"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67.53</w:t>
            </w:r>
          </w:p>
        </w:tc>
        <w:tc>
          <w:tcPr>
            <w:tcW w:w="1262" w:type="dxa"/>
            <w:tcBorders>
              <w:top w:val="nil"/>
              <w:left w:val="nil"/>
              <w:bottom w:val="nil"/>
              <w:right w:val="nil"/>
            </w:tcBorders>
            <w:shd w:val="clear" w:color="auto" w:fill="auto"/>
            <w:noWrap/>
            <w:vAlign w:val="bottom"/>
            <w:hideMark/>
          </w:tcPr>
          <w:p w14:paraId="4BC73053"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15.58</w:t>
            </w:r>
          </w:p>
        </w:tc>
        <w:tc>
          <w:tcPr>
            <w:tcW w:w="1288" w:type="dxa"/>
            <w:tcBorders>
              <w:top w:val="nil"/>
              <w:left w:val="nil"/>
              <w:bottom w:val="nil"/>
              <w:right w:val="nil"/>
            </w:tcBorders>
            <w:shd w:val="clear" w:color="auto" w:fill="auto"/>
            <w:noWrap/>
            <w:vAlign w:val="bottom"/>
            <w:hideMark/>
          </w:tcPr>
          <w:p w14:paraId="3395BCC4"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89.61</w:t>
            </w:r>
          </w:p>
        </w:tc>
        <w:tc>
          <w:tcPr>
            <w:tcW w:w="1266" w:type="dxa"/>
            <w:tcBorders>
              <w:top w:val="nil"/>
              <w:left w:val="nil"/>
              <w:bottom w:val="nil"/>
              <w:right w:val="nil"/>
            </w:tcBorders>
            <w:shd w:val="clear" w:color="auto" w:fill="auto"/>
            <w:noWrap/>
            <w:vAlign w:val="bottom"/>
            <w:hideMark/>
          </w:tcPr>
          <w:p w14:paraId="1277722A"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3.25</w:t>
            </w:r>
          </w:p>
        </w:tc>
        <w:tc>
          <w:tcPr>
            <w:tcW w:w="1357" w:type="dxa"/>
            <w:tcBorders>
              <w:top w:val="nil"/>
              <w:left w:val="nil"/>
              <w:bottom w:val="nil"/>
              <w:right w:val="nil"/>
            </w:tcBorders>
            <w:shd w:val="clear" w:color="auto" w:fill="auto"/>
            <w:noWrap/>
            <w:vAlign w:val="bottom"/>
            <w:hideMark/>
          </w:tcPr>
          <w:p w14:paraId="0B636943"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8.57</w:t>
            </w:r>
          </w:p>
        </w:tc>
      </w:tr>
      <w:tr w:rsidR="00C1514C" w:rsidRPr="00BA6959" w14:paraId="52F4BF07" w14:textId="77777777" w:rsidTr="00C1514C">
        <w:trPr>
          <w:trHeight w:val="300"/>
          <w:jc w:val="center"/>
        </w:trPr>
        <w:tc>
          <w:tcPr>
            <w:tcW w:w="1080" w:type="dxa"/>
            <w:tcBorders>
              <w:top w:val="nil"/>
              <w:left w:val="nil"/>
              <w:bottom w:val="nil"/>
              <w:right w:val="nil"/>
            </w:tcBorders>
            <w:shd w:val="clear" w:color="auto" w:fill="auto"/>
            <w:noWrap/>
            <w:vAlign w:val="bottom"/>
            <w:hideMark/>
          </w:tcPr>
          <w:p w14:paraId="7F6579B7" w14:textId="77777777" w:rsidR="00C1514C" w:rsidRPr="00BA6959" w:rsidRDefault="00C1514C" w:rsidP="00C1514C">
            <w:pPr>
              <w:spacing w:after="0"/>
              <w:jc w:val="left"/>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AR Alert 20</w:t>
            </w:r>
          </w:p>
        </w:tc>
        <w:tc>
          <w:tcPr>
            <w:tcW w:w="880" w:type="dxa"/>
            <w:tcBorders>
              <w:top w:val="nil"/>
              <w:left w:val="nil"/>
              <w:bottom w:val="nil"/>
              <w:right w:val="nil"/>
            </w:tcBorders>
            <w:shd w:val="clear" w:color="auto" w:fill="auto"/>
            <w:noWrap/>
            <w:vAlign w:val="bottom"/>
            <w:hideMark/>
          </w:tcPr>
          <w:p w14:paraId="72FB58B0" w14:textId="77777777" w:rsidR="00C1514C" w:rsidRPr="00BA6959" w:rsidRDefault="00C1514C" w:rsidP="00C1514C">
            <w:pPr>
              <w:spacing w:after="0"/>
              <w:jc w:val="center"/>
              <w:rPr>
                <w:rFonts w:ascii="Calibri" w:hAnsi="Calibri" w:cs="Calibri"/>
                <w:sz w:val="16"/>
                <w:szCs w:val="16"/>
                <w:lang w:val="en-GB" w:eastAsia="en-GB"/>
              </w:rPr>
            </w:pPr>
            <w:r w:rsidRPr="00BA6959">
              <w:rPr>
                <w:rFonts w:ascii="Calibri" w:hAnsi="Calibri" w:cs="Calibri"/>
                <w:sz w:val="16"/>
                <w:szCs w:val="16"/>
                <w:lang w:val="en-GB" w:eastAsia="en-GB"/>
              </w:rPr>
              <w:t>178</w:t>
            </w:r>
          </w:p>
        </w:tc>
        <w:tc>
          <w:tcPr>
            <w:tcW w:w="648" w:type="dxa"/>
            <w:tcBorders>
              <w:top w:val="nil"/>
              <w:left w:val="nil"/>
              <w:bottom w:val="nil"/>
              <w:right w:val="nil"/>
            </w:tcBorders>
            <w:shd w:val="clear" w:color="auto" w:fill="auto"/>
            <w:noWrap/>
            <w:vAlign w:val="bottom"/>
            <w:hideMark/>
          </w:tcPr>
          <w:p w14:paraId="2F8657D7"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21.28</w:t>
            </w:r>
          </w:p>
        </w:tc>
        <w:tc>
          <w:tcPr>
            <w:tcW w:w="743" w:type="dxa"/>
            <w:tcBorders>
              <w:top w:val="nil"/>
              <w:left w:val="nil"/>
              <w:bottom w:val="nil"/>
              <w:right w:val="nil"/>
            </w:tcBorders>
            <w:shd w:val="clear" w:color="auto" w:fill="auto"/>
            <w:noWrap/>
            <w:vAlign w:val="bottom"/>
            <w:hideMark/>
          </w:tcPr>
          <w:p w14:paraId="4FE4AF57"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36.36</w:t>
            </w:r>
          </w:p>
        </w:tc>
        <w:tc>
          <w:tcPr>
            <w:tcW w:w="710" w:type="dxa"/>
            <w:tcBorders>
              <w:top w:val="nil"/>
              <w:left w:val="nil"/>
              <w:bottom w:val="nil"/>
              <w:right w:val="nil"/>
            </w:tcBorders>
            <w:shd w:val="clear" w:color="auto" w:fill="auto"/>
            <w:noWrap/>
            <w:vAlign w:val="bottom"/>
            <w:hideMark/>
          </w:tcPr>
          <w:p w14:paraId="13278D73"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25.00</w:t>
            </w:r>
          </w:p>
        </w:tc>
        <w:tc>
          <w:tcPr>
            <w:tcW w:w="1080" w:type="dxa"/>
            <w:tcBorders>
              <w:top w:val="nil"/>
              <w:left w:val="nil"/>
              <w:bottom w:val="nil"/>
              <w:right w:val="nil"/>
            </w:tcBorders>
            <w:shd w:val="clear" w:color="auto" w:fill="auto"/>
            <w:noWrap/>
            <w:vAlign w:val="bottom"/>
            <w:hideMark/>
          </w:tcPr>
          <w:p w14:paraId="6F6A3D61"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60.00</w:t>
            </w:r>
          </w:p>
        </w:tc>
        <w:tc>
          <w:tcPr>
            <w:tcW w:w="1080" w:type="dxa"/>
            <w:tcBorders>
              <w:top w:val="nil"/>
              <w:left w:val="nil"/>
              <w:bottom w:val="nil"/>
              <w:right w:val="nil"/>
            </w:tcBorders>
            <w:shd w:val="clear" w:color="auto" w:fill="auto"/>
            <w:noWrap/>
            <w:vAlign w:val="bottom"/>
            <w:hideMark/>
          </w:tcPr>
          <w:p w14:paraId="59C1B2D0"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56.00</w:t>
            </w:r>
          </w:p>
        </w:tc>
        <w:tc>
          <w:tcPr>
            <w:tcW w:w="1080" w:type="dxa"/>
            <w:tcBorders>
              <w:top w:val="nil"/>
              <w:left w:val="nil"/>
              <w:bottom w:val="nil"/>
              <w:right w:val="nil"/>
            </w:tcBorders>
            <w:shd w:val="clear" w:color="auto" w:fill="auto"/>
            <w:noWrap/>
            <w:vAlign w:val="bottom"/>
            <w:hideMark/>
          </w:tcPr>
          <w:p w14:paraId="76F5CA13"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60.00</w:t>
            </w:r>
          </w:p>
        </w:tc>
        <w:tc>
          <w:tcPr>
            <w:tcW w:w="1286" w:type="dxa"/>
            <w:tcBorders>
              <w:top w:val="nil"/>
              <w:left w:val="nil"/>
              <w:bottom w:val="nil"/>
              <w:right w:val="nil"/>
            </w:tcBorders>
            <w:shd w:val="clear" w:color="auto" w:fill="auto"/>
            <w:noWrap/>
            <w:vAlign w:val="bottom"/>
            <w:hideMark/>
          </w:tcPr>
          <w:p w14:paraId="4E56260D"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62.50</w:t>
            </w:r>
          </w:p>
        </w:tc>
        <w:tc>
          <w:tcPr>
            <w:tcW w:w="1262" w:type="dxa"/>
            <w:tcBorders>
              <w:top w:val="nil"/>
              <w:left w:val="nil"/>
              <w:bottom w:val="nil"/>
              <w:right w:val="nil"/>
            </w:tcBorders>
            <w:shd w:val="clear" w:color="auto" w:fill="auto"/>
            <w:noWrap/>
            <w:vAlign w:val="bottom"/>
            <w:hideMark/>
          </w:tcPr>
          <w:p w14:paraId="59FE90F8"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21.02</w:t>
            </w:r>
          </w:p>
        </w:tc>
        <w:tc>
          <w:tcPr>
            <w:tcW w:w="1288" w:type="dxa"/>
            <w:tcBorders>
              <w:top w:val="nil"/>
              <w:left w:val="nil"/>
              <w:bottom w:val="nil"/>
              <w:right w:val="nil"/>
            </w:tcBorders>
            <w:shd w:val="clear" w:color="auto" w:fill="auto"/>
            <w:noWrap/>
            <w:vAlign w:val="bottom"/>
            <w:hideMark/>
          </w:tcPr>
          <w:p w14:paraId="160C688A"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83.52</w:t>
            </w:r>
          </w:p>
        </w:tc>
        <w:tc>
          <w:tcPr>
            <w:tcW w:w="1266" w:type="dxa"/>
            <w:tcBorders>
              <w:top w:val="nil"/>
              <w:left w:val="nil"/>
              <w:bottom w:val="nil"/>
              <w:right w:val="nil"/>
            </w:tcBorders>
            <w:shd w:val="clear" w:color="auto" w:fill="auto"/>
            <w:noWrap/>
            <w:vAlign w:val="bottom"/>
            <w:hideMark/>
          </w:tcPr>
          <w:p w14:paraId="751345EE"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5.68</w:t>
            </w:r>
          </w:p>
        </w:tc>
        <w:tc>
          <w:tcPr>
            <w:tcW w:w="1357" w:type="dxa"/>
            <w:tcBorders>
              <w:top w:val="nil"/>
              <w:left w:val="nil"/>
              <w:bottom w:val="nil"/>
              <w:right w:val="nil"/>
            </w:tcBorders>
            <w:shd w:val="clear" w:color="auto" w:fill="auto"/>
            <w:noWrap/>
            <w:vAlign w:val="bottom"/>
            <w:hideMark/>
          </w:tcPr>
          <w:p w14:paraId="7F6EA674"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12.90</w:t>
            </w:r>
          </w:p>
        </w:tc>
      </w:tr>
      <w:tr w:rsidR="00C1514C" w:rsidRPr="00BA6959" w14:paraId="693499C2" w14:textId="77777777" w:rsidTr="00C1514C">
        <w:trPr>
          <w:trHeight w:val="300"/>
          <w:jc w:val="center"/>
        </w:trPr>
        <w:tc>
          <w:tcPr>
            <w:tcW w:w="1080" w:type="dxa"/>
            <w:tcBorders>
              <w:top w:val="nil"/>
              <w:left w:val="nil"/>
              <w:bottom w:val="nil"/>
              <w:right w:val="nil"/>
            </w:tcBorders>
            <w:shd w:val="clear" w:color="auto" w:fill="auto"/>
            <w:noWrap/>
            <w:vAlign w:val="bottom"/>
            <w:hideMark/>
          </w:tcPr>
          <w:p w14:paraId="1251585F" w14:textId="77777777" w:rsidR="00C1514C" w:rsidRPr="00BA6959" w:rsidRDefault="00C1514C" w:rsidP="00C1514C">
            <w:pPr>
              <w:spacing w:after="0"/>
              <w:jc w:val="left"/>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AR Alert 30</w:t>
            </w:r>
          </w:p>
        </w:tc>
        <w:tc>
          <w:tcPr>
            <w:tcW w:w="880" w:type="dxa"/>
            <w:tcBorders>
              <w:top w:val="nil"/>
              <w:left w:val="nil"/>
              <w:bottom w:val="nil"/>
              <w:right w:val="nil"/>
            </w:tcBorders>
            <w:shd w:val="clear" w:color="auto" w:fill="auto"/>
            <w:noWrap/>
            <w:vAlign w:val="bottom"/>
            <w:hideMark/>
          </w:tcPr>
          <w:p w14:paraId="55B7EC68" w14:textId="77777777" w:rsidR="00C1514C" w:rsidRPr="00BA6959" w:rsidRDefault="00C1514C" w:rsidP="00C1514C">
            <w:pPr>
              <w:spacing w:after="0"/>
              <w:jc w:val="center"/>
              <w:rPr>
                <w:rFonts w:ascii="Calibri" w:hAnsi="Calibri" w:cs="Calibri"/>
                <w:sz w:val="16"/>
                <w:szCs w:val="16"/>
                <w:lang w:val="en-GB" w:eastAsia="en-GB"/>
              </w:rPr>
            </w:pPr>
            <w:r w:rsidRPr="00BA6959">
              <w:rPr>
                <w:rFonts w:ascii="Calibri" w:hAnsi="Calibri" w:cs="Calibri"/>
                <w:sz w:val="16"/>
                <w:szCs w:val="16"/>
                <w:lang w:val="en-GB" w:eastAsia="en-GB"/>
              </w:rPr>
              <w:t>214</w:t>
            </w:r>
          </w:p>
        </w:tc>
        <w:tc>
          <w:tcPr>
            <w:tcW w:w="648" w:type="dxa"/>
            <w:tcBorders>
              <w:top w:val="nil"/>
              <w:left w:val="nil"/>
              <w:bottom w:val="nil"/>
              <w:right w:val="nil"/>
            </w:tcBorders>
            <w:shd w:val="clear" w:color="auto" w:fill="auto"/>
            <w:noWrap/>
            <w:vAlign w:val="bottom"/>
            <w:hideMark/>
          </w:tcPr>
          <w:p w14:paraId="0BF53EF5"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15.87</w:t>
            </w:r>
          </w:p>
        </w:tc>
        <w:tc>
          <w:tcPr>
            <w:tcW w:w="743" w:type="dxa"/>
            <w:tcBorders>
              <w:top w:val="nil"/>
              <w:left w:val="nil"/>
              <w:bottom w:val="nil"/>
              <w:right w:val="nil"/>
            </w:tcBorders>
            <w:shd w:val="clear" w:color="auto" w:fill="auto"/>
            <w:noWrap/>
            <w:vAlign w:val="bottom"/>
            <w:hideMark/>
          </w:tcPr>
          <w:p w14:paraId="5A7CE311"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35.00</w:t>
            </w:r>
          </w:p>
        </w:tc>
        <w:tc>
          <w:tcPr>
            <w:tcW w:w="710" w:type="dxa"/>
            <w:tcBorders>
              <w:top w:val="nil"/>
              <w:left w:val="nil"/>
              <w:bottom w:val="nil"/>
              <w:right w:val="nil"/>
            </w:tcBorders>
            <w:shd w:val="clear" w:color="auto" w:fill="auto"/>
            <w:noWrap/>
            <w:vAlign w:val="bottom"/>
            <w:hideMark/>
          </w:tcPr>
          <w:p w14:paraId="041FE782"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25.00</w:t>
            </w:r>
          </w:p>
        </w:tc>
        <w:tc>
          <w:tcPr>
            <w:tcW w:w="1080" w:type="dxa"/>
            <w:tcBorders>
              <w:top w:val="nil"/>
              <w:left w:val="nil"/>
              <w:bottom w:val="nil"/>
              <w:right w:val="nil"/>
            </w:tcBorders>
            <w:shd w:val="clear" w:color="auto" w:fill="auto"/>
            <w:noWrap/>
            <w:vAlign w:val="bottom"/>
            <w:hideMark/>
          </w:tcPr>
          <w:p w14:paraId="57012205"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58.97</w:t>
            </w:r>
          </w:p>
        </w:tc>
        <w:tc>
          <w:tcPr>
            <w:tcW w:w="1080" w:type="dxa"/>
            <w:tcBorders>
              <w:top w:val="nil"/>
              <w:left w:val="nil"/>
              <w:bottom w:val="nil"/>
              <w:right w:val="nil"/>
            </w:tcBorders>
            <w:shd w:val="clear" w:color="auto" w:fill="auto"/>
            <w:noWrap/>
            <w:vAlign w:val="bottom"/>
            <w:hideMark/>
          </w:tcPr>
          <w:p w14:paraId="6182F1B5"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41.03</w:t>
            </w:r>
          </w:p>
        </w:tc>
        <w:tc>
          <w:tcPr>
            <w:tcW w:w="1080" w:type="dxa"/>
            <w:tcBorders>
              <w:top w:val="nil"/>
              <w:left w:val="nil"/>
              <w:bottom w:val="nil"/>
              <w:right w:val="nil"/>
            </w:tcBorders>
            <w:shd w:val="clear" w:color="auto" w:fill="auto"/>
            <w:noWrap/>
            <w:vAlign w:val="bottom"/>
            <w:hideMark/>
          </w:tcPr>
          <w:p w14:paraId="777F8910"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53.85</w:t>
            </w:r>
          </w:p>
        </w:tc>
        <w:tc>
          <w:tcPr>
            <w:tcW w:w="1286" w:type="dxa"/>
            <w:tcBorders>
              <w:top w:val="nil"/>
              <w:left w:val="nil"/>
              <w:bottom w:val="nil"/>
              <w:right w:val="nil"/>
            </w:tcBorders>
            <w:shd w:val="clear" w:color="auto" w:fill="auto"/>
            <w:noWrap/>
            <w:vAlign w:val="bottom"/>
            <w:hideMark/>
          </w:tcPr>
          <w:p w14:paraId="72BA229F"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55.92</w:t>
            </w:r>
          </w:p>
        </w:tc>
        <w:tc>
          <w:tcPr>
            <w:tcW w:w="1262" w:type="dxa"/>
            <w:tcBorders>
              <w:top w:val="nil"/>
              <w:left w:val="nil"/>
              <w:bottom w:val="nil"/>
              <w:right w:val="nil"/>
            </w:tcBorders>
            <w:shd w:val="clear" w:color="auto" w:fill="auto"/>
            <w:noWrap/>
            <w:vAlign w:val="bottom"/>
            <w:hideMark/>
          </w:tcPr>
          <w:p w14:paraId="69CF18AF"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23.70</w:t>
            </w:r>
          </w:p>
        </w:tc>
        <w:tc>
          <w:tcPr>
            <w:tcW w:w="1288" w:type="dxa"/>
            <w:tcBorders>
              <w:top w:val="nil"/>
              <w:left w:val="nil"/>
              <w:bottom w:val="nil"/>
              <w:right w:val="nil"/>
            </w:tcBorders>
            <w:shd w:val="clear" w:color="auto" w:fill="auto"/>
            <w:noWrap/>
            <w:vAlign w:val="bottom"/>
            <w:hideMark/>
          </w:tcPr>
          <w:p w14:paraId="48F2D335"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74.88</w:t>
            </w:r>
          </w:p>
        </w:tc>
        <w:tc>
          <w:tcPr>
            <w:tcW w:w="1266" w:type="dxa"/>
            <w:tcBorders>
              <w:top w:val="nil"/>
              <w:left w:val="nil"/>
              <w:bottom w:val="nil"/>
              <w:right w:val="nil"/>
            </w:tcBorders>
            <w:shd w:val="clear" w:color="auto" w:fill="auto"/>
            <w:noWrap/>
            <w:vAlign w:val="bottom"/>
            <w:hideMark/>
          </w:tcPr>
          <w:p w14:paraId="269D65BB"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8.53</w:t>
            </w:r>
          </w:p>
        </w:tc>
        <w:tc>
          <w:tcPr>
            <w:tcW w:w="1357" w:type="dxa"/>
            <w:tcBorders>
              <w:top w:val="nil"/>
              <w:left w:val="nil"/>
              <w:bottom w:val="nil"/>
              <w:right w:val="nil"/>
            </w:tcBorders>
            <w:shd w:val="clear" w:color="auto" w:fill="auto"/>
            <w:noWrap/>
            <w:vAlign w:val="bottom"/>
            <w:hideMark/>
          </w:tcPr>
          <w:p w14:paraId="7F5489BA"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19.21</w:t>
            </w:r>
          </w:p>
        </w:tc>
      </w:tr>
      <w:tr w:rsidR="00C1514C" w:rsidRPr="00BA6959" w14:paraId="07652529" w14:textId="77777777" w:rsidTr="00C1514C">
        <w:trPr>
          <w:trHeight w:val="300"/>
          <w:jc w:val="center"/>
        </w:trPr>
        <w:tc>
          <w:tcPr>
            <w:tcW w:w="1080" w:type="dxa"/>
            <w:tcBorders>
              <w:top w:val="nil"/>
              <w:left w:val="nil"/>
              <w:bottom w:val="nil"/>
              <w:right w:val="nil"/>
            </w:tcBorders>
            <w:shd w:val="clear" w:color="auto" w:fill="auto"/>
            <w:noWrap/>
            <w:vAlign w:val="bottom"/>
            <w:hideMark/>
          </w:tcPr>
          <w:p w14:paraId="21FB849D" w14:textId="77777777" w:rsidR="00C1514C" w:rsidRPr="00BA6959" w:rsidRDefault="00C1514C" w:rsidP="00C1514C">
            <w:pPr>
              <w:spacing w:after="0"/>
              <w:jc w:val="left"/>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AR Alert 51</w:t>
            </w:r>
          </w:p>
        </w:tc>
        <w:tc>
          <w:tcPr>
            <w:tcW w:w="880" w:type="dxa"/>
            <w:tcBorders>
              <w:top w:val="nil"/>
              <w:left w:val="nil"/>
              <w:bottom w:val="nil"/>
              <w:right w:val="nil"/>
            </w:tcBorders>
            <w:shd w:val="clear" w:color="auto" w:fill="auto"/>
            <w:noWrap/>
            <w:vAlign w:val="bottom"/>
            <w:hideMark/>
          </w:tcPr>
          <w:p w14:paraId="491B4C68" w14:textId="77777777" w:rsidR="00C1514C" w:rsidRPr="00BA6959" w:rsidRDefault="00C1514C" w:rsidP="00C1514C">
            <w:pPr>
              <w:spacing w:after="0"/>
              <w:jc w:val="center"/>
              <w:rPr>
                <w:rFonts w:ascii="Calibri" w:hAnsi="Calibri" w:cs="Calibri"/>
                <w:sz w:val="16"/>
                <w:szCs w:val="16"/>
                <w:lang w:val="en-GB" w:eastAsia="en-GB"/>
              </w:rPr>
            </w:pPr>
            <w:r w:rsidRPr="00BA6959">
              <w:rPr>
                <w:rFonts w:ascii="Calibri" w:hAnsi="Calibri" w:cs="Calibri"/>
                <w:sz w:val="16"/>
                <w:szCs w:val="16"/>
                <w:lang w:val="en-GB" w:eastAsia="en-GB"/>
              </w:rPr>
              <w:t>181</w:t>
            </w:r>
          </w:p>
        </w:tc>
        <w:tc>
          <w:tcPr>
            <w:tcW w:w="648" w:type="dxa"/>
            <w:tcBorders>
              <w:top w:val="nil"/>
              <w:left w:val="nil"/>
              <w:bottom w:val="nil"/>
              <w:right w:val="nil"/>
            </w:tcBorders>
            <w:shd w:val="clear" w:color="auto" w:fill="auto"/>
            <w:noWrap/>
            <w:vAlign w:val="bottom"/>
            <w:hideMark/>
          </w:tcPr>
          <w:p w14:paraId="374F15A9"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16.98</w:t>
            </w:r>
          </w:p>
        </w:tc>
        <w:tc>
          <w:tcPr>
            <w:tcW w:w="743" w:type="dxa"/>
            <w:tcBorders>
              <w:top w:val="nil"/>
              <w:left w:val="nil"/>
              <w:bottom w:val="nil"/>
              <w:right w:val="nil"/>
            </w:tcBorders>
            <w:shd w:val="clear" w:color="auto" w:fill="auto"/>
            <w:noWrap/>
            <w:vAlign w:val="bottom"/>
            <w:hideMark/>
          </w:tcPr>
          <w:p w14:paraId="6FFED31A"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38.78</w:t>
            </w:r>
          </w:p>
        </w:tc>
        <w:tc>
          <w:tcPr>
            <w:tcW w:w="710" w:type="dxa"/>
            <w:tcBorders>
              <w:top w:val="nil"/>
              <w:left w:val="nil"/>
              <w:bottom w:val="nil"/>
              <w:right w:val="nil"/>
            </w:tcBorders>
            <w:shd w:val="clear" w:color="auto" w:fill="auto"/>
            <w:noWrap/>
            <w:vAlign w:val="bottom"/>
            <w:hideMark/>
          </w:tcPr>
          <w:p w14:paraId="1DF57D11"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24.07</w:t>
            </w:r>
          </w:p>
        </w:tc>
        <w:tc>
          <w:tcPr>
            <w:tcW w:w="1080" w:type="dxa"/>
            <w:tcBorders>
              <w:top w:val="nil"/>
              <w:left w:val="nil"/>
              <w:bottom w:val="nil"/>
              <w:right w:val="nil"/>
            </w:tcBorders>
            <w:shd w:val="clear" w:color="auto" w:fill="auto"/>
            <w:noWrap/>
            <w:vAlign w:val="bottom"/>
            <w:hideMark/>
          </w:tcPr>
          <w:p w14:paraId="6DCBA8F3"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58.62</w:t>
            </w:r>
          </w:p>
        </w:tc>
        <w:tc>
          <w:tcPr>
            <w:tcW w:w="1080" w:type="dxa"/>
            <w:tcBorders>
              <w:top w:val="nil"/>
              <w:left w:val="nil"/>
              <w:bottom w:val="nil"/>
              <w:right w:val="nil"/>
            </w:tcBorders>
            <w:shd w:val="clear" w:color="auto" w:fill="auto"/>
            <w:noWrap/>
            <w:vAlign w:val="bottom"/>
            <w:hideMark/>
          </w:tcPr>
          <w:p w14:paraId="391D5FD3"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51.72</w:t>
            </w:r>
          </w:p>
        </w:tc>
        <w:tc>
          <w:tcPr>
            <w:tcW w:w="1080" w:type="dxa"/>
            <w:tcBorders>
              <w:top w:val="nil"/>
              <w:left w:val="nil"/>
              <w:bottom w:val="nil"/>
              <w:right w:val="nil"/>
            </w:tcBorders>
            <w:shd w:val="clear" w:color="auto" w:fill="auto"/>
            <w:noWrap/>
            <w:vAlign w:val="bottom"/>
            <w:hideMark/>
          </w:tcPr>
          <w:p w14:paraId="36F1EAB5"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65.52</w:t>
            </w:r>
          </w:p>
        </w:tc>
        <w:tc>
          <w:tcPr>
            <w:tcW w:w="1286" w:type="dxa"/>
            <w:tcBorders>
              <w:top w:val="nil"/>
              <w:left w:val="nil"/>
              <w:bottom w:val="nil"/>
              <w:right w:val="nil"/>
            </w:tcBorders>
            <w:shd w:val="clear" w:color="auto" w:fill="auto"/>
            <w:noWrap/>
            <w:vAlign w:val="bottom"/>
            <w:hideMark/>
          </w:tcPr>
          <w:p w14:paraId="79C5FF69"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63.48</w:t>
            </w:r>
          </w:p>
        </w:tc>
        <w:tc>
          <w:tcPr>
            <w:tcW w:w="1262" w:type="dxa"/>
            <w:tcBorders>
              <w:top w:val="nil"/>
              <w:left w:val="nil"/>
              <w:bottom w:val="nil"/>
              <w:right w:val="nil"/>
            </w:tcBorders>
            <w:shd w:val="clear" w:color="auto" w:fill="auto"/>
            <w:noWrap/>
            <w:vAlign w:val="bottom"/>
            <w:hideMark/>
          </w:tcPr>
          <w:p w14:paraId="3BE4614C"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17.98</w:t>
            </w:r>
          </w:p>
        </w:tc>
        <w:tc>
          <w:tcPr>
            <w:tcW w:w="1288" w:type="dxa"/>
            <w:tcBorders>
              <w:top w:val="nil"/>
              <w:left w:val="nil"/>
              <w:bottom w:val="nil"/>
              <w:right w:val="nil"/>
            </w:tcBorders>
            <w:shd w:val="clear" w:color="auto" w:fill="auto"/>
            <w:noWrap/>
            <w:vAlign w:val="bottom"/>
            <w:hideMark/>
          </w:tcPr>
          <w:p w14:paraId="437567B7"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84.83</w:t>
            </w:r>
          </w:p>
        </w:tc>
        <w:tc>
          <w:tcPr>
            <w:tcW w:w="1266" w:type="dxa"/>
            <w:tcBorders>
              <w:top w:val="nil"/>
              <w:left w:val="nil"/>
              <w:bottom w:val="nil"/>
              <w:right w:val="nil"/>
            </w:tcBorders>
            <w:shd w:val="clear" w:color="auto" w:fill="auto"/>
            <w:noWrap/>
            <w:vAlign w:val="bottom"/>
            <w:hideMark/>
          </w:tcPr>
          <w:p w14:paraId="0A18BFC9"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4.49</w:t>
            </w:r>
          </w:p>
        </w:tc>
        <w:tc>
          <w:tcPr>
            <w:tcW w:w="1357" w:type="dxa"/>
            <w:tcBorders>
              <w:top w:val="nil"/>
              <w:left w:val="nil"/>
              <w:bottom w:val="nil"/>
              <w:right w:val="nil"/>
            </w:tcBorders>
            <w:shd w:val="clear" w:color="auto" w:fill="auto"/>
            <w:noWrap/>
            <w:vAlign w:val="bottom"/>
            <w:hideMark/>
          </w:tcPr>
          <w:p w14:paraId="72822F80"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11.57</w:t>
            </w:r>
          </w:p>
        </w:tc>
      </w:tr>
      <w:tr w:rsidR="00C1514C" w:rsidRPr="00BA6959" w14:paraId="6A3BF2ED" w14:textId="77777777" w:rsidTr="00C1514C">
        <w:trPr>
          <w:trHeight w:val="300"/>
          <w:jc w:val="center"/>
        </w:trPr>
        <w:tc>
          <w:tcPr>
            <w:tcW w:w="1080" w:type="dxa"/>
            <w:tcBorders>
              <w:top w:val="nil"/>
              <w:left w:val="nil"/>
              <w:bottom w:val="nil"/>
              <w:right w:val="nil"/>
            </w:tcBorders>
            <w:shd w:val="clear" w:color="auto" w:fill="auto"/>
            <w:noWrap/>
            <w:vAlign w:val="bottom"/>
            <w:hideMark/>
          </w:tcPr>
          <w:p w14:paraId="4E4F397C" w14:textId="77777777" w:rsidR="00C1514C" w:rsidRPr="00BA6959" w:rsidRDefault="00C1514C" w:rsidP="00C1514C">
            <w:pPr>
              <w:spacing w:after="0"/>
              <w:jc w:val="left"/>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AR Alert 75</w:t>
            </w:r>
          </w:p>
        </w:tc>
        <w:tc>
          <w:tcPr>
            <w:tcW w:w="880" w:type="dxa"/>
            <w:tcBorders>
              <w:top w:val="nil"/>
              <w:left w:val="nil"/>
              <w:bottom w:val="nil"/>
              <w:right w:val="nil"/>
            </w:tcBorders>
            <w:shd w:val="clear" w:color="auto" w:fill="auto"/>
            <w:noWrap/>
            <w:vAlign w:val="bottom"/>
            <w:hideMark/>
          </w:tcPr>
          <w:p w14:paraId="505D2E9A" w14:textId="77777777" w:rsidR="00C1514C" w:rsidRPr="00BA6959" w:rsidRDefault="00C1514C" w:rsidP="00C1514C">
            <w:pPr>
              <w:spacing w:after="0"/>
              <w:jc w:val="center"/>
              <w:rPr>
                <w:rFonts w:ascii="Calibri" w:hAnsi="Calibri" w:cs="Calibri"/>
                <w:sz w:val="16"/>
                <w:szCs w:val="16"/>
                <w:lang w:val="en-GB" w:eastAsia="en-GB"/>
              </w:rPr>
            </w:pPr>
            <w:r w:rsidRPr="00BA6959">
              <w:rPr>
                <w:rFonts w:ascii="Calibri" w:hAnsi="Calibri" w:cs="Calibri"/>
                <w:sz w:val="16"/>
                <w:szCs w:val="16"/>
                <w:lang w:val="en-GB" w:eastAsia="en-GB"/>
              </w:rPr>
              <w:t>93</w:t>
            </w:r>
          </w:p>
        </w:tc>
        <w:tc>
          <w:tcPr>
            <w:tcW w:w="648" w:type="dxa"/>
            <w:tcBorders>
              <w:top w:val="nil"/>
              <w:left w:val="nil"/>
              <w:bottom w:val="nil"/>
              <w:right w:val="nil"/>
            </w:tcBorders>
            <w:shd w:val="clear" w:color="auto" w:fill="auto"/>
            <w:noWrap/>
            <w:vAlign w:val="bottom"/>
            <w:hideMark/>
          </w:tcPr>
          <w:p w14:paraId="21D19AA5"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22.58</w:t>
            </w:r>
          </w:p>
        </w:tc>
        <w:tc>
          <w:tcPr>
            <w:tcW w:w="743" w:type="dxa"/>
            <w:tcBorders>
              <w:top w:val="nil"/>
              <w:left w:val="nil"/>
              <w:bottom w:val="nil"/>
              <w:right w:val="nil"/>
            </w:tcBorders>
            <w:shd w:val="clear" w:color="auto" w:fill="auto"/>
            <w:noWrap/>
            <w:vAlign w:val="bottom"/>
            <w:hideMark/>
          </w:tcPr>
          <w:p w14:paraId="01267779"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40.00</w:t>
            </w:r>
          </w:p>
        </w:tc>
        <w:tc>
          <w:tcPr>
            <w:tcW w:w="710" w:type="dxa"/>
            <w:tcBorders>
              <w:top w:val="nil"/>
              <w:left w:val="nil"/>
              <w:bottom w:val="nil"/>
              <w:right w:val="nil"/>
            </w:tcBorders>
            <w:shd w:val="clear" w:color="auto" w:fill="auto"/>
            <w:noWrap/>
            <w:vAlign w:val="bottom"/>
            <w:hideMark/>
          </w:tcPr>
          <w:p w14:paraId="3BC21408"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37.50</w:t>
            </w:r>
          </w:p>
        </w:tc>
        <w:tc>
          <w:tcPr>
            <w:tcW w:w="1080" w:type="dxa"/>
            <w:tcBorders>
              <w:top w:val="nil"/>
              <w:left w:val="nil"/>
              <w:bottom w:val="nil"/>
              <w:right w:val="nil"/>
            </w:tcBorders>
            <w:shd w:val="clear" w:color="auto" w:fill="auto"/>
            <w:noWrap/>
            <w:vAlign w:val="bottom"/>
            <w:hideMark/>
          </w:tcPr>
          <w:p w14:paraId="1F873DCB"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66.67</w:t>
            </w:r>
          </w:p>
        </w:tc>
        <w:tc>
          <w:tcPr>
            <w:tcW w:w="1080" w:type="dxa"/>
            <w:tcBorders>
              <w:top w:val="nil"/>
              <w:left w:val="nil"/>
              <w:bottom w:val="nil"/>
              <w:right w:val="nil"/>
            </w:tcBorders>
            <w:shd w:val="clear" w:color="auto" w:fill="auto"/>
            <w:noWrap/>
            <w:vAlign w:val="bottom"/>
            <w:hideMark/>
          </w:tcPr>
          <w:p w14:paraId="225A4D3F"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61.90</w:t>
            </w:r>
          </w:p>
        </w:tc>
        <w:tc>
          <w:tcPr>
            <w:tcW w:w="1080" w:type="dxa"/>
            <w:tcBorders>
              <w:top w:val="nil"/>
              <w:left w:val="nil"/>
              <w:bottom w:val="nil"/>
              <w:right w:val="nil"/>
            </w:tcBorders>
            <w:shd w:val="clear" w:color="auto" w:fill="auto"/>
            <w:noWrap/>
            <w:vAlign w:val="bottom"/>
            <w:hideMark/>
          </w:tcPr>
          <w:p w14:paraId="7D521BB6"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71.43</w:t>
            </w:r>
          </w:p>
        </w:tc>
        <w:tc>
          <w:tcPr>
            <w:tcW w:w="1286" w:type="dxa"/>
            <w:tcBorders>
              <w:top w:val="nil"/>
              <w:left w:val="nil"/>
              <w:bottom w:val="nil"/>
              <w:right w:val="nil"/>
            </w:tcBorders>
            <w:shd w:val="clear" w:color="auto" w:fill="auto"/>
            <w:noWrap/>
            <w:vAlign w:val="bottom"/>
            <w:hideMark/>
          </w:tcPr>
          <w:p w14:paraId="51FE0D4D"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66.30</w:t>
            </w:r>
          </w:p>
        </w:tc>
        <w:tc>
          <w:tcPr>
            <w:tcW w:w="1262" w:type="dxa"/>
            <w:tcBorders>
              <w:top w:val="nil"/>
              <w:left w:val="nil"/>
              <w:bottom w:val="nil"/>
              <w:right w:val="nil"/>
            </w:tcBorders>
            <w:shd w:val="clear" w:color="auto" w:fill="auto"/>
            <w:noWrap/>
            <w:vAlign w:val="bottom"/>
            <w:hideMark/>
          </w:tcPr>
          <w:p w14:paraId="1A512A4D"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21.74</w:t>
            </w:r>
          </w:p>
        </w:tc>
        <w:tc>
          <w:tcPr>
            <w:tcW w:w="1288" w:type="dxa"/>
            <w:tcBorders>
              <w:top w:val="nil"/>
              <w:left w:val="nil"/>
              <w:bottom w:val="nil"/>
              <w:right w:val="nil"/>
            </w:tcBorders>
            <w:shd w:val="clear" w:color="auto" w:fill="auto"/>
            <w:noWrap/>
            <w:vAlign w:val="bottom"/>
            <w:hideMark/>
          </w:tcPr>
          <w:p w14:paraId="36D091F5"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80.43</w:t>
            </w:r>
          </w:p>
        </w:tc>
        <w:tc>
          <w:tcPr>
            <w:tcW w:w="1266" w:type="dxa"/>
            <w:tcBorders>
              <w:top w:val="nil"/>
              <w:left w:val="nil"/>
              <w:bottom w:val="nil"/>
              <w:right w:val="nil"/>
            </w:tcBorders>
            <w:shd w:val="clear" w:color="auto" w:fill="auto"/>
            <w:noWrap/>
            <w:vAlign w:val="bottom"/>
            <w:hideMark/>
          </w:tcPr>
          <w:p w14:paraId="7A7C3081"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4.35</w:t>
            </w:r>
          </w:p>
        </w:tc>
        <w:tc>
          <w:tcPr>
            <w:tcW w:w="1357" w:type="dxa"/>
            <w:tcBorders>
              <w:top w:val="nil"/>
              <w:left w:val="nil"/>
              <w:bottom w:val="nil"/>
              <w:right w:val="nil"/>
            </w:tcBorders>
            <w:shd w:val="clear" w:color="auto" w:fill="auto"/>
            <w:noWrap/>
            <w:vAlign w:val="bottom"/>
            <w:hideMark/>
          </w:tcPr>
          <w:p w14:paraId="095DB02A" w14:textId="77777777" w:rsidR="00C1514C" w:rsidRPr="00BA6959" w:rsidRDefault="00C1514C" w:rsidP="00C1514C">
            <w:pPr>
              <w:spacing w:after="0"/>
              <w:jc w:val="center"/>
              <w:rPr>
                <w:rFonts w:ascii="Calibri" w:hAnsi="Calibri" w:cs="Calibri"/>
                <w:color w:val="000000"/>
                <w:sz w:val="16"/>
                <w:szCs w:val="16"/>
                <w:lang w:val="en-GB" w:eastAsia="en-GB"/>
              </w:rPr>
            </w:pPr>
            <w:r w:rsidRPr="00BA6959">
              <w:rPr>
                <w:rFonts w:ascii="Calibri" w:hAnsi="Calibri" w:cs="Calibri"/>
                <w:color w:val="000000"/>
                <w:sz w:val="16"/>
                <w:szCs w:val="16"/>
                <w:lang w:val="en-GB" w:eastAsia="en-GB"/>
              </w:rPr>
              <w:t>10.14</w:t>
            </w:r>
          </w:p>
        </w:tc>
      </w:tr>
    </w:tbl>
    <w:p w14:paraId="18E36CBB" w14:textId="77777777" w:rsidR="007E26AF" w:rsidRPr="00BA6959" w:rsidRDefault="007E26AF" w:rsidP="007E26AF">
      <w:pPr>
        <w:pStyle w:val="TFReferencesSection"/>
        <w:spacing w:after="240"/>
        <w:ind w:firstLine="0"/>
        <w:jc w:val="left"/>
        <w:rPr>
          <w:lang w:val="en-GB"/>
        </w:rPr>
      </w:pPr>
    </w:p>
    <w:p w14:paraId="67CEF45C" w14:textId="5379B482" w:rsidR="00C1514C" w:rsidRPr="00BA6959" w:rsidRDefault="00C1514C" w:rsidP="00C1514C">
      <w:pPr>
        <w:pStyle w:val="BHBriefs"/>
        <w:spacing w:after="240"/>
        <w:jc w:val="left"/>
        <w:rPr>
          <w:lang w:val="en-GB"/>
        </w:rPr>
      </w:pPr>
      <w:r w:rsidRPr="00BA6959">
        <w:rPr>
          <w:b/>
          <w:lang w:val="en-GB"/>
        </w:rPr>
        <w:t xml:space="preserve">Table 3. </w:t>
      </w:r>
      <w:r w:rsidRPr="00BA6959">
        <w:rPr>
          <w:lang w:val="en-GB"/>
        </w:rPr>
        <w:t>Sensitivities for each AR ToxCast assay for chemicals in specific chemical categories</w:t>
      </w:r>
      <w:r w:rsidR="007F5A7C">
        <w:rPr>
          <w:lang w:val="en-GB"/>
        </w:rPr>
        <w:t>, and all AR binders shown in the first row</w:t>
      </w:r>
      <w:r w:rsidRPr="00BA6959">
        <w:rPr>
          <w:lang w:val="en-GB"/>
        </w:rPr>
        <w:t>. These categories are defined by individual structural alerts. Assay names are abbreviated for convenience. N/A is used when none of the chemicals in the category have been tested in that assay. AR=androgen receptor, ATG_AR=</w:t>
      </w:r>
      <w:proofErr w:type="spellStart"/>
      <w:r w:rsidRPr="00BA6959">
        <w:rPr>
          <w:lang w:val="en-GB"/>
        </w:rPr>
        <w:t>ATG_AR_TRANS_up</w:t>
      </w:r>
      <w:proofErr w:type="spellEnd"/>
      <w:r w:rsidRPr="00BA6959">
        <w:rPr>
          <w:lang w:val="en-GB"/>
        </w:rPr>
        <w:t xml:space="preserve">, </w:t>
      </w:r>
      <w:proofErr w:type="spellStart"/>
      <w:r w:rsidRPr="00BA6959">
        <w:rPr>
          <w:lang w:val="en-GB"/>
        </w:rPr>
        <w:t>NVS_hAR</w:t>
      </w:r>
      <w:proofErr w:type="spellEnd"/>
      <w:r w:rsidRPr="00BA6959">
        <w:rPr>
          <w:lang w:val="en-GB"/>
        </w:rPr>
        <w:t>=</w:t>
      </w:r>
      <w:proofErr w:type="spellStart"/>
      <w:r w:rsidRPr="00BA6959">
        <w:rPr>
          <w:lang w:val="en-GB"/>
        </w:rPr>
        <w:t>NVS_NR_hAR</w:t>
      </w:r>
      <w:proofErr w:type="spellEnd"/>
      <w:r w:rsidRPr="00BA6959">
        <w:rPr>
          <w:lang w:val="en-GB"/>
        </w:rPr>
        <w:t xml:space="preserve">, </w:t>
      </w:r>
      <w:proofErr w:type="spellStart"/>
      <w:r w:rsidRPr="00BA6959">
        <w:rPr>
          <w:lang w:val="en-GB"/>
        </w:rPr>
        <w:t>NVS_rAR</w:t>
      </w:r>
      <w:proofErr w:type="spellEnd"/>
      <w:r w:rsidRPr="00BA6959">
        <w:rPr>
          <w:lang w:val="en-GB"/>
        </w:rPr>
        <w:t>=</w:t>
      </w:r>
      <w:proofErr w:type="spellStart"/>
      <w:r w:rsidRPr="00BA6959">
        <w:rPr>
          <w:lang w:val="en-GB"/>
        </w:rPr>
        <w:t>NVS_NR_rAR</w:t>
      </w:r>
      <w:proofErr w:type="spellEnd"/>
      <w:r w:rsidRPr="00BA6959">
        <w:rPr>
          <w:lang w:val="en-GB"/>
        </w:rPr>
        <w:t xml:space="preserve">, OT_LUC_1440=OT_AR_ARELUC_AG_1440, OT_RC1_0480=OT_AR_ARSRC1_0480, OT_RC1_0960=OT_AR_ARSRC1_0960, TOX21_BLA_Ago=TOX21_AR_BLA_Agonist_ratio, TOX21_BLA_Ant=TOX21_AR_BLA_Antagonist_ratio, </w:t>
      </w:r>
      <w:r w:rsidR="004616D3" w:rsidRPr="00BA6959">
        <w:rPr>
          <w:lang w:val="en-GB"/>
        </w:rPr>
        <w:lastRenderedPageBreak/>
        <w:t>TOX21_LUC_Ago=TOX21_AR_LUC_MDAKB2_Agonist, TOX21_LUC_Ant=TOX21_AR_LUC_MDAKB2_Antagonist, TOX21_LUC_Ant2=TOX21_AR_LUC_MDAKB2_Antagonist2.</w:t>
      </w:r>
      <w:r w:rsidRPr="00BA6959">
        <w:rPr>
          <w:lang w:val="en-GB"/>
        </w:rPr>
        <w:t xml:space="preserve"> </w:t>
      </w:r>
    </w:p>
    <w:p w14:paraId="098150A1" w14:textId="77777777" w:rsidR="007D78D8" w:rsidRPr="00BA6959" w:rsidRDefault="007D78D8" w:rsidP="00C1514C">
      <w:pPr>
        <w:pStyle w:val="BHBriefs"/>
        <w:spacing w:after="240"/>
        <w:jc w:val="left"/>
        <w:rPr>
          <w:lang w:val="en-GB"/>
        </w:rPr>
      </w:pPr>
    </w:p>
    <w:p w14:paraId="40FEF6D9" w14:textId="77777777" w:rsidR="007D78D8" w:rsidRPr="00BA6959" w:rsidRDefault="007D78D8">
      <w:pPr>
        <w:spacing w:after="0"/>
        <w:jc w:val="left"/>
        <w:rPr>
          <w:lang w:val="en-GB"/>
        </w:rPr>
      </w:pPr>
      <w:r w:rsidRPr="00BA6959">
        <w:rPr>
          <w:lang w:val="en-GB"/>
        </w:rPr>
        <w:br w:type="page"/>
      </w:r>
    </w:p>
    <w:tbl>
      <w:tblPr>
        <w:tblW w:w="5000" w:type="pct"/>
        <w:tblCellMar>
          <w:left w:w="0" w:type="dxa"/>
          <w:right w:w="0" w:type="dxa"/>
        </w:tblCellMar>
        <w:tblLook w:val="04A0" w:firstRow="1" w:lastRow="0" w:firstColumn="1" w:lastColumn="0" w:noHBand="0" w:noVBand="1"/>
      </w:tblPr>
      <w:tblGrid>
        <w:gridCol w:w="1433"/>
        <w:gridCol w:w="985"/>
        <w:gridCol w:w="1607"/>
        <w:gridCol w:w="1833"/>
        <w:gridCol w:w="1262"/>
        <w:gridCol w:w="2771"/>
        <w:gridCol w:w="3069"/>
      </w:tblGrid>
      <w:tr w:rsidR="007D78D8" w:rsidRPr="00BA6959" w14:paraId="66D8CD56" w14:textId="77777777" w:rsidTr="007D78D8">
        <w:trPr>
          <w:trHeight w:hRule="exact" w:val="369"/>
        </w:trPr>
        <w:tc>
          <w:tcPr>
            <w:tcW w:w="553" w:type="pct"/>
            <w:tcBorders>
              <w:top w:val="nil"/>
              <w:left w:val="nil"/>
              <w:bottom w:val="nil"/>
              <w:right w:val="nil"/>
            </w:tcBorders>
            <w:shd w:val="clear" w:color="auto" w:fill="auto"/>
            <w:noWrap/>
            <w:tcMar>
              <w:top w:w="15" w:type="dxa"/>
              <w:left w:w="15" w:type="dxa"/>
              <w:bottom w:w="0" w:type="dxa"/>
              <w:right w:w="15" w:type="dxa"/>
            </w:tcMar>
            <w:vAlign w:val="bottom"/>
            <w:hideMark/>
          </w:tcPr>
          <w:p w14:paraId="1050ABD1" w14:textId="77777777" w:rsidR="007D78D8" w:rsidRPr="00BA6959" w:rsidRDefault="007D78D8">
            <w:pPr>
              <w:spacing w:after="0"/>
              <w:jc w:val="left"/>
              <w:rPr>
                <w:rFonts w:ascii="Times New Roman" w:hAnsi="Times New Roman"/>
                <w:sz w:val="20"/>
                <w:lang w:val="en-GB"/>
              </w:rPr>
            </w:pPr>
          </w:p>
        </w:tc>
        <w:tc>
          <w:tcPr>
            <w:tcW w:w="380" w:type="pct"/>
            <w:tcBorders>
              <w:top w:val="nil"/>
              <w:left w:val="nil"/>
              <w:bottom w:val="nil"/>
              <w:right w:val="nil"/>
            </w:tcBorders>
            <w:shd w:val="clear" w:color="auto" w:fill="auto"/>
            <w:noWrap/>
            <w:tcMar>
              <w:top w:w="15" w:type="dxa"/>
              <w:left w:w="15" w:type="dxa"/>
              <w:bottom w:w="0" w:type="dxa"/>
              <w:right w:w="15" w:type="dxa"/>
            </w:tcMar>
            <w:vAlign w:val="bottom"/>
            <w:hideMark/>
          </w:tcPr>
          <w:p w14:paraId="01DC2142" w14:textId="77777777" w:rsidR="007D78D8" w:rsidRPr="00BA6959" w:rsidRDefault="007D78D8">
            <w:pPr>
              <w:rPr>
                <w:sz w:val="20"/>
                <w:lang w:val="en-GB"/>
              </w:rPr>
            </w:pPr>
          </w:p>
        </w:tc>
        <w:tc>
          <w:tcPr>
            <w:tcW w:w="4068" w:type="pct"/>
            <w:gridSpan w:val="5"/>
            <w:tcBorders>
              <w:top w:val="nil"/>
              <w:left w:val="nil"/>
              <w:bottom w:val="nil"/>
              <w:right w:val="nil"/>
            </w:tcBorders>
            <w:shd w:val="clear" w:color="auto" w:fill="auto"/>
            <w:noWrap/>
            <w:tcMar>
              <w:top w:w="15" w:type="dxa"/>
              <w:left w:w="15" w:type="dxa"/>
              <w:bottom w:w="0" w:type="dxa"/>
              <w:right w:w="15" w:type="dxa"/>
            </w:tcMar>
            <w:vAlign w:val="bottom"/>
            <w:hideMark/>
          </w:tcPr>
          <w:p w14:paraId="74F49A85" w14:textId="77777777" w:rsidR="007D78D8" w:rsidRPr="00BA6959" w:rsidRDefault="007D78D8">
            <w:pPr>
              <w:jc w:val="center"/>
              <w:rPr>
                <w:rFonts w:ascii="Calibri" w:hAnsi="Calibri" w:cs="Calibri"/>
                <w:b/>
                <w:bCs/>
                <w:color w:val="000000"/>
                <w:sz w:val="20"/>
                <w:lang w:val="en-GB"/>
              </w:rPr>
            </w:pPr>
            <w:r w:rsidRPr="00BA6959">
              <w:rPr>
                <w:rFonts w:ascii="Calibri" w:hAnsi="Calibri" w:cs="Calibri"/>
                <w:b/>
                <w:bCs/>
                <w:color w:val="000000"/>
                <w:sz w:val="20"/>
                <w:lang w:val="en-GB"/>
              </w:rPr>
              <w:t>ToxCast GR Assay</w:t>
            </w:r>
          </w:p>
        </w:tc>
      </w:tr>
      <w:tr w:rsidR="007D78D8" w:rsidRPr="00BA6959" w14:paraId="584A2D1B" w14:textId="77777777" w:rsidTr="007D78D8">
        <w:trPr>
          <w:trHeight w:hRule="exact" w:val="369"/>
        </w:trPr>
        <w:tc>
          <w:tcPr>
            <w:tcW w:w="553" w:type="pct"/>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264A581A" w14:textId="77777777" w:rsidR="007D78D8" w:rsidRPr="00BA6959" w:rsidRDefault="007D78D8">
            <w:pPr>
              <w:jc w:val="left"/>
              <w:rPr>
                <w:rFonts w:ascii="Calibri" w:hAnsi="Calibri" w:cs="Calibri"/>
                <w:b/>
                <w:bCs/>
                <w:color w:val="000000"/>
                <w:sz w:val="20"/>
                <w:lang w:val="en-GB"/>
              </w:rPr>
            </w:pPr>
            <w:r w:rsidRPr="00BA6959">
              <w:rPr>
                <w:rFonts w:ascii="Calibri" w:hAnsi="Calibri" w:cs="Calibri"/>
                <w:b/>
                <w:bCs/>
                <w:color w:val="000000"/>
                <w:sz w:val="20"/>
                <w:lang w:val="en-GB"/>
              </w:rPr>
              <w:t>Alert Category</w:t>
            </w:r>
          </w:p>
        </w:tc>
        <w:tc>
          <w:tcPr>
            <w:tcW w:w="380" w:type="pct"/>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0D229A97" w14:textId="77777777" w:rsidR="007D78D8" w:rsidRPr="00BA6959" w:rsidRDefault="007D78D8">
            <w:pPr>
              <w:rPr>
                <w:rFonts w:ascii="Calibri" w:hAnsi="Calibri" w:cs="Calibri"/>
                <w:b/>
                <w:bCs/>
                <w:color w:val="000000"/>
                <w:sz w:val="20"/>
                <w:lang w:val="en-GB"/>
              </w:rPr>
            </w:pPr>
            <w:r w:rsidRPr="00BA6959">
              <w:rPr>
                <w:rFonts w:ascii="Calibri" w:hAnsi="Calibri" w:cs="Calibri"/>
                <w:b/>
                <w:bCs/>
                <w:color w:val="000000"/>
                <w:sz w:val="20"/>
                <w:lang w:val="en-GB"/>
              </w:rPr>
              <w:t>Chemicals</w:t>
            </w:r>
          </w:p>
        </w:tc>
        <w:tc>
          <w:tcPr>
            <w:tcW w:w="620" w:type="pct"/>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03914EBA" w14:textId="77777777" w:rsidR="007D78D8" w:rsidRPr="00BA6959" w:rsidRDefault="007D78D8">
            <w:pPr>
              <w:rPr>
                <w:rFonts w:ascii="Calibri" w:hAnsi="Calibri" w:cs="Calibri"/>
                <w:b/>
                <w:bCs/>
                <w:color w:val="000000"/>
                <w:sz w:val="20"/>
                <w:lang w:val="en-GB"/>
              </w:rPr>
            </w:pPr>
            <w:proofErr w:type="spellStart"/>
            <w:r w:rsidRPr="00BA6959">
              <w:rPr>
                <w:rFonts w:ascii="Calibri" w:hAnsi="Calibri" w:cs="Calibri"/>
                <w:b/>
                <w:bCs/>
                <w:color w:val="000000"/>
                <w:sz w:val="20"/>
                <w:lang w:val="en-GB"/>
              </w:rPr>
              <w:t>ATG_GRE_CIS_up</w:t>
            </w:r>
            <w:proofErr w:type="spellEnd"/>
          </w:p>
        </w:tc>
        <w:tc>
          <w:tcPr>
            <w:tcW w:w="707" w:type="pct"/>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7885EE10" w14:textId="77777777" w:rsidR="007D78D8" w:rsidRPr="00BA6959" w:rsidRDefault="007D78D8">
            <w:pPr>
              <w:rPr>
                <w:rFonts w:ascii="Calibri" w:hAnsi="Calibri" w:cs="Calibri"/>
                <w:b/>
                <w:bCs/>
                <w:color w:val="000000"/>
                <w:sz w:val="20"/>
                <w:lang w:val="en-GB"/>
              </w:rPr>
            </w:pPr>
            <w:proofErr w:type="spellStart"/>
            <w:r w:rsidRPr="00BA6959">
              <w:rPr>
                <w:rFonts w:ascii="Calibri" w:hAnsi="Calibri" w:cs="Calibri"/>
                <w:b/>
                <w:bCs/>
                <w:color w:val="000000"/>
                <w:sz w:val="20"/>
                <w:lang w:val="en-GB"/>
              </w:rPr>
              <w:t>ATG_GR_TRANS_up</w:t>
            </w:r>
            <w:proofErr w:type="spellEnd"/>
          </w:p>
        </w:tc>
        <w:tc>
          <w:tcPr>
            <w:tcW w:w="487" w:type="pct"/>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450ADA5E" w14:textId="77777777" w:rsidR="007D78D8" w:rsidRPr="00BA6959" w:rsidRDefault="007D78D8">
            <w:pPr>
              <w:rPr>
                <w:rFonts w:ascii="Calibri" w:hAnsi="Calibri" w:cs="Calibri"/>
                <w:b/>
                <w:bCs/>
                <w:color w:val="000000"/>
                <w:sz w:val="20"/>
                <w:lang w:val="en-GB"/>
              </w:rPr>
            </w:pPr>
            <w:proofErr w:type="spellStart"/>
            <w:r w:rsidRPr="00BA6959">
              <w:rPr>
                <w:rFonts w:ascii="Calibri" w:hAnsi="Calibri" w:cs="Calibri"/>
                <w:b/>
                <w:bCs/>
                <w:color w:val="000000"/>
                <w:sz w:val="20"/>
                <w:lang w:val="en-GB"/>
              </w:rPr>
              <w:t>NVS_NR_hGR</w:t>
            </w:r>
            <w:proofErr w:type="spellEnd"/>
          </w:p>
        </w:tc>
        <w:tc>
          <w:tcPr>
            <w:tcW w:w="1069" w:type="pct"/>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4C681A0B" w14:textId="77777777" w:rsidR="007D78D8" w:rsidRPr="00BA6959" w:rsidRDefault="007D78D8">
            <w:pPr>
              <w:rPr>
                <w:rFonts w:ascii="Calibri" w:hAnsi="Calibri" w:cs="Calibri"/>
                <w:b/>
                <w:bCs/>
                <w:color w:val="000000"/>
                <w:sz w:val="20"/>
                <w:lang w:val="en-GB"/>
              </w:rPr>
            </w:pPr>
            <w:r w:rsidRPr="00BA6959">
              <w:rPr>
                <w:rFonts w:ascii="Calibri" w:hAnsi="Calibri" w:cs="Calibri"/>
                <w:b/>
                <w:bCs/>
                <w:color w:val="000000"/>
                <w:sz w:val="20"/>
                <w:lang w:val="en-GB"/>
              </w:rPr>
              <w:t>TOX21_GR_BLA_Agonist_ratio</w:t>
            </w:r>
          </w:p>
        </w:tc>
        <w:tc>
          <w:tcPr>
            <w:tcW w:w="1184" w:type="pct"/>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50BC064A" w14:textId="77777777" w:rsidR="007D78D8" w:rsidRPr="00BA6959" w:rsidRDefault="007D78D8">
            <w:pPr>
              <w:rPr>
                <w:rFonts w:ascii="Calibri" w:hAnsi="Calibri" w:cs="Calibri"/>
                <w:b/>
                <w:bCs/>
                <w:color w:val="000000"/>
                <w:sz w:val="20"/>
                <w:lang w:val="en-GB"/>
              </w:rPr>
            </w:pPr>
            <w:r w:rsidRPr="00BA6959">
              <w:rPr>
                <w:rFonts w:ascii="Calibri" w:hAnsi="Calibri" w:cs="Calibri"/>
                <w:b/>
                <w:bCs/>
                <w:color w:val="000000"/>
                <w:sz w:val="20"/>
                <w:lang w:val="en-GB"/>
              </w:rPr>
              <w:t>TOX21_GR_BLA_Antagonist_ratio</w:t>
            </w:r>
          </w:p>
        </w:tc>
      </w:tr>
      <w:tr w:rsidR="007D78D8" w:rsidRPr="00BA6959" w14:paraId="5CDDD828" w14:textId="77777777" w:rsidTr="007D78D8">
        <w:trPr>
          <w:trHeight w:hRule="exact" w:val="369"/>
        </w:trPr>
        <w:tc>
          <w:tcPr>
            <w:tcW w:w="553" w:type="pct"/>
            <w:tcBorders>
              <w:top w:val="nil"/>
              <w:left w:val="nil"/>
              <w:bottom w:val="nil"/>
              <w:right w:val="nil"/>
            </w:tcBorders>
            <w:shd w:val="clear" w:color="auto" w:fill="auto"/>
            <w:noWrap/>
            <w:tcMar>
              <w:top w:w="15" w:type="dxa"/>
              <w:left w:w="15" w:type="dxa"/>
              <w:bottom w:w="0" w:type="dxa"/>
              <w:right w:w="15" w:type="dxa"/>
            </w:tcMar>
            <w:vAlign w:val="bottom"/>
            <w:hideMark/>
          </w:tcPr>
          <w:p w14:paraId="30B1580D" w14:textId="77777777" w:rsidR="007D78D8" w:rsidRPr="00BA6959" w:rsidRDefault="007D78D8">
            <w:pPr>
              <w:rPr>
                <w:rFonts w:ascii="Calibri" w:hAnsi="Calibri" w:cs="Calibri"/>
                <w:color w:val="000000"/>
                <w:sz w:val="20"/>
                <w:lang w:val="en-GB"/>
              </w:rPr>
            </w:pPr>
            <w:r w:rsidRPr="00BA6959">
              <w:rPr>
                <w:rFonts w:ascii="Calibri" w:hAnsi="Calibri" w:cs="Calibri"/>
                <w:color w:val="000000"/>
                <w:sz w:val="20"/>
                <w:lang w:val="en-GB"/>
              </w:rPr>
              <w:t>GR Binders</w:t>
            </w:r>
          </w:p>
        </w:tc>
        <w:tc>
          <w:tcPr>
            <w:tcW w:w="380" w:type="pct"/>
            <w:tcBorders>
              <w:top w:val="nil"/>
              <w:left w:val="nil"/>
              <w:bottom w:val="nil"/>
              <w:right w:val="nil"/>
            </w:tcBorders>
            <w:shd w:val="clear" w:color="auto" w:fill="auto"/>
            <w:noWrap/>
            <w:tcMar>
              <w:top w:w="15" w:type="dxa"/>
              <w:left w:w="15" w:type="dxa"/>
              <w:bottom w:w="0" w:type="dxa"/>
              <w:right w:w="15" w:type="dxa"/>
            </w:tcMar>
            <w:vAlign w:val="bottom"/>
            <w:hideMark/>
          </w:tcPr>
          <w:p w14:paraId="1E8BAC23"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323</w:t>
            </w:r>
          </w:p>
        </w:tc>
        <w:tc>
          <w:tcPr>
            <w:tcW w:w="620" w:type="pct"/>
            <w:tcBorders>
              <w:top w:val="nil"/>
              <w:left w:val="nil"/>
              <w:bottom w:val="nil"/>
              <w:right w:val="nil"/>
            </w:tcBorders>
            <w:shd w:val="clear" w:color="auto" w:fill="auto"/>
            <w:noWrap/>
            <w:tcMar>
              <w:top w:w="15" w:type="dxa"/>
              <w:left w:w="15" w:type="dxa"/>
              <w:bottom w:w="0" w:type="dxa"/>
              <w:right w:w="15" w:type="dxa"/>
            </w:tcMar>
            <w:vAlign w:val="bottom"/>
            <w:hideMark/>
          </w:tcPr>
          <w:p w14:paraId="6F578424"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6.72</w:t>
            </w:r>
          </w:p>
        </w:tc>
        <w:tc>
          <w:tcPr>
            <w:tcW w:w="707" w:type="pct"/>
            <w:tcBorders>
              <w:top w:val="nil"/>
              <w:left w:val="nil"/>
              <w:bottom w:val="nil"/>
              <w:right w:val="nil"/>
            </w:tcBorders>
            <w:shd w:val="clear" w:color="auto" w:fill="auto"/>
            <w:noWrap/>
            <w:tcMar>
              <w:top w:w="15" w:type="dxa"/>
              <w:left w:w="15" w:type="dxa"/>
              <w:bottom w:w="0" w:type="dxa"/>
              <w:right w:w="15" w:type="dxa"/>
            </w:tcMar>
            <w:vAlign w:val="bottom"/>
            <w:hideMark/>
          </w:tcPr>
          <w:p w14:paraId="0B755995"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15.67</w:t>
            </w:r>
          </w:p>
        </w:tc>
        <w:tc>
          <w:tcPr>
            <w:tcW w:w="487" w:type="pct"/>
            <w:tcBorders>
              <w:top w:val="nil"/>
              <w:left w:val="nil"/>
              <w:bottom w:val="nil"/>
              <w:right w:val="nil"/>
            </w:tcBorders>
            <w:shd w:val="clear" w:color="auto" w:fill="auto"/>
            <w:noWrap/>
            <w:tcMar>
              <w:top w:w="15" w:type="dxa"/>
              <w:left w:w="15" w:type="dxa"/>
              <w:bottom w:w="0" w:type="dxa"/>
              <w:right w:w="15" w:type="dxa"/>
            </w:tcMar>
            <w:vAlign w:val="bottom"/>
            <w:hideMark/>
          </w:tcPr>
          <w:p w14:paraId="2FFA7063"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80.39</w:t>
            </w:r>
          </w:p>
        </w:tc>
        <w:tc>
          <w:tcPr>
            <w:tcW w:w="1069" w:type="pct"/>
            <w:tcBorders>
              <w:top w:val="nil"/>
              <w:left w:val="nil"/>
              <w:bottom w:val="nil"/>
              <w:right w:val="nil"/>
            </w:tcBorders>
            <w:shd w:val="clear" w:color="auto" w:fill="auto"/>
            <w:noWrap/>
            <w:tcMar>
              <w:top w:w="15" w:type="dxa"/>
              <w:left w:w="15" w:type="dxa"/>
              <w:bottom w:w="0" w:type="dxa"/>
              <w:right w:w="15" w:type="dxa"/>
            </w:tcMar>
            <w:vAlign w:val="bottom"/>
            <w:hideMark/>
          </w:tcPr>
          <w:p w14:paraId="35B655D7"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40.25</w:t>
            </w:r>
          </w:p>
        </w:tc>
        <w:tc>
          <w:tcPr>
            <w:tcW w:w="1184" w:type="pct"/>
            <w:tcBorders>
              <w:top w:val="nil"/>
              <w:left w:val="nil"/>
              <w:bottom w:val="nil"/>
              <w:right w:val="nil"/>
            </w:tcBorders>
            <w:shd w:val="clear" w:color="auto" w:fill="auto"/>
            <w:noWrap/>
            <w:tcMar>
              <w:top w:w="15" w:type="dxa"/>
              <w:left w:w="15" w:type="dxa"/>
              <w:bottom w:w="0" w:type="dxa"/>
              <w:right w:w="15" w:type="dxa"/>
            </w:tcMar>
            <w:vAlign w:val="bottom"/>
            <w:hideMark/>
          </w:tcPr>
          <w:p w14:paraId="2F07E4B6"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36.84</w:t>
            </w:r>
          </w:p>
        </w:tc>
      </w:tr>
      <w:tr w:rsidR="007D78D8" w:rsidRPr="00BA6959" w14:paraId="4809A241" w14:textId="77777777" w:rsidTr="007D78D8">
        <w:trPr>
          <w:trHeight w:hRule="exact" w:val="369"/>
        </w:trPr>
        <w:tc>
          <w:tcPr>
            <w:tcW w:w="553" w:type="pct"/>
            <w:tcBorders>
              <w:top w:val="nil"/>
              <w:left w:val="nil"/>
              <w:bottom w:val="nil"/>
              <w:right w:val="nil"/>
            </w:tcBorders>
            <w:shd w:val="clear" w:color="auto" w:fill="auto"/>
            <w:noWrap/>
            <w:tcMar>
              <w:top w:w="15" w:type="dxa"/>
              <w:left w:w="15" w:type="dxa"/>
              <w:bottom w:w="0" w:type="dxa"/>
              <w:right w:w="15" w:type="dxa"/>
            </w:tcMar>
            <w:vAlign w:val="bottom"/>
            <w:hideMark/>
          </w:tcPr>
          <w:p w14:paraId="45BA5FA8" w14:textId="77777777" w:rsidR="007D78D8" w:rsidRPr="00BA6959" w:rsidRDefault="007D78D8">
            <w:pPr>
              <w:jc w:val="left"/>
              <w:rPr>
                <w:rFonts w:ascii="Calibri" w:hAnsi="Calibri" w:cs="Calibri"/>
                <w:color w:val="000000"/>
                <w:sz w:val="20"/>
                <w:lang w:val="en-GB"/>
              </w:rPr>
            </w:pPr>
            <w:r w:rsidRPr="00BA6959">
              <w:rPr>
                <w:rFonts w:ascii="Calibri" w:hAnsi="Calibri" w:cs="Calibri"/>
                <w:color w:val="000000"/>
                <w:sz w:val="20"/>
                <w:lang w:val="en-GB"/>
              </w:rPr>
              <w:t>GR Alert 1</w:t>
            </w:r>
          </w:p>
        </w:tc>
        <w:tc>
          <w:tcPr>
            <w:tcW w:w="380" w:type="pct"/>
            <w:tcBorders>
              <w:top w:val="nil"/>
              <w:left w:val="nil"/>
              <w:bottom w:val="nil"/>
              <w:right w:val="nil"/>
            </w:tcBorders>
            <w:shd w:val="clear" w:color="auto" w:fill="auto"/>
            <w:noWrap/>
            <w:tcMar>
              <w:top w:w="15" w:type="dxa"/>
              <w:left w:w="15" w:type="dxa"/>
              <w:bottom w:w="0" w:type="dxa"/>
              <w:right w:w="15" w:type="dxa"/>
            </w:tcMar>
            <w:vAlign w:val="bottom"/>
            <w:hideMark/>
          </w:tcPr>
          <w:p w14:paraId="19F483CE"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7</w:t>
            </w:r>
          </w:p>
        </w:tc>
        <w:tc>
          <w:tcPr>
            <w:tcW w:w="620" w:type="pct"/>
            <w:tcBorders>
              <w:top w:val="nil"/>
              <w:left w:val="nil"/>
              <w:bottom w:val="nil"/>
              <w:right w:val="nil"/>
            </w:tcBorders>
            <w:shd w:val="clear" w:color="auto" w:fill="auto"/>
            <w:noWrap/>
            <w:tcMar>
              <w:top w:w="15" w:type="dxa"/>
              <w:left w:w="15" w:type="dxa"/>
              <w:bottom w:w="0" w:type="dxa"/>
              <w:right w:w="15" w:type="dxa"/>
            </w:tcMar>
            <w:vAlign w:val="bottom"/>
            <w:hideMark/>
          </w:tcPr>
          <w:p w14:paraId="54712C28"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0.00</w:t>
            </w:r>
          </w:p>
        </w:tc>
        <w:tc>
          <w:tcPr>
            <w:tcW w:w="707" w:type="pct"/>
            <w:tcBorders>
              <w:top w:val="nil"/>
              <w:left w:val="nil"/>
              <w:bottom w:val="nil"/>
              <w:right w:val="nil"/>
            </w:tcBorders>
            <w:shd w:val="clear" w:color="auto" w:fill="auto"/>
            <w:noWrap/>
            <w:tcMar>
              <w:top w:w="15" w:type="dxa"/>
              <w:left w:w="15" w:type="dxa"/>
              <w:bottom w:w="0" w:type="dxa"/>
              <w:right w:w="15" w:type="dxa"/>
            </w:tcMar>
            <w:vAlign w:val="bottom"/>
            <w:hideMark/>
          </w:tcPr>
          <w:p w14:paraId="14B7EED3"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0.00</w:t>
            </w:r>
          </w:p>
        </w:tc>
        <w:tc>
          <w:tcPr>
            <w:tcW w:w="487" w:type="pct"/>
            <w:tcBorders>
              <w:top w:val="nil"/>
              <w:left w:val="nil"/>
              <w:bottom w:val="nil"/>
              <w:right w:val="nil"/>
            </w:tcBorders>
            <w:shd w:val="clear" w:color="auto" w:fill="auto"/>
            <w:noWrap/>
            <w:tcMar>
              <w:top w:w="15" w:type="dxa"/>
              <w:left w:w="15" w:type="dxa"/>
              <w:bottom w:w="0" w:type="dxa"/>
              <w:right w:w="15" w:type="dxa"/>
            </w:tcMar>
            <w:vAlign w:val="bottom"/>
            <w:hideMark/>
          </w:tcPr>
          <w:p w14:paraId="6F51C487"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N/A</w:t>
            </w:r>
          </w:p>
        </w:tc>
        <w:tc>
          <w:tcPr>
            <w:tcW w:w="1069" w:type="pct"/>
            <w:tcBorders>
              <w:top w:val="nil"/>
              <w:left w:val="nil"/>
              <w:bottom w:val="nil"/>
              <w:right w:val="nil"/>
            </w:tcBorders>
            <w:shd w:val="clear" w:color="auto" w:fill="auto"/>
            <w:noWrap/>
            <w:tcMar>
              <w:top w:w="15" w:type="dxa"/>
              <w:left w:w="15" w:type="dxa"/>
              <w:bottom w:w="0" w:type="dxa"/>
              <w:right w:w="15" w:type="dxa"/>
            </w:tcMar>
            <w:vAlign w:val="bottom"/>
            <w:hideMark/>
          </w:tcPr>
          <w:p w14:paraId="2EED71DF"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100.00</w:t>
            </w:r>
          </w:p>
        </w:tc>
        <w:tc>
          <w:tcPr>
            <w:tcW w:w="1184" w:type="pct"/>
            <w:tcBorders>
              <w:top w:val="nil"/>
              <w:left w:val="nil"/>
              <w:bottom w:val="nil"/>
              <w:right w:val="nil"/>
            </w:tcBorders>
            <w:shd w:val="clear" w:color="auto" w:fill="auto"/>
            <w:noWrap/>
            <w:tcMar>
              <w:top w:w="15" w:type="dxa"/>
              <w:left w:w="15" w:type="dxa"/>
              <w:bottom w:w="0" w:type="dxa"/>
              <w:right w:w="15" w:type="dxa"/>
            </w:tcMar>
            <w:vAlign w:val="bottom"/>
            <w:hideMark/>
          </w:tcPr>
          <w:p w14:paraId="6636312E"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0.00</w:t>
            </w:r>
          </w:p>
        </w:tc>
      </w:tr>
      <w:tr w:rsidR="007D78D8" w:rsidRPr="00BA6959" w14:paraId="36C37CEB" w14:textId="77777777" w:rsidTr="007D78D8">
        <w:trPr>
          <w:trHeight w:hRule="exact" w:val="369"/>
        </w:trPr>
        <w:tc>
          <w:tcPr>
            <w:tcW w:w="553" w:type="pct"/>
            <w:tcBorders>
              <w:top w:val="nil"/>
              <w:left w:val="nil"/>
              <w:bottom w:val="nil"/>
              <w:right w:val="nil"/>
            </w:tcBorders>
            <w:shd w:val="clear" w:color="auto" w:fill="auto"/>
            <w:noWrap/>
            <w:tcMar>
              <w:top w:w="15" w:type="dxa"/>
              <w:left w:w="15" w:type="dxa"/>
              <w:bottom w:w="0" w:type="dxa"/>
              <w:right w:w="15" w:type="dxa"/>
            </w:tcMar>
            <w:vAlign w:val="bottom"/>
            <w:hideMark/>
          </w:tcPr>
          <w:p w14:paraId="34A26AB6" w14:textId="77777777" w:rsidR="007D78D8" w:rsidRPr="00BA6959" w:rsidRDefault="007D78D8">
            <w:pPr>
              <w:jc w:val="left"/>
              <w:rPr>
                <w:rFonts w:ascii="Calibri" w:hAnsi="Calibri" w:cs="Calibri"/>
                <w:color w:val="000000"/>
                <w:sz w:val="20"/>
                <w:lang w:val="en-GB"/>
              </w:rPr>
            </w:pPr>
            <w:r w:rsidRPr="00BA6959">
              <w:rPr>
                <w:rFonts w:ascii="Calibri" w:hAnsi="Calibri" w:cs="Calibri"/>
                <w:color w:val="000000"/>
                <w:sz w:val="20"/>
                <w:lang w:val="en-GB"/>
              </w:rPr>
              <w:t>GR Alert 2</w:t>
            </w:r>
          </w:p>
        </w:tc>
        <w:tc>
          <w:tcPr>
            <w:tcW w:w="380" w:type="pct"/>
            <w:tcBorders>
              <w:top w:val="nil"/>
              <w:left w:val="nil"/>
              <w:bottom w:val="nil"/>
              <w:right w:val="nil"/>
            </w:tcBorders>
            <w:shd w:val="clear" w:color="auto" w:fill="auto"/>
            <w:noWrap/>
            <w:tcMar>
              <w:top w:w="15" w:type="dxa"/>
              <w:left w:w="15" w:type="dxa"/>
              <w:bottom w:w="0" w:type="dxa"/>
              <w:right w:w="15" w:type="dxa"/>
            </w:tcMar>
            <w:vAlign w:val="bottom"/>
            <w:hideMark/>
          </w:tcPr>
          <w:p w14:paraId="55E48C73"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14</w:t>
            </w:r>
          </w:p>
        </w:tc>
        <w:tc>
          <w:tcPr>
            <w:tcW w:w="620" w:type="pct"/>
            <w:tcBorders>
              <w:top w:val="nil"/>
              <w:left w:val="nil"/>
              <w:bottom w:val="nil"/>
              <w:right w:val="nil"/>
            </w:tcBorders>
            <w:shd w:val="clear" w:color="auto" w:fill="auto"/>
            <w:noWrap/>
            <w:tcMar>
              <w:top w:w="15" w:type="dxa"/>
              <w:left w:w="15" w:type="dxa"/>
              <w:bottom w:w="0" w:type="dxa"/>
              <w:right w:w="15" w:type="dxa"/>
            </w:tcMar>
            <w:vAlign w:val="bottom"/>
            <w:hideMark/>
          </w:tcPr>
          <w:p w14:paraId="3BED0ACB"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N/A</w:t>
            </w:r>
          </w:p>
        </w:tc>
        <w:tc>
          <w:tcPr>
            <w:tcW w:w="707" w:type="pct"/>
            <w:tcBorders>
              <w:top w:val="nil"/>
              <w:left w:val="nil"/>
              <w:bottom w:val="nil"/>
              <w:right w:val="nil"/>
            </w:tcBorders>
            <w:shd w:val="clear" w:color="auto" w:fill="auto"/>
            <w:noWrap/>
            <w:tcMar>
              <w:top w:w="15" w:type="dxa"/>
              <w:left w:w="15" w:type="dxa"/>
              <w:bottom w:w="0" w:type="dxa"/>
              <w:right w:w="15" w:type="dxa"/>
            </w:tcMar>
            <w:vAlign w:val="bottom"/>
            <w:hideMark/>
          </w:tcPr>
          <w:p w14:paraId="0FC3E09F"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N/A</w:t>
            </w:r>
          </w:p>
        </w:tc>
        <w:tc>
          <w:tcPr>
            <w:tcW w:w="487" w:type="pct"/>
            <w:tcBorders>
              <w:top w:val="nil"/>
              <w:left w:val="nil"/>
              <w:bottom w:val="nil"/>
              <w:right w:val="nil"/>
            </w:tcBorders>
            <w:shd w:val="clear" w:color="auto" w:fill="auto"/>
            <w:noWrap/>
            <w:tcMar>
              <w:top w:w="15" w:type="dxa"/>
              <w:left w:w="15" w:type="dxa"/>
              <w:bottom w:w="0" w:type="dxa"/>
              <w:right w:w="15" w:type="dxa"/>
            </w:tcMar>
            <w:vAlign w:val="bottom"/>
            <w:hideMark/>
          </w:tcPr>
          <w:p w14:paraId="688CE330"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N/A</w:t>
            </w:r>
          </w:p>
        </w:tc>
        <w:tc>
          <w:tcPr>
            <w:tcW w:w="1069" w:type="pct"/>
            <w:tcBorders>
              <w:top w:val="nil"/>
              <w:left w:val="nil"/>
              <w:bottom w:val="nil"/>
              <w:right w:val="nil"/>
            </w:tcBorders>
            <w:shd w:val="clear" w:color="auto" w:fill="auto"/>
            <w:noWrap/>
            <w:tcMar>
              <w:top w:w="15" w:type="dxa"/>
              <w:left w:w="15" w:type="dxa"/>
              <w:bottom w:w="0" w:type="dxa"/>
              <w:right w:w="15" w:type="dxa"/>
            </w:tcMar>
            <w:vAlign w:val="bottom"/>
            <w:hideMark/>
          </w:tcPr>
          <w:p w14:paraId="7FF4A7D0"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100.00</w:t>
            </w:r>
          </w:p>
        </w:tc>
        <w:tc>
          <w:tcPr>
            <w:tcW w:w="1184" w:type="pct"/>
            <w:tcBorders>
              <w:top w:val="nil"/>
              <w:left w:val="nil"/>
              <w:bottom w:val="nil"/>
              <w:right w:val="nil"/>
            </w:tcBorders>
            <w:shd w:val="clear" w:color="auto" w:fill="auto"/>
            <w:noWrap/>
            <w:tcMar>
              <w:top w:w="15" w:type="dxa"/>
              <w:left w:w="15" w:type="dxa"/>
              <w:bottom w:w="0" w:type="dxa"/>
              <w:right w:w="15" w:type="dxa"/>
            </w:tcMar>
            <w:vAlign w:val="bottom"/>
            <w:hideMark/>
          </w:tcPr>
          <w:p w14:paraId="67D6CEAC"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0.00</w:t>
            </w:r>
          </w:p>
        </w:tc>
      </w:tr>
      <w:tr w:rsidR="007D78D8" w:rsidRPr="00BA6959" w14:paraId="3727E87C" w14:textId="77777777" w:rsidTr="007D78D8">
        <w:trPr>
          <w:trHeight w:hRule="exact" w:val="369"/>
        </w:trPr>
        <w:tc>
          <w:tcPr>
            <w:tcW w:w="553" w:type="pct"/>
            <w:tcBorders>
              <w:top w:val="nil"/>
              <w:left w:val="nil"/>
              <w:bottom w:val="nil"/>
              <w:right w:val="nil"/>
            </w:tcBorders>
            <w:shd w:val="clear" w:color="auto" w:fill="auto"/>
            <w:noWrap/>
            <w:tcMar>
              <w:top w:w="15" w:type="dxa"/>
              <w:left w:w="15" w:type="dxa"/>
              <w:bottom w:w="0" w:type="dxa"/>
              <w:right w:w="15" w:type="dxa"/>
            </w:tcMar>
            <w:vAlign w:val="bottom"/>
            <w:hideMark/>
          </w:tcPr>
          <w:p w14:paraId="049C1473" w14:textId="77777777" w:rsidR="007D78D8" w:rsidRPr="00BA6959" w:rsidRDefault="007D78D8">
            <w:pPr>
              <w:jc w:val="left"/>
              <w:rPr>
                <w:rFonts w:ascii="Calibri" w:hAnsi="Calibri" w:cs="Calibri"/>
                <w:color w:val="000000"/>
                <w:sz w:val="20"/>
                <w:lang w:val="en-GB"/>
              </w:rPr>
            </w:pPr>
            <w:r w:rsidRPr="00BA6959">
              <w:rPr>
                <w:rFonts w:ascii="Calibri" w:hAnsi="Calibri" w:cs="Calibri"/>
                <w:color w:val="000000"/>
                <w:sz w:val="20"/>
                <w:lang w:val="en-GB"/>
              </w:rPr>
              <w:t>GR Alert 3</w:t>
            </w:r>
          </w:p>
        </w:tc>
        <w:tc>
          <w:tcPr>
            <w:tcW w:w="380" w:type="pct"/>
            <w:tcBorders>
              <w:top w:val="nil"/>
              <w:left w:val="nil"/>
              <w:bottom w:val="nil"/>
              <w:right w:val="nil"/>
            </w:tcBorders>
            <w:shd w:val="clear" w:color="auto" w:fill="auto"/>
            <w:noWrap/>
            <w:tcMar>
              <w:top w:w="15" w:type="dxa"/>
              <w:left w:w="15" w:type="dxa"/>
              <w:bottom w:w="0" w:type="dxa"/>
              <w:right w:w="15" w:type="dxa"/>
            </w:tcMar>
            <w:vAlign w:val="bottom"/>
            <w:hideMark/>
          </w:tcPr>
          <w:p w14:paraId="72C9216B"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23</w:t>
            </w:r>
          </w:p>
        </w:tc>
        <w:tc>
          <w:tcPr>
            <w:tcW w:w="620" w:type="pct"/>
            <w:tcBorders>
              <w:top w:val="nil"/>
              <w:left w:val="nil"/>
              <w:bottom w:val="nil"/>
              <w:right w:val="nil"/>
            </w:tcBorders>
            <w:shd w:val="clear" w:color="auto" w:fill="auto"/>
            <w:noWrap/>
            <w:tcMar>
              <w:top w:w="15" w:type="dxa"/>
              <w:left w:w="15" w:type="dxa"/>
              <w:bottom w:w="0" w:type="dxa"/>
              <w:right w:w="15" w:type="dxa"/>
            </w:tcMar>
            <w:vAlign w:val="bottom"/>
            <w:hideMark/>
          </w:tcPr>
          <w:p w14:paraId="2913F511"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N/A</w:t>
            </w:r>
          </w:p>
        </w:tc>
        <w:tc>
          <w:tcPr>
            <w:tcW w:w="707" w:type="pct"/>
            <w:tcBorders>
              <w:top w:val="nil"/>
              <w:left w:val="nil"/>
              <w:bottom w:val="nil"/>
              <w:right w:val="nil"/>
            </w:tcBorders>
            <w:shd w:val="clear" w:color="auto" w:fill="auto"/>
            <w:noWrap/>
            <w:tcMar>
              <w:top w:w="15" w:type="dxa"/>
              <w:left w:w="15" w:type="dxa"/>
              <w:bottom w:w="0" w:type="dxa"/>
              <w:right w:w="15" w:type="dxa"/>
            </w:tcMar>
            <w:vAlign w:val="bottom"/>
            <w:hideMark/>
          </w:tcPr>
          <w:p w14:paraId="7DAD55ED"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N/A</w:t>
            </w:r>
          </w:p>
        </w:tc>
        <w:tc>
          <w:tcPr>
            <w:tcW w:w="487" w:type="pct"/>
            <w:tcBorders>
              <w:top w:val="nil"/>
              <w:left w:val="nil"/>
              <w:bottom w:val="nil"/>
              <w:right w:val="nil"/>
            </w:tcBorders>
            <w:shd w:val="clear" w:color="auto" w:fill="auto"/>
            <w:noWrap/>
            <w:tcMar>
              <w:top w:w="15" w:type="dxa"/>
              <w:left w:w="15" w:type="dxa"/>
              <w:bottom w:w="0" w:type="dxa"/>
              <w:right w:w="15" w:type="dxa"/>
            </w:tcMar>
            <w:vAlign w:val="bottom"/>
            <w:hideMark/>
          </w:tcPr>
          <w:p w14:paraId="7DC6739C"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N/A</w:t>
            </w:r>
          </w:p>
        </w:tc>
        <w:tc>
          <w:tcPr>
            <w:tcW w:w="1069" w:type="pct"/>
            <w:tcBorders>
              <w:top w:val="nil"/>
              <w:left w:val="nil"/>
              <w:bottom w:val="nil"/>
              <w:right w:val="nil"/>
            </w:tcBorders>
            <w:shd w:val="clear" w:color="auto" w:fill="auto"/>
            <w:noWrap/>
            <w:tcMar>
              <w:top w:w="15" w:type="dxa"/>
              <w:left w:w="15" w:type="dxa"/>
              <w:bottom w:w="0" w:type="dxa"/>
              <w:right w:w="15" w:type="dxa"/>
            </w:tcMar>
            <w:vAlign w:val="bottom"/>
            <w:hideMark/>
          </w:tcPr>
          <w:p w14:paraId="414E1418"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100.00</w:t>
            </w:r>
          </w:p>
        </w:tc>
        <w:tc>
          <w:tcPr>
            <w:tcW w:w="1184" w:type="pct"/>
            <w:tcBorders>
              <w:top w:val="nil"/>
              <w:left w:val="nil"/>
              <w:bottom w:val="nil"/>
              <w:right w:val="nil"/>
            </w:tcBorders>
            <w:shd w:val="clear" w:color="auto" w:fill="auto"/>
            <w:noWrap/>
            <w:tcMar>
              <w:top w:w="15" w:type="dxa"/>
              <w:left w:w="15" w:type="dxa"/>
              <w:bottom w:w="0" w:type="dxa"/>
              <w:right w:w="15" w:type="dxa"/>
            </w:tcMar>
            <w:vAlign w:val="bottom"/>
            <w:hideMark/>
          </w:tcPr>
          <w:p w14:paraId="6B65B043"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0.00</w:t>
            </w:r>
          </w:p>
        </w:tc>
      </w:tr>
      <w:tr w:rsidR="007D78D8" w:rsidRPr="00BA6959" w14:paraId="797FC9FB" w14:textId="77777777" w:rsidTr="007D78D8">
        <w:trPr>
          <w:trHeight w:hRule="exact" w:val="369"/>
        </w:trPr>
        <w:tc>
          <w:tcPr>
            <w:tcW w:w="553" w:type="pct"/>
            <w:tcBorders>
              <w:top w:val="nil"/>
              <w:left w:val="nil"/>
              <w:bottom w:val="nil"/>
              <w:right w:val="nil"/>
            </w:tcBorders>
            <w:shd w:val="clear" w:color="auto" w:fill="auto"/>
            <w:noWrap/>
            <w:tcMar>
              <w:top w:w="15" w:type="dxa"/>
              <w:left w:w="15" w:type="dxa"/>
              <w:bottom w:w="0" w:type="dxa"/>
              <w:right w:w="15" w:type="dxa"/>
            </w:tcMar>
            <w:vAlign w:val="bottom"/>
            <w:hideMark/>
          </w:tcPr>
          <w:p w14:paraId="110EB77D" w14:textId="77777777" w:rsidR="007D78D8" w:rsidRPr="00BA6959" w:rsidRDefault="007D78D8">
            <w:pPr>
              <w:jc w:val="left"/>
              <w:rPr>
                <w:rFonts w:ascii="Calibri" w:hAnsi="Calibri" w:cs="Calibri"/>
                <w:color w:val="000000"/>
                <w:sz w:val="20"/>
                <w:lang w:val="en-GB"/>
              </w:rPr>
            </w:pPr>
            <w:r w:rsidRPr="00BA6959">
              <w:rPr>
                <w:rFonts w:ascii="Calibri" w:hAnsi="Calibri" w:cs="Calibri"/>
                <w:color w:val="000000"/>
                <w:sz w:val="20"/>
                <w:lang w:val="en-GB"/>
              </w:rPr>
              <w:t>GR Alert 4</w:t>
            </w:r>
          </w:p>
        </w:tc>
        <w:tc>
          <w:tcPr>
            <w:tcW w:w="380" w:type="pct"/>
            <w:tcBorders>
              <w:top w:val="nil"/>
              <w:left w:val="nil"/>
              <w:bottom w:val="nil"/>
              <w:right w:val="nil"/>
            </w:tcBorders>
            <w:shd w:val="clear" w:color="auto" w:fill="auto"/>
            <w:noWrap/>
            <w:tcMar>
              <w:top w:w="15" w:type="dxa"/>
              <w:left w:w="15" w:type="dxa"/>
              <w:bottom w:w="0" w:type="dxa"/>
              <w:right w:w="15" w:type="dxa"/>
            </w:tcMar>
            <w:vAlign w:val="bottom"/>
            <w:hideMark/>
          </w:tcPr>
          <w:p w14:paraId="7CA1F319"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9</w:t>
            </w:r>
          </w:p>
        </w:tc>
        <w:tc>
          <w:tcPr>
            <w:tcW w:w="620" w:type="pct"/>
            <w:tcBorders>
              <w:top w:val="nil"/>
              <w:left w:val="nil"/>
              <w:bottom w:val="nil"/>
              <w:right w:val="nil"/>
            </w:tcBorders>
            <w:shd w:val="clear" w:color="auto" w:fill="auto"/>
            <w:noWrap/>
            <w:tcMar>
              <w:top w:w="15" w:type="dxa"/>
              <w:left w:w="15" w:type="dxa"/>
              <w:bottom w:w="0" w:type="dxa"/>
              <w:right w:w="15" w:type="dxa"/>
            </w:tcMar>
            <w:vAlign w:val="bottom"/>
            <w:hideMark/>
          </w:tcPr>
          <w:p w14:paraId="6BF80B3A"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N/A</w:t>
            </w:r>
          </w:p>
        </w:tc>
        <w:tc>
          <w:tcPr>
            <w:tcW w:w="707" w:type="pct"/>
            <w:tcBorders>
              <w:top w:val="nil"/>
              <w:left w:val="nil"/>
              <w:bottom w:val="nil"/>
              <w:right w:val="nil"/>
            </w:tcBorders>
            <w:shd w:val="clear" w:color="auto" w:fill="auto"/>
            <w:noWrap/>
            <w:tcMar>
              <w:top w:w="15" w:type="dxa"/>
              <w:left w:w="15" w:type="dxa"/>
              <w:bottom w:w="0" w:type="dxa"/>
              <w:right w:w="15" w:type="dxa"/>
            </w:tcMar>
            <w:vAlign w:val="bottom"/>
            <w:hideMark/>
          </w:tcPr>
          <w:p w14:paraId="25D3A7BC"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N/A</w:t>
            </w:r>
          </w:p>
        </w:tc>
        <w:tc>
          <w:tcPr>
            <w:tcW w:w="487" w:type="pct"/>
            <w:tcBorders>
              <w:top w:val="nil"/>
              <w:left w:val="nil"/>
              <w:bottom w:val="nil"/>
              <w:right w:val="nil"/>
            </w:tcBorders>
            <w:shd w:val="clear" w:color="auto" w:fill="auto"/>
            <w:noWrap/>
            <w:tcMar>
              <w:top w:w="15" w:type="dxa"/>
              <w:left w:w="15" w:type="dxa"/>
              <w:bottom w:w="0" w:type="dxa"/>
              <w:right w:w="15" w:type="dxa"/>
            </w:tcMar>
            <w:vAlign w:val="bottom"/>
            <w:hideMark/>
          </w:tcPr>
          <w:p w14:paraId="43D68DEB"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N/A</w:t>
            </w:r>
          </w:p>
        </w:tc>
        <w:tc>
          <w:tcPr>
            <w:tcW w:w="1069" w:type="pct"/>
            <w:tcBorders>
              <w:top w:val="nil"/>
              <w:left w:val="nil"/>
              <w:bottom w:val="nil"/>
              <w:right w:val="nil"/>
            </w:tcBorders>
            <w:shd w:val="clear" w:color="auto" w:fill="auto"/>
            <w:noWrap/>
            <w:tcMar>
              <w:top w:w="15" w:type="dxa"/>
              <w:left w:w="15" w:type="dxa"/>
              <w:bottom w:w="0" w:type="dxa"/>
              <w:right w:w="15" w:type="dxa"/>
            </w:tcMar>
            <w:vAlign w:val="bottom"/>
            <w:hideMark/>
          </w:tcPr>
          <w:p w14:paraId="190F5A2C"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100.00</w:t>
            </w:r>
          </w:p>
        </w:tc>
        <w:tc>
          <w:tcPr>
            <w:tcW w:w="1184" w:type="pct"/>
            <w:tcBorders>
              <w:top w:val="nil"/>
              <w:left w:val="nil"/>
              <w:bottom w:val="nil"/>
              <w:right w:val="nil"/>
            </w:tcBorders>
            <w:shd w:val="clear" w:color="auto" w:fill="auto"/>
            <w:noWrap/>
            <w:tcMar>
              <w:top w:w="15" w:type="dxa"/>
              <w:left w:w="15" w:type="dxa"/>
              <w:bottom w:w="0" w:type="dxa"/>
              <w:right w:w="15" w:type="dxa"/>
            </w:tcMar>
            <w:vAlign w:val="bottom"/>
            <w:hideMark/>
          </w:tcPr>
          <w:p w14:paraId="7D030FBD"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0.00</w:t>
            </w:r>
          </w:p>
        </w:tc>
      </w:tr>
      <w:tr w:rsidR="007D78D8" w:rsidRPr="00BA6959" w14:paraId="0057254C" w14:textId="77777777" w:rsidTr="007D78D8">
        <w:trPr>
          <w:trHeight w:hRule="exact" w:val="369"/>
        </w:trPr>
        <w:tc>
          <w:tcPr>
            <w:tcW w:w="553" w:type="pct"/>
            <w:tcBorders>
              <w:top w:val="nil"/>
              <w:left w:val="nil"/>
              <w:bottom w:val="nil"/>
              <w:right w:val="nil"/>
            </w:tcBorders>
            <w:shd w:val="clear" w:color="auto" w:fill="auto"/>
            <w:noWrap/>
            <w:tcMar>
              <w:top w:w="15" w:type="dxa"/>
              <w:left w:w="15" w:type="dxa"/>
              <w:bottom w:w="0" w:type="dxa"/>
              <w:right w:w="15" w:type="dxa"/>
            </w:tcMar>
            <w:vAlign w:val="bottom"/>
            <w:hideMark/>
          </w:tcPr>
          <w:p w14:paraId="367499FF" w14:textId="77777777" w:rsidR="007D78D8" w:rsidRPr="00BA6959" w:rsidRDefault="007D78D8">
            <w:pPr>
              <w:jc w:val="left"/>
              <w:rPr>
                <w:rFonts w:ascii="Calibri" w:hAnsi="Calibri" w:cs="Calibri"/>
                <w:color w:val="000000"/>
                <w:sz w:val="20"/>
                <w:lang w:val="en-GB"/>
              </w:rPr>
            </w:pPr>
            <w:r w:rsidRPr="00BA6959">
              <w:rPr>
                <w:rFonts w:ascii="Calibri" w:hAnsi="Calibri" w:cs="Calibri"/>
                <w:color w:val="000000"/>
                <w:sz w:val="20"/>
                <w:lang w:val="en-GB"/>
              </w:rPr>
              <w:t>GR Alert 5</w:t>
            </w:r>
          </w:p>
        </w:tc>
        <w:tc>
          <w:tcPr>
            <w:tcW w:w="380" w:type="pct"/>
            <w:tcBorders>
              <w:top w:val="nil"/>
              <w:left w:val="nil"/>
              <w:bottom w:val="nil"/>
              <w:right w:val="nil"/>
            </w:tcBorders>
            <w:shd w:val="clear" w:color="auto" w:fill="auto"/>
            <w:noWrap/>
            <w:tcMar>
              <w:top w:w="15" w:type="dxa"/>
              <w:left w:w="15" w:type="dxa"/>
              <w:bottom w:w="0" w:type="dxa"/>
              <w:right w:w="15" w:type="dxa"/>
            </w:tcMar>
            <w:vAlign w:val="bottom"/>
            <w:hideMark/>
          </w:tcPr>
          <w:p w14:paraId="32449033"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41</w:t>
            </w:r>
          </w:p>
        </w:tc>
        <w:tc>
          <w:tcPr>
            <w:tcW w:w="620" w:type="pct"/>
            <w:tcBorders>
              <w:top w:val="nil"/>
              <w:left w:val="nil"/>
              <w:bottom w:val="nil"/>
              <w:right w:val="nil"/>
            </w:tcBorders>
            <w:shd w:val="clear" w:color="auto" w:fill="auto"/>
            <w:noWrap/>
            <w:tcMar>
              <w:top w:w="15" w:type="dxa"/>
              <w:left w:w="15" w:type="dxa"/>
              <w:bottom w:w="0" w:type="dxa"/>
              <w:right w:w="15" w:type="dxa"/>
            </w:tcMar>
            <w:vAlign w:val="bottom"/>
            <w:hideMark/>
          </w:tcPr>
          <w:p w14:paraId="0B5CAFB9"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33.33</w:t>
            </w:r>
          </w:p>
        </w:tc>
        <w:tc>
          <w:tcPr>
            <w:tcW w:w="707" w:type="pct"/>
            <w:tcBorders>
              <w:top w:val="nil"/>
              <w:left w:val="nil"/>
              <w:bottom w:val="nil"/>
              <w:right w:val="nil"/>
            </w:tcBorders>
            <w:shd w:val="clear" w:color="auto" w:fill="auto"/>
            <w:noWrap/>
            <w:tcMar>
              <w:top w:w="15" w:type="dxa"/>
              <w:left w:w="15" w:type="dxa"/>
              <w:bottom w:w="0" w:type="dxa"/>
              <w:right w:w="15" w:type="dxa"/>
            </w:tcMar>
            <w:vAlign w:val="bottom"/>
            <w:hideMark/>
          </w:tcPr>
          <w:p w14:paraId="7DCE12B6"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66.67</w:t>
            </w:r>
          </w:p>
        </w:tc>
        <w:tc>
          <w:tcPr>
            <w:tcW w:w="487" w:type="pct"/>
            <w:tcBorders>
              <w:top w:val="nil"/>
              <w:left w:val="nil"/>
              <w:bottom w:val="nil"/>
              <w:right w:val="nil"/>
            </w:tcBorders>
            <w:shd w:val="clear" w:color="auto" w:fill="auto"/>
            <w:noWrap/>
            <w:tcMar>
              <w:top w:w="15" w:type="dxa"/>
              <w:left w:w="15" w:type="dxa"/>
              <w:bottom w:w="0" w:type="dxa"/>
              <w:right w:w="15" w:type="dxa"/>
            </w:tcMar>
            <w:vAlign w:val="bottom"/>
            <w:hideMark/>
          </w:tcPr>
          <w:p w14:paraId="65B0CD65"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100.00</w:t>
            </w:r>
          </w:p>
        </w:tc>
        <w:tc>
          <w:tcPr>
            <w:tcW w:w="1069" w:type="pct"/>
            <w:tcBorders>
              <w:top w:val="nil"/>
              <w:left w:val="nil"/>
              <w:bottom w:val="nil"/>
              <w:right w:val="nil"/>
            </w:tcBorders>
            <w:shd w:val="clear" w:color="auto" w:fill="auto"/>
            <w:noWrap/>
            <w:tcMar>
              <w:top w:w="15" w:type="dxa"/>
              <w:left w:w="15" w:type="dxa"/>
              <w:bottom w:w="0" w:type="dxa"/>
              <w:right w:w="15" w:type="dxa"/>
            </w:tcMar>
            <w:vAlign w:val="bottom"/>
            <w:hideMark/>
          </w:tcPr>
          <w:p w14:paraId="4AC49081"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100.00</w:t>
            </w:r>
          </w:p>
        </w:tc>
        <w:tc>
          <w:tcPr>
            <w:tcW w:w="1184" w:type="pct"/>
            <w:tcBorders>
              <w:top w:val="nil"/>
              <w:left w:val="nil"/>
              <w:bottom w:val="nil"/>
              <w:right w:val="nil"/>
            </w:tcBorders>
            <w:shd w:val="clear" w:color="auto" w:fill="auto"/>
            <w:noWrap/>
            <w:tcMar>
              <w:top w:w="15" w:type="dxa"/>
              <w:left w:w="15" w:type="dxa"/>
              <w:bottom w:w="0" w:type="dxa"/>
              <w:right w:w="15" w:type="dxa"/>
            </w:tcMar>
            <w:vAlign w:val="bottom"/>
            <w:hideMark/>
          </w:tcPr>
          <w:p w14:paraId="71E88585"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0.00</w:t>
            </w:r>
          </w:p>
        </w:tc>
      </w:tr>
      <w:tr w:rsidR="007D78D8" w:rsidRPr="00BA6959" w14:paraId="3B7E9CCA" w14:textId="77777777" w:rsidTr="007D78D8">
        <w:trPr>
          <w:trHeight w:hRule="exact" w:val="369"/>
        </w:trPr>
        <w:tc>
          <w:tcPr>
            <w:tcW w:w="553" w:type="pct"/>
            <w:tcBorders>
              <w:top w:val="nil"/>
              <w:left w:val="nil"/>
              <w:bottom w:val="nil"/>
              <w:right w:val="nil"/>
            </w:tcBorders>
            <w:shd w:val="clear" w:color="auto" w:fill="auto"/>
            <w:noWrap/>
            <w:tcMar>
              <w:top w:w="15" w:type="dxa"/>
              <w:left w:w="15" w:type="dxa"/>
              <w:bottom w:w="0" w:type="dxa"/>
              <w:right w:w="15" w:type="dxa"/>
            </w:tcMar>
            <w:vAlign w:val="bottom"/>
            <w:hideMark/>
          </w:tcPr>
          <w:p w14:paraId="2A3E9054" w14:textId="77777777" w:rsidR="007D78D8" w:rsidRPr="00BA6959" w:rsidRDefault="007D78D8">
            <w:pPr>
              <w:jc w:val="left"/>
              <w:rPr>
                <w:rFonts w:ascii="Calibri" w:hAnsi="Calibri" w:cs="Calibri"/>
                <w:color w:val="000000"/>
                <w:sz w:val="20"/>
                <w:lang w:val="en-GB"/>
              </w:rPr>
            </w:pPr>
            <w:r w:rsidRPr="00BA6959">
              <w:rPr>
                <w:rFonts w:ascii="Calibri" w:hAnsi="Calibri" w:cs="Calibri"/>
                <w:color w:val="000000"/>
                <w:sz w:val="20"/>
                <w:lang w:val="en-GB"/>
              </w:rPr>
              <w:t>GR Alert 6</w:t>
            </w:r>
          </w:p>
        </w:tc>
        <w:tc>
          <w:tcPr>
            <w:tcW w:w="380" w:type="pct"/>
            <w:tcBorders>
              <w:top w:val="nil"/>
              <w:left w:val="nil"/>
              <w:bottom w:val="nil"/>
              <w:right w:val="nil"/>
            </w:tcBorders>
            <w:shd w:val="clear" w:color="auto" w:fill="auto"/>
            <w:noWrap/>
            <w:tcMar>
              <w:top w:w="15" w:type="dxa"/>
              <w:left w:w="15" w:type="dxa"/>
              <w:bottom w:w="0" w:type="dxa"/>
              <w:right w:w="15" w:type="dxa"/>
            </w:tcMar>
            <w:vAlign w:val="bottom"/>
            <w:hideMark/>
          </w:tcPr>
          <w:p w14:paraId="3D33B771"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8</w:t>
            </w:r>
          </w:p>
        </w:tc>
        <w:tc>
          <w:tcPr>
            <w:tcW w:w="620" w:type="pct"/>
            <w:tcBorders>
              <w:top w:val="nil"/>
              <w:left w:val="nil"/>
              <w:bottom w:val="nil"/>
              <w:right w:val="nil"/>
            </w:tcBorders>
            <w:shd w:val="clear" w:color="auto" w:fill="auto"/>
            <w:noWrap/>
            <w:tcMar>
              <w:top w:w="15" w:type="dxa"/>
              <w:left w:w="15" w:type="dxa"/>
              <w:bottom w:w="0" w:type="dxa"/>
              <w:right w:w="15" w:type="dxa"/>
            </w:tcMar>
            <w:vAlign w:val="bottom"/>
            <w:hideMark/>
          </w:tcPr>
          <w:p w14:paraId="04113283"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0.00</w:t>
            </w:r>
          </w:p>
        </w:tc>
        <w:tc>
          <w:tcPr>
            <w:tcW w:w="707" w:type="pct"/>
            <w:tcBorders>
              <w:top w:val="nil"/>
              <w:left w:val="nil"/>
              <w:bottom w:val="nil"/>
              <w:right w:val="nil"/>
            </w:tcBorders>
            <w:shd w:val="clear" w:color="auto" w:fill="auto"/>
            <w:noWrap/>
            <w:tcMar>
              <w:top w:w="15" w:type="dxa"/>
              <w:left w:w="15" w:type="dxa"/>
              <w:bottom w:w="0" w:type="dxa"/>
              <w:right w:w="15" w:type="dxa"/>
            </w:tcMar>
            <w:vAlign w:val="bottom"/>
            <w:hideMark/>
          </w:tcPr>
          <w:p w14:paraId="22CB7181"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0.00</w:t>
            </w:r>
          </w:p>
        </w:tc>
        <w:tc>
          <w:tcPr>
            <w:tcW w:w="487" w:type="pct"/>
            <w:tcBorders>
              <w:top w:val="nil"/>
              <w:left w:val="nil"/>
              <w:bottom w:val="nil"/>
              <w:right w:val="nil"/>
            </w:tcBorders>
            <w:shd w:val="clear" w:color="auto" w:fill="auto"/>
            <w:noWrap/>
            <w:tcMar>
              <w:top w:w="15" w:type="dxa"/>
              <w:left w:w="15" w:type="dxa"/>
              <w:bottom w:w="0" w:type="dxa"/>
              <w:right w:w="15" w:type="dxa"/>
            </w:tcMar>
            <w:vAlign w:val="bottom"/>
            <w:hideMark/>
          </w:tcPr>
          <w:p w14:paraId="71CE3841"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N/A</w:t>
            </w:r>
          </w:p>
        </w:tc>
        <w:tc>
          <w:tcPr>
            <w:tcW w:w="1069" w:type="pct"/>
            <w:tcBorders>
              <w:top w:val="nil"/>
              <w:left w:val="nil"/>
              <w:bottom w:val="nil"/>
              <w:right w:val="nil"/>
            </w:tcBorders>
            <w:shd w:val="clear" w:color="auto" w:fill="auto"/>
            <w:noWrap/>
            <w:tcMar>
              <w:top w:w="15" w:type="dxa"/>
              <w:left w:w="15" w:type="dxa"/>
              <w:bottom w:w="0" w:type="dxa"/>
              <w:right w:w="15" w:type="dxa"/>
            </w:tcMar>
            <w:vAlign w:val="bottom"/>
            <w:hideMark/>
          </w:tcPr>
          <w:p w14:paraId="0F510004"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100.00</w:t>
            </w:r>
          </w:p>
        </w:tc>
        <w:tc>
          <w:tcPr>
            <w:tcW w:w="1184" w:type="pct"/>
            <w:tcBorders>
              <w:top w:val="nil"/>
              <w:left w:val="nil"/>
              <w:bottom w:val="nil"/>
              <w:right w:val="nil"/>
            </w:tcBorders>
            <w:shd w:val="clear" w:color="auto" w:fill="auto"/>
            <w:noWrap/>
            <w:tcMar>
              <w:top w:w="15" w:type="dxa"/>
              <w:left w:w="15" w:type="dxa"/>
              <w:bottom w:w="0" w:type="dxa"/>
              <w:right w:w="15" w:type="dxa"/>
            </w:tcMar>
            <w:vAlign w:val="bottom"/>
            <w:hideMark/>
          </w:tcPr>
          <w:p w14:paraId="317A4A3C"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0.00</w:t>
            </w:r>
          </w:p>
        </w:tc>
      </w:tr>
      <w:tr w:rsidR="007D78D8" w:rsidRPr="00BA6959" w14:paraId="5B36BA34" w14:textId="77777777" w:rsidTr="007D78D8">
        <w:trPr>
          <w:trHeight w:hRule="exact" w:val="369"/>
        </w:trPr>
        <w:tc>
          <w:tcPr>
            <w:tcW w:w="553" w:type="pct"/>
            <w:tcBorders>
              <w:top w:val="nil"/>
              <w:left w:val="nil"/>
              <w:bottom w:val="nil"/>
              <w:right w:val="nil"/>
            </w:tcBorders>
            <w:shd w:val="clear" w:color="auto" w:fill="auto"/>
            <w:noWrap/>
            <w:tcMar>
              <w:top w:w="15" w:type="dxa"/>
              <w:left w:w="15" w:type="dxa"/>
              <w:bottom w:w="0" w:type="dxa"/>
              <w:right w:w="15" w:type="dxa"/>
            </w:tcMar>
            <w:vAlign w:val="bottom"/>
            <w:hideMark/>
          </w:tcPr>
          <w:p w14:paraId="0351C5AE" w14:textId="77777777" w:rsidR="007D78D8" w:rsidRPr="00BA6959" w:rsidRDefault="007D78D8">
            <w:pPr>
              <w:jc w:val="left"/>
              <w:rPr>
                <w:rFonts w:ascii="Calibri" w:hAnsi="Calibri" w:cs="Calibri"/>
                <w:color w:val="000000"/>
                <w:sz w:val="20"/>
                <w:lang w:val="en-GB"/>
              </w:rPr>
            </w:pPr>
            <w:r w:rsidRPr="00BA6959">
              <w:rPr>
                <w:rFonts w:ascii="Calibri" w:hAnsi="Calibri" w:cs="Calibri"/>
                <w:color w:val="000000"/>
                <w:sz w:val="20"/>
                <w:lang w:val="en-GB"/>
              </w:rPr>
              <w:t>GR Alert 7</w:t>
            </w:r>
          </w:p>
        </w:tc>
        <w:tc>
          <w:tcPr>
            <w:tcW w:w="380" w:type="pct"/>
            <w:tcBorders>
              <w:top w:val="nil"/>
              <w:left w:val="nil"/>
              <w:bottom w:val="nil"/>
              <w:right w:val="nil"/>
            </w:tcBorders>
            <w:shd w:val="clear" w:color="auto" w:fill="auto"/>
            <w:noWrap/>
            <w:tcMar>
              <w:top w:w="15" w:type="dxa"/>
              <w:left w:w="15" w:type="dxa"/>
              <w:bottom w:w="0" w:type="dxa"/>
              <w:right w:w="15" w:type="dxa"/>
            </w:tcMar>
            <w:vAlign w:val="bottom"/>
            <w:hideMark/>
          </w:tcPr>
          <w:p w14:paraId="731964F2"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8</w:t>
            </w:r>
          </w:p>
        </w:tc>
        <w:tc>
          <w:tcPr>
            <w:tcW w:w="620" w:type="pct"/>
            <w:tcBorders>
              <w:top w:val="nil"/>
              <w:left w:val="nil"/>
              <w:bottom w:val="nil"/>
              <w:right w:val="nil"/>
            </w:tcBorders>
            <w:shd w:val="clear" w:color="auto" w:fill="auto"/>
            <w:noWrap/>
            <w:tcMar>
              <w:top w:w="15" w:type="dxa"/>
              <w:left w:w="15" w:type="dxa"/>
              <w:bottom w:w="0" w:type="dxa"/>
              <w:right w:w="15" w:type="dxa"/>
            </w:tcMar>
            <w:vAlign w:val="bottom"/>
            <w:hideMark/>
          </w:tcPr>
          <w:p w14:paraId="304295B9"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0.00</w:t>
            </w:r>
          </w:p>
        </w:tc>
        <w:tc>
          <w:tcPr>
            <w:tcW w:w="707" w:type="pct"/>
            <w:tcBorders>
              <w:top w:val="nil"/>
              <w:left w:val="nil"/>
              <w:bottom w:val="nil"/>
              <w:right w:val="nil"/>
            </w:tcBorders>
            <w:shd w:val="clear" w:color="auto" w:fill="auto"/>
            <w:noWrap/>
            <w:tcMar>
              <w:top w:w="15" w:type="dxa"/>
              <w:left w:w="15" w:type="dxa"/>
              <w:bottom w:w="0" w:type="dxa"/>
              <w:right w:w="15" w:type="dxa"/>
            </w:tcMar>
            <w:vAlign w:val="bottom"/>
            <w:hideMark/>
          </w:tcPr>
          <w:p w14:paraId="0576A3B7"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33.33</w:t>
            </w:r>
          </w:p>
        </w:tc>
        <w:tc>
          <w:tcPr>
            <w:tcW w:w="487" w:type="pct"/>
            <w:tcBorders>
              <w:top w:val="nil"/>
              <w:left w:val="nil"/>
              <w:bottom w:val="nil"/>
              <w:right w:val="nil"/>
            </w:tcBorders>
            <w:shd w:val="clear" w:color="auto" w:fill="auto"/>
            <w:noWrap/>
            <w:tcMar>
              <w:top w:w="15" w:type="dxa"/>
              <w:left w:w="15" w:type="dxa"/>
              <w:bottom w:w="0" w:type="dxa"/>
              <w:right w:w="15" w:type="dxa"/>
            </w:tcMar>
            <w:vAlign w:val="bottom"/>
            <w:hideMark/>
          </w:tcPr>
          <w:p w14:paraId="33735E3A"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66.67</w:t>
            </w:r>
          </w:p>
        </w:tc>
        <w:tc>
          <w:tcPr>
            <w:tcW w:w="1069" w:type="pct"/>
            <w:tcBorders>
              <w:top w:val="nil"/>
              <w:left w:val="nil"/>
              <w:bottom w:val="nil"/>
              <w:right w:val="nil"/>
            </w:tcBorders>
            <w:shd w:val="clear" w:color="auto" w:fill="auto"/>
            <w:noWrap/>
            <w:tcMar>
              <w:top w:w="15" w:type="dxa"/>
              <w:left w:w="15" w:type="dxa"/>
              <w:bottom w:w="0" w:type="dxa"/>
              <w:right w:w="15" w:type="dxa"/>
            </w:tcMar>
            <w:vAlign w:val="bottom"/>
            <w:hideMark/>
          </w:tcPr>
          <w:p w14:paraId="6BF29A21"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62.50</w:t>
            </w:r>
          </w:p>
        </w:tc>
        <w:tc>
          <w:tcPr>
            <w:tcW w:w="1184" w:type="pct"/>
            <w:tcBorders>
              <w:top w:val="nil"/>
              <w:left w:val="nil"/>
              <w:bottom w:val="nil"/>
              <w:right w:val="nil"/>
            </w:tcBorders>
            <w:shd w:val="clear" w:color="auto" w:fill="auto"/>
            <w:noWrap/>
            <w:tcMar>
              <w:top w:w="15" w:type="dxa"/>
              <w:left w:w="15" w:type="dxa"/>
              <w:bottom w:w="0" w:type="dxa"/>
              <w:right w:w="15" w:type="dxa"/>
            </w:tcMar>
            <w:vAlign w:val="bottom"/>
            <w:hideMark/>
          </w:tcPr>
          <w:p w14:paraId="550FD3A1"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25.00</w:t>
            </w:r>
          </w:p>
        </w:tc>
      </w:tr>
      <w:tr w:rsidR="007D78D8" w:rsidRPr="00BA6959" w14:paraId="417F6F56" w14:textId="77777777" w:rsidTr="007D78D8">
        <w:trPr>
          <w:trHeight w:hRule="exact" w:val="369"/>
        </w:trPr>
        <w:tc>
          <w:tcPr>
            <w:tcW w:w="553" w:type="pct"/>
            <w:tcBorders>
              <w:top w:val="nil"/>
              <w:left w:val="nil"/>
              <w:bottom w:val="nil"/>
              <w:right w:val="nil"/>
            </w:tcBorders>
            <w:shd w:val="clear" w:color="auto" w:fill="auto"/>
            <w:noWrap/>
            <w:tcMar>
              <w:top w:w="15" w:type="dxa"/>
              <w:left w:w="15" w:type="dxa"/>
              <w:bottom w:w="0" w:type="dxa"/>
              <w:right w:w="15" w:type="dxa"/>
            </w:tcMar>
            <w:vAlign w:val="bottom"/>
            <w:hideMark/>
          </w:tcPr>
          <w:p w14:paraId="5D923A40" w14:textId="77777777" w:rsidR="007D78D8" w:rsidRPr="00BA6959" w:rsidRDefault="007D78D8">
            <w:pPr>
              <w:jc w:val="left"/>
              <w:rPr>
                <w:rFonts w:ascii="Calibri" w:hAnsi="Calibri" w:cs="Calibri"/>
                <w:color w:val="000000"/>
                <w:sz w:val="20"/>
                <w:lang w:val="en-GB"/>
              </w:rPr>
            </w:pPr>
            <w:r w:rsidRPr="00BA6959">
              <w:rPr>
                <w:rFonts w:ascii="Calibri" w:hAnsi="Calibri" w:cs="Calibri"/>
                <w:color w:val="000000"/>
                <w:sz w:val="20"/>
                <w:lang w:val="en-GB"/>
              </w:rPr>
              <w:t>GR Alert 8</w:t>
            </w:r>
          </w:p>
        </w:tc>
        <w:tc>
          <w:tcPr>
            <w:tcW w:w="380" w:type="pct"/>
            <w:tcBorders>
              <w:top w:val="nil"/>
              <w:left w:val="nil"/>
              <w:bottom w:val="nil"/>
              <w:right w:val="nil"/>
            </w:tcBorders>
            <w:shd w:val="clear" w:color="auto" w:fill="auto"/>
            <w:noWrap/>
            <w:tcMar>
              <w:top w:w="15" w:type="dxa"/>
              <w:left w:w="15" w:type="dxa"/>
              <w:bottom w:w="0" w:type="dxa"/>
              <w:right w:w="15" w:type="dxa"/>
            </w:tcMar>
            <w:vAlign w:val="bottom"/>
            <w:hideMark/>
          </w:tcPr>
          <w:p w14:paraId="4DD18F87"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6</w:t>
            </w:r>
          </w:p>
        </w:tc>
        <w:tc>
          <w:tcPr>
            <w:tcW w:w="620" w:type="pct"/>
            <w:tcBorders>
              <w:top w:val="nil"/>
              <w:left w:val="nil"/>
              <w:bottom w:val="nil"/>
              <w:right w:val="nil"/>
            </w:tcBorders>
            <w:shd w:val="clear" w:color="auto" w:fill="auto"/>
            <w:noWrap/>
            <w:tcMar>
              <w:top w:w="15" w:type="dxa"/>
              <w:left w:w="15" w:type="dxa"/>
              <w:bottom w:w="0" w:type="dxa"/>
              <w:right w:w="15" w:type="dxa"/>
            </w:tcMar>
            <w:vAlign w:val="bottom"/>
            <w:hideMark/>
          </w:tcPr>
          <w:p w14:paraId="7B7C058E"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50.00</w:t>
            </w:r>
          </w:p>
        </w:tc>
        <w:tc>
          <w:tcPr>
            <w:tcW w:w="707" w:type="pct"/>
            <w:tcBorders>
              <w:top w:val="nil"/>
              <w:left w:val="nil"/>
              <w:bottom w:val="nil"/>
              <w:right w:val="nil"/>
            </w:tcBorders>
            <w:shd w:val="clear" w:color="auto" w:fill="auto"/>
            <w:noWrap/>
            <w:tcMar>
              <w:top w:w="15" w:type="dxa"/>
              <w:left w:w="15" w:type="dxa"/>
              <w:bottom w:w="0" w:type="dxa"/>
              <w:right w:w="15" w:type="dxa"/>
            </w:tcMar>
            <w:vAlign w:val="bottom"/>
            <w:hideMark/>
          </w:tcPr>
          <w:p w14:paraId="5FEE1EC8"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50.00</w:t>
            </w:r>
          </w:p>
        </w:tc>
        <w:tc>
          <w:tcPr>
            <w:tcW w:w="487" w:type="pct"/>
            <w:tcBorders>
              <w:top w:val="nil"/>
              <w:left w:val="nil"/>
              <w:bottom w:val="nil"/>
              <w:right w:val="nil"/>
            </w:tcBorders>
            <w:shd w:val="clear" w:color="auto" w:fill="auto"/>
            <w:noWrap/>
            <w:tcMar>
              <w:top w:w="15" w:type="dxa"/>
              <w:left w:w="15" w:type="dxa"/>
              <w:bottom w:w="0" w:type="dxa"/>
              <w:right w:w="15" w:type="dxa"/>
            </w:tcMar>
            <w:vAlign w:val="bottom"/>
            <w:hideMark/>
          </w:tcPr>
          <w:p w14:paraId="4D1FC4C8"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100.00</w:t>
            </w:r>
          </w:p>
        </w:tc>
        <w:tc>
          <w:tcPr>
            <w:tcW w:w="1069" w:type="pct"/>
            <w:tcBorders>
              <w:top w:val="nil"/>
              <w:left w:val="nil"/>
              <w:bottom w:val="nil"/>
              <w:right w:val="nil"/>
            </w:tcBorders>
            <w:shd w:val="clear" w:color="auto" w:fill="auto"/>
            <w:noWrap/>
            <w:tcMar>
              <w:top w:w="15" w:type="dxa"/>
              <w:left w:w="15" w:type="dxa"/>
              <w:bottom w:w="0" w:type="dxa"/>
              <w:right w:w="15" w:type="dxa"/>
            </w:tcMar>
            <w:vAlign w:val="bottom"/>
            <w:hideMark/>
          </w:tcPr>
          <w:p w14:paraId="56CD1C99"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16.67</w:t>
            </w:r>
          </w:p>
        </w:tc>
        <w:tc>
          <w:tcPr>
            <w:tcW w:w="1184" w:type="pct"/>
            <w:tcBorders>
              <w:top w:val="nil"/>
              <w:left w:val="nil"/>
              <w:bottom w:val="nil"/>
              <w:right w:val="nil"/>
            </w:tcBorders>
            <w:shd w:val="clear" w:color="auto" w:fill="auto"/>
            <w:noWrap/>
            <w:tcMar>
              <w:top w:w="15" w:type="dxa"/>
              <w:left w:w="15" w:type="dxa"/>
              <w:bottom w:w="0" w:type="dxa"/>
              <w:right w:w="15" w:type="dxa"/>
            </w:tcMar>
            <w:vAlign w:val="bottom"/>
            <w:hideMark/>
          </w:tcPr>
          <w:p w14:paraId="15CF01A9"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83.33</w:t>
            </w:r>
          </w:p>
        </w:tc>
      </w:tr>
      <w:tr w:rsidR="007D78D8" w:rsidRPr="00BA6959" w14:paraId="647912BC" w14:textId="77777777" w:rsidTr="007D78D8">
        <w:trPr>
          <w:trHeight w:hRule="exact" w:val="369"/>
        </w:trPr>
        <w:tc>
          <w:tcPr>
            <w:tcW w:w="553" w:type="pct"/>
            <w:tcBorders>
              <w:top w:val="nil"/>
              <w:left w:val="nil"/>
              <w:bottom w:val="nil"/>
              <w:right w:val="nil"/>
            </w:tcBorders>
            <w:shd w:val="clear" w:color="auto" w:fill="auto"/>
            <w:noWrap/>
            <w:tcMar>
              <w:top w:w="15" w:type="dxa"/>
              <w:left w:w="15" w:type="dxa"/>
              <w:bottom w:w="0" w:type="dxa"/>
              <w:right w:w="15" w:type="dxa"/>
            </w:tcMar>
            <w:vAlign w:val="bottom"/>
            <w:hideMark/>
          </w:tcPr>
          <w:p w14:paraId="50DEFFE5" w14:textId="77777777" w:rsidR="007D78D8" w:rsidRPr="00BA6959" w:rsidRDefault="007D78D8">
            <w:pPr>
              <w:jc w:val="left"/>
              <w:rPr>
                <w:rFonts w:ascii="Calibri" w:hAnsi="Calibri" w:cs="Calibri"/>
                <w:color w:val="000000"/>
                <w:sz w:val="20"/>
                <w:lang w:val="en-GB"/>
              </w:rPr>
            </w:pPr>
            <w:r w:rsidRPr="00BA6959">
              <w:rPr>
                <w:rFonts w:ascii="Calibri" w:hAnsi="Calibri" w:cs="Calibri"/>
                <w:color w:val="000000"/>
                <w:sz w:val="20"/>
                <w:lang w:val="en-GB"/>
              </w:rPr>
              <w:t>GR Alert 10</w:t>
            </w:r>
          </w:p>
        </w:tc>
        <w:tc>
          <w:tcPr>
            <w:tcW w:w="380" w:type="pct"/>
            <w:tcBorders>
              <w:top w:val="nil"/>
              <w:left w:val="nil"/>
              <w:bottom w:val="nil"/>
              <w:right w:val="nil"/>
            </w:tcBorders>
            <w:shd w:val="clear" w:color="auto" w:fill="auto"/>
            <w:noWrap/>
            <w:tcMar>
              <w:top w:w="15" w:type="dxa"/>
              <w:left w:w="15" w:type="dxa"/>
              <w:bottom w:w="0" w:type="dxa"/>
              <w:right w:w="15" w:type="dxa"/>
            </w:tcMar>
            <w:vAlign w:val="bottom"/>
            <w:hideMark/>
          </w:tcPr>
          <w:p w14:paraId="160BE33D"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26</w:t>
            </w:r>
          </w:p>
        </w:tc>
        <w:tc>
          <w:tcPr>
            <w:tcW w:w="620" w:type="pct"/>
            <w:tcBorders>
              <w:top w:val="nil"/>
              <w:left w:val="nil"/>
              <w:bottom w:val="nil"/>
              <w:right w:val="nil"/>
            </w:tcBorders>
            <w:shd w:val="clear" w:color="auto" w:fill="auto"/>
            <w:noWrap/>
            <w:tcMar>
              <w:top w:w="15" w:type="dxa"/>
              <w:left w:w="15" w:type="dxa"/>
              <w:bottom w:w="0" w:type="dxa"/>
              <w:right w:w="15" w:type="dxa"/>
            </w:tcMar>
            <w:vAlign w:val="bottom"/>
            <w:hideMark/>
          </w:tcPr>
          <w:p w14:paraId="611955FA"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66.67</w:t>
            </w:r>
          </w:p>
        </w:tc>
        <w:tc>
          <w:tcPr>
            <w:tcW w:w="707" w:type="pct"/>
            <w:tcBorders>
              <w:top w:val="nil"/>
              <w:left w:val="nil"/>
              <w:bottom w:val="nil"/>
              <w:right w:val="nil"/>
            </w:tcBorders>
            <w:shd w:val="clear" w:color="auto" w:fill="auto"/>
            <w:noWrap/>
            <w:tcMar>
              <w:top w:w="15" w:type="dxa"/>
              <w:left w:w="15" w:type="dxa"/>
              <w:bottom w:w="0" w:type="dxa"/>
              <w:right w:w="15" w:type="dxa"/>
            </w:tcMar>
            <w:vAlign w:val="bottom"/>
            <w:hideMark/>
          </w:tcPr>
          <w:p w14:paraId="24044837"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100.00</w:t>
            </w:r>
          </w:p>
        </w:tc>
        <w:tc>
          <w:tcPr>
            <w:tcW w:w="487" w:type="pct"/>
            <w:tcBorders>
              <w:top w:val="nil"/>
              <w:left w:val="nil"/>
              <w:bottom w:val="nil"/>
              <w:right w:val="nil"/>
            </w:tcBorders>
            <w:shd w:val="clear" w:color="auto" w:fill="auto"/>
            <w:noWrap/>
            <w:tcMar>
              <w:top w:w="15" w:type="dxa"/>
              <w:left w:w="15" w:type="dxa"/>
              <w:bottom w:w="0" w:type="dxa"/>
              <w:right w:w="15" w:type="dxa"/>
            </w:tcMar>
            <w:vAlign w:val="bottom"/>
            <w:hideMark/>
          </w:tcPr>
          <w:p w14:paraId="53532B23"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100.00</w:t>
            </w:r>
          </w:p>
        </w:tc>
        <w:tc>
          <w:tcPr>
            <w:tcW w:w="1069" w:type="pct"/>
            <w:tcBorders>
              <w:top w:val="nil"/>
              <w:left w:val="nil"/>
              <w:bottom w:val="nil"/>
              <w:right w:val="nil"/>
            </w:tcBorders>
            <w:shd w:val="clear" w:color="auto" w:fill="auto"/>
            <w:noWrap/>
            <w:tcMar>
              <w:top w:w="15" w:type="dxa"/>
              <w:left w:w="15" w:type="dxa"/>
              <w:bottom w:w="0" w:type="dxa"/>
              <w:right w:w="15" w:type="dxa"/>
            </w:tcMar>
            <w:vAlign w:val="bottom"/>
            <w:hideMark/>
          </w:tcPr>
          <w:p w14:paraId="38AAD0A8"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100.00</w:t>
            </w:r>
          </w:p>
        </w:tc>
        <w:tc>
          <w:tcPr>
            <w:tcW w:w="1184" w:type="pct"/>
            <w:tcBorders>
              <w:top w:val="nil"/>
              <w:left w:val="nil"/>
              <w:bottom w:val="nil"/>
              <w:right w:val="nil"/>
            </w:tcBorders>
            <w:shd w:val="clear" w:color="auto" w:fill="auto"/>
            <w:noWrap/>
            <w:tcMar>
              <w:top w:w="15" w:type="dxa"/>
              <w:left w:w="15" w:type="dxa"/>
              <w:bottom w:w="0" w:type="dxa"/>
              <w:right w:w="15" w:type="dxa"/>
            </w:tcMar>
            <w:vAlign w:val="bottom"/>
            <w:hideMark/>
          </w:tcPr>
          <w:p w14:paraId="0C1388F0"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0.00</w:t>
            </w:r>
          </w:p>
        </w:tc>
      </w:tr>
      <w:tr w:rsidR="007D78D8" w:rsidRPr="00BA6959" w14:paraId="5FAF20E6" w14:textId="77777777" w:rsidTr="007D78D8">
        <w:trPr>
          <w:trHeight w:hRule="exact" w:val="369"/>
        </w:trPr>
        <w:tc>
          <w:tcPr>
            <w:tcW w:w="553" w:type="pct"/>
            <w:tcBorders>
              <w:top w:val="nil"/>
              <w:left w:val="nil"/>
              <w:bottom w:val="nil"/>
              <w:right w:val="nil"/>
            </w:tcBorders>
            <w:shd w:val="clear" w:color="auto" w:fill="auto"/>
            <w:noWrap/>
            <w:tcMar>
              <w:top w:w="15" w:type="dxa"/>
              <w:left w:w="15" w:type="dxa"/>
              <w:bottom w:w="0" w:type="dxa"/>
              <w:right w:w="15" w:type="dxa"/>
            </w:tcMar>
            <w:vAlign w:val="bottom"/>
            <w:hideMark/>
          </w:tcPr>
          <w:p w14:paraId="13D0B54E" w14:textId="77777777" w:rsidR="007D78D8" w:rsidRPr="00BA6959" w:rsidRDefault="007D78D8">
            <w:pPr>
              <w:jc w:val="left"/>
              <w:rPr>
                <w:rFonts w:ascii="Calibri" w:hAnsi="Calibri" w:cs="Calibri"/>
                <w:color w:val="000000"/>
                <w:sz w:val="20"/>
                <w:lang w:val="en-GB"/>
              </w:rPr>
            </w:pPr>
            <w:r w:rsidRPr="00BA6959">
              <w:rPr>
                <w:rFonts w:ascii="Calibri" w:hAnsi="Calibri" w:cs="Calibri"/>
                <w:color w:val="000000"/>
                <w:sz w:val="20"/>
                <w:lang w:val="en-GB"/>
              </w:rPr>
              <w:t>GR Alert 11</w:t>
            </w:r>
          </w:p>
        </w:tc>
        <w:tc>
          <w:tcPr>
            <w:tcW w:w="380" w:type="pct"/>
            <w:tcBorders>
              <w:top w:val="nil"/>
              <w:left w:val="nil"/>
              <w:bottom w:val="nil"/>
              <w:right w:val="nil"/>
            </w:tcBorders>
            <w:shd w:val="clear" w:color="auto" w:fill="auto"/>
            <w:noWrap/>
            <w:tcMar>
              <w:top w:w="15" w:type="dxa"/>
              <w:left w:w="15" w:type="dxa"/>
              <w:bottom w:w="0" w:type="dxa"/>
              <w:right w:w="15" w:type="dxa"/>
            </w:tcMar>
            <w:vAlign w:val="bottom"/>
            <w:hideMark/>
          </w:tcPr>
          <w:p w14:paraId="48C8203E"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16</w:t>
            </w:r>
          </w:p>
        </w:tc>
        <w:tc>
          <w:tcPr>
            <w:tcW w:w="620" w:type="pct"/>
            <w:tcBorders>
              <w:top w:val="nil"/>
              <w:left w:val="nil"/>
              <w:bottom w:val="nil"/>
              <w:right w:val="nil"/>
            </w:tcBorders>
            <w:shd w:val="clear" w:color="auto" w:fill="auto"/>
            <w:noWrap/>
            <w:tcMar>
              <w:top w:w="15" w:type="dxa"/>
              <w:left w:w="15" w:type="dxa"/>
              <w:bottom w:w="0" w:type="dxa"/>
              <w:right w:w="15" w:type="dxa"/>
            </w:tcMar>
            <w:vAlign w:val="bottom"/>
            <w:hideMark/>
          </w:tcPr>
          <w:p w14:paraId="4089B920"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0.00</w:t>
            </w:r>
          </w:p>
        </w:tc>
        <w:tc>
          <w:tcPr>
            <w:tcW w:w="707" w:type="pct"/>
            <w:tcBorders>
              <w:top w:val="nil"/>
              <w:left w:val="nil"/>
              <w:bottom w:val="nil"/>
              <w:right w:val="nil"/>
            </w:tcBorders>
            <w:shd w:val="clear" w:color="auto" w:fill="auto"/>
            <w:noWrap/>
            <w:tcMar>
              <w:top w:w="15" w:type="dxa"/>
              <w:left w:w="15" w:type="dxa"/>
              <w:bottom w:w="0" w:type="dxa"/>
              <w:right w:w="15" w:type="dxa"/>
            </w:tcMar>
            <w:vAlign w:val="bottom"/>
            <w:hideMark/>
          </w:tcPr>
          <w:p w14:paraId="7E8FC8DA"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40.00</w:t>
            </w:r>
          </w:p>
        </w:tc>
        <w:tc>
          <w:tcPr>
            <w:tcW w:w="487" w:type="pct"/>
            <w:tcBorders>
              <w:top w:val="nil"/>
              <w:left w:val="nil"/>
              <w:bottom w:val="nil"/>
              <w:right w:val="nil"/>
            </w:tcBorders>
            <w:shd w:val="clear" w:color="auto" w:fill="auto"/>
            <w:noWrap/>
            <w:tcMar>
              <w:top w:w="15" w:type="dxa"/>
              <w:left w:w="15" w:type="dxa"/>
              <w:bottom w:w="0" w:type="dxa"/>
              <w:right w:w="15" w:type="dxa"/>
            </w:tcMar>
            <w:vAlign w:val="bottom"/>
            <w:hideMark/>
          </w:tcPr>
          <w:p w14:paraId="6D19574B"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66.67</w:t>
            </w:r>
          </w:p>
        </w:tc>
        <w:tc>
          <w:tcPr>
            <w:tcW w:w="1069" w:type="pct"/>
            <w:tcBorders>
              <w:top w:val="nil"/>
              <w:left w:val="nil"/>
              <w:bottom w:val="nil"/>
              <w:right w:val="nil"/>
            </w:tcBorders>
            <w:shd w:val="clear" w:color="auto" w:fill="auto"/>
            <w:noWrap/>
            <w:tcMar>
              <w:top w:w="15" w:type="dxa"/>
              <w:left w:w="15" w:type="dxa"/>
              <w:bottom w:w="0" w:type="dxa"/>
              <w:right w:w="15" w:type="dxa"/>
            </w:tcMar>
            <w:vAlign w:val="bottom"/>
            <w:hideMark/>
          </w:tcPr>
          <w:p w14:paraId="0036BB15"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81.25</w:t>
            </w:r>
          </w:p>
        </w:tc>
        <w:tc>
          <w:tcPr>
            <w:tcW w:w="1184" w:type="pct"/>
            <w:tcBorders>
              <w:top w:val="nil"/>
              <w:left w:val="nil"/>
              <w:bottom w:val="nil"/>
              <w:right w:val="nil"/>
            </w:tcBorders>
            <w:shd w:val="clear" w:color="auto" w:fill="auto"/>
            <w:noWrap/>
            <w:tcMar>
              <w:top w:w="15" w:type="dxa"/>
              <w:left w:w="15" w:type="dxa"/>
              <w:bottom w:w="0" w:type="dxa"/>
              <w:right w:w="15" w:type="dxa"/>
            </w:tcMar>
            <w:vAlign w:val="bottom"/>
            <w:hideMark/>
          </w:tcPr>
          <w:p w14:paraId="4EB3B838"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18.75</w:t>
            </w:r>
          </w:p>
        </w:tc>
      </w:tr>
      <w:tr w:rsidR="007D78D8" w:rsidRPr="00BA6959" w14:paraId="24DC6E4F" w14:textId="77777777" w:rsidTr="007D78D8">
        <w:trPr>
          <w:trHeight w:hRule="exact" w:val="369"/>
        </w:trPr>
        <w:tc>
          <w:tcPr>
            <w:tcW w:w="553" w:type="pct"/>
            <w:tcBorders>
              <w:top w:val="nil"/>
              <w:left w:val="nil"/>
              <w:bottom w:val="nil"/>
              <w:right w:val="nil"/>
            </w:tcBorders>
            <w:shd w:val="clear" w:color="auto" w:fill="auto"/>
            <w:noWrap/>
            <w:tcMar>
              <w:top w:w="15" w:type="dxa"/>
              <w:left w:w="15" w:type="dxa"/>
              <w:bottom w:w="0" w:type="dxa"/>
              <w:right w:w="15" w:type="dxa"/>
            </w:tcMar>
            <w:vAlign w:val="bottom"/>
            <w:hideMark/>
          </w:tcPr>
          <w:p w14:paraId="5C8DF6A3" w14:textId="77777777" w:rsidR="007D78D8" w:rsidRPr="00BA6959" w:rsidRDefault="007D78D8">
            <w:pPr>
              <w:jc w:val="left"/>
              <w:rPr>
                <w:rFonts w:ascii="Calibri" w:hAnsi="Calibri" w:cs="Calibri"/>
                <w:color w:val="000000"/>
                <w:sz w:val="20"/>
                <w:lang w:val="en-GB"/>
              </w:rPr>
            </w:pPr>
            <w:r w:rsidRPr="00BA6959">
              <w:rPr>
                <w:rFonts w:ascii="Calibri" w:hAnsi="Calibri" w:cs="Calibri"/>
                <w:color w:val="000000"/>
                <w:sz w:val="20"/>
                <w:lang w:val="en-GB"/>
              </w:rPr>
              <w:t>GR Alert 12</w:t>
            </w:r>
          </w:p>
        </w:tc>
        <w:tc>
          <w:tcPr>
            <w:tcW w:w="380" w:type="pct"/>
            <w:tcBorders>
              <w:top w:val="nil"/>
              <w:left w:val="nil"/>
              <w:bottom w:val="nil"/>
              <w:right w:val="nil"/>
            </w:tcBorders>
            <w:shd w:val="clear" w:color="auto" w:fill="auto"/>
            <w:noWrap/>
            <w:tcMar>
              <w:top w:w="15" w:type="dxa"/>
              <w:left w:w="15" w:type="dxa"/>
              <w:bottom w:w="0" w:type="dxa"/>
              <w:right w:w="15" w:type="dxa"/>
            </w:tcMar>
            <w:vAlign w:val="bottom"/>
            <w:hideMark/>
          </w:tcPr>
          <w:p w14:paraId="4D3BB84F"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10</w:t>
            </w:r>
          </w:p>
        </w:tc>
        <w:tc>
          <w:tcPr>
            <w:tcW w:w="620" w:type="pct"/>
            <w:tcBorders>
              <w:top w:val="nil"/>
              <w:left w:val="nil"/>
              <w:bottom w:val="nil"/>
              <w:right w:val="nil"/>
            </w:tcBorders>
            <w:shd w:val="clear" w:color="auto" w:fill="auto"/>
            <w:noWrap/>
            <w:tcMar>
              <w:top w:w="15" w:type="dxa"/>
              <w:left w:w="15" w:type="dxa"/>
              <w:bottom w:w="0" w:type="dxa"/>
              <w:right w:w="15" w:type="dxa"/>
            </w:tcMar>
            <w:vAlign w:val="bottom"/>
            <w:hideMark/>
          </w:tcPr>
          <w:p w14:paraId="071A9A86"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0.00</w:t>
            </w:r>
          </w:p>
        </w:tc>
        <w:tc>
          <w:tcPr>
            <w:tcW w:w="707" w:type="pct"/>
            <w:tcBorders>
              <w:top w:val="nil"/>
              <w:left w:val="nil"/>
              <w:bottom w:val="nil"/>
              <w:right w:val="nil"/>
            </w:tcBorders>
            <w:shd w:val="clear" w:color="auto" w:fill="auto"/>
            <w:noWrap/>
            <w:tcMar>
              <w:top w:w="15" w:type="dxa"/>
              <w:left w:w="15" w:type="dxa"/>
              <w:bottom w:w="0" w:type="dxa"/>
              <w:right w:w="15" w:type="dxa"/>
            </w:tcMar>
            <w:vAlign w:val="bottom"/>
            <w:hideMark/>
          </w:tcPr>
          <w:p w14:paraId="22A6C8C5"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33.33</w:t>
            </w:r>
          </w:p>
        </w:tc>
        <w:tc>
          <w:tcPr>
            <w:tcW w:w="487" w:type="pct"/>
            <w:tcBorders>
              <w:top w:val="nil"/>
              <w:left w:val="nil"/>
              <w:bottom w:val="nil"/>
              <w:right w:val="nil"/>
            </w:tcBorders>
            <w:shd w:val="clear" w:color="auto" w:fill="auto"/>
            <w:noWrap/>
            <w:tcMar>
              <w:top w:w="15" w:type="dxa"/>
              <w:left w:w="15" w:type="dxa"/>
              <w:bottom w:w="0" w:type="dxa"/>
              <w:right w:w="15" w:type="dxa"/>
            </w:tcMar>
            <w:vAlign w:val="bottom"/>
            <w:hideMark/>
          </w:tcPr>
          <w:p w14:paraId="7370E8FB"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100.00</w:t>
            </w:r>
          </w:p>
        </w:tc>
        <w:tc>
          <w:tcPr>
            <w:tcW w:w="1069" w:type="pct"/>
            <w:tcBorders>
              <w:top w:val="nil"/>
              <w:left w:val="nil"/>
              <w:bottom w:val="nil"/>
              <w:right w:val="nil"/>
            </w:tcBorders>
            <w:shd w:val="clear" w:color="auto" w:fill="auto"/>
            <w:noWrap/>
            <w:tcMar>
              <w:top w:w="15" w:type="dxa"/>
              <w:left w:w="15" w:type="dxa"/>
              <w:bottom w:w="0" w:type="dxa"/>
              <w:right w:w="15" w:type="dxa"/>
            </w:tcMar>
            <w:vAlign w:val="bottom"/>
            <w:hideMark/>
          </w:tcPr>
          <w:p w14:paraId="4DA6E6F5"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30.00</w:t>
            </w:r>
          </w:p>
        </w:tc>
        <w:tc>
          <w:tcPr>
            <w:tcW w:w="1184" w:type="pct"/>
            <w:tcBorders>
              <w:top w:val="nil"/>
              <w:left w:val="nil"/>
              <w:bottom w:val="nil"/>
              <w:right w:val="nil"/>
            </w:tcBorders>
            <w:shd w:val="clear" w:color="auto" w:fill="auto"/>
            <w:noWrap/>
            <w:tcMar>
              <w:top w:w="15" w:type="dxa"/>
              <w:left w:w="15" w:type="dxa"/>
              <w:bottom w:w="0" w:type="dxa"/>
              <w:right w:w="15" w:type="dxa"/>
            </w:tcMar>
            <w:vAlign w:val="bottom"/>
            <w:hideMark/>
          </w:tcPr>
          <w:p w14:paraId="16F735EC"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50.00</w:t>
            </w:r>
          </w:p>
        </w:tc>
      </w:tr>
      <w:tr w:rsidR="007D78D8" w:rsidRPr="00BA6959" w14:paraId="50D2A692" w14:textId="77777777" w:rsidTr="007D78D8">
        <w:trPr>
          <w:trHeight w:hRule="exact" w:val="369"/>
        </w:trPr>
        <w:tc>
          <w:tcPr>
            <w:tcW w:w="553" w:type="pct"/>
            <w:tcBorders>
              <w:top w:val="nil"/>
              <w:left w:val="nil"/>
              <w:bottom w:val="nil"/>
              <w:right w:val="nil"/>
            </w:tcBorders>
            <w:shd w:val="clear" w:color="auto" w:fill="auto"/>
            <w:noWrap/>
            <w:tcMar>
              <w:top w:w="15" w:type="dxa"/>
              <w:left w:w="15" w:type="dxa"/>
              <w:bottom w:w="0" w:type="dxa"/>
              <w:right w:w="15" w:type="dxa"/>
            </w:tcMar>
            <w:vAlign w:val="bottom"/>
            <w:hideMark/>
          </w:tcPr>
          <w:p w14:paraId="3780A2CB" w14:textId="77777777" w:rsidR="007D78D8" w:rsidRPr="00BA6959" w:rsidRDefault="007D78D8">
            <w:pPr>
              <w:jc w:val="left"/>
              <w:rPr>
                <w:rFonts w:ascii="Calibri" w:hAnsi="Calibri" w:cs="Calibri"/>
                <w:color w:val="000000"/>
                <w:sz w:val="20"/>
                <w:lang w:val="en-GB"/>
              </w:rPr>
            </w:pPr>
            <w:r w:rsidRPr="00BA6959">
              <w:rPr>
                <w:rFonts w:ascii="Calibri" w:hAnsi="Calibri" w:cs="Calibri"/>
                <w:color w:val="000000"/>
                <w:sz w:val="20"/>
                <w:lang w:val="en-GB"/>
              </w:rPr>
              <w:t>GR Alert 13</w:t>
            </w:r>
          </w:p>
        </w:tc>
        <w:tc>
          <w:tcPr>
            <w:tcW w:w="380" w:type="pct"/>
            <w:tcBorders>
              <w:top w:val="nil"/>
              <w:left w:val="nil"/>
              <w:bottom w:val="nil"/>
              <w:right w:val="nil"/>
            </w:tcBorders>
            <w:shd w:val="clear" w:color="auto" w:fill="auto"/>
            <w:noWrap/>
            <w:tcMar>
              <w:top w:w="15" w:type="dxa"/>
              <w:left w:w="15" w:type="dxa"/>
              <w:bottom w:w="0" w:type="dxa"/>
              <w:right w:w="15" w:type="dxa"/>
            </w:tcMar>
            <w:vAlign w:val="bottom"/>
            <w:hideMark/>
          </w:tcPr>
          <w:p w14:paraId="5CF21445"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56</w:t>
            </w:r>
          </w:p>
        </w:tc>
        <w:tc>
          <w:tcPr>
            <w:tcW w:w="620" w:type="pct"/>
            <w:tcBorders>
              <w:top w:val="nil"/>
              <w:left w:val="nil"/>
              <w:bottom w:val="nil"/>
              <w:right w:val="nil"/>
            </w:tcBorders>
            <w:shd w:val="clear" w:color="auto" w:fill="auto"/>
            <w:noWrap/>
            <w:tcMar>
              <w:top w:w="15" w:type="dxa"/>
              <w:left w:w="15" w:type="dxa"/>
              <w:bottom w:w="0" w:type="dxa"/>
              <w:right w:w="15" w:type="dxa"/>
            </w:tcMar>
            <w:vAlign w:val="bottom"/>
            <w:hideMark/>
          </w:tcPr>
          <w:p w14:paraId="4E0082B1"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25.00</w:t>
            </w:r>
          </w:p>
        </w:tc>
        <w:tc>
          <w:tcPr>
            <w:tcW w:w="707" w:type="pct"/>
            <w:tcBorders>
              <w:top w:val="nil"/>
              <w:left w:val="nil"/>
              <w:bottom w:val="nil"/>
              <w:right w:val="nil"/>
            </w:tcBorders>
            <w:shd w:val="clear" w:color="auto" w:fill="auto"/>
            <w:noWrap/>
            <w:tcMar>
              <w:top w:w="15" w:type="dxa"/>
              <w:left w:w="15" w:type="dxa"/>
              <w:bottom w:w="0" w:type="dxa"/>
              <w:right w:w="15" w:type="dxa"/>
            </w:tcMar>
            <w:vAlign w:val="bottom"/>
            <w:hideMark/>
          </w:tcPr>
          <w:p w14:paraId="04A2A229"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66.67</w:t>
            </w:r>
          </w:p>
        </w:tc>
        <w:tc>
          <w:tcPr>
            <w:tcW w:w="487" w:type="pct"/>
            <w:tcBorders>
              <w:top w:val="nil"/>
              <w:left w:val="nil"/>
              <w:bottom w:val="nil"/>
              <w:right w:val="nil"/>
            </w:tcBorders>
            <w:shd w:val="clear" w:color="auto" w:fill="auto"/>
            <w:noWrap/>
            <w:tcMar>
              <w:top w:w="15" w:type="dxa"/>
              <w:left w:w="15" w:type="dxa"/>
              <w:bottom w:w="0" w:type="dxa"/>
              <w:right w:w="15" w:type="dxa"/>
            </w:tcMar>
            <w:vAlign w:val="bottom"/>
            <w:hideMark/>
          </w:tcPr>
          <w:p w14:paraId="6E33BAE9"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100.00</w:t>
            </w:r>
          </w:p>
        </w:tc>
        <w:tc>
          <w:tcPr>
            <w:tcW w:w="1069" w:type="pct"/>
            <w:tcBorders>
              <w:top w:val="nil"/>
              <w:left w:val="nil"/>
              <w:bottom w:val="nil"/>
              <w:right w:val="nil"/>
            </w:tcBorders>
            <w:shd w:val="clear" w:color="auto" w:fill="auto"/>
            <w:noWrap/>
            <w:tcMar>
              <w:top w:w="15" w:type="dxa"/>
              <w:left w:w="15" w:type="dxa"/>
              <w:bottom w:w="0" w:type="dxa"/>
              <w:right w:w="15" w:type="dxa"/>
            </w:tcMar>
            <w:vAlign w:val="bottom"/>
            <w:hideMark/>
          </w:tcPr>
          <w:p w14:paraId="51966971"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96.43</w:t>
            </w:r>
          </w:p>
        </w:tc>
        <w:tc>
          <w:tcPr>
            <w:tcW w:w="1184" w:type="pct"/>
            <w:tcBorders>
              <w:top w:val="nil"/>
              <w:left w:val="nil"/>
              <w:bottom w:val="nil"/>
              <w:right w:val="nil"/>
            </w:tcBorders>
            <w:shd w:val="clear" w:color="auto" w:fill="auto"/>
            <w:noWrap/>
            <w:tcMar>
              <w:top w:w="15" w:type="dxa"/>
              <w:left w:w="15" w:type="dxa"/>
              <w:bottom w:w="0" w:type="dxa"/>
              <w:right w:w="15" w:type="dxa"/>
            </w:tcMar>
            <w:vAlign w:val="bottom"/>
            <w:hideMark/>
          </w:tcPr>
          <w:p w14:paraId="1257E401"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3.57</w:t>
            </w:r>
          </w:p>
        </w:tc>
      </w:tr>
      <w:tr w:rsidR="007D78D8" w:rsidRPr="00BA6959" w14:paraId="4964459E" w14:textId="77777777" w:rsidTr="007D78D8">
        <w:trPr>
          <w:trHeight w:hRule="exact" w:val="369"/>
        </w:trPr>
        <w:tc>
          <w:tcPr>
            <w:tcW w:w="553" w:type="pct"/>
            <w:tcBorders>
              <w:top w:val="nil"/>
              <w:left w:val="nil"/>
              <w:bottom w:val="nil"/>
              <w:right w:val="nil"/>
            </w:tcBorders>
            <w:shd w:val="clear" w:color="auto" w:fill="auto"/>
            <w:noWrap/>
            <w:tcMar>
              <w:top w:w="15" w:type="dxa"/>
              <w:left w:w="15" w:type="dxa"/>
              <w:bottom w:w="0" w:type="dxa"/>
              <w:right w:w="15" w:type="dxa"/>
            </w:tcMar>
            <w:vAlign w:val="bottom"/>
            <w:hideMark/>
          </w:tcPr>
          <w:p w14:paraId="3C4D0F53" w14:textId="77777777" w:rsidR="007D78D8" w:rsidRPr="00BA6959" w:rsidRDefault="007D78D8">
            <w:pPr>
              <w:jc w:val="left"/>
              <w:rPr>
                <w:rFonts w:ascii="Calibri" w:hAnsi="Calibri" w:cs="Calibri"/>
                <w:color w:val="000000"/>
                <w:sz w:val="20"/>
                <w:lang w:val="en-GB"/>
              </w:rPr>
            </w:pPr>
            <w:r w:rsidRPr="00BA6959">
              <w:rPr>
                <w:rFonts w:ascii="Calibri" w:hAnsi="Calibri" w:cs="Calibri"/>
                <w:color w:val="000000"/>
                <w:sz w:val="20"/>
                <w:lang w:val="en-GB"/>
              </w:rPr>
              <w:t>GR Alert 15</w:t>
            </w:r>
          </w:p>
        </w:tc>
        <w:tc>
          <w:tcPr>
            <w:tcW w:w="380" w:type="pct"/>
            <w:tcBorders>
              <w:top w:val="nil"/>
              <w:left w:val="nil"/>
              <w:bottom w:val="nil"/>
              <w:right w:val="nil"/>
            </w:tcBorders>
            <w:shd w:val="clear" w:color="auto" w:fill="auto"/>
            <w:noWrap/>
            <w:tcMar>
              <w:top w:w="15" w:type="dxa"/>
              <w:left w:w="15" w:type="dxa"/>
              <w:bottom w:w="0" w:type="dxa"/>
              <w:right w:w="15" w:type="dxa"/>
            </w:tcMar>
            <w:vAlign w:val="bottom"/>
            <w:hideMark/>
          </w:tcPr>
          <w:p w14:paraId="7351A649"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26</w:t>
            </w:r>
          </w:p>
        </w:tc>
        <w:tc>
          <w:tcPr>
            <w:tcW w:w="620" w:type="pct"/>
            <w:tcBorders>
              <w:top w:val="nil"/>
              <w:left w:val="nil"/>
              <w:bottom w:val="nil"/>
              <w:right w:val="nil"/>
            </w:tcBorders>
            <w:shd w:val="clear" w:color="auto" w:fill="auto"/>
            <w:noWrap/>
            <w:tcMar>
              <w:top w:w="15" w:type="dxa"/>
              <w:left w:w="15" w:type="dxa"/>
              <w:bottom w:w="0" w:type="dxa"/>
              <w:right w:w="15" w:type="dxa"/>
            </w:tcMar>
            <w:vAlign w:val="bottom"/>
            <w:hideMark/>
          </w:tcPr>
          <w:p w14:paraId="1E653522"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0.00</w:t>
            </w:r>
          </w:p>
        </w:tc>
        <w:tc>
          <w:tcPr>
            <w:tcW w:w="707" w:type="pct"/>
            <w:tcBorders>
              <w:top w:val="nil"/>
              <w:left w:val="nil"/>
              <w:bottom w:val="nil"/>
              <w:right w:val="nil"/>
            </w:tcBorders>
            <w:shd w:val="clear" w:color="auto" w:fill="auto"/>
            <w:noWrap/>
            <w:tcMar>
              <w:top w:w="15" w:type="dxa"/>
              <w:left w:w="15" w:type="dxa"/>
              <w:bottom w:w="0" w:type="dxa"/>
              <w:right w:w="15" w:type="dxa"/>
            </w:tcMar>
            <w:vAlign w:val="bottom"/>
            <w:hideMark/>
          </w:tcPr>
          <w:p w14:paraId="2BB42182"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27.27</w:t>
            </w:r>
          </w:p>
        </w:tc>
        <w:tc>
          <w:tcPr>
            <w:tcW w:w="487" w:type="pct"/>
            <w:tcBorders>
              <w:top w:val="nil"/>
              <w:left w:val="nil"/>
              <w:bottom w:val="nil"/>
              <w:right w:val="nil"/>
            </w:tcBorders>
            <w:shd w:val="clear" w:color="auto" w:fill="auto"/>
            <w:noWrap/>
            <w:tcMar>
              <w:top w:w="15" w:type="dxa"/>
              <w:left w:w="15" w:type="dxa"/>
              <w:bottom w:w="0" w:type="dxa"/>
              <w:right w:w="15" w:type="dxa"/>
            </w:tcMar>
            <w:vAlign w:val="bottom"/>
            <w:hideMark/>
          </w:tcPr>
          <w:p w14:paraId="38764EFF"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85.71</w:t>
            </w:r>
          </w:p>
        </w:tc>
        <w:tc>
          <w:tcPr>
            <w:tcW w:w="1069" w:type="pct"/>
            <w:tcBorders>
              <w:top w:val="nil"/>
              <w:left w:val="nil"/>
              <w:bottom w:val="nil"/>
              <w:right w:val="nil"/>
            </w:tcBorders>
            <w:shd w:val="clear" w:color="auto" w:fill="auto"/>
            <w:noWrap/>
            <w:tcMar>
              <w:top w:w="15" w:type="dxa"/>
              <w:left w:w="15" w:type="dxa"/>
              <w:bottom w:w="0" w:type="dxa"/>
              <w:right w:w="15" w:type="dxa"/>
            </w:tcMar>
            <w:vAlign w:val="bottom"/>
            <w:hideMark/>
          </w:tcPr>
          <w:p w14:paraId="2DC14D27"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57.69</w:t>
            </w:r>
          </w:p>
        </w:tc>
        <w:tc>
          <w:tcPr>
            <w:tcW w:w="1184" w:type="pct"/>
            <w:tcBorders>
              <w:top w:val="nil"/>
              <w:left w:val="nil"/>
              <w:bottom w:val="nil"/>
              <w:right w:val="nil"/>
            </w:tcBorders>
            <w:shd w:val="clear" w:color="auto" w:fill="auto"/>
            <w:noWrap/>
            <w:tcMar>
              <w:top w:w="15" w:type="dxa"/>
              <w:left w:w="15" w:type="dxa"/>
              <w:bottom w:w="0" w:type="dxa"/>
              <w:right w:w="15" w:type="dxa"/>
            </w:tcMar>
            <w:vAlign w:val="bottom"/>
            <w:hideMark/>
          </w:tcPr>
          <w:p w14:paraId="6BB993B4"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38.46</w:t>
            </w:r>
          </w:p>
        </w:tc>
      </w:tr>
      <w:tr w:rsidR="007D78D8" w:rsidRPr="00BA6959" w14:paraId="4CF60977" w14:textId="77777777" w:rsidTr="007D78D8">
        <w:trPr>
          <w:trHeight w:hRule="exact" w:val="369"/>
        </w:trPr>
        <w:tc>
          <w:tcPr>
            <w:tcW w:w="553" w:type="pct"/>
            <w:tcBorders>
              <w:top w:val="nil"/>
              <w:left w:val="nil"/>
              <w:bottom w:val="nil"/>
              <w:right w:val="nil"/>
            </w:tcBorders>
            <w:shd w:val="clear" w:color="auto" w:fill="auto"/>
            <w:noWrap/>
            <w:tcMar>
              <w:top w:w="15" w:type="dxa"/>
              <w:left w:w="15" w:type="dxa"/>
              <w:bottom w:w="0" w:type="dxa"/>
              <w:right w:w="15" w:type="dxa"/>
            </w:tcMar>
            <w:vAlign w:val="bottom"/>
            <w:hideMark/>
          </w:tcPr>
          <w:p w14:paraId="26CFA786" w14:textId="77777777" w:rsidR="007D78D8" w:rsidRPr="00BA6959" w:rsidRDefault="007D78D8">
            <w:pPr>
              <w:jc w:val="left"/>
              <w:rPr>
                <w:rFonts w:ascii="Calibri" w:hAnsi="Calibri" w:cs="Calibri"/>
                <w:color w:val="000000"/>
                <w:sz w:val="20"/>
                <w:lang w:val="en-GB"/>
              </w:rPr>
            </w:pPr>
            <w:r w:rsidRPr="00BA6959">
              <w:rPr>
                <w:rFonts w:ascii="Calibri" w:hAnsi="Calibri" w:cs="Calibri"/>
                <w:color w:val="000000"/>
                <w:sz w:val="20"/>
                <w:lang w:val="en-GB"/>
              </w:rPr>
              <w:t>GR Alert 18</w:t>
            </w:r>
          </w:p>
        </w:tc>
        <w:tc>
          <w:tcPr>
            <w:tcW w:w="380" w:type="pct"/>
            <w:tcBorders>
              <w:top w:val="nil"/>
              <w:left w:val="nil"/>
              <w:bottom w:val="nil"/>
              <w:right w:val="nil"/>
            </w:tcBorders>
            <w:shd w:val="clear" w:color="auto" w:fill="auto"/>
            <w:noWrap/>
            <w:tcMar>
              <w:top w:w="15" w:type="dxa"/>
              <w:left w:w="15" w:type="dxa"/>
              <w:bottom w:w="0" w:type="dxa"/>
              <w:right w:w="15" w:type="dxa"/>
            </w:tcMar>
            <w:vAlign w:val="bottom"/>
            <w:hideMark/>
          </w:tcPr>
          <w:p w14:paraId="075A9374"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36</w:t>
            </w:r>
          </w:p>
        </w:tc>
        <w:tc>
          <w:tcPr>
            <w:tcW w:w="620" w:type="pct"/>
            <w:tcBorders>
              <w:top w:val="nil"/>
              <w:left w:val="nil"/>
              <w:bottom w:val="nil"/>
              <w:right w:val="nil"/>
            </w:tcBorders>
            <w:shd w:val="clear" w:color="auto" w:fill="auto"/>
            <w:noWrap/>
            <w:tcMar>
              <w:top w:w="15" w:type="dxa"/>
              <w:left w:w="15" w:type="dxa"/>
              <w:bottom w:w="0" w:type="dxa"/>
              <w:right w:w="15" w:type="dxa"/>
            </w:tcMar>
            <w:vAlign w:val="bottom"/>
            <w:hideMark/>
          </w:tcPr>
          <w:p w14:paraId="38D77F77"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0.00</w:t>
            </w:r>
          </w:p>
        </w:tc>
        <w:tc>
          <w:tcPr>
            <w:tcW w:w="707" w:type="pct"/>
            <w:tcBorders>
              <w:top w:val="nil"/>
              <w:left w:val="nil"/>
              <w:bottom w:val="nil"/>
              <w:right w:val="nil"/>
            </w:tcBorders>
            <w:shd w:val="clear" w:color="auto" w:fill="auto"/>
            <w:noWrap/>
            <w:tcMar>
              <w:top w:w="15" w:type="dxa"/>
              <w:left w:w="15" w:type="dxa"/>
              <w:bottom w:w="0" w:type="dxa"/>
              <w:right w:w="15" w:type="dxa"/>
            </w:tcMar>
            <w:vAlign w:val="bottom"/>
            <w:hideMark/>
          </w:tcPr>
          <w:p w14:paraId="3E41C628"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18.18</w:t>
            </w:r>
          </w:p>
        </w:tc>
        <w:tc>
          <w:tcPr>
            <w:tcW w:w="487" w:type="pct"/>
            <w:tcBorders>
              <w:top w:val="nil"/>
              <w:left w:val="nil"/>
              <w:bottom w:val="nil"/>
              <w:right w:val="nil"/>
            </w:tcBorders>
            <w:shd w:val="clear" w:color="auto" w:fill="auto"/>
            <w:noWrap/>
            <w:tcMar>
              <w:top w:w="15" w:type="dxa"/>
              <w:left w:w="15" w:type="dxa"/>
              <w:bottom w:w="0" w:type="dxa"/>
              <w:right w:w="15" w:type="dxa"/>
            </w:tcMar>
            <w:vAlign w:val="bottom"/>
            <w:hideMark/>
          </w:tcPr>
          <w:p w14:paraId="7C5BC2C5"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87.50</w:t>
            </w:r>
          </w:p>
        </w:tc>
        <w:tc>
          <w:tcPr>
            <w:tcW w:w="1069" w:type="pct"/>
            <w:tcBorders>
              <w:top w:val="nil"/>
              <w:left w:val="nil"/>
              <w:bottom w:val="nil"/>
              <w:right w:val="nil"/>
            </w:tcBorders>
            <w:shd w:val="clear" w:color="auto" w:fill="auto"/>
            <w:noWrap/>
            <w:tcMar>
              <w:top w:w="15" w:type="dxa"/>
              <w:left w:w="15" w:type="dxa"/>
              <w:bottom w:w="0" w:type="dxa"/>
              <w:right w:w="15" w:type="dxa"/>
            </w:tcMar>
            <w:vAlign w:val="bottom"/>
            <w:hideMark/>
          </w:tcPr>
          <w:p w14:paraId="674C0264"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36.11</w:t>
            </w:r>
          </w:p>
        </w:tc>
        <w:tc>
          <w:tcPr>
            <w:tcW w:w="1184" w:type="pct"/>
            <w:tcBorders>
              <w:top w:val="nil"/>
              <w:left w:val="nil"/>
              <w:bottom w:val="nil"/>
              <w:right w:val="nil"/>
            </w:tcBorders>
            <w:shd w:val="clear" w:color="auto" w:fill="auto"/>
            <w:noWrap/>
            <w:tcMar>
              <w:top w:w="15" w:type="dxa"/>
              <w:left w:w="15" w:type="dxa"/>
              <w:bottom w:w="0" w:type="dxa"/>
              <w:right w:w="15" w:type="dxa"/>
            </w:tcMar>
            <w:vAlign w:val="bottom"/>
            <w:hideMark/>
          </w:tcPr>
          <w:p w14:paraId="6A0495DC"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58.33</w:t>
            </w:r>
          </w:p>
        </w:tc>
      </w:tr>
      <w:tr w:rsidR="007D78D8" w:rsidRPr="00BA6959" w14:paraId="324BF5CE" w14:textId="77777777" w:rsidTr="007D78D8">
        <w:trPr>
          <w:trHeight w:hRule="exact" w:val="369"/>
        </w:trPr>
        <w:tc>
          <w:tcPr>
            <w:tcW w:w="553" w:type="pct"/>
            <w:tcBorders>
              <w:top w:val="nil"/>
              <w:left w:val="nil"/>
              <w:bottom w:val="nil"/>
              <w:right w:val="nil"/>
            </w:tcBorders>
            <w:shd w:val="clear" w:color="auto" w:fill="auto"/>
            <w:noWrap/>
            <w:tcMar>
              <w:top w:w="15" w:type="dxa"/>
              <w:left w:w="15" w:type="dxa"/>
              <w:bottom w:w="0" w:type="dxa"/>
              <w:right w:w="15" w:type="dxa"/>
            </w:tcMar>
            <w:vAlign w:val="bottom"/>
            <w:hideMark/>
          </w:tcPr>
          <w:p w14:paraId="15D5ED54" w14:textId="77777777" w:rsidR="007D78D8" w:rsidRPr="00BA6959" w:rsidRDefault="007D78D8">
            <w:pPr>
              <w:jc w:val="left"/>
              <w:rPr>
                <w:rFonts w:ascii="Calibri" w:hAnsi="Calibri" w:cs="Calibri"/>
                <w:color w:val="000000"/>
                <w:sz w:val="20"/>
                <w:lang w:val="en-GB"/>
              </w:rPr>
            </w:pPr>
            <w:r w:rsidRPr="00BA6959">
              <w:rPr>
                <w:rFonts w:ascii="Calibri" w:hAnsi="Calibri" w:cs="Calibri"/>
                <w:color w:val="000000"/>
                <w:sz w:val="20"/>
                <w:lang w:val="en-GB"/>
              </w:rPr>
              <w:t>GR Alert 21</w:t>
            </w:r>
          </w:p>
        </w:tc>
        <w:tc>
          <w:tcPr>
            <w:tcW w:w="380" w:type="pct"/>
            <w:tcBorders>
              <w:top w:val="nil"/>
              <w:left w:val="nil"/>
              <w:bottom w:val="nil"/>
              <w:right w:val="nil"/>
            </w:tcBorders>
            <w:shd w:val="clear" w:color="auto" w:fill="auto"/>
            <w:noWrap/>
            <w:tcMar>
              <w:top w:w="15" w:type="dxa"/>
              <w:left w:w="15" w:type="dxa"/>
              <w:bottom w:w="0" w:type="dxa"/>
              <w:right w:w="15" w:type="dxa"/>
            </w:tcMar>
            <w:vAlign w:val="bottom"/>
            <w:hideMark/>
          </w:tcPr>
          <w:p w14:paraId="4AFE73DA"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90</w:t>
            </w:r>
          </w:p>
        </w:tc>
        <w:tc>
          <w:tcPr>
            <w:tcW w:w="620" w:type="pct"/>
            <w:tcBorders>
              <w:top w:val="nil"/>
              <w:left w:val="nil"/>
              <w:bottom w:val="nil"/>
              <w:right w:val="nil"/>
            </w:tcBorders>
            <w:shd w:val="clear" w:color="auto" w:fill="auto"/>
            <w:noWrap/>
            <w:tcMar>
              <w:top w:w="15" w:type="dxa"/>
              <w:left w:w="15" w:type="dxa"/>
              <w:bottom w:w="0" w:type="dxa"/>
              <w:right w:w="15" w:type="dxa"/>
            </w:tcMar>
            <w:vAlign w:val="bottom"/>
            <w:hideMark/>
          </w:tcPr>
          <w:p w14:paraId="1EAF3ED9"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12.50</w:t>
            </w:r>
          </w:p>
        </w:tc>
        <w:tc>
          <w:tcPr>
            <w:tcW w:w="707" w:type="pct"/>
            <w:tcBorders>
              <w:top w:val="nil"/>
              <w:left w:val="nil"/>
              <w:bottom w:val="nil"/>
              <w:right w:val="nil"/>
            </w:tcBorders>
            <w:shd w:val="clear" w:color="auto" w:fill="auto"/>
            <w:noWrap/>
            <w:tcMar>
              <w:top w:w="15" w:type="dxa"/>
              <w:left w:w="15" w:type="dxa"/>
              <w:bottom w:w="0" w:type="dxa"/>
              <w:right w:w="15" w:type="dxa"/>
            </w:tcMar>
            <w:vAlign w:val="bottom"/>
            <w:hideMark/>
          </w:tcPr>
          <w:p w14:paraId="440ADDB4"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45.83</w:t>
            </w:r>
          </w:p>
        </w:tc>
        <w:tc>
          <w:tcPr>
            <w:tcW w:w="487" w:type="pct"/>
            <w:tcBorders>
              <w:top w:val="nil"/>
              <w:left w:val="nil"/>
              <w:bottom w:val="nil"/>
              <w:right w:val="nil"/>
            </w:tcBorders>
            <w:shd w:val="clear" w:color="auto" w:fill="auto"/>
            <w:noWrap/>
            <w:tcMar>
              <w:top w:w="15" w:type="dxa"/>
              <w:left w:w="15" w:type="dxa"/>
              <w:bottom w:w="0" w:type="dxa"/>
              <w:right w:w="15" w:type="dxa"/>
            </w:tcMar>
            <w:vAlign w:val="bottom"/>
            <w:hideMark/>
          </w:tcPr>
          <w:p w14:paraId="6FE8182E"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91.67</w:t>
            </w:r>
          </w:p>
        </w:tc>
        <w:tc>
          <w:tcPr>
            <w:tcW w:w="1069" w:type="pct"/>
            <w:tcBorders>
              <w:top w:val="nil"/>
              <w:left w:val="nil"/>
              <w:bottom w:val="nil"/>
              <w:right w:val="nil"/>
            </w:tcBorders>
            <w:shd w:val="clear" w:color="auto" w:fill="auto"/>
            <w:noWrap/>
            <w:tcMar>
              <w:top w:w="15" w:type="dxa"/>
              <w:left w:w="15" w:type="dxa"/>
              <w:bottom w:w="0" w:type="dxa"/>
              <w:right w:w="15" w:type="dxa"/>
            </w:tcMar>
            <w:vAlign w:val="bottom"/>
            <w:hideMark/>
          </w:tcPr>
          <w:p w14:paraId="35F49C17"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76.67</w:t>
            </w:r>
          </w:p>
        </w:tc>
        <w:tc>
          <w:tcPr>
            <w:tcW w:w="1184" w:type="pct"/>
            <w:tcBorders>
              <w:top w:val="nil"/>
              <w:left w:val="nil"/>
              <w:bottom w:val="nil"/>
              <w:right w:val="nil"/>
            </w:tcBorders>
            <w:shd w:val="clear" w:color="auto" w:fill="auto"/>
            <w:noWrap/>
            <w:tcMar>
              <w:top w:w="15" w:type="dxa"/>
              <w:left w:w="15" w:type="dxa"/>
              <w:bottom w:w="0" w:type="dxa"/>
              <w:right w:w="15" w:type="dxa"/>
            </w:tcMar>
            <w:vAlign w:val="bottom"/>
            <w:hideMark/>
          </w:tcPr>
          <w:p w14:paraId="0414F01B"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21.11</w:t>
            </w:r>
          </w:p>
        </w:tc>
      </w:tr>
      <w:tr w:rsidR="007D78D8" w:rsidRPr="00BA6959" w14:paraId="70A4F1BE" w14:textId="77777777" w:rsidTr="007D78D8">
        <w:trPr>
          <w:trHeight w:hRule="exact" w:val="369"/>
        </w:trPr>
        <w:tc>
          <w:tcPr>
            <w:tcW w:w="553" w:type="pct"/>
            <w:tcBorders>
              <w:top w:val="nil"/>
              <w:left w:val="nil"/>
              <w:bottom w:val="nil"/>
              <w:right w:val="nil"/>
            </w:tcBorders>
            <w:shd w:val="clear" w:color="auto" w:fill="auto"/>
            <w:noWrap/>
            <w:tcMar>
              <w:top w:w="15" w:type="dxa"/>
              <w:left w:w="15" w:type="dxa"/>
              <w:bottom w:w="0" w:type="dxa"/>
              <w:right w:w="15" w:type="dxa"/>
            </w:tcMar>
            <w:vAlign w:val="bottom"/>
            <w:hideMark/>
          </w:tcPr>
          <w:p w14:paraId="2721A9F1" w14:textId="77777777" w:rsidR="007D78D8" w:rsidRPr="00BA6959" w:rsidRDefault="007D78D8">
            <w:pPr>
              <w:jc w:val="left"/>
              <w:rPr>
                <w:rFonts w:ascii="Calibri" w:hAnsi="Calibri" w:cs="Calibri"/>
                <w:color w:val="000000"/>
                <w:sz w:val="20"/>
                <w:lang w:val="en-GB"/>
              </w:rPr>
            </w:pPr>
            <w:r w:rsidRPr="00BA6959">
              <w:rPr>
                <w:rFonts w:ascii="Calibri" w:hAnsi="Calibri" w:cs="Calibri"/>
                <w:color w:val="000000"/>
                <w:sz w:val="20"/>
                <w:lang w:val="en-GB"/>
              </w:rPr>
              <w:t>GR Alert 27</w:t>
            </w:r>
          </w:p>
        </w:tc>
        <w:tc>
          <w:tcPr>
            <w:tcW w:w="380" w:type="pct"/>
            <w:tcBorders>
              <w:top w:val="nil"/>
              <w:left w:val="nil"/>
              <w:bottom w:val="nil"/>
              <w:right w:val="nil"/>
            </w:tcBorders>
            <w:shd w:val="clear" w:color="auto" w:fill="auto"/>
            <w:noWrap/>
            <w:tcMar>
              <w:top w:w="15" w:type="dxa"/>
              <w:left w:w="15" w:type="dxa"/>
              <w:bottom w:w="0" w:type="dxa"/>
              <w:right w:w="15" w:type="dxa"/>
            </w:tcMar>
            <w:vAlign w:val="bottom"/>
            <w:hideMark/>
          </w:tcPr>
          <w:p w14:paraId="51814EAD"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87</w:t>
            </w:r>
          </w:p>
        </w:tc>
        <w:tc>
          <w:tcPr>
            <w:tcW w:w="620" w:type="pct"/>
            <w:tcBorders>
              <w:top w:val="nil"/>
              <w:left w:val="nil"/>
              <w:bottom w:val="nil"/>
              <w:right w:val="nil"/>
            </w:tcBorders>
            <w:shd w:val="clear" w:color="auto" w:fill="auto"/>
            <w:noWrap/>
            <w:tcMar>
              <w:top w:w="15" w:type="dxa"/>
              <w:left w:w="15" w:type="dxa"/>
              <w:bottom w:w="0" w:type="dxa"/>
              <w:right w:w="15" w:type="dxa"/>
            </w:tcMar>
            <w:vAlign w:val="bottom"/>
            <w:hideMark/>
          </w:tcPr>
          <w:p w14:paraId="68B431AA"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17.39</w:t>
            </w:r>
          </w:p>
        </w:tc>
        <w:tc>
          <w:tcPr>
            <w:tcW w:w="707" w:type="pct"/>
            <w:tcBorders>
              <w:top w:val="nil"/>
              <w:left w:val="nil"/>
              <w:bottom w:val="nil"/>
              <w:right w:val="nil"/>
            </w:tcBorders>
            <w:shd w:val="clear" w:color="auto" w:fill="auto"/>
            <w:noWrap/>
            <w:tcMar>
              <w:top w:w="15" w:type="dxa"/>
              <w:left w:w="15" w:type="dxa"/>
              <w:bottom w:w="0" w:type="dxa"/>
              <w:right w:w="15" w:type="dxa"/>
            </w:tcMar>
            <w:vAlign w:val="bottom"/>
            <w:hideMark/>
          </w:tcPr>
          <w:p w14:paraId="63E23965"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52.17</w:t>
            </w:r>
          </w:p>
        </w:tc>
        <w:tc>
          <w:tcPr>
            <w:tcW w:w="487" w:type="pct"/>
            <w:tcBorders>
              <w:top w:val="nil"/>
              <w:left w:val="nil"/>
              <w:bottom w:val="nil"/>
              <w:right w:val="nil"/>
            </w:tcBorders>
            <w:shd w:val="clear" w:color="auto" w:fill="auto"/>
            <w:noWrap/>
            <w:tcMar>
              <w:top w:w="15" w:type="dxa"/>
              <w:left w:w="15" w:type="dxa"/>
              <w:bottom w:w="0" w:type="dxa"/>
              <w:right w:w="15" w:type="dxa"/>
            </w:tcMar>
            <w:vAlign w:val="bottom"/>
            <w:hideMark/>
          </w:tcPr>
          <w:p w14:paraId="78C0D472"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83.33</w:t>
            </w:r>
          </w:p>
        </w:tc>
        <w:tc>
          <w:tcPr>
            <w:tcW w:w="1069" w:type="pct"/>
            <w:tcBorders>
              <w:top w:val="nil"/>
              <w:left w:val="nil"/>
              <w:bottom w:val="nil"/>
              <w:right w:val="nil"/>
            </w:tcBorders>
            <w:shd w:val="clear" w:color="auto" w:fill="auto"/>
            <w:noWrap/>
            <w:tcMar>
              <w:top w:w="15" w:type="dxa"/>
              <w:left w:w="15" w:type="dxa"/>
              <w:bottom w:w="0" w:type="dxa"/>
              <w:right w:w="15" w:type="dxa"/>
            </w:tcMar>
            <w:vAlign w:val="bottom"/>
            <w:hideMark/>
          </w:tcPr>
          <w:p w14:paraId="18A303D1"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82.76</w:t>
            </w:r>
          </w:p>
        </w:tc>
        <w:tc>
          <w:tcPr>
            <w:tcW w:w="1184" w:type="pct"/>
            <w:tcBorders>
              <w:top w:val="nil"/>
              <w:left w:val="nil"/>
              <w:bottom w:val="nil"/>
              <w:right w:val="nil"/>
            </w:tcBorders>
            <w:shd w:val="clear" w:color="auto" w:fill="auto"/>
            <w:noWrap/>
            <w:tcMar>
              <w:top w:w="15" w:type="dxa"/>
              <w:left w:w="15" w:type="dxa"/>
              <w:bottom w:w="0" w:type="dxa"/>
              <w:right w:w="15" w:type="dxa"/>
            </w:tcMar>
            <w:vAlign w:val="bottom"/>
            <w:hideMark/>
          </w:tcPr>
          <w:p w14:paraId="40D619B4"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18.39</w:t>
            </w:r>
          </w:p>
        </w:tc>
      </w:tr>
      <w:tr w:rsidR="007D78D8" w:rsidRPr="00BA6959" w14:paraId="4F42A04A" w14:textId="77777777" w:rsidTr="007D78D8">
        <w:trPr>
          <w:trHeight w:hRule="exact" w:val="369"/>
        </w:trPr>
        <w:tc>
          <w:tcPr>
            <w:tcW w:w="553" w:type="pct"/>
            <w:tcBorders>
              <w:top w:val="nil"/>
              <w:left w:val="nil"/>
              <w:bottom w:val="nil"/>
              <w:right w:val="nil"/>
            </w:tcBorders>
            <w:shd w:val="clear" w:color="auto" w:fill="auto"/>
            <w:noWrap/>
            <w:tcMar>
              <w:top w:w="15" w:type="dxa"/>
              <w:left w:w="15" w:type="dxa"/>
              <w:bottom w:w="0" w:type="dxa"/>
              <w:right w:w="15" w:type="dxa"/>
            </w:tcMar>
            <w:vAlign w:val="bottom"/>
            <w:hideMark/>
          </w:tcPr>
          <w:p w14:paraId="02DB00AF" w14:textId="77777777" w:rsidR="007D78D8" w:rsidRPr="00BA6959" w:rsidRDefault="007D78D8">
            <w:pPr>
              <w:jc w:val="left"/>
              <w:rPr>
                <w:rFonts w:ascii="Calibri" w:hAnsi="Calibri" w:cs="Calibri"/>
                <w:color w:val="000000"/>
                <w:sz w:val="20"/>
                <w:lang w:val="en-GB"/>
              </w:rPr>
            </w:pPr>
            <w:r w:rsidRPr="00BA6959">
              <w:rPr>
                <w:rFonts w:ascii="Calibri" w:hAnsi="Calibri" w:cs="Calibri"/>
                <w:color w:val="000000"/>
                <w:sz w:val="20"/>
                <w:lang w:val="en-GB"/>
              </w:rPr>
              <w:t>GR Alert 30</w:t>
            </w:r>
          </w:p>
        </w:tc>
        <w:tc>
          <w:tcPr>
            <w:tcW w:w="380" w:type="pct"/>
            <w:tcBorders>
              <w:top w:val="nil"/>
              <w:left w:val="nil"/>
              <w:bottom w:val="nil"/>
              <w:right w:val="nil"/>
            </w:tcBorders>
            <w:shd w:val="clear" w:color="auto" w:fill="auto"/>
            <w:noWrap/>
            <w:tcMar>
              <w:top w:w="15" w:type="dxa"/>
              <w:left w:w="15" w:type="dxa"/>
              <w:bottom w:w="0" w:type="dxa"/>
              <w:right w:w="15" w:type="dxa"/>
            </w:tcMar>
            <w:vAlign w:val="bottom"/>
            <w:hideMark/>
          </w:tcPr>
          <w:p w14:paraId="26B5FA64"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11</w:t>
            </w:r>
          </w:p>
        </w:tc>
        <w:tc>
          <w:tcPr>
            <w:tcW w:w="620" w:type="pct"/>
            <w:tcBorders>
              <w:top w:val="nil"/>
              <w:left w:val="nil"/>
              <w:bottom w:val="nil"/>
              <w:right w:val="nil"/>
            </w:tcBorders>
            <w:shd w:val="clear" w:color="auto" w:fill="auto"/>
            <w:noWrap/>
            <w:tcMar>
              <w:top w:w="15" w:type="dxa"/>
              <w:left w:w="15" w:type="dxa"/>
              <w:bottom w:w="0" w:type="dxa"/>
              <w:right w:w="15" w:type="dxa"/>
            </w:tcMar>
            <w:vAlign w:val="bottom"/>
            <w:hideMark/>
          </w:tcPr>
          <w:p w14:paraId="2E538661"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0.00</w:t>
            </w:r>
          </w:p>
        </w:tc>
        <w:tc>
          <w:tcPr>
            <w:tcW w:w="707" w:type="pct"/>
            <w:tcBorders>
              <w:top w:val="nil"/>
              <w:left w:val="nil"/>
              <w:bottom w:val="nil"/>
              <w:right w:val="nil"/>
            </w:tcBorders>
            <w:shd w:val="clear" w:color="auto" w:fill="auto"/>
            <w:noWrap/>
            <w:tcMar>
              <w:top w:w="15" w:type="dxa"/>
              <w:left w:w="15" w:type="dxa"/>
              <w:bottom w:w="0" w:type="dxa"/>
              <w:right w:w="15" w:type="dxa"/>
            </w:tcMar>
            <w:vAlign w:val="bottom"/>
            <w:hideMark/>
          </w:tcPr>
          <w:p w14:paraId="5556FC9F"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0.00</w:t>
            </w:r>
          </w:p>
        </w:tc>
        <w:tc>
          <w:tcPr>
            <w:tcW w:w="487" w:type="pct"/>
            <w:tcBorders>
              <w:top w:val="nil"/>
              <w:left w:val="nil"/>
              <w:bottom w:val="nil"/>
              <w:right w:val="nil"/>
            </w:tcBorders>
            <w:shd w:val="clear" w:color="auto" w:fill="auto"/>
            <w:noWrap/>
            <w:tcMar>
              <w:top w:w="15" w:type="dxa"/>
              <w:left w:w="15" w:type="dxa"/>
              <w:bottom w:w="0" w:type="dxa"/>
              <w:right w:w="15" w:type="dxa"/>
            </w:tcMar>
            <w:vAlign w:val="bottom"/>
            <w:hideMark/>
          </w:tcPr>
          <w:p w14:paraId="0526413F"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75.00</w:t>
            </w:r>
          </w:p>
        </w:tc>
        <w:tc>
          <w:tcPr>
            <w:tcW w:w="1069" w:type="pct"/>
            <w:tcBorders>
              <w:top w:val="nil"/>
              <w:left w:val="nil"/>
              <w:bottom w:val="nil"/>
              <w:right w:val="nil"/>
            </w:tcBorders>
            <w:shd w:val="clear" w:color="auto" w:fill="auto"/>
            <w:noWrap/>
            <w:tcMar>
              <w:top w:w="15" w:type="dxa"/>
              <w:left w:w="15" w:type="dxa"/>
              <w:bottom w:w="0" w:type="dxa"/>
              <w:right w:w="15" w:type="dxa"/>
            </w:tcMar>
            <w:vAlign w:val="bottom"/>
            <w:hideMark/>
          </w:tcPr>
          <w:p w14:paraId="27A1CD6D"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0.00</w:t>
            </w:r>
          </w:p>
        </w:tc>
        <w:tc>
          <w:tcPr>
            <w:tcW w:w="1184" w:type="pct"/>
            <w:tcBorders>
              <w:top w:val="nil"/>
              <w:left w:val="nil"/>
              <w:bottom w:val="nil"/>
              <w:right w:val="nil"/>
            </w:tcBorders>
            <w:shd w:val="clear" w:color="auto" w:fill="auto"/>
            <w:noWrap/>
            <w:tcMar>
              <w:top w:w="15" w:type="dxa"/>
              <w:left w:w="15" w:type="dxa"/>
              <w:bottom w:w="0" w:type="dxa"/>
              <w:right w:w="15" w:type="dxa"/>
            </w:tcMar>
            <w:vAlign w:val="bottom"/>
            <w:hideMark/>
          </w:tcPr>
          <w:p w14:paraId="0552A9A4"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90.91</w:t>
            </w:r>
          </w:p>
        </w:tc>
      </w:tr>
      <w:tr w:rsidR="007D78D8" w:rsidRPr="00BA6959" w14:paraId="085044DD" w14:textId="77777777" w:rsidTr="007D78D8">
        <w:trPr>
          <w:trHeight w:hRule="exact" w:val="369"/>
        </w:trPr>
        <w:tc>
          <w:tcPr>
            <w:tcW w:w="553" w:type="pct"/>
            <w:tcBorders>
              <w:top w:val="nil"/>
              <w:left w:val="nil"/>
              <w:bottom w:val="nil"/>
              <w:right w:val="nil"/>
            </w:tcBorders>
            <w:shd w:val="clear" w:color="auto" w:fill="auto"/>
            <w:noWrap/>
            <w:tcMar>
              <w:top w:w="15" w:type="dxa"/>
              <w:left w:w="15" w:type="dxa"/>
              <w:bottom w:w="0" w:type="dxa"/>
              <w:right w:w="15" w:type="dxa"/>
            </w:tcMar>
            <w:vAlign w:val="bottom"/>
            <w:hideMark/>
          </w:tcPr>
          <w:p w14:paraId="4A0C1B10" w14:textId="77777777" w:rsidR="007D78D8" w:rsidRPr="00BA6959" w:rsidRDefault="007D78D8">
            <w:pPr>
              <w:jc w:val="left"/>
              <w:rPr>
                <w:rFonts w:ascii="Calibri" w:hAnsi="Calibri" w:cs="Calibri"/>
                <w:color w:val="000000"/>
                <w:sz w:val="20"/>
                <w:lang w:val="en-GB"/>
              </w:rPr>
            </w:pPr>
            <w:r w:rsidRPr="00BA6959">
              <w:rPr>
                <w:rFonts w:ascii="Calibri" w:hAnsi="Calibri" w:cs="Calibri"/>
                <w:color w:val="000000"/>
                <w:sz w:val="20"/>
                <w:lang w:val="en-GB"/>
              </w:rPr>
              <w:t>GR Alert 41</w:t>
            </w:r>
          </w:p>
        </w:tc>
        <w:tc>
          <w:tcPr>
            <w:tcW w:w="380" w:type="pct"/>
            <w:tcBorders>
              <w:top w:val="nil"/>
              <w:left w:val="nil"/>
              <w:bottom w:val="nil"/>
              <w:right w:val="nil"/>
            </w:tcBorders>
            <w:shd w:val="clear" w:color="auto" w:fill="auto"/>
            <w:noWrap/>
            <w:tcMar>
              <w:top w:w="15" w:type="dxa"/>
              <w:left w:w="15" w:type="dxa"/>
              <w:bottom w:w="0" w:type="dxa"/>
              <w:right w:w="15" w:type="dxa"/>
            </w:tcMar>
            <w:vAlign w:val="bottom"/>
            <w:hideMark/>
          </w:tcPr>
          <w:p w14:paraId="4D770908"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42</w:t>
            </w:r>
          </w:p>
        </w:tc>
        <w:tc>
          <w:tcPr>
            <w:tcW w:w="620" w:type="pct"/>
            <w:tcBorders>
              <w:top w:val="nil"/>
              <w:left w:val="nil"/>
              <w:bottom w:val="nil"/>
              <w:right w:val="nil"/>
            </w:tcBorders>
            <w:shd w:val="clear" w:color="auto" w:fill="auto"/>
            <w:noWrap/>
            <w:tcMar>
              <w:top w:w="15" w:type="dxa"/>
              <w:left w:w="15" w:type="dxa"/>
              <w:bottom w:w="0" w:type="dxa"/>
              <w:right w:w="15" w:type="dxa"/>
            </w:tcMar>
            <w:vAlign w:val="bottom"/>
            <w:hideMark/>
          </w:tcPr>
          <w:p w14:paraId="6AA25809"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0.00</w:t>
            </w:r>
          </w:p>
        </w:tc>
        <w:tc>
          <w:tcPr>
            <w:tcW w:w="707" w:type="pct"/>
            <w:tcBorders>
              <w:top w:val="nil"/>
              <w:left w:val="nil"/>
              <w:bottom w:val="nil"/>
              <w:right w:val="nil"/>
            </w:tcBorders>
            <w:shd w:val="clear" w:color="auto" w:fill="auto"/>
            <w:noWrap/>
            <w:tcMar>
              <w:top w:w="15" w:type="dxa"/>
              <w:left w:w="15" w:type="dxa"/>
              <w:bottom w:w="0" w:type="dxa"/>
              <w:right w:w="15" w:type="dxa"/>
            </w:tcMar>
            <w:vAlign w:val="bottom"/>
            <w:hideMark/>
          </w:tcPr>
          <w:p w14:paraId="71185331"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21.43</w:t>
            </w:r>
          </w:p>
        </w:tc>
        <w:tc>
          <w:tcPr>
            <w:tcW w:w="487" w:type="pct"/>
            <w:tcBorders>
              <w:top w:val="nil"/>
              <w:left w:val="nil"/>
              <w:bottom w:val="nil"/>
              <w:right w:val="nil"/>
            </w:tcBorders>
            <w:shd w:val="clear" w:color="auto" w:fill="auto"/>
            <w:noWrap/>
            <w:tcMar>
              <w:top w:w="15" w:type="dxa"/>
              <w:left w:w="15" w:type="dxa"/>
              <w:bottom w:w="0" w:type="dxa"/>
              <w:right w:w="15" w:type="dxa"/>
            </w:tcMar>
            <w:vAlign w:val="bottom"/>
            <w:hideMark/>
          </w:tcPr>
          <w:p w14:paraId="4D3C7DA7"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80.00</w:t>
            </w:r>
          </w:p>
        </w:tc>
        <w:tc>
          <w:tcPr>
            <w:tcW w:w="1069" w:type="pct"/>
            <w:tcBorders>
              <w:top w:val="nil"/>
              <w:left w:val="nil"/>
              <w:bottom w:val="nil"/>
              <w:right w:val="nil"/>
            </w:tcBorders>
            <w:shd w:val="clear" w:color="auto" w:fill="auto"/>
            <w:noWrap/>
            <w:tcMar>
              <w:top w:w="15" w:type="dxa"/>
              <w:left w:w="15" w:type="dxa"/>
              <w:bottom w:w="0" w:type="dxa"/>
              <w:right w:w="15" w:type="dxa"/>
            </w:tcMar>
            <w:vAlign w:val="bottom"/>
            <w:hideMark/>
          </w:tcPr>
          <w:p w14:paraId="24AD5D71"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33.33</w:t>
            </w:r>
          </w:p>
        </w:tc>
        <w:tc>
          <w:tcPr>
            <w:tcW w:w="1184" w:type="pct"/>
            <w:tcBorders>
              <w:top w:val="nil"/>
              <w:left w:val="nil"/>
              <w:bottom w:val="nil"/>
              <w:right w:val="nil"/>
            </w:tcBorders>
            <w:shd w:val="clear" w:color="auto" w:fill="auto"/>
            <w:noWrap/>
            <w:tcMar>
              <w:top w:w="15" w:type="dxa"/>
              <w:left w:w="15" w:type="dxa"/>
              <w:bottom w:w="0" w:type="dxa"/>
              <w:right w:w="15" w:type="dxa"/>
            </w:tcMar>
            <w:vAlign w:val="bottom"/>
            <w:hideMark/>
          </w:tcPr>
          <w:p w14:paraId="29E66F80" w14:textId="77777777" w:rsidR="007D78D8" w:rsidRPr="00BA6959" w:rsidRDefault="007D78D8">
            <w:pPr>
              <w:jc w:val="center"/>
              <w:rPr>
                <w:rFonts w:ascii="Calibri" w:hAnsi="Calibri" w:cs="Calibri"/>
                <w:color w:val="000000"/>
                <w:sz w:val="20"/>
                <w:lang w:val="en-GB"/>
              </w:rPr>
            </w:pPr>
            <w:r w:rsidRPr="00BA6959">
              <w:rPr>
                <w:rFonts w:ascii="Calibri" w:hAnsi="Calibri" w:cs="Calibri"/>
                <w:color w:val="000000"/>
                <w:sz w:val="20"/>
                <w:lang w:val="en-GB"/>
              </w:rPr>
              <w:t>57.14</w:t>
            </w:r>
          </w:p>
        </w:tc>
      </w:tr>
    </w:tbl>
    <w:p w14:paraId="0A6E9114" w14:textId="77777777" w:rsidR="00F404B0" w:rsidRPr="00BA6959" w:rsidRDefault="007D78D8" w:rsidP="007D78D8">
      <w:pPr>
        <w:spacing w:after="0"/>
        <w:jc w:val="left"/>
        <w:rPr>
          <w:lang w:val="en-GB" w:eastAsia="en-GB"/>
        </w:rPr>
      </w:pPr>
      <w:r w:rsidRPr="00BA6959">
        <w:rPr>
          <w:lang w:val="en-GB" w:eastAsia="en-GB"/>
        </w:rPr>
        <w:t xml:space="preserve"> </w:t>
      </w:r>
    </w:p>
    <w:p w14:paraId="4EC067FC" w14:textId="0B11E816" w:rsidR="00F404B0" w:rsidRPr="00BA6959" w:rsidRDefault="00F404B0" w:rsidP="00F404B0">
      <w:pPr>
        <w:pStyle w:val="BHBriefs"/>
        <w:spacing w:after="240"/>
        <w:jc w:val="left"/>
        <w:rPr>
          <w:lang w:val="en-GB"/>
        </w:rPr>
      </w:pPr>
      <w:r w:rsidRPr="00BA6959">
        <w:rPr>
          <w:b/>
          <w:lang w:val="en-GB"/>
        </w:rPr>
        <w:lastRenderedPageBreak/>
        <w:t xml:space="preserve">Table 4. </w:t>
      </w:r>
      <w:r w:rsidRPr="00BA6959">
        <w:rPr>
          <w:lang w:val="en-GB"/>
        </w:rPr>
        <w:t>Sensitivities for each GR ToxCast assay for chemicals in specific chemical categories</w:t>
      </w:r>
      <w:r w:rsidR="007F5A7C">
        <w:rPr>
          <w:lang w:val="en-GB"/>
        </w:rPr>
        <w:t>, and all GR binders shown in the first row</w:t>
      </w:r>
      <w:r w:rsidRPr="00BA6959">
        <w:rPr>
          <w:lang w:val="en-GB"/>
        </w:rPr>
        <w:t xml:space="preserve">. These categories are defined by individual structural alerts. N/A is used when none of the chemicals in the category have been tested in that assay. GR=glucocorticoid receptor. </w:t>
      </w:r>
    </w:p>
    <w:p w14:paraId="4661FF78" w14:textId="77777777" w:rsidR="007D78D8" w:rsidRPr="00BA6959" w:rsidRDefault="007D78D8" w:rsidP="007D78D8">
      <w:pPr>
        <w:spacing w:after="0"/>
        <w:jc w:val="left"/>
        <w:rPr>
          <w:lang w:val="en-GB" w:eastAsia="en-GB"/>
        </w:rPr>
        <w:sectPr w:rsidR="007D78D8" w:rsidRPr="00BA6959" w:rsidSect="00C1514C">
          <w:pgSz w:w="15840" w:h="12240" w:orient="landscape"/>
          <w:pgMar w:top="1440" w:right="1440" w:bottom="1440" w:left="1440" w:header="0" w:footer="0" w:gutter="0"/>
          <w:cols w:space="475"/>
          <w:docGrid w:linePitch="326"/>
        </w:sectPr>
      </w:pPr>
      <w:r w:rsidRPr="00BA6959">
        <w:rPr>
          <w:lang w:val="en-GB" w:eastAsia="en-GB"/>
        </w:rPr>
        <w:br w:type="page"/>
      </w:r>
    </w:p>
    <w:p w14:paraId="38927F07" w14:textId="77777777" w:rsidR="007E26AF" w:rsidRPr="00BA6959" w:rsidRDefault="007E26AF" w:rsidP="007E26AF">
      <w:pPr>
        <w:pStyle w:val="TFReferencesSection"/>
        <w:spacing w:after="240"/>
        <w:ind w:firstLine="0"/>
        <w:jc w:val="left"/>
        <w:rPr>
          <w:lang w:val="en-GB"/>
        </w:rPr>
      </w:pPr>
    </w:p>
    <w:sectPr w:rsidR="007E26AF" w:rsidRPr="00BA6959" w:rsidSect="00C1514C">
      <w:pgSz w:w="15840" w:h="12240" w:orient="landscape"/>
      <w:pgMar w:top="1440" w:right="1440" w:bottom="1440" w:left="1440" w:header="0" w:footer="0" w:gutter="0"/>
      <w:cols w:space="475"/>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7999D3C" w14:textId="77777777" w:rsidR="002F366D" w:rsidRDefault="002F366D">
      <w:r>
        <w:separator/>
      </w:r>
    </w:p>
  </w:endnote>
  <w:endnote w:type="continuationSeparator" w:id="0">
    <w:p w14:paraId="52C8C74B" w14:textId="77777777" w:rsidR="002F366D" w:rsidRDefault="002F36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w:altName w:val="Times Roman"/>
    <w:panose1 w:val="02020603050405020304"/>
    <w:charset w:val="00"/>
    <w:family w:val="roman"/>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ew York">
    <w:altName w:val="Times New Roman"/>
    <w:panose1 w:val="02040503060506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no Pro">
    <w:altName w:val="Times New Roman"/>
    <w:panose1 w:val="00000000000000000000"/>
    <w:charset w:val="00"/>
    <w:family w:val="roman"/>
    <w:notTrueType/>
    <w:pitch w:val="variable"/>
    <w:sig w:usb0="00000001" w:usb1="00000001"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FCE0A68" w14:textId="77777777" w:rsidR="00ED7DA7" w:rsidRDefault="00ED7DA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19</w:t>
    </w:r>
    <w:r>
      <w:rPr>
        <w:rStyle w:val="PageNumber"/>
      </w:rPr>
      <w:fldChar w:fldCharType="end"/>
    </w:r>
  </w:p>
  <w:p w14:paraId="2E7223D4" w14:textId="77777777" w:rsidR="00ED7DA7" w:rsidRDefault="00ED7DA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1DE4924" w14:textId="33E630BC" w:rsidR="00ED7DA7" w:rsidRDefault="00ED7DA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6</w:t>
    </w:r>
    <w:r>
      <w:rPr>
        <w:rStyle w:val="PageNumber"/>
      </w:rPr>
      <w:fldChar w:fldCharType="end"/>
    </w:r>
  </w:p>
  <w:p w14:paraId="77A8ECFA" w14:textId="77777777" w:rsidR="00ED7DA7" w:rsidRDefault="00ED7DA7">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40D6B6A" w14:textId="77777777" w:rsidR="00ED7DA7" w:rsidRDefault="00ED7DA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01DEA012" w14:textId="77777777" w:rsidR="00ED7DA7" w:rsidRDefault="00ED7DA7">
    <w:pPr>
      <w:pStyle w:val="Footer"/>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E0849DD" w14:textId="252F4EA4" w:rsidR="00ED7DA7" w:rsidRDefault="00ED7DA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39</w:t>
    </w:r>
    <w:r>
      <w:rPr>
        <w:rStyle w:val="PageNumber"/>
      </w:rPr>
      <w:fldChar w:fldCharType="end"/>
    </w:r>
  </w:p>
  <w:p w14:paraId="4F06A01D" w14:textId="77777777" w:rsidR="00ED7DA7" w:rsidRDefault="00ED7DA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507075E" w14:textId="77777777" w:rsidR="002F366D" w:rsidRDefault="002F366D">
      <w:r>
        <w:separator/>
      </w:r>
    </w:p>
  </w:footnote>
  <w:footnote w:type="continuationSeparator" w:id="0">
    <w:p w14:paraId="6E67561D" w14:textId="77777777" w:rsidR="002F366D" w:rsidRDefault="002F366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4647C33"/>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B0D4588"/>
    <w:multiLevelType w:val="hybridMultilevel"/>
    <w:tmpl w:val="56DCB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E01202A"/>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EC86632"/>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26D3F9A"/>
    <w:multiLevelType w:val="singleLevel"/>
    <w:tmpl w:val="8BC469AA"/>
    <w:lvl w:ilvl="0">
      <w:start w:val="1"/>
      <w:numFmt w:val="lowerLetter"/>
      <w:lvlText w:val="%1."/>
      <w:lvlJc w:val="left"/>
      <w:pPr>
        <w:tabs>
          <w:tab w:val="num" w:pos="720"/>
        </w:tabs>
        <w:ind w:left="720" w:hanging="360"/>
      </w:pPr>
      <w:rPr>
        <w:rFonts w:hint="default"/>
      </w:rPr>
    </w:lvl>
  </w:abstractNum>
  <w:abstractNum w:abstractNumId="5" w15:restartNumberingAfterBreak="0">
    <w:nsid w:val="33FE5748"/>
    <w:multiLevelType w:val="hybridMultilevel"/>
    <w:tmpl w:val="167294B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4FD0C72"/>
    <w:multiLevelType w:val="singleLevel"/>
    <w:tmpl w:val="0409000F"/>
    <w:lvl w:ilvl="0">
      <w:start w:val="1"/>
      <w:numFmt w:val="decimal"/>
      <w:lvlText w:val="%1."/>
      <w:lvlJc w:val="left"/>
      <w:pPr>
        <w:tabs>
          <w:tab w:val="num" w:pos="360"/>
        </w:tabs>
        <w:ind w:left="360" w:hanging="360"/>
      </w:pPr>
      <w:rPr>
        <w:rFonts w:hint="default"/>
      </w:rPr>
    </w:lvl>
  </w:abstractNum>
  <w:abstractNum w:abstractNumId="7" w15:restartNumberingAfterBreak="0">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8" w15:restartNumberingAfterBreak="0">
    <w:nsid w:val="384622AB"/>
    <w:multiLevelType w:val="singleLevel"/>
    <w:tmpl w:val="6FF0DD10"/>
    <w:lvl w:ilvl="0">
      <w:start w:val="1"/>
      <w:numFmt w:val="lowerLetter"/>
      <w:lvlText w:val="%1."/>
      <w:lvlJc w:val="left"/>
      <w:pPr>
        <w:tabs>
          <w:tab w:val="num" w:pos="922"/>
        </w:tabs>
        <w:ind w:left="922" w:hanging="360"/>
      </w:pPr>
      <w:rPr>
        <w:rFonts w:hint="default"/>
      </w:rPr>
    </w:lvl>
  </w:abstractNum>
  <w:abstractNum w:abstractNumId="9" w15:restartNumberingAfterBreak="0">
    <w:nsid w:val="3CDC1455"/>
    <w:multiLevelType w:val="hybridMultilevel"/>
    <w:tmpl w:val="82E071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11" w15:restartNumberingAfterBreak="0">
    <w:nsid w:val="41DB2E3C"/>
    <w:multiLevelType w:val="singleLevel"/>
    <w:tmpl w:val="E5E28CB0"/>
    <w:lvl w:ilvl="0">
      <w:start w:val="1"/>
      <w:numFmt w:val="lowerLetter"/>
      <w:lvlText w:val="%1."/>
      <w:lvlJc w:val="left"/>
      <w:pPr>
        <w:tabs>
          <w:tab w:val="num" w:pos="1080"/>
        </w:tabs>
        <w:ind w:left="1080" w:hanging="360"/>
      </w:pPr>
      <w:rPr>
        <w:rFonts w:hint="default"/>
      </w:rPr>
    </w:lvl>
  </w:abstractNum>
  <w:abstractNum w:abstractNumId="12" w15:restartNumberingAfterBreak="0">
    <w:nsid w:val="58E336BC"/>
    <w:multiLevelType w:val="hybridMultilevel"/>
    <w:tmpl w:val="30B4E5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7"/>
  </w:num>
  <w:num w:numId="3">
    <w:abstractNumId w:val="11"/>
  </w:num>
  <w:num w:numId="4">
    <w:abstractNumId w:val="8"/>
  </w:num>
  <w:num w:numId="5">
    <w:abstractNumId w:val="6"/>
  </w:num>
  <w:num w:numId="6">
    <w:abstractNumId w:val="4"/>
  </w:num>
  <w:num w:numId="7">
    <w:abstractNumId w:val="3"/>
  </w:num>
  <w:num w:numId="8">
    <w:abstractNumId w:val="1"/>
  </w:num>
  <w:num w:numId="9">
    <w:abstractNumId w:val="0"/>
  </w:num>
  <w:num w:numId="10">
    <w:abstractNumId w:val="2"/>
  </w:num>
  <w:num w:numId="11">
    <w:abstractNumId w:val="9"/>
  </w:num>
  <w:num w:numId="12">
    <w:abstractNumId w:val="12"/>
  </w:num>
  <w:num w:numId="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MTc2NzS2NDY2tDAxtTRS0lEKTi0uzszPAykwsqgFABpPV90tAAAA"/>
  </w:docVars>
  <w:rsids>
    <w:rsidRoot w:val="00C51CE5"/>
    <w:rsid w:val="000002F2"/>
    <w:rsid w:val="000128E0"/>
    <w:rsid w:val="00013936"/>
    <w:rsid w:val="00021ABE"/>
    <w:rsid w:val="0002718E"/>
    <w:rsid w:val="00036F72"/>
    <w:rsid w:val="00037405"/>
    <w:rsid w:val="0005070D"/>
    <w:rsid w:val="00051647"/>
    <w:rsid w:val="0005660F"/>
    <w:rsid w:val="00057C32"/>
    <w:rsid w:val="000614BD"/>
    <w:rsid w:val="000702AD"/>
    <w:rsid w:val="00070FD8"/>
    <w:rsid w:val="000800A0"/>
    <w:rsid w:val="00082FCD"/>
    <w:rsid w:val="00083024"/>
    <w:rsid w:val="000934A3"/>
    <w:rsid w:val="0009387D"/>
    <w:rsid w:val="000B2EEB"/>
    <w:rsid w:val="000B4176"/>
    <w:rsid w:val="000B5610"/>
    <w:rsid w:val="000C05CC"/>
    <w:rsid w:val="000D3C27"/>
    <w:rsid w:val="000D64BF"/>
    <w:rsid w:val="000D6B97"/>
    <w:rsid w:val="000D6F63"/>
    <w:rsid w:val="000D7688"/>
    <w:rsid w:val="000E15BB"/>
    <w:rsid w:val="00114682"/>
    <w:rsid w:val="0012089A"/>
    <w:rsid w:val="00127882"/>
    <w:rsid w:val="00130205"/>
    <w:rsid w:val="00136CC4"/>
    <w:rsid w:val="001445AC"/>
    <w:rsid w:val="00152FD8"/>
    <w:rsid w:val="001607FA"/>
    <w:rsid w:val="0016467D"/>
    <w:rsid w:val="00175640"/>
    <w:rsid w:val="00181F62"/>
    <w:rsid w:val="00195ACA"/>
    <w:rsid w:val="001969B7"/>
    <w:rsid w:val="001A1C34"/>
    <w:rsid w:val="001A7A90"/>
    <w:rsid w:val="001B038B"/>
    <w:rsid w:val="001B4125"/>
    <w:rsid w:val="001C4BA3"/>
    <w:rsid w:val="001C5DE7"/>
    <w:rsid w:val="001C6B70"/>
    <w:rsid w:val="001D530B"/>
    <w:rsid w:val="001D5FA7"/>
    <w:rsid w:val="001E2823"/>
    <w:rsid w:val="001E4285"/>
    <w:rsid w:val="001E5EF7"/>
    <w:rsid w:val="001F035C"/>
    <w:rsid w:val="001F2785"/>
    <w:rsid w:val="001F3890"/>
    <w:rsid w:val="001F3927"/>
    <w:rsid w:val="002015A5"/>
    <w:rsid w:val="0020359D"/>
    <w:rsid w:val="00205023"/>
    <w:rsid w:val="00212B1D"/>
    <w:rsid w:val="002166B6"/>
    <w:rsid w:val="00216A6C"/>
    <w:rsid w:val="002335D6"/>
    <w:rsid w:val="00236C4E"/>
    <w:rsid w:val="00237C00"/>
    <w:rsid w:val="00240683"/>
    <w:rsid w:val="00257B7F"/>
    <w:rsid w:val="00271A02"/>
    <w:rsid w:val="00273C83"/>
    <w:rsid w:val="002779B7"/>
    <w:rsid w:val="00280AAD"/>
    <w:rsid w:val="00281DBC"/>
    <w:rsid w:val="002849C6"/>
    <w:rsid w:val="0028535C"/>
    <w:rsid w:val="0029317A"/>
    <w:rsid w:val="0029641A"/>
    <w:rsid w:val="002A1991"/>
    <w:rsid w:val="002A3539"/>
    <w:rsid w:val="002A7493"/>
    <w:rsid w:val="002A7928"/>
    <w:rsid w:val="002B0157"/>
    <w:rsid w:val="002B7268"/>
    <w:rsid w:val="002C09B8"/>
    <w:rsid w:val="002C3431"/>
    <w:rsid w:val="002D2747"/>
    <w:rsid w:val="002D574E"/>
    <w:rsid w:val="002E2434"/>
    <w:rsid w:val="002E3750"/>
    <w:rsid w:val="002E692D"/>
    <w:rsid w:val="002F0FBE"/>
    <w:rsid w:val="002F366D"/>
    <w:rsid w:val="002F5C5D"/>
    <w:rsid w:val="0031373B"/>
    <w:rsid w:val="00324128"/>
    <w:rsid w:val="003328D2"/>
    <w:rsid w:val="00347EA6"/>
    <w:rsid w:val="003528A6"/>
    <w:rsid w:val="00361550"/>
    <w:rsid w:val="00361E35"/>
    <w:rsid w:val="00362D42"/>
    <w:rsid w:val="00362FE1"/>
    <w:rsid w:val="003664E9"/>
    <w:rsid w:val="003679A1"/>
    <w:rsid w:val="00376E47"/>
    <w:rsid w:val="003778B9"/>
    <w:rsid w:val="00380D4C"/>
    <w:rsid w:val="00395F66"/>
    <w:rsid w:val="003A42F0"/>
    <w:rsid w:val="003A6DEA"/>
    <w:rsid w:val="003A6E8F"/>
    <w:rsid w:val="003B1BE9"/>
    <w:rsid w:val="003B4AF3"/>
    <w:rsid w:val="003B7E40"/>
    <w:rsid w:val="003C597E"/>
    <w:rsid w:val="003D3072"/>
    <w:rsid w:val="003D45EE"/>
    <w:rsid w:val="003D52CC"/>
    <w:rsid w:val="003E1F76"/>
    <w:rsid w:val="003E39A6"/>
    <w:rsid w:val="003E4344"/>
    <w:rsid w:val="003F6C88"/>
    <w:rsid w:val="004101F0"/>
    <w:rsid w:val="00412608"/>
    <w:rsid w:val="00416B47"/>
    <w:rsid w:val="004342BC"/>
    <w:rsid w:val="00440752"/>
    <w:rsid w:val="00444E6B"/>
    <w:rsid w:val="004616D3"/>
    <w:rsid w:val="00475FD2"/>
    <w:rsid w:val="00476EF3"/>
    <w:rsid w:val="0048321B"/>
    <w:rsid w:val="00493FC5"/>
    <w:rsid w:val="00497227"/>
    <w:rsid w:val="004A7583"/>
    <w:rsid w:val="004C0FA3"/>
    <w:rsid w:val="004D253C"/>
    <w:rsid w:val="004D7862"/>
    <w:rsid w:val="004E06A6"/>
    <w:rsid w:val="004E283C"/>
    <w:rsid w:val="004E7185"/>
    <w:rsid w:val="005021D1"/>
    <w:rsid w:val="00514895"/>
    <w:rsid w:val="00525DC6"/>
    <w:rsid w:val="00531F4D"/>
    <w:rsid w:val="005344AB"/>
    <w:rsid w:val="0053684A"/>
    <w:rsid w:val="00536DF1"/>
    <w:rsid w:val="005553EF"/>
    <w:rsid w:val="00567E81"/>
    <w:rsid w:val="00581CDC"/>
    <w:rsid w:val="00591A57"/>
    <w:rsid w:val="00592F21"/>
    <w:rsid w:val="0059746F"/>
    <w:rsid w:val="0059750B"/>
    <w:rsid w:val="00597A58"/>
    <w:rsid w:val="00597EB8"/>
    <w:rsid w:val="005A2C30"/>
    <w:rsid w:val="005A7386"/>
    <w:rsid w:val="005D0C10"/>
    <w:rsid w:val="005D0DF8"/>
    <w:rsid w:val="005D1082"/>
    <w:rsid w:val="005D65DC"/>
    <w:rsid w:val="005E3300"/>
    <w:rsid w:val="005F11A7"/>
    <w:rsid w:val="005F41D6"/>
    <w:rsid w:val="005F5FD8"/>
    <w:rsid w:val="00601C9E"/>
    <w:rsid w:val="006057FD"/>
    <w:rsid w:val="00614362"/>
    <w:rsid w:val="00616483"/>
    <w:rsid w:val="0061768A"/>
    <w:rsid w:val="00626077"/>
    <w:rsid w:val="0062698D"/>
    <w:rsid w:val="00631DAA"/>
    <w:rsid w:val="00637513"/>
    <w:rsid w:val="00641D08"/>
    <w:rsid w:val="006455A5"/>
    <w:rsid w:val="00660CAE"/>
    <w:rsid w:val="00667AB8"/>
    <w:rsid w:val="00675D2D"/>
    <w:rsid w:val="00677E6A"/>
    <w:rsid w:val="00683131"/>
    <w:rsid w:val="0069175A"/>
    <w:rsid w:val="00695800"/>
    <w:rsid w:val="006A1716"/>
    <w:rsid w:val="006A3E34"/>
    <w:rsid w:val="006B2581"/>
    <w:rsid w:val="006C0EC3"/>
    <w:rsid w:val="006C6948"/>
    <w:rsid w:val="006E48D9"/>
    <w:rsid w:val="006F130A"/>
    <w:rsid w:val="006F23FC"/>
    <w:rsid w:val="007000D9"/>
    <w:rsid w:val="00702203"/>
    <w:rsid w:val="00706641"/>
    <w:rsid w:val="00744F7E"/>
    <w:rsid w:val="0074680E"/>
    <w:rsid w:val="00747701"/>
    <w:rsid w:val="00753BD9"/>
    <w:rsid w:val="007629D3"/>
    <w:rsid w:val="00763402"/>
    <w:rsid w:val="00767945"/>
    <w:rsid w:val="00775164"/>
    <w:rsid w:val="00780EAE"/>
    <w:rsid w:val="007865F4"/>
    <w:rsid w:val="00794616"/>
    <w:rsid w:val="007A11AD"/>
    <w:rsid w:val="007A7135"/>
    <w:rsid w:val="007B230A"/>
    <w:rsid w:val="007B29CC"/>
    <w:rsid w:val="007B797E"/>
    <w:rsid w:val="007C2354"/>
    <w:rsid w:val="007C3754"/>
    <w:rsid w:val="007C396F"/>
    <w:rsid w:val="007D1227"/>
    <w:rsid w:val="007D78D8"/>
    <w:rsid w:val="007E26AF"/>
    <w:rsid w:val="007E2AAC"/>
    <w:rsid w:val="007E4742"/>
    <w:rsid w:val="007F5A7C"/>
    <w:rsid w:val="00803275"/>
    <w:rsid w:val="008047DE"/>
    <w:rsid w:val="00812AAB"/>
    <w:rsid w:val="0082340F"/>
    <w:rsid w:val="0083335C"/>
    <w:rsid w:val="00837290"/>
    <w:rsid w:val="00843615"/>
    <w:rsid w:val="008466BC"/>
    <w:rsid w:val="00847E5F"/>
    <w:rsid w:val="00853585"/>
    <w:rsid w:val="008606CC"/>
    <w:rsid w:val="008633FA"/>
    <w:rsid w:val="0086405C"/>
    <w:rsid w:val="008655C0"/>
    <w:rsid w:val="00870F2D"/>
    <w:rsid w:val="00872C3E"/>
    <w:rsid w:val="008740E6"/>
    <w:rsid w:val="008805E1"/>
    <w:rsid w:val="008866C3"/>
    <w:rsid w:val="0088782A"/>
    <w:rsid w:val="00895A64"/>
    <w:rsid w:val="00896210"/>
    <w:rsid w:val="00896677"/>
    <w:rsid w:val="008A61CB"/>
    <w:rsid w:val="008B46EA"/>
    <w:rsid w:val="008B4BF4"/>
    <w:rsid w:val="008C0571"/>
    <w:rsid w:val="008C140D"/>
    <w:rsid w:val="008C1FB4"/>
    <w:rsid w:val="008C2CA8"/>
    <w:rsid w:val="008C54C3"/>
    <w:rsid w:val="008C7AE4"/>
    <w:rsid w:val="008D30F9"/>
    <w:rsid w:val="008D53B2"/>
    <w:rsid w:val="008D5D24"/>
    <w:rsid w:val="008E3863"/>
    <w:rsid w:val="008E6CB3"/>
    <w:rsid w:val="00903FCE"/>
    <w:rsid w:val="0090478A"/>
    <w:rsid w:val="0090633A"/>
    <w:rsid w:val="00912169"/>
    <w:rsid w:val="009137E7"/>
    <w:rsid w:val="0092037A"/>
    <w:rsid w:val="00920B43"/>
    <w:rsid w:val="009246AD"/>
    <w:rsid w:val="0092571A"/>
    <w:rsid w:val="00940D36"/>
    <w:rsid w:val="00942C6A"/>
    <w:rsid w:val="00946A28"/>
    <w:rsid w:val="0095516D"/>
    <w:rsid w:val="00955C1F"/>
    <w:rsid w:val="009654CC"/>
    <w:rsid w:val="00973E58"/>
    <w:rsid w:val="009A71CD"/>
    <w:rsid w:val="009B3A0C"/>
    <w:rsid w:val="009C16F9"/>
    <w:rsid w:val="009C57A9"/>
    <w:rsid w:val="009D26C8"/>
    <w:rsid w:val="009D4BC5"/>
    <w:rsid w:val="009D6399"/>
    <w:rsid w:val="009E052D"/>
    <w:rsid w:val="009F2E7E"/>
    <w:rsid w:val="009F4629"/>
    <w:rsid w:val="009F6AB6"/>
    <w:rsid w:val="00A01A1D"/>
    <w:rsid w:val="00A02D62"/>
    <w:rsid w:val="00A20EB5"/>
    <w:rsid w:val="00A56033"/>
    <w:rsid w:val="00A65179"/>
    <w:rsid w:val="00A764EF"/>
    <w:rsid w:val="00A80789"/>
    <w:rsid w:val="00A822BF"/>
    <w:rsid w:val="00A8278F"/>
    <w:rsid w:val="00A9077F"/>
    <w:rsid w:val="00AA7B26"/>
    <w:rsid w:val="00AA7C85"/>
    <w:rsid w:val="00AB34C5"/>
    <w:rsid w:val="00AB5CD8"/>
    <w:rsid w:val="00AC3102"/>
    <w:rsid w:val="00AC7FB9"/>
    <w:rsid w:val="00AD31B1"/>
    <w:rsid w:val="00AE4066"/>
    <w:rsid w:val="00AE4544"/>
    <w:rsid w:val="00AF47EC"/>
    <w:rsid w:val="00AF4F6D"/>
    <w:rsid w:val="00AF7F6A"/>
    <w:rsid w:val="00B05A88"/>
    <w:rsid w:val="00B136ED"/>
    <w:rsid w:val="00B155B2"/>
    <w:rsid w:val="00B1670B"/>
    <w:rsid w:val="00B16848"/>
    <w:rsid w:val="00B209C0"/>
    <w:rsid w:val="00B20D33"/>
    <w:rsid w:val="00B303FD"/>
    <w:rsid w:val="00B40722"/>
    <w:rsid w:val="00B44641"/>
    <w:rsid w:val="00B474B2"/>
    <w:rsid w:val="00B562BE"/>
    <w:rsid w:val="00B574EE"/>
    <w:rsid w:val="00B60A33"/>
    <w:rsid w:val="00B61E81"/>
    <w:rsid w:val="00B67DE8"/>
    <w:rsid w:val="00B75318"/>
    <w:rsid w:val="00B7618D"/>
    <w:rsid w:val="00B82693"/>
    <w:rsid w:val="00B8601C"/>
    <w:rsid w:val="00B8670B"/>
    <w:rsid w:val="00B9070B"/>
    <w:rsid w:val="00BA4F27"/>
    <w:rsid w:val="00BA6959"/>
    <w:rsid w:val="00BB56C3"/>
    <w:rsid w:val="00BC78CB"/>
    <w:rsid w:val="00BD2C44"/>
    <w:rsid w:val="00BE4562"/>
    <w:rsid w:val="00BE61E4"/>
    <w:rsid w:val="00C03FFE"/>
    <w:rsid w:val="00C10EE0"/>
    <w:rsid w:val="00C12556"/>
    <w:rsid w:val="00C150C3"/>
    <w:rsid w:val="00C1514C"/>
    <w:rsid w:val="00C239A6"/>
    <w:rsid w:val="00C249B5"/>
    <w:rsid w:val="00C311CA"/>
    <w:rsid w:val="00C47AC8"/>
    <w:rsid w:val="00C51CE5"/>
    <w:rsid w:val="00C6170A"/>
    <w:rsid w:val="00C63E1E"/>
    <w:rsid w:val="00C72EA5"/>
    <w:rsid w:val="00C95CF0"/>
    <w:rsid w:val="00CA230F"/>
    <w:rsid w:val="00CA399F"/>
    <w:rsid w:val="00CB06C0"/>
    <w:rsid w:val="00CD597C"/>
    <w:rsid w:val="00CD7DE7"/>
    <w:rsid w:val="00CE1B0F"/>
    <w:rsid w:val="00CE2E09"/>
    <w:rsid w:val="00CE6344"/>
    <w:rsid w:val="00CF4811"/>
    <w:rsid w:val="00D04EF6"/>
    <w:rsid w:val="00D1679B"/>
    <w:rsid w:val="00D2556B"/>
    <w:rsid w:val="00D2718F"/>
    <w:rsid w:val="00D30CC3"/>
    <w:rsid w:val="00D318E5"/>
    <w:rsid w:val="00D32E24"/>
    <w:rsid w:val="00D34838"/>
    <w:rsid w:val="00D461B4"/>
    <w:rsid w:val="00D7244D"/>
    <w:rsid w:val="00D84510"/>
    <w:rsid w:val="00D85090"/>
    <w:rsid w:val="00D97D03"/>
    <w:rsid w:val="00DA4267"/>
    <w:rsid w:val="00DB48DB"/>
    <w:rsid w:val="00DD6DBB"/>
    <w:rsid w:val="00DE7968"/>
    <w:rsid w:val="00DF0C9C"/>
    <w:rsid w:val="00DF5527"/>
    <w:rsid w:val="00DF656F"/>
    <w:rsid w:val="00E074F2"/>
    <w:rsid w:val="00E10A89"/>
    <w:rsid w:val="00E12510"/>
    <w:rsid w:val="00E15B03"/>
    <w:rsid w:val="00E17FBA"/>
    <w:rsid w:val="00E247CD"/>
    <w:rsid w:val="00E3173B"/>
    <w:rsid w:val="00E44F6F"/>
    <w:rsid w:val="00E45E73"/>
    <w:rsid w:val="00E505C7"/>
    <w:rsid w:val="00E65A1F"/>
    <w:rsid w:val="00E71B07"/>
    <w:rsid w:val="00E846BE"/>
    <w:rsid w:val="00E91482"/>
    <w:rsid w:val="00E96302"/>
    <w:rsid w:val="00E96628"/>
    <w:rsid w:val="00E976E0"/>
    <w:rsid w:val="00EA14C7"/>
    <w:rsid w:val="00EA6A9E"/>
    <w:rsid w:val="00EB4523"/>
    <w:rsid w:val="00EB635E"/>
    <w:rsid w:val="00EC1FFD"/>
    <w:rsid w:val="00ED7DA7"/>
    <w:rsid w:val="00EE3FDE"/>
    <w:rsid w:val="00EF599E"/>
    <w:rsid w:val="00F07B23"/>
    <w:rsid w:val="00F134F5"/>
    <w:rsid w:val="00F15855"/>
    <w:rsid w:val="00F2083F"/>
    <w:rsid w:val="00F23E46"/>
    <w:rsid w:val="00F26A3A"/>
    <w:rsid w:val="00F404B0"/>
    <w:rsid w:val="00F405D2"/>
    <w:rsid w:val="00F47B85"/>
    <w:rsid w:val="00F521FB"/>
    <w:rsid w:val="00F54BDD"/>
    <w:rsid w:val="00F5645C"/>
    <w:rsid w:val="00F72323"/>
    <w:rsid w:val="00F841D5"/>
    <w:rsid w:val="00F8698B"/>
    <w:rsid w:val="00FA06AB"/>
    <w:rsid w:val="00FA5EB2"/>
    <w:rsid w:val="00FA6C70"/>
    <w:rsid w:val="00FB149D"/>
    <w:rsid w:val="00FB415C"/>
    <w:rsid w:val="00FB4DFE"/>
    <w:rsid w:val="00FC2E44"/>
    <w:rsid w:val="00FD0F76"/>
    <w:rsid w:val="00FD4B01"/>
    <w:rsid w:val="00FE19F1"/>
    <w:rsid w:val="00FE1CD8"/>
    <w:rsid w:val="00FE6219"/>
    <w:rsid w:val="00FE7DC3"/>
    <w:rsid w:val="00FF1507"/>
    <w:rsid w:val="00FF2D4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1F2104C"/>
  <w15:docId w15:val="{09C504FA-1133-4340-B40A-07CA628305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New York" w:eastAsia="Times New Roman" w:hAnsi="New York"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spacing w:after="200"/>
      <w:jc w:val="both"/>
    </w:pPr>
    <w:rPr>
      <w:rFonts w:ascii="Times" w:hAnsi="Time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llowedHyperlink">
    <w:name w:val="FollowedHyperlink"/>
    <w:rPr>
      <w:color w:val="800080"/>
      <w:u w:val="single"/>
    </w:rPr>
  </w:style>
  <w:style w:type="paragraph" w:styleId="BodyText">
    <w:name w:val="Body Text"/>
    <w:basedOn w:val="Normal"/>
    <w:pPr>
      <w:jc w:val="center"/>
    </w:pPr>
    <w:rPr>
      <w:b/>
      <w:sz w:val="40"/>
    </w:rPr>
  </w:style>
  <w:style w:type="paragraph" w:styleId="FootnoteText">
    <w:name w:val="footnote text"/>
    <w:basedOn w:val="Normal"/>
    <w:next w:val="TFReferencesSection"/>
    <w:semiHidden/>
  </w:style>
  <w:style w:type="paragraph" w:customStyle="1" w:styleId="TFReferencesSection">
    <w:name w:val="TF_References_Section"/>
    <w:basedOn w:val="Normal"/>
    <w:pPr>
      <w:spacing w:line="480" w:lineRule="auto"/>
      <w:ind w:firstLine="187"/>
    </w:pPr>
  </w:style>
  <w:style w:type="paragraph" w:customStyle="1" w:styleId="TAMainText">
    <w:name w:val="TA_Main_Text"/>
    <w:basedOn w:val="Normal"/>
    <w:pPr>
      <w:spacing w:after="0" w:line="480" w:lineRule="auto"/>
      <w:ind w:firstLine="202"/>
    </w:pPr>
  </w:style>
  <w:style w:type="paragraph" w:customStyle="1" w:styleId="BATitle">
    <w:name w:val="BA_Title"/>
    <w:basedOn w:val="Normal"/>
    <w:next w:val="BBAuthorName"/>
    <w:pPr>
      <w:spacing w:before="720" w:after="360" w:line="480" w:lineRule="auto"/>
      <w:jc w:val="center"/>
    </w:pPr>
    <w:rPr>
      <w:rFonts w:ascii="Times New Roman" w:hAnsi="Times New Roman"/>
      <w:sz w:val="44"/>
    </w:rPr>
  </w:style>
  <w:style w:type="paragraph" w:customStyle="1" w:styleId="BBAuthorName">
    <w:name w:val="BB_Author_Name"/>
    <w:basedOn w:val="Normal"/>
    <w:next w:val="BCAuthorAddress"/>
    <w:pPr>
      <w:spacing w:after="240" w:line="480" w:lineRule="auto"/>
      <w:jc w:val="center"/>
    </w:pPr>
    <w:rPr>
      <w:i/>
    </w:rPr>
  </w:style>
  <w:style w:type="paragraph" w:customStyle="1" w:styleId="BCAuthorAddress">
    <w:name w:val="BC_Author_Address"/>
    <w:basedOn w:val="Normal"/>
    <w:next w:val="BIEmailAddress"/>
    <w:pPr>
      <w:spacing w:after="240" w:line="480" w:lineRule="auto"/>
      <w:jc w:val="center"/>
    </w:pPr>
  </w:style>
  <w:style w:type="paragraph" w:customStyle="1" w:styleId="BIEmailAddress">
    <w:name w:val="BI_Email_Address"/>
    <w:basedOn w:val="Normal"/>
    <w:next w:val="AIReceivedDate"/>
    <w:pPr>
      <w:spacing w:line="480" w:lineRule="auto"/>
    </w:pPr>
  </w:style>
  <w:style w:type="paragraph" w:customStyle="1" w:styleId="AIReceivedDate">
    <w:name w:val="AI_Received_Date"/>
    <w:basedOn w:val="Normal"/>
    <w:next w:val="BDAbstract"/>
    <w:pPr>
      <w:spacing w:after="240" w:line="480" w:lineRule="auto"/>
    </w:pPr>
    <w:rPr>
      <w:b/>
    </w:rPr>
  </w:style>
  <w:style w:type="paragraph" w:customStyle="1" w:styleId="BDAbstract">
    <w:name w:val="BD_Abstract"/>
    <w:basedOn w:val="Normal"/>
    <w:next w:val="TAMainText"/>
    <w:link w:val="BDAbstractChar"/>
    <w:pPr>
      <w:spacing w:before="360" w:after="360" w:line="480" w:lineRule="auto"/>
    </w:pPr>
  </w:style>
  <w:style w:type="paragraph" w:customStyle="1" w:styleId="TDAcknowledgments">
    <w:name w:val="TD_Acknowledgments"/>
    <w:basedOn w:val="Normal"/>
    <w:next w:val="Normal"/>
    <w:pPr>
      <w:spacing w:before="200" w:line="480" w:lineRule="auto"/>
      <w:ind w:firstLine="202"/>
    </w:pPr>
  </w:style>
  <w:style w:type="paragraph" w:customStyle="1" w:styleId="TESupportingInformation">
    <w:name w:val="TE_Supporting_Information"/>
    <w:basedOn w:val="Normal"/>
    <w:next w:val="Normal"/>
    <w:pPr>
      <w:spacing w:line="480" w:lineRule="auto"/>
      <w:ind w:firstLine="187"/>
    </w:pPr>
  </w:style>
  <w:style w:type="paragraph" w:customStyle="1" w:styleId="VCSchemeTitle">
    <w:name w:val="VC_Scheme_Title"/>
    <w:basedOn w:val="Normal"/>
    <w:next w:val="Normal"/>
    <w:pPr>
      <w:spacing w:line="480" w:lineRule="auto"/>
    </w:pPr>
  </w:style>
  <w:style w:type="paragraph" w:customStyle="1" w:styleId="VDTableTitle">
    <w:name w:val="VD_Table_Title"/>
    <w:basedOn w:val="Normal"/>
    <w:next w:val="Normal"/>
    <w:pPr>
      <w:spacing w:line="480" w:lineRule="auto"/>
    </w:pPr>
  </w:style>
  <w:style w:type="paragraph" w:customStyle="1" w:styleId="VAFigureCaption">
    <w:name w:val="VA_Figure_Caption"/>
    <w:basedOn w:val="Normal"/>
    <w:next w:val="Normal"/>
    <w:pPr>
      <w:spacing w:line="480" w:lineRule="auto"/>
    </w:pPr>
  </w:style>
  <w:style w:type="paragraph" w:customStyle="1" w:styleId="VBChartTitle">
    <w:name w:val="VB_Chart_Title"/>
    <w:basedOn w:val="Normal"/>
    <w:next w:val="Normal"/>
    <w:pPr>
      <w:spacing w:line="480" w:lineRule="auto"/>
    </w:pPr>
  </w:style>
  <w:style w:type="paragraph" w:customStyle="1" w:styleId="FETableFootnote">
    <w:name w:val="FE_Table_Footnote"/>
    <w:basedOn w:val="Normal"/>
    <w:next w:val="Normal"/>
    <w:pPr>
      <w:ind w:firstLine="187"/>
    </w:pPr>
  </w:style>
  <w:style w:type="paragraph" w:customStyle="1" w:styleId="FCChartFootnote">
    <w:name w:val="FC_Chart_Footnote"/>
    <w:basedOn w:val="Normal"/>
    <w:next w:val="Normal"/>
    <w:pPr>
      <w:ind w:firstLine="187"/>
    </w:pPr>
  </w:style>
  <w:style w:type="paragraph" w:customStyle="1" w:styleId="FDSchemeFootnote">
    <w:name w:val="FD_Scheme_Footnote"/>
    <w:basedOn w:val="Normal"/>
    <w:next w:val="Normal"/>
    <w:pPr>
      <w:ind w:firstLine="187"/>
    </w:pPr>
  </w:style>
  <w:style w:type="paragraph" w:customStyle="1" w:styleId="TCTableBody">
    <w:name w:val="TC_Table_Body"/>
    <w:basedOn w:val="Normal"/>
  </w:style>
  <w:style w:type="paragraph" w:customStyle="1" w:styleId="AFTitleRunningHead">
    <w:name w:val="AF_Title_Running_Head"/>
    <w:basedOn w:val="Normal"/>
    <w:next w:val="TAMainText"/>
    <w:pPr>
      <w:spacing w:line="480" w:lineRule="auto"/>
    </w:pPr>
  </w:style>
  <w:style w:type="paragraph" w:customStyle="1" w:styleId="BEAuthorBiography">
    <w:name w:val="BE_Author_Biography"/>
    <w:basedOn w:val="Normal"/>
    <w:pPr>
      <w:spacing w:line="480" w:lineRule="auto"/>
    </w:pPr>
  </w:style>
  <w:style w:type="paragraph" w:customStyle="1" w:styleId="FACorrespondingAuthorFootnote">
    <w:name w:val="FA_Corresponding_Author_Footnote"/>
    <w:basedOn w:val="Normal"/>
    <w:next w:val="TAMainText"/>
    <w:pPr>
      <w:spacing w:line="480" w:lineRule="auto"/>
    </w:pPr>
  </w:style>
  <w:style w:type="paragraph" w:customStyle="1" w:styleId="SNSynopsisTOC">
    <w:name w:val="SN_Synopsis_TOC"/>
    <w:basedOn w:val="Normal"/>
    <w:pPr>
      <w:spacing w:line="480" w:lineRule="auto"/>
    </w:pPr>
  </w:style>
  <w:style w:type="character" w:styleId="Hyperlink">
    <w:name w:val="Hyperlink"/>
    <w:rPr>
      <w:color w:val="0000FF"/>
      <w:u w:val="single"/>
    </w:rPr>
  </w:style>
  <w:style w:type="paragraph" w:styleId="Footer">
    <w:name w:val="footer"/>
    <w:basedOn w:val="Normal"/>
    <w:pPr>
      <w:tabs>
        <w:tab w:val="center" w:pos="4320"/>
        <w:tab w:val="right" w:pos="8640"/>
      </w:tabs>
    </w:pPr>
  </w:style>
  <w:style w:type="paragraph" w:customStyle="1" w:styleId="BGKeywords">
    <w:name w:val="BG_Keywords"/>
    <w:basedOn w:val="Normal"/>
    <w:pPr>
      <w:spacing w:line="480" w:lineRule="auto"/>
    </w:pPr>
  </w:style>
  <w:style w:type="paragraph" w:customStyle="1" w:styleId="BHBriefs">
    <w:name w:val="BH_Briefs"/>
    <w:basedOn w:val="Normal"/>
    <w:pPr>
      <w:spacing w:line="480" w:lineRule="auto"/>
    </w:pPr>
  </w:style>
  <w:style w:type="character" w:styleId="PageNumber">
    <w:name w:val="page number"/>
    <w:basedOn w:val="DefaultParagraphFont"/>
  </w:style>
  <w:style w:type="paragraph" w:styleId="BalloonText">
    <w:name w:val="Balloon Text"/>
    <w:basedOn w:val="Normal"/>
    <w:semiHidden/>
    <w:rsid w:val="00E96302"/>
    <w:rPr>
      <w:rFonts w:ascii="Tahoma" w:hAnsi="Tahoma" w:cs="Tahoma"/>
      <w:sz w:val="16"/>
      <w:szCs w:val="16"/>
    </w:rPr>
  </w:style>
  <w:style w:type="paragraph" w:customStyle="1" w:styleId="StyleFACorrespondingAuthorFootnote7pt">
    <w:name w:val="Style FA_Corresponding_Author_Footnote + 7 pt"/>
    <w:basedOn w:val="Normal"/>
    <w:next w:val="BGKeywords"/>
    <w:link w:val="StyleFACorrespondingAuthorFootnote7ptChar"/>
    <w:autoRedefine/>
    <w:rsid w:val="00C10EE0"/>
    <w:pPr>
      <w:spacing w:after="0"/>
      <w:jc w:val="left"/>
    </w:pPr>
    <w:rPr>
      <w:rFonts w:ascii="Arno Pro" w:hAnsi="Arno Pro"/>
      <w:kern w:val="20"/>
      <w:sz w:val="18"/>
    </w:rPr>
  </w:style>
  <w:style w:type="character" w:customStyle="1" w:styleId="StyleFACorrespondingAuthorFootnote7ptChar">
    <w:name w:val="Style FA_Corresponding_Author_Footnote + 7 pt Char"/>
    <w:link w:val="StyleFACorrespondingAuthorFootnote7pt"/>
    <w:rsid w:val="00C10EE0"/>
    <w:rPr>
      <w:rFonts w:ascii="Arno Pro" w:hAnsi="Arno Pro"/>
      <w:kern w:val="20"/>
      <w:sz w:val="18"/>
    </w:rPr>
  </w:style>
  <w:style w:type="paragraph" w:customStyle="1" w:styleId="FAAuthorInfoSubtitle">
    <w:name w:val="FA_Author_Info_Subtitle"/>
    <w:basedOn w:val="Normal"/>
    <w:link w:val="FAAuthorInfoSubtitleChar"/>
    <w:autoRedefine/>
    <w:rsid w:val="00DD6DBB"/>
    <w:pPr>
      <w:spacing w:before="120" w:after="60" w:line="480" w:lineRule="auto"/>
      <w:jc w:val="left"/>
    </w:pPr>
    <w:rPr>
      <w:b/>
    </w:rPr>
  </w:style>
  <w:style w:type="character" w:customStyle="1" w:styleId="FAAuthorInfoSubtitleChar">
    <w:name w:val="FA_Author_Info_Subtitle Char"/>
    <w:link w:val="FAAuthorInfoSubtitle"/>
    <w:rsid w:val="00DD6DBB"/>
    <w:rPr>
      <w:rFonts w:ascii="Times" w:hAnsi="Times"/>
      <w:b/>
      <w:sz w:val="24"/>
    </w:rPr>
  </w:style>
  <w:style w:type="paragraph" w:customStyle="1" w:styleId="Default">
    <w:name w:val="Default"/>
    <w:rsid w:val="001A7A90"/>
    <w:pPr>
      <w:autoSpaceDE w:val="0"/>
      <w:autoSpaceDN w:val="0"/>
      <w:adjustRightInd w:val="0"/>
    </w:pPr>
    <w:rPr>
      <w:rFonts w:ascii="Symbol" w:hAnsi="Symbol" w:cs="Symbol"/>
      <w:color w:val="000000"/>
      <w:sz w:val="24"/>
      <w:szCs w:val="24"/>
    </w:rPr>
  </w:style>
  <w:style w:type="paragraph" w:customStyle="1" w:styleId="ACSTEXT">
    <w:name w:val="ACS TEXT"/>
    <w:basedOn w:val="BDAbstract"/>
    <w:link w:val="ACSTEXTChar"/>
    <w:qFormat/>
    <w:rsid w:val="0086405C"/>
  </w:style>
  <w:style w:type="character" w:styleId="Emphasis">
    <w:name w:val="Emphasis"/>
    <w:basedOn w:val="DefaultParagraphFont"/>
    <w:qFormat/>
    <w:rsid w:val="009D26C8"/>
    <w:rPr>
      <w:i/>
      <w:iCs/>
    </w:rPr>
  </w:style>
  <w:style w:type="character" w:customStyle="1" w:styleId="BDAbstractChar">
    <w:name w:val="BD_Abstract Char"/>
    <w:basedOn w:val="DefaultParagraphFont"/>
    <w:link w:val="BDAbstract"/>
    <w:rsid w:val="0086405C"/>
    <w:rPr>
      <w:rFonts w:ascii="Times" w:hAnsi="Times"/>
      <w:sz w:val="24"/>
    </w:rPr>
  </w:style>
  <w:style w:type="character" w:customStyle="1" w:styleId="ACSTEXTChar">
    <w:name w:val="ACS TEXT Char"/>
    <w:basedOn w:val="BDAbstractChar"/>
    <w:link w:val="ACSTEXT"/>
    <w:rsid w:val="0086405C"/>
    <w:rPr>
      <w:rFonts w:ascii="Times" w:hAnsi="Times"/>
      <w:sz w:val="24"/>
    </w:rPr>
  </w:style>
  <w:style w:type="character" w:styleId="CommentReference">
    <w:name w:val="annotation reference"/>
    <w:basedOn w:val="DefaultParagraphFont"/>
    <w:semiHidden/>
    <w:unhideWhenUsed/>
    <w:rsid w:val="001F2785"/>
    <w:rPr>
      <w:sz w:val="16"/>
      <w:szCs w:val="16"/>
    </w:rPr>
  </w:style>
  <w:style w:type="paragraph" w:styleId="CommentText">
    <w:name w:val="annotation text"/>
    <w:basedOn w:val="Normal"/>
    <w:link w:val="CommentTextChar"/>
    <w:unhideWhenUsed/>
    <w:rsid w:val="001F2785"/>
    <w:rPr>
      <w:sz w:val="20"/>
    </w:rPr>
  </w:style>
  <w:style w:type="character" w:customStyle="1" w:styleId="CommentTextChar">
    <w:name w:val="Comment Text Char"/>
    <w:basedOn w:val="DefaultParagraphFont"/>
    <w:link w:val="CommentText"/>
    <w:rsid w:val="001F2785"/>
    <w:rPr>
      <w:rFonts w:ascii="Times" w:hAnsi="Times"/>
    </w:rPr>
  </w:style>
  <w:style w:type="paragraph" w:styleId="CommentSubject">
    <w:name w:val="annotation subject"/>
    <w:basedOn w:val="CommentText"/>
    <w:next w:val="CommentText"/>
    <w:link w:val="CommentSubjectChar"/>
    <w:semiHidden/>
    <w:unhideWhenUsed/>
    <w:rsid w:val="001F2785"/>
    <w:rPr>
      <w:b/>
      <w:bCs/>
    </w:rPr>
  </w:style>
  <w:style w:type="character" w:customStyle="1" w:styleId="CommentSubjectChar">
    <w:name w:val="Comment Subject Char"/>
    <w:basedOn w:val="CommentTextChar"/>
    <w:link w:val="CommentSubject"/>
    <w:semiHidden/>
    <w:rsid w:val="001F2785"/>
    <w:rPr>
      <w:rFonts w:ascii="Times" w:hAnsi="Times"/>
      <w:b/>
      <w:bCs/>
    </w:rPr>
  </w:style>
  <w:style w:type="paragraph" w:styleId="HTMLPreformatted">
    <w:name w:val="HTML Preformatted"/>
    <w:basedOn w:val="Normal"/>
    <w:link w:val="HTMLPreformattedChar"/>
    <w:uiPriority w:val="99"/>
    <w:semiHidden/>
    <w:unhideWhenUsed/>
    <w:rsid w:val="00E976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left"/>
    </w:pPr>
    <w:rPr>
      <w:rFonts w:ascii="Courier New" w:hAnsi="Courier New" w:cs="Courier New"/>
      <w:sz w:val="20"/>
      <w:lang w:val="en-GB" w:eastAsia="en-GB"/>
    </w:rPr>
  </w:style>
  <w:style w:type="character" w:customStyle="1" w:styleId="HTMLPreformattedChar">
    <w:name w:val="HTML Preformatted Char"/>
    <w:basedOn w:val="DefaultParagraphFont"/>
    <w:link w:val="HTMLPreformatted"/>
    <w:uiPriority w:val="99"/>
    <w:semiHidden/>
    <w:rsid w:val="00E976E0"/>
    <w:rPr>
      <w:rFonts w:ascii="Courier New" w:hAnsi="Courier New" w:cs="Courier New"/>
      <w:lang w:val="en-GB" w:eastAsia="en-GB"/>
    </w:rPr>
  </w:style>
  <w:style w:type="character" w:styleId="UnresolvedMention">
    <w:name w:val="Unresolved Mention"/>
    <w:basedOn w:val="DefaultParagraphFont"/>
    <w:uiPriority w:val="99"/>
    <w:semiHidden/>
    <w:unhideWhenUsed/>
    <w:rsid w:val="008C140D"/>
    <w:rPr>
      <w:color w:val="605E5C"/>
      <w:shd w:val="clear" w:color="auto" w:fill="E1DFDD"/>
    </w:rPr>
  </w:style>
  <w:style w:type="character" w:styleId="LineNumber">
    <w:name w:val="line number"/>
    <w:basedOn w:val="DefaultParagraphFont"/>
    <w:semiHidden/>
    <w:unhideWhenUsed/>
    <w:rsid w:val="00D1679B"/>
  </w:style>
  <w:style w:type="character" w:styleId="PlaceholderText">
    <w:name w:val="Placeholder Text"/>
    <w:basedOn w:val="DefaultParagraphFont"/>
    <w:uiPriority w:val="99"/>
    <w:semiHidden/>
    <w:rsid w:val="00082FC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305753">
      <w:bodyDiv w:val="1"/>
      <w:marLeft w:val="0"/>
      <w:marRight w:val="0"/>
      <w:marTop w:val="0"/>
      <w:marBottom w:val="0"/>
      <w:divBdr>
        <w:top w:val="none" w:sz="0" w:space="0" w:color="auto"/>
        <w:left w:val="none" w:sz="0" w:space="0" w:color="auto"/>
        <w:bottom w:val="none" w:sz="0" w:space="0" w:color="auto"/>
        <w:right w:val="none" w:sz="0" w:space="0" w:color="auto"/>
      </w:divBdr>
    </w:div>
    <w:div w:id="94447852">
      <w:bodyDiv w:val="1"/>
      <w:marLeft w:val="0"/>
      <w:marRight w:val="0"/>
      <w:marTop w:val="0"/>
      <w:marBottom w:val="0"/>
      <w:divBdr>
        <w:top w:val="none" w:sz="0" w:space="0" w:color="auto"/>
        <w:left w:val="none" w:sz="0" w:space="0" w:color="auto"/>
        <w:bottom w:val="none" w:sz="0" w:space="0" w:color="auto"/>
        <w:right w:val="none" w:sz="0" w:space="0" w:color="auto"/>
      </w:divBdr>
    </w:div>
    <w:div w:id="185757361">
      <w:bodyDiv w:val="1"/>
      <w:marLeft w:val="0"/>
      <w:marRight w:val="0"/>
      <w:marTop w:val="0"/>
      <w:marBottom w:val="0"/>
      <w:divBdr>
        <w:top w:val="none" w:sz="0" w:space="0" w:color="auto"/>
        <w:left w:val="none" w:sz="0" w:space="0" w:color="auto"/>
        <w:bottom w:val="none" w:sz="0" w:space="0" w:color="auto"/>
        <w:right w:val="none" w:sz="0" w:space="0" w:color="auto"/>
      </w:divBdr>
    </w:div>
    <w:div w:id="292491044">
      <w:bodyDiv w:val="1"/>
      <w:marLeft w:val="0"/>
      <w:marRight w:val="0"/>
      <w:marTop w:val="0"/>
      <w:marBottom w:val="0"/>
      <w:divBdr>
        <w:top w:val="none" w:sz="0" w:space="0" w:color="auto"/>
        <w:left w:val="none" w:sz="0" w:space="0" w:color="auto"/>
        <w:bottom w:val="none" w:sz="0" w:space="0" w:color="auto"/>
        <w:right w:val="none" w:sz="0" w:space="0" w:color="auto"/>
      </w:divBdr>
    </w:div>
    <w:div w:id="508107299">
      <w:bodyDiv w:val="1"/>
      <w:marLeft w:val="0"/>
      <w:marRight w:val="0"/>
      <w:marTop w:val="0"/>
      <w:marBottom w:val="0"/>
      <w:divBdr>
        <w:top w:val="none" w:sz="0" w:space="0" w:color="auto"/>
        <w:left w:val="none" w:sz="0" w:space="0" w:color="auto"/>
        <w:bottom w:val="none" w:sz="0" w:space="0" w:color="auto"/>
        <w:right w:val="none" w:sz="0" w:space="0" w:color="auto"/>
      </w:divBdr>
    </w:div>
    <w:div w:id="547650856">
      <w:bodyDiv w:val="1"/>
      <w:marLeft w:val="0"/>
      <w:marRight w:val="0"/>
      <w:marTop w:val="0"/>
      <w:marBottom w:val="0"/>
      <w:divBdr>
        <w:top w:val="none" w:sz="0" w:space="0" w:color="auto"/>
        <w:left w:val="none" w:sz="0" w:space="0" w:color="auto"/>
        <w:bottom w:val="none" w:sz="0" w:space="0" w:color="auto"/>
        <w:right w:val="none" w:sz="0" w:space="0" w:color="auto"/>
      </w:divBdr>
    </w:div>
    <w:div w:id="670180065">
      <w:bodyDiv w:val="1"/>
      <w:marLeft w:val="0"/>
      <w:marRight w:val="0"/>
      <w:marTop w:val="0"/>
      <w:marBottom w:val="0"/>
      <w:divBdr>
        <w:top w:val="none" w:sz="0" w:space="0" w:color="auto"/>
        <w:left w:val="none" w:sz="0" w:space="0" w:color="auto"/>
        <w:bottom w:val="none" w:sz="0" w:space="0" w:color="auto"/>
        <w:right w:val="none" w:sz="0" w:space="0" w:color="auto"/>
      </w:divBdr>
    </w:div>
    <w:div w:id="789056978">
      <w:bodyDiv w:val="1"/>
      <w:marLeft w:val="0"/>
      <w:marRight w:val="0"/>
      <w:marTop w:val="0"/>
      <w:marBottom w:val="0"/>
      <w:divBdr>
        <w:top w:val="none" w:sz="0" w:space="0" w:color="auto"/>
        <w:left w:val="none" w:sz="0" w:space="0" w:color="auto"/>
        <w:bottom w:val="none" w:sz="0" w:space="0" w:color="auto"/>
        <w:right w:val="none" w:sz="0" w:space="0" w:color="auto"/>
      </w:divBdr>
    </w:div>
    <w:div w:id="904224932">
      <w:bodyDiv w:val="1"/>
      <w:marLeft w:val="0"/>
      <w:marRight w:val="0"/>
      <w:marTop w:val="0"/>
      <w:marBottom w:val="0"/>
      <w:divBdr>
        <w:top w:val="none" w:sz="0" w:space="0" w:color="auto"/>
        <w:left w:val="none" w:sz="0" w:space="0" w:color="auto"/>
        <w:bottom w:val="none" w:sz="0" w:space="0" w:color="auto"/>
        <w:right w:val="none" w:sz="0" w:space="0" w:color="auto"/>
      </w:divBdr>
    </w:div>
    <w:div w:id="1032262702">
      <w:bodyDiv w:val="1"/>
      <w:marLeft w:val="0"/>
      <w:marRight w:val="0"/>
      <w:marTop w:val="0"/>
      <w:marBottom w:val="0"/>
      <w:divBdr>
        <w:top w:val="none" w:sz="0" w:space="0" w:color="auto"/>
        <w:left w:val="none" w:sz="0" w:space="0" w:color="auto"/>
        <w:bottom w:val="none" w:sz="0" w:space="0" w:color="auto"/>
        <w:right w:val="none" w:sz="0" w:space="0" w:color="auto"/>
      </w:divBdr>
    </w:div>
    <w:div w:id="1115248599">
      <w:bodyDiv w:val="1"/>
      <w:marLeft w:val="0"/>
      <w:marRight w:val="0"/>
      <w:marTop w:val="0"/>
      <w:marBottom w:val="0"/>
      <w:divBdr>
        <w:top w:val="none" w:sz="0" w:space="0" w:color="auto"/>
        <w:left w:val="none" w:sz="0" w:space="0" w:color="auto"/>
        <w:bottom w:val="none" w:sz="0" w:space="0" w:color="auto"/>
        <w:right w:val="none" w:sz="0" w:space="0" w:color="auto"/>
      </w:divBdr>
    </w:div>
    <w:div w:id="1591155947">
      <w:bodyDiv w:val="1"/>
      <w:marLeft w:val="0"/>
      <w:marRight w:val="0"/>
      <w:marTop w:val="0"/>
      <w:marBottom w:val="0"/>
      <w:divBdr>
        <w:top w:val="none" w:sz="0" w:space="0" w:color="auto"/>
        <w:left w:val="none" w:sz="0" w:space="0" w:color="auto"/>
        <w:bottom w:val="none" w:sz="0" w:space="0" w:color="auto"/>
        <w:right w:val="none" w:sz="0" w:space="0" w:color="auto"/>
      </w:divBdr>
    </w:div>
    <w:div w:id="1648437276">
      <w:bodyDiv w:val="1"/>
      <w:marLeft w:val="0"/>
      <w:marRight w:val="0"/>
      <w:marTop w:val="0"/>
      <w:marBottom w:val="0"/>
      <w:divBdr>
        <w:top w:val="none" w:sz="0" w:space="0" w:color="auto"/>
        <w:left w:val="none" w:sz="0" w:space="0" w:color="auto"/>
        <w:bottom w:val="none" w:sz="0" w:space="0" w:color="auto"/>
        <w:right w:val="none" w:sz="0" w:space="0" w:color="auto"/>
      </w:divBdr>
    </w:div>
    <w:div w:id="1843348448">
      <w:bodyDiv w:val="1"/>
      <w:marLeft w:val="0"/>
      <w:marRight w:val="0"/>
      <w:marTop w:val="0"/>
      <w:marBottom w:val="0"/>
      <w:divBdr>
        <w:top w:val="none" w:sz="0" w:space="0" w:color="auto"/>
        <w:left w:val="none" w:sz="0" w:space="0" w:color="auto"/>
        <w:bottom w:val="none" w:sz="0" w:space="0" w:color="auto"/>
        <w:right w:val="none" w:sz="0" w:space="0" w:color="auto"/>
      </w:divBdr>
    </w:div>
    <w:div w:id="1845975765">
      <w:bodyDiv w:val="1"/>
      <w:marLeft w:val="0"/>
      <w:marRight w:val="0"/>
      <w:marTop w:val="0"/>
      <w:marBottom w:val="0"/>
      <w:divBdr>
        <w:top w:val="none" w:sz="0" w:space="0" w:color="auto"/>
        <w:left w:val="none" w:sz="0" w:space="0" w:color="auto"/>
        <w:bottom w:val="none" w:sz="0" w:space="0" w:color="auto"/>
        <w:right w:val="none" w:sz="0" w:space="0" w:color="auto"/>
      </w:divBdr>
    </w:div>
    <w:div w:id="1885629807">
      <w:bodyDiv w:val="1"/>
      <w:marLeft w:val="0"/>
      <w:marRight w:val="0"/>
      <w:marTop w:val="0"/>
      <w:marBottom w:val="0"/>
      <w:divBdr>
        <w:top w:val="none" w:sz="0" w:space="0" w:color="auto"/>
        <w:left w:val="none" w:sz="0" w:space="0" w:color="auto"/>
        <w:bottom w:val="none" w:sz="0" w:space="0" w:color="auto"/>
        <w:right w:val="none" w:sz="0" w:space="0" w:color="auto"/>
      </w:divBdr>
    </w:div>
    <w:div w:id="1957177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chart" Target="charts/chart2.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chart" Target="charts/chart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github.com/teha2/chemical_toxicology"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fontTable" Target="fontTable.xml"/><Relationship Id="rId10" Type="http://schemas.openxmlformats.org/officeDocument/2006/relationships/hyperlink" Target="http://pubs.acs.org" TargetMode="External"/><Relationship Id="rId19" Type="http://schemas.openxmlformats.org/officeDocument/2006/relationships/footer" Target="footer4.xml"/><Relationship Id="rId4" Type="http://schemas.openxmlformats.org/officeDocument/2006/relationships/settings" Target="settings.xml"/><Relationship Id="rId9" Type="http://schemas.openxmlformats.org/officeDocument/2006/relationships/hyperlink" Target="https://github.com/teha2/chemical_toxicology" TargetMode="External"/><Relationship Id="rId14" Type="http://schemas.openxmlformats.org/officeDocument/2006/relationships/image" Target="media/image2.jpeg"/><Relationship Id="rId22" Type="http://schemas.openxmlformats.org/officeDocument/2006/relationships/image" Target="media/image6.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tim.e.allen\Downloads\acstemplate_msw2010%20(3).dotx"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Sensitivities for each AR Toxcast Assay</a:t>
            </a:r>
            <a:r>
              <a:rPr lang="en-GB" baseline="0"/>
              <a:t> by Chemical Category</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Sheet1!$A$3</c:f>
              <c:strCache>
                <c:ptCount val="1"/>
                <c:pt idx="0">
                  <c:v>AR Binders</c:v>
                </c:pt>
              </c:strCache>
            </c:strRef>
          </c:tx>
          <c:spPr>
            <a:solidFill>
              <a:schemeClr val="accent2">
                <a:shade val="38000"/>
              </a:schemeClr>
            </a:solidFill>
            <a:ln>
              <a:noFill/>
            </a:ln>
            <a:effectLst/>
          </c:spPr>
          <c:invertIfNegative val="0"/>
          <c:cat>
            <c:strRef>
              <c:f>Sheet1!$D$2:$N$2</c:f>
              <c:strCache>
                <c:ptCount val="11"/>
                <c:pt idx="0">
                  <c:v>ATG_AR</c:v>
                </c:pt>
                <c:pt idx="1">
                  <c:v>NVS_hAR</c:v>
                </c:pt>
                <c:pt idx="2">
                  <c:v>NVS_rAR</c:v>
                </c:pt>
                <c:pt idx="3">
                  <c:v>OT_LUC_1440</c:v>
                </c:pt>
                <c:pt idx="4">
                  <c:v>OT_RC1_0480</c:v>
                </c:pt>
                <c:pt idx="5">
                  <c:v>OT_RC1_0960</c:v>
                </c:pt>
                <c:pt idx="6">
                  <c:v>TOX21_BLA_Ago</c:v>
                </c:pt>
                <c:pt idx="7">
                  <c:v>TOX21_BLA_Ant</c:v>
                </c:pt>
                <c:pt idx="8">
                  <c:v>TOX21_LUC_Ago</c:v>
                </c:pt>
                <c:pt idx="9">
                  <c:v>TOX21_LUC_Ant</c:v>
                </c:pt>
                <c:pt idx="10">
                  <c:v>TOX21_LUC_Ant2</c:v>
                </c:pt>
              </c:strCache>
            </c:strRef>
          </c:cat>
          <c:val>
            <c:numRef>
              <c:f>Sheet1!$D$3:$N$3</c:f>
              <c:numCache>
                <c:formatCode>0.00</c:formatCode>
                <c:ptCount val="11"/>
                <c:pt idx="0">
                  <c:v>2.6525198938992021</c:v>
                </c:pt>
                <c:pt idx="1">
                  <c:v>15.089514066496159</c:v>
                </c:pt>
                <c:pt idx="2">
                  <c:v>12.098765432098761</c:v>
                </c:pt>
                <c:pt idx="3">
                  <c:v>41.958041958041953</c:v>
                </c:pt>
                <c:pt idx="4">
                  <c:v>12.23776223776224</c:v>
                </c:pt>
                <c:pt idx="5">
                  <c:v>16.78321678321678</c:v>
                </c:pt>
                <c:pt idx="6">
                  <c:v>19.589977220956719</c:v>
                </c:pt>
                <c:pt idx="7">
                  <c:v>29.726651480637809</c:v>
                </c:pt>
                <c:pt idx="8">
                  <c:v>31.548974943052389</c:v>
                </c:pt>
                <c:pt idx="9">
                  <c:v>15.148063781321181</c:v>
                </c:pt>
                <c:pt idx="10">
                  <c:v>32.984293193717228</c:v>
                </c:pt>
              </c:numCache>
            </c:numRef>
          </c:val>
          <c:extLst>
            <c:ext xmlns:c16="http://schemas.microsoft.com/office/drawing/2014/chart" uri="{C3380CC4-5D6E-409C-BE32-E72D297353CC}">
              <c16:uniqueId val="{00000000-1134-41A4-BE49-618B7BB1C1CA}"/>
            </c:ext>
          </c:extLst>
        </c:ser>
        <c:ser>
          <c:idx val="1"/>
          <c:order val="1"/>
          <c:tx>
            <c:strRef>
              <c:f>Sheet1!$A$4</c:f>
              <c:strCache>
                <c:ptCount val="1"/>
                <c:pt idx="0">
                  <c:v>AR Alert 1</c:v>
                </c:pt>
              </c:strCache>
            </c:strRef>
          </c:tx>
          <c:spPr>
            <a:solidFill>
              <a:schemeClr val="accent2">
                <a:shade val="47000"/>
              </a:schemeClr>
            </a:solidFill>
            <a:ln>
              <a:noFill/>
            </a:ln>
            <a:effectLst/>
          </c:spPr>
          <c:invertIfNegative val="0"/>
          <c:cat>
            <c:strRef>
              <c:f>Sheet1!$D$2:$N$2</c:f>
              <c:strCache>
                <c:ptCount val="11"/>
                <c:pt idx="0">
                  <c:v>ATG_AR</c:v>
                </c:pt>
                <c:pt idx="1">
                  <c:v>NVS_hAR</c:v>
                </c:pt>
                <c:pt idx="2">
                  <c:v>NVS_rAR</c:v>
                </c:pt>
                <c:pt idx="3">
                  <c:v>OT_LUC_1440</c:v>
                </c:pt>
                <c:pt idx="4">
                  <c:v>OT_RC1_0480</c:v>
                </c:pt>
                <c:pt idx="5">
                  <c:v>OT_RC1_0960</c:v>
                </c:pt>
                <c:pt idx="6">
                  <c:v>TOX21_BLA_Ago</c:v>
                </c:pt>
                <c:pt idx="7">
                  <c:v>TOX21_BLA_Ant</c:v>
                </c:pt>
                <c:pt idx="8">
                  <c:v>TOX21_LUC_Ago</c:v>
                </c:pt>
                <c:pt idx="9">
                  <c:v>TOX21_LUC_Ant</c:v>
                </c:pt>
                <c:pt idx="10">
                  <c:v>TOX21_LUC_Ant2</c:v>
                </c:pt>
              </c:strCache>
            </c:strRef>
          </c:cat>
          <c:val>
            <c:numRef>
              <c:f>Sheet1!$D$4:$N$4</c:f>
              <c:numCache>
                <c:formatCode>0.00</c:formatCode>
                <c:ptCount val="11"/>
                <c:pt idx="0">
                  <c:v>0</c:v>
                </c:pt>
                <c:pt idx="1">
                  <c:v>0</c:v>
                </c:pt>
                <c:pt idx="2">
                  <c:v>0</c:v>
                </c:pt>
                <c:pt idx="3">
                  <c:v>0</c:v>
                </c:pt>
                <c:pt idx="4">
                  <c:v>0</c:v>
                </c:pt>
                <c:pt idx="5">
                  <c:v>0</c:v>
                </c:pt>
                <c:pt idx="6">
                  <c:v>78.260869565217405</c:v>
                </c:pt>
                <c:pt idx="7">
                  <c:v>13.043478260869559</c:v>
                </c:pt>
                <c:pt idx="8">
                  <c:v>100</c:v>
                </c:pt>
                <c:pt idx="9">
                  <c:v>0</c:v>
                </c:pt>
                <c:pt idx="10">
                  <c:v>0</c:v>
                </c:pt>
              </c:numCache>
            </c:numRef>
          </c:val>
          <c:extLst>
            <c:ext xmlns:c16="http://schemas.microsoft.com/office/drawing/2014/chart" uri="{C3380CC4-5D6E-409C-BE32-E72D297353CC}">
              <c16:uniqueId val="{00000001-1134-41A4-BE49-618B7BB1C1CA}"/>
            </c:ext>
          </c:extLst>
        </c:ser>
        <c:ser>
          <c:idx val="2"/>
          <c:order val="2"/>
          <c:tx>
            <c:strRef>
              <c:f>Sheet1!$A$5</c:f>
              <c:strCache>
                <c:ptCount val="1"/>
                <c:pt idx="0">
                  <c:v>AR Alert 2</c:v>
                </c:pt>
              </c:strCache>
            </c:strRef>
          </c:tx>
          <c:spPr>
            <a:solidFill>
              <a:schemeClr val="accent2">
                <a:shade val="56000"/>
              </a:schemeClr>
            </a:solidFill>
            <a:ln>
              <a:noFill/>
            </a:ln>
            <a:effectLst/>
          </c:spPr>
          <c:invertIfNegative val="0"/>
          <c:cat>
            <c:strRef>
              <c:f>Sheet1!$D$2:$N$2</c:f>
              <c:strCache>
                <c:ptCount val="11"/>
                <c:pt idx="0">
                  <c:v>ATG_AR</c:v>
                </c:pt>
                <c:pt idx="1">
                  <c:v>NVS_hAR</c:v>
                </c:pt>
                <c:pt idx="2">
                  <c:v>NVS_rAR</c:v>
                </c:pt>
                <c:pt idx="3">
                  <c:v>OT_LUC_1440</c:v>
                </c:pt>
                <c:pt idx="4">
                  <c:v>OT_RC1_0480</c:v>
                </c:pt>
                <c:pt idx="5">
                  <c:v>OT_RC1_0960</c:v>
                </c:pt>
                <c:pt idx="6">
                  <c:v>TOX21_BLA_Ago</c:v>
                </c:pt>
                <c:pt idx="7">
                  <c:v>TOX21_BLA_Ant</c:v>
                </c:pt>
                <c:pt idx="8">
                  <c:v>TOX21_LUC_Ago</c:v>
                </c:pt>
                <c:pt idx="9">
                  <c:v>TOX21_LUC_Ant</c:v>
                </c:pt>
                <c:pt idx="10">
                  <c:v>TOX21_LUC_Ant2</c:v>
                </c:pt>
              </c:strCache>
            </c:strRef>
          </c:cat>
          <c:val>
            <c:numRef>
              <c:f>Sheet1!$D$5:$N$5</c:f>
              <c:numCache>
                <c:formatCode>0.00</c:formatCode>
                <c:ptCount val="11"/>
                <c:pt idx="0">
                  <c:v>0</c:v>
                </c:pt>
                <c:pt idx="1">
                  <c:v>22.222222222222189</c:v>
                </c:pt>
                <c:pt idx="2">
                  <c:v>0</c:v>
                </c:pt>
                <c:pt idx="3">
                  <c:v>0</c:v>
                </c:pt>
                <c:pt idx="4">
                  <c:v>0</c:v>
                </c:pt>
                <c:pt idx="5">
                  <c:v>0</c:v>
                </c:pt>
                <c:pt idx="6">
                  <c:v>73.170731707317046</c:v>
                </c:pt>
                <c:pt idx="7">
                  <c:v>12.195121951219511</c:v>
                </c:pt>
                <c:pt idx="8">
                  <c:v>100</c:v>
                </c:pt>
                <c:pt idx="9">
                  <c:v>0</c:v>
                </c:pt>
                <c:pt idx="10">
                  <c:v>0</c:v>
                </c:pt>
              </c:numCache>
            </c:numRef>
          </c:val>
          <c:extLst>
            <c:ext xmlns:c16="http://schemas.microsoft.com/office/drawing/2014/chart" uri="{C3380CC4-5D6E-409C-BE32-E72D297353CC}">
              <c16:uniqueId val="{00000002-1134-41A4-BE49-618B7BB1C1CA}"/>
            </c:ext>
          </c:extLst>
        </c:ser>
        <c:ser>
          <c:idx val="3"/>
          <c:order val="3"/>
          <c:tx>
            <c:strRef>
              <c:f>Sheet1!$A$6</c:f>
              <c:strCache>
                <c:ptCount val="1"/>
                <c:pt idx="0">
                  <c:v>AR Alert 3</c:v>
                </c:pt>
              </c:strCache>
            </c:strRef>
          </c:tx>
          <c:spPr>
            <a:solidFill>
              <a:schemeClr val="accent2">
                <a:shade val="65000"/>
              </a:schemeClr>
            </a:solidFill>
            <a:ln>
              <a:noFill/>
            </a:ln>
            <a:effectLst/>
          </c:spPr>
          <c:invertIfNegative val="0"/>
          <c:cat>
            <c:strRef>
              <c:f>Sheet1!$D$2:$N$2</c:f>
              <c:strCache>
                <c:ptCount val="11"/>
                <c:pt idx="0">
                  <c:v>ATG_AR</c:v>
                </c:pt>
                <c:pt idx="1">
                  <c:v>NVS_hAR</c:v>
                </c:pt>
                <c:pt idx="2">
                  <c:v>NVS_rAR</c:v>
                </c:pt>
                <c:pt idx="3">
                  <c:v>OT_LUC_1440</c:v>
                </c:pt>
                <c:pt idx="4">
                  <c:v>OT_RC1_0480</c:v>
                </c:pt>
                <c:pt idx="5">
                  <c:v>OT_RC1_0960</c:v>
                </c:pt>
                <c:pt idx="6">
                  <c:v>TOX21_BLA_Ago</c:v>
                </c:pt>
                <c:pt idx="7">
                  <c:v>TOX21_BLA_Ant</c:v>
                </c:pt>
                <c:pt idx="8">
                  <c:v>TOX21_LUC_Ago</c:v>
                </c:pt>
                <c:pt idx="9">
                  <c:v>TOX21_LUC_Ant</c:v>
                </c:pt>
                <c:pt idx="10">
                  <c:v>TOX21_LUC_Ant2</c:v>
                </c:pt>
              </c:strCache>
            </c:strRef>
          </c:cat>
          <c:val>
            <c:numRef>
              <c:f>Sheet1!$D$6:$N$6</c:f>
              <c:numCache>
                <c:formatCode>0.00</c:formatCode>
                <c:ptCount val="11"/>
                <c:pt idx="0">
                  <c:v>0</c:v>
                </c:pt>
                <c:pt idx="1">
                  <c:v>25</c:v>
                </c:pt>
                <c:pt idx="2">
                  <c:v>0</c:v>
                </c:pt>
                <c:pt idx="3">
                  <c:v>50</c:v>
                </c:pt>
                <c:pt idx="4">
                  <c:v>50</c:v>
                </c:pt>
                <c:pt idx="5">
                  <c:v>50</c:v>
                </c:pt>
                <c:pt idx="6">
                  <c:v>77.777777777777729</c:v>
                </c:pt>
                <c:pt idx="7">
                  <c:v>5.5555555555555509</c:v>
                </c:pt>
                <c:pt idx="8">
                  <c:v>88.8888888888888</c:v>
                </c:pt>
                <c:pt idx="9">
                  <c:v>0</c:v>
                </c:pt>
                <c:pt idx="10">
                  <c:v>0</c:v>
                </c:pt>
              </c:numCache>
            </c:numRef>
          </c:val>
          <c:extLst>
            <c:ext xmlns:c16="http://schemas.microsoft.com/office/drawing/2014/chart" uri="{C3380CC4-5D6E-409C-BE32-E72D297353CC}">
              <c16:uniqueId val="{00000003-1134-41A4-BE49-618B7BB1C1CA}"/>
            </c:ext>
          </c:extLst>
        </c:ser>
        <c:ser>
          <c:idx val="4"/>
          <c:order val="4"/>
          <c:tx>
            <c:strRef>
              <c:f>Sheet1!$A$7</c:f>
              <c:strCache>
                <c:ptCount val="1"/>
                <c:pt idx="0">
                  <c:v>AR Alert 4</c:v>
                </c:pt>
              </c:strCache>
            </c:strRef>
          </c:tx>
          <c:spPr>
            <a:solidFill>
              <a:schemeClr val="accent2">
                <a:shade val="73000"/>
              </a:schemeClr>
            </a:solidFill>
            <a:ln>
              <a:noFill/>
            </a:ln>
            <a:effectLst/>
          </c:spPr>
          <c:invertIfNegative val="0"/>
          <c:cat>
            <c:strRef>
              <c:f>Sheet1!$D$2:$N$2</c:f>
              <c:strCache>
                <c:ptCount val="11"/>
                <c:pt idx="0">
                  <c:v>ATG_AR</c:v>
                </c:pt>
                <c:pt idx="1">
                  <c:v>NVS_hAR</c:v>
                </c:pt>
                <c:pt idx="2">
                  <c:v>NVS_rAR</c:v>
                </c:pt>
                <c:pt idx="3">
                  <c:v>OT_LUC_1440</c:v>
                </c:pt>
                <c:pt idx="4">
                  <c:v>OT_RC1_0480</c:v>
                </c:pt>
                <c:pt idx="5">
                  <c:v>OT_RC1_0960</c:v>
                </c:pt>
                <c:pt idx="6">
                  <c:v>TOX21_BLA_Ago</c:v>
                </c:pt>
                <c:pt idx="7">
                  <c:v>TOX21_BLA_Ant</c:v>
                </c:pt>
                <c:pt idx="8">
                  <c:v>TOX21_LUC_Ago</c:v>
                </c:pt>
                <c:pt idx="9">
                  <c:v>TOX21_LUC_Ant</c:v>
                </c:pt>
                <c:pt idx="10">
                  <c:v>TOX21_LUC_Ant2</c:v>
                </c:pt>
              </c:strCache>
            </c:strRef>
          </c:cat>
          <c:val>
            <c:numRef>
              <c:f>Sheet1!$D$7:$N$7</c:f>
              <c:numCache>
                <c:formatCode>0.00</c:formatCode>
                <c:ptCount val="11"/>
                <c:pt idx="0">
                  <c:v>5.2631578947368416</c:v>
                </c:pt>
                <c:pt idx="1">
                  <c:v>33.333333333333343</c:v>
                </c:pt>
                <c:pt idx="2">
                  <c:v>10.52631578947368</c:v>
                </c:pt>
                <c:pt idx="3">
                  <c:v>42.857142857142833</c:v>
                </c:pt>
                <c:pt idx="4">
                  <c:v>42.857142857142833</c:v>
                </c:pt>
                <c:pt idx="5">
                  <c:v>42.857142857142833</c:v>
                </c:pt>
                <c:pt idx="6">
                  <c:v>73.333333333333286</c:v>
                </c:pt>
                <c:pt idx="7">
                  <c:v>9.3333333333333357</c:v>
                </c:pt>
                <c:pt idx="8">
                  <c:v>97.333333333333286</c:v>
                </c:pt>
                <c:pt idx="9">
                  <c:v>0</c:v>
                </c:pt>
                <c:pt idx="10">
                  <c:v>0</c:v>
                </c:pt>
              </c:numCache>
            </c:numRef>
          </c:val>
          <c:extLst>
            <c:ext xmlns:c16="http://schemas.microsoft.com/office/drawing/2014/chart" uri="{C3380CC4-5D6E-409C-BE32-E72D297353CC}">
              <c16:uniqueId val="{00000004-1134-41A4-BE49-618B7BB1C1CA}"/>
            </c:ext>
          </c:extLst>
        </c:ser>
        <c:ser>
          <c:idx val="5"/>
          <c:order val="5"/>
          <c:tx>
            <c:strRef>
              <c:f>Sheet1!$A$8</c:f>
              <c:strCache>
                <c:ptCount val="1"/>
                <c:pt idx="0">
                  <c:v>AR Alert 5</c:v>
                </c:pt>
              </c:strCache>
            </c:strRef>
          </c:tx>
          <c:spPr>
            <a:solidFill>
              <a:schemeClr val="accent2">
                <a:shade val="82000"/>
              </a:schemeClr>
            </a:solidFill>
            <a:ln>
              <a:noFill/>
            </a:ln>
            <a:effectLst/>
          </c:spPr>
          <c:invertIfNegative val="0"/>
          <c:cat>
            <c:strRef>
              <c:f>Sheet1!$D$2:$N$2</c:f>
              <c:strCache>
                <c:ptCount val="11"/>
                <c:pt idx="0">
                  <c:v>ATG_AR</c:v>
                </c:pt>
                <c:pt idx="1">
                  <c:v>NVS_hAR</c:v>
                </c:pt>
                <c:pt idx="2">
                  <c:v>NVS_rAR</c:v>
                </c:pt>
                <c:pt idx="3">
                  <c:v>OT_LUC_1440</c:v>
                </c:pt>
                <c:pt idx="4">
                  <c:v>OT_RC1_0480</c:v>
                </c:pt>
                <c:pt idx="5">
                  <c:v>OT_RC1_0960</c:v>
                </c:pt>
                <c:pt idx="6">
                  <c:v>TOX21_BLA_Ago</c:v>
                </c:pt>
                <c:pt idx="7">
                  <c:v>TOX21_BLA_Ant</c:v>
                </c:pt>
                <c:pt idx="8">
                  <c:v>TOX21_LUC_Ago</c:v>
                </c:pt>
                <c:pt idx="9">
                  <c:v>TOX21_LUC_Ant</c:v>
                </c:pt>
                <c:pt idx="10">
                  <c:v>TOX21_LUC_Ant2</c:v>
                </c:pt>
              </c:strCache>
            </c:strRef>
          </c:cat>
          <c:val>
            <c:numRef>
              <c:f>Sheet1!$D$8:$N$8</c:f>
              <c:numCache>
                <c:formatCode>0.00</c:formatCode>
                <c:ptCount val="11"/>
                <c:pt idx="0">
                  <c:v>28.571428571428569</c:v>
                </c:pt>
                <c:pt idx="1">
                  <c:v>53.846153846153861</c:v>
                </c:pt>
                <c:pt idx="2">
                  <c:v>28.571428571428569</c:v>
                </c:pt>
                <c:pt idx="3">
                  <c:v>87.5</c:v>
                </c:pt>
                <c:pt idx="4">
                  <c:v>75</c:v>
                </c:pt>
                <c:pt idx="5">
                  <c:v>75</c:v>
                </c:pt>
                <c:pt idx="6">
                  <c:v>85</c:v>
                </c:pt>
                <c:pt idx="7">
                  <c:v>7.5</c:v>
                </c:pt>
                <c:pt idx="8">
                  <c:v>90</c:v>
                </c:pt>
                <c:pt idx="9">
                  <c:v>2.5</c:v>
                </c:pt>
                <c:pt idx="10">
                  <c:v>6.4516129032258061</c:v>
                </c:pt>
              </c:numCache>
            </c:numRef>
          </c:val>
          <c:extLst>
            <c:ext xmlns:c16="http://schemas.microsoft.com/office/drawing/2014/chart" uri="{C3380CC4-5D6E-409C-BE32-E72D297353CC}">
              <c16:uniqueId val="{00000005-1134-41A4-BE49-618B7BB1C1CA}"/>
            </c:ext>
          </c:extLst>
        </c:ser>
        <c:ser>
          <c:idx val="6"/>
          <c:order val="6"/>
          <c:tx>
            <c:strRef>
              <c:f>Sheet1!$A$9</c:f>
              <c:strCache>
                <c:ptCount val="1"/>
                <c:pt idx="0">
                  <c:v>AR Alert 6</c:v>
                </c:pt>
              </c:strCache>
            </c:strRef>
          </c:tx>
          <c:spPr>
            <a:solidFill>
              <a:schemeClr val="accent2">
                <a:shade val="91000"/>
              </a:schemeClr>
            </a:solidFill>
            <a:ln>
              <a:noFill/>
            </a:ln>
            <a:effectLst/>
          </c:spPr>
          <c:invertIfNegative val="0"/>
          <c:cat>
            <c:strRef>
              <c:f>Sheet1!$D$2:$N$2</c:f>
              <c:strCache>
                <c:ptCount val="11"/>
                <c:pt idx="0">
                  <c:v>ATG_AR</c:v>
                </c:pt>
                <c:pt idx="1">
                  <c:v>NVS_hAR</c:v>
                </c:pt>
                <c:pt idx="2">
                  <c:v>NVS_rAR</c:v>
                </c:pt>
                <c:pt idx="3">
                  <c:v>OT_LUC_1440</c:v>
                </c:pt>
                <c:pt idx="4">
                  <c:v>OT_RC1_0480</c:v>
                </c:pt>
                <c:pt idx="5">
                  <c:v>OT_RC1_0960</c:v>
                </c:pt>
                <c:pt idx="6">
                  <c:v>TOX21_BLA_Ago</c:v>
                </c:pt>
                <c:pt idx="7">
                  <c:v>TOX21_BLA_Ant</c:v>
                </c:pt>
                <c:pt idx="8">
                  <c:v>TOX21_LUC_Ago</c:v>
                </c:pt>
                <c:pt idx="9">
                  <c:v>TOX21_LUC_Ant</c:v>
                </c:pt>
                <c:pt idx="10">
                  <c:v>TOX21_LUC_Ant2</c:v>
                </c:pt>
              </c:strCache>
            </c:strRef>
          </c:cat>
          <c:val>
            <c:numRef>
              <c:f>Sheet1!$D$9:$N$9</c:f>
              <c:numCache>
                <c:formatCode>0.00</c:formatCode>
                <c:ptCount val="11"/>
                <c:pt idx="0">
                  <c:v>26.666666666666671</c:v>
                </c:pt>
                <c:pt idx="1">
                  <c:v>50</c:v>
                </c:pt>
                <c:pt idx="2">
                  <c:v>37.5</c:v>
                </c:pt>
                <c:pt idx="3">
                  <c:v>88.8888888888888</c:v>
                </c:pt>
                <c:pt idx="4">
                  <c:v>88.8888888888888</c:v>
                </c:pt>
                <c:pt idx="5">
                  <c:v>88.8888888888888</c:v>
                </c:pt>
                <c:pt idx="6">
                  <c:v>75.438596491228097</c:v>
                </c:pt>
                <c:pt idx="7">
                  <c:v>17.543859649122801</c:v>
                </c:pt>
                <c:pt idx="8">
                  <c:v>94.73684210526315</c:v>
                </c:pt>
                <c:pt idx="9">
                  <c:v>3.5087719298245612</c:v>
                </c:pt>
                <c:pt idx="10">
                  <c:v>2.6315789473684208</c:v>
                </c:pt>
              </c:numCache>
            </c:numRef>
          </c:val>
          <c:extLst>
            <c:ext xmlns:c16="http://schemas.microsoft.com/office/drawing/2014/chart" uri="{C3380CC4-5D6E-409C-BE32-E72D297353CC}">
              <c16:uniqueId val="{00000006-1134-41A4-BE49-618B7BB1C1CA}"/>
            </c:ext>
          </c:extLst>
        </c:ser>
        <c:ser>
          <c:idx val="7"/>
          <c:order val="7"/>
          <c:tx>
            <c:strRef>
              <c:f>Sheet1!$A$10</c:f>
              <c:strCache>
                <c:ptCount val="1"/>
                <c:pt idx="0">
                  <c:v>AR Alert 7</c:v>
                </c:pt>
              </c:strCache>
            </c:strRef>
          </c:tx>
          <c:spPr>
            <a:solidFill>
              <a:schemeClr val="accent2"/>
            </a:solidFill>
            <a:ln>
              <a:noFill/>
            </a:ln>
            <a:effectLst/>
          </c:spPr>
          <c:invertIfNegative val="0"/>
          <c:cat>
            <c:strRef>
              <c:f>Sheet1!$D$2:$N$2</c:f>
              <c:strCache>
                <c:ptCount val="11"/>
                <c:pt idx="0">
                  <c:v>ATG_AR</c:v>
                </c:pt>
                <c:pt idx="1">
                  <c:v>NVS_hAR</c:v>
                </c:pt>
                <c:pt idx="2">
                  <c:v>NVS_rAR</c:v>
                </c:pt>
                <c:pt idx="3">
                  <c:v>OT_LUC_1440</c:v>
                </c:pt>
                <c:pt idx="4">
                  <c:v>OT_RC1_0480</c:v>
                </c:pt>
                <c:pt idx="5">
                  <c:v>OT_RC1_0960</c:v>
                </c:pt>
                <c:pt idx="6">
                  <c:v>TOX21_BLA_Ago</c:v>
                </c:pt>
                <c:pt idx="7">
                  <c:v>TOX21_BLA_Ant</c:v>
                </c:pt>
                <c:pt idx="8">
                  <c:v>TOX21_LUC_Ago</c:v>
                </c:pt>
                <c:pt idx="9">
                  <c:v>TOX21_LUC_Ant</c:v>
                </c:pt>
                <c:pt idx="10">
                  <c:v>TOX21_LUC_Ant2</c:v>
                </c:pt>
              </c:strCache>
            </c:strRef>
          </c:cat>
          <c:val>
            <c:numRef>
              <c:f>Sheet1!$D$10:$N$10</c:f>
              <c:numCache>
                <c:formatCode>0.00</c:formatCode>
                <c:ptCount val="11"/>
                <c:pt idx="0">
                  <c:v>22.58064516129032</c:v>
                </c:pt>
                <c:pt idx="1">
                  <c:v>39.285714285714278</c:v>
                </c:pt>
                <c:pt idx="2">
                  <c:v>16.12903225806452</c:v>
                </c:pt>
                <c:pt idx="3">
                  <c:v>61.53846153846154</c:v>
                </c:pt>
                <c:pt idx="4">
                  <c:v>53.846153846153861</c:v>
                </c:pt>
                <c:pt idx="5">
                  <c:v>53.846153846153861</c:v>
                </c:pt>
                <c:pt idx="6">
                  <c:v>74.774774774774727</c:v>
                </c:pt>
                <c:pt idx="7">
                  <c:v>9.9099099099099099</c:v>
                </c:pt>
                <c:pt idx="8">
                  <c:v>94.594594594594582</c:v>
                </c:pt>
                <c:pt idx="9">
                  <c:v>0.90090090090090102</c:v>
                </c:pt>
                <c:pt idx="10">
                  <c:v>3.947368421052631</c:v>
                </c:pt>
              </c:numCache>
            </c:numRef>
          </c:val>
          <c:extLst>
            <c:ext xmlns:c16="http://schemas.microsoft.com/office/drawing/2014/chart" uri="{C3380CC4-5D6E-409C-BE32-E72D297353CC}">
              <c16:uniqueId val="{00000007-1134-41A4-BE49-618B7BB1C1CA}"/>
            </c:ext>
          </c:extLst>
        </c:ser>
        <c:ser>
          <c:idx val="8"/>
          <c:order val="8"/>
          <c:tx>
            <c:strRef>
              <c:f>Sheet1!$A$11</c:f>
              <c:strCache>
                <c:ptCount val="1"/>
                <c:pt idx="0">
                  <c:v>AR Alert 9</c:v>
                </c:pt>
              </c:strCache>
            </c:strRef>
          </c:tx>
          <c:spPr>
            <a:solidFill>
              <a:schemeClr val="accent2">
                <a:tint val="92000"/>
              </a:schemeClr>
            </a:solidFill>
            <a:ln>
              <a:noFill/>
            </a:ln>
            <a:effectLst/>
          </c:spPr>
          <c:invertIfNegative val="0"/>
          <c:cat>
            <c:strRef>
              <c:f>Sheet1!$D$2:$N$2</c:f>
              <c:strCache>
                <c:ptCount val="11"/>
                <c:pt idx="0">
                  <c:v>ATG_AR</c:v>
                </c:pt>
                <c:pt idx="1">
                  <c:v>NVS_hAR</c:v>
                </c:pt>
                <c:pt idx="2">
                  <c:v>NVS_rAR</c:v>
                </c:pt>
                <c:pt idx="3">
                  <c:v>OT_LUC_1440</c:v>
                </c:pt>
                <c:pt idx="4">
                  <c:v>OT_RC1_0480</c:v>
                </c:pt>
                <c:pt idx="5">
                  <c:v>OT_RC1_0960</c:v>
                </c:pt>
                <c:pt idx="6">
                  <c:v>TOX21_BLA_Ago</c:v>
                </c:pt>
                <c:pt idx="7">
                  <c:v>TOX21_BLA_Ant</c:v>
                </c:pt>
                <c:pt idx="8">
                  <c:v>TOX21_LUC_Ago</c:v>
                </c:pt>
                <c:pt idx="9">
                  <c:v>TOX21_LUC_Ant</c:v>
                </c:pt>
                <c:pt idx="10">
                  <c:v>TOX21_LUC_Ant2</c:v>
                </c:pt>
              </c:strCache>
            </c:strRef>
          </c:cat>
          <c:val>
            <c:numRef>
              <c:f>Sheet1!$D$11:$N$11</c:f>
              <c:numCache>
                <c:formatCode>0.00</c:formatCode>
                <c:ptCount val="11"/>
                <c:pt idx="0">
                  <c:v>0</c:v>
                </c:pt>
                <c:pt idx="1">
                  <c:v>55.555555555555557</c:v>
                </c:pt>
                <c:pt idx="2">
                  <c:v>33.333333333333343</c:v>
                </c:pt>
                <c:pt idx="3">
                  <c:v>50</c:v>
                </c:pt>
                <c:pt idx="4">
                  <c:v>50</c:v>
                </c:pt>
                <c:pt idx="5">
                  <c:v>87.5</c:v>
                </c:pt>
                <c:pt idx="6">
                  <c:v>47.058823529411747</c:v>
                </c:pt>
                <c:pt idx="7">
                  <c:v>29.411764705882351</c:v>
                </c:pt>
                <c:pt idx="8">
                  <c:v>58.823529411764703</c:v>
                </c:pt>
                <c:pt idx="9">
                  <c:v>5.8823529411764683</c:v>
                </c:pt>
                <c:pt idx="10">
                  <c:v>45.454545454545418</c:v>
                </c:pt>
              </c:numCache>
            </c:numRef>
          </c:val>
          <c:extLst>
            <c:ext xmlns:c16="http://schemas.microsoft.com/office/drawing/2014/chart" uri="{C3380CC4-5D6E-409C-BE32-E72D297353CC}">
              <c16:uniqueId val="{00000008-1134-41A4-BE49-618B7BB1C1CA}"/>
            </c:ext>
          </c:extLst>
        </c:ser>
        <c:ser>
          <c:idx val="9"/>
          <c:order val="9"/>
          <c:tx>
            <c:strRef>
              <c:f>Sheet1!$A$12</c:f>
              <c:strCache>
                <c:ptCount val="1"/>
                <c:pt idx="0">
                  <c:v>AR Alert 13</c:v>
                </c:pt>
              </c:strCache>
            </c:strRef>
          </c:tx>
          <c:spPr>
            <a:solidFill>
              <a:schemeClr val="accent2">
                <a:tint val="83000"/>
              </a:schemeClr>
            </a:solidFill>
            <a:ln>
              <a:noFill/>
            </a:ln>
            <a:effectLst/>
          </c:spPr>
          <c:invertIfNegative val="0"/>
          <c:cat>
            <c:strRef>
              <c:f>Sheet1!$D$2:$N$2</c:f>
              <c:strCache>
                <c:ptCount val="11"/>
                <c:pt idx="0">
                  <c:v>ATG_AR</c:v>
                </c:pt>
                <c:pt idx="1">
                  <c:v>NVS_hAR</c:v>
                </c:pt>
                <c:pt idx="2">
                  <c:v>NVS_rAR</c:v>
                </c:pt>
                <c:pt idx="3">
                  <c:v>OT_LUC_1440</c:v>
                </c:pt>
                <c:pt idx="4">
                  <c:v>OT_RC1_0480</c:v>
                </c:pt>
                <c:pt idx="5">
                  <c:v>OT_RC1_0960</c:v>
                </c:pt>
                <c:pt idx="6">
                  <c:v>TOX21_BLA_Ago</c:v>
                </c:pt>
                <c:pt idx="7">
                  <c:v>TOX21_BLA_Ant</c:v>
                </c:pt>
                <c:pt idx="8">
                  <c:v>TOX21_LUC_Ago</c:v>
                </c:pt>
                <c:pt idx="9">
                  <c:v>TOX21_LUC_Ant</c:v>
                </c:pt>
                <c:pt idx="10">
                  <c:v>TOX21_LUC_Ant2</c:v>
                </c:pt>
              </c:strCache>
            </c:strRef>
          </c:cat>
          <c:val>
            <c:numRef>
              <c:f>Sheet1!$D$12:$N$12</c:f>
              <c:numCache>
                <c:formatCode>0.00</c:formatCode>
                <c:ptCount val="11"/>
                <c:pt idx="0">
                  <c:v>0</c:v>
                </c:pt>
                <c:pt idx="1">
                  <c:v>0</c:v>
                </c:pt>
                <c:pt idx="2">
                  <c:v>0</c:v>
                </c:pt>
                <c:pt idx="3">
                  <c:v>0</c:v>
                </c:pt>
                <c:pt idx="4">
                  <c:v>0</c:v>
                </c:pt>
                <c:pt idx="5">
                  <c:v>0</c:v>
                </c:pt>
                <c:pt idx="6">
                  <c:v>0</c:v>
                </c:pt>
                <c:pt idx="7">
                  <c:v>68.75</c:v>
                </c:pt>
                <c:pt idx="8">
                  <c:v>0</c:v>
                </c:pt>
                <c:pt idx="9">
                  <c:v>93.75</c:v>
                </c:pt>
                <c:pt idx="10">
                  <c:v>93.75</c:v>
                </c:pt>
              </c:numCache>
            </c:numRef>
          </c:val>
          <c:extLst>
            <c:ext xmlns:c16="http://schemas.microsoft.com/office/drawing/2014/chart" uri="{C3380CC4-5D6E-409C-BE32-E72D297353CC}">
              <c16:uniqueId val="{00000009-1134-41A4-BE49-618B7BB1C1CA}"/>
            </c:ext>
          </c:extLst>
        </c:ser>
        <c:ser>
          <c:idx val="10"/>
          <c:order val="10"/>
          <c:tx>
            <c:strRef>
              <c:f>Sheet1!$A$13</c:f>
              <c:strCache>
                <c:ptCount val="1"/>
                <c:pt idx="0">
                  <c:v>AR Alert 19</c:v>
                </c:pt>
              </c:strCache>
            </c:strRef>
          </c:tx>
          <c:spPr>
            <a:solidFill>
              <a:schemeClr val="accent2">
                <a:tint val="74000"/>
              </a:schemeClr>
            </a:solidFill>
            <a:ln>
              <a:noFill/>
            </a:ln>
            <a:effectLst/>
          </c:spPr>
          <c:invertIfNegative val="0"/>
          <c:cat>
            <c:strRef>
              <c:f>Sheet1!$D$2:$N$2</c:f>
              <c:strCache>
                <c:ptCount val="11"/>
                <c:pt idx="0">
                  <c:v>ATG_AR</c:v>
                </c:pt>
                <c:pt idx="1">
                  <c:v>NVS_hAR</c:v>
                </c:pt>
                <c:pt idx="2">
                  <c:v>NVS_rAR</c:v>
                </c:pt>
                <c:pt idx="3">
                  <c:v>OT_LUC_1440</c:v>
                </c:pt>
                <c:pt idx="4">
                  <c:v>OT_RC1_0480</c:v>
                </c:pt>
                <c:pt idx="5">
                  <c:v>OT_RC1_0960</c:v>
                </c:pt>
                <c:pt idx="6">
                  <c:v>TOX21_BLA_Ago</c:v>
                </c:pt>
                <c:pt idx="7">
                  <c:v>TOX21_BLA_Ant</c:v>
                </c:pt>
                <c:pt idx="8">
                  <c:v>TOX21_LUC_Ago</c:v>
                </c:pt>
                <c:pt idx="9">
                  <c:v>TOX21_LUC_Ant</c:v>
                </c:pt>
                <c:pt idx="10">
                  <c:v>TOX21_LUC_Ant2</c:v>
                </c:pt>
              </c:strCache>
            </c:strRef>
          </c:cat>
          <c:val>
            <c:numRef>
              <c:f>Sheet1!$D$13:$N$13</c:f>
              <c:numCache>
                <c:formatCode>0.00</c:formatCode>
                <c:ptCount val="11"/>
                <c:pt idx="0">
                  <c:v>21.95121951219512</c:v>
                </c:pt>
                <c:pt idx="1">
                  <c:v>39.473684210526287</c:v>
                </c:pt>
                <c:pt idx="2">
                  <c:v>21.428571428571431</c:v>
                </c:pt>
                <c:pt idx="3">
                  <c:v>61.904761904761912</c:v>
                </c:pt>
                <c:pt idx="4">
                  <c:v>52.38095238095238</c:v>
                </c:pt>
                <c:pt idx="5">
                  <c:v>61.904761904761912</c:v>
                </c:pt>
                <c:pt idx="6">
                  <c:v>67.532467532467464</c:v>
                </c:pt>
                <c:pt idx="7">
                  <c:v>15.584415584415581</c:v>
                </c:pt>
                <c:pt idx="8">
                  <c:v>89.610389610389561</c:v>
                </c:pt>
                <c:pt idx="9">
                  <c:v>3.2467532467532472</c:v>
                </c:pt>
                <c:pt idx="10">
                  <c:v>8.5714285714285712</c:v>
                </c:pt>
              </c:numCache>
            </c:numRef>
          </c:val>
          <c:extLst>
            <c:ext xmlns:c16="http://schemas.microsoft.com/office/drawing/2014/chart" uri="{C3380CC4-5D6E-409C-BE32-E72D297353CC}">
              <c16:uniqueId val="{0000000A-1134-41A4-BE49-618B7BB1C1CA}"/>
            </c:ext>
          </c:extLst>
        </c:ser>
        <c:ser>
          <c:idx val="11"/>
          <c:order val="11"/>
          <c:tx>
            <c:strRef>
              <c:f>Sheet1!$A$14</c:f>
              <c:strCache>
                <c:ptCount val="1"/>
                <c:pt idx="0">
                  <c:v>AR Alert 20</c:v>
                </c:pt>
              </c:strCache>
            </c:strRef>
          </c:tx>
          <c:spPr>
            <a:solidFill>
              <a:schemeClr val="accent2">
                <a:tint val="65000"/>
              </a:schemeClr>
            </a:solidFill>
            <a:ln>
              <a:noFill/>
            </a:ln>
            <a:effectLst/>
          </c:spPr>
          <c:invertIfNegative val="0"/>
          <c:cat>
            <c:strRef>
              <c:f>Sheet1!$D$2:$N$2</c:f>
              <c:strCache>
                <c:ptCount val="11"/>
                <c:pt idx="0">
                  <c:v>ATG_AR</c:v>
                </c:pt>
                <c:pt idx="1">
                  <c:v>NVS_hAR</c:v>
                </c:pt>
                <c:pt idx="2">
                  <c:v>NVS_rAR</c:v>
                </c:pt>
                <c:pt idx="3">
                  <c:v>OT_LUC_1440</c:v>
                </c:pt>
                <c:pt idx="4">
                  <c:v>OT_RC1_0480</c:v>
                </c:pt>
                <c:pt idx="5">
                  <c:v>OT_RC1_0960</c:v>
                </c:pt>
                <c:pt idx="6">
                  <c:v>TOX21_BLA_Ago</c:v>
                </c:pt>
                <c:pt idx="7">
                  <c:v>TOX21_BLA_Ant</c:v>
                </c:pt>
                <c:pt idx="8">
                  <c:v>TOX21_LUC_Ago</c:v>
                </c:pt>
                <c:pt idx="9">
                  <c:v>TOX21_LUC_Ant</c:v>
                </c:pt>
                <c:pt idx="10">
                  <c:v>TOX21_LUC_Ant2</c:v>
                </c:pt>
              </c:strCache>
            </c:strRef>
          </c:cat>
          <c:val>
            <c:numRef>
              <c:f>Sheet1!$D$14:$N$14</c:f>
              <c:numCache>
                <c:formatCode>0.00</c:formatCode>
                <c:ptCount val="11"/>
                <c:pt idx="0">
                  <c:v>21.276595744680851</c:v>
                </c:pt>
                <c:pt idx="1">
                  <c:v>36.363636363636331</c:v>
                </c:pt>
                <c:pt idx="2">
                  <c:v>25</c:v>
                </c:pt>
                <c:pt idx="3">
                  <c:v>60</c:v>
                </c:pt>
                <c:pt idx="4">
                  <c:v>56</c:v>
                </c:pt>
                <c:pt idx="5">
                  <c:v>60</c:v>
                </c:pt>
                <c:pt idx="6">
                  <c:v>62.5</c:v>
                </c:pt>
                <c:pt idx="7">
                  <c:v>21.022727272727241</c:v>
                </c:pt>
                <c:pt idx="8">
                  <c:v>83.522727272727195</c:v>
                </c:pt>
                <c:pt idx="9">
                  <c:v>5.6818181818181817</c:v>
                </c:pt>
                <c:pt idx="10">
                  <c:v>12.90322580645161</c:v>
                </c:pt>
              </c:numCache>
            </c:numRef>
          </c:val>
          <c:extLst>
            <c:ext xmlns:c16="http://schemas.microsoft.com/office/drawing/2014/chart" uri="{C3380CC4-5D6E-409C-BE32-E72D297353CC}">
              <c16:uniqueId val="{0000000B-1134-41A4-BE49-618B7BB1C1CA}"/>
            </c:ext>
          </c:extLst>
        </c:ser>
        <c:ser>
          <c:idx val="12"/>
          <c:order val="12"/>
          <c:tx>
            <c:strRef>
              <c:f>Sheet1!$A$15</c:f>
              <c:strCache>
                <c:ptCount val="1"/>
                <c:pt idx="0">
                  <c:v>AR Alert 30</c:v>
                </c:pt>
              </c:strCache>
            </c:strRef>
          </c:tx>
          <c:spPr>
            <a:solidFill>
              <a:schemeClr val="accent2">
                <a:tint val="57000"/>
              </a:schemeClr>
            </a:solidFill>
            <a:ln>
              <a:noFill/>
            </a:ln>
            <a:effectLst/>
          </c:spPr>
          <c:invertIfNegative val="0"/>
          <c:cat>
            <c:strRef>
              <c:f>Sheet1!$D$2:$N$2</c:f>
              <c:strCache>
                <c:ptCount val="11"/>
                <c:pt idx="0">
                  <c:v>ATG_AR</c:v>
                </c:pt>
                <c:pt idx="1">
                  <c:v>NVS_hAR</c:v>
                </c:pt>
                <c:pt idx="2">
                  <c:v>NVS_rAR</c:v>
                </c:pt>
                <c:pt idx="3">
                  <c:v>OT_LUC_1440</c:v>
                </c:pt>
                <c:pt idx="4">
                  <c:v>OT_RC1_0480</c:v>
                </c:pt>
                <c:pt idx="5">
                  <c:v>OT_RC1_0960</c:v>
                </c:pt>
                <c:pt idx="6">
                  <c:v>TOX21_BLA_Ago</c:v>
                </c:pt>
                <c:pt idx="7">
                  <c:v>TOX21_BLA_Ant</c:v>
                </c:pt>
                <c:pt idx="8">
                  <c:v>TOX21_LUC_Ago</c:v>
                </c:pt>
                <c:pt idx="9">
                  <c:v>TOX21_LUC_Ant</c:v>
                </c:pt>
                <c:pt idx="10">
                  <c:v>TOX21_LUC_Ant2</c:v>
                </c:pt>
              </c:strCache>
            </c:strRef>
          </c:cat>
          <c:val>
            <c:numRef>
              <c:f>Sheet1!$D$15:$N$15</c:f>
              <c:numCache>
                <c:formatCode>0.00</c:formatCode>
                <c:ptCount val="11"/>
                <c:pt idx="0">
                  <c:v>15.87301587301587</c:v>
                </c:pt>
                <c:pt idx="1">
                  <c:v>35</c:v>
                </c:pt>
                <c:pt idx="2">
                  <c:v>25</c:v>
                </c:pt>
                <c:pt idx="3">
                  <c:v>58.974358974358971</c:v>
                </c:pt>
                <c:pt idx="4">
                  <c:v>41.025641025641001</c:v>
                </c:pt>
                <c:pt idx="5">
                  <c:v>53.846153846153861</c:v>
                </c:pt>
                <c:pt idx="6">
                  <c:v>55.924170616113742</c:v>
                </c:pt>
                <c:pt idx="7">
                  <c:v>23.69668246445498</c:v>
                </c:pt>
                <c:pt idx="8">
                  <c:v>74.881516587677723</c:v>
                </c:pt>
                <c:pt idx="9">
                  <c:v>8.5308056872037916</c:v>
                </c:pt>
                <c:pt idx="10">
                  <c:v>19.205298013245031</c:v>
                </c:pt>
              </c:numCache>
            </c:numRef>
          </c:val>
          <c:extLst>
            <c:ext xmlns:c16="http://schemas.microsoft.com/office/drawing/2014/chart" uri="{C3380CC4-5D6E-409C-BE32-E72D297353CC}">
              <c16:uniqueId val="{0000000C-1134-41A4-BE49-618B7BB1C1CA}"/>
            </c:ext>
          </c:extLst>
        </c:ser>
        <c:ser>
          <c:idx val="13"/>
          <c:order val="13"/>
          <c:tx>
            <c:strRef>
              <c:f>Sheet1!$A$16</c:f>
              <c:strCache>
                <c:ptCount val="1"/>
                <c:pt idx="0">
                  <c:v>AR Alert 51</c:v>
                </c:pt>
              </c:strCache>
            </c:strRef>
          </c:tx>
          <c:spPr>
            <a:solidFill>
              <a:schemeClr val="accent2">
                <a:tint val="48000"/>
              </a:schemeClr>
            </a:solidFill>
            <a:ln>
              <a:noFill/>
            </a:ln>
            <a:effectLst/>
          </c:spPr>
          <c:invertIfNegative val="0"/>
          <c:cat>
            <c:strRef>
              <c:f>Sheet1!$D$2:$N$2</c:f>
              <c:strCache>
                <c:ptCount val="11"/>
                <c:pt idx="0">
                  <c:v>ATG_AR</c:v>
                </c:pt>
                <c:pt idx="1">
                  <c:v>NVS_hAR</c:v>
                </c:pt>
                <c:pt idx="2">
                  <c:v>NVS_rAR</c:v>
                </c:pt>
                <c:pt idx="3">
                  <c:v>OT_LUC_1440</c:v>
                </c:pt>
                <c:pt idx="4">
                  <c:v>OT_RC1_0480</c:v>
                </c:pt>
                <c:pt idx="5">
                  <c:v>OT_RC1_0960</c:v>
                </c:pt>
                <c:pt idx="6">
                  <c:v>TOX21_BLA_Ago</c:v>
                </c:pt>
                <c:pt idx="7">
                  <c:v>TOX21_BLA_Ant</c:v>
                </c:pt>
                <c:pt idx="8">
                  <c:v>TOX21_LUC_Ago</c:v>
                </c:pt>
                <c:pt idx="9">
                  <c:v>TOX21_LUC_Ant</c:v>
                </c:pt>
                <c:pt idx="10">
                  <c:v>TOX21_LUC_Ant2</c:v>
                </c:pt>
              </c:strCache>
            </c:strRef>
          </c:cat>
          <c:val>
            <c:numRef>
              <c:f>Sheet1!$D$16:$N$16</c:f>
              <c:numCache>
                <c:formatCode>0.00</c:formatCode>
                <c:ptCount val="11"/>
                <c:pt idx="0">
                  <c:v>16.98113207547167</c:v>
                </c:pt>
                <c:pt idx="1">
                  <c:v>38.775510204081662</c:v>
                </c:pt>
                <c:pt idx="2">
                  <c:v>24.07407407407408</c:v>
                </c:pt>
                <c:pt idx="3">
                  <c:v>58.620689655172377</c:v>
                </c:pt>
                <c:pt idx="4">
                  <c:v>51.724137931034498</c:v>
                </c:pt>
                <c:pt idx="5">
                  <c:v>65.517241379310406</c:v>
                </c:pt>
                <c:pt idx="6">
                  <c:v>63.483146067415717</c:v>
                </c:pt>
                <c:pt idx="7">
                  <c:v>17.977528089887642</c:v>
                </c:pt>
                <c:pt idx="8">
                  <c:v>84.831460674157299</c:v>
                </c:pt>
                <c:pt idx="9">
                  <c:v>4.4943820224719087</c:v>
                </c:pt>
                <c:pt idx="10">
                  <c:v>11.5702479338843</c:v>
                </c:pt>
              </c:numCache>
            </c:numRef>
          </c:val>
          <c:extLst>
            <c:ext xmlns:c16="http://schemas.microsoft.com/office/drawing/2014/chart" uri="{C3380CC4-5D6E-409C-BE32-E72D297353CC}">
              <c16:uniqueId val="{0000000D-1134-41A4-BE49-618B7BB1C1CA}"/>
            </c:ext>
          </c:extLst>
        </c:ser>
        <c:ser>
          <c:idx val="14"/>
          <c:order val="14"/>
          <c:tx>
            <c:strRef>
              <c:f>Sheet1!$A$17</c:f>
              <c:strCache>
                <c:ptCount val="1"/>
                <c:pt idx="0">
                  <c:v>AR Alert 75</c:v>
                </c:pt>
              </c:strCache>
            </c:strRef>
          </c:tx>
          <c:spPr>
            <a:solidFill>
              <a:schemeClr val="accent2">
                <a:tint val="39000"/>
              </a:schemeClr>
            </a:solidFill>
            <a:ln>
              <a:noFill/>
            </a:ln>
            <a:effectLst/>
          </c:spPr>
          <c:invertIfNegative val="0"/>
          <c:cat>
            <c:strRef>
              <c:f>Sheet1!$D$2:$N$2</c:f>
              <c:strCache>
                <c:ptCount val="11"/>
                <c:pt idx="0">
                  <c:v>ATG_AR</c:v>
                </c:pt>
                <c:pt idx="1">
                  <c:v>NVS_hAR</c:v>
                </c:pt>
                <c:pt idx="2">
                  <c:v>NVS_rAR</c:v>
                </c:pt>
                <c:pt idx="3">
                  <c:v>OT_LUC_1440</c:v>
                </c:pt>
                <c:pt idx="4">
                  <c:v>OT_RC1_0480</c:v>
                </c:pt>
                <c:pt idx="5">
                  <c:v>OT_RC1_0960</c:v>
                </c:pt>
                <c:pt idx="6">
                  <c:v>TOX21_BLA_Ago</c:v>
                </c:pt>
                <c:pt idx="7">
                  <c:v>TOX21_BLA_Ant</c:v>
                </c:pt>
                <c:pt idx="8">
                  <c:v>TOX21_LUC_Ago</c:v>
                </c:pt>
                <c:pt idx="9">
                  <c:v>TOX21_LUC_Ant</c:v>
                </c:pt>
                <c:pt idx="10">
                  <c:v>TOX21_LUC_Ant2</c:v>
                </c:pt>
              </c:strCache>
            </c:strRef>
          </c:cat>
          <c:val>
            <c:numRef>
              <c:f>Sheet1!$D$17:$N$17</c:f>
              <c:numCache>
                <c:formatCode>0.00</c:formatCode>
                <c:ptCount val="11"/>
                <c:pt idx="0">
                  <c:v>22.58064516129032</c:v>
                </c:pt>
                <c:pt idx="1">
                  <c:v>40</c:v>
                </c:pt>
                <c:pt idx="2">
                  <c:v>37.5</c:v>
                </c:pt>
                <c:pt idx="3">
                  <c:v>66.666666666666671</c:v>
                </c:pt>
                <c:pt idx="4">
                  <c:v>61.904761904761912</c:v>
                </c:pt>
                <c:pt idx="5">
                  <c:v>71.428571428571388</c:v>
                </c:pt>
                <c:pt idx="6">
                  <c:v>66.304347826086854</c:v>
                </c:pt>
                <c:pt idx="7">
                  <c:v>21.739130434782609</c:v>
                </c:pt>
                <c:pt idx="8">
                  <c:v>80.434782608695656</c:v>
                </c:pt>
                <c:pt idx="9">
                  <c:v>4.3478260869565206</c:v>
                </c:pt>
                <c:pt idx="10">
                  <c:v>10.144927536231879</c:v>
                </c:pt>
              </c:numCache>
            </c:numRef>
          </c:val>
          <c:extLst>
            <c:ext xmlns:c16="http://schemas.microsoft.com/office/drawing/2014/chart" uri="{C3380CC4-5D6E-409C-BE32-E72D297353CC}">
              <c16:uniqueId val="{0000000E-1134-41A4-BE49-618B7BB1C1CA}"/>
            </c:ext>
          </c:extLst>
        </c:ser>
        <c:dLbls>
          <c:showLegendKey val="0"/>
          <c:showVal val="0"/>
          <c:showCatName val="0"/>
          <c:showSerName val="0"/>
          <c:showPercent val="0"/>
          <c:showBubbleSize val="0"/>
        </c:dLbls>
        <c:gapWidth val="219"/>
        <c:overlap val="-27"/>
        <c:axId val="486575224"/>
        <c:axId val="816573248"/>
      </c:barChart>
      <c:catAx>
        <c:axId val="48657522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ToxCast AR Assay Name</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16573248"/>
        <c:crosses val="autoZero"/>
        <c:auto val="1"/>
        <c:lblAlgn val="ctr"/>
        <c:lblOffset val="100"/>
        <c:noMultiLvlLbl val="0"/>
      </c:catAx>
      <c:valAx>
        <c:axId val="816573248"/>
        <c:scaling>
          <c:orientation val="minMax"/>
          <c:max val="1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Sensitivity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65752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ysClr val="window" lastClr="FFFFFF"/>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Sensitivities for each GR ToxCast Assay by Chemical Category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Sheet1!$A$3</c:f>
              <c:strCache>
                <c:ptCount val="1"/>
                <c:pt idx="0">
                  <c:v>GR Binders</c:v>
                </c:pt>
              </c:strCache>
            </c:strRef>
          </c:tx>
          <c:spPr>
            <a:solidFill>
              <a:schemeClr val="accent2">
                <a:shade val="37000"/>
              </a:schemeClr>
            </a:solidFill>
            <a:ln>
              <a:noFill/>
            </a:ln>
            <a:effectLst/>
          </c:spPr>
          <c:invertIfNegative val="0"/>
          <c:cat>
            <c:strRef>
              <c:f>Sheet1!$D$2:$H$2</c:f>
              <c:strCache>
                <c:ptCount val="5"/>
                <c:pt idx="0">
                  <c:v>ATG_GRE_CIS_up</c:v>
                </c:pt>
                <c:pt idx="1">
                  <c:v>ATG_GR_TRANS_up</c:v>
                </c:pt>
                <c:pt idx="2">
                  <c:v>NVS_NR_hGR</c:v>
                </c:pt>
                <c:pt idx="3">
                  <c:v>TOX21_GR_BLA_Agonist_ratio</c:v>
                </c:pt>
                <c:pt idx="4">
                  <c:v>TOX21_GR_BLA_Antagonist_ratio</c:v>
                </c:pt>
              </c:strCache>
            </c:strRef>
          </c:cat>
          <c:val>
            <c:numRef>
              <c:f>Sheet1!$D$3:$H$3</c:f>
              <c:numCache>
                <c:formatCode>0.00</c:formatCode>
                <c:ptCount val="5"/>
                <c:pt idx="0">
                  <c:v>6.7164179104477606</c:v>
                </c:pt>
                <c:pt idx="1">
                  <c:v>15.67164179104477</c:v>
                </c:pt>
                <c:pt idx="2">
                  <c:v>80.392156862745082</c:v>
                </c:pt>
                <c:pt idx="3">
                  <c:v>40.247678018575861</c:v>
                </c:pt>
                <c:pt idx="4">
                  <c:v>36.842105263157897</c:v>
                </c:pt>
              </c:numCache>
            </c:numRef>
          </c:val>
          <c:extLst>
            <c:ext xmlns:c16="http://schemas.microsoft.com/office/drawing/2014/chart" uri="{C3380CC4-5D6E-409C-BE32-E72D297353CC}">
              <c16:uniqueId val="{00000000-1975-4D1D-BE79-09DBA163A2B0}"/>
            </c:ext>
          </c:extLst>
        </c:ser>
        <c:ser>
          <c:idx val="1"/>
          <c:order val="1"/>
          <c:tx>
            <c:strRef>
              <c:f>Sheet1!$A$4</c:f>
              <c:strCache>
                <c:ptCount val="1"/>
                <c:pt idx="0">
                  <c:v>GR Alert 1</c:v>
                </c:pt>
              </c:strCache>
            </c:strRef>
          </c:tx>
          <c:spPr>
            <a:solidFill>
              <a:schemeClr val="accent2">
                <a:shade val="44000"/>
              </a:schemeClr>
            </a:solidFill>
            <a:ln>
              <a:noFill/>
            </a:ln>
            <a:effectLst/>
          </c:spPr>
          <c:invertIfNegative val="0"/>
          <c:cat>
            <c:strRef>
              <c:f>Sheet1!$D$2:$H$2</c:f>
              <c:strCache>
                <c:ptCount val="5"/>
                <c:pt idx="0">
                  <c:v>ATG_GRE_CIS_up</c:v>
                </c:pt>
                <c:pt idx="1">
                  <c:v>ATG_GR_TRANS_up</c:v>
                </c:pt>
                <c:pt idx="2">
                  <c:v>NVS_NR_hGR</c:v>
                </c:pt>
                <c:pt idx="3">
                  <c:v>TOX21_GR_BLA_Agonist_ratio</c:v>
                </c:pt>
                <c:pt idx="4">
                  <c:v>TOX21_GR_BLA_Antagonist_ratio</c:v>
                </c:pt>
              </c:strCache>
            </c:strRef>
          </c:cat>
          <c:val>
            <c:numRef>
              <c:f>Sheet1!$D$4:$H$4</c:f>
              <c:numCache>
                <c:formatCode>0.00</c:formatCode>
                <c:ptCount val="5"/>
                <c:pt idx="0">
                  <c:v>0</c:v>
                </c:pt>
                <c:pt idx="1">
                  <c:v>0</c:v>
                </c:pt>
                <c:pt idx="2">
                  <c:v>0</c:v>
                </c:pt>
                <c:pt idx="3">
                  <c:v>100</c:v>
                </c:pt>
                <c:pt idx="4">
                  <c:v>0</c:v>
                </c:pt>
              </c:numCache>
            </c:numRef>
          </c:val>
          <c:extLst>
            <c:ext xmlns:c16="http://schemas.microsoft.com/office/drawing/2014/chart" uri="{C3380CC4-5D6E-409C-BE32-E72D297353CC}">
              <c16:uniqueId val="{00000001-1975-4D1D-BE79-09DBA163A2B0}"/>
            </c:ext>
          </c:extLst>
        </c:ser>
        <c:ser>
          <c:idx val="2"/>
          <c:order val="2"/>
          <c:tx>
            <c:strRef>
              <c:f>Sheet1!$A$5</c:f>
              <c:strCache>
                <c:ptCount val="1"/>
                <c:pt idx="0">
                  <c:v>GR Alert 2</c:v>
                </c:pt>
              </c:strCache>
            </c:strRef>
          </c:tx>
          <c:spPr>
            <a:solidFill>
              <a:schemeClr val="accent2">
                <a:shade val="51000"/>
              </a:schemeClr>
            </a:solidFill>
            <a:ln>
              <a:noFill/>
            </a:ln>
            <a:effectLst/>
          </c:spPr>
          <c:invertIfNegative val="0"/>
          <c:cat>
            <c:strRef>
              <c:f>Sheet1!$D$2:$H$2</c:f>
              <c:strCache>
                <c:ptCount val="5"/>
                <c:pt idx="0">
                  <c:v>ATG_GRE_CIS_up</c:v>
                </c:pt>
                <c:pt idx="1">
                  <c:v>ATG_GR_TRANS_up</c:v>
                </c:pt>
                <c:pt idx="2">
                  <c:v>NVS_NR_hGR</c:v>
                </c:pt>
                <c:pt idx="3">
                  <c:v>TOX21_GR_BLA_Agonist_ratio</c:v>
                </c:pt>
                <c:pt idx="4">
                  <c:v>TOX21_GR_BLA_Antagonist_ratio</c:v>
                </c:pt>
              </c:strCache>
            </c:strRef>
          </c:cat>
          <c:val>
            <c:numRef>
              <c:f>Sheet1!$D$5:$H$5</c:f>
              <c:numCache>
                <c:formatCode>0.00</c:formatCode>
                <c:ptCount val="5"/>
                <c:pt idx="0">
                  <c:v>0</c:v>
                </c:pt>
                <c:pt idx="1">
                  <c:v>0</c:v>
                </c:pt>
                <c:pt idx="2">
                  <c:v>0</c:v>
                </c:pt>
                <c:pt idx="3">
                  <c:v>100</c:v>
                </c:pt>
                <c:pt idx="4">
                  <c:v>0</c:v>
                </c:pt>
              </c:numCache>
            </c:numRef>
          </c:val>
          <c:extLst>
            <c:ext xmlns:c16="http://schemas.microsoft.com/office/drawing/2014/chart" uri="{C3380CC4-5D6E-409C-BE32-E72D297353CC}">
              <c16:uniqueId val="{00000002-1975-4D1D-BE79-09DBA163A2B0}"/>
            </c:ext>
          </c:extLst>
        </c:ser>
        <c:ser>
          <c:idx val="3"/>
          <c:order val="3"/>
          <c:tx>
            <c:strRef>
              <c:f>Sheet1!$A$6</c:f>
              <c:strCache>
                <c:ptCount val="1"/>
                <c:pt idx="0">
                  <c:v>GR Alert 3</c:v>
                </c:pt>
              </c:strCache>
            </c:strRef>
          </c:tx>
          <c:spPr>
            <a:solidFill>
              <a:schemeClr val="accent2">
                <a:shade val="58000"/>
              </a:schemeClr>
            </a:solidFill>
            <a:ln>
              <a:noFill/>
            </a:ln>
            <a:effectLst/>
          </c:spPr>
          <c:invertIfNegative val="0"/>
          <c:cat>
            <c:strRef>
              <c:f>Sheet1!$D$2:$H$2</c:f>
              <c:strCache>
                <c:ptCount val="5"/>
                <c:pt idx="0">
                  <c:v>ATG_GRE_CIS_up</c:v>
                </c:pt>
                <c:pt idx="1">
                  <c:v>ATG_GR_TRANS_up</c:v>
                </c:pt>
                <c:pt idx="2">
                  <c:v>NVS_NR_hGR</c:v>
                </c:pt>
                <c:pt idx="3">
                  <c:v>TOX21_GR_BLA_Agonist_ratio</c:v>
                </c:pt>
                <c:pt idx="4">
                  <c:v>TOX21_GR_BLA_Antagonist_ratio</c:v>
                </c:pt>
              </c:strCache>
            </c:strRef>
          </c:cat>
          <c:val>
            <c:numRef>
              <c:f>Sheet1!$D$6:$H$6</c:f>
              <c:numCache>
                <c:formatCode>0.00</c:formatCode>
                <c:ptCount val="5"/>
                <c:pt idx="0">
                  <c:v>0</c:v>
                </c:pt>
                <c:pt idx="1">
                  <c:v>0</c:v>
                </c:pt>
                <c:pt idx="2">
                  <c:v>0</c:v>
                </c:pt>
                <c:pt idx="3">
                  <c:v>100</c:v>
                </c:pt>
                <c:pt idx="4">
                  <c:v>0</c:v>
                </c:pt>
              </c:numCache>
            </c:numRef>
          </c:val>
          <c:extLst>
            <c:ext xmlns:c16="http://schemas.microsoft.com/office/drawing/2014/chart" uri="{C3380CC4-5D6E-409C-BE32-E72D297353CC}">
              <c16:uniqueId val="{00000003-1975-4D1D-BE79-09DBA163A2B0}"/>
            </c:ext>
          </c:extLst>
        </c:ser>
        <c:ser>
          <c:idx val="4"/>
          <c:order val="4"/>
          <c:tx>
            <c:strRef>
              <c:f>Sheet1!$A$7</c:f>
              <c:strCache>
                <c:ptCount val="1"/>
                <c:pt idx="0">
                  <c:v>GR Alert 4</c:v>
                </c:pt>
              </c:strCache>
            </c:strRef>
          </c:tx>
          <c:spPr>
            <a:solidFill>
              <a:schemeClr val="accent2">
                <a:shade val="65000"/>
              </a:schemeClr>
            </a:solidFill>
            <a:ln>
              <a:noFill/>
            </a:ln>
            <a:effectLst/>
          </c:spPr>
          <c:invertIfNegative val="0"/>
          <c:cat>
            <c:strRef>
              <c:f>Sheet1!$D$2:$H$2</c:f>
              <c:strCache>
                <c:ptCount val="5"/>
                <c:pt idx="0">
                  <c:v>ATG_GRE_CIS_up</c:v>
                </c:pt>
                <c:pt idx="1">
                  <c:v>ATG_GR_TRANS_up</c:v>
                </c:pt>
                <c:pt idx="2">
                  <c:v>NVS_NR_hGR</c:v>
                </c:pt>
                <c:pt idx="3">
                  <c:v>TOX21_GR_BLA_Agonist_ratio</c:v>
                </c:pt>
                <c:pt idx="4">
                  <c:v>TOX21_GR_BLA_Antagonist_ratio</c:v>
                </c:pt>
              </c:strCache>
            </c:strRef>
          </c:cat>
          <c:val>
            <c:numRef>
              <c:f>Sheet1!$D$7:$H$7</c:f>
              <c:numCache>
                <c:formatCode>0.00</c:formatCode>
                <c:ptCount val="5"/>
                <c:pt idx="0">
                  <c:v>0</c:v>
                </c:pt>
                <c:pt idx="1">
                  <c:v>0</c:v>
                </c:pt>
                <c:pt idx="2">
                  <c:v>0</c:v>
                </c:pt>
                <c:pt idx="3">
                  <c:v>100</c:v>
                </c:pt>
                <c:pt idx="4">
                  <c:v>0</c:v>
                </c:pt>
              </c:numCache>
            </c:numRef>
          </c:val>
          <c:extLst>
            <c:ext xmlns:c16="http://schemas.microsoft.com/office/drawing/2014/chart" uri="{C3380CC4-5D6E-409C-BE32-E72D297353CC}">
              <c16:uniqueId val="{00000004-1975-4D1D-BE79-09DBA163A2B0}"/>
            </c:ext>
          </c:extLst>
        </c:ser>
        <c:ser>
          <c:idx val="5"/>
          <c:order val="5"/>
          <c:tx>
            <c:strRef>
              <c:f>Sheet1!$A$8</c:f>
              <c:strCache>
                <c:ptCount val="1"/>
                <c:pt idx="0">
                  <c:v>GR Alert 5</c:v>
                </c:pt>
              </c:strCache>
            </c:strRef>
          </c:tx>
          <c:spPr>
            <a:solidFill>
              <a:schemeClr val="accent2">
                <a:shade val="72000"/>
              </a:schemeClr>
            </a:solidFill>
            <a:ln>
              <a:noFill/>
            </a:ln>
            <a:effectLst/>
          </c:spPr>
          <c:invertIfNegative val="0"/>
          <c:cat>
            <c:strRef>
              <c:f>Sheet1!$D$2:$H$2</c:f>
              <c:strCache>
                <c:ptCount val="5"/>
                <c:pt idx="0">
                  <c:v>ATG_GRE_CIS_up</c:v>
                </c:pt>
                <c:pt idx="1">
                  <c:v>ATG_GR_TRANS_up</c:v>
                </c:pt>
                <c:pt idx="2">
                  <c:v>NVS_NR_hGR</c:v>
                </c:pt>
                <c:pt idx="3">
                  <c:v>TOX21_GR_BLA_Agonist_ratio</c:v>
                </c:pt>
                <c:pt idx="4">
                  <c:v>TOX21_GR_BLA_Antagonist_ratio</c:v>
                </c:pt>
              </c:strCache>
            </c:strRef>
          </c:cat>
          <c:val>
            <c:numRef>
              <c:f>Sheet1!$D$8:$H$8</c:f>
              <c:numCache>
                <c:formatCode>0.00</c:formatCode>
                <c:ptCount val="5"/>
                <c:pt idx="0">
                  <c:v>33.333333333333343</c:v>
                </c:pt>
                <c:pt idx="1">
                  <c:v>66.666666666666671</c:v>
                </c:pt>
                <c:pt idx="2">
                  <c:v>100</c:v>
                </c:pt>
                <c:pt idx="3">
                  <c:v>100</c:v>
                </c:pt>
                <c:pt idx="4">
                  <c:v>0</c:v>
                </c:pt>
              </c:numCache>
            </c:numRef>
          </c:val>
          <c:extLst>
            <c:ext xmlns:c16="http://schemas.microsoft.com/office/drawing/2014/chart" uri="{C3380CC4-5D6E-409C-BE32-E72D297353CC}">
              <c16:uniqueId val="{00000005-1975-4D1D-BE79-09DBA163A2B0}"/>
            </c:ext>
          </c:extLst>
        </c:ser>
        <c:ser>
          <c:idx val="6"/>
          <c:order val="6"/>
          <c:tx>
            <c:strRef>
              <c:f>Sheet1!$A$9</c:f>
              <c:strCache>
                <c:ptCount val="1"/>
                <c:pt idx="0">
                  <c:v>GR Alert 6</c:v>
                </c:pt>
              </c:strCache>
            </c:strRef>
          </c:tx>
          <c:spPr>
            <a:solidFill>
              <a:schemeClr val="accent2">
                <a:shade val="79000"/>
              </a:schemeClr>
            </a:solidFill>
            <a:ln>
              <a:noFill/>
            </a:ln>
            <a:effectLst/>
          </c:spPr>
          <c:invertIfNegative val="0"/>
          <c:cat>
            <c:strRef>
              <c:f>Sheet1!$D$2:$H$2</c:f>
              <c:strCache>
                <c:ptCount val="5"/>
                <c:pt idx="0">
                  <c:v>ATG_GRE_CIS_up</c:v>
                </c:pt>
                <c:pt idx="1">
                  <c:v>ATG_GR_TRANS_up</c:v>
                </c:pt>
                <c:pt idx="2">
                  <c:v>NVS_NR_hGR</c:v>
                </c:pt>
                <c:pt idx="3">
                  <c:v>TOX21_GR_BLA_Agonist_ratio</c:v>
                </c:pt>
                <c:pt idx="4">
                  <c:v>TOX21_GR_BLA_Antagonist_ratio</c:v>
                </c:pt>
              </c:strCache>
            </c:strRef>
          </c:cat>
          <c:val>
            <c:numRef>
              <c:f>Sheet1!$D$9:$H$9</c:f>
              <c:numCache>
                <c:formatCode>0.00</c:formatCode>
                <c:ptCount val="5"/>
                <c:pt idx="0">
                  <c:v>0</c:v>
                </c:pt>
                <c:pt idx="1">
                  <c:v>0</c:v>
                </c:pt>
                <c:pt idx="2">
                  <c:v>0</c:v>
                </c:pt>
                <c:pt idx="3">
                  <c:v>100</c:v>
                </c:pt>
                <c:pt idx="4">
                  <c:v>0</c:v>
                </c:pt>
              </c:numCache>
            </c:numRef>
          </c:val>
          <c:extLst>
            <c:ext xmlns:c16="http://schemas.microsoft.com/office/drawing/2014/chart" uri="{C3380CC4-5D6E-409C-BE32-E72D297353CC}">
              <c16:uniqueId val="{00000006-1975-4D1D-BE79-09DBA163A2B0}"/>
            </c:ext>
          </c:extLst>
        </c:ser>
        <c:ser>
          <c:idx val="7"/>
          <c:order val="7"/>
          <c:tx>
            <c:strRef>
              <c:f>Sheet1!$A$10</c:f>
              <c:strCache>
                <c:ptCount val="1"/>
                <c:pt idx="0">
                  <c:v>GR Alert 7</c:v>
                </c:pt>
              </c:strCache>
            </c:strRef>
          </c:tx>
          <c:spPr>
            <a:solidFill>
              <a:schemeClr val="accent2">
                <a:shade val="86000"/>
              </a:schemeClr>
            </a:solidFill>
            <a:ln>
              <a:noFill/>
            </a:ln>
            <a:effectLst/>
          </c:spPr>
          <c:invertIfNegative val="0"/>
          <c:cat>
            <c:strRef>
              <c:f>Sheet1!$D$2:$H$2</c:f>
              <c:strCache>
                <c:ptCount val="5"/>
                <c:pt idx="0">
                  <c:v>ATG_GRE_CIS_up</c:v>
                </c:pt>
                <c:pt idx="1">
                  <c:v>ATG_GR_TRANS_up</c:v>
                </c:pt>
                <c:pt idx="2">
                  <c:v>NVS_NR_hGR</c:v>
                </c:pt>
                <c:pt idx="3">
                  <c:v>TOX21_GR_BLA_Agonist_ratio</c:v>
                </c:pt>
                <c:pt idx="4">
                  <c:v>TOX21_GR_BLA_Antagonist_ratio</c:v>
                </c:pt>
              </c:strCache>
            </c:strRef>
          </c:cat>
          <c:val>
            <c:numRef>
              <c:f>Sheet1!$D$10:$H$10</c:f>
              <c:numCache>
                <c:formatCode>0.00</c:formatCode>
                <c:ptCount val="5"/>
                <c:pt idx="0">
                  <c:v>0</c:v>
                </c:pt>
                <c:pt idx="1">
                  <c:v>33.333333333333343</c:v>
                </c:pt>
                <c:pt idx="2">
                  <c:v>66.666666666666671</c:v>
                </c:pt>
                <c:pt idx="3">
                  <c:v>62.5</c:v>
                </c:pt>
                <c:pt idx="4">
                  <c:v>25</c:v>
                </c:pt>
              </c:numCache>
            </c:numRef>
          </c:val>
          <c:extLst>
            <c:ext xmlns:c16="http://schemas.microsoft.com/office/drawing/2014/chart" uri="{C3380CC4-5D6E-409C-BE32-E72D297353CC}">
              <c16:uniqueId val="{00000007-1975-4D1D-BE79-09DBA163A2B0}"/>
            </c:ext>
          </c:extLst>
        </c:ser>
        <c:ser>
          <c:idx val="8"/>
          <c:order val="8"/>
          <c:tx>
            <c:strRef>
              <c:f>Sheet1!$A$11</c:f>
              <c:strCache>
                <c:ptCount val="1"/>
                <c:pt idx="0">
                  <c:v>GR Alert 8</c:v>
                </c:pt>
              </c:strCache>
            </c:strRef>
          </c:tx>
          <c:spPr>
            <a:solidFill>
              <a:schemeClr val="accent2">
                <a:shade val="93000"/>
              </a:schemeClr>
            </a:solidFill>
            <a:ln>
              <a:noFill/>
            </a:ln>
            <a:effectLst/>
          </c:spPr>
          <c:invertIfNegative val="0"/>
          <c:cat>
            <c:strRef>
              <c:f>Sheet1!$D$2:$H$2</c:f>
              <c:strCache>
                <c:ptCount val="5"/>
                <c:pt idx="0">
                  <c:v>ATG_GRE_CIS_up</c:v>
                </c:pt>
                <c:pt idx="1">
                  <c:v>ATG_GR_TRANS_up</c:v>
                </c:pt>
                <c:pt idx="2">
                  <c:v>NVS_NR_hGR</c:v>
                </c:pt>
                <c:pt idx="3">
                  <c:v>TOX21_GR_BLA_Agonist_ratio</c:v>
                </c:pt>
                <c:pt idx="4">
                  <c:v>TOX21_GR_BLA_Antagonist_ratio</c:v>
                </c:pt>
              </c:strCache>
            </c:strRef>
          </c:cat>
          <c:val>
            <c:numRef>
              <c:f>Sheet1!$D$11:$H$11</c:f>
              <c:numCache>
                <c:formatCode>0.00</c:formatCode>
                <c:ptCount val="5"/>
                <c:pt idx="0">
                  <c:v>50</c:v>
                </c:pt>
                <c:pt idx="1">
                  <c:v>50</c:v>
                </c:pt>
                <c:pt idx="2">
                  <c:v>100</c:v>
                </c:pt>
                <c:pt idx="3">
                  <c:v>16.666666666666671</c:v>
                </c:pt>
                <c:pt idx="4">
                  <c:v>83.333333333333286</c:v>
                </c:pt>
              </c:numCache>
            </c:numRef>
          </c:val>
          <c:extLst>
            <c:ext xmlns:c16="http://schemas.microsoft.com/office/drawing/2014/chart" uri="{C3380CC4-5D6E-409C-BE32-E72D297353CC}">
              <c16:uniqueId val="{00000008-1975-4D1D-BE79-09DBA163A2B0}"/>
            </c:ext>
          </c:extLst>
        </c:ser>
        <c:ser>
          <c:idx val="9"/>
          <c:order val="9"/>
          <c:tx>
            <c:strRef>
              <c:f>Sheet1!$A$12</c:f>
              <c:strCache>
                <c:ptCount val="1"/>
                <c:pt idx="0">
                  <c:v>GR Alert 10</c:v>
                </c:pt>
              </c:strCache>
            </c:strRef>
          </c:tx>
          <c:spPr>
            <a:solidFill>
              <a:schemeClr val="accent2"/>
            </a:solidFill>
            <a:ln>
              <a:noFill/>
            </a:ln>
            <a:effectLst/>
          </c:spPr>
          <c:invertIfNegative val="0"/>
          <c:cat>
            <c:strRef>
              <c:f>Sheet1!$D$2:$H$2</c:f>
              <c:strCache>
                <c:ptCount val="5"/>
                <c:pt idx="0">
                  <c:v>ATG_GRE_CIS_up</c:v>
                </c:pt>
                <c:pt idx="1">
                  <c:v>ATG_GR_TRANS_up</c:v>
                </c:pt>
                <c:pt idx="2">
                  <c:v>NVS_NR_hGR</c:v>
                </c:pt>
                <c:pt idx="3">
                  <c:v>TOX21_GR_BLA_Agonist_ratio</c:v>
                </c:pt>
                <c:pt idx="4">
                  <c:v>TOX21_GR_BLA_Antagonist_ratio</c:v>
                </c:pt>
              </c:strCache>
            </c:strRef>
          </c:cat>
          <c:val>
            <c:numRef>
              <c:f>Sheet1!$D$12:$H$12</c:f>
              <c:numCache>
                <c:formatCode>0.00</c:formatCode>
                <c:ptCount val="5"/>
                <c:pt idx="0">
                  <c:v>66.666666666666671</c:v>
                </c:pt>
                <c:pt idx="1">
                  <c:v>100</c:v>
                </c:pt>
                <c:pt idx="2">
                  <c:v>100</c:v>
                </c:pt>
                <c:pt idx="3">
                  <c:v>100</c:v>
                </c:pt>
                <c:pt idx="4">
                  <c:v>0</c:v>
                </c:pt>
              </c:numCache>
            </c:numRef>
          </c:val>
          <c:extLst>
            <c:ext xmlns:c16="http://schemas.microsoft.com/office/drawing/2014/chart" uri="{C3380CC4-5D6E-409C-BE32-E72D297353CC}">
              <c16:uniqueId val="{00000009-1975-4D1D-BE79-09DBA163A2B0}"/>
            </c:ext>
          </c:extLst>
        </c:ser>
        <c:ser>
          <c:idx val="10"/>
          <c:order val="10"/>
          <c:tx>
            <c:strRef>
              <c:f>Sheet1!$A$13</c:f>
              <c:strCache>
                <c:ptCount val="1"/>
                <c:pt idx="0">
                  <c:v>GR Alert 11</c:v>
                </c:pt>
              </c:strCache>
            </c:strRef>
          </c:tx>
          <c:spPr>
            <a:solidFill>
              <a:schemeClr val="accent2">
                <a:tint val="93000"/>
              </a:schemeClr>
            </a:solidFill>
            <a:ln>
              <a:noFill/>
            </a:ln>
            <a:effectLst/>
          </c:spPr>
          <c:invertIfNegative val="0"/>
          <c:cat>
            <c:strRef>
              <c:f>Sheet1!$D$2:$H$2</c:f>
              <c:strCache>
                <c:ptCount val="5"/>
                <c:pt idx="0">
                  <c:v>ATG_GRE_CIS_up</c:v>
                </c:pt>
                <c:pt idx="1">
                  <c:v>ATG_GR_TRANS_up</c:v>
                </c:pt>
                <c:pt idx="2">
                  <c:v>NVS_NR_hGR</c:v>
                </c:pt>
                <c:pt idx="3">
                  <c:v>TOX21_GR_BLA_Agonist_ratio</c:v>
                </c:pt>
                <c:pt idx="4">
                  <c:v>TOX21_GR_BLA_Antagonist_ratio</c:v>
                </c:pt>
              </c:strCache>
            </c:strRef>
          </c:cat>
          <c:val>
            <c:numRef>
              <c:f>Sheet1!$D$13:$H$13</c:f>
              <c:numCache>
                <c:formatCode>0.00</c:formatCode>
                <c:ptCount val="5"/>
                <c:pt idx="0">
                  <c:v>0</c:v>
                </c:pt>
                <c:pt idx="1">
                  <c:v>40</c:v>
                </c:pt>
                <c:pt idx="2">
                  <c:v>66.666666666666671</c:v>
                </c:pt>
                <c:pt idx="3">
                  <c:v>81.25</c:v>
                </c:pt>
                <c:pt idx="4">
                  <c:v>18.75</c:v>
                </c:pt>
              </c:numCache>
            </c:numRef>
          </c:val>
          <c:extLst>
            <c:ext xmlns:c16="http://schemas.microsoft.com/office/drawing/2014/chart" uri="{C3380CC4-5D6E-409C-BE32-E72D297353CC}">
              <c16:uniqueId val="{0000000A-1975-4D1D-BE79-09DBA163A2B0}"/>
            </c:ext>
          </c:extLst>
        </c:ser>
        <c:ser>
          <c:idx val="11"/>
          <c:order val="11"/>
          <c:tx>
            <c:strRef>
              <c:f>Sheet1!$A$14</c:f>
              <c:strCache>
                <c:ptCount val="1"/>
                <c:pt idx="0">
                  <c:v>GR Alert 12</c:v>
                </c:pt>
              </c:strCache>
            </c:strRef>
          </c:tx>
          <c:spPr>
            <a:solidFill>
              <a:schemeClr val="accent2">
                <a:tint val="86000"/>
              </a:schemeClr>
            </a:solidFill>
            <a:ln>
              <a:noFill/>
            </a:ln>
            <a:effectLst/>
          </c:spPr>
          <c:invertIfNegative val="0"/>
          <c:cat>
            <c:strRef>
              <c:f>Sheet1!$D$2:$H$2</c:f>
              <c:strCache>
                <c:ptCount val="5"/>
                <c:pt idx="0">
                  <c:v>ATG_GRE_CIS_up</c:v>
                </c:pt>
                <c:pt idx="1">
                  <c:v>ATG_GR_TRANS_up</c:v>
                </c:pt>
                <c:pt idx="2">
                  <c:v>NVS_NR_hGR</c:v>
                </c:pt>
                <c:pt idx="3">
                  <c:v>TOX21_GR_BLA_Agonist_ratio</c:v>
                </c:pt>
                <c:pt idx="4">
                  <c:v>TOX21_GR_BLA_Antagonist_ratio</c:v>
                </c:pt>
              </c:strCache>
            </c:strRef>
          </c:cat>
          <c:val>
            <c:numRef>
              <c:f>Sheet1!$D$14:$H$14</c:f>
              <c:numCache>
                <c:formatCode>0.00</c:formatCode>
                <c:ptCount val="5"/>
                <c:pt idx="0">
                  <c:v>0</c:v>
                </c:pt>
                <c:pt idx="1">
                  <c:v>33.333333333333343</c:v>
                </c:pt>
                <c:pt idx="2">
                  <c:v>100</c:v>
                </c:pt>
                <c:pt idx="3">
                  <c:v>30</c:v>
                </c:pt>
                <c:pt idx="4">
                  <c:v>50</c:v>
                </c:pt>
              </c:numCache>
            </c:numRef>
          </c:val>
          <c:extLst>
            <c:ext xmlns:c16="http://schemas.microsoft.com/office/drawing/2014/chart" uri="{C3380CC4-5D6E-409C-BE32-E72D297353CC}">
              <c16:uniqueId val="{0000000B-1975-4D1D-BE79-09DBA163A2B0}"/>
            </c:ext>
          </c:extLst>
        </c:ser>
        <c:ser>
          <c:idx val="12"/>
          <c:order val="12"/>
          <c:tx>
            <c:strRef>
              <c:f>Sheet1!$A$15</c:f>
              <c:strCache>
                <c:ptCount val="1"/>
                <c:pt idx="0">
                  <c:v>GR Alert 13</c:v>
                </c:pt>
              </c:strCache>
            </c:strRef>
          </c:tx>
          <c:spPr>
            <a:solidFill>
              <a:schemeClr val="accent2">
                <a:tint val="79000"/>
              </a:schemeClr>
            </a:solidFill>
            <a:ln>
              <a:noFill/>
            </a:ln>
            <a:effectLst/>
          </c:spPr>
          <c:invertIfNegative val="0"/>
          <c:cat>
            <c:strRef>
              <c:f>Sheet1!$D$2:$H$2</c:f>
              <c:strCache>
                <c:ptCount val="5"/>
                <c:pt idx="0">
                  <c:v>ATG_GRE_CIS_up</c:v>
                </c:pt>
                <c:pt idx="1">
                  <c:v>ATG_GR_TRANS_up</c:v>
                </c:pt>
                <c:pt idx="2">
                  <c:v>NVS_NR_hGR</c:v>
                </c:pt>
                <c:pt idx="3">
                  <c:v>TOX21_GR_BLA_Agonist_ratio</c:v>
                </c:pt>
                <c:pt idx="4">
                  <c:v>TOX21_GR_BLA_Antagonist_ratio</c:v>
                </c:pt>
              </c:strCache>
            </c:strRef>
          </c:cat>
          <c:val>
            <c:numRef>
              <c:f>Sheet1!$D$15:$H$15</c:f>
              <c:numCache>
                <c:formatCode>0.00</c:formatCode>
                <c:ptCount val="5"/>
                <c:pt idx="0">
                  <c:v>25</c:v>
                </c:pt>
                <c:pt idx="1">
                  <c:v>66.666666666666671</c:v>
                </c:pt>
                <c:pt idx="2">
                  <c:v>100</c:v>
                </c:pt>
                <c:pt idx="3">
                  <c:v>96.428571428571388</c:v>
                </c:pt>
                <c:pt idx="4">
                  <c:v>3.5714285714285712</c:v>
                </c:pt>
              </c:numCache>
            </c:numRef>
          </c:val>
          <c:extLst>
            <c:ext xmlns:c16="http://schemas.microsoft.com/office/drawing/2014/chart" uri="{C3380CC4-5D6E-409C-BE32-E72D297353CC}">
              <c16:uniqueId val="{0000000C-1975-4D1D-BE79-09DBA163A2B0}"/>
            </c:ext>
          </c:extLst>
        </c:ser>
        <c:ser>
          <c:idx val="13"/>
          <c:order val="13"/>
          <c:tx>
            <c:strRef>
              <c:f>Sheet1!$A$16</c:f>
              <c:strCache>
                <c:ptCount val="1"/>
                <c:pt idx="0">
                  <c:v>GR Alert 15</c:v>
                </c:pt>
              </c:strCache>
            </c:strRef>
          </c:tx>
          <c:spPr>
            <a:solidFill>
              <a:schemeClr val="accent2">
                <a:tint val="72000"/>
              </a:schemeClr>
            </a:solidFill>
            <a:ln>
              <a:noFill/>
            </a:ln>
            <a:effectLst/>
          </c:spPr>
          <c:invertIfNegative val="0"/>
          <c:cat>
            <c:strRef>
              <c:f>Sheet1!$D$2:$H$2</c:f>
              <c:strCache>
                <c:ptCount val="5"/>
                <c:pt idx="0">
                  <c:v>ATG_GRE_CIS_up</c:v>
                </c:pt>
                <c:pt idx="1">
                  <c:v>ATG_GR_TRANS_up</c:v>
                </c:pt>
                <c:pt idx="2">
                  <c:v>NVS_NR_hGR</c:v>
                </c:pt>
                <c:pt idx="3">
                  <c:v>TOX21_GR_BLA_Agonist_ratio</c:v>
                </c:pt>
                <c:pt idx="4">
                  <c:v>TOX21_GR_BLA_Antagonist_ratio</c:v>
                </c:pt>
              </c:strCache>
            </c:strRef>
          </c:cat>
          <c:val>
            <c:numRef>
              <c:f>Sheet1!$D$16:$H$16</c:f>
              <c:numCache>
                <c:formatCode>0.00</c:formatCode>
                <c:ptCount val="5"/>
                <c:pt idx="0">
                  <c:v>0</c:v>
                </c:pt>
                <c:pt idx="1">
                  <c:v>27.272727272727241</c:v>
                </c:pt>
                <c:pt idx="2">
                  <c:v>85.714285714285722</c:v>
                </c:pt>
                <c:pt idx="3">
                  <c:v>57.692307692307701</c:v>
                </c:pt>
                <c:pt idx="4">
                  <c:v>38.461538461538453</c:v>
                </c:pt>
              </c:numCache>
            </c:numRef>
          </c:val>
          <c:extLst>
            <c:ext xmlns:c16="http://schemas.microsoft.com/office/drawing/2014/chart" uri="{C3380CC4-5D6E-409C-BE32-E72D297353CC}">
              <c16:uniqueId val="{0000000D-1975-4D1D-BE79-09DBA163A2B0}"/>
            </c:ext>
          </c:extLst>
        </c:ser>
        <c:ser>
          <c:idx val="14"/>
          <c:order val="14"/>
          <c:tx>
            <c:strRef>
              <c:f>Sheet1!$A$17</c:f>
              <c:strCache>
                <c:ptCount val="1"/>
                <c:pt idx="0">
                  <c:v>GR Alert 18</c:v>
                </c:pt>
              </c:strCache>
            </c:strRef>
          </c:tx>
          <c:spPr>
            <a:solidFill>
              <a:schemeClr val="accent2">
                <a:tint val="65000"/>
              </a:schemeClr>
            </a:solidFill>
            <a:ln>
              <a:noFill/>
            </a:ln>
            <a:effectLst/>
          </c:spPr>
          <c:invertIfNegative val="0"/>
          <c:cat>
            <c:strRef>
              <c:f>Sheet1!$D$2:$H$2</c:f>
              <c:strCache>
                <c:ptCount val="5"/>
                <c:pt idx="0">
                  <c:v>ATG_GRE_CIS_up</c:v>
                </c:pt>
                <c:pt idx="1">
                  <c:v>ATG_GR_TRANS_up</c:v>
                </c:pt>
                <c:pt idx="2">
                  <c:v>NVS_NR_hGR</c:v>
                </c:pt>
                <c:pt idx="3">
                  <c:v>TOX21_GR_BLA_Agonist_ratio</c:v>
                </c:pt>
                <c:pt idx="4">
                  <c:v>TOX21_GR_BLA_Antagonist_ratio</c:v>
                </c:pt>
              </c:strCache>
            </c:strRef>
          </c:cat>
          <c:val>
            <c:numRef>
              <c:f>Sheet1!$D$17:$H$17</c:f>
              <c:numCache>
                <c:formatCode>0.00</c:formatCode>
                <c:ptCount val="5"/>
                <c:pt idx="0">
                  <c:v>0</c:v>
                </c:pt>
                <c:pt idx="1">
                  <c:v>18.181818181818201</c:v>
                </c:pt>
                <c:pt idx="2">
                  <c:v>87.5</c:v>
                </c:pt>
                <c:pt idx="3">
                  <c:v>36.111111111111107</c:v>
                </c:pt>
                <c:pt idx="4">
                  <c:v>58.333333333333343</c:v>
                </c:pt>
              </c:numCache>
            </c:numRef>
          </c:val>
          <c:extLst>
            <c:ext xmlns:c16="http://schemas.microsoft.com/office/drawing/2014/chart" uri="{C3380CC4-5D6E-409C-BE32-E72D297353CC}">
              <c16:uniqueId val="{0000000E-1975-4D1D-BE79-09DBA163A2B0}"/>
            </c:ext>
          </c:extLst>
        </c:ser>
        <c:ser>
          <c:idx val="15"/>
          <c:order val="15"/>
          <c:tx>
            <c:strRef>
              <c:f>Sheet1!$A$18</c:f>
              <c:strCache>
                <c:ptCount val="1"/>
                <c:pt idx="0">
                  <c:v>GR Alert 21</c:v>
                </c:pt>
              </c:strCache>
            </c:strRef>
          </c:tx>
          <c:spPr>
            <a:solidFill>
              <a:schemeClr val="accent2">
                <a:tint val="58000"/>
              </a:schemeClr>
            </a:solidFill>
            <a:ln>
              <a:noFill/>
            </a:ln>
            <a:effectLst/>
          </c:spPr>
          <c:invertIfNegative val="0"/>
          <c:cat>
            <c:strRef>
              <c:f>Sheet1!$D$2:$H$2</c:f>
              <c:strCache>
                <c:ptCount val="5"/>
                <c:pt idx="0">
                  <c:v>ATG_GRE_CIS_up</c:v>
                </c:pt>
                <c:pt idx="1">
                  <c:v>ATG_GR_TRANS_up</c:v>
                </c:pt>
                <c:pt idx="2">
                  <c:v>NVS_NR_hGR</c:v>
                </c:pt>
                <c:pt idx="3">
                  <c:v>TOX21_GR_BLA_Agonist_ratio</c:v>
                </c:pt>
                <c:pt idx="4">
                  <c:v>TOX21_GR_BLA_Antagonist_ratio</c:v>
                </c:pt>
              </c:strCache>
            </c:strRef>
          </c:cat>
          <c:val>
            <c:numRef>
              <c:f>Sheet1!$D$18:$H$18</c:f>
              <c:numCache>
                <c:formatCode>0.00</c:formatCode>
                <c:ptCount val="5"/>
                <c:pt idx="0">
                  <c:v>12.5</c:v>
                </c:pt>
                <c:pt idx="1">
                  <c:v>45.833333333333343</c:v>
                </c:pt>
                <c:pt idx="2">
                  <c:v>91.666666666666671</c:v>
                </c:pt>
                <c:pt idx="3">
                  <c:v>76.666666666666671</c:v>
                </c:pt>
                <c:pt idx="4">
                  <c:v>21.111111111111111</c:v>
                </c:pt>
              </c:numCache>
            </c:numRef>
          </c:val>
          <c:extLst>
            <c:ext xmlns:c16="http://schemas.microsoft.com/office/drawing/2014/chart" uri="{C3380CC4-5D6E-409C-BE32-E72D297353CC}">
              <c16:uniqueId val="{0000000F-1975-4D1D-BE79-09DBA163A2B0}"/>
            </c:ext>
          </c:extLst>
        </c:ser>
        <c:ser>
          <c:idx val="16"/>
          <c:order val="16"/>
          <c:tx>
            <c:strRef>
              <c:f>Sheet1!$A$19</c:f>
              <c:strCache>
                <c:ptCount val="1"/>
                <c:pt idx="0">
                  <c:v>GR Alert 27</c:v>
                </c:pt>
              </c:strCache>
            </c:strRef>
          </c:tx>
          <c:spPr>
            <a:solidFill>
              <a:schemeClr val="accent2">
                <a:tint val="51000"/>
              </a:schemeClr>
            </a:solidFill>
            <a:ln>
              <a:noFill/>
            </a:ln>
            <a:effectLst/>
          </c:spPr>
          <c:invertIfNegative val="0"/>
          <c:cat>
            <c:strRef>
              <c:f>Sheet1!$D$2:$H$2</c:f>
              <c:strCache>
                <c:ptCount val="5"/>
                <c:pt idx="0">
                  <c:v>ATG_GRE_CIS_up</c:v>
                </c:pt>
                <c:pt idx="1">
                  <c:v>ATG_GR_TRANS_up</c:v>
                </c:pt>
                <c:pt idx="2">
                  <c:v>NVS_NR_hGR</c:v>
                </c:pt>
                <c:pt idx="3">
                  <c:v>TOX21_GR_BLA_Agonist_ratio</c:v>
                </c:pt>
                <c:pt idx="4">
                  <c:v>TOX21_GR_BLA_Antagonist_ratio</c:v>
                </c:pt>
              </c:strCache>
            </c:strRef>
          </c:cat>
          <c:val>
            <c:numRef>
              <c:f>Sheet1!$D$19:$H$19</c:f>
              <c:numCache>
                <c:formatCode>0.00</c:formatCode>
                <c:ptCount val="5"/>
                <c:pt idx="0">
                  <c:v>17.39130434782609</c:v>
                </c:pt>
                <c:pt idx="1">
                  <c:v>52.173913043478258</c:v>
                </c:pt>
                <c:pt idx="2">
                  <c:v>83.333333333333286</c:v>
                </c:pt>
                <c:pt idx="3">
                  <c:v>82.758620689655203</c:v>
                </c:pt>
                <c:pt idx="4">
                  <c:v>18.390804597701141</c:v>
                </c:pt>
              </c:numCache>
            </c:numRef>
          </c:val>
          <c:extLst>
            <c:ext xmlns:c16="http://schemas.microsoft.com/office/drawing/2014/chart" uri="{C3380CC4-5D6E-409C-BE32-E72D297353CC}">
              <c16:uniqueId val="{00000010-1975-4D1D-BE79-09DBA163A2B0}"/>
            </c:ext>
          </c:extLst>
        </c:ser>
        <c:ser>
          <c:idx val="17"/>
          <c:order val="17"/>
          <c:tx>
            <c:strRef>
              <c:f>Sheet1!$A$20</c:f>
              <c:strCache>
                <c:ptCount val="1"/>
                <c:pt idx="0">
                  <c:v>GR Alert 30</c:v>
                </c:pt>
              </c:strCache>
            </c:strRef>
          </c:tx>
          <c:spPr>
            <a:solidFill>
              <a:schemeClr val="accent2">
                <a:tint val="44000"/>
              </a:schemeClr>
            </a:solidFill>
            <a:ln>
              <a:noFill/>
            </a:ln>
            <a:effectLst/>
          </c:spPr>
          <c:invertIfNegative val="0"/>
          <c:cat>
            <c:strRef>
              <c:f>Sheet1!$D$2:$H$2</c:f>
              <c:strCache>
                <c:ptCount val="5"/>
                <c:pt idx="0">
                  <c:v>ATG_GRE_CIS_up</c:v>
                </c:pt>
                <c:pt idx="1">
                  <c:v>ATG_GR_TRANS_up</c:v>
                </c:pt>
                <c:pt idx="2">
                  <c:v>NVS_NR_hGR</c:v>
                </c:pt>
                <c:pt idx="3">
                  <c:v>TOX21_GR_BLA_Agonist_ratio</c:v>
                </c:pt>
                <c:pt idx="4">
                  <c:v>TOX21_GR_BLA_Antagonist_ratio</c:v>
                </c:pt>
              </c:strCache>
            </c:strRef>
          </c:cat>
          <c:val>
            <c:numRef>
              <c:f>Sheet1!$D$20:$H$20</c:f>
              <c:numCache>
                <c:formatCode>0.00</c:formatCode>
                <c:ptCount val="5"/>
                <c:pt idx="0">
                  <c:v>0</c:v>
                </c:pt>
                <c:pt idx="1">
                  <c:v>0</c:v>
                </c:pt>
                <c:pt idx="2">
                  <c:v>75</c:v>
                </c:pt>
                <c:pt idx="3">
                  <c:v>0</c:v>
                </c:pt>
                <c:pt idx="4">
                  <c:v>90.909090909090907</c:v>
                </c:pt>
              </c:numCache>
            </c:numRef>
          </c:val>
          <c:extLst>
            <c:ext xmlns:c16="http://schemas.microsoft.com/office/drawing/2014/chart" uri="{C3380CC4-5D6E-409C-BE32-E72D297353CC}">
              <c16:uniqueId val="{00000011-1975-4D1D-BE79-09DBA163A2B0}"/>
            </c:ext>
          </c:extLst>
        </c:ser>
        <c:ser>
          <c:idx val="18"/>
          <c:order val="18"/>
          <c:tx>
            <c:strRef>
              <c:f>Sheet1!$A$21</c:f>
              <c:strCache>
                <c:ptCount val="1"/>
                <c:pt idx="0">
                  <c:v>GR Alert 41</c:v>
                </c:pt>
              </c:strCache>
            </c:strRef>
          </c:tx>
          <c:spPr>
            <a:solidFill>
              <a:schemeClr val="accent2">
                <a:tint val="37000"/>
              </a:schemeClr>
            </a:solidFill>
            <a:ln>
              <a:noFill/>
            </a:ln>
            <a:effectLst/>
          </c:spPr>
          <c:invertIfNegative val="0"/>
          <c:cat>
            <c:strRef>
              <c:f>Sheet1!$D$2:$H$2</c:f>
              <c:strCache>
                <c:ptCount val="5"/>
                <c:pt idx="0">
                  <c:v>ATG_GRE_CIS_up</c:v>
                </c:pt>
                <c:pt idx="1">
                  <c:v>ATG_GR_TRANS_up</c:v>
                </c:pt>
                <c:pt idx="2">
                  <c:v>NVS_NR_hGR</c:v>
                </c:pt>
                <c:pt idx="3">
                  <c:v>TOX21_GR_BLA_Agonist_ratio</c:v>
                </c:pt>
                <c:pt idx="4">
                  <c:v>TOX21_GR_BLA_Antagonist_ratio</c:v>
                </c:pt>
              </c:strCache>
            </c:strRef>
          </c:cat>
          <c:val>
            <c:numRef>
              <c:f>Sheet1!$D$21:$H$21</c:f>
              <c:numCache>
                <c:formatCode>0.00</c:formatCode>
                <c:ptCount val="5"/>
                <c:pt idx="0">
                  <c:v>0</c:v>
                </c:pt>
                <c:pt idx="1">
                  <c:v>21.428571428571431</c:v>
                </c:pt>
                <c:pt idx="2">
                  <c:v>80</c:v>
                </c:pt>
                <c:pt idx="3">
                  <c:v>33.333333333333343</c:v>
                </c:pt>
                <c:pt idx="4">
                  <c:v>57.142857142857153</c:v>
                </c:pt>
              </c:numCache>
            </c:numRef>
          </c:val>
          <c:extLst>
            <c:ext xmlns:c16="http://schemas.microsoft.com/office/drawing/2014/chart" uri="{C3380CC4-5D6E-409C-BE32-E72D297353CC}">
              <c16:uniqueId val="{00000012-1975-4D1D-BE79-09DBA163A2B0}"/>
            </c:ext>
          </c:extLst>
        </c:ser>
        <c:dLbls>
          <c:showLegendKey val="0"/>
          <c:showVal val="0"/>
          <c:showCatName val="0"/>
          <c:showSerName val="0"/>
          <c:showPercent val="0"/>
          <c:showBubbleSize val="0"/>
        </c:dLbls>
        <c:gapWidth val="219"/>
        <c:overlap val="-27"/>
        <c:axId val="816574032"/>
        <c:axId val="816574424"/>
        <c:extLst/>
      </c:barChart>
      <c:catAx>
        <c:axId val="8165740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ToxCast GR Assay Name</a:t>
                </a:r>
              </a:p>
            </c:rich>
          </c:tx>
          <c:layout>
            <c:manualLayout>
              <c:xMode val="edge"/>
              <c:yMode val="edge"/>
              <c:x val="0.45001859142607198"/>
              <c:y val="0.86188948472403704"/>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816574424"/>
        <c:crosses val="autoZero"/>
        <c:auto val="1"/>
        <c:lblAlgn val="ctr"/>
        <c:lblOffset val="100"/>
        <c:noMultiLvlLbl val="0"/>
      </c:catAx>
      <c:valAx>
        <c:axId val="816574424"/>
        <c:scaling>
          <c:orientation val="minMax"/>
          <c:max val="1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Sensitivity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165740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ysClr val="window" lastClr="FFFFFF"/>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withinLinear" id="15">
  <a:schemeClr val="accent2"/>
</cs:colorStyle>
</file>

<file path=word/charts/colors2.xml><?xml version="1.0" encoding="utf-8"?>
<cs:colorStyle xmlns:cs="http://schemas.microsoft.com/office/drawing/2012/chartStyle" xmlns:a="http://schemas.openxmlformats.org/drawingml/2006/main" meth="withinLinear" id="15">
  <a:schemeClr val="accent2"/>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F7AF35-6205-4777-BF22-DDD43F9A20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acstemplate_msw2010 (3)</Template>
  <TotalTime>0</TotalTime>
  <Pages>40</Pages>
  <Words>18937</Words>
  <Characters>107942</Characters>
  <Application>Microsoft Office Word</Application>
  <DocSecurity>0</DocSecurity>
  <Lines>899</Lines>
  <Paragraphs>253</Paragraphs>
  <ScaleCrop>false</ScaleCrop>
  <HeadingPairs>
    <vt:vector size="2" baseType="variant">
      <vt:variant>
        <vt:lpstr>Title</vt:lpstr>
      </vt:variant>
      <vt:variant>
        <vt:i4>1</vt:i4>
      </vt:variant>
    </vt:vector>
  </HeadingPairs>
  <TitlesOfParts>
    <vt:vector size="1" baseType="lpstr">
      <vt:lpstr>Template for Electronic Submission to ACS Journals</vt:lpstr>
    </vt:vector>
  </TitlesOfParts>
  <Company>ACS</Company>
  <LinksUpToDate>false</LinksUpToDate>
  <CharactersWithSpaces>126626</CharactersWithSpaces>
  <SharedDoc>false</SharedDoc>
  <HLinks>
    <vt:vector size="6" baseType="variant">
      <vt:variant>
        <vt:i4>4849748</vt:i4>
      </vt:variant>
      <vt:variant>
        <vt:i4>0</vt:i4>
      </vt:variant>
      <vt:variant>
        <vt:i4>0</vt:i4>
      </vt:variant>
      <vt:variant>
        <vt:i4>5</vt:i4>
      </vt:variant>
      <vt:variant>
        <vt:lpwstr>http://pubs.acs.org/page/4authors/index.html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for Electronic Submission to ACS Journals</dc:title>
  <dc:subject/>
  <dc:creator>tim.e.allen</dc:creator>
  <cp:keywords/>
  <dc:description/>
  <cp:lastModifiedBy>Allen, Tim E</cp:lastModifiedBy>
  <cp:revision>2</cp:revision>
  <cp:lastPrinted>2020-01-22T15:20:00Z</cp:lastPrinted>
  <dcterms:created xsi:type="dcterms:W3CDTF">2020-05-15T10:45:00Z</dcterms:created>
  <dcterms:modified xsi:type="dcterms:W3CDTF">2020-05-15T10:45:00Z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http://www.zotero.org/styles/chemical-research-in-toxicology</vt:lpwstr>
  </property>
  <property fmtid="{D5CDD505-2E9C-101B-9397-08002B2CF9AE}" pid="4" name="Mendeley Recent Style Id 0_1">
    <vt:lpwstr>http://www.zotero.org/styles/american-political-science-association</vt:lpwstr>
  </property>
  <property fmtid="{D5CDD505-2E9C-101B-9397-08002B2CF9AE}" pid="5" name="Mendeley Recent Style Name 0_1">
    <vt:lpwstr>American Political Science Association</vt:lpwstr>
  </property>
  <property fmtid="{D5CDD505-2E9C-101B-9397-08002B2CF9AE}" pid="6" name="Mendeley Recent Style Id 1_1">
    <vt:lpwstr>http://www.zotero.org/styles/apa</vt:lpwstr>
  </property>
  <property fmtid="{D5CDD505-2E9C-101B-9397-08002B2CF9AE}" pid="7" name="Mendeley Recent Style Name 1_1">
    <vt:lpwstr>American Psychological Association 6th edition</vt:lpwstr>
  </property>
  <property fmtid="{D5CDD505-2E9C-101B-9397-08002B2CF9AE}" pid="8" name="Mendeley Recent Style Id 2_1">
    <vt:lpwstr>http://www.zotero.org/styles/american-sociological-association</vt:lpwstr>
  </property>
  <property fmtid="{D5CDD505-2E9C-101B-9397-08002B2CF9AE}" pid="9" name="Mendeley Recent Style Name 2_1">
    <vt:lpwstr>American Sociological Association</vt:lpwstr>
  </property>
  <property fmtid="{D5CDD505-2E9C-101B-9397-08002B2CF9AE}" pid="10" name="Mendeley Recent Style Id 3_1">
    <vt:lpwstr>http://www.zotero.org/styles/chemical-research-in-toxicology</vt:lpwstr>
  </property>
  <property fmtid="{D5CDD505-2E9C-101B-9397-08002B2CF9AE}" pid="11" name="Mendeley Recent Style Name 3_1">
    <vt:lpwstr>Chemical Research in Toxicology</vt:lpwstr>
  </property>
  <property fmtid="{D5CDD505-2E9C-101B-9397-08002B2CF9AE}" pid="12" name="Mendeley Recent Style Id 4_1">
    <vt:lpwstr>http://www.zotero.org/styles/chicago-author-date</vt:lpwstr>
  </property>
  <property fmtid="{D5CDD505-2E9C-101B-9397-08002B2CF9AE}" pid="13" name="Mendeley Recent Style Name 4_1">
    <vt:lpwstr>Chicago Manual of Style 17th edition (author-date)</vt:lpwstr>
  </property>
  <property fmtid="{D5CDD505-2E9C-101B-9397-08002B2CF9AE}" pid="14" name="Mendeley Recent Style Id 5_1">
    <vt:lpwstr>http://www.zotero.org/styles/harvard-cite-them-right</vt:lpwstr>
  </property>
  <property fmtid="{D5CDD505-2E9C-101B-9397-08002B2CF9AE}" pid="15" name="Mendeley Recent Style Name 5_1">
    <vt:lpwstr>Cite Them Right 10th edition - Harvard</vt:lpwstr>
  </property>
  <property fmtid="{D5CDD505-2E9C-101B-9397-08002B2CF9AE}" pid="16" name="Mendeley Recent Style Id 6_1">
    <vt:lpwstr>http://www.zotero.org/styles/ieee</vt:lpwstr>
  </property>
  <property fmtid="{D5CDD505-2E9C-101B-9397-08002B2CF9AE}" pid="17" name="Mendeley Recent Style Name 6_1">
    <vt:lpwstr>IEEE</vt:lpwstr>
  </property>
  <property fmtid="{D5CDD505-2E9C-101B-9397-08002B2CF9AE}" pid="18" name="Mendeley Recent Style Id 7_1">
    <vt:lpwstr>http://www.zotero.org/styles/modern-humanities-research-association</vt:lpwstr>
  </property>
  <property fmtid="{D5CDD505-2E9C-101B-9397-08002B2CF9AE}" pid="19" name="Mendeley Recent Style Name 7_1">
    <vt:lpwstr>Modern Humanities Research Association 3rd edition (note with bibliography)</vt:lpwstr>
  </property>
  <property fmtid="{D5CDD505-2E9C-101B-9397-08002B2CF9AE}" pid="20" name="Mendeley Recent Style Id 8_1">
    <vt:lpwstr>http://www.zotero.org/styles/modern-language-association</vt:lpwstr>
  </property>
  <property fmtid="{D5CDD505-2E9C-101B-9397-08002B2CF9AE}" pid="21" name="Mendeley Recent Style Name 8_1">
    <vt:lpwstr>Modern Language Association 8th edition</vt:lpwstr>
  </property>
  <property fmtid="{D5CDD505-2E9C-101B-9397-08002B2CF9AE}" pid="22" name="Mendeley Recent Style Id 9_1">
    <vt:lpwstr>http://www.zotero.org/styles/nature</vt:lpwstr>
  </property>
  <property fmtid="{D5CDD505-2E9C-101B-9397-08002B2CF9AE}" pid="23" name="Mendeley Recent Style Name 9_1">
    <vt:lpwstr>Nature</vt:lpwstr>
  </property>
  <property fmtid="{D5CDD505-2E9C-101B-9397-08002B2CF9AE}" pid="24" name="Mendeley Unique User Id_1">
    <vt:lpwstr>69b43e95-c46b-3604-949d-26d2113d8a60</vt:lpwstr>
  </property>
</Properties>
</file>