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40CF577" w14:textId="77777777" w:rsidR="0072004C" w:rsidRPr="00DF1BBA" w:rsidRDefault="0072004C" w:rsidP="0072004C">
      <w:pPr>
        <w:pStyle w:val="MDPI11articletype"/>
      </w:pPr>
      <w:r w:rsidRPr="00DF1BBA">
        <w:t>Article</w:t>
      </w:r>
    </w:p>
    <w:p w14:paraId="70319877" w14:textId="77777777" w:rsidR="0072004C" w:rsidRPr="00DF1BBA" w:rsidRDefault="0072004C" w:rsidP="00CD265F">
      <w:pPr>
        <w:pStyle w:val="MDPI12title"/>
        <w:spacing w:line="240" w:lineRule="atLeast"/>
      </w:pPr>
      <w:r w:rsidRPr="00DF1BBA">
        <w:t>The Relationship between Self-Reported Exposure to Sugar-Sweetened Beverage Promotions and Intake: Cross-Sectional Analysis of the 2017 International Food Policy Study</w:t>
      </w:r>
    </w:p>
    <w:p w14:paraId="39B2FCF3" w14:textId="39F24B39" w:rsidR="0072004C" w:rsidRPr="00680DD5" w:rsidRDefault="0072004C" w:rsidP="0072004C">
      <w:pPr>
        <w:pStyle w:val="MDPI13authornames"/>
        <w:rPr>
          <w:vertAlign w:val="superscript"/>
        </w:rPr>
      </w:pPr>
      <w:bookmarkStart w:id="0" w:name="_GoBack"/>
      <w:bookmarkEnd w:id="0"/>
      <w:r w:rsidRPr="00EA3A8D">
        <w:t xml:space="preserve">Hannah Forde </w:t>
      </w:r>
      <w:r w:rsidRPr="00EA3A8D">
        <w:rPr>
          <w:vertAlign w:val="superscript"/>
        </w:rPr>
        <w:t>1,</w:t>
      </w:r>
      <w:r w:rsidRPr="00EA3A8D">
        <w:t>*, Martin White</w:t>
      </w:r>
      <w:r w:rsidRPr="008860B2">
        <w:t xml:space="preserve"> </w:t>
      </w:r>
      <w:r w:rsidRPr="008860B2">
        <w:rPr>
          <w:vertAlign w:val="superscript"/>
        </w:rPr>
        <w:t>1</w:t>
      </w:r>
      <w:r w:rsidRPr="008860B2">
        <w:t xml:space="preserve">, Louis Levy </w:t>
      </w:r>
      <w:r w:rsidRPr="008860B2">
        <w:rPr>
          <w:vertAlign w:val="superscript"/>
        </w:rPr>
        <w:t>2</w:t>
      </w:r>
      <w:r w:rsidRPr="008860B2">
        <w:t xml:space="preserve">, Felix Greaves </w:t>
      </w:r>
      <w:r w:rsidRPr="008860B2">
        <w:rPr>
          <w:vertAlign w:val="superscript"/>
        </w:rPr>
        <w:t>2</w:t>
      </w:r>
      <w:r w:rsidRPr="008860B2">
        <w:t xml:space="preserve">, David Hammond </w:t>
      </w:r>
      <w:r w:rsidRPr="008860B2">
        <w:rPr>
          <w:vertAlign w:val="superscript"/>
        </w:rPr>
        <w:t>3</w:t>
      </w:r>
      <w:r w:rsidRPr="008860B2">
        <w:t xml:space="preserve">, </w:t>
      </w:r>
      <w:r w:rsidR="00A179BA">
        <w:br/>
      </w:r>
      <w:r w:rsidRPr="008860B2">
        <w:t xml:space="preserve">Lana Vanderlee </w:t>
      </w:r>
      <w:r w:rsidRPr="008860B2">
        <w:rPr>
          <w:vertAlign w:val="superscript"/>
        </w:rPr>
        <w:t>3</w:t>
      </w:r>
      <w:r w:rsidRPr="008860B2">
        <w:t xml:space="preserve">, Stephen Sharp </w:t>
      </w:r>
      <w:r w:rsidRPr="008860B2">
        <w:rPr>
          <w:vertAlign w:val="superscript"/>
        </w:rPr>
        <w:t>1</w:t>
      </w:r>
      <w:r w:rsidRPr="008860B2">
        <w:t xml:space="preserve"> and Jean Adams </w:t>
      </w:r>
      <w:r w:rsidRPr="008860B2">
        <w:rPr>
          <w:vertAlign w:val="superscript"/>
        </w:rPr>
        <w:t>1</w:t>
      </w:r>
    </w:p>
    <w:p w14:paraId="229EC986" w14:textId="729A97B4" w:rsidR="0072004C" w:rsidRPr="00DF1BBA" w:rsidRDefault="0072004C" w:rsidP="0072004C">
      <w:pPr>
        <w:pStyle w:val="MDPI16affiliation"/>
      </w:pPr>
      <w:r w:rsidRPr="00680DD5">
        <w:rPr>
          <w:vertAlign w:val="superscript"/>
        </w:rPr>
        <w:t>1</w:t>
      </w:r>
      <w:r w:rsidRPr="00680DD5">
        <w:tab/>
      </w:r>
      <w:r w:rsidRPr="00DF1BBA">
        <w:t>Centre for Diet &amp; Activity Research (CEDAR), MRC Epidemiology Unit, University of Cambridge School of Clinical Medicine, Box 285 Institute of Metabolic Science, Cambridg</w:t>
      </w:r>
      <w:r>
        <w:t xml:space="preserve">e Biomedical Campus, </w:t>
      </w:r>
      <w:r w:rsidR="00A179BA">
        <w:br/>
      </w:r>
      <w:r>
        <w:t xml:space="preserve">Cambridge </w:t>
      </w:r>
      <w:r w:rsidRPr="00DF1BBA">
        <w:t>CB2 0QQ, UK</w:t>
      </w:r>
      <w:r>
        <w:t xml:space="preserve">; </w:t>
      </w:r>
      <w:r w:rsidRPr="00680DD5">
        <w:t>Martin.White@mrc-epid.cam.ac.uk</w:t>
      </w:r>
      <w:r>
        <w:t xml:space="preserve"> (M.W.); </w:t>
      </w:r>
      <w:r w:rsidR="00A179BA">
        <w:br/>
      </w:r>
      <w:r w:rsidRPr="00680DD5">
        <w:t>Stephen.Sharp@mrc-epid.cam.ac.uk</w:t>
      </w:r>
      <w:r>
        <w:t xml:space="preserve"> (S.S.); </w:t>
      </w:r>
      <w:r w:rsidRPr="00680DD5">
        <w:t>jma79@medschl.cam.ac.uk</w:t>
      </w:r>
      <w:r>
        <w:t xml:space="preserve"> (J.A.)</w:t>
      </w:r>
    </w:p>
    <w:p w14:paraId="40A5EBF4" w14:textId="55B7D219" w:rsidR="0072004C" w:rsidRPr="00DF1BBA" w:rsidRDefault="0072004C" w:rsidP="0072004C">
      <w:pPr>
        <w:pStyle w:val="MDPI16affiliation"/>
      </w:pPr>
      <w:r w:rsidRPr="00680DD5">
        <w:rPr>
          <w:vertAlign w:val="superscript"/>
        </w:rPr>
        <w:t>2</w:t>
      </w:r>
      <w:r w:rsidRPr="00680DD5">
        <w:tab/>
      </w:r>
      <w:r w:rsidRPr="00DF1BBA">
        <w:t>Public Health England, Wellington House, 133</w:t>
      </w:r>
      <w:r w:rsidR="00A179BA">
        <w:rPr>
          <w:rFonts w:asciiTheme="minorEastAsia" w:eastAsiaTheme="minorEastAsia" w:hAnsiTheme="minorEastAsia" w:hint="eastAsia"/>
          <w:lang w:eastAsia="zh-CN"/>
        </w:rPr>
        <w:t>-</w:t>
      </w:r>
      <w:r w:rsidRPr="00DF1BBA">
        <w:t xml:space="preserve">155 </w:t>
      </w:r>
      <w:r>
        <w:t xml:space="preserve">Waterloo Road, Lambeth, London </w:t>
      </w:r>
      <w:r w:rsidRPr="00DF1BBA">
        <w:t>SE1 8UG</w:t>
      </w:r>
      <w:r>
        <w:t xml:space="preserve">, UK; </w:t>
      </w:r>
      <w:r w:rsidRPr="00680DD5">
        <w:t>Louis.Levy@phe.gov.uk</w:t>
      </w:r>
      <w:r>
        <w:t xml:space="preserve"> (L.L.); </w:t>
      </w:r>
      <w:r w:rsidRPr="00680DD5">
        <w:t>Felix.Greaves@phe.gov.uk</w:t>
      </w:r>
      <w:r>
        <w:t xml:space="preserve"> (F.G.)</w:t>
      </w:r>
    </w:p>
    <w:p w14:paraId="3859B40D" w14:textId="77777777" w:rsidR="0072004C" w:rsidRPr="00DF1BBA" w:rsidRDefault="0072004C" w:rsidP="0072004C">
      <w:pPr>
        <w:pStyle w:val="MDPI16affiliation"/>
      </w:pPr>
      <w:r w:rsidRPr="00680DD5">
        <w:rPr>
          <w:vertAlign w:val="superscript"/>
        </w:rPr>
        <w:t>3</w:t>
      </w:r>
      <w:r w:rsidRPr="00680DD5">
        <w:tab/>
      </w:r>
      <w:r w:rsidRPr="00DF1BBA">
        <w:t>School of Public Health and Health Systems, University of Waterloo, Waterloo, O</w:t>
      </w:r>
      <w:r>
        <w:t xml:space="preserve">N </w:t>
      </w:r>
      <w:r w:rsidRPr="00DF1BBA">
        <w:t>N2L 3G1</w:t>
      </w:r>
      <w:r>
        <w:t xml:space="preserve">, Canada; </w:t>
      </w:r>
      <w:r w:rsidRPr="00680DD5">
        <w:t>david.hammond@uwaterloo.ca</w:t>
      </w:r>
      <w:r>
        <w:t xml:space="preserve"> (D.H.); </w:t>
      </w:r>
      <w:r w:rsidRPr="00680DD5">
        <w:t>lana.vanderlee@uwaterloo.ca</w:t>
      </w:r>
      <w:r>
        <w:t xml:space="preserve"> (L.V.)</w:t>
      </w:r>
    </w:p>
    <w:p w14:paraId="645D2A57" w14:textId="77777777" w:rsidR="0072004C" w:rsidRPr="00DF1BBA" w:rsidRDefault="0072004C" w:rsidP="0072004C">
      <w:pPr>
        <w:pStyle w:val="MDPI16affiliation"/>
      </w:pPr>
      <w:r w:rsidRPr="00DF1BBA">
        <w:rPr>
          <w:b/>
        </w:rPr>
        <w:t>*</w:t>
      </w:r>
      <w:r w:rsidRPr="00DF1BBA">
        <w:tab/>
        <w:t>Correspondence:</w:t>
      </w:r>
      <w:r>
        <w:t xml:space="preserve"> </w:t>
      </w:r>
      <w:r w:rsidRPr="00DF1BBA">
        <w:t>hf332@medschl.</w:t>
      </w:r>
      <w:r>
        <w:t>cam.ac.uk; Tel.: +44-(0)1223-</w:t>
      </w:r>
      <w:r w:rsidRPr="00DF1BBA">
        <w:t>746892</w:t>
      </w:r>
    </w:p>
    <w:p w14:paraId="652E40B7" w14:textId="77777777" w:rsidR="0072004C" w:rsidRPr="00DF1BBA" w:rsidRDefault="0072004C" w:rsidP="0072004C">
      <w:pPr>
        <w:pStyle w:val="MDPI14history"/>
      </w:pPr>
      <w:r w:rsidRPr="00DF1BBA">
        <w:t>Received: date; Accepted: date; Published: date</w:t>
      </w:r>
    </w:p>
    <w:p w14:paraId="3A75A903" w14:textId="1375E2B7" w:rsidR="0072004C" w:rsidRPr="00DF1BBA" w:rsidRDefault="0072004C" w:rsidP="0072004C">
      <w:pPr>
        <w:pStyle w:val="MDPI17abstract"/>
      </w:pPr>
      <w:r w:rsidRPr="00DF1BBA">
        <w:rPr>
          <w:b/>
        </w:rPr>
        <w:t xml:space="preserve">Abstract: </w:t>
      </w:r>
      <w:r w:rsidRPr="00DF1BBA">
        <w:t>Sugar-sweetened beverage (SSB) consumption is independently associated with several non-communicable diseases, so policymakers are increasingly implementing measures</w:t>
      </w:r>
      <w:r w:rsidR="00941E39">
        <w:t>, such as</w:t>
      </w:r>
      <w:r w:rsidRPr="00DF1BBA">
        <w:t xml:space="preserve"> marketing regulation</w:t>
      </w:r>
      <w:r w:rsidR="00941E39">
        <w:t>,</w:t>
      </w:r>
      <w:r w:rsidRPr="00DF1BBA">
        <w:t xml:space="preserve"> to reduce intake. To help understand how such measures work, this study examined the association between SSB consumption and self-reported exposure to SSB promotions, both overall and by type of promotion</w:t>
      </w:r>
      <w:r w:rsidR="00941E39">
        <w:t>,</w:t>
      </w:r>
      <w:r w:rsidRPr="00DF1BBA">
        <w:t xml:space="preserve"> and whether these relationships vary between the UK, USA, Canada, Mexico</w:t>
      </w:r>
      <w:r w:rsidR="00941E39">
        <w:t>,</w:t>
      </w:r>
      <w:r w:rsidRPr="00DF1BBA">
        <w:t xml:space="preserve"> and Australia. Cross-sectional analysis of the online 2017 International Food Policy Study was performed (</w:t>
      </w:r>
      <w:r w:rsidRPr="00044540">
        <w:rPr>
          <w:i/>
        </w:rPr>
        <w:t>n</w:t>
      </w:r>
      <w:r>
        <w:rPr>
          <w:i/>
        </w:rPr>
        <w:t xml:space="preserve"> </w:t>
      </w:r>
      <w:r w:rsidRPr="00680DD5">
        <w:t>=</w:t>
      </w:r>
      <w:r>
        <w:rPr>
          <w:i/>
        </w:rPr>
        <w:t xml:space="preserve"> </w:t>
      </w:r>
      <w:r w:rsidRPr="00DF1BBA">
        <w:t>15,515). Participants were grouped into 5265 (34%) non-, 5117 (33%) low-, and 5133 (33%) high-SSB consumers. Multinomial logistic regression models examined whether SSB consumption varied by exposure to total SSB promotion and by type: traditional, digital, recreational environment</w:t>
      </w:r>
      <w:r w:rsidR="00941E39">
        <w:t>,</w:t>
      </w:r>
      <w:r w:rsidRPr="00DF1BBA">
        <w:t xml:space="preserve"> and functional environment. Multiplicative interactions were included to investigate international variations. An additional unit of total self-reported SSB promotion </w:t>
      </w:r>
      <w:r w:rsidRPr="00680DD5">
        <w:rPr>
          <w:spacing w:val="-4"/>
        </w:rPr>
        <w:t>exposure increased the likelihood of participants being low SSB consumers (relative risk ratio (RRR) = 1.08, 95% confidence interval (CI) = 1.06–1.10) and high SSB consumers (RRR = 1.13, 95% CI = 1.11–1.16). Only exposure to traditional and digital promotion increased the likelihood of participants</w:t>
      </w:r>
      <w:r w:rsidRPr="00DF1BBA">
        <w:t xml:space="preserve"> being SSB consumers, though this may be explained by degree of exposure</w:t>
      </w:r>
      <w:r w:rsidR="00941E39">
        <w:t>,</w:t>
      </w:r>
      <w:r w:rsidRPr="00DF1BBA">
        <w:t xml:space="preserve"> which was not measured in this study. Some evidence illustrated international va</w:t>
      </w:r>
      <w:r>
        <w:t>riation in these relationships.</w:t>
      </w:r>
    </w:p>
    <w:p w14:paraId="4EE1AD95" w14:textId="77777777" w:rsidR="0072004C" w:rsidRPr="00DF1BBA" w:rsidRDefault="0072004C" w:rsidP="0072004C">
      <w:pPr>
        <w:pStyle w:val="MDPI18keywords"/>
      </w:pPr>
      <w:r w:rsidRPr="00DF1BBA">
        <w:rPr>
          <w:b/>
        </w:rPr>
        <w:t xml:space="preserve">Keywords: </w:t>
      </w:r>
      <w:r w:rsidRPr="00DF1BBA">
        <w:t>sugar; sugar-sweetened beverages; soft drinks; marketing; promotion; advertising</w:t>
      </w:r>
    </w:p>
    <w:p w14:paraId="42CD10A2" w14:textId="77777777" w:rsidR="0072004C" w:rsidRPr="00DF1BBA" w:rsidRDefault="0072004C" w:rsidP="0072004C">
      <w:pPr>
        <w:pStyle w:val="MDPI19line"/>
        <w:pBdr>
          <w:bottom w:val="single" w:sz="4" w:space="1" w:color="000000"/>
        </w:pBdr>
        <w:spacing w:after="480"/>
      </w:pPr>
    </w:p>
    <w:p w14:paraId="5003F915" w14:textId="77777777" w:rsidR="0072004C" w:rsidRPr="00DF1BBA" w:rsidRDefault="0072004C" w:rsidP="0072004C">
      <w:pPr>
        <w:pStyle w:val="MDPI21heading1"/>
      </w:pPr>
      <w:r>
        <w:rPr>
          <w:lang w:eastAsia="zh-CN"/>
        </w:rPr>
        <w:t xml:space="preserve">1. </w:t>
      </w:r>
      <w:r w:rsidRPr="00DF1BBA">
        <w:t>Introduction</w:t>
      </w:r>
    </w:p>
    <w:p w14:paraId="4377797D" w14:textId="5D707F06" w:rsidR="0072004C" w:rsidRPr="00DF1BBA" w:rsidRDefault="0072004C" w:rsidP="0072004C">
      <w:pPr>
        <w:pStyle w:val="MDPI31text"/>
      </w:pPr>
      <w:r w:rsidRPr="00DF1BBA">
        <w:t xml:space="preserve">In 2017, 11 million deaths worldwide were attributable to dietary risk factors </w:t>
      </w:r>
      <w:r w:rsidRPr="00DF1BBA">
        <w:fldChar w:fldCharType="begin" w:fldLock="1"/>
      </w:r>
      <w:r w:rsidRPr="00DF1BBA">
        <w:instrText>ADDIN CSL_CITATION {"citationItems":[{"id":"ITEM-1","itemData":{"DOI":"10.1016/S0140-6736(19)30041-8","ISSN":"1474547X","abstract":"Background: Suboptimal diet is an important preventable risk factor for non-communicable diseases (NCDs); however, its impact on the burden of NCDs has not been systematically evaluated. This study aimed to evaluate the consumption of major foods and nutrients across 195 countries and to quantify the impact of their suboptimal intake on NCD mortality and morbidity. Methods: By use of a comparative risk assessment approach, we estimated the proportion of disease-specific burden attributable to each dietary risk factor (also referred to as population attributable fraction)among adults aged 25 years or older. The main inputs to this analysis included the intake of each dietary factor, the effect size of the dietary factor on disease endpoint, and the level of intake associated with the lowest risk of mortality. Then, by use of disease-specific population attributable fractions, mortality, and disability-adjusted life-years (DALYs), we calculated the number of deaths and DALYs attributable to diet for each disease outcome. Findings: In 2017, 11 million (95% uncertainty interval [UI]10–12)deaths and 255 million (234–274)DALYs were attributable to dietary risk factors. High intake of sodium (3 million [1–5]deaths and 70 million [34–118]DALYs), low intake of whole grains (3 million [2–4]deaths and 82 million [59–109]DALYs), and low intake of fruits (2 million [1–4]deaths and 65 million [41–92]DALYs)were the leading dietary risk factors for deaths and DALYs globally and in many countries. Dietary data were from mixed sources and were not available for all countries, increasing the statistical uncertainty of our estimates. Interpretation: This study provides a comprehensive picture of the potential impact of suboptimal diet on NCD mortality and morbidity, highlighting the need for improving diet across nations. Our findings will inform implementation of evidence-based dietary interventions and provide a platform for evaluation of their impact on human health annually. Funding: Bill &amp; Melinda Gates Foundation.","author":[{"dropping-particle":"","family":"Afshin","given":"Ashkan","non-dropping-particle":"","parse-names":false,"suffix":""},{"dropping-particle":"","family":"Sur","given":"Patrick John","non-dropping-particle":"","parse-names":false,"suffix":""},{"dropping-particle":"","family":"Fay","given":"Kairsten A.","non-dropping-particle":"","parse-names":false,"suffix":""},{"dropping-particle":"","family":"Cornaby","given":"Leslie","non-dropping-particle":"","parse-names":false,"suffix":""},{"dropping-particle":"","family":"Ferrara","given":"Giannina","non-dropping-particle":"","parse-names":false,"suffix":""},{"dropping-particle":"","family":"Salama","given":"Joseph S.","non-dropping-particle":"","parse-names":false,"suffix":""},{"dropping-particle":"","family":"Mullany","given":"Erin C.","non-dropping-particle":"","parse-names":false,"suffix":""},{"dropping-particle":"","family":"Abate","given":"Kalkidan Hassen","non-dropping-particle":"","parse-names":false,"suffix":""},{"dropping-particle":"","family":"Abbafati","given":"Cristiana","non-dropping-particle":"","parse-names":false,"suffix":""},{"dropping-particle":"","family":"Abebe","given":"Zegeye","non-dropping-particle":"","parse-names":false,"suffix":""},{"dropping-particle":"","family":"Afarideh","given":"Mohsen","non-dropping-particle":"","parse-names":false,"suffix":""},{"dropping-particle":"","family":"Aggarwal","given":"Anju","non-dropping-particle":"","parse-names":false,"suffix":""},{"dropping-particle":"","family":"Agrawal","given":"Sutapa","non-dropping-particle":"","parse-names":false,"suffix":""},{"dropping-particle":"","family":"Akinyemiju","given":"Tomi","non-dropping-particle":"","parse-names":false,"suffix":""},{"dropping-particle":"","family":"Alahdab","given":"Fares","non-dropping-particle":"","parse-names":false,"suffix":""},{"dropping-particle":"","family":"Bacha","given":"Umar","non-dropping-particle":"","parse-names":false,"suffix":""},{"dropping-particle":"","family":"Bachman","given":"Victoria F.","non-dropping-particle":"","parse-names":false,"suffix":""},{"dropping-particle":"","family":"Badali","given":"Hamid","non-dropping-particle":"","parse-names":false,"suffix":""},{"dropping-particle":"","family":"Badawi","given":"Alaa","non-dropping-particle":"","parse-names":false,"suffix":""},{"dropping-particle":"","family":"Bensenor","given":"Isabela M.","non-dropping-particle":"","parse-names":false,"suffix":""},{"dropping-particle":"","family":"Bernabe","given":"Eduardo","non-dropping-particle":"","parse-names":false,"suffix":""},{"dropping-particle":"","family":"Biadgilign","given":"Sibhatu Kassa K.","non-dropping-particle":"","parse-names":false,"suffix":""},{"dropping-particle":"","family":"Biryukov","given":"Stan H.","non-dropping-particle":"","parse-names":false,"suffix":""},{"dropping-particle":"","family":"Cahill","given":"Leah E.","non-dropping-particle":"","parse-names":false,"suffix":""},{"dropping-particle":"","family":"Carrero","given":"Juan J.","non-dropping-particle":"","parse-names":false,"suffix":""},{"dropping-particle":"","family":"Cercy","given":"Kelly M.","non-dropping-particle":"","parse-names":false,"suffix":""},{"dropping-particle":"","family":"Dandona","given":"Lalit","non-dropping-particle":"","parse-names":false,"suffix":""},{"dropping-particle":"","family":"Dandona","given":"Rakhi","non-dropping-particle":"","parse-names":false,"suffix":""},{"dropping-particle":"","family":"Dang","given":"Anh Kim","non-dropping-particle":"","parse-names":false,"suffix":""},{"dropping-particle":"","family":"Degefa","given":"Meaza Girma","non-dropping-particle":"","parse-names":false,"suffix":""},{"dropping-particle":"","family":"Sayed Zaki","given":"Maysaa","non-dropping-particle":"El","parse-names":false,"suffix":""},{"dropping-particle":"","family":"Esteghamati","given":"Alireza","non-dropping-particle":"","parse-names":false,"suffix":""},{"dropping-particle":"","family":"Esteghamati","given":"Sadaf","non-dropping-particle":"","parse-names":false,"suffix":""},{"dropping-particle":"","family":"Fanzo","given":"Jessica","non-dropping-particle":"","parse-names":false,"suffix":""},{"dropping-particle":"","family":"Farinha","given":"Carla Sofia e.Sá","non-dropping-particle":"","parse-names":false,"suffix":""},{"dropping-particle":"","family":"Farvid","given":"Maryam S.","non-dropping-particle":"","parse-names":false,"suffix":""},{"dropping-particle":"","family":"Farzadfar","given":"Farshad","non-dropping-particle":"","parse-names":false,"suffix":""},{"dropping-particle":"","family":"Feigin","given":"Valery L.","non-dropping-particle":"","parse-names":false,"suffix":""},{"dropping-particle":"","family":"Fernandes","given":"Joao C.","non-dropping-particle":"","parse-names":false,"suffix":""},{"dropping-particle":"","family":"Flor","given":"Luisa Sorio","non-dropping-particle":"","parse-names":false,"suffix":""},{"dropping-particle":"","family":"Foigt","given":"Nataliya A.","non-dropping-particle":"","parse-names":false,"suffix":""},{"dropping-particle":"","family":"Forouzanfar","given":"Mohammad H.","non-dropping-particle":"","parse-names":false,"suffix":""},{"dropping-particle":"","family":"Ganji","given":"Morsaleh","non-dropping-particle":"","parse-names":false,"suffix":""},{"dropping-particle":"","family":"Geleijnse","given":"Johanna M.","non-dropping-particle":"","parse-names":false,"suffix":""},{"dropping-particle":"","family":"Gillum","given":"Richard F.","non-dropping-particle":"","parse-names":false,"suffix":""},{"dropping-particle":"","family":"Goulart","given":"Alessandra C.","non-dropping-particle":"","parse-names":false,"suffix":""},{"dropping-particle":"","family":"Grosso","given":"Giuseppe","non-dropping-particle":"","parse-names":false,"suffix":""},{"dropping-particle":"","family":"Guessous","given":"Idris","non-dropping-particle":"","parse-names":false,"suffix":""},{"dropping-particle":"","family":"Hamidi","given":"Samer","non-dropping-particle":"","parse-names":false,"suffix":""},{"dropping-particle":"","family":"Hankey","given":"Graeme J.","non-dropping-particle":"","parse-names":false,"suffix":""},{"dropping-particle":"","family":"Harikrishnan","given":"Sivadasanpillai","non-dropping-particle":"","parse-names":false,"suffix":""},{"dropping-particle":"","family":"Hassen","given":"Hamid Yimam","non-dropping-particle":"","parse-names":false,"suffix":""},{"dropping-particle":"","family":"Hay","given":"Simon I.","non-dropping-particle":"","parse-names":false,"suffix":""},{"dropping-particle":"","family":"Hoang","given":"Chi Linh","non-dropping-particle":"","parse-names":false,"suffix":""},{"dropping-particle":"","family":"Horino","given":"Masako","non-dropping-particle":"","parse-names":false,"suffix":""},{"dropping-particle":"","family":"Islami","given":"Farhad","non-dropping-particle":"","parse-names":false,"suffix":""},{"dropping-particle":"","family":"Jackson","given":"Maria D.","non-dropping-particle":"","parse-names":false,"suffix":""},{"dropping-particle":"","family":"James","given":"Spencer L.","non-dropping-particle":"","parse-names":false,"suffix":""},{"dropping-particle":"","family":"Johansson","given":"Lars","non-dropping-particle":"","parse-names":false,"suffix":""},{"dropping-particle":"","family":"Jonas","given":"Jost B.","non-dropping-particle":"","parse-names":false,"suffix":""},{"dropping-particle":"","family":"Kasaeian","given":"Amir","non-dropping-particle":"","parse-names":false,"suffix":""},{"dropping-particle":"","family":"Khader","given":"Yousef Saleh","non-dropping-particle":"","parse-names":false,"suffix":""},{"dropping-particle":"","family":"Khalil","given":"Ibrahim A.","non-dropping-particle":"","parse-names":false,"suffix":""},{"dropping-particle":"","family":"Khang","given":"Young Ho","non-dropping-particle":"","parse-names":false,"suffix":""},{"dropping-particle":"","family":"Kimokoti","given":"Ruth W.","non-dropping-particle":"","parse-names":false,"suffix":""},{"dropping-particle":"","family":"Kokubo","given":"Yoshihiro","non-dropping-particle":"","parse-names":false,"suffix":""},{"dropping-particle":"","family":"Kumar","given":"G. Anil","non-dropping-particle":"","parse-names":false,"suffix":""},{"dropping-particle":"","family":"Lallukka","given":"Tea","non-dropping-particle":"","parse-names":false,"suffix":""},{"dropping-particle":"","family":"Lopez","given":"Alan D.","non-dropping-particle":"","parse-names":false,"suffix":""},{"dropping-particle":"","family":"Lorkowski","given":"Stefan","non-dropping-particle":"","parse-names":false,"suffix":""},{"dropping-particle":"","family":"Lotufo","given":"Paulo A.","non-dropping-particle":"","parse-names":false,"suffix":""},{"dropping-particle":"","family":"Lozano","given":"Rafael","non-dropping-particle":"","parse-names":false,"suffix":""},{"dropping-particle":"","family":"Malekzadeh","given":"Reza","non-dropping-particle":"","parse-names":false,"suffix":""},{"dropping-particle":"","family":"März","given":"Winfried","non-dropping-particle":"","parse-names":false,"suffix":""},{"dropping-particle":"","family":"Meier","given":"Toni","non-dropping-particle":"","parse-names":false,"suffix":""},{"dropping-particle":"","family":"Melaku","given":"Yohannes A.","non-dropping-particle":"","parse-names":false,"suffix":""},{"dropping-particle":"","family":"Mendoza","given":"Walter","non-dropping-particle":"","parse-names":false,"suffix":""},{"dropping-particle":"","family":"Mensink","given":"Gert B.M.","non-dropping-particle":"","parse-names":false,"suffix":""},{"dropping-particle":"","family":"Micha","given":"Renata","non-dropping-particle":"","parse-names":false,"suffix":""},{"dropping-particle":"","family":"Miller","given":"Ted R.","non-dropping-particle":"","parse-names":false,"suffix":""},{"dropping-particle":"","family":"Mirarefin","given":"Mojde","non-dropping-particle":"","parse-names":false,"suffix":""},{"dropping-particle":"","family":"Mohan","given":"Viswanathan","non-dropping-particle":"","parse-names":false,"suffix":""},{"dropping-particle":"","family":"Mokdad","given":"Ali H.","non-dropping-particle":"","parse-names":false,"suffix":""},{"dropping-particle":"","family":"Mozaffarian","given":"Dariush","non-dropping-particle":"","parse-names":false,"suffix":""},{"dropping-particle":"","family":"Nagel","given":"Gabriele","non-dropping-particle":"","parse-names":false,"suffix":""},{"dropping-particle":"","family":"Naghavi","given":"Mohsen","non-dropping-particle":"","parse-names":false,"suffix":""},{"dropping-particle":"","family":"Nguyen","given":"Cuong Tat","non-dropping-particle":"","parse-names":false,"suffix":""},{"dropping-particle":"","family":"Nixon","given":"Molly R.","non-dropping-particle":"","parse-names":false,"suffix":""},{"dropping-particle":"","family":"Ong","given":"Kanyin L.","non-dropping-particle":"","parse-names":false,"suffix":""},{"dropping-particle":"","family":"Pereira","given":"David M.","non-dropping-particle":"","parse-names":false,"suffix":""},{"dropping-particle":"","family":"Poustchi","given":"Hossein","non-dropping-particle":"","parse-names":false,"suffix":""},{"dropping-particle":"","family":"Qorbani","given":"Mostafa","non-dropping-particle":"","parse-names":false,"suffix":""},{"dropping-particle":"","family":"Rai","given":"Rajesh Kumar","non-dropping-particle":"","parse-names":false,"suffix":""},{"dropping-particle":"","family":"Razo-García","given":"Christian","non-dropping-particle":"","parse-names":false,"suffix":""},{"dropping-particle":"","family":"Rehm","given":"Colin D.","non-dropping-particle":"","parse-names":false,"suffix":""},{"dropping-particle":"","family":"Rivera","given":"Juan A.","non-dropping-particle":"","parse-names":false,"suffix":""},{"dropping-particle":"","family":"Rodríguez-Ramírez","given":"Sonia","non-dropping-particle":"","parse-names":false,"suffix":""},{"dropping-particle":"","family":"Roshandel","given":"Gholamreza","non-dropping-particle":"","parse-names":false,"suffix":""},{"dropping-particle":"","family":"Roth","given":"Gregory A.","non-dropping-particle":"","parse-names":false,"suffix":""},{"dropping-particle":"","family":"Sanabria","given":"Juan","non-dropping-particle":"","parse-names":false,"suffix":""},{"dropping-particle":"","family":"Sánchez-Pimienta","given":"Tania G.","non-dropping-particle":"","parse-names":false,"suffix":""},{"dropping-particle":"","family":"Sartorius","given":"Benn","non-dropping-particle":"","parse-names":false,"suffix":""},{"dropping-particle":"","family":"Schmidhuber","given":"Josef","non-dropping-particle":"","parse-names":false,"suffix":""},{"dropping-particle":"","family":"Schutte","given":"Aletta Elisabeth","non-dropping-particle":"","parse-names":false,"suffix":""},{"dropping-particle":"","family":"Sepanlou","given":"Sadaf G.","non-dropping-particle":"","parse-names":false,"suffix":""},{"dropping-particle":"","family":"Shin","given":"Min Jeong","non-dropping-particle":"","parse-names":false,"suffix":""},{"dropping-particle":"","family":"Sorensen","given":"Reed J.D.","non-dropping-particle":"","parse-names":false,"suffix":""},{"dropping-particle":"","family":"Springmann","given":"Marco","non-dropping-particle":"","parse-names":false,"suffix":""},{"dropping-particle":"","family":"Szponar","given":"Lucjan","non-dropping-particle":"","parse-names":false,"suffix":""},{"dropping-particle":"","family":"Thorne-Lyman","given":"Andrew L.","non-dropping-particle":"","parse-names":false,"suffix":""},{"dropping-particle":"","family":"Thrift","given":"Amanda G.","non-dropping-particle":"","parse-names":false,"suffix":""},{"dropping-particle":"","family":"Touvier","given":"Mathilde","non-dropping-particle":"","parse-names":false,"suffix":""},{"dropping-particle":"","family":"Tran","given":"Bach Xuan","non-dropping-particle":"","parse-names":false,"suffix":""},{"dropping-particle":"","family":"Tyrovolas","given":"Stefanos","non-dropping-particle":"","parse-names":false,"suffix":""},{"dropping-particle":"","family":"Ukwaja","given":"Kingsley Nnanna","non-dropping-particle":"","parse-names":false,"suffix":""},{"dropping-particle":"","family":"Ullah","given":"Irfan","non-dropping-particle":"","parse-names":false,"suffix":""},{"dropping-particle":"","family":"Uthman","given":"Olalekan A.","non-dropping-particle":"","parse-names":false,"suffix":""},{"dropping-particle":"","family":"Vaezghasemi","given":"Masoud","non-dropping-particle":"","parse-names":false,"suffix":""},{"dropping-particle":"","family":"Vasankari","given":"Tommi Juhani","non-dropping-particle":"","parse-names":false,"suffix":""},{"dropping-particle":"","family":"Vollset","given":"Stein Emil","non-dropping-particle":"","parse-names":false,"suffix":""},{"dropping-particle":"","family":"Vos","given":"Theo","non-dropping-particle":"","parse-names":false,"suffix":""},{"dropping-particle":"","family":"Vu","given":"Giang Thu","non-dropping-particle":"","parse-names":false,"suffix":""},{"dropping-particle":"","family":"Vu","given":"Linh Gia","non-dropping-particle":"","parse-names":false,"suffix":""},{"dropping-particle":"","family":"Weiderpass","given":"Elisabete","non-dropping-particle":"","parse-names":false,"suffix":""},{"dropping-particle":"","family":"Werdecker","given":"Andrea","non-dropping-particle":"","parse-names":false,"suffix":""},{"dropping-particle":"","family":"Wijeratne","given":"Tissa","non-dropping-particle":"","parse-names":false,"suffix":""},{"dropping-particle":"","family":"Willett","given":"Walter C.","non-dropping-particle":"","parse-names":false,"suffix":""},{"dropping-particle":"","family":"Wu","given":"Jason H.","non-dropping-particle":"","parse-names":false,"suffix":""},{"dropping-particle":"","family":"Xu","given":"Gelin","non-dropping-particle":"","parse-names":false,"suffix":""},{"dropping-particle":"","family":"Yonemoto","given":"Naohiro","non-dropping-particle":"","parse-names":false,"suffix":""},{"dropping-particle":"","family":"Yu","given":"Chuanhua","non-dropping-particle":"","parse-names":false,"suffix":""},{"dropping-particle":"","family":"Murray","given":"Christopher J.L.","non-dropping-particle":"","parse-names":false,"suffix":""}],"container-title":"The Lancet","id":"ITEM-1","issue":"10184","issued":{"date-parts":[["2019"]]},"page":"1958-1972","title":"Health effects of dietary risks in 195 countries, 1990–2017: a systematic analysis for the Global Burden of Disease Study 2017","type":"article-journal","volume":"393"},"uris":["http://www.mendeley.com/documents/?uuid=2c602af5-21e3-4143-88b8-975967adca7a"]}],"mendeley":{"formattedCitation":"(1)","plainTextFormattedCitation":"(1)","previouslyFormattedCitation":"[1]"},"properties":{"noteIndex":0},"schema":"https://github.com/citation-style-language/schema/raw/master/csl-citation.json"}</w:instrText>
      </w:r>
      <w:r w:rsidRPr="00DF1BBA">
        <w:fldChar w:fldCharType="separate"/>
      </w:r>
      <w:r w:rsidRPr="00DF1BBA">
        <w:t>[1</w:t>
      </w:r>
      <w:r w:rsidRPr="00DF1BBA">
        <w:fldChar w:fldCharType="end"/>
      </w:r>
      <w:r w:rsidRPr="00DF1BBA">
        <w:t xml:space="preserve">]. High consumption of sugars </w:t>
      </w:r>
      <w:r w:rsidRPr="00DF1BBA">
        <w:fldChar w:fldCharType="begin" w:fldLock="1"/>
      </w:r>
      <w:r w:rsidRPr="00DF1BBA">
        <w:instrText>ADDIN CSL_CITATION {"citationItems":[{"id":"ITEM-1","itemData":{"DOI":"10.1016/S0140-6736(12)61766-8","ISBN":"0140-6736","ISSN":"1474547X","PMID":"23245609","abstract":"Background Quantification of the disease burden caused by different risks informs prevention by providing an account of health loss different to that provided by a disease-by-disease analysis. No complete revision of global disease burden caused by risk factors has been done since a comparative risk assessment in 2000, and no previous analysis has assessed changes in burden attributable to risk factors over time. Methods We estimated deaths and disability-adjusted life years; DALYs; sum of years lived with disability [YLD] and years of life lost [YLL]) attributable to the independent effects of 67 risk factors and clusters of risk factors for 21 regions in 1990 and 2010. We estimated exposure distributions for each year, region, sex, and age group, and relative risks per unit of exposure by systematically reviewing and synthesising published and unpublished data. We used these estimates, together with estimates of cause-specific deaths and DALYs from the Global Burden of Disease Study 2010, to calculate the burden attributable to each risk factor exposure compared with the theoretical-minimum-risk exposure. We incorporated uncertainty in disease burden, relative risks, and exposures into our estimates of attributable burden. Findings In 2010, the three leading risk factors for global disease burden were high blood pressure (7 0% [95% uncertainty interval 6 2-7 7] of global DALYs); tobacco smoking including second-hand smoke (6 3% [5 5-7 0]), and alcohol use (5 5% [5 0-5 9]). In 1990, the leading risks were childhood underweight (7 9% [6 8-9 4]), household air pollution from solid fuels; (HAP; 7 0% [5 6-8 3]), and tobacco smoking including second-hand smoke (6 1% [5 4-6 8]). Dietary risk factors and physical inactivity collectively accounted for 10 0% (95% UI 9 2-10 8) of global DALYs in 2010, with the most prominent dietary risks being diets low in fruits and those high in sodium. Several risks that primarily affect childhood communicable diseases, including unimproved water and sanitation and childhood micronutrient deficiencies, fell in rank between 1990 and 2010, with unimproved water ' and sanitation accounting for 0 9% (0 4-1 6) of global DALYs in 2010. However, in most of sub-Saharan Africa childhood underweight, HAP, and non-exclusive and discontinued breastfeeding were the leading risks in 2010, while HAP was the leading risk in south Asia. The leading risk factor in Eastern Europe, most of Latin America, and southern sub-Saharan Africa in 2010 …","author":[{"dropping-particle":"","family":"Lim","given":"Stephen S.","non-dropping-particle":"","parse-names":false,"suffix":""},{"dropping-particle":"","family":"Vos","given":"Theo","non-dropping-particle":"","parse-names":false,"suffix":""},{"dropping-particle":"","family":"Flaxman","given":"Abraham D.","non-dropping-particle":"","parse-names":false,"suffix":""},{"dropping-particle":"","family":"Danaei","given":"Goodarz","non-dropping-particle":"","parse-names":false,"suffix":""},{"dropping-particle":"","family":"Shibuya","given":"Kenji","non-dropping-particle":"","parse-names":false,"suffix":""},{"dropping-particle":"","family":"Adair-Rohani","given":"Heather","non-dropping-particle":"","parse-names":false,"suffix":""},{"dropping-particle":"","family":"Amann","given":"Markus","non-dropping-particle":"","parse-names":false,"suffix":""},{"dropping-particle":"","family":"Anderson","given":"H. Ross","non-dropping-particle":"","parse-names":false,"suffix":""},{"dropping-particle":"","family":"Andrews","given":"Kathryn G.","non-dropping-particle":"","parse-names":false,"suffix":""},{"dropping-particle":"","family":"Aryee","given":"Martin","non-dropping-particle":"","parse-names":false,"suffix":""},{"dropping-particle":"","family":"Atkinson","given":"Charles","non-dropping-particle":"","parse-names":false,"suffix":""},{"dropping-particle":"","family":"Bacchus","given":"Loraine J.","non-dropping-particle":"","parse-names":false,"suffix":""},{"dropping-particle":"","family":"Bahalim","given":"Adil N.","non-dropping-particle":"","parse-names":false,"suffix":""},{"dropping-particle":"","family":"Balakrishnan","given":"Kalpana","non-dropping-particle":"","parse-names":false,"suffix":""},{"dropping-particle":"","family":"Balmes","given":"John","non-dropping-particle":"","parse-names":false,"suffix":""},{"dropping-particle":"","family":"Barker-Collo","given":"Suzanne","non-dropping-particle":"","parse-names":false,"suffix":""},{"dropping-particle":"","family":"Baxter","given":"Amanda","non-dropping-particle":"","parse-names":false,"suffix":""},{"dropping-particle":"","family":"Bell","given":"Michelle L.","non-dropping-particle":"","parse-names":false,"suffix":""},{"dropping-particle":"","family":"Blore","given":"Jed D.","non-dropping-particle":"","parse-names":false,"suffix":""},{"dropping-particle":"","family":"Blyth","given":"Fiona","non-dropping-particle":"","parse-names":false,"suffix":""},{"dropping-particle":"","family":"Bonner","given":"Carissa","non-dropping-particle":"","parse-names":false,"suffix":""},{"dropping-particle":"","family":"Borges","given":"Guilherme","non-dropping-particle":"","parse-names":false,"suffix":""},{"dropping-particle":"","family":"Bourne","given":"Rupert","non-dropping-particle":"","parse-names":false,"suffix":""},{"dropping-particle":"","family":"Boussinesq","given":"Michel","non-dropping-particle":"","parse-names":false,"suffix":""},{"dropping-particle":"","family":"Brauer","given":"Michael","non-dropping-particle":"","parse-names":false,"suffix":""},{"dropping-particle":"","family":"Brooks","given":"Peter","non-dropping-particle":"","parse-names":false,"suffix":""},{"dropping-particle":"","family":"Bruce","given":"Nigel G.","non-dropping-particle":"","parse-names":false,"suffix":""},{"dropping-particle":"","family":"Brunekreef","given":"Bert","non-dropping-particle":"","parse-names":false,"suffix":""},{"dropping-particle":"","family":"Bryan-Hancock","given":"Claire","non-dropping-particle":"","parse-names":false,"suffix":""},{"dropping-particle":"","family":"Bucello","given":"Chiara","non-dropping-particle":"","parse-names":false,"suffix":""},{"dropping-particle":"","family":"Buchbinder","given":"Rachelle","non-dropping-particle":"","parse-names":false,"suffix":""},{"dropping-particle":"","family":"Bull","given":"Fiona","non-dropping-particle":"","parse-names":false,"suffix":""},{"dropping-particle":"","family":"Burnett","given":"Richard T.","non-dropping-particle":"","parse-names":false,"suffix":""},{"dropping-particle":"","family":"Byers","given":"Tim E.","non-dropping-particle":"","parse-names":false,"suffix":""},{"dropping-particle":"","family":"Calabria","given":"Bianca","non-dropping-particle":"","parse-names":false,"suffix":""},{"dropping-particle":"","family":"Carapetis","given":"Jonathan","non-dropping-particle":"","parse-names":false,"suffix":""},{"dropping-particle":"","family":"Carnahan","given":"Emily","non-dropping-particle":"","parse-names":false,"suffix":""},{"dropping-particle":"","family":"Chafe","given":"Zoe","non-dropping-particle":"","parse-names":false,"suffix":""},{"dropping-particle":"","family":"Charlson","given":"Fiona","non-dropping-particle":"","parse-names":false,"suffix":""},{"dropping-particle":"","family":"Chen","given":"Honglei","non-dropping-particle":"","parse-names":false,"suffix":""},{"dropping-particle":"","family":"Chen","given":"Jian Shen","non-dropping-particle":"","parse-names":false,"suffix":""},{"dropping-particle":"","family":"Cheng","given":"Andrew Tai Ann","non-dropping-particle":"","parse-names":false,"suffix":""},{"dropping-particle":"","family":"Child","given":"Jennifer Christine","non-dropping-particle":"","parse-names":false,"suffix":""},{"dropping-particle":"","family":"Cohen","given":"Aaron","non-dropping-particle":"","parse-names":false,"suffix":""},{"dropping-particle":"","family":"Colson","given":"K. Ellicott","non-dropping-particle":"","parse-names":false,"suffix":""},{"dropping-particle":"","family":"Cowie","given":"Benjamin C.","non-dropping-particle":"","parse-names":false,"suffix":""},{"dropping-particle":"","family":"Darby","given":"Sarah","non-dropping-particle":"","parse-names":false,"suffix":""},{"dropping-particle":"","family":"Darling","given":"Susan","non-dropping-particle":"","parse-names":false,"suffix":""},{"dropping-particle":"","family":"Davis","given":"Adrian","non-dropping-particle":"","parse-names":false,"suffix":""},{"dropping-particle":"","family":"Degenhardt","given":"Louisa","non-dropping-particle":"","parse-names":false,"suffix":""},{"dropping-particle":"","family":"Dentener","given":"Frank","non-dropping-particle":"","parse-names":false,"suffix":""},{"dropping-particle":"","family":"Jarlais","given":"Don C.","non-dropping-particle":"Des","parse-names":false,"suffix":""},{"dropping-particle":"","family":"Devries","given":"Karen","non-dropping-particle":"","parse-names":false,"suffix":""},{"dropping-particle":"","family":"Dherani","given":"Mukesh","non-dropping-particle":"","parse-names":false,"suffix":""},{"dropping-particle":"","family":"Ding","given":"Eric L.","non-dropping-particle":"","parse-names":false,"suffix":""},{"dropping-particle":"","family":"Dorsey","given":"E. Ray","non-dropping-particle":"","parse-names":false,"suffix":""},{"dropping-particle":"","family":"Driscoll","given":"Tim","non-dropping-particle":"","parse-names":false,"suffix":""},{"dropping-particle":"","family":"Edmond","given":"Karen","non-dropping-particle":"","parse-names":false,"suffix":""},{"dropping-particle":"","family":"Ali","given":"Suad Eltahir","non-dropping-particle":"","parse-names":false,"suffix":""},{"dropping-particle":"","family":"Engell","given":"Rebecca E.","non-dropping-particle":"","parse-names":false,"suffix":""},{"dropping-particle":"","family":"Erwin","given":"Patricia J.","non-dropping-particle":"","parse-names":false,"suffix":""},{"dropping-particle":"","family":"Fahimi","given":"Saman","non-dropping-particle":"","parse-names":false,"suffix":""},{"dropping-particle":"","family":"Falder","given":"Gail","non-dropping-particle":"","parse-names":false,"suffix":""},{"dropping-particle":"","family":"Farzadfar","given":"Farshad","non-dropping-particle":"","parse-names":false,"suffix":""},{"dropping-particle":"","family":"Ferrari","given":"Alize","non-dropping-particle":"","parse-names":false,"suffix":""},{"dropping-particle":"","family":"Finucane","given":"Mariel M.","non-dropping-particle":"","parse-names":false,"suffix":""},{"dropping-particle":"","family":"Flaxman","given":"Seth","non-dropping-particle":"","parse-names":false,"suffix":""},{"dropping-particle":"","family":"Fowkes","given":"Francis Gerry R.","non-dropping-particle":"","parse-names":false,"suffix":""},{"dropping-particle":"","family":"Freedman","given":"Greg","non-dropping-particle":"","parse-names":false,"suffix":""},{"dropping-particle":"","family":"Freeman","given":"Michael K.","non-dropping-particle":"","parse-names":false,"suffix":""},{"dropping-particle":"","family":"Gakidou","given":"Emmanuela","non-dropping-particle":"","parse-names":false,"suffix":""},{"dropping-particle":"","family":"Ghosh","given":"Santu","non-dropping-particle":"","parse-names":false,"suffix":""},{"dropping-particle":"","family":"Giovannucci","given":"Edward","non-dropping-particle":"","parse-names":false,"suffix":""},{"dropping-particle":"","family":"Gmel","given":"Gerhard","non-dropping-particle":"","parse-names":false,"suffix":""},{"dropping-particle":"","family":"Graham","given":"Kathryn","non-dropping-particle":"","parse-names":false,"suffix":""},{"dropping-particle":"","family":"Grainger","given":"Rebecca","non-dropping-particle":"","parse-names":false,"suffix":""},{"dropping-particle":"","family":"Grant","given":"Bridget","non-dropping-particle":"","parse-names":false,"suffix":""},{"dropping-particle":"","family":"Gunnell","given":"David","non-dropping-particle":"","parse-names":false,"suffix":""},{"dropping-particle":"","family":"Gutierrez","given":"Hialy R.","non-dropping-particle":"","parse-names":false,"suffix":""},{"dropping-particle":"","family":"Hall","given":"Wayne","non-dropping-particle":"","parse-names":false,"suffix":""},{"dropping-particle":"","family":"Hoek","given":"Hans W.","non-dropping-particle":"","parse-names":false,"suffix":""},{"dropping-particle":"","family":"Hogan","given":"Anthony","non-dropping-particle":"","parse-names":false,"suffix":""},{"dropping-particle":"","family":"Hosgood","given":"H. Dean","non-dropping-particle":"","parse-names":false,"suffix":""},{"dropping-particle":"","family":"Hoy","given":"Damian","non-dropping-particle":"","parse-names":false,"suffix":""},{"dropping-particle":"","family":"Hu","given":"Howard","non-dropping-particle":"","parse-names":false,"suffix":""},{"dropping-particle":"","family":"Hubbell","given":"Bryan J.","non-dropping-particle":"","parse-names":false,"suffix":""},{"dropping-particle":"","family":"Hutchings","given":"Sally J.","non-dropping-particle":"","parse-names":false,"suffix":""},{"dropping-particle":"","family":"Ibeanusi","given":"Sydney E.","non-dropping-particle":"","parse-names":false,"suffix":""},{"dropping-particle":"","family":"Jacklyn","given":"Gemma L.","non-dropping-particle":"","parse-names":false,"suffix":""},{"dropping-particle":"","family":"Jasrasaria","given":"Rashmi","non-dropping-particle":"","parse-names":false,"suffix":""},{"dropping-particle":"","family":"Jonas","given":"Jost B.","non-dropping-particle":"","parse-names":false,"suffix":""},{"dropping-particle":"","family":"Kan","given":"Haidong","non-dropping-particle":"","parse-names":false,"suffix":""},{"dropping-particle":"","family":"Kanis","given":"John A.","non-dropping-particle":"","parse-names":false,"suffix":""},{"dropping-particle":"","family":"Kassebaum","given":"Nicholas","non-dropping-particle":"","parse-names":false,"suffix":""},{"dropping-particle":"","family":"Kawakami","given":"Norito","non-dropping-particle":"","parse-names":false,"suffix":""},{"dropping-particle":"","family":"Khang","given":"Young Ho","non-dropping-particle":"","parse-names":false,"suffix":""},{"dropping-particle":"","family":"Khatibzadeh","given":"Shahab","non-dropping-particle":"","parse-names":false,"suffix":""},{"dropping-particle":"","family":"Khoo","given":"Jon Paul","non-dropping-particle":"","parse-names":false,"suffix":""},{"dropping-particle":"","family":"Kok","given":"Cindy","non-dropping-particle":"","parse-names":false,"suffix":""},{"dropping-particle":"","family":"Laden","given":"Francine","non-dropping-particle":"","parse-names":false,"suffix":""},{"dropping-particle":"","family":"Lalloo","given":"Ratilal","non-dropping-particle":"","parse-names":false,"suffix":""},{"dropping-particle":"","family":"Lan","given":"Qing","non-dropping-particle":"","parse-names":false,"suffix":""},{"dropping-particle":"","family":"Lathlean","given":"Tim","non-dropping-particle":"","parse-names":false,"suffix":""},{"dropping-particle":"","family":"Leasher","given":"Janet L.","non-dropping-particle":"","parse-names":false,"suffix":""},{"dropping-particle":"","family":"Leigh","given":"James","non-dropping-particle":"","parse-names":false,"suffix":""},{"dropping-particle":"","family":"Li","given":"Yang","non-dropping-particle":"","parse-names":false,"suffix":""},{"dropping-particle":"","family":"Lin","given":"John Kent","non-dropping-particle":"","parse-names":false,"suffix":""},{"dropping-particle":"","family":"Lipshultz","given":"Steven E.","non-dropping-particle":"","parse-names":false,"suffix":""},{"dropping-particle":"","family":"London","given":"Stephanie","non-dropping-particle":"","parse-names":false,"suffix":""},{"dropping-particle":"","family":"Lozano","given":"Rafael","non-dropping-particle":"","parse-names":false,"suffix":""},{"dropping-particle":"","family":"Lu","given":"Yuan","non-dropping-particle":"","parse-names":false,"suffix":""},{"dropping-particle":"","family":"Mak","given":"Joelle","non-dropping-particle":"","parse-names":false,"suffix":""},{"dropping-particle":"","family":"Malekzadeh","given":"Reza","non-dropping-particle":"","parse-names":false,"suffix":""},{"dropping-particle":"","family":"Mallinger","given":"Leslie","non-dropping-particle":"","parse-names":false,"suffix":""},{"dropping-particle":"","family":"Marcenes","given":"Wagner","non-dropping-particle":"","parse-names":false,"suffix":""},{"dropping-particle":"","family":"March","given":"Lyn","non-dropping-particle":"","parse-names":false,"suffix":""},{"dropping-particle":"","family":"Marks","given":"Robin","non-dropping-particle":"","parse-names":false,"suffix":""},{"dropping-particle":"","family":"Martin","given":"Randall","non-dropping-particle":"","parse-names":false,"suffix":""},{"dropping-particle":"","family":"McGale","given":"Paul","non-dropping-particle":"","parse-names":false,"suffix":""},{"dropping-particle":"","family":"McGrath","given":"John","non-dropping-particle":"","parse-names":false,"suffix":""},{"dropping-particle":"","family":"Mehta","given":"Sumi","non-dropping-particle":"","parse-names":false,"suffix":""},{"dropping-particle":"","family":"Mensah","given":"George A.","non-dropping-particle":"","parse-names":false,"suffix":""},{"dropping-particle":"","family":"Merriman","given":"Tony R.","non-dropping-particle":"","parse-names":false,"suffix":""},{"dropping-particle":"","family":"Micha","given":"Renata","non-dropping-particle":"","parse-names":false,"suffix":""},{"dropping-particle":"","family":"Michaud","given":"Catherine","non-dropping-particle":"","parse-names":false,"suffix":""},{"dropping-particle":"","family":"Mishra","given":"Vinod","non-dropping-particle":"","parse-names":false,"suffix":""},{"dropping-particle":"","family":"Hanafiah","given":"Khayriyyah Mohd","non-dropping-particle":"","parse-names":false,"suffix":""},{"dropping-particle":"","family":"Mokdad","given":"Ali A.","non-dropping-particle":"","parse-names":false,"suffix":""},{"dropping-particle":"","family":"Morawska","given":"Lidia","non-dropping-particle":"","parse-names":false,"suffix":""},{"dropping-particle":"","family":"Mozaffarian","given":"Dariush","non-dropping-particle":"","parse-names":false,"suffix":""},{"dropping-particle":"","family":"Murphy","given":"Tasha","non-dropping-particle":"","parse-names":false,"suffix":""},{"dropping-particle":"","family":"Naghavi","given":"Mohsen","non-dropping-particle":"","parse-names":false,"suffix":""},{"dropping-particle":"","family":"Neal","given":"Bruce","non-dropping-particle":"","parse-names":false,"suffix":""},{"dropping-particle":"","family":"Nelson","given":"Paul K.","non-dropping-particle":"","parse-names":false,"suffix":""},{"dropping-particle":"","family":"Nolla","given":"Joan Miquel","non-dropping-particle":"","parse-names":false,"suffix":""},{"dropping-particle":"","family":"Norman","given":"Rosana","non-dropping-particle":"","parse-names":false,"suffix":""},{"dropping-particle":"","family":"Olives","given":"Casey","non-dropping-particle":"","parse-names":false,"suffix":""},{"dropping-particle":"","family":"Omer","given":"Saad B.","non-dropping-particle":"","parse-names":false,"suffix":""},{"dropping-particle":"","family":"Orchard","given":"Jessica","non-dropping-particle":"","parse-names":false,"suffix":""},{"dropping-particle":"","family":"Osborne","given":"Richard","non-dropping-particle":"","parse-names":false,"suffix":""},{"dropping-particle":"","family":"Ostro","given":"Bart","non-dropping-particle":"","parse-names":false,"suffix":""},{"dropping-particle":"","family":"Page","given":"Andrew","non-dropping-particle":"","parse-names":false,"suffix":""},{"dropping-particle":"","family":"Pandey","given":"Kiran D.","non-dropping-particle":"","parse-names":false,"suffix":""},{"dropping-particle":"","family":"Parry","given":"Charles D.H.","non-dropping-particle":"","parse-names":false,"suffix":""},{"dropping-particle":"","family":"Passmore","given":"Erin","non-dropping-particle":"","parse-names":false,"suffix":""},{"dropping-particle":"","family":"Patra","given":"Jayadeep","non-dropping-particle":"","parse-names":false,"suffix":""},{"dropping-particle":"","family":"Pearce","given":"Neil","non-dropping-particle":"","parse-names":false,"suffix":""},{"dropping-particle":"","family":"Pelizzari","given":"Pamela M.","non-dropping-particle":"","parse-names":false,"suffix":""},{"dropping-particle":"","family":"Petzold","given":"Max","non-dropping-particle":"","parse-names":false,"suffix":""},{"dropping-particle":"","family":"Phillips","given":"Michael R.","non-dropping-particle":"","parse-names":false,"suffix":""},{"dropping-particle":"","family":"Pope","given":"Dan","non-dropping-particle":"","parse-names":false,"suffix":""},{"dropping-particle":"","family":"Pope","given":"C. Arden","non-dropping-particle":"","parse-names":false,"suffix":""},{"dropping-particle":"","family":"Powles","given":"John","non-dropping-particle":"","parse-names":false,"suffix":""},{"dropping-particle":"","family":"Rao","given":"Mayuree","non-dropping-particle":"","parse-names":false,"suffix":""},{"dropping-particle":"","family":"Razavi","given":"Homie","non-dropping-particle":"","parse-names":false,"suffix":""},{"dropping-particle":"","family":"Rehfuess","given":"Eva A.","non-dropping-particle":"","parse-names":false,"suffix":""},{"dropping-particle":"","family":"Rehm","given":"Jürgen T.","non-dropping-particle":"","parse-names":false,"suffix":""},{"dropping-particle":"","family":"Ritz","given":"Beate","non-dropping-particle":"","parse-names":false,"suffix":""},{"dropping-particle":"","family":"Rivara","given":"Frederick P.","non-dropping-particle":"","parse-names":false,"suffix":""},{"dropping-particle":"","family":"Roberts","given":"Thomas","non-dropping-particle":"","parse-names":false,"suffix":""},{"dropping-particle":"","family":"Robinson","given":"Carolyn","non-dropping-particle":"","parse-names":false,"suffix":""},{"dropping-particle":"","family":"Rodriguez-Portales","given":"Jose A.","non-dropping-particle":"","parse-names":false,"suffix":""},{"dropping-particle":"","family":"Romieu","given":"Isabelle","non-dropping-particle":"","parse-names":false,"suffix":""},{"dropping-particle":"","family":"Room","given":"Robin","non-dropping-particle":"","parse-names":false,"suffix":""},{"dropping-particle":"","family":"Rosenfeld","given":"Lisa C.","non-dropping-particle":"","parse-names":false,"suffix":""},{"dropping-particle":"","family":"Roy","given":"Ananya","non-dropping-particle":"","parse-names":false,"suffix":""},{"dropping-particle":"","family":"Rushton","given":"Lesley","non-dropping-particle":"","parse-names":false,"suffix":""},{"dropping-particle":"","family":"Salomon","given":"Joshua A.","non-dropping-particle":"","parse-names":false,"suffix":""},{"dropping-particle":"","family":"Sampson","given":"Uchechukwu","non-dropping-particle":"","parse-names":false,"suffix":""},{"dropping-particle":"","family":"Sanchez-Riera","given":"Lidia","non-dropping-particle":"","parse-names":false,"suffix":""},{"dropping-particle":"","family":"Sanman","given":"Ella","non-dropping-particle":"","parse-names":false,"suffix":""},{"dropping-particle":"","family":"Sapkota","given":"Amir","non-dropping-particle":"","parse-names":false,"suffix":""},{"dropping-particle":"","family":"Seedat","given":"Soraya","non-dropping-particle":"","parse-names":false,"suffix":""},{"dropping-particle":"","family":"Shi","given":"Peilin","non-dropping-particle":"","parse-names":false,"suffix":""},{"dropping-particle":"","family":"Shield","given":"Kevin","non-dropping-particle":"","parse-names":false,"suffix":""},{"dropping-particle":"","family":"Shivakoti","given":"Rupak","non-dropping-particle":"","parse-names":false,"suffix":""},{"dropping-particle":"","family":"Singh","given":"Gitanjali M.","non-dropping-particle":"","parse-names":false,"suffix":""},{"dropping-particle":"","family":"Sleet","given":"David A.","non-dropping-particle":"","parse-names":false,"suffix":""},{"dropping-particle":"","family":"Smith","given":"Emma","non-dropping-particle":"","parse-names":false,"suffix":""},{"dropping-particle":"","family":"Smith","given":"Kirk R.","non-dropping-particle":"","parse-names":false,"suffix":""},{"dropping-particle":"","family":"Stapelberg","given":"Nicolas J.C.","non-dropping-particle":"","parse-names":false,"suffix":""},{"dropping-particle":"","family":"Steenland","given":"Kyle","non-dropping-particle":"","parse-names":false,"suffix":""},{"dropping-particle":"","family":"Stöckl","given":"Heidi","non-dropping-particle":"","parse-names":false,"suffix":""},{"dropping-particle":"","family":"Stovner","given":"Lars Jacob","non-dropping-particle":"","parse-names":false,"suffix":""},{"dropping-particle":"","family":"Straif","given":"Kurt","non-dropping-particle":"","parse-names":false,"suffix":""},{"dropping-particle":"","family":"Straney","given":"Lahn","non-dropping-particle":"","parse-names":false,"suffix":""},{"dropping-particle":"","family":"Thurston","given":"George D.","non-dropping-particle":"","parse-names":false,"suffix":""},{"dropping-particle":"","family":"Tran","given":"Jimmy H.","non-dropping-particle":"","parse-names":false,"suffix":""},{"dropping-particle":"","family":"Dingenen","given":"Rita","non-dropping-particle":"Van","parse-names":false,"suffix":""},{"dropping-particle":"","family":"Donkelaar","given":"Aaron","non-dropping-particle":"Van","parse-names":false,"suffix":""},{"dropping-particle":"","family":"Veerman","given":"J. Lennert","non-dropping-particle":"","parse-names":false,"suffix":""},{"dropping-particle":"","family":"Vijayakumar","given":"Lakshmi","non-dropping-particle":"","parse-names":false,"suffix":""},{"dropping-particle":"","family":"Weintraub","given":"Robert","non-dropping-particle":"","parse-names":false,"suffix":""},{"dropping-particle":"","family":"Weissman","given":"Myrna M.","non-dropping-particle":"","parse-names":false,"suffix":""},{"dropping-particle":"","family":"White","given":"Richard A.","non-dropping-particle":"","parse-names":false,"suffix":""},{"dropping-particle":"","family":"Whiteford","given":"Harvey","non-dropping-particle":"","parse-names":false,"suffix":""},{"dropping-particle":"","family":"Wiersma","given":"Steven T.","non-dropping-particle":"","parse-names":false,"suffix":""},{"dropping-particle":"","family":"Wilkinson","given":"James D.","non-dropping-particle":"","parse-names":false,"suffix":""},{"dropping-particle":"","family":"Williams","given":"Hywel C.","non-dropping-particle":"","parse-names":false,"suffix":""},{"dropping-particle":"","family":"Williams","given":"Warwick","non-dropping-particle":"","parse-names":false,"suffix":""},{"dropping-particle":"","family":"Wilson","given":"Nicholas","non-dropping-particle":"","parse-names":false,"suffix":""},{"dropping-particle":"","family":"Woolf","given":"Anthony D.","non-dropping-particle":"","parse-names":false,"suffix":""},{"dropping-particle":"","family":"Yip","given":"Paul","non-dropping-particle":"","parse-names":false,"suffix":""},{"dropping-particle":"","family":"Zielinski","given":"Jan M.","non-dropping-particle":"","parse-names":false,"suffix":""},{"dropping-particle":"","family":"Lopez","given":"Alan D.","non-dropping-particle":"","parse-names":false,"suffix":""},{"dropping-particle":"","family":"Murray","given":"Christopher J.L.","non-dropping-particle":"","parse-names":false,"suffix":""},{"dropping-particle":"","family":"Ezzati","given":"Majid","non-dropping-particle":"","parse-names":false,"suffix":""}],"container-title":"The Lancet","id":"ITEM-1","issue":"9859","issued":{"date-parts":[["2012"]]},"page":"2224-2260","title":"A comparative risk assessment of burden of disease and injury attributable to 67 risk factors and risk factor clusters in 21 regions, 1990-2010: A systematic analysis for the Global Burden of Disease Study 2010","type":"article-journal","volume":"380"},"uris":["http://www.mendeley.com/documents/?uuid=55896c7a-6840-46f6-88e2-da987995d159"]},{"id":"ITEM-2","itemData":{"ISBN":"978 0 11 708284 7","abstract":"Carbohydrates are a major source of energy in the diet. Classified according to their chemistry, carbohydrates can be divided into sugars (monosaccharides and disaccharides), polyols, oligosaccharides (malto-oligosaccharides and non-digestible oligosaccharides) and polysaccharides (starch and non-starch polysaccharides). However, this classification does not allow a simple translation into nutritional effects since each class of carbohydrates has overlapping physiological properties and effects on health. Carbohydrates can also be classified according to their digestion and absorption in the human small intestine. Digestible carbohydrates are absorbed and digested in the small intestine; nondigestible carbohydrates are resistant to hydrolysis in the small intestine and reach the large intestine where they are at least partially fermented by the commensal bacteria present in the colon. There is no universal definition of the term ‘dietary fibre’; broadly speaking, it refers to some or all of the constituents of non-digestible carbohydrates and may also include other quantitatively minor components (e.g. lignin) that are associated with non-digestible carbohydrates in plant cell walls.","author":[{"dropping-particle":"","family":"Scientific Advisory Committee on Nutrition","given":"","non-dropping-particle":"","parse-names":false,"suffix":""}],"container-title":"TSO The Stationary Office","id":"ITEM-2","issue":"August","issued":{"date-parts":[["2015"]]},"page":"1-6","title":"Carbohydrates and Health","type":"article-journal"},"uris":["http://www.mendeley.com/documents/?uuid=690817ae-f710-40e2-ad95-e968ac1dda4b"]}],"mendeley":{"formattedCitation":"(2,3)","plainTextFormattedCitation":"(2,3)","previouslyFormattedCitation":"[2], [3]"},"properties":{"noteIndex":0},"schema":"https://github.com/citation-style-language/schema/raw/master/csl-citation.json"}</w:instrText>
      </w:r>
      <w:r w:rsidRPr="00DF1BBA">
        <w:fldChar w:fldCharType="separate"/>
      </w:r>
      <w:r w:rsidRPr="00DF1BBA">
        <w:t>[2,3</w:t>
      </w:r>
      <w:r w:rsidRPr="00DF1BBA">
        <w:fldChar w:fldCharType="end"/>
      </w:r>
      <w:r w:rsidRPr="00DF1BBA">
        <w:t>] is a known risk factor for non-communicable diseases</w:t>
      </w:r>
      <w:r w:rsidR="00941E39">
        <w:t>, such as</w:t>
      </w:r>
      <w:r w:rsidRPr="00DF1BBA">
        <w:t xml:space="preserve"> overweight </w:t>
      </w:r>
      <w:r w:rsidRPr="00DF1BBA">
        <w:fldChar w:fldCharType="begin" w:fldLock="1"/>
      </w:r>
      <w:r w:rsidRPr="00DF1BBA">
        <w:instrText>ADDIN CSL_CITATION {"citationItems":[{"id":"ITEM-1","itemData":{"DOI":"10.1136/bmj.e7492","ISBN":"1756-1833 (Electronic)\\r0959-535X (Linking)","ISSN":"1756-1833","PMID":"23321486","abstract":"OBJECTIVES: The prevalence of celiac disease (CD) in the United States is unknown. We sought to estimate CD prevalence nationwide by using a nationally representative sample. METHODS: This study included 7,798 persons aged 6 years or older who participated in the National Health and Nutrition Examination Survey 2009-2010. Serum samples from all participants were tested for immunoglobulin A (IgA) tissue transglutaminase antibodies and, if findings were abnormal, also for IgA endomysial antibodies. Information about prior diagnosis of CD and use of a gluten-free diet (GFD) was obtained by direct interview. CD was defined as having either double-positive serology (serologically diagnosed CD) or a reported diagnosis of CD by a doctor or other health-care professional and being on a GFD (reported clinical diagnosis of CD). RESULTS: CD was found in 35 participants, 29 of whom were unaware of their diagnosis. Median age was 45 years (interquartile range, 23-66 years); 20 were women and 29 were non-Hispanic white. The prevalence of CD in the United States was 0.71% (95% confidence interval (CI), 0.58-0.86%), with 1.01% (95% CI, 0.78-1.31%) among non-Hispanic whites. In all, 55 participants reported following a GFD, which corresponded to a prevalence of 0.63% (95% CI, 0.36-1.07%). CONCLUSIONS: The prevalence of CD in the United States was 0.71% (1 in 141), similar to that found in several European countries. However, most cases were undiagnosed. CD was rare among minority groups but affected 1% of non-Hispanic whites. Most persons who were following a GFD did not have a diagnosis of CD.","author":[{"dropping-particle":"","family":"Morenga","given":"L.","non-dropping-particle":"Te","parse-names":false,"suffix":""},{"dropping-particle":"","family":"Mallard","given":"S.","non-dropping-particle":"","parse-names":false,"suffix":""},{"dropping-particle":"","family":"Mann","given":"J.","non-dropping-particle":"","parse-names":false,"suffix":""}],"container-title":"Bmj","id":"ITEM-1","issue":"jan15 3","issued":{"date-parts":[["2012"]]},"page":"e7492-e7492","title":"Dietary sugars and body weight: systematic review and meta-analyses of randomised controlled trials and cohort studies","type":"article-journal","volume":"346"},"uris":["http://www.mendeley.com/documents/?uuid=a04e45e6-22b5-4c97-b334-de9ed359226c"]}],"mendeley":{"formattedCitation":"(4)","plainTextFormattedCitation":"(4)","previouslyFormattedCitation":"[4]"},"properties":{"noteIndex":0},"schema":"https://github.com/citation-style-language/schema/raw/master/csl-citation.json"}</w:instrText>
      </w:r>
      <w:r w:rsidRPr="00DF1BBA">
        <w:fldChar w:fldCharType="separate"/>
      </w:r>
      <w:r w:rsidRPr="00DF1BBA">
        <w:t>[4]</w:t>
      </w:r>
      <w:r w:rsidRPr="00DF1BBA">
        <w:fldChar w:fldCharType="end"/>
      </w:r>
      <w:r w:rsidRPr="00DF1BBA">
        <w:t xml:space="preserve"> and type II diabetes </w:t>
      </w:r>
      <w:r w:rsidRPr="00DF1BBA">
        <w:fldChar w:fldCharType="begin" w:fldLock="1"/>
      </w:r>
      <w:r w:rsidRPr="00DF1BBA">
        <w:instrText>ADDIN CSL_CITATION {"citationItems":[{"id":"ITEM-1","itemData":{"DOI":"10.1161/CIRCULATIONAHA.109.876185","author":[{"dropping-particle":"","family":"Malik","given":"V.S.","non-dropping-particle":"","parse-names":false,"suffix":""},{"dropping-particle":"","family":"Popkin","given":"B.M.","non-dropping-particle":"","parse-names":false,"suffix":""},{"dropping-particle":"","family":"Bray","given":"G.A.","non-dropping-particle":"","parse-names":false,"suffix":""},{"dropping-particle":"","family":"Després","given":"J-P.","non-dropping-particle":"","parse-names":false,"suffix":""},{"dropping-particle":"","family":"Hu","given":"F.B.","non-dropping-particle":"","parse-names":false,"suffix":""}],"container-title":"Circulation","id":"ITEM-1","issue":"11","issued":{"date-parts":[["2010"]]},"page":"1356-1364","title":"Sugar Sweetened Beverages, Obesity, Type 2 Diabetes and Cardiovascular Disease risk.","type":"article-journal","volume":"121"},"uris":["http://www.mendeley.com/documents/?uuid=d70f5dcd-dd31-4f67-9ff3-d261671bbf56"]}],"mendeley":{"formattedCitation":"(5)","plainTextFormattedCitation":"(5)","previouslyFormattedCitation":"[5]"},"properties":{"noteIndex":0},"schema":"https://github.com/citation-style-language/schema/raw/master/csl-citation.json"}</w:instrText>
      </w:r>
      <w:r w:rsidRPr="00DF1BBA">
        <w:fldChar w:fldCharType="separate"/>
      </w:r>
      <w:r w:rsidRPr="00DF1BBA">
        <w:t>[5]</w:t>
      </w:r>
      <w:r w:rsidRPr="00DF1BBA">
        <w:fldChar w:fldCharType="end"/>
      </w:r>
      <w:r w:rsidRPr="00DF1BBA">
        <w:t xml:space="preserve">, cardio-metabolic risks </w:t>
      </w:r>
      <w:r w:rsidRPr="00DF1BBA">
        <w:fldChar w:fldCharType="begin" w:fldLock="1"/>
      </w:r>
      <w:r w:rsidRPr="00DF1BBA">
        <w:instrText>ADDIN CSL_CITATION {"citationItems":[{"id":"ITEM-1","itemData":{"DOI":"10.3945/ajcn.113.081521.1","abstract":"Background: Dietary sugars have been suggested as a cause of obesity, several chronic diseases, and a range of cardiometabolic risk factors, but there is no convincing evidence of a causal relation between sugars and risk factors other than body weight. Objective:We conducted a systematic review and meta-analysis of randomized controlled trials that examined effects of the modifica- tion of dietary free sugars on blood pressure and lipids. Design: Systematic searches were conducted in OVID Medline, Embase, Scopus, Cumulative Index to Nursing and Allied Health Literature, and Web of Science databases (to August 2013) to identify studies that reported intakes of free sugars and at least one lipid or blood pressure outcome. The minimum trial duration was 2 wk. We pooled data by using inverse-variance methods with random-effects models. Results: A total of 39 of 11,517 trials identified were included; 37 trials reported lipid outcomes, and 12 trials reported blood pressure outcomes. Higher compared with lower sugar intakes significantly raised triglyceride concentrations [mean difference (MD): 0.11 mmol/L; 95% CI: 0.07, 0.15 mmol/L; P,0.0001], total cholesterol (MD: 0.16 mmol/L; 95% CI: 0.10, 0.24 mmol/L; P , 0.0001), low- density lipoprotein cholesterol (0.12 mmol/L; 95% CI: 0.05, 0.19 mmol/L; P = 0.0001), and high-density lipoprotein cholesterol (MD: 0.02 mmol/L; 95% CI: 0.00, 0.03 mmol/L; P = 0.03). Sub- group analyses showed the most marked relation between sugar intakes and lipids in studies in which efforts were made to ensure an energy balance and when no difference in weight change was reported. Potential explanatory factors, including a weight change, in most instances explained ,15% of the heterogeneity between stud- ies (I2 = 36–75%). The effect of sugar intake on blood pressure was greatest in trials $8 wk in duration [MD: 6.9 mm Hg (95% CI: 3.4, 10.3 mm Hg; P , 0.001) for systolic blood pressure and 5.6 mm Hg (95% CI: 2.5, 8.8 mm Hg; P = 0.0005) for diastolic blood pressure]. Conclusions: Dietary sugars influence blood pressure and serum lipids. The relation is independent of effects of sugars on body weight. Protocols for this review were registered separately for effects of sugars on blood pressure and lipids in the PROSPERO Interna- tional prospective register of systematic reviews as PROSPERO 2012: CRD42012002379 and 2012: CRD42012002437, respec- tively.","author":[{"dropping-particle":"Te","family":"Morenga","given":"Lisa A","non-dropping-particle":"","parse-names":false,"suffix":""},{"dropping-particle":"","family":"Howatson","given":"Alex J","non-dropping-particle":"","parse-names":false,"suffix":""},{"dropping-particle":"","family":"Jones","given":"Rhiannon M","non-dropping-particle":"","parse-names":false,"suffix":""},{"dropping-particle":"","family":"Mann","given":"Jim","non-dropping-particle":"","parse-names":false,"suffix":""}],"container-title":"The American Journal of Clinical Nutrition","id":"ITEM-1","issue":"1","issued":{"date-parts":[["2014"]]},"page":"65-79","title":"Dietary sugars and cardiometabolic risk : systematic review and meta-analyses of randomized controlled trials of the effects on blood pressure and lipids 1 – 3","type":"article-journal","volume":"100"},"uris":["http://www.mendeley.com/documents/?uuid=71c40205-b895-47dd-bf8b-52d157dac137"]}],"mendeley":{"formattedCitation":"(6)","plainTextFormattedCitation":"(6)","previouslyFormattedCitation":"[6]"},"properties":{"noteIndex":0},"schema":"https://github.com/citation-style-language/schema/raw/master/csl-citation.json"}</w:instrText>
      </w:r>
      <w:r w:rsidRPr="00DF1BBA">
        <w:fldChar w:fldCharType="separate"/>
      </w:r>
      <w:r w:rsidRPr="00DF1BBA">
        <w:t>[6]</w:t>
      </w:r>
      <w:r w:rsidRPr="00DF1BBA">
        <w:fldChar w:fldCharType="end"/>
      </w:r>
      <w:r w:rsidRPr="00DF1BBA">
        <w:t xml:space="preserve">, poor oral health </w:t>
      </w:r>
      <w:r w:rsidRPr="00DF1BBA">
        <w:fldChar w:fldCharType="begin" w:fldLock="1"/>
      </w:r>
      <w:r w:rsidRPr="00DF1BBA">
        <w:instrText>ADDIN CSL_CITATION {"citationItems":[{"id":"ITEM-1","itemData":{"DOI":"10.3945/an.115.009365","ISBN":"2161-8313","ISSN":"2156-5376","PMID":"26773022","abstract":"Dental caries affects ≤80% of the world's population with almost a quarter of US adults having untreated caries. Dental caries is costly to health care and negatively affects well-being. Dietary free sugars are the most important risk factor for dental caries. The WHO has issued guidelines that recommend intake of free sugars should provide ≤10% of energy intake and suggest further reductions to &lt;5% of energy to protect dental health throughout life. These recommendations were informed by a systematic review of the evidence pertaining to amount of sugars and dental caries risk, which showed evidence of moderate quality from cohort studies that limiting free sugars to ≤10% of energy reduced, but did not eliminate, dental caries. Even low levels of dental caries in children are of concern because caries is a lifelong progressive and cumulative disease. The systematic review therefore explored if there were further benefits to dental health if the intake of free sugars was limited to &lt;5% of energy. Available data were from ecologic studies and, although classified as being of low quality, showed lower dental caries when free sugar intake was &lt;5% of energy compared with when it was &gt;5% but ≤10% of energy. The WHO recommendations are intended for use by policy makers as a benchmark when assessing intake of sugars by populations and as a driving force for policy change. Multiple strategies encompassing both upstream and downstream preventive approaches are now required to translate the recommendations into policy and practice.","author":[{"dropping-particle":"","family":"Moynihan","given":"P.","non-dropping-particle":"","parse-names":false,"suffix":""}],"container-title":"Advances in Nutrition: An International Review Journal","id":"ITEM-1","issue":"1","issued":{"date-parts":[["2016"]]},"page":"149-156","title":"Sugars and Dental Caries: Evidence for Setting a Recommended Threshold for Intake","type":"article-journal","volume":"7"},"uris":["http://www.mendeley.com/documents/?uuid=f674a10b-6a6f-42e9-aa28-4dd18ecd667d"]}],"mendeley":{"formattedCitation":"(7)","plainTextFormattedCitation":"(7)","previouslyFormattedCitation":"[7]"},"properties":{"noteIndex":0},"schema":"https://github.com/citation-style-language/schema/raw/master/csl-citation.json"}</w:instrText>
      </w:r>
      <w:r w:rsidRPr="00DF1BBA">
        <w:fldChar w:fldCharType="separate"/>
      </w:r>
      <w:r w:rsidRPr="00DF1BBA">
        <w:t>[7]</w:t>
      </w:r>
      <w:r w:rsidRPr="00DF1BBA">
        <w:fldChar w:fldCharType="end"/>
      </w:r>
      <w:r w:rsidRPr="00DF1BBA">
        <w:t xml:space="preserve">, and overall mortality </w:t>
      </w:r>
      <w:r w:rsidRPr="00DF1BBA">
        <w:fldChar w:fldCharType="begin" w:fldLock="1"/>
      </w:r>
      <w:r w:rsidRPr="00DF1BBA">
        <w:instrText>ADDIN CSL_CITATION {"citationItems":[{"id":"ITEM-1","itemData":{"DOI":"10.1161/CIRCULATIONAHA.118.037401","ISSN":"0009-7322","abstract":"BACKGROUND: Whether consumption of sugar-sweetened beverages (SSBs) or artificially sweetened beverages (ASBs) is associated with risk of mortality is of public health interest. METHODS: We examined associations between consumption of SSBs and ASBs with risk of total and cause-specific mortality among 37 716 men from the Health Professional’s Follow-up study (from 1986 to 2014) and 80 647 women from the Nurses’ Health study (from 1980 to 2014) who were free from chronic diseases at baseline. Cox proportional hazards regression was used to estimate hazard ratios and 95% confidence intervals. RESULTS: We documented 36 436 deaths (7896 cardiovascular disease [CVD] and 12 380 cancer deaths) during 3 415 564 person- years of follow-up. After adjusting for major diet and lifestyle factors, consumption of SSBs was associated with a higher risk of total mortality; pooled hazard ratios (95% confidence intervals) across categories (&lt;1/ mo, 1–4/mo, 2–6/week, 1-&lt;2/d, and ≥2/d) were 1.00 (reference), 1.01 (0.98, 1.04), 1.06 (1.03, 1.09), 1.14 (1.09, 1.19), and 1.21 (1.13, 1.28; P trend &lt;0.0001). The association was observed for CVD mortality (hazard ratio comparing extreme categories was 1.31 [95% confidence interval, 1.15, 1.50], P trend &lt;0.0001) and cancer mortality (1.16 [1.04, 1.29], P trend =0.0004). ASBs were associated with total and CVD mortality in the highest intake category only; pooled hazard ratios (95% confidence interval) across categories were 1.00 (reference), 0.96 (0.93, 0.99), 0.97 (0.95, 1.00), 0.98 (0.94, 1.03), and 1.04 (1.02, 1.12; P trend = 0.01) for total mortality and 1.00 (reference), 0.93 (0.87, 1.00), 0.95 (0.89, 1.00), 1.02 (0.94, 1.12), and 1.13 (1.02, 1.25; P trend = 0.02) for CVD mortality. In cohort-specific analysis, ASBs were associated with mortality in NHS (Nurses’ Health Study) but not in HPFS (Health Professionals Follow- up Study) (P interaction, 0.01). ASBs were not associated with cancer mortality in either cohort. CONCLUSIONS: Consumption of SSBs was positively associated with mortality primarily through CVD mortality and showed a graded association with dose. The positive association between high intake levels of ASBs and total and CVD mortality observed among women requires further confirmation.","author":[{"dropping-particle":"","family":"Malik","given":"Vasanti S.","non-dropping-particle":"","parse-names":false,"suffix":""},{"dropping-particle":"","family":"Li","given":"Yanping","non-dropping-particle":"","parse-names":false,"suffix":""},{"dropping-particle":"","family":"Pan","given":"An","non-dropping-particle":"","parse-names":false,"suffix":""},{"dropping-particle":"","family":"Koning","given":"Lawrence","non-dropping-particle":"De","parse-names":false,"suffix":""},{"dropping-particle":"","family":"Schernhammer","given":"Eva","non-dropping-particle":"","parse-names":false,"suffix":""},{"dropping-particle":"","family":"Willett","given":"Walter C.","non-dropping-particle":"","parse-names":false,"suffix":""},{"dropping-particle":"","family":"Hu","given":"Frank B.","non-dropping-particle":"","parse-names":false,"suffix":""}],"container-title":"Circulation","id":"ITEM-1","issued":{"date-parts":[["2019","3","18"]]},"page":"CIRCULATIONAHA.118.037401","title":"Long-Term Consumption of Sugar-Sweetened and Artificially Sweetened Beverages and Risk of Mortality in US Adults","type":"article-journal"},"uris":["http://www.mendeley.com/documents/?uuid=0b5a5132-1e83-341f-822f-04da51886734"]}],"mendeley":{"formattedCitation":"(8)","plainTextFormattedCitation":"(8)","previouslyFormattedCitation":"[8]"},"properties":{"noteIndex":0},"schema":"https://github.com/citation-style-language/schema/raw/master/csl-citation.json"}</w:instrText>
      </w:r>
      <w:r w:rsidRPr="00DF1BBA">
        <w:fldChar w:fldCharType="separate"/>
      </w:r>
      <w:r w:rsidRPr="00DF1BBA">
        <w:t>[8]</w:t>
      </w:r>
      <w:r w:rsidRPr="00DF1BBA">
        <w:fldChar w:fldCharType="end"/>
      </w:r>
      <w:r w:rsidRPr="00DF1BBA">
        <w:t xml:space="preserve">. Sugar sweetened beverages (SSBs) are a substantial source of dietary sugar and the greatest source of dietary sugar for young people in many countries worldwide </w:t>
      </w:r>
      <w:r w:rsidRPr="00DF1BBA">
        <w:fldChar w:fldCharType="begin" w:fldLock="1"/>
      </w:r>
      <w:r w:rsidRPr="00DF1BBA">
        <w:instrText>ADDIN CSL_CITATION {"citationItems":[{"id":"ITEM-1","itemData":{"DOI":"2015391","abstract":"Sugar Reduction: The evidence for action 2 About Public Health England Public Health England exists to protect and improve the nation's health and wellbeing, and reduce health inequalities. It does this through world-class science, knowledge and intelligence, advocacy, partnerships and the delivery of specialist public health services. PHE is an operationally autonomous executive agency of the Department of Health.","author":[{"dropping-particle":"","family":"Tedstone","given":"Alison","non-dropping-particle":"","parse-names":false,"suffix":""},{"dropping-particle":"","family":"Anderson","given":"Sally","non-dropping-particle":"","parse-names":false,"suffix":""},{"dropping-particle":"","family":"Allen","given":"Rachel","non-dropping-particle":"","parse-names":false,"suffix":""},{"dropping-particle":"","family":"Targett","given":"Victoria","non-dropping-particle":"","parse-names":false,"suffix":""},{"dropping-particle":"","family":"Allen","given":"Rachel","non-dropping-particle":"","parse-names":false,"suffix":""}],"container-title":"Public Health England","id":"ITEM-1","issue":"October","issued":{"date-parts":[["2015"]]},"page":"48","title":"Sugar Reduction: The evidence for action","type":"article-journal"},"uris":["http://www.mendeley.com/documents/?uuid=05ab25a8-d8ce-489f-b6c9-b5ca7147df49"]},{"id":"ITEM-2","itemData":{"DOI":"10.1111/1753-6405.12836","ISSN":"17536405","abstract":"Objective: To identify the characteristics of Australian adults exceeding the World Health Organization's free sugar (FS) intake recommendations of &lt;10% and compare the sources of FS among those exceeding (high FS consumers) and complying (low FS consumers) with the recommendations. Method: Nationally weighted data from the Australian National Nutrition and Physical Activity Survey 2011-12 was used to describe the proportions of FS consumption and sources of FS among adults aged &gt;= 18 years (n=9,435) across demographic, socioeconomic and health behavioural subgroups. Six categories of food groups likely to contain FS were generated and analysed. Results: Almost half of all adults (47%) were high FS consumers. More than one-third of adults in each demographic, socioeconomic and health behaviour subgroup were high FS consumers. Of the food groups containing FS, beverages contributed the most FS (37%), particularly for young adults (48%). High FS consumers obtained twice as much FS from beverages (42%) than low FS consumers (21%). A reverse age gradient was observed for the FS sourced from beverages. Conclusions: Almost half the Australians surveyed exceeded the FS intake recommendations. Sugary beverages were the largest source of FS, with young adults being the highest consumers. Implications for public health: Whole population strategies targeting beverages could possibly reduce Australia's high sugar intake.","author":[{"dropping-particle":"","family":"Gupta","given":"Adyya","non-dropping-particle":"","parse-names":false,"suffix":""},{"dropping-particle":"","family":"Smithers","given":"Lisa G.","non-dropping-particle":"","parse-names":false,"suffix":""},{"dropping-particle":"","family":"Braunack-Mayer","given":"Annette","non-dropping-particle":"","parse-names":false,"suffix":""},{"dropping-particle":"","family":"Harford","given":"Jane","non-dropping-particle":"","parse-names":false,"suffix":""}],"container-title":"Australian and New Zealand Journal of Public Health","id":"ITEM-2","issue":"6","issued":{"date-parts":[["2018"]]},"page":"533-540","title":"How much free sugar do Australians consume? Findings from a national survey","type":"article-journal","volume":"42"},"uris":["http://www.mendeley.com/documents/?uuid=a0ec39bc-3296-42fc-b039-818927deb325"]},{"id":"ITEM-3","itemData":{"author":[{"dropping-particle":"","family":"U.S. Department of Health and Human Services and U.S. Department of Agriculture","given":"","non-dropping-particle":"","parse-names":false,"suffix":""}],"edition":"8th Editio","id":"ITEM-3","issued":{"date-parts":[["2015"]]},"title":"2015–2020 Dietary Guidelines for Americans","type":"book"},"uris":["http://www.mendeley.com/documents/?uuid=9fadcdf0-4a94-4f58-846b-97bce7887dc0"]},{"id":"ITEM-4","itemData":{"author":[{"dropping-particle":"","family":"Statistics Canada","given":"","non-dropping-particle":"","parse-names":false,"suffix":""}],"container-title":"Health Reports","id":"ITEM-4","issue":"1","issued":{"date-parts":[["2019"]]},"title":"Change in total sugars consumption among Canadian children and adults","type":"article-journal","volume":"30"},"uris":["http://www.mendeley.com/documents/?uuid=1118db85-d467-4a5c-8d9a-938976685db0"]},{"id":"ITEM-5","itemData":{"DOI":"10.3945/jn.115.219121","ISSN":"0022-3166","abstract":"BACKGROUND Overweight and obesity prevalences in Mexico are among the highest in the world, with dietary factors being the third-leading category of risk contributing to the burden of disease. Consequently, studying the compliance of the Mexican population to food-based dietary recommendations is essential for informing nutritional policies. OBJECTIVES We described the energy contribution of food groups to total dietary energy intake of the Mexican population and by sociodemographic subgroups and compared these results with Mexican dietary recommendations. METHODS Twenty-four-hour dietary recalls for participants aged ≥5 y (n = 7983) from the 2012 Mexican National Health and Nutrition Survey were used. Foods and beverages were classified into 8 groups (the first 6 were called \"basic foods\" and the last 2 \"discretionary foods\"), as follows: 1) cereals, 2) legumes, 3) milk and dairy, 4) meat and animal products, 5) fruit and vegetables, 6) fats and oils, 7) sugar-sweetened beverages (SSBs), and 8) products high in saturated fat and/or added sugar (HSFAS). Recommendations were based on the Mexican Dietary Guidelines (MDG). Energy contributions from the food groups by age, sex, region, residence (rural or urban), and socioeconomic status (SES) were estimated. RESULTS The highest contribution to total energy intake came from cereals (33%) followed by HSFAS (16%), meat and animal products (14%), and SSBs (9.8%). Fruit and vegetables (5.7%) and legumes (3.8%) had the lowest contribution. Energy contribution of several food groups differed significantly between population subgroups. Overall, discretionary foods contributed more than one-quarter of total energy intake (26%) and were 13 percentage points above the maximum allowed by the recommendations, whereas the intakes of legumes and fruit and vegetables were much lower than recommended. CONCLUSIONS Our results show the need to generate a food environment conducive to a healthier diet in the Mexican population.","author":[{"dropping-particle":"","family":"Aburto","given":"Tania C","non-dropping-particle":"","parse-names":false,"suffix":""},{"dropping-particle":"","family":"Pedraza","given":"Lilia S","non-dropping-particle":"","parse-names":false,"suffix":""},{"dropping-particle":"","family":"Sánchez-Pimienta","given":"Tania G","non-dropping-particle":"","parse-names":false,"suffix":""},{"dropping-particle":"","family":"Batis","given":"Carolina","non-dropping-particle":"","parse-names":false,"suffix":""},{"dropping-particle":"","family":"Rivera","given":"Juan A","non-dropping-particle":"","parse-names":false,"suffix":""}],"container-title":"The Journal of Nutrition","id":"ITEM-5","issue":"9","issued":{"date-parts":[["2016"]]},"page":"1881S-1887S","title":"Discretionary Foods Have a High Contribution and Fruit, Vegetables, and Legumes Have a Low Contribution to the Total Energy Intake of the Mexican Population","type":"article-journal","volume":"146"},"uris":["http://www.mendeley.com/documents/?uuid=193f5059-d2b4-4679-868e-9d0c45493d76"]}],"mendeley":{"formattedCitation":"(9–13)","plainTextFormattedCitation":"(9–13)","previouslyFormattedCitation":"[9]–[13]"},"properties":{"noteIndex":0},"schema":"https://github.com/citation-style-language/schema/raw/master/csl-citation.json"}</w:instrText>
      </w:r>
      <w:r w:rsidRPr="00DF1BBA">
        <w:fldChar w:fldCharType="separate"/>
      </w:r>
      <w:r w:rsidRPr="00DF1BBA">
        <w:t>[9–13]</w:t>
      </w:r>
      <w:r w:rsidRPr="00DF1BBA">
        <w:fldChar w:fldCharType="end"/>
      </w:r>
      <w:r w:rsidRPr="00DF1BBA">
        <w:t xml:space="preserve">. Consumption of SSBs is associated with several NCDs, independent of effects mediated by obesity </w:t>
      </w:r>
      <w:r w:rsidRPr="00DF1BBA">
        <w:lastRenderedPageBreak/>
        <w:fldChar w:fldCharType="begin" w:fldLock="1"/>
      </w:r>
      <w:r w:rsidRPr="00DF1BBA">
        <w:instrText>ADDIN CSL_CITATION {"citationItems":[{"id":"ITEM-1","itemData":{"DOI":"10.1136/bmj.h3576","ISBN":"1756-1833","ISSN":"1756-1833","PMID":"26199070","abstract":"Objectives To examine the prospective associations between consumption of sugar sweetened beverages, artificially sweetened beverages, and fruit juice with type 2 diabetes before and after adjustment for adiposity, and to estimate the population attributable fraction for type 2 diabetes from consumption of sugar sweetened beverages in the United States and United Kingdom. Design Systematic review and meta-analysis. Data sources and eligibility PubMed, Embase, Ovid, and Web of Knowledge for prospective studies of adults without diabetes, published until February 2014. The population attributable fraction was estimated in national surveys in the USA, 2009-10 (n=4729 representing 189.1 million adults without diabetes) and the UK, 2008-12 (n=1932 representing 44.7 million). Synthesis methods Random effects meta-analysis and survey analysis for population attributable fraction associated with consumption of sugar sweetened beverages. Results Prespecified information was extracted from 17 cohorts (38 253 cases/10 126 754 person years). Higher consumption of sugar sweetened beverages was associated with a greater incidence of type 2 diabetes, by 18% per one serving/day (95% confidence interval 9% to 28%, I2 for heterogeneity=89%) and 13% (6% to 21%, I2=79%) before and after adjustment for adiposity; for artificially sweetened beverages, 25% (18% to 33%, I2=70%) and 8% (2% to 15%, I2=64%); and for fruit juice, 5% (−1% to 11%, I2=58%) and 7% (1% to 14%, I2=51%). Potential sources of heterogeneity or bias were not evident for sugar sweetened beverages. For artificially sweetened beverages, publication bias and residual confounding were indicated. For fruit juice the finding was non-significant in studies ascertaining type 2 diabetes objectively (P for heterogeneity=0.008). Under specified assumptions for population attributable fraction, of 20.9 million events of type 2 diabetes predicted to occur over 10 years in the USA (absolute event rate 11.0%), 1.8 million would be attributable to consumption of sugar sweetened beverages (population attributable fraction 8.7%, 95% confidence interval 3.9% to 12.9%); and of 2.6 million events in the UK (absolute event rate 5.8%), 79 000 would be attributable to consumption of sugar sweetened beverages (population attributable fraction 3.6%, 1.7% to 5.6%). Conclusions Habitual consumption of sugar sweetened beverages was associated with a greater incidence of type 2 diabetes, independently of adiposity. Although artificially …","author":[{"dropping-particle":"","family":"Imamura","given":"Fumiaki","non-dropping-particle":"","parse-names":false,"suffix":""},{"dropping-particle":"","family":"O’Connor","given":"Laura","non-dropping-particle":"","parse-names":false,"suffix":""},{"dropping-particle":"","family":"Ye","given":"Zheng","non-dropping-particle":"","parse-names":false,"suffix":""},{"dropping-particle":"","family":"Mursu","given":"Jaakko","non-dropping-particle":"","parse-names":false,"suffix":""},{"dropping-particle":"","family":"Hayashino","given":"Yasuaki","non-dropping-particle":"","parse-names":false,"suffix":""},{"dropping-particle":"","family":"Bhupathiraju","given":"Shilpa N","non-dropping-particle":"","parse-names":false,"suffix":""},{"dropping-particle":"","family":"Forouhi","given":"Nita G","non-dropping-particle":"","parse-names":false,"suffix":""}],"container-title":"Bmj","id":"ITEM-1","issued":{"date-parts":[["2015"]]},"page":"h3576","title":"Consumption of sugar sweetened beverages, artificially sweetened beverages, and fruit juice and incidence of type 2 diabetes: systematic review, meta-analysis, and estimation of population attributable fraction","type":"article-journal"},"uris":["http://www.mendeley.com/documents/?uuid=288b53de-acde-4a40-9847-718ddcfd99ca"]},{"id":"ITEM-2","itemData":{"DOI":"10.1017/S0007114514004383","ISBN":"0007-1145","ISSN":"0007-1145","PMID":"25735740","abstract":"&lt;p&gt;A number of prospective cohort studies have investigated the associations between consumption of sugar-sweetened beverages (SSB) and the risk of hypertension, CHD and stroke, but revealed mixed results. In the present study, we aimed to perform a dose–response meta-analysis of these prospective studies to clarify these associations. A systematic literature search was conducted using the PubMed and Embase databases up to 5 May 2014. Random- or fixed-effects models were used to calculate the pooled relative risks (RR) with 95 % CI for the highest compared with the lowest category of SSB consumption, and to conduct a dose–response analysis. A total of six prospective studies (240 726 participants and 80 411 incident cases of hypertension) from four publications on hypertension were identified. A total of four prospective studies (194 664 participants and 7396 incident cases of CHD) from four publications on CHD were identified. A total of four prospective studies (259 176 participants and 10 011 incident cases of stroke) from four publications on stroke were identified. The summary RR for incident hypertension was 1·08 (95 % CI 1·04, 1·12) for every additional one serving/d increase in SSB consumption. The summary RR for incident CHD was 1·17 (95 % CI 1·10, 1·24) for every serving/d increase in SSB consumption. There was no significant association between SSB consumption and total stroke (summary RR 1·06, 95 % CI 0·97, 1·15) for every serving/d increase in SSB consumption. The present meta-analysis suggested that a higher consumption of SSB was associated with a higher risk of hypertension and CHD, but not with a higher risk of stroke.&lt;/p&gt;","author":[{"dropping-particle":"","family":"Xi","given":"Bo","non-dropping-particle":"","parse-names":false,"suffix":""},{"dropping-particle":"","family":"Huang","given":"Yubei","non-dropping-particle":"","parse-names":false,"suffix":""},{"dropping-particle":"","family":"Reilly","given":"Kathleen Heather","non-dropping-particle":"","parse-names":false,"suffix":""},{"dropping-particle":"","family":"Li","given":"Shuangshuang","non-dropping-particle":"","parse-names":false,"suffix":""},{"dropping-particle":"","family":"Zheng","given":"Ruolong","non-dropping-particle":"","parse-names":false,"suffix":""},{"dropping-particle":"","family":"Barrio-Lopez","given":"Maria T.","non-dropping-particle":"","parse-names":false,"suffix":""},{"dropping-particle":"","family":"Martinez-Gonzalez","given":"Miguel A.","non-dropping-particle":"","parse-names":false,"suffix":""},{"dropping-particle":"","family":"Zhou","given":"Donghao","non-dropping-particle":"","parse-names":false,"suffix":""}],"container-title":"British Journal of Nutrition","id":"ITEM-2","issue":"05","issued":{"date-parts":[["2015"]]},"page":"709-717","title":"Sugar-sweetened beverages and risk of hypertension and CVD: a dose–response meta-analysis","type":"article-journal","volume":"113"},"uris":["http://www.mendeley.com/documents/?uuid=b48c4ef2-d828-4033-bf63-7b284326ec8c"]}],"mendeley":{"formattedCitation":"(14,15)","plainTextFormattedCitation":"(14,15)","previouslyFormattedCitation":"[14], [15]"},"properties":{"noteIndex":0},"schema":"https://github.com/citation-style-language/schema/raw/master/csl-citation.json"}</w:instrText>
      </w:r>
      <w:r w:rsidRPr="00DF1BBA">
        <w:fldChar w:fldCharType="separate"/>
      </w:r>
      <w:r w:rsidRPr="00DF1BBA">
        <w:t>[14,15]</w:t>
      </w:r>
      <w:r w:rsidRPr="00DF1BBA">
        <w:fldChar w:fldCharType="end"/>
      </w:r>
      <w:r w:rsidRPr="00DF1BBA">
        <w:t>. Understanding determinants of SSB consumption could inform interventions to reduce SSB intake and thus prove beneficial to diet-related health.</w:t>
      </w:r>
    </w:p>
    <w:p w14:paraId="597C8899" w14:textId="3FC5F753" w:rsidR="0072004C" w:rsidRPr="00DF1BBA" w:rsidRDefault="0072004C" w:rsidP="0072004C">
      <w:pPr>
        <w:pStyle w:val="MDPI31text"/>
      </w:pPr>
      <w:r w:rsidRPr="00DF1BBA">
        <w:t xml:space="preserve">Many attribute the scale of global SSB consumption at least in part to successful marketing </w:t>
      </w:r>
      <w:r w:rsidRPr="00DF1BBA">
        <w:fldChar w:fldCharType="begin" w:fldLock="1"/>
      </w:r>
      <w:r w:rsidRPr="00DF1BBA">
        <w:instrText>ADDIN CSL_CITATION {"citationItems":[{"id":"ITEM-1","itemData":{"author":[{"dropping-particle":"","family":"Pomeranz","given":"Jennifer L","non-dropping-particle":"","parse-names":false,"suffix":""}],"container-title":"Journal of Public Health Policy","id":"ITEM-1","issue":"1","issued":{"date-parts":[["2012"]]},"page":"75-88","title":"Advanced policy options to regulate sugar-related beverages to support public health","type":"article-journal","volume":"33"},"uris":["http://www.mendeley.com/documents/?uuid=89f0f163-958e-413e-aa6a-224bbd6df2a2"]},{"id":"ITEM-2","itemData":{"DOI":"2015391","abstract":"Public Health England exists to protect and improve the nation's health and wellbeing, and reduce health inequalities. It does this through world-class science, knowledge and intelligence, advocacy, partnerships and the delivery of specialist public health services. PHE is an operationally autonomous executive agency of the Department of Health.","author":[{"dropping-particle":"","family":"Ells","given":"Louisa J","non-dropping-particle":"","parse-names":false,"suffix":""},{"dropping-particle":"","family":"Roberts","given":"Katharine","non-dropping-particle":"","parse-names":false,"suffix":""},{"dropping-particle":"","family":"Mcgowan","given":"Victoria J","non-dropping-particle":"","parse-names":false,"suffix":""},{"dropping-particle":"","family":"Machaira","given":"Theodora","non-dropping-particle":"","parse-names":false,"suffix":""}],"container-title":"Public Health England","id":"ITEM-2","issued":{"date-parts":[["2015"]]},"title":"Sugar Reduction: The evidence for action. Annexe 3: A mixed method review of behaviour changes resulting from marketing strategies targeted at high sugar food and non-alcoholic drink","type":"article-journal"},"uris":["http://www.mendeley.com/documents/?uuid=9b971703-7146-4f30-adbe-fc46e5d25da5"]}],"mendeley":{"formattedCitation":"(16,17)","plainTextFormattedCitation":"(16,17)","previouslyFormattedCitation":"[16], [17]"},"properties":{"noteIndex":0},"schema":"https://github.com/citation-style-language/schema/raw/master/csl-citation.json"}</w:instrText>
      </w:r>
      <w:r w:rsidRPr="00DF1BBA">
        <w:fldChar w:fldCharType="separate"/>
      </w:r>
      <w:r w:rsidRPr="00DF1BBA">
        <w:t>[16,17]</w:t>
      </w:r>
      <w:r w:rsidRPr="00DF1BBA">
        <w:fldChar w:fldCharType="end"/>
      </w:r>
      <w:r w:rsidRPr="00DF1BBA">
        <w:t xml:space="preserve">. Significant attention has been paid to the effects of product promotion </w:t>
      </w:r>
      <w:r w:rsidRPr="00DF1BBA">
        <w:fldChar w:fldCharType="begin" w:fldLock="1"/>
      </w:r>
      <w:r w:rsidRPr="00DF1BBA">
        <w:instrText>ADDIN CSL_CITATION {"citationItems":[{"id":"ITEM-1","itemData":{"author":[{"dropping-particle":"","family":"Hastings","given":"Gerard","non-dropping-particle":"","parse-names":false,"suffix":""},{"dropping-particle":"","family":"Stead","given":"Martine","non-dropping-particle":"","parse-names":false,"suffix":""},{"dropping-particle":"","family":"Mcdermott","given":"Laura","non-dropping-particle":"","parse-names":false,"suffix":""},{"dropping-particle":"","family":"Forsyth","given":"Alasdair","non-dropping-particle":"","parse-names":false,"suffix":""},{"dropping-particle":"","family":"Mackintosh","given":"Anne Marie","non-dropping-particle":"","parse-names":false,"suffix":""},{"dropping-particle":"","family":"Rayner","given":"Mike","non-dropping-particle":"","parse-names":false,"suffix":""},{"dropping-particle":"","family":"Godfrey","given":"Christine","non-dropping-particle":"","parse-names":false,"suffix":""},{"dropping-particle":"","family":"Caraher","given":"Martin","non-dropping-particle":"","parse-names":false,"suffix":""},{"dropping-particle":"","family":"Angus","given":"Kathryn","non-dropping-particle":"","parse-names":false,"suffix":""}],"id":"ITEM-1","issued":{"date-parts":[["2003"]]},"publisher-place":"Glasgow","title":"Review of research on the effects of food promotion to children – final report. Prepared for the Food Standards Agency","type":"report"},"uris":["http://www.mendeley.com/documents/?uuid=b5930e17-11af-42eb-b6d8-c00a50697343"]}],"mendeley":{"formattedCitation":"(19)","plainTextFormattedCitation":"(19)","previouslyFormattedCitation":"[19]"},"properties":{"noteIndex":0},"schema":"https://github.com/citation-style-language/schema/raw/master/csl-citation.json"}</w:instrText>
      </w:r>
      <w:r w:rsidRPr="00DF1BBA">
        <w:fldChar w:fldCharType="separate"/>
      </w:r>
      <w:r w:rsidRPr="00DF1BBA">
        <w:t>[18]</w:t>
      </w:r>
      <w:r w:rsidRPr="00DF1BBA">
        <w:fldChar w:fldCharType="end"/>
      </w:r>
      <w:r>
        <w:t>—</w:t>
      </w:r>
      <w:r w:rsidRPr="00DF1BBA">
        <w:t xml:space="preserve">a firm’s persuasive communication </w:t>
      </w:r>
      <w:r w:rsidRPr="00DF1BBA">
        <w:fldChar w:fldCharType="begin" w:fldLock="1"/>
      </w:r>
      <w:r w:rsidRPr="00DF1BBA">
        <w:instrText>ADDIN CSL_CITATION {"citationItems":[{"id":"ITEM-1","itemData":{"author":[{"dropping-particle":"","family":"Kotler","given":"P","non-dropping-particle":"","parse-names":false,"suffix":""},{"dropping-particle":"","family":"Armstrong","given":"G","non-dropping-particle":"","parse-names":false,"suffix":""},{"dropping-particle":"","family":"Saunders","given":"J","non-dropping-particle":"","parse-names":false,"suffix":""},{"dropping-particle":"","family":"Wong","given":"V","non-dropping-particle":"","parse-names":false,"suffix":""}],"edition":"The Europe","id":"ITEM-1","issued":{"date-parts":[["1996"]]},"publisher":"Prentice Hall","publisher-place":"London","title":"Principles of Marketing","type":"book"},"uris":["http://www.mendeley.com/documents/?uuid=6852509a-5bd5-4fad-8c60-af812a574fbf"]}],"mendeley":{"formattedCitation":"(20)","plainTextFormattedCitation":"(20)","previouslyFormattedCitation":"[20]"},"properties":{"noteIndex":0},"schema":"https://github.com/citation-style-language/schema/raw/master/csl-citation.json"}</w:instrText>
      </w:r>
      <w:r w:rsidRPr="00DF1BBA">
        <w:fldChar w:fldCharType="separate"/>
      </w:r>
      <w:r w:rsidRPr="00DF1BBA">
        <w:t>[19]</w:t>
      </w:r>
      <w:r w:rsidRPr="00DF1BBA">
        <w:fldChar w:fldCharType="end"/>
      </w:r>
      <w:r>
        <w:t>—</w:t>
      </w:r>
      <w:r w:rsidRPr="00DF1BBA">
        <w:t xml:space="preserve">but marketing also entails strategic decisions about the product itself, its price, and its placement. Taken together, these are often referred to as “the four Ps” </w:t>
      </w:r>
      <w:r w:rsidRPr="00DF1BBA">
        <w:fldChar w:fldCharType="begin" w:fldLock="1"/>
      </w:r>
      <w:r w:rsidRPr="00DF1BBA">
        <w:instrText>ADDIN CSL_CITATION {"citationItems":[{"id":"ITEM-1","itemData":{"author":[{"dropping-particle":"","family":"Kotler","given":"P.","non-dropping-particle":"","parse-names":false,"suffix":""}],"edition":"Custom Edi","id":"ITEM-1","issued":{"date-parts":[["2000"]]},"number-of-pages":"9","publisher":"Prentice Hall","title":"Marketing Management","type":"book"},"uris":["http://www.mendeley.com/documents/?uuid=5b2ae970-b980-44b7-8933-8ffc2ed339b8"]}],"mendeley":{"formattedCitation":"(21)","manualFormatting":"[2120]","plainTextFormattedCitation":"(21)","previouslyFormattedCitation":"[21]"},"properties":{"noteIndex":0},"schema":"https://github.com/citation-style-language/schema/raw/master/csl-citation.json"}</w:instrText>
      </w:r>
      <w:r w:rsidRPr="00DF1BBA">
        <w:fldChar w:fldCharType="separate"/>
      </w:r>
      <w:r w:rsidRPr="00DF1BBA">
        <w:t>[20]</w:t>
      </w:r>
      <w:r w:rsidRPr="00DF1BBA">
        <w:fldChar w:fldCharType="end"/>
      </w:r>
      <w:r w:rsidRPr="00DF1BBA">
        <w:t>. While SSB producers are known to spend sub</w:t>
      </w:r>
      <w:r>
        <w:t>stantial amounts on marketing—</w:t>
      </w:r>
      <w:r w:rsidRPr="00DF1BBA">
        <w:t>Coca-Cola spent $3.96 billion</w:t>
      </w:r>
      <w:r w:rsidR="00941E39">
        <w:t xml:space="preserve"> US dollars</w:t>
      </w:r>
      <w:r w:rsidRPr="00DF1BBA">
        <w:t xml:space="preserve"> on worldwide advertising alone in 2017 </w:t>
      </w:r>
      <w:r w:rsidRPr="00DF1BBA">
        <w:fldChar w:fldCharType="begin" w:fldLock="1"/>
      </w:r>
      <w:r w:rsidRPr="00DF1BBA">
        <w:instrText>ADDIN CSL_CITATION {"citationItems":[{"id":"ITEM-1","itemData":{"URL":"https://www.statista.com/statistics/286526/coca-cola-advertising-spending-worldwide/","accessed":{"date-parts":[["2019","1","9"]]},"author":[{"dropping-particle":"","family":"Statista","given":"","non-dropping-particle":"","parse-names":false,"suffix":""}],"container-title":"Statista: The Statistics Portal","id":"ITEM-1","issued":{"date-parts":[["2019"]]},"title":"Coca-Cola Company's advertising expense from 2014 to 2017 (in billion U.S. dollars","type":"webpage"},"uris":["http://www.mendeley.com/documents/?uuid=623246be-81c6-44c8-82e9-351cfb30f7de"]}],"mendeley":{"formattedCitation":"(22)","manualFormatting":"[2221]","plainTextFormattedCitation":"(22)","previouslyFormattedCitation":"[22]"},"properties":{"noteIndex":0},"schema":"https://github.com/citation-style-language/schema/raw/master/csl-citation.json"}</w:instrText>
      </w:r>
      <w:r w:rsidRPr="00DF1BBA">
        <w:fldChar w:fldCharType="separate"/>
      </w:r>
      <w:r w:rsidRPr="00DF1BBA">
        <w:t>[21]</w:t>
      </w:r>
      <w:r w:rsidRPr="00DF1BBA">
        <w:fldChar w:fldCharType="end"/>
      </w:r>
      <w:r>
        <w:t>—</w:t>
      </w:r>
      <w:r w:rsidRPr="00DF1BBA">
        <w:t>there is only fragmented peer-reviewed evidence describing the association between SSB marketing and consumption.</w:t>
      </w:r>
    </w:p>
    <w:p w14:paraId="19914DC5" w14:textId="28AE0571" w:rsidR="0072004C" w:rsidRPr="00DF1BBA" w:rsidRDefault="0072004C" w:rsidP="0072004C">
      <w:pPr>
        <w:pStyle w:val="MDPI31text"/>
      </w:pPr>
      <w:r w:rsidRPr="00DF1BBA">
        <w:t xml:space="preserve">There is substantial evidence that marketing of food and drinks influences purchasing and consumption in children </w:t>
      </w:r>
      <w:r>
        <w:t>[22,23</w:t>
      </w:r>
      <w:r w:rsidRPr="00DF1BBA">
        <w:t xml:space="preserve">], who are less able to discern the persuasive intent of marketing </w:t>
      </w:r>
      <w:r w:rsidRPr="00DF1BBA">
        <w:fldChar w:fldCharType="begin" w:fldLock="1"/>
      </w:r>
      <w:r w:rsidRPr="00DF1BBA">
        <w:instrText>ADDIN CSL_CITATION {"citationItems":[{"id":"ITEM-1","itemData":{"ISBN":"9789241500210","abstract":"Title from title caption (viewed on December 15, 2010).","author":[{"dropping-particle":"","family":"World Health Organization.","given":"","non-dropping-particle":"","parse-names":false,"suffix":""}],"id":"ITEM-1","issued":{"date-parts":[["2010"]]},"number-of-pages":"14","publisher":"World Health Organization","title":"Set of recommendations on the marketing of foods and non-alcoholic beverages to children.","type":"book"},"uris":["http://www.mendeley.com/documents/?uuid=06cd935d-4b2b-3a85-957a-16583b455f64"]}],"mendeley":{"formattedCitation":"(25)","manualFormatting":"[2425]","plainTextFormattedCitation":"(25)","previouslyFormattedCitation":"[25]"},"properties":{"noteIndex":0},"schema":"https://github.com/citation-style-language/schema/raw/master/csl-citation.json"}</w:instrText>
      </w:r>
      <w:r w:rsidRPr="00DF1BBA">
        <w:fldChar w:fldCharType="separate"/>
      </w:r>
      <w:r w:rsidRPr="00DF1BBA">
        <w:t>[24]</w:t>
      </w:r>
      <w:r w:rsidRPr="00DF1BBA">
        <w:fldChar w:fldCharType="end"/>
      </w:r>
      <w:r w:rsidRPr="00DF1BBA">
        <w:t>. However, little existing evidence focuses particularly on SSBs or adults, and most refers to a narrow range of drink products. There are also inherent methodological difficulties in ascribing a causal relationship between marketing and consumption; while observational, self-reported studies are at risk of reverse causation or confounding, sufficiently isolating the effect of marketing to conduct experimental studies</w:t>
      </w:r>
      <w:r w:rsidR="00941E39">
        <w:t>, which</w:t>
      </w:r>
      <w:r w:rsidRPr="00DF1BBA">
        <w:t xml:space="preserve"> is challenging and costly, and</w:t>
      </w:r>
      <w:r w:rsidR="00941E39">
        <w:t xml:space="preserve"> are</w:t>
      </w:r>
      <w:r w:rsidRPr="00DF1BBA">
        <w:t xml:space="preserve"> often not reflective of real-world conditions in which marketing is consumed [25]. One way to increase confidence in a causal association is to demonstrate it in diverse international contexts. While SSB promotion utili</w:t>
      </w:r>
      <w:r w:rsidR="00941E39">
        <w:t>z</w:t>
      </w:r>
      <w:r w:rsidRPr="00DF1BBA">
        <w:t xml:space="preserve">es increasingly diverse modalities, shifting away from traditional television advertisements towards digital media </w:t>
      </w:r>
      <w:r w:rsidRPr="00DF1BBA">
        <w:fldChar w:fldCharType="begin" w:fldLock="1"/>
      </w:r>
      <w:r w:rsidRPr="00DF1BBA">
        <w:instrText>ADDIN CSL_CITATION {"citationItems":[{"id":"ITEM-1","itemData":{"abstract":"Sugary drinks are the leading single source of empty calories in young people’s diets1 2 and directly contribute to diet-related diseases, including obesity and diabetes.3 Each 8-ounce serving of a sugary drink added to a child’s diet increases his or her risk of obesity by 60%.4 Advertising exposure for these unhealthy drinks is associated with increased consumption,5 and exposure during childhood can create a lasting bias towards advertised brands into adulthood.","author":[{"dropping-particle":"","family":"Harris","given":"Jennifer L.","non-dropping-particle":"","parse-names":false,"suffix":""},{"dropping-particle":"","family":"Schwartz","given":"Marlene B.","non-dropping-particle":"","parse-names":false,"suffix":""},{"dropping-particle":"","family":"LoDolce","given":"Megan","non-dropping-particle":"","parse-names":false,"suffix":""},{"dropping-particle":"","family":"Munsell","given":"Christina","non-dropping-particle":"","parse-names":false,"suffix":""},{"dropping-particle":"","family":"Fleming-Milici","given":"Frances","non-dropping-particle":"","parse-names":false,"suffix":""},{"dropping-particle":"","family":"Elsey","given":"James","non-dropping-particle":"","parse-names":false,"suffix":""},{"dropping-particle":"","family":"Liu","given":"Sai","non-dropping-particle":"","parse-names":false,"suffix":""},{"dropping-particle":"","family":"Hyary","given":"Maia","non-dropping-particle":"","parse-names":false,"suffix":""},{"dropping-particle":"","family":"Gross","given":"Renee","non-dropping-particle":"","parse-names":false,"suffix":""},{"dropping-particle":"","family":"Hazen","given":"Carol","non-dropping-particle":"","parse-names":false,"suffix":""},{"dropping-particle":"","family":"Dembek","given":"Cathryn","non-dropping-particle":"","parse-names":false,"suffix":""}],"container-title":"Yale Rudd Center for Food Policy &amp; Obesity","id":"ITEM-1","issued":{"date-parts":[["2014"]]},"title":"Sugary Drink FACTS 2014: Sugary drink marketing to youth: Some progress but much room for improvement in marketing to youth","type":"thesis"},"uris":["http://www.mendeley.com/documents/?uuid=da0e5e80-ace4-3386-a727-aad0955d8c79"]}],"mendeley":{"formattedCitation":"(26)","plainTextFormattedCitation":"(26)","previouslyFormattedCitation":"[26]"},"properties":{"noteIndex":0},"schema":"https://github.com/citation-style-language/schema/raw/master/csl-citation.json"}</w:instrText>
      </w:r>
      <w:r w:rsidRPr="00DF1BBA">
        <w:fldChar w:fldCharType="separate"/>
      </w:r>
      <w:r w:rsidRPr="00DF1BBA">
        <w:t>[26]</w:t>
      </w:r>
      <w:r w:rsidRPr="00DF1BBA">
        <w:fldChar w:fldCharType="end"/>
      </w:r>
      <w:r w:rsidRPr="00DF1BBA">
        <w:t xml:space="preserve">, there is less evidence available on the impact of non-television types of promotion of food and drink in general, and SSBs in particular </w:t>
      </w:r>
      <w:r w:rsidRPr="00DF1BBA">
        <w:fldChar w:fldCharType="begin" w:fldLock="1"/>
      </w:r>
      <w:r w:rsidRPr="00DF1BBA">
        <w:instrText>ADDIN CSL_CITATION {"citationItems":[{"id":"ITEM-1","itemData":{"DOI":"2015391","abstract":"Public Health England exists to protect and improve the nation's health and wellbeing, and reduce health inequalities. It does this through world-class science, knowledge and intelligence, advocacy, partnerships and the delivery of specialist public health services. PHE is an operationally autonomous executive agency of the Department of Health.","author":[{"dropping-particle":"","family":"Ells","given":"Louisa J","non-dropping-particle":"","parse-names":false,"suffix":""},{"dropping-particle":"","family":"Roberts","given":"Katharine","non-dropping-particle":"","parse-names":false,"suffix":""},{"dropping-particle":"","family":"Mcgowan","given":"Victoria J","non-dropping-particle":"","parse-names":false,"suffix":""},{"dropping-particle":"","family":"Machaira","given":"Theodora","non-dropping-particle":"","parse-names":false,"suffix":""}],"container-title":"Public Health England","id":"ITEM-1","issued":{"date-parts":[["2015"]]},"title":"Sugar Reduction: The evidence for action. Annexe 3: A mixed method review of behaviour changes resulting from marketing strategies targeted at high sugar food and non-alcoholic drink","type":"article-journal"},"uris":["http://www.mendeley.com/documents/?uuid=9b971703-7146-4f30-adbe-fc46e5d25da5"]}],"mendeley":{"formattedCitation":"(17)","plainTextFormattedCitation":"(17)","previouslyFormattedCitation":"[17]"},"properties":{"noteIndex":0},"schema":"https://github.com/citation-style-language/schema/raw/master/csl-citation.json"}</w:instrText>
      </w:r>
      <w:r w:rsidRPr="00DF1BBA">
        <w:fldChar w:fldCharType="separate"/>
      </w:r>
      <w:r w:rsidRPr="00DF1BBA">
        <w:t>[17]</w:t>
      </w:r>
      <w:r w:rsidRPr="00DF1BBA">
        <w:fldChar w:fldCharType="end"/>
      </w:r>
      <w:r w:rsidRPr="00DF1BBA">
        <w:t>. Furthermore, despite international differences in SSB offerings, consumption</w:t>
      </w:r>
      <w:r w:rsidR="00941E39">
        <w:t>,</w:t>
      </w:r>
      <w:r w:rsidRPr="00DF1BBA">
        <w:t xml:space="preserve"> and regulation </w:t>
      </w:r>
      <w:r w:rsidRPr="00DF1BBA">
        <w:fldChar w:fldCharType="begin" w:fldLock="1"/>
      </w:r>
      <w:r w:rsidRPr="00DF1BBA">
        <w:instrText>ADDIN CSL_CITATION {"citationItems":[{"id":"ITEM-1","itemData":{"DOI":"10.1111/obr.12840","ISSN":"1467789X","abstract":"Restricting children's exposures to marketing of unhealthy foods and beverages is a global obesity prevention priority. Monitoring marketing exposures supports informed policymaking. This study presents a global overview of children's television advertising exposure to healthy and unhealthy products. Twenty-two countries contributed data, captured between 2008 and 2017. Advertisements were coded for the nature of foods and beverages, using the 2015 World Health Organization (WHO) Europe Nutrient Profile Model (should be permitted/not-permitted to be advertised). Peak viewing times were defined as the top five hour timeslots for children. On average, there were four times more advertisements for foods/beverages that should not be permitted than for permitted foods/beverages. The frequency of food/beverages advertisements that should not be permitted per hour was higher during peak viewing times compared with other times (P &lt; 0.001). During peak viewing times, food and beverage advertisements that should not be permitted were higher in countries with industry self-regulatory programmes for responsible advertising compared with countries with no policies. Globally, children are exposed to a large volume of television advertisements for unhealthy foods and beverages, despite the implementation of food industry programmes. Governments should enact regulation to protect children from television advertising of unhealthy products that undermine their health.","author":[{"dropping-particle":"","family":"Kelly","given":"Bridget","non-dropping-particle":"","parse-names":false,"suffix":""},{"dropping-particle":"","family":"Vandevijvere","given":"Stefanie","non-dropping-particle":"","parse-names":false,"suffix":""},{"dropping-particle":"","family":"Ng","given":"See Hoe","non-dropping-particle":"","parse-names":false,"suffix":""},{"dropping-particle":"","family":"Adams","given":"Jean","non-dropping-particle":"","parse-names":false,"suffix":""},{"dropping-particle":"","family":"Allemandi","given":"Lorena","non-dropping-particle":"","parse-names":false,"suffix":""},{"dropping-particle":"","family":"Bahena-Espina","given":"Liliana","non-dropping-particle":"","parse-names":false,"suffix":""},{"dropping-particle":"","family":"Barquera","given":"Simon","non-dropping-particle":"","parse-names":false,"suffix":""},{"dropping-particle":"","family":"Boyland","given":"Emma","non-dropping-particle":"","parse-names":false,"suffix":""},{"dropping-particle":"","family":"Calleja","given":"Paul","non-dropping-particle":"","parse-names":false,"suffix":""},{"dropping-particle":"","family":"Carmona-Garcés","given":"Isabel Cristina","non-dropping-particle":"","parse-names":false,"suffix":""},{"dropping-particle":"","family":"Castronuovo","given":"Luciana","non-dropping-particle":"","parse-names":false,"suffix":""},{"dropping-particle":"","family":"Cauchi","given":"Daniel","non-dropping-particle":"","parse-names":false,"suffix":""},{"dropping-particle":"","family":"Correa","given":"Teresa","non-dropping-particle":"","parse-names":false,"suffix":""},{"dropping-particle":"","family":"Corvalán","given":"Camila","non-dropping-particle":"","parse-names":false,"suffix":""},{"dropping-particle":"","family":"Cosenza-Quintana","given":"Emma Lucia","non-dropping-particle":"","parse-names":false,"suffix":""},{"dropping-particle":"","family":"Fernández-Escobar","given":"Carlos","non-dropping-particle":"","parse-names":false,"suffix":""},{"dropping-particle":"","family":"González-Zapata","given":"Laura I.","non-dropping-particle":"","parse-names":false,"suffix":""},{"dropping-particle":"","family":"Halford","given":"Jason","non-dropping-particle":"","parse-names":false,"suffix":""},{"dropping-particle":"","family":"Jaichuen","given":"Nongnuch","non-dropping-particle":"","parse-names":false,"suffix":""},{"dropping-particle":"","family":"Jensen","given":"Melissa L.","non-dropping-particle":"","parse-names":false,"suffix":""},{"dropping-particle":"","family":"Karupaiah","given":"Tilakavati","non-dropping-particle":"","parse-names":false,"suffix":""},{"dropping-particle":"","family":"Kaur","given":"Asha","non-dropping-particle":"","parse-names":false,"suffix":""},{"dropping-particle":"","family":"Kroker-Lobos","given":"María F.","non-dropping-particle":"","parse-names":false,"suffix":""},{"dropping-particle":"","family":"Mchiza","given":"Zandile","non-dropping-particle":"","parse-names":false,"suffix":""},{"dropping-particle":"","family":"Miklavec","given":"Krista","non-dropping-particle":"","parse-names":false,"suffix":""},{"dropping-particle":"","family":"Parker","given":"Whadi ah","non-dropping-particle":"","parse-names":false,"suffix":""},{"dropping-particle":"","family":"Potvin Kent","given":"Monique","non-dropping-particle":"","parse-names":false,"suffix":""},{"dropping-particle":"","family":"Pravst","given":"Igor","non-dropping-particle":"","parse-names":false,"suffix":""},{"dropping-particle":"","family":"Ramírez-Zea","given":"Manuel","non-dropping-particle":"","parse-names":false,"suffix":""},{"dropping-particle":"","family":"Reiff","given":"Sascha","non-dropping-particle":"","parse-names":false,"suffix":""},{"dropping-particle":"","family":"Reyes","given":"Marcela","non-dropping-particle":"","parse-names":false,"suffix":""},{"dropping-particle":"","family":"Royo-Bordonada","given":"Miguel Ángel","non-dropping-particle":"","parse-names":false,"suffix":""},{"dropping-particle":"","family":"Rueangsom","given":"Putthipanya","non-dropping-particle":"","parse-names":false,"suffix":""},{"dropping-particle":"","family":"Scarborough","given":"Peter","non-dropping-particle":"","parse-names":false,"suffix":""},{"dropping-particle":"","family":"Tiscornia","given":"Maria Victoria","non-dropping-particle":"","parse-names":false,"suffix":""},{"dropping-particle":"","family":"Tolentino-Mayo","given":"Lizbeth","non-dropping-particle":"","parse-names":false,"suffix":""},{"dropping-particle":"","family":"Wate","given":"Jillian","non-dropping-particle":"","parse-names":false,"suffix":""},{"dropping-particle":"","family":"White","given":"Martin","non-dropping-particle":"","parse-names":false,"suffix":""},{"dropping-particle":"","family":"Zamora-Corrales","given":"Irina","non-dropping-particle":"","parse-names":false,"suffix":""},{"dropping-particle":"","family":"Zeng","given":"Lingxia","non-dropping-particle":"","parse-names":false,"suffix":""},{"dropping-particle":"","family":"Swinburn","given":"Boyd","non-dropping-particle":"","parse-names":false,"suffix":""}],"container-title":"Obesity Reviews","id":"ITEM-1","issued":{"date-parts":[["2019"]]},"publisher":"Blackwell Publishing Ltd","title":"Global benchmarking of children's exposure to television advertising of unhealthy foods and beverages across 22 countries","type":"article-journal"},"uris":["http://www.mendeley.com/documents/?uuid=1ebdaebd-40ed-3237-a114-92b88f9f95fb"]},{"id":"ITEM-2","itemData":{"author":[{"dropping-particle":"","family":"Czoli","given":"C","non-dropping-particle":"","parse-names":false,"suffix":""},{"dropping-particle":"","family":"Pauze","given":"E","non-dropping-particle":"","parse-names":false,"suffix":""},{"dropping-particle":"","family":"Kent","given":"M.P","non-dropping-particle":"","parse-names":false,"suffix":""},{"dropping-particle":"","family":"White","given":"C.M","non-dropping-particle":"","parse-names":false,"suffix":""},{"dropping-particle":"","family":"Vanderlee","given":"L","non-dropping-particle":"","parse-names":false,"suffix":""},{"dropping-particle":"","family":"Hammond","given":"D","non-dropping-particle":"","parse-names":false,"suffix":""}],"container-title":"Under review","id":"ITEM-2","issued":{"date-parts":[["0"]]},"title":"A comparison of fast food and sugary drinks marketing among adults across five countries: findings from the International Food Policy Study","type":"article-journal"},"uris":["http://www.mendeley.com/documents/?uuid=bd3d69f0-6ef0-4fc0-87ad-1814287983c1"]}],"mendeley":{"formattedCitation":"(27,28)","plainTextFormattedCitation":"(27,28)","previouslyFormattedCitation":"[27], [28]"},"properties":{"noteIndex":0},"schema":"https://github.com/citation-style-language/schema/raw/master/csl-citation.json"}</w:instrText>
      </w:r>
      <w:r w:rsidRPr="00DF1BBA">
        <w:fldChar w:fldCharType="separate"/>
      </w:r>
      <w:r w:rsidRPr="00DF1BBA">
        <w:t>[27,28]</w:t>
      </w:r>
      <w:r w:rsidRPr="00DF1BBA">
        <w:fldChar w:fldCharType="end"/>
      </w:r>
      <w:r w:rsidRPr="00DF1BBA">
        <w:t>, we are not aware of any international comparisons of the relationship between promotion and consumption of SSBs. An absence of literature means it is currently unclear how well existing evidence concerning the relationship between SSB promotion and consumption generalizes to alternative countries and contexts.</w:t>
      </w:r>
    </w:p>
    <w:p w14:paraId="76613F87" w14:textId="4F06B6F5" w:rsidR="0072004C" w:rsidRPr="00DF1BBA" w:rsidRDefault="0072004C" w:rsidP="0072004C">
      <w:pPr>
        <w:pStyle w:val="MDPI31text"/>
      </w:pPr>
      <w:r w:rsidRPr="00DF1BBA">
        <w:t xml:space="preserve">With increasing interest in regulating </w:t>
      </w:r>
      <w:r w:rsidR="00941E39">
        <w:t xml:space="preserve">the </w:t>
      </w:r>
      <w:r w:rsidRPr="00DF1BBA">
        <w:t xml:space="preserve">promotion of less healthy products </w:t>
      </w:r>
      <w:r w:rsidRPr="00DF1BBA">
        <w:fldChar w:fldCharType="begin" w:fldLock="1"/>
      </w:r>
      <w:r w:rsidRPr="00DF1BBA">
        <w:instrText>ADDIN CSL_CITATION {"citationItems":[{"id":"ITEM-1","itemData":{"author":[{"dropping-particle":"","family":"HM Government","given":"","non-dropping-particle":"","parse-names":false,"suffix":""}],"id":"ITEM-1","issue":"March","issued":{"date-parts":[["2019"]]},"title":"Introducing further advertising restrictions on TV and online for products high in fat, sugar and salt (HFSS)","type":"article-journal"},"uris":["http://www.mendeley.com/documents/?uuid=196167d2-d57c-4be2-be3f-ef554c294dfe"]}],"mendeley":{"formattedCitation":"(29)","plainTextFormattedCitation":"(29)","previouslyFormattedCitation":"[29]"},"properties":{"noteIndex":0},"schema":"https://github.com/citation-style-language/schema/raw/master/csl-citation.json"}</w:instrText>
      </w:r>
      <w:r w:rsidRPr="00DF1BBA">
        <w:fldChar w:fldCharType="separate"/>
      </w:r>
      <w:r w:rsidRPr="00DF1BBA">
        <w:t>[29]</w:t>
      </w:r>
      <w:r w:rsidRPr="00DF1BBA">
        <w:fldChar w:fldCharType="end"/>
      </w:r>
      <w:r w:rsidRPr="00DF1BBA">
        <w:t>, and concurrent awareness that other public health regulation</w:t>
      </w:r>
      <w:r w:rsidR="00941E39">
        <w:t>s,</w:t>
      </w:r>
      <w:r w:rsidRPr="00DF1BBA">
        <w:t xml:space="preserve"> such as SSB taxes</w:t>
      </w:r>
      <w:r w:rsidR="00941E39">
        <w:t>,</w:t>
      </w:r>
      <w:r w:rsidRPr="00DF1BBA">
        <w:t xml:space="preserve"> might have unintended effects on SSB marketing </w:t>
      </w:r>
      <w:r w:rsidRPr="00DF1BBA">
        <w:fldChar w:fldCharType="begin" w:fldLock="1"/>
      </w:r>
      <w:r w:rsidRPr="00DF1BBA">
        <w:instrText>ADDIN CSL_CITATION {"citationItems":[{"id":"ITEM-1","itemData":{"author":[{"dropping-particle":"","family":"White","given":"Martin","non-dropping-particle":"","parse-names":false,"suffix":""},{"dropping-particle":"","family":"Scarborough","given":"Peter","non-dropping-particle":"","parse-names":false,"suffix":""},{"dropping-particle":"","family":"Briggs","given":"Adam","non-dropping-particle":"","parse-names":false,"suffix":""},{"dropping-particle":"","family":"Rutter","given":"Harry","non-dropping-particle":"","parse-names":false,"suffix":""},{"dropping-particle":"","family":"Adams","given":"Jean","non-dropping-particle":"","parse-names":false,"suffix":""},{"dropping-particle":"","family":"Mytton","given":"Oliver","non-dropping-particle":"","parse-names":false,"suffix":""},{"dropping-particle":"","family":"Harrington, Richard Rayner","given":"Michael","non-dropping-particle":"","parse-names":false,"suffix":""},{"dropping-particle":"","family":"Smith","given":"Richard","non-dropping-particle":"","parse-names":false,"suffix":""},{"dropping-particle":"","family":"Cummins","given":"STEVEN","non-dropping-particle":"","parse-names":false,"suffix":""}],"id":"ITEM-1","issued":{"date-parts":[["2017"]]},"publisher-place":"Cambridge","title":"Evaluation of the health impacts of the UK Treasury Soft Drinks Industry Levy (SDIL)","type":"report"},"uris":["http://www.mendeley.com/documents/?uuid=9b9f0722-27b7-45fb-b628-6e99c67985cb"]}],"mendeley":{"formattedCitation":"(30)","plainTextFormattedCitation":"(30)","previouslyFormattedCitation":"[30]"},"properties":{"noteIndex":0},"schema":"https://github.com/citation-style-language/schema/raw/master/csl-citation.json"}</w:instrText>
      </w:r>
      <w:r w:rsidRPr="00DF1BBA">
        <w:fldChar w:fldCharType="separate"/>
      </w:r>
      <w:r w:rsidRPr="00DF1BBA">
        <w:t>[30]</w:t>
      </w:r>
      <w:r w:rsidRPr="00DF1BBA">
        <w:fldChar w:fldCharType="end"/>
      </w:r>
      <w:r w:rsidRPr="00DF1BBA">
        <w:t xml:space="preserve">, addressing gaps in the evidence base could inform future policy development. The study reported here aimed to address such gaps in existing literature by: </w:t>
      </w:r>
      <w:r>
        <w:t>(</w:t>
      </w:r>
      <w:r w:rsidRPr="00DF1BBA">
        <w:t xml:space="preserve">1) examining the association between total self-reported exposure to SSB promotion and SSB consumption in a large international sample of adults; </w:t>
      </w:r>
      <w:r>
        <w:t>(</w:t>
      </w:r>
      <w:r w:rsidRPr="00DF1BBA">
        <w:t>2) exploring whether this association differs by type of SSB promotion; and 3) investigating whether these relationships vary internationally between the UK, USA, Canada, Mexico</w:t>
      </w:r>
      <w:r w:rsidR="00941E39">
        <w:t>,</w:t>
      </w:r>
      <w:r w:rsidRPr="00DF1BBA">
        <w:t xml:space="preserve"> and Australia.</w:t>
      </w:r>
    </w:p>
    <w:p w14:paraId="0BCF0A65" w14:textId="77777777" w:rsidR="0072004C" w:rsidRPr="00DF1BBA" w:rsidRDefault="0072004C" w:rsidP="0072004C">
      <w:pPr>
        <w:pStyle w:val="MDPI21heading1"/>
      </w:pPr>
      <w:r>
        <w:rPr>
          <w:lang w:eastAsia="zh-CN"/>
        </w:rPr>
        <w:t xml:space="preserve">2. </w:t>
      </w:r>
      <w:r w:rsidRPr="00DF1BBA">
        <w:t>Materials and Methods</w:t>
      </w:r>
    </w:p>
    <w:p w14:paraId="20CE6AFB" w14:textId="77777777" w:rsidR="0072004C" w:rsidRPr="00DF1BBA" w:rsidRDefault="0072004C" w:rsidP="0072004C">
      <w:pPr>
        <w:pStyle w:val="MDPI31text"/>
      </w:pPr>
      <w:r w:rsidRPr="00DF1BBA">
        <w:t>We conducted a cross-sectional analysis of data from an international survey to address our aims.</w:t>
      </w:r>
    </w:p>
    <w:p w14:paraId="29EAF20E" w14:textId="4FA5BF1A" w:rsidR="0072004C" w:rsidRPr="00DF1BBA" w:rsidRDefault="0072004C" w:rsidP="0072004C">
      <w:pPr>
        <w:pStyle w:val="MDPI22heading2"/>
      </w:pPr>
      <w:r w:rsidRPr="00DF1BBA">
        <w:t>2.1. Study Design, Sampling</w:t>
      </w:r>
      <w:r w:rsidR="00941E39">
        <w:t>,</w:t>
      </w:r>
      <w:r w:rsidRPr="00DF1BBA">
        <w:t xml:space="preserve"> and Recruitment</w:t>
      </w:r>
    </w:p>
    <w:p w14:paraId="3554D8E1" w14:textId="3713952C" w:rsidR="0072004C" w:rsidRPr="00DF1BBA" w:rsidRDefault="0072004C" w:rsidP="0072004C">
      <w:pPr>
        <w:pStyle w:val="MDPI31text"/>
      </w:pPr>
      <w:r w:rsidRPr="00DF1BBA">
        <w:t>Data were from the first wave of the International Food Policy Study (IFPS), a web-based survey completed in 2017 by adults aged 18</w:t>
      </w:r>
      <w:r>
        <w:t>–</w:t>
      </w:r>
      <w:r w:rsidRPr="00DF1BBA">
        <w:t>64 in the UK, USA, Canada, Mexico</w:t>
      </w:r>
      <w:r w:rsidR="00941E39">
        <w:t>,</w:t>
      </w:r>
      <w:r w:rsidRPr="00DF1BBA">
        <w:t xml:space="preserve"> and Australia. Most participants were recruited through </w:t>
      </w:r>
      <w:r w:rsidR="00941E39">
        <w:t xml:space="preserve">the </w:t>
      </w:r>
      <w:r w:rsidRPr="00DF1BBA">
        <w:t>Nielsen Consumer Insights Global Panel and their partners’ panels. A random sample of panelists known to be eligible to take part in the study was sent email invitations. All Canadian participants aged 18</w:t>
      </w:r>
      <w:r>
        <w:t>–</w:t>
      </w:r>
      <w:r w:rsidRPr="00DF1BBA">
        <w:t>30 years</w:t>
      </w:r>
      <w:r w:rsidR="00941E39">
        <w:t>,</w:t>
      </w:r>
      <w:r w:rsidRPr="00DF1BBA">
        <w:t xml:space="preserve"> and some aged 31</w:t>
      </w:r>
      <w:r>
        <w:t>–</w:t>
      </w:r>
      <w:r w:rsidRPr="00DF1BBA">
        <w:t>32 years</w:t>
      </w:r>
      <w:r w:rsidR="00941E39">
        <w:t>,</w:t>
      </w:r>
      <w:r w:rsidRPr="00DF1BBA">
        <w:t xml:space="preserve"> were recruited separately from the parallel Canada Food Study (CFS), which was a preexisting online survey that formed the basis for the IFPS. Further details on the CFS are available elsewhere </w:t>
      </w:r>
      <w:r w:rsidRPr="00DF1BBA">
        <w:fldChar w:fldCharType="begin" w:fldLock="1"/>
      </w:r>
      <w:r w:rsidRPr="00DF1BBA">
        <w:instrText>ADDIN CSL_CITATION {"citationItems":[{"id":"ITEM-1","itemData":{"URL":"http://www.canadafoodstudy.ca/studydocs","accessed":{"date-parts":[["2019","6","26"]]},"author":[{"dropping-particle":"","family":"Hammond","given":"D","non-dropping-particle":"","parse-names":false,"suffix":""},{"dropping-particle":"","family":"White","given":"C","non-dropping-particle":"","parse-names":false,"suffix":""},{"dropping-particle":"","family":"Reid","given":"J","non-dropping-particle":"","parse-names":false,"suffix":""}],"container-title":"University of Waterloo","id":"ITEM-1","issued":{"date-parts":[["2019"]]},"title":"Canada Food Study: Technical Report – Wave 2 (2017)","type":"webpage"},"uris":["http://www.mendeley.com/documents/?uuid=40f0f186-c1ba-4cd1-8b79-f1fe7fe0ab53"]}],"mendeley":{"formattedCitation":"(31)","plainTextFormattedCitation":"(31)","previouslyFormattedCitation":"[31]"},"properties":{"noteIndex":0},"schema":"https://github.com/citation-style-language/schema/raw/master/csl-citation.json"}</w:instrText>
      </w:r>
      <w:r w:rsidRPr="00DF1BBA">
        <w:fldChar w:fldCharType="separate"/>
      </w:r>
      <w:r w:rsidRPr="00DF1BBA">
        <w:t>[31]</w:t>
      </w:r>
      <w:r w:rsidRPr="00DF1BBA">
        <w:fldChar w:fldCharType="end"/>
      </w:r>
      <w:r w:rsidRPr="00DF1BBA">
        <w:t>. Prior to completing the survey, respondents provided consent, and their participation was incentivi</w:t>
      </w:r>
      <w:r w:rsidR="00941E39">
        <w:t>z</w:t>
      </w:r>
      <w:r w:rsidRPr="00DF1BBA">
        <w:t>ed using their panel’s existing reward structure. Further details of the study methodology can be found in the International Food P</w:t>
      </w:r>
      <w:r>
        <w:t>olicy Study: Technical Report—</w:t>
      </w:r>
      <w:r w:rsidRPr="00DF1BBA">
        <w:t xml:space="preserve">Wave 1 (2017) at </w:t>
      </w:r>
      <w:hyperlink r:id="rId8" w:history="1">
        <w:r w:rsidRPr="00EC5518">
          <w:rPr>
            <w:rStyle w:val="Hyperlink"/>
            <w:rFonts w:cs="Arial"/>
            <w:color w:val="auto"/>
            <w:szCs w:val="20"/>
            <w:u w:val="none"/>
          </w:rPr>
          <w:t>www.foodpolicystudy.com/methods</w:t>
        </w:r>
      </w:hyperlink>
      <w:r w:rsidRPr="00EC5518">
        <w:rPr>
          <w:color w:val="auto"/>
          <w:szCs w:val="20"/>
        </w:rPr>
        <w:t xml:space="preserve"> </w:t>
      </w:r>
      <w:r w:rsidRPr="00DF1BBA">
        <w:rPr>
          <w:szCs w:val="20"/>
        </w:rPr>
        <w:fldChar w:fldCharType="begin" w:fldLock="1"/>
      </w:r>
      <w:r w:rsidRPr="00DF1BBA">
        <w:rPr>
          <w:szCs w:val="20"/>
        </w:rPr>
        <w:instrText>ADDIN CSL_CITATION {"citationItems":[{"id":"ITEM-1","itemData":{"URL":"http://foodpolicystudy.com/methods/","accessed":{"date-parts":[["2019","6","26"]]},"author":[{"dropping-particle":"","family":"Hammond","given":"D","non-dropping-particle":"","parse-names":false,"suffix":""},{"dropping-particle":"","family":"White","given":"C.M.","non-dropping-particle":"","parse-names":false,"suffix":""},{"dropping-particle":"","family":"Mahamad","given":"S.","non-dropping-particle":"","parse-names":false,"suffix":""}],"container-title":"University of Waterloo","id":"ITEM-1","issued":{"date-parts":[["0"]]},"title":"International Food Policy Study: Technical Report - Wave 1 (2017)","type":"webpage"},"uris":["http://www.mendeley.com/documents/?uuid=26a19542-e951-426e-90ef-eaa09574671a"]}],"mendeley":{"formattedCitation":"(32)","plainTextFormattedCitation":"(32)","previouslyFormattedCitation":"[32]"},"properties":{"noteIndex":0},"schema":"https://github.com/citation-style-language/schema/raw/master/csl-citation.json"}</w:instrText>
      </w:r>
      <w:r w:rsidRPr="00DF1BBA">
        <w:rPr>
          <w:szCs w:val="20"/>
        </w:rPr>
        <w:fldChar w:fldCharType="separate"/>
      </w:r>
      <w:r w:rsidRPr="00DF1BBA">
        <w:rPr>
          <w:szCs w:val="20"/>
        </w:rPr>
        <w:t>[32]</w:t>
      </w:r>
      <w:r w:rsidRPr="00DF1BBA">
        <w:rPr>
          <w:szCs w:val="20"/>
        </w:rPr>
        <w:fldChar w:fldCharType="end"/>
      </w:r>
      <w:r w:rsidRPr="00DF1BBA">
        <w:rPr>
          <w:szCs w:val="20"/>
        </w:rPr>
        <w:t>.</w:t>
      </w:r>
      <w:r w:rsidRPr="00DF1BBA">
        <w:t xml:space="preserve"> Participants had to pass a data quality screening question</w:t>
      </w:r>
      <w:r w:rsidR="00941E39">
        <w:t>naire</w:t>
      </w:r>
      <w:r w:rsidRPr="00DF1BBA">
        <w:t xml:space="preserve"> to be included in </w:t>
      </w:r>
      <w:r w:rsidR="00941E39">
        <w:t xml:space="preserve">the </w:t>
      </w:r>
      <w:r w:rsidRPr="00DF1BBA">
        <w:t>subsequent analysis.</w:t>
      </w:r>
    </w:p>
    <w:p w14:paraId="131108C2" w14:textId="77777777" w:rsidR="0072004C" w:rsidRPr="00DF1BBA" w:rsidRDefault="0072004C" w:rsidP="0072004C">
      <w:pPr>
        <w:pStyle w:val="MDPI22heading2"/>
      </w:pPr>
      <w:r w:rsidRPr="00DF1BBA">
        <w:lastRenderedPageBreak/>
        <w:t>2.2. Variables Used in the Analysis</w:t>
      </w:r>
    </w:p>
    <w:p w14:paraId="0F89A5DD" w14:textId="77777777" w:rsidR="0072004C" w:rsidRPr="00DF1BBA" w:rsidRDefault="0072004C" w:rsidP="0072004C">
      <w:pPr>
        <w:pStyle w:val="MDPI23heading3"/>
      </w:pPr>
      <w:r w:rsidRPr="00DF1BBA">
        <w:t>2.2.1. Sugar-Sweetened Beverage Consumption</w:t>
      </w:r>
    </w:p>
    <w:p w14:paraId="2EACC948" w14:textId="776399F7" w:rsidR="0072004C" w:rsidRPr="00DF1BBA" w:rsidRDefault="0072004C" w:rsidP="0072004C">
      <w:pPr>
        <w:pStyle w:val="MDPI31text"/>
      </w:pPr>
      <w:r w:rsidRPr="00DF1BBA">
        <w:t xml:space="preserve">The seven-day Beverage Frequency Questionnaire (BFQ) included in the study was used to derive an SSB consumption variable. The BFQ is a validated mode of dietary recall </w:t>
      </w:r>
      <w:r w:rsidRPr="00DF1BBA">
        <w:fldChar w:fldCharType="begin" w:fldLock="1"/>
      </w:r>
      <w:r w:rsidRPr="00DF1BBA">
        <w:instrText>ADDIN CSL_CITATION {"citationItems":[{"id":"ITEM-1","itemData":{"DOI":"10.1186/s12937-018-0380-8 LK  - http://bvgcsalud.c17.net/openurl?sid=EMBASE&amp;issn=14752891&amp;id=doi:10.1186%2Fs12937-018-0380-8&amp;atitle=Evaluation+of+the+online+Beverage+Frequency+Questionnaire+%28BFQ%29&amp;stitle=Nutr.+J.&amp;title=Nutrition+Journal&amp;volume=17&amp;issue=1&amp;spage=&amp;epage=&amp;aulast=Vanderlee&amp;aufirst=Lana&amp;auinit=L.&amp;aufull=Vanderlee+L.&amp;coden=&amp;isbn=&amp;pages=-&amp;date=2018&amp;auinit1=L&amp;auinitm=","abstract":"Background: The contribution of beverages to overall diet is of increasing interest to researchers and policymakers, particularly in terms of consumption of drinks high in added sugars; however, few tools to assess beverage intake have been developed and evaluated. This study aimed to evaluate the relative validity of a new online Beverage Frequency Questionnaire (BFQ) among young adults in Canada. Methods: A cross-sectional relative validation study was conducted among young adults aged 16-30 years (n = 50). Participants completed a 17-item BFQ, a 7-day food record (7dFR), and a single-item measure of sugary drink intake. Pearson correlations and paired t-tests were used to evaluate correlation and agreement between the measures for 17 individual beverage categories, total drink consumption, total alcoholic beverage consumption, and two definitions of drinks with excess sugars. Cognitive interviews were conducted to examine participant interpretation and comprehensiveness of the BFQ. Results: Estimates of beverage intake based on the BFQ and the 7dFR were highly correlated, specifically for the total number and volume of beverages consumed, total alcoholic beverage consumption, sugary drink intake, and each of the 17 beverage categories with 3 exceptions: coffee or tea with sugar or cream, specialty coffees, and hard alcohol with caloric mix. Paired t-tests between the BFQ and the 7dFR indicated that the average reported volume was significantly different only for sweetened fruit drinks. The single-item measure of sugary beverage intake was not significantly correlated with the 7dFR. Cognitive interviewing demonstrated high comprehension levels, and confirmed the appropriateness of the BFQ beverage categories and sizes. Conclusions: Overall, the results suggest that the BFQ performed well relative to a 7dFR and had high usability among this study population, indicating its promise for collecting population-level data on beverage intake, including sugar-sweetened beverages, which are known indicators of diet and health.","author":[{"dropping-particle":"","family":"Vanderlee","given":"L","non-dropping-particle":"","parse-names":false,"suffix":""},{"dropping-particle":"","family":"Reid","given":"J.L.","non-dropping-particle":"","parse-names":false,"suffix":""},{"dropping-particle":"","family":"White","given":"C.M.","non-dropping-particle":"","parse-names":false,"suffix":""},{"dropping-particle":"","family":"Hobin","given":"E.P.","non-dropping-particle":"","parse-names":false,"suffix":""},{"dropping-particle":"","family":"Acton","given":"R.B.","non-dropping-particle":"","parse-names":false,"suffix":""},{"dropping-particle":"","family":"Jones","given":"A.C.","non-dropping-particle":"","parse-names":false,"suffix":""},{"dropping-particle":"","family":"O'Neill","given":"M","non-dropping-particle":"","parse-names":false,"suffix":""},{"dropping-particle":"","family":"Kirkpatrick","given":"S.I.","non-dropping-particle":"","parse-names":false,"suffix":""},{"dropping-particle":"","family":"Hammond","given":"D.","non-dropping-particle":"","parse-names":false,"suffix":""}],"container-title":"Nutrition Journal","id":"ITEM-1","issue":"1","issued":{"date-parts":[["2018"]]},"page":"1-10","publisher":"Nutrition Journal","title":"Evaluation of the online Beverage Frequency Questionnaire (BFQ)","type":"article-journal","volume":"17"},"uris":["http://www.mendeley.com/documents/?uuid=f102303d-8518-4f19-b02f-f7315a497a08"]}],"mendeley":{"formattedCitation":"(33)","plainTextFormattedCitation":"(33)","previouslyFormattedCitation":"[33]"},"properties":{"noteIndex":0},"schema":"https://github.com/citation-style-language/schema/raw/master/csl-citation.json"}</w:instrText>
      </w:r>
      <w:r w:rsidRPr="00DF1BBA">
        <w:fldChar w:fldCharType="separate"/>
      </w:r>
      <w:r w:rsidRPr="00DF1BBA">
        <w:t>[33]</w:t>
      </w:r>
      <w:r w:rsidRPr="00DF1BBA">
        <w:fldChar w:fldCharType="end"/>
      </w:r>
      <w:r w:rsidRPr="00DF1BBA">
        <w:t xml:space="preserve">, which uses photographs to prompt respondents to recall the number and size of 22 types of drinks, including caloric and non-caloric, alcoholic and non-alcoholic beverages. First, participants were asked to report the number of drinks they had consumed within each beverage category in the past 7 days. Next, participants were shown an image with an array of container sizes with corresponding volumes (mL or </w:t>
      </w:r>
      <w:proofErr w:type="spellStart"/>
      <w:r w:rsidRPr="00DF1BBA">
        <w:t>fl</w:t>
      </w:r>
      <w:proofErr w:type="spellEnd"/>
      <w:r w:rsidRPr="00DF1BBA">
        <w:t xml:space="preserve"> </w:t>
      </w:r>
      <w:proofErr w:type="spellStart"/>
      <w:r w:rsidRPr="00DF1BBA">
        <w:t>oz</w:t>
      </w:r>
      <w:proofErr w:type="spellEnd"/>
      <w:r w:rsidRPr="00DF1BBA">
        <w:t>) specific to each beverage category for which they had indicated any consumption. Container sizes varied for each country according to</w:t>
      </w:r>
      <w:r w:rsidR="00941E39">
        <w:t xml:space="preserve"> the</w:t>
      </w:r>
      <w:r w:rsidRPr="00DF1BBA">
        <w:t xml:space="preserve"> products available in each market. If a respondent selected the lowest size category (“less than [smallest size]” option), this was recoded as half of the smallest listed option that had a specified size (e.g.</w:t>
      </w:r>
      <w:r>
        <w:t>,</w:t>
      </w:r>
      <w:r w:rsidRPr="00DF1BBA">
        <w:t xml:space="preserve"> 50% of 250</w:t>
      </w:r>
      <w:r>
        <w:t xml:space="preserve"> </w:t>
      </w:r>
      <w:r w:rsidRPr="00DF1BBA">
        <w:t>mL</w:t>
      </w:r>
      <w:r>
        <w:t xml:space="preserve"> </w:t>
      </w:r>
      <w:r w:rsidRPr="00EC5518">
        <w:t>=</w:t>
      </w:r>
      <w:r>
        <w:t xml:space="preserve"> </w:t>
      </w:r>
      <w:r w:rsidRPr="00DF1BBA">
        <w:t>125</w:t>
      </w:r>
      <w:r>
        <w:t xml:space="preserve"> </w:t>
      </w:r>
      <w:r w:rsidRPr="00DF1BBA">
        <w:t>mL). Likewise, respondents reporting the highest size category of “more than [largest size]” were recoded as 125% of the largest option with a specified amount (e.g.</w:t>
      </w:r>
      <w:r>
        <w:t>,</w:t>
      </w:r>
      <w:r w:rsidRPr="00DF1BBA">
        <w:t xml:space="preserve"> 125% of 710</w:t>
      </w:r>
      <w:r>
        <w:t xml:space="preserve"> </w:t>
      </w:r>
      <w:r w:rsidRPr="00DF1BBA">
        <w:t xml:space="preserve">mL </w:t>
      </w:r>
      <w:r w:rsidRPr="00EC5518">
        <w:t>=</w:t>
      </w:r>
      <w:r>
        <w:t xml:space="preserve"> </w:t>
      </w:r>
      <w:r w:rsidRPr="00EC5518">
        <w:t>8</w:t>
      </w:r>
      <w:r w:rsidRPr="00DF1BBA">
        <w:t>88</w:t>
      </w:r>
      <w:r>
        <w:t xml:space="preserve"> </w:t>
      </w:r>
      <w:r w:rsidRPr="00DF1BBA">
        <w:t>mL). Respondents who selected “Don’t know” or “Refused”, entered an implausibly large number of drinks consumed (&gt;70), or failed to provide values for both the number and size for a particular drink were excluded from analyses. A volume variable was calculated for each beverage category by multiplying the derived drink size and frequency variables.</w:t>
      </w:r>
    </w:p>
    <w:p w14:paraId="35B29943" w14:textId="054E79A7" w:rsidR="0072004C" w:rsidRDefault="0072004C" w:rsidP="0072004C">
      <w:pPr>
        <w:pStyle w:val="MDPI31text"/>
        <w:spacing w:after="240"/>
      </w:pPr>
      <w:r w:rsidRPr="00DF1BBA">
        <w:t xml:space="preserve">Total SSB consumption was computed by summing volumes for sugar sweetened drinks (see </w:t>
      </w:r>
      <w:r w:rsidRPr="00EC5518">
        <w:rPr>
          <w:bCs/>
        </w:rPr>
        <w:t>Table 1</w:t>
      </w:r>
      <w:r w:rsidRPr="00EC5518">
        <w:t>).</w:t>
      </w:r>
      <w:r w:rsidRPr="00DF1BBA">
        <w:t xml:space="preserve"> The total SSB consumption variable was categori</w:t>
      </w:r>
      <w:r w:rsidR="00941E39">
        <w:t>z</w:t>
      </w:r>
      <w:r w:rsidRPr="00DF1BBA">
        <w:t>ed into three groups: non-consumers, low consumers</w:t>
      </w:r>
      <w:r w:rsidR="00941E39">
        <w:t>,</w:t>
      </w:r>
      <w:r w:rsidRPr="00DF1BBA">
        <w:t xml:space="preserve"> and high consumers, based around the weighted median of weekly SSB consumption amongst consumers (survey population: 1830</w:t>
      </w:r>
      <w:r>
        <w:t xml:space="preserve"> </w:t>
      </w:r>
      <w:r w:rsidRPr="00DF1BBA">
        <w:t>mL; analytical sample: 1841</w:t>
      </w:r>
      <w:r>
        <w:t xml:space="preserve"> </w:t>
      </w:r>
      <w:r w:rsidRPr="00DF1BBA">
        <w:t>mL).</w:t>
      </w:r>
    </w:p>
    <w:p w14:paraId="1FAE6B78" w14:textId="77777777" w:rsidR="0072004C" w:rsidRDefault="0072004C" w:rsidP="0072004C">
      <w:pPr>
        <w:pStyle w:val="MDPI31text"/>
        <w:spacing w:after="240"/>
        <w:sectPr w:rsidR="0072004C" w:rsidSect="0072004C">
          <w:headerReference w:type="even" r:id="rId9"/>
          <w:headerReference w:type="default" r:id="rId10"/>
          <w:footerReference w:type="default" r:id="rId11"/>
          <w:headerReference w:type="first" r:id="rId12"/>
          <w:footerReference w:type="first" r:id="rId13"/>
          <w:pgSz w:w="11906" w:h="16838" w:code="9"/>
          <w:pgMar w:top="1417" w:right="1531" w:bottom="1077" w:left="1531" w:header="1020" w:footer="850" w:gutter="0"/>
          <w:pgNumType w:start="1"/>
          <w:cols w:space="425"/>
          <w:titlePg/>
          <w:docGrid w:type="lines" w:linePitch="326"/>
        </w:sectPr>
      </w:pPr>
    </w:p>
    <w:p w14:paraId="015DA30E" w14:textId="39158250" w:rsidR="0072004C" w:rsidRDefault="0072004C" w:rsidP="0072004C">
      <w:pPr>
        <w:pStyle w:val="MDPI41tablecaption"/>
        <w:jc w:val="center"/>
      </w:pPr>
      <w:r w:rsidRPr="0072004C">
        <w:rPr>
          <w:b/>
        </w:rPr>
        <w:lastRenderedPageBreak/>
        <w:t xml:space="preserve">Table 1. </w:t>
      </w:r>
      <w:r w:rsidRPr="00863888">
        <w:t xml:space="preserve">Descriptions of the variables and question wording from the </w:t>
      </w:r>
      <w:r w:rsidR="00941E39">
        <w:t>International Food Policy Study (</w:t>
      </w:r>
      <w:r w:rsidRPr="00863888">
        <w:t>IFPS</w:t>
      </w:r>
      <w:r w:rsidR="00941E39">
        <w:t>)</w:t>
      </w:r>
      <w:r w:rsidRPr="00863888">
        <w:t xml:space="preserve"> (2017)</w:t>
      </w:r>
      <w:r w:rsidRPr="00BD32C3">
        <w:t>.</w:t>
      </w:r>
    </w:p>
    <w:tbl>
      <w:tblPr>
        <w:tblW w:w="0" w:type="auto"/>
        <w:jc w:val="center"/>
        <w:tblBorders>
          <w:top w:val="single" w:sz="8" w:space="0" w:color="auto"/>
          <w:bottom w:val="single" w:sz="8" w:space="0" w:color="auto"/>
          <w:insideH w:val="single" w:sz="4" w:space="0" w:color="auto"/>
        </w:tblBorders>
        <w:tblLook w:val="04A0" w:firstRow="1" w:lastRow="0" w:firstColumn="1" w:lastColumn="0" w:noHBand="0" w:noVBand="1"/>
      </w:tblPr>
      <w:tblGrid>
        <w:gridCol w:w="1625"/>
        <w:gridCol w:w="3196"/>
        <w:gridCol w:w="5566"/>
        <w:gridCol w:w="3605"/>
      </w:tblGrid>
      <w:tr w:rsidR="0072004C" w:rsidRPr="009049CA" w14:paraId="439A7249" w14:textId="77777777" w:rsidTr="00356611">
        <w:trPr>
          <w:cantSplit/>
          <w:jc w:val="center"/>
        </w:trPr>
        <w:tc>
          <w:tcPr>
            <w:tcW w:w="0" w:type="auto"/>
            <w:shd w:val="clear" w:color="auto" w:fill="auto"/>
            <w:vAlign w:val="center"/>
          </w:tcPr>
          <w:p w14:paraId="0044F601" w14:textId="77777777" w:rsidR="0072004C" w:rsidRPr="009049CA" w:rsidRDefault="0072004C" w:rsidP="00356611">
            <w:pPr>
              <w:pStyle w:val="MDPI42tablebody"/>
              <w:autoSpaceDE w:val="0"/>
              <w:autoSpaceDN w:val="0"/>
              <w:spacing w:line="240" w:lineRule="auto"/>
              <w:rPr>
                <w:b/>
                <w:bCs/>
                <w:sz w:val="18"/>
                <w:szCs w:val="18"/>
              </w:rPr>
            </w:pPr>
            <w:r w:rsidRPr="009049CA">
              <w:rPr>
                <w:b/>
                <w:bCs/>
                <w:sz w:val="18"/>
                <w:szCs w:val="18"/>
              </w:rPr>
              <w:t>Variable</w:t>
            </w:r>
          </w:p>
        </w:tc>
        <w:tc>
          <w:tcPr>
            <w:tcW w:w="0" w:type="auto"/>
            <w:shd w:val="clear" w:color="auto" w:fill="auto"/>
            <w:vAlign w:val="center"/>
          </w:tcPr>
          <w:p w14:paraId="709E3464" w14:textId="77777777" w:rsidR="0072004C" w:rsidRPr="009049CA" w:rsidRDefault="0072004C" w:rsidP="00356611">
            <w:pPr>
              <w:pStyle w:val="MDPI42tablebody"/>
              <w:spacing w:line="240" w:lineRule="auto"/>
              <w:rPr>
                <w:b/>
                <w:bCs/>
                <w:sz w:val="18"/>
                <w:szCs w:val="18"/>
              </w:rPr>
            </w:pPr>
            <w:r w:rsidRPr="009049CA">
              <w:rPr>
                <w:b/>
                <w:bCs/>
                <w:sz w:val="18"/>
                <w:szCs w:val="18"/>
              </w:rPr>
              <w:t>Question</w:t>
            </w:r>
          </w:p>
        </w:tc>
        <w:tc>
          <w:tcPr>
            <w:tcW w:w="0" w:type="auto"/>
            <w:shd w:val="clear" w:color="auto" w:fill="auto"/>
            <w:vAlign w:val="center"/>
          </w:tcPr>
          <w:p w14:paraId="004CD63B" w14:textId="77777777" w:rsidR="0072004C" w:rsidRPr="009049CA" w:rsidRDefault="0072004C" w:rsidP="00356611">
            <w:pPr>
              <w:pStyle w:val="MDPI42tablebody"/>
              <w:spacing w:line="240" w:lineRule="auto"/>
              <w:rPr>
                <w:b/>
                <w:bCs/>
                <w:sz w:val="18"/>
                <w:szCs w:val="18"/>
              </w:rPr>
            </w:pPr>
            <w:r w:rsidRPr="009049CA">
              <w:rPr>
                <w:b/>
                <w:bCs/>
                <w:sz w:val="18"/>
                <w:szCs w:val="18"/>
              </w:rPr>
              <w:t>Relevant Response Options</w:t>
            </w:r>
          </w:p>
        </w:tc>
        <w:tc>
          <w:tcPr>
            <w:tcW w:w="0" w:type="auto"/>
            <w:shd w:val="clear" w:color="auto" w:fill="auto"/>
            <w:vAlign w:val="center"/>
          </w:tcPr>
          <w:p w14:paraId="1EC340D2" w14:textId="79A3D3FB" w:rsidR="0072004C" w:rsidRPr="009049CA" w:rsidRDefault="0072004C" w:rsidP="00356611">
            <w:pPr>
              <w:pStyle w:val="MDPI42tablebody"/>
              <w:spacing w:line="240" w:lineRule="auto"/>
              <w:rPr>
                <w:b/>
                <w:bCs/>
                <w:szCs w:val="18"/>
              </w:rPr>
            </w:pPr>
            <w:r w:rsidRPr="009049CA">
              <w:rPr>
                <w:b/>
                <w:bCs/>
                <w:szCs w:val="18"/>
              </w:rPr>
              <w:t xml:space="preserve">Used in </w:t>
            </w:r>
            <w:r w:rsidR="003C2EDA" w:rsidRPr="009049CA">
              <w:rPr>
                <w:b/>
                <w:bCs/>
                <w:szCs w:val="18"/>
              </w:rPr>
              <w:t>Analysis</w:t>
            </w:r>
          </w:p>
        </w:tc>
      </w:tr>
      <w:tr w:rsidR="0072004C" w:rsidRPr="009049CA" w14:paraId="710FED2A" w14:textId="77777777" w:rsidTr="00356611">
        <w:trPr>
          <w:cantSplit/>
          <w:jc w:val="center"/>
        </w:trPr>
        <w:tc>
          <w:tcPr>
            <w:tcW w:w="0" w:type="auto"/>
            <w:shd w:val="clear" w:color="auto" w:fill="auto"/>
            <w:vAlign w:val="center"/>
          </w:tcPr>
          <w:p w14:paraId="171F3303" w14:textId="77777777" w:rsidR="0072004C" w:rsidRPr="009049CA" w:rsidRDefault="0072004C" w:rsidP="00356611">
            <w:pPr>
              <w:pStyle w:val="MDPI42tablebody"/>
              <w:spacing w:line="240" w:lineRule="auto"/>
              <w:jc w:val="left"/>
              <w:rPr>
                <w:sz w:val="18"/>
                <w:szCs w:val="18"/>
              </w:rPr>
            </w:pPr>
            <w:r w:rsidRPr="009049CA">
              <w:rPr>
                <w:sz w:val="18"/>
                <w:szCs w:val="18"/>
              </w:rPr>
              <w:t>SSB consumption</w:t>
            </w:r>
          </w:p>
        </w:tc>
        <w:tc>
          <w:tcPr>
            <w:tcW w:w="0" w:type="auto"/>
            <w:shd w:val="clear" w:color="auto" w:fill="auto"/>
            <w:vAlign w:val="center"/>
          </w:tcPr>
          <w:p w14:paraId="22F4C16C" w14:textId="70EDA047" w:rsidR="0072004C" w:rsidRPr="009049CA" w:rsidRDefault="0072004C" w:rsidP="00356611">
            <w:pPr>
              <w:pStyle w:val="MDPI42tablebody"/>
              <w:spacing w:line="240" w:lineRule="auto"/>
              <w:jc w:val="left"/>
              <w:rPr>
                <w:sz w:val="18"/>
                <w:szCs w:val="18"/>
              </w:rPr>
            </w:pPr>
            <w:r w:rsidRPr="009049CA">
              <w:rPr>
                <w:sz w:val="18"/>
                <w:szCs w:val="18"/>
              </w:rPr>
              <w:t xml:space="preserve">[Calculated from </w:t>
            </w:r>
            <w:r w:rsidR="00941E39">
              <w:rPr>
                <w:sz w:val="18"/>
                <w:szCs w:val="18"/>
              </w:rPr>
              <w:t xml:space="preserve">the </w:t>
            </w:r>
            <w:r w:rsidRPr="009049CA">
              <w:rPr>
                <w:sz w:val="18"/>
                <w:szCs w:val="18"/>
              </w:rPr>
              <w:t xml:space="preserve">Beverage Frequency Questionnaire: </w:t>
            </w:r>
            <w:r w:rsidR="00941E39">
              <w:rPr>
                <w:sz w:val="18"/>
                <w:szCs w:val="18"/>
              </w:rPr>
              <w:t>R</w:t>
            </w:r>
            <w:r w:rsidRPr="009049CA">
              <w:rPr>
                <w:sz w:val="18"/>
                <w:szCs w:val="18"/>
              </w:rPr>
              <w:t>eported frequency and volume of consumption over the last 7 days]</w:t>
            </w:r>
          </w:p>
        </w:tc>
        <w:tc>
          <w:tcPr>
            <w:tcW w:w="0" w:type="auto"/>
            <w:shd w:val="clear" w:color="auto" w:fill="auto"/>
            <w:vAlign w:val="center"/>
          </w:tcPr>
          <w:p w14:paraId="22AD2314" w14:textId="6B5265FA" w:rsidR="0072004C" w:rsidRPr="009049CA" w:rsidRDefault="0072004C" w:rsidP="00356611">
            <w:pPr>
              <w:pStyle w:val="MDPI42tablebody"/>
              <w:spacing w:line="240" w:lineRule="auto"/>
              <w:jc w:val="left"/>
              <w:rPr>
                <w:sz w:val="18"/>
                <w:szCs w:val="18"/>
              </w:rPr>
            </w:pPr>
            <w:r w:rsidRPr="009049CA">
              <w:rPr>
                <w:sz w:val="18"/>
                <w:szCs w:val="18"/>
              </w:rPr>
              <w:t>Regular pop; sweetened fruit drinks; regular flavored water with calories; regular sports drinks; regular energy drinks; chocolate milk or other flavored milk; specialty coffees; sweetened smoothies, protein shakes</w:t>
            </w:r>
            <w:r w:rsidR="00941E39">
              <w:rPr>
                <w:sz w:val="18"/>
                <w:szCs w:val="18"/>
              </w:rPr>
              <w:t>,</w:t>
            </w:r>
            <w:r w:rsidRPr="009049CA">
              <w:rPr>
                <w:sz w:val="18"/>
                <w:szCs w:val="18"/>
              </w:rPr>
              <w:t xml:space="preserve"> or drinkable yogurts</w:t>
            </w:r>
          </w:p>
        </w:tc>
        <w:tc>
          <w:tcPr>
            <w:tcW w:w="0" w:type="auto"/>
            <w:shd w:val="clear" w:color="auto" w:fill="auto"/>
            <w:vAlign w:val="center"/>
          </w:tcPr>
          <w:p w14:paraId="67277DBF" w14:textId="77777777" w:rsidR="0072004C" w:rsidRPr="009049CA" w:rsidRDefault="0072004C" w:rsidP="00356611">
            <w:pPr>
              <w:pStyle w:val="MDPI42tablebody"/>
              <w:spacing w:line="240" w:lineRule="auto"/>
              <w:jc w:val="left"/>
              <w:rPr>
                <w:szCs w:val="18"/>
              </w:rPr>
            </w:pPr>
            <w:r w:rsidRPr="009049CA">
              <w:rPr>
                <w:szCs w:val="18"/>
              </w:rPr>
              <w:t>Non-consumers (of these</w:t>
            </w:r>
            <w:r>
              <w:rPr>
                <w:szCs w:val="18"/>
              </w:rPr>
              <w:t xml:space="preserve"> options); low SSB consumers (&lt;</w:t>
            </w:r>
            <w:r w:rsidRPr="009049CA">
              <w:rPr>
                <w:szCs w:val="18"/>
              </w:rPr>
              <w:t>overall</w:t>
            </w:r>
            <w:r>
              <w:rPr>
                <w:szCs w:val="18"/>
              </w:rPr>
              <w:t xml:space="preserve"> median); high SSB consumers (&gt;</w:t>
            </w:r>
            <w:r w:rsidRPr="009049CA">
              <w:rPr>
                <w:szCs w:val="18"/>
              </w:rPr>
              <w:t>overall median)</w:t>
            </w:r>
          </w:p>
        </w:tc>
      </w:tr>
      <w:tr w:rsidR="0072004C" w:rsidRPr="009049CA" w14:paraId="1026D677" w14:textId="77777777" w:rsidTr="00356611">
        <w:trPr>
          <w:cantSplit/>
          <w:jc w:val="center"/>
        </w:trPr>
        <w:tc>
          <w:tcPr>
            <w:tcW w:w="0" w:type="auto"/>
            <w:shd w:val="clear" w:color="auto" w:fill="auto"/>
            <w:vAlign w:val="center"/>
          </w:tcPr>
          <w:p w14:paraId="0B0A49DD" w14:textId="77777777" w:rsidR="0072004C" w:rsidRPr="009049CA" w:rsidRDefault="0072004C" w:rsidP="00356611">
            <w:pPr>
              <w:pStyle w:val="MDPI42tablebody"/>
              <w:spacing w:line="240" w:lineRule="auto"/>
              <w:jc w:val="left"/>
              <w:rPr>
                <w:sz w:val="18"/>
                <w:szCs w:val="18"/>
              </w:rPr>
            </w:pPr>
            <w:r w:rsidRPr="009049CA">
              <w:rPr>
                <w:sz w:val="18"/>
                <w:szCs w:val="18"/>
              </w:rPr>
              <w:t>Total s</w:t>
            </w:r>
            <w:r>
              <w:rPr>
                <w:sz w:val="18"/>
                <w:szCs w:val="18"/>
              </w:rPr>
              <w:t>elf-</w:t>
            </w:r>
            <w:r w:rsidRPr="009049CA">
              <w:rPr>
                <w:sz w:val="18"/>
                <w:szCs w:val="18"/>
              </w:rPr>
              <w:t xml:space="preserve">reported exposure to SSB promotion </w:t>
            </w:r>
          </w:p>
        </w:tc>
        <w:tc>
          <w:tcPr>
            <w:tcW w:w="0" w:type="auto"/>
            <w:shd w:val="clear" w:color="auto" w:fill="auto"/>
            <w:vAlign w:val="center"/>
          </w:tcPr>
          <w:p w14:paraId="24C06274" w14:textId="682D9B1A" w:rsidR="0072004C" w:rsidRPr="009049CA" w:rsidRDefault="0072004C" w:rsidP="00356611">
            <w:pPr>
              <w:pStyle w:val="MDPI42tablebody"/>
              <w:spacing w:line="240" w:lineRule="auto"/>
              <w:jc w:val="left"/>
              <w:rPr>
                <w:sz w:val="18"/>
                <w:szCs w:val="18"/>
              </w:rPr>
            </w:pPr>
            <w:r w:rsidRPr="009049CA">
              <w:rPr>
                <w:sz w:val="18"/>
                <w:szCs w:val="18"/>
              </w:rPr>
              <w:t xml:space="preserve">Sugary drinks are drinks that contain added sugar, </w:t>
            </w:r>
            <w:r w:rsidR="00941E39">
              <w:rPr>
                <w:sz w:val="18"/>
                <w:szCs w:val="18"/>
              </w:rPr>
              <w:t>such as</w:t>
            </w:r>
            <w:r w:rsidRPr="009049CA">
              <w:rPr>
                <w:sz w:val="18"/>
                <w:szCs w:val="18"/>
              </w:rPr>
              <w:t xml:space="preserve"> fizzy drinks (Australia: soft drinks; Canada: pop), fruit drinks, sports drinks, energy drinks, chocolate milk, and speciality</w:t>
            </w:r>
            <w:r>
              <w:rPr>
                <w:sz w:val="18"/>
                <w:szCs w:val="18"/>
              </w:rPr>
              <w:t xml:space="preserve"> coffees that have added sugar.</w:t>
            </w:r>
          </w:p>
          <w:p w14:paraId="038DB457" w14:textId="77777777" w:rsidR="0072004C" w:rsidRPr="009049CA" w:rsidRDefault="0072004C" w:rsidP="00356611">
            <w:pPr>
              <w:pStyle w:val="MDPI42tablebody"/>
              <w:spacing w:line="240" w:lineRule="auto"/>
              <w:jc w:val="left"/>
              <w:rPr>
                <w:sz w:val="18"/>
                <w:szCs w:val="18"/>
              </w:rPr>
            </w:pPr>
            <w:r w:rsidRPr="009049CA">
              <w:rPr>
                <w:sz w:val="18"/>
                <w:szCs w:val="18"/>
              </w:rPr>
              <w:t>In the past 30 days, have you seen or heard any advertisements or promotions for SUGARY DRINKS in the following places? (select all that apply)</w:t>
            </w:r>
          </w:p>
        </w:tc>
        <w:tc>
          <w:tcPr>
            <w:tcW w:w="0" w:type="auto"/>
            <w:shd w:val="clear" w:color="auto" w:fill="auto"/>
            <w:vAlign w:val="center"/>
          </w:tcPr>
          <w:p w14:paraId="6E4C29EC" w14:textId="38A41F4B" w:rsidR="0072004C" w:rsidRPr="009049CA" w:rsidRDefault="0072004C" w:rsidP="00356611">
            <w:pPr>
              <w:pStyle w:val="MDPI42tablebody"/>
              <w:spacing w:line="240" w:lineRule="auto"/>
              <w:jc w:val="left"/>
              <w:rPr>
                <w:sz w:val="18"/>
                <w:szCs w:val="18"/>
              </w:rPr>
            </w:pPr>
            <w:r w:rsidRPr="009049CA">
              <w:rPr>
                <w:sz w:val="18"/>
                <w:szCs w:val="18"/>
              </w:rPr>
              <w:t>TV ads; radio ads; online/internet ads; mobile app/video game; social media (e.g., Twitter, Facebook, Snapchat); in a text message; magazine or newspaper; billboard or outdoor sign (e.g., posters, transit ads); in movies; at school/on campus; signs or displays in stores or restaurants; at a recreation/community cent</w:t>
            </w:r>
            <w:r w:rsidR="00941E39">
              <w:rPr>
                <w:sz w:val="18"/>
                <w:szCs w:val="18"/>
              </w:rPr>
              <w:t>er</w:t>
            </w:r>
            <w:r w:rsidRPr="009049CA">
              <w:rPr>
                <w:sz w:val="18"/>
                <w:szCs w:val="18"/>
              </w:rPr>
              <w:t>; sports event or sponsorship (e.g., logos or links with events, teams</w:t>
            </w:r>
            <w:r w:rsidR="00941E39">
              <w:rPr>
                <w:sz w:val="18"/>
                <w:szCs w:val="18"/>
              </w:rPr>
              <w:t>,</w:t>
            </w:r>
            <w:r w:rsidRPr="009049CA">
              <w:rPr>
                <w:sz w:val="18"/>
                <w:szCs w:val="18"/>
              </w:rPr>
              <w:t xml:space="preserve"> or athletes); giveaways, samples</w:t>
            </w:r>
            <w:r w:rsidR="00941E39">
              <w:rPr>
                <w:sz w:val="18"/>
                <w:szCs w:val="18"/>
              </w:rPr>
              <w:t>,</w:t>
            </w:r>
            <w:r w:rsidRPr="009049CA">
              <w:rPr>
                <w:sz w:val="18"/>
                <w:szCs w:val="18"/>
              </w:rPr>
              <w:t xml:space="preserve"> or special offers; other; I haven’t seen any marketing for sugary drinks in the last 30 days; don’t know; refuse to answer</w:t>
            </w:r>
          </w:p>
        </w:tc>
        <w:tc>
          <w:tcPr>
            <w:tcW w:w="0" w:type="auto"/>
            <w:shd w:val="clear" w:color="auto" w:fill="auto"/>
            <w:vAlign w:val="center"/>
          </w:tcPr>
          <w:p w14:paraId="7AF12509" w14:textId="3AC72070" w:rsidR="0072004C" w:rsidRPr="009049CA" w:rsidRDefault="0072004C" w:rsidP="00356611">
            <w:pPr>
              <w:pStyle w:val="MDPI42tablebody"/>
              <w:spacing w:line="240" w:lineRule="auto"/>
              <w:jc w:val="left"/>
              <w:rPr>
                <w:szCs w:val="18"/>
              </w:rPr>
            </w:pPr>
            <w:r w:rsidRPr="009049CA">
              <w:rPr>
                <w:szCs w:val="18"/>
              </w:rPr>
              <w:t xml:space="preserve">Summed number of location responded positively to, with those responding: </w:t>
            </w:r>
            <w:r w:rsidR="00941E39">
              <w:rPr>
                <w:szCs w:val="18"/>
              </w:rPr>
              <w:t>“</w:t>
            </w:r>
            <w:r w:rsidRPr="009049CA">
              <w:rPr>
                <w:szCs w:val="18"/>
              </w:rPr>
              <w:t>I haven’t seen any marketing for sugary drinks in the last 30 days</w:t>
            </w:r>
            <w:r w:rsidR="00941E39">
              <w:rPr>
                <w:szCs w:val="18"/>
              </w:rPr>
              <w:t>”</w:t>
            </w:r>
            <w:r w:rsidRPr="009049CA">
              <w:rPr>
                <w:szCs w:val="18"/>
              </w:rPr>
              <w:t xml:space="preserve">, coded to 0, and </w:t>
            </w:r>
            <w:r w:rsidR="00941E39">
              <w:rPr>
                <w:szCs w:val="18"/>
              </w:rPr>
              <w:t>“</w:t>
            </w:r>
            <w:r w:rsidRPr="009049CA">
              <w:rPr>
                <w:szCs w:val="18"/>
              </w:rPr>
              <w:t>Don’t know</w:t>
            </w:r>
            <w:r w:rsidR="00941E39">
              <w:rPr>
                <w:szCs w:val="18"/>
              </w:rPr>
              <w:t>”</w:t>
            </w:r>
            <w:r w:rsidRPr="009049CA">
              <w:rPr>
                <w:szCs w:val="18"/>
              </w:rPr>
              <w:t xml:space="preserve"> and </w:t>
            </w:r>
            <w:r w:rsidR="00941E39">
              <w:rPr>
                <w:szCs w:val="18"/>
              </w:rPr>
              <w:t>“</w:t>
            </w:r>
            <w:r w:rsidRPr="009049CA">
              <w:rPr>
                <w:szCs w:val="18"/>
              </w:rPr>
              <w:t>refuse to answer</w:t>
            </w:r>
            <w:r w:rsidR="00941E39">
              <w:rPr>
                <w:szCs w:val="18"/>
              </w:rPr>
              <w:t>”</w:t>
            </w:r>
            <w:r w:rsidRPr="009049CA">
              <w:rPr>
                <w:szCs w:val="18"/>
              </w:rPr>
              <w:t xml:space="preserve"> set to missing</w:t>
            </w:r>
          </w:p>
        </w:tc>
      </w:tr>
      <w:tr w:rsidR="0072004C" w:rsidRPr="009049CA" w14:paraId="6BBEF6EC" w14:textId="77777777" w:rsidTr="00356611">
        <w:trPr>
          <w:cantSplit/>
          <w:jc w:val="center"/>
        </w:trPr>
        <w:tc>
          <w:tcPr>
            <w:tcW w:w="0" w:type="auto"/>
            <w:shd w:val="clear" w:color="auto" w:fill="auto"/>
            <w:vAlign w:val="center"/>
          </w:tcPr>
          <w:p w14:paraId="3CFE4103" w14:textId="77777777" w:rsidR="0072004C" w:rsidRPr="009049CA" w:rsidRDefault="0072004C" w:rsidP="00356611">
            <w:pPr>
              <w:pStyle w:val="MDPI42tablebody"/>
              <w:spacing w:line="240" w:lineRule="auto"/>
              <w:jc w:val="left"/>
              <w:rPr>
                <w:sz w:val="18"/>
                <w:szCs w:val="18"/>
              </w:rPr>
            </w:pPr>
            <w:r w:rsidRPr="009049CA">
              <w:rPr>
                <w:sz w:val="18"/>
                <w:szCs w:val="18"/>
              </w:rPr>
              <w:t xml:space="preserve">Exposure to traditional SSB promotion </w:t>
            </w:r>
          </w:p>
        </w:tc>
        <w:tc>
          <w:tcPr>
            <w:tcW w:w="0" w:type="auto"/>
            <w:shd w:val="clear" w:color="auto" w:fill="auto"/>
            <w:vAlign w:val="center"/>
          </w:tcPr>
          <w:p w14:paraId="0110E942" w14:textId="2E7A9249" w:rsidR="0072004C" w:rsidRPr="009049CA" w:rsidRDefault="0072004C" w:rsidP="00356611">
            <w:pPr>
              <w:pStyle w:val="MDPI42tablebody"/>
              <w:spacing w:line="240" w:lineRule="auto"/>
              <w:jc w:val="left"/>
              <w:rPr>
                <w:sz w:val="18"/>
                <w:szCs w:val="18"/>
              </w:rPr>
            </w:pPr>
            <w:r w:rsidRPr="009049CA">
              <w:rPr>
                <w:sz w:val="18"/>
                <w:szCs w:val="18"/>
              </w:rPr>
              <w:t>[Same wording as th</w:t>
            </w:r>
            <w:r w:rsidRPr="00EA3A8D">
              <w:rPr>
                <w:sz w:val="18"/>
                <w:szCs w:val="18"/>
              </w:rPr>
              <w:t xml:space="preserve">at for </w:t>
            </w:r>
            <w:r w:rsidR="00941E39" w:rsidRPr="00EA3A8D">
              <w:rPr>
                <w:sz w:val="18"/>
                <w:szCs w:val="18"/>
              </w:rPr>
              <w:t>“</w:t>
            </w:r>
            <w:r w:rsidRPr="00EA3A8D">
              <w:rPr>
                <w:sz w:val="18"/>
                <w:szCs w:val="18"/>
              </w:rPr>
              <w:t>Total self-reported exposure to SSB promotion</w:t>
            </w:r>
            <w:r w:rsidR="00941E39" w:rsidRPr="00EA3A8D">
              <w:rPr>
                <w:sz w:val="18"/>
                <w:szCs w:val="18"/>
              </w:rPr>
              <w:t>”</w:t>
            </w:r>
            <w:r w:rsidRPr="00EA3A8D">
              <w:rPr>
                <w:sz w:val="18"/>
                <w:szCs w:val="18"/>
              </w:rPr>
              <w:t xml:space="preserve"> variable]</w:t>
            </w:r>
          </w:p>
        </w:tc>
        <w:tc>
          <w:tcPr>
            <w:tcW w:w="0" w:type="auto"/>
            <w:shd w:val="clear" w:color="auto" w:fill="auto"/>
            <w:vAlign w:val="center"/>
          </w:tcPr>
          <w:p w14:paraId="00D1424D" w14:textId="77777777" w:rsidR="0072004C" w:rsidRPr="009049CA" w:rsidRDefault="0072004C" w:rsidP="00356611">
            <w:pPr>
              <w:pStyle w:val="MDPI42tablebody"/>
              <w:spacing w:line="240" w:lineRule="auto"/>
              <w:jc w:val="left"/>
              <w:rPr>
                <w:sz w:val="18"/>
                <w:szCs w:val="18"/>
              </w:rPr>
            </w:pPr>
            <w:r w:rsidRPr="009049CA">
              <w:rPr>
                <w:sz w:val="18"/>
                <w:szCs w:val="18"/>
              </w:rPr>
              <w:t xml:space="preserve">TV ads; radio ads; in a text message; magazine or newspaper </w:t>
            </w:r>
          </w:p>
        </w:tc>
        <w:tc>
          <w:tcPr>
            <w:tcW w:w="0" w:type="auto"/>
            <w:shd w:val="clear" w:color="auto" w:fill="auto"/>
            <w:vAlign w:val="center"/>
          </w:tcPr>
          <w:p w14:paraId="76E935B9" w14:textId="1E3EC7B5" w:rsidR="0072004C" w:rsidRPr="00B8137C" w:rsidRDefault="00941E39" w:rsidP="00356611">
            <w:pPr>
              <w:pStyle w:val="MDPI42tablebody"/>
              <w:spacing w:line="240" w:lineRule="auto"/>
              <w:jc w:val="left"/>
              <w:rPr>
                <w:color w:val="auto"/>
                <w:szCs w:val="18"/>
              </w:rPr>
            </w:pPr>
            <w:r>
              <w:rPr>
                <w:color w:val="auto"/>
                <w:szCs w:val="18"/>
              </w:rPr>
              <w:t>“</w:t>
            </w:r>
            <w:r w:rsidR="0072004C" w:rsidRPr="00B8137C">
              <w:rPr>
                <w:color w:val="auto"/>
                <w:szCs w:val="18"/>
              </w:rPr>
              <w:t>Yes</w:t>
            </w:r>
            <w:r>
              <w:rPr>
                <w:color w:val="auto"/>
                <w:szCs w:val="18"/>
              </w:rPr>
              <w:t>”</w:t>
            </w:r>
            <w:r w:rsidR="0072004C" w:rsidRPr="00B8137C">
              <w:rPr>
                <w:color w:val="auto"/>
                <w:szCs w:val="18"/>
              </w:rPr>
              <w:t xml:space="preserve"> if self-reported exposure to advertisements or promotions for SUGARY DRINKS in any of these locations, </w:t>
            </w:r>
            <w:r>
              <w:rPr>
                <w:color w:val="auto"/>
                <w:szCs w:val="18"/>
              </w:rPr>
              <w:t>“</w:t>
            </w:r>
            <w:r w:rsidR="0072004C" w:rsidRPr="00B8137C">
              <w:rPr>
                <w:color w:val="auto"/>
                <w:szCs w:val="18"/>
              </w:rPr>
              <w:t>No</w:t>
            </w:r>
            <w:r>
              <w:rPr>
                <w:color w:val="auto"/>
                <w:szCs w:val="18"/>
              </w:rPr>
              <w:t>”</w:t>
            </w:r>
            <w:r w:rsidR="0072004C" w:rsidRPr="00B8137C">
              <w:rPr>
                <w:color w:val="auto"/>
                <w:szCs w:val="18"/>
              </w:rPr>
              <w:t xml:space="preserve"> if not</w:t>
            </w:r>
          </w:p>
        </w:tc>
      </w:tr>
      <w:tr w:rsidR="0072004C" w:rsidRPr="009049CA" w14:paraId="269432AB" w14:textId="77777777" w:rsidTr="00356611">
        <w:trPr>
          <w:cantSplit/>
          <w:jc w:val="center"/>
        </w:trPr>
        <w:tc>
          <w:tcPr>
            <w:tcW w:w="0" w:type="auto"/>
            <w:shd w:val="clear" w:color="auto" w:fill="auto"/>
            <w:vAlign w:val="center"/>
          </w:tcPr>
          <w:p w14:paraId="18139EDE" w14:textId="77777777" w:rsidR="0072004C" w:rsidRPr="009049CA" w:rsidRDefault="0072004C" w:rsidP="00356611">
            <w:pPr>
              <w:pStyle w:val="MDPI42tablebody"/>
              <w:spacing w:line="240" w:lineRule="auto"/>
              <w:jc w:val="left"/>
              <w:rPr>
                <w:sz w:val="18"/>
                <w:szCs w:val="18"/>
              </w:rPr>
            </w:pPr>
            <w:r w:rsidRPr="009049CA">
              <w:rPr>
                <w:sz w:val="18"/>
                <w:szCs w:val="18"/>
              </w:rPr>
              <w:t xml:space="preserve">Exposure to digital SSB promotion </w:t>
            </w:r>
          </w:p>
        </w:tc>
        <w:tc>
          <w:tcPr>
            <w:tcW w:w="0" w:type="auto"/>
            <w:shd w:val="clear" w:color="auto" w:fill="auto"/>
            <w:vAlign w:val="center"/>
          </w:tcPr>
          <w:p w14:paraId="43C26A1D" w14:textId="3B256BD8" w:rsidR="0072004C" w:rsidRPr="009049CA" w:rsidRDefault="0072004C" w:rsidP="00356611">
            <w:pPr>
              <w:pStyle w:val="MDPI42tablebody"/>
              <w:spacing w:line="240" w:lineRule="auto"/>
              <w:jc w:val="left"/>
              <w:rPr>
                <w:sz w:val="18"/>
                <w:szCs w:val="18"/>
              </w:rPr>
            </w:pPr>
            <w:r w:rsidRPr="009049CA">
              <w:rPr>
                <w:sz w:val="18"/>
                <w:szCs w:val="18"/>
              </w:rPr>
              <w:t xml:space="preserve">[Same wording as that </w:t>
            </w:r>
            <w:r w:rsidRPr="00941E39">
              <w:rPr>
                <w:sz w:val="18"/>
                <w:szCs w:val="18"/>
              </w:rPr>
              <w:t xml:space="preserve">for </w:t>
            </w:r>
            <w:r w:rsidR="00941E39" w:rsidRPr="00941E39">
              <w:rPr>
                <w:sz w:val="18"/>
                <w:szCs w:val="18"/>
              </w:rPr>
              <w:t>“</w:t>
            </w:r>
            <w:r w:rsidRPr="00346205">
              <w:rPr>
                <w:sz w:val="18"/>
                <w:szCs w:val="18"/>
              </w:rPr>
              <w:t>Total self-reported exposure to SSB promotion</w:t>
            </w:r>
            <w:r w:rsidR="00941E39" w:rsidRPr="00346205">
              <w:rPr>
                <w:sz w:val="18"/>
                <w:szCs w:val="18"/>
              </w:rPr>
              <w:t>”</w:t>
            </w:r>
            <w:r w:rsidRPr="009049CA">
              <w:rPr>
                <w:sz w:val="18"/>
                <w:szCs w:val="18"/>
              </w:rPr>
              <w:t xml:space="preserve"> variable]</w:t>
            </w:r>
          </w:p>
        </w:tc>
        <w:tc>
          <w:tcPr>
            <w:tcW w:w="0" w:type="auto"/>
            <w:shd w:val="clear" w:color="auto" w:fill="auto"/>
            <w:vAlign w:val="center"/>
          </w:tcPr>
          <w:p w14:paraId="146DAE9C" w14:textId="77777777" w:rsidR="0072004C" w:rsidRPr="009049CA" w:rsidRDefault="0072004C" w:rsidP="00356611">
            <w:pPr>
              <w:pStyle w:val="MDPI42tablebody"/>
              <w:spacing w:line="240" w:lineRule="auto"/>
              <w:jc w:val="left"/>
              <w:rPr>
                <w:sz w:val="18"/>
                <w:szCs w:val="18"/>
              </w:rPr>
            </w:pPr>
            <w:r w:rsidRPr="009049CA">
              <w:rPr>
                <w:sz w:val="18"/>
                <w:szCs w:val="18"/>
              </w:rPr>
              <w:t>Online/internet ads; mobile app/video game; social media (e.g.,</w:t>
            </w:r>
            <w:r>
              <w:rPr>
                <w:sz w:val="18"/>
                <w:szCs w:val="18"/>
              </w:rPr>
              <w:t xml:space="preserve"> Twitter, Facebook, Snapchat)</w:t>
            </w:r>
          </w:p>
        </w:tc>
        <w:tc>
          <w:tcPr>
            <w:tcW w:w="0" w:type="auto"/>
            <w:shd w:val="clear" w:color="auto" w:fill="auto"/>
            <w:vAlign w:val="center"/>
          </w:tcPr>
          <w:p w14:paraId="4ED04281" w14:textId="118A6935" w:rsidR="0072004C" w:rsidRPr="00B8137C" w:rsidRDefault="00941E39" w:rsidP="00356611">
            <w:pPr>
              <w:pStyle w:val="MDPI42tablebody"/>
              <w:spacing w:line="240" w:lineRule="auto"/>
              <w:jc w:val="left"/>
              <w:rPr>
                <w:color w:val="auto"/>
                <w:szCs w:val="18"/>
              </w:rPr>
            </w:pPr>
            <w:r>
              <w:rPr>
                <w:color w:val="auto"/>
                <w:szCs w:val="18"/>
              </w:rPr>
              <w:t>“</w:t>
            </w:r>
            <w:r w:rsidR="0072004C" w:rsidRPr="00B8137C">
              <w:rPr>
                <w:color w:val="auto"/>
                <w:szCs w:val="18"/>
              </w:rPr>
              <w:t>Yes</w:t>
            </w:r>
            <w:r>
              <w:rPr>
                <w:color w:val="auto"/>
                <w:szCs w:val="18"/>
              </w:rPr>
              <w:t>”</w:t>
            </w:r>
            <w:r w:rsidR="0072004C" w:rsidRPr="00B8137C">
              <w:rPr>
                <w:color w:val="auto"/>
                <w:szCs w:val="18"/>
              </w:rPr>
              <w:t xml:space="preserve"> if self-reported exposure to advertisements or promotions for SUGARY DRINKS in any of these locations, </w:t>
            </w:r>
            <w:r>
              <w:rPr>
                <w:color w:val="auto"/>
                <w:szCs w:val="18"/>
              </w:rPr>
              <w:t>“</w:t>
            </w:r>
            <w:r w:rsidR="0072004C" w:rsidRPr="00B8137C">
              <w:rPr>
                <w:color w:val="auto"/>
                <w:szCs w:val="18"/>
              </w:rPr>
              <w:t>No</w:t>
            </w:r>
            <w:r>
              <w:rPr>
                <w:color w:val="auto"/>
                <w:szCs w:val="18"/>
              </w:rPr>
              <w:t>”</w:t>
            </w:r>
            <w:r w:rsidR="0072004C" w:rsidRPr="00B8137C">
              <w:rPr>
                <w:color w:val="auto"/>
                <w:szCs w:val="18"/>
              </w:rPr>
              <w:t xml:space="preserve"> if not</w:t>
            </w:r>
          </w:p>
        </w:tc>
      </w:tr>
      <w:tr w:rsidR="0072004C" w:rsidRPr="009049CA" w14:paraId="5DE29633" w14:textId="77777777" w:rsidTr="00356611">
        <w:trPr>
          <w:cantSplit/>
          <w:jc w:val="center"/>
        </w:trPr>
        <w:tc>
          <w:tcPr>
            <w:tcW w:w="0" w:type="auto"/>
            <w:shd w:val="clear" w:color="auto" w:fill="auto"/>
            <w:vAlign w:val="center"/>
          </w:tcPr>
          <w:p w14:paraId="1E68A1DD" w14:textId="77777777" w:rsidR="0072004C" w:rsidRPr="009049CA" w:rsidRDefault="0072004C" w:rsidP="00356611">
            <w:pPr>
              <w:pStyle w:val="MDPI42tablebody"/>
              <w:spacing w:line="240" w:lineRule="auto"/>
              <w:jc w:val="left"/>
              <w:rPr>
                <w:sz w:val="18"/>
                <w:szCs w:val="18"/>
              </w:rPr>
            </w:pPr>
            <w:r w:rsidRPr="009049CA">
              <w:rPr>
                <w:sz w:val="18"/>
                <w:szCs w:val="18"/>
              </w:rPr>
              <w:t xml:space="preserve">Exposure to recreational environment SSB promotion </w:t>
            </w:r>
          </w:p>
        </w:tc>
        <w:tc>
          <w:tcPr>
            <w:tcW w:w="0" w:type="auto"/>
            <w:shd w:val="clear" w:color="auto" w:fill="auto"/>
            <w:vAlign w:val="center"/>
          </w:tcPr>
          <w:p w14:paraId="2F1669A9" w14:textId="48DB8636" w:rsidR="0072004C" w:rsidRPr="00941E39" w:rsidRDefault="0072004C" w:rsidP="00356611">
            <w:pPr>
              <w:pStyle w:val="MDPI42tablebody"/>
              <w:spacing w:line="240" w:lineRule="auto"/>
              <w:jc w:val="left"/>
              <w:rPr>
                <w:sz w:val="18"/>
                <w:szCs w:val="18"/>
              </w:rPr>
            </w:pPr>
            <w:r w:rsidRPr="00941E39">
              <w:rPr>
                <w:sz w:val="18"/>
                <w:szCs w:val="18"/>
              </w:rPr>
              <w:t xml:space="preserve">[Same wording as that for </w:t>
            </w:r>
            <w:r w:rsidR="00941E39" w:rsidRPr="00941E39">
              <w:rPr>
                <w:sz w:val="18"/>
                <w:szCs w:val="18"/>
              </w:rPr>
              <w:t>“</w:t>
            </w:r>
            <w:r w:rsidRPr="00346205">
              <w:rPr>
                <w:sz w:val="18"/>
                <w:szCs w:val="18"/>
              </w:rPr>
              <w:t>Total self-reported exposure to SSB promotion</w:t>
            </w:r>
            <w:r w:rsidR="00941E39" w:rsidRPr="00346205">
              <w:rPr>
                <w:sz w:val="18"/>
                <w:szCs w:val="18"/>
              </w:rPr>
              <w:t>”</w:t>
            </w:r>
            <w:r w:rsidRPr="00941E39">
              <w:rPr>
                <w:sz w:val="18"/>
                <w:szCs w:val="18"/>
              </w:rPr>
              <w:t xml:space="preserve"> variable]</w:t>
            </w:r>
          </w:p>
        </w:tc>
        <w:tc>
          <w:tcPr>
            <w:tcW w:w="0" w:type="auto"/>
            <w:shd w:val="clear" w:color="auto" w:fill="auto"/>
            <w:vAlign w:val="center"/>
          </w:tcPr>
          <w:p w14:paraId="09E05216" w14:textId="05F2DECA" w:rsidR="0072004C" w:rsidRPr="009049CA" w:rsidRDefault="0072004C" w:rsidP="00356611">
            <w:pPr>
              <w:pStyle w:val="MDPI42tablebody"/>
              <w:spacing w:line="240" w:lineRule="auto"/>
              <w:jc w:val="left"/>
              <w:rPr>
                <w:sz w:val="18"/>
                <w:szCs w:val="18"/>
              </w:rPr>
            </w:pPr>
            <w:r w:rsidRPr="009049CA">
              <w:rPr>
                <w:sz w:val="18"/>
                <w:szCs w:val="18"/>
              </w:rPr>
              <w:t>Films or cinema; giveaways, samples</w:t>
            </w:r>
            <w:r w:rsidR="00941E39">
              <w:rPr>
                <w:sz w:val="18"/>
                <w:szCs w:val="18"/>
              </w:rPr>
              <w:t>,</w:t>
            </w:r>
            <w:r w:rsidRPr="009049CA">
              <w:rPr>
                <w:sz w:val="18"/>
                <w:szCs w:val="18"/>
              </w:rPr>
              <w:t xml:space="preserve"> or special offers; at a recreation/community cent</w:t>
            </w:r>
            <w:r w:rsidR="00941E39">
              <w:rPr>
                <w:sz w:val="18"/>
                <w:szCs w:val="18"/>
              </w:rPr>
              <w:t>er</w:t>
            </w:r>
            <w:r w:rsidRPr="009049CA">
              <w:rPr>
                <w:sz w:val="18"/>
                <w:szCs w:val="18"/>
              </w:rPr>
              <w:t>; at a sports event or concert</w:t>
            </w:r>
          </w:p>
        </w:tc>
        <w:tc>
          <w:tcPr>
            <w:tcW w:w="0" w:type="auto"/>
            <w:shd w:val="clear" w:color="auto" w:fill="auto"/>
            <w:vAlign w:val="center"/>
          </w:tcPr>
          <w:p w14:paraId="7DB9D9B9" w14:textId="0E21A422" w:rsidR="0072004C" w:rsidRPr="00B8137C" w:rsidRDefault="00941E39" w:rsidP="00356611">
            <w:pPr>
              <w:pStyle w:val="MDPI42tablebody"/>
              <w:spacing w:line="240" w:lineRule="auto"/>
              <w:jc w:val="left"/>
              <w:rPr>
                <w:color w:val="auto"/>
                <w:szCs w:val="18"/>
              </w:rPr>
            </w:pPr>
            <w:r>
              <w:rPr>
                <w:color w:val="auto"/>
                <w:szCs w:val="18"/>
              </w:rPr>
              <w:t>“</w:t>
            </w:r>
            <w:r w:rsidR="0072004C" w:rsidRPr="00B8137C">
              <w:rPr>
                <w:color w:val="auto"/>
                <w:szCs w:val="18"/>
              </w:rPr>
              <w:t>Yes</w:t>
            </w:r>
            <w:r>
              <w:rPr>
                <w:color w:val="auto"/>
                <w:szCs w:val="18"/>
              </w:rPr>
              <w:t>”</w:t>
            </w:r>
            <w:r w:rsidR="0072004C" w:rsidRPr="00B8137C">
              <w:rPr>
                <w:color w:val="auto"/>
                <w:szCs w:val="18"/>
              </w:rPr>
              <w:t xml:space="preserve"> if self-reported exposure to advertisements or promotions for SUGARY DRINKS in any of these locations, </w:t>
            </w:r>
            <w:r>
              <w:rPr>
                <w:color w:val="auto"/>
                <w:szCs w:val="18"/>
              </w:rPr>
              <w:t>“</w:t>
            </w:r>
            <w:r w:rsidR="0072004C" w:rsidRPr="00B8137C">
              <w:rPr>
                <w:color w:val="auto"/>
                <w:szCs w:val="18"/>
              </w:rPr>
              <w:t>No</w:t>
            </w:r>
            <w:r>
              <w:rPr>
                <w:color w:val="auto"/>
                <w:szCs w:val="18"/>
              </w:rPr>
              <w:t>”</w:t>
            </w:r>
            <w:r w:rsidR="0072004C" w:rsidRPr="00B8137C">
              <w:rPr>
                <w:color w:val="auto"/>
                <w:szCs w:val="18"/>
              </w:rPr>
              <w:t xml:space="preserve"> if not</w:t>
            </w:r>
          </w:p>
        </w:tc>
      </w:tr>
      <w:tr w:rsidR="0072004C" w:rsidRPr="009049CA" w14:paraId="0D38EDDB" w14:textId="77777777" w:rsidTr="00356611">
        <w:trPr>
          <w:cantSplit/>
          <w:jc w:val="center"/>
        </w:trPr>
        <w:tc>
          <w:tcPr>
            <w:tcW w:w="0" w:type="auto"/>
            <w:shd w:val="clear" w:color="auto" w:fill="auto"/>
            <w:vAlign w:val="center"/>
          </w:tcPr>
          <w:p w14:paraId="58A91671" w14:textId="77777777" w:rsidR="0072004C" w:rsidRPr="009049CA" w:rsidRDefault="0072004C" w:rsidP="00356611">
            <w:pPr>
              <w:pStyle w:val="MDPI42tablebody"/>
              <w:spacing w:line="240" w:lineRule="auto"/>
              <w:jc w:val="left"/>
              <w:rPr>
                <w:sz w:val="18"/>
                <w:szCs w:val="18"/>
              </w:rPr>
            </w:pPr>
            <w:r w:rsidRPr="009049CA">
              <w:rPr>
                <w:sz w:val="18"/>
                <w:szCs w:val="18"/>
              </w:rPr>
              <w:t xml:space="preserve">Exposure to functional environment SSB promotion </w:t>
            </w:r>
          </w:p>
        </w:tc>
        <w:tc>
          <w:tcPr>
            <w:tcW w:w="0" w:type="auto"/>
            <w:shd w:val="clear" w:color="auto" w:fill="auto"/>
            <w:vAlign w:val="center"/>
          </w:tcPr>
          <w:p w14:paraId="69CEC6D0" w14:textId="6054B1E7" w:rsidR="0072004C" w:rsidRPr="00941E39" w:rsidRDefault="0072004C" w:rsidP="00356611">
            <w:pPr>
              <w:pStyle w:val="MDPI42tablebody"/>
              <w:spacing w:line="240" w:lineRule="auto"/>
              <w:jc w:val="left"/>
              <w:rPr>
                <w:sz w:val="18"/>
                <w:szCs w:val="18"/>
              </w:rPr>
            </w:pPr>
            <w:r w:rsidRPr="00941E39">
              <w:rPr>
                <w:sz w:val="18"/>
                <w:szCs w:val="18"/>
              </w:rPr>
              <w:t xml:space="preserve">[Same wording as that for </w:t>
            </w:r>
            <w:r w:rsidR="00941E39" w:rsidRPr="00941E39">
              <w:rPr>
                <w:sz w:val="18"/>
                <w:szCs w:val="18"/>
              </w:rPr>
              <w:t>“</w:t>
            </w:r>
            <w:r w:rsidRPr="00346205">
              <w:rPr>
                <w:sz w:val="18"/>
                <w:szCs w:val="18"/>
              </w:rPr>
              <w:t>Total self-reported exposure to SSB promotion</w:t>
            </w:r>
            <w:r w:rsidR="00941E39" w:rsidRPr="00346205">
              <w:rPr>
                <w:sz w:val="18"/>
                <w:szCs w:val="18"/>
              </w:rPr>
              <w:t>”</w:t>
            </w:r>
            <w:r w:rsidRPr="00941E39">
              <w:rPr>
                <w:sz w:val="18"/>
                <w:szCs w:val="18"/>
              </w:rPr>
              <w:t xml:space="preserve"> variable]</w:t>
            </w:r>
          </w:p>
        </w:tc>
        <w:tc>
          <w:tcPr>
            <w:tcW w:w="0" w:type="auto"/>
            <w:shd w:val="clear" w:color="auto" w:fill="auto"/>
            <w:vAlign w:val="center"/>
          </w:tcPr>
          <w:p w14:paraId="3CAE0AA1" w14:textId="77777777" w:rsidR="0072004C" w:rsidRPr="009049CA" w:rsidRDefault="0072004C" w:rsidP="00356611">
            <w:pPr>
              <w:pStyle w:val="MDPI42tablebody"/>
              <w:spacing w:line="240" w:lineRule="auto"/>
              <w:jc w:val="left"/>
              <w:rPr>
                <w:sz w:val="18"/>
                <w:szCs w:val="18"/>
              </w:rPr>
            </w:pPr>
            <w:r w:rsidRPr="009049CA">
              <w:rPr>
                <w:sz w:val="18"/>
                <w:szCs w:val="18"/>
              </w:rPr>
              <w:t>Billboard or outdoor sign; at a school/college/university; signs or displays in supermarkets, convenience shops or restaurants</w:t>
            </w:r>
          </w:p>
        </w:tc>
        <w:tc>
          <w:tcPr>
            <w:tcW w:w="0" w:type="auto"/>
            <w:shd w:val="clear" w:color="auto" w:fill="auto"/>
            <w:vAlign w:val="center"/>
          </w:tcPr>
          <w:p w14:paraId="7BDA9FFF" w14:textId="118D7F97" w:rsidR="0072004C" w:rsidRPr="00B8137C" w:rsidRDefault="00941E39" w:rsidP="00356611">
            <w:pPr>
              <w:pStyle w:val="MDPI42tablebody"/>
              <w:spacing w:line="240" w:lineRule="auto"/>
              <w:jc w:val="left"/>
              <w:rPr>
                <w:color w:val="auto"/>
                <w:szCs w:val="18"/>
              </w:rPr>
            </w:pPr>
            <w:r>
              <w:rPr>
                <w:color w:val="auto"/>
                <w:szCs w:val="18"/>
              </w:rPr>
              <w:t>“</w:t>
            </w:r>
            <w:r w:rsidR="0072004C" w:rsidRPr="00B8137C">
              <w:rPr>
                <w:color w:val="auto"/>
                <w:szCs w:val="18"/>
              </w:rPr>
              <w:t>Yes</w:t>
            </w:r>
            <w:r>
              <w:rPr>
                <w:color w:val="auto"/>
                <w:szCs w:val="18"/>
              </w:rPr>
              <w:t>”</w:t>
            </w:r>
            <w:r w:rsidR="0072004C" w:rsidRPr="00B8137C">
              <w:rPr>
                <w:color w:val="auto"/>
                <w:szCs w:val="18"/>
              </w:rPr>
              <w:t xml:space="preserve"> if self-reported exposure to advertisements or promotions for SUGARY DRINKS in any of these locations, </w:t>
            </w:r>
            <w:r>
              <w:rPr>
                <w:color w:val="auto"/>
                <w:szCs w:val="18"/>
              </w:rPr>
              <w:t>“</w:t>
            </w:r>
            <w:r w:rsidR="0072004C" w:rsidRPr="00B8137C">
              <w:rPr>
                <w:color w:val="auto"/>
                <w:szCs w:val="18"/>
              </w:rPr>
              <w:t>No</w:t>
            </w:r>
            <w:r>
              <w:rPr>
                <w:color w:val="auto"/>
                <w:szCs w:val="18"/>
              </w:rPr>
              <w:t>”</w:t>
            </w:r>
            <w:r w:rsidR="0072004C" w:rsidRPr="00B8137C">
              <w:rPr>
                <w:color w:val="auto"/>
                <w:szCs w:val="18"/>
              </w:rPr>
              <w:t xml:space="preserve"> if not</w:t>
            </w:r>
          </w:p>
        </w:tc>
      </w:tr>
      <w:tr w:rsidR="0072004C" w:rsidRPr="009049CA" w14:paraId="20710B55" w14:textId="77777777" w:rsidTr="00356611">
        <w:trPr>
          <w:cantSplit/>
          <w:jc w:val="center"/>
        </w:trPr>
        <w:tc>
          <w:tcPr>
            <w:tcW w:w="0" w:type="auto"/>
            <w:shd w:val="clear" w:color="auto" w:fill="auto"/>
            <w:vAlign w:val="center"/>
          </w:tcPr>
          <w:p w14:paraId="5C09938B" w14:textId="77777777" w:rsidR="0072004C" w:rsidRPr="009049CA" w:rsidRDefault="0072004C" w:rsidP="00356611">
            <w:pPr>
              <w:pStyle w:val="MDPI42tablebody"/>
              <w:spacing w:line="240" w:lineRule="auto"/>
              <w:jc w:val="left"/>
              <w:rPr>
                <w:sz w:val="18"/>
                <w:szCs w:val="18"/>
              </w:rPr>
            </w:pPr>
            <w:r w:rsidRPr="009049CA">
              <w:rPr>
                <w:sz w:val="18"/>
                <w:szCs w:val="18"/>
              </w:rPr>
              <w:t>Country</w:t>
            </w:r>
          </w:p>
        </w:tc>
        <w:tc>
          <w:tcPr>
            <w:tcW w:w="0" w:type="auto"/>
            <w:shd w:val="clear" w:color="auto" w:fill="auto"/>
            <w:vAlign w:val="center"/>
          </w:tcPr>
          <w:p w14:paraId="766E230B" w14:textId="77777777" w:rsidR="0072004C" w:rsidRPr="009049CA" w:rsidRDefault="0072004C" w:rsidP="00356611">
            <w:pPr>
              <w:pStyle w:val="MDPI42tablebody"/>
              <w:spacing w:line="240" w:lineRule="auto"/>
              <w:jc w:val="left"/>
              <w:rPr>
                <w:sz w:val="18"/>
                <w:szCs w:val="18"/>
              </w:rPr>
            </w:pPr>
            <w:r w:rsidRPr="009049CA">
              <w:rPr>
                <w:sz w:val="18"/>
                <w:szCs w:val="18"/>
              </w:rPr>
              <w:t>Au</w:t>
            </w:r>
            <w:r>
              <w:rPr>
                <w:sz w:val="18"/>
                <w:szCs w:val="18"/>
              </w:rPr>
              <w:t>tomatically assigned</w:t>
            </w:r>
          </w:p>
        </w:tc>
        <w:tc>
          <w:tcPr>
            <w:tcW w:w="0" w:type="auto"/>
            <w:shd w:val="clear" w:color="auto" w:fill="auto"/>
            <w:vAlign w:val="center"/>
          </w:tcPr>
          <w:p w14:paraId="7A435E3F" w14:textId="77777777" w:rsidR="0072004C" w:rsidRPr="009049CA" w:rsidRDefault="0072004C" w:rsidP="00356611">
            <w:pPr>
              <w:pStyle w:val="MDPI42tablebody"/>
              <w:spacing w:line="240" w:lineRule="auto"/>
              <w:jc w:val="left"/>
              <w:rPr>
                <w:sz w:val="18"/>
                <w:szCs w:val="18"/>
              </w:rPr>
            </w:pPr>
            <w:r w:rsidRPr="009049CA">
              <w:rPr>
                <w:sz w:val="18"/>
                <w:szCs w:val="18"/>
              </w:rPr>
              <w:t>UK; Canada; Australia; USA; Mexico</w:t>
            </w:r>
          </w:p>
        </w:tc>
        <w:tc>
          <w:tcPr>
            <w:tcW w:w="0" w:type="auto"/>
            <w:shd w:val="clear" w:color="auto" w:fill="auto"/>
            <w:vAlign w:val="center"/>
          </w:tcPr>
          <w:p w14:paraId="05837D78" w14:textId="77777777" w:rsidR="0072004C" w:rsidRPr="009049CA" w:rsidRDefault="0072004C" w:rsidP="00356611">
            <w:pPr>
              <w:pStyle w:val="MDPI42tablebody"/>
              <w:spacing w:line="240" w:lineRule="auto"/>
              <w:jc w:val="left"/>
              <w:rPr>
                <w:szCs w:val="18"/>
              </w:rPr>
            </w:pPr>
            <w:r w:rsidRPr="009049CA">
              <w:rPr>
                <w:szCs w:val="18"/>
              </w:rPr>
              <w:t>UK; Canada; Australia; USA; Mexico</w:t>
            </w:r>
          </w:p>
        </w:tc>
      </w:tr>
      <w:tr w:rsidR="0072004C" w:rsidRPr="009049CA" w14:paraId="4E100793" w14:textId="77777777" w:rsidTr="00356611">
        <w:trPr>
          <w:cantSplit/>
          <w:jc w:val="center"/>
        </w:trPr>
        <w:tc>
          <w:tcPr>
            <w:tcW w:w="0" w:type="auto"/>
            <w:shd w:val="clear" w:color="auto" w:fill="auto"/>
            <w:vAlign w:val="center"/>
          </w:tcPr>
          <w:p w14:paraId="2BCC9233" w14:textId="77777777" w:rsidR="0072004C" w:rsidRPr="009049CA" w:rsidRDefault="0072004C" w:rsidP="00356611">
            <w:pPr>
              <w:pStyle w:val="MDPI42tablebody"/>
              <w:spacing w:line="240" w:lineRule="auto"/>
              <w:jc w:val="left"/>
              <w:rPr>
                <w:sz w:val="18"/>
                <w:szCs w:val="18"/>
              </w:rPr>
            </w:pPr>
            <w:r w:rsidRPr="009049CA">
              <w:rPr>
                <w:sz w:val="18"/>
                <w:szCs w:val="18"/>
              </w:rPr>
              <w:lastRenderedPageBreak/>
              <w:t>Sex</w:t>
            </w:r>
          </w:p>
        </w:tc>
        <w:tc>
          <w:tcPr>
            <w:tcW w:w="0" w:type="auto"/>
            <w:shd w:val="clear" w:color="auto" w:fill="auto"/>
            <w:vAlign w:val="center"/>
          </w:tcPr>
          <w:p w14:paraId="62116B98" w14:textId="77777777" w:rsidR="0072004C" w:rsidRPr="009049CA" w:rsidRDefault="0072004C" w:rsidP="00356611">
            <w:pPr>
              <w:pStyle w:val="MDPI42tablebody"/>
              <w:spacing w:line="240" w:lineRule="auto"/>
              <w:jc w:val="left"/>
              <w:rPr>
                <w:sz w:val="18"/>
                <w:szCs w:val="18"/>
              </w:rPr>
            </w:pPr>
            <w:r w:rsidRPr="009049CA">
              <w:rPr>
                <w:sz w:val="18"/>
                <w:szCs w:val="18"/>
              </w:rPr>
              <w:t>What sex were you assigned at birth, meaning on your original birth certificate?</w:t>
            </w:r>
          </w:p>
        </w:tc>
        <w:tc>
          <w:tcPr>
            <w:tcW w:w="0" w:type="auto"/>
            <w:shd w:val="clear" w:color="auto" w:fill="auto"/>
            <w:vAlign w:val="center"/>
          </w:tcPr>
          <w:p w14:paraId="5159817B" w14:textId="77777777" w:rsidR="0072004C" w:rsidRPr="009049CA" w:rsidRDefault="0072004C" w:rsidP="00356611">
            <w:pPr>
              <w:pStyle w:val="MDPI42tablebody"/>
              <w:spacing w:line="240" w:lineRule="auto"/>
              <w:jc w:val="left"/>
              <w:rPr>
                <w:sz w:val="18"/>
                <w:szCs w:val="18"/>
              </w:rPr>
            </w:pPr>
            <w:r w:rsidRPr="009049CA">
              <w:rPr>
                <w:sz w:val="18"/>
                <w:szCs w:val="18"/>
              </w:rPr>
              <w:t>Male; female</w:t>
            </w:r>
          </w:p>
        </w:tc>
        <w:tc>
          <w:tcPr>
            <w:tcW w:w="0" w:type="auto"/>
            <w:shd w:val="clear" w:color="auto" w:fill="auto"/>
            <w:vAlign w:val="center"/>
          </w:tcPr>
          <w:p w14:paraId="71C92EA9" w14:textId="77777777" w:rsidR="0072004C" w:rsidRPr="009049CA" w:rsidRDefault="0072004C" w:rsidP="00356611">
            <w:pPr>
              <w:pStyle w:val="MDPI42tablebody"/>
              <w:spacing w:line="240" w:lineRule="auto"/>
              <w:jc w:val="left"/>
              <w:rPr>
                <w:szCs w:val="18"/>
              </w:rPr>
            </w:pPr>
            <w:r>
              <w:rPr>
                <w:szCs w:val="18"/>
              </w:rPr>
              <w:t>Male; female</w:t>
            </w:r>
          </w:p>
        </w:tc>
      </w:tr>
      <w:tr w:rsidR="0072004C" w:rsidRPr="009049CA" w14:paraId="2579050C" w14:textId="77777777" w:rsidTr="00356611">
        <w:trPr>
          <w:cantSplit/>
          <w:jc w:val="center"/>
        </w:trPr>
        <w:tc>
          <w:tcPr>
            <w:tcW w:w="0" w:type="auto"/>
            <w:shd w:val="clear" w:color="auto" w:fill="auto"/>
            <w:vAlign w:val="center"/>
          </w:tcPr>
          <w:p w14:paraId="57FF67BF" w14:textId="77777777" w:rsidR="0072004C" w:rsidRPr="009049CA" w:rsidRDefault="0072004C" w:rsidP="00356611">
            <w:pPr>
              <w:pStyle w:val="MDPI42tablebody"/>
              <w:spacing w:line="240" w:lineRule="auto"/>
              <w:jc w:val="left"/>
              <w:rPr>
                <w:sz w:val="18"/>
                <w:szCs w:val="18"/>
              </w:rPr>
            </w:pPr>
            <w:r w:rsidRPr="009049CA">
              <w:rPr>
                <w:sz w:val="18"/>
                <w:szCs w:val="18"/>
              </w:rPr>
              <w:t>Age</w:t>
            </w:r>
          </w:p>
        </w:tc>
        <w:tc>
          <w:tcPr>
            <w:tcW w:w="0" w:type="auto"/>
            <w:shd w:val="clear" w:color="auto" w:fill="auto"/>
            <w:vAlign w:val="center"/>
          </w:tcPr>
          <w:p w14:paraId="7C3BDFF4" w14:textId="77777777" w:rsidR="0072004C" w:rsidRPr="009049CA" w:rsidRDefault="0072004C" w:rsidP="00356611">
            <w:pPr>
              <w:pStyle w:val="MDPI42tablebody"/>
              <w:spacing w:line="240" w:lineRule="auto"/>
              <w:jc w:val="left"/>
              <w:rPr>
                <w:sz w:val="18"/>
                <w:szCs w:val="18"/>
              </w:rPr>
            </w:pPr>
            <w:r w:rsidRPr="009049CA">
              <w:rPr>
                <w:sz w:val="18"/>
                <w:szCs w:val="18"/>
              </w:rPr>
              <w:t>How old are you?</w:t>
            </w:r>
          </w:p>
        </w:tc>
        <w:tc>
          <w:tcPr>
            <w:tcW w:w="0" w:type="auto"/>
            <w:shd w:val="clear" w:color="auto" w:fill="auto"/>
            <w:vAlign w:val="center"/>
          </w:tcPr>
          <w:p w14:paraId="200B7E1E" w14:textId="77777777" w:rsidR="0072004C" w:rsidRPr="009049CA" w:rsidRDefault="0072004C" w:rsidP="00356611">
            <w:pPr>
              <w:pStyle w:val="MDPI42tablebody"/>
              <w:spacing w:line="240" w:lineRule="auto"/>
              <w:jc w:val="left"/>
              <w:rPr>
                <w:sz w:val="18"/>
                <w:szCs w:val="18"/>
              </w:rPr>
            </w:pPr>
            <w:r w:rsidRPr="009049CA">
              <w:rPr>
                <w:sz w:val="18"/>
                <w:szCs w:val="18"/>
              </w:rPr>
              <w:t>In years</w:t>
            </w:r>
          </w:p>
        </w:tc>
        <w:tc>
          <w:tcPr>
            <w:tcW w:w="0" w:type="auto"/>
            <w:shd w:val="clear" w:color="auto" w:fill="auto"/>
            <w:vAlign w:val="center"/>
          </w:tcPr>
          <w:p w14:paraId="73F1FCB8" w14:textId="77777777" w:rsidR="0072004C" w:rsidRPr="009049CA" w:rsidRDefault="0072004C" w:rsidP="00356611">
            <w:pPr>
              <w:pStyle w:val="MDPI42tablebody"/>
              <w:spacing w:line="240" w:lineRule="auto"/>
              <w:jc w:val="left"/>
              <w:rPr>
                <w:szCs w:val="18"/>
              </w:rPr>
            </w:pPr>
            <w:r w:rsidRPr="009049CA">
              <w:rPr>
                <w:szCs w:val="18"/>
              </w:rPr>
              <w:t>Continuous</w:t>
            </w:r>
          </w:p>
        </w:tc>
      </w:tr>
      <w:tr w:rsidR="0072004C" w:rsidRPr="009049CA" w14:paraId="04D5D295" w14:textId="77777777" w:rsidTr="00356611">
        <w:trPr>
          <w:cantSplit/>
          <w:jc w:val="center"/>
        </w:trPr>
        <w:tc>
          <w:tcPr>
            <w:tcW w:w="0" w:type="auto"/>
            <w:shd w:val="clear" w:color="auto" w:fill="auto"/>
            <w:vAlign w:val="center"/>
          </w:tcPr>
          <w:p w14:paraId="2EC36DE9" w14:textId="77777777" w:rsidR="0072004C" w:rsidRPr="009049CA" w:rsidRDefault="0072004C" w:rsidP="00356611">
            <w:pPr>
              <w:pStyle w:val="MDPI42tablebody"/>
              <w:spacing w:line="240" w:lineRule="auto"/>
              <w:jc w:val="left"/>
              <w:rPr>
                <w:sz w:val="18"/>
                <w:szCs w:val="18"/>
              </w:rPr>
            </w:pPr>
            <w:r w:rsidRPr="009049CA">
              <w:rPr>
                <w:sz w:val="18"/>
                <w:szCs w:val="18"/>
              </w:rPr>
              <w:t>Ethnicity</w:t>
            </w:r>
          </w:p>
        </w:tc>
        <w:tc>
          <w:tcPr>
            <w:tcW w:w="0" w:type="auto"/>
            <w:shd w:val="clear" w:color="auto" w:fill="auto"/>
            <w:vAlign w:val="center"/>
          </w:tcPr>
          <w:p w14:paraId="1A5C413D" w14:textId="77777777" w:rsidR="0072004C" w:rsidRPr="009049CA" w:rsidRDefault="0072004C" w:rsidP="00356611">
            <w:pPr>
              <w:pStyle w:val="MDPI42tablebody"/>
              <w:spacing w:line="240" w:lineRule="auto"/>
              <w:jc w:val="left"/>
              <w:rPr>
                <w:sz w:val="18"/>
                <w:szCs w:val="18"/>
              </w:rPr>
            </w:pPr>
            <w:r w:rsidRPr="009049CA">
              <w:rPr>
                <w:sz w:val="18"/>
                <w:szCs w:val="18"/>
              </w:rPr>
              <w:t>Which of the following best describes your ethnic or racial background?</w:t>
            </w:r>
          </w:p>
        </w:tc>
        <w:tc>
          <w:tcPr>
            <w:tcW w:w="0" w:type="auto"/>
            <w:shd w:val="clear" w:color="auto" w:fill="auto"/>
            <w:vAlign w:val="center"/>
          </w:tcPr>
          <w:p w14:paraId="603F8079" w14:textId="77777777" w:rsidR="0072004C" w:rsidRPr="009049CA" w:rsidRDefault="0072004C" w:rsidP="00356611">
            <w:pPr>
              <w:pStyle w:val="MDPI42tablebody"/>
              <w:spacing w:line="240" w:lineRule="auto"/>
              <w:jc w:val="left"/>
              <w:rPr>
                <w:sz w:val="18"/>
                <w:szCs w:val="18"/>
              </w:rPr>
            </w:pPr>
            <w:r w:rsidRPr="009049CA">
              <w:rPr>
                <w:sz w:val="18"/>
                <w:szCs w:val="18"/>
              </w:rPr>
              <w:t>[Ethnicity options particular to each country]</w:t>
            </w:r>
          </w:p>
        </w:tc>
        <w:tc>
          <w:tcPr>
            <w:tcW w:w="0" w:type="auto"/>
            <w:shd w:val="clear" w:color="auto" w:fill="auto"/>
            <w:vAlign w:val="center"/>
          </w:tcPr>
          <w:p w14:paraId="7F308E73" w14:textId="77777777" w:rsidR="0072004C" w:rsidRPr="009049CA" w:rsidRDefault="0072004C" w:rsidP="00356611">
            <w:pPr>
              <w:pStyle w:val="MDPI42tablebody"/>
              <w:spacing w:line="240" w:lineRule="auto"/>
              <w:jc w:val="left"/>
              <w:rPr>
                <w:szCs w:val="18"/>
              </w:rPr>
            </w:pPr>
            <w:r w:rsidRPr="009049CA">
              <w:rPr>
                <w:szCs w:val="18"/>
              </w:rPr>
              <w:t>Majority group; minority group</w:t>
            </w:r>
          </w:p>
        </w:tc>
      </w:tr>
      <w:tr w:rsidR="0072004C" w:rsidRPr="009049CA" w14:paraId="1AF0A876" w14:textId="77777777" w:rsidTr="00356611">
        <w:trPr>
          <w:cantSplit/>
          <w:jc w:val="center"/>
        </w:trPr>
        <w:tc>
          <w:tcPr>
            <w:tcW w:w="0" w:type="auto"/>
            <w:shd w:val="clear" w:color="auto" w:fill="auto"/>
            <w:vAlign w:val="center"/>
          </w:tcPr>
          <w:p w14:paraId="19FC5AE6" w14:textId="77777777" w:rsidR="0072004C" w:rsidRPr="009049CA" w:rsidRDefault="0072004C" w:rsidP="00356611">
            <w:pPr>
              <w:pStyle w:val="MDPI42tablebody"/>
              <w:spacing w:line="240" w:lineRule="auto"/>
              <w:jc w:val="left"/>
              <w:rPr>
                <w:sz w:val="18"/>
                <w:szCs w:val="18"/>
              </w:rPr>
            </w:pPr>
            <w:r w:rsidRPr="009049CA">
              <w:rPr>
                <w:sz w:val="18"/>
                <w:szCs w:val="18"/>
              </w:rPr>
              <w:t>Education</w:t>
            </w:r>
          </w:p>
        </w:tc>
        <w:tc>
          <w:tcPr>
            <w:tcW w:w="0" w:type="auto"/>
            <w:shd w:val="clear" w:color="auto" w:fill="auto"/>
            <w:vAlign w:val="center"/>
          </w:tcPr>
          <w:p w14:paraId="0137E8F3" w14:textId="77777777" w:rsidR="0072004C" w:rsidRPr="009049CA" w:rsidRDefault="0072004C" w:rsidP="00356611">
            <w:pPr>
              <w:pStyle w:val="MDPI42tablebody"/>
              <w:spacing w:line="240" w:lineRule="auto"/>
              <w:jc w:val="left"/>
              <w:rPr>
                <w:sz w:val="18"/>
                <w:szCs w:val="18"/>
              </w:rPr>
            </w:pPr>
            <w:r w:rsidRPr="009049CA">
              <w:rPr>
                <w:sz w:val="18"/>
                <w:szCs w:val="18"/>
              </w:rPr>
              <w:t>What is the highest level of education you have completed?</w:t>
            </w:r>
          </w:p>
        </w:tc>
        <w:tc>
          <w:tcPr>
            <w:tcW w:w="0" w:type="auto"/>
            <w:shd w:val="clear" w:color="auto" w:fill="auto"/>
            <w:vAlign w:val="center"/>
          </w:tcPr>
          <w:p w14:paraId="58F05904" w14:textId="77777777" w:rsidR="0072004C" w:rsidRPr="009049CA" w:rsidRDefault="0072004C" w:rsidP="00356611">
            <w:pPr>
              <w:pStyle w:val="MDPI42tablebody"/>
              <w:spacing w:line="240" w:lineRule="auto"/>
              <w:jc w:val="left"/>
              <w:rPr>
                <w:sz w:val="18"/>
                <w:szCs w:val="18"/>
              </w:rPr>
            </w:pPr>
            <w:r w:rsidRPr="009049CA">
              <w:rPr>
                <w:sz w:val="18"/>
                <w:szCs w:val="18"/>
              </w:rPr>
              <w:t>Below upper secondary schooling = low; upper secondary schooling = medium; tertiary = high</w:t>
            </w:r>
          </w:p>
        </w:tc>
        <w:tc>
          <w:tcPr>
            <w:tcW w:w="0" w:type="auto"/>
            <w:shd w:val="clear" w:color="auto" w:fill="auto"/>
            <w:vAlign w:val="center"/>
          </w:tcPr>
          <w:p w14:paraId="1793C4C6" w14:textId="77777777" w:rsidR="0072004C" w:rsidRPr="009049CA" w:rsidRDefault="0072004C" w:rsidP="00356611">
            <w:pPr>
              <w:pStyle w:val="MDPI42tablebody"/>
              <w:spacing w:line="240" w:lineRule="auto"/>
              <w:jc w:val="left"/>
              <w:rPr>
                <w:szCs w:val="18"/>
              </w:rPr>
            </w:pPr>
            <w:r w:rsidRPr="009049CA">
              <w:rPr>
                <w:szCs w:val="18"/>
              </w:rPr>
              <w:t>Low; medium; high</w:t>
            </w:r>
          </w:p>
        </w:tc>
      </w:tr>
    </w:tbl>
    <w:p w14:paraId="1D7B8A1D" w14:textId="77777777" w:rsidR="0072004C" w:rsidRDefault="0072004C" w:rsidP="0072004C">
      <w:pPr>
        <w:pStyle w:val="MDPI31text"/>
        <w:spacing w:after="240"/>
        <w:ind w:firstLine="0"/>
      </w:pPr>
    </w:p>
    <w:p w14:paraId="276E4CCF" w14:textId="77777777" w:rsidR="0072004C" w:rsidRDefault="0072004C" w:rsidP="0072004C">
      <w:pPr>
        <w:pStyle w:val="MDPI31text"/>
        <w:spacing w:after="240"/>
        <w:ind w:firstLine="0"/>
        <w:sectPr w:rsidR="0072004C" w:rsidSect="0072004C">
          <w:pgSz w:w="16838" w:h="11906" w:orient="landscape" w:code="9"/>
          <w:pgMar w:top="1417" w:right="1531" w:bottom="1077" w:left="1531" w:header="1020" w:footer="850" w:gutter="0"/>
          <w:cols w:space="425"/>
          <w:docGrid w:type="linesAndChars" w:linePitch="326"/>
        </w:sectPr>
      </w:pPr>
    </w:p>
    <w:p w14:paraId="1197E54C" w14:textId="77777777" w:rsidR="0072004C" w:rsidRPr="00DF1BBA" w:rsidRDefault="0072004C" w:rsidP="0072004C">
      <w:pPr>
        <w:pStyle w:val="MDPI23heading3"/>
      </w:pPr>
      <w:r w:rsidRPr="00DF1BBA">
        <w:lastRenderedPageBreak/>
        <w:t>2.2.2. Total Self-Reported Exposure to SSB Promotion</w:t>
      </w:r>
    </w:p>
    <w:p w14:paraId="0B443D00" w14:textId="3930DC4A" w:rsidR="0072004C" w:rsidRPr="00DF1BBA" w:rsidRDefault="0072004C" w:rsidP="0072004C">
      <w:pPr>
        <w:pStyle w:val="MDPI31text"/>
      </w:pPr>
      <w:r w:rsidRPr="00DF1BBA">
        <w:t xml:space="preserve">Participants were asked to report whether or not they had seen or heard 15 types of advertisements or promotions for sugary drinks in the last 30 days (including “other”; see Table 1), hereafter referred to as </w:t>
      </w:r>
      <w:r w:rsidR="00941E39">
        <w:t>“</w:t>
      </w:r>
      <w:r w:rsidRPr="00DF1BBA">
        <w:t>promotions</w:t>
      </w:r>
      <w:r w:rsidR="00941E39">
        <w:t>”</w:t>
      </w:r>
      <w:r w:rsidRPr="00DF1BBA">
        <w:t>. An aggregate variable of self-reported awareness of exposure to SSB promotion was computed by summing participants’ binary responses to each individual type of exposure, producing a variable with possible values between 0 and 15. Subsequent analyses treated this as a continuous variable.</w:t>
      </w:r>
    </w:p>
    <w:p w14:paraId="53E4D8CE" w14:textId="77777777" w:rsidR="0072004C" w:rsidRPr="00DF1BBA" w:rsidRDefault="0072004C" w:rsidP="0072004C">
      <w:pPr>
        <w:pStyle w:val="MDPI23heading3"/>
      </w:pPr>
      <w:r w:rsidRPr="00DF1BBA">
        <w:t>2.2.3. Self-Reported Exposure to Different Types of SSB Promotion</w:t>
      </w:r>
    </w:p>
    <w:p w14:paraId="0D5E2C55" w14:textId="75EF9D89" w:rsidR="0072004C" w:rsidRPr="008860B2" w:rsidRDefault="0072004C" w:rsidP="0072004C">
      <w:pPr>
        <w:pStyle w:val="MDPI31text"/>
        <w:rPr>
          <w:highlight w:val="red"/>
        </w:rPr>
      </w:pPr>
      <w:r w:rsidRPr="00DF1BBA">
        <w:t>The aggregate self-reported promotion exposure variable was based on the assumption that exposure to different types of SSB promotions have homogenous associations with SSB consumption. To explore the potential for the association between SSB promotions and consumption to differ by type of promotion, the individual promotional exposures were also categori</w:t>
      </w:r>
      <w:r w:rsidR="00941E39">
        <w:t>z</w:t>
      </w:r>
      <w:r w:rsidRPr="00DF1BBA">
        <w:t xml:space="preserve">ed into four dichotomous variables (see </w:t>
      </w:r>
      <w:r w:rsidRPr="00DF1BBA">
        <w:rPr>
          <w:bCs/>
        </w:rPr>
        <w:t>Table 1</w:t>
      </w:r>
      <w:r w:rsidRPr="00DF1BBA">
        <w:t xml:space="preserve">): exposure to traditional SSB promotions, exposure to digital SSB promotions, exposure to SSB promotions in the recreational environment, and exposure to SSB promotions in the functional environment. In this study, we defined </w:t>
      </w:r>
      <w:r w:rsidR="00941E39">
        <w:t>“</w:t>
      </w:r>
      <w:r w:rsidRPr="00DF1BBA">
        <w:t>recreational environment</w:t>
      </w:r>
      <w:r w:rsidR="00941E39">
        <w:t>”</w:t>
      </w:r>
      <w:r w:rsidRPr="00DF1BBA">
        <w:t xml:space="preserve"> as the environment in which participants interact on the basis of enjoyment; whereas the </w:t>
      </w:r>
      <w:r w:rsidR="00941E39">
        <w:t>“</w:t>
      </w:r>
      <w:r w:rsidRPr="00DF1BBA">
        <w:t>functional environment</w:t>
      </w:r>
      <w:r w:rsidR="00941E39">
        <w:t>”</w:t>
      </w:r>
      <w:r w:rsidRPr="00DF1BBA">
        <w:t xml:space="preserve"> is used by participants to complete a specific function or task. </w:t>
      </w:r>
      <w:r w:rsidRPr="00DF1BBA">
        <w:rPr>
          <w:szCs w:val="20"/>
        </w:rPr>
        <w:t>Self-reported exposure to “giveaways, samples</w:t>
      </w:r>
      <w:r w:rsidR="00941E39">
        <w:rPr>
          <w:szCs w:val="20"/>
        </w:rPr>
        <w:t>,</w:t>
      </w:r>
      <w:r w:rsidRPr="00DF1BBA">
        <w:rPr>
          <w:szCs w:val="20"/>
        </w:rPr>
        <w:t xml:space="preserve"> or special offers” was assigned to the recreational environment, though it could also be assigned to the functional environment; our findings were robust </w:t>
      </w:r>
      <w:r w:rsidR="00941E39">
        <w:rPr>
          <w:szCs w:val="20"/>
        </w:rPr>
        <w:t>in</w:t>
      </w:r>
      <w:r w:rsidRPr="00DF1BBA">
        <w:rPr>
          <w:szCs w:val="20"/>
        </w:rPr>
        <w:t xml:space="preserve"> reassigning this exposure between the two groups</w:t>
      </w:r>
      <w:r w:rsidRPr="00DA029C">
        <w:rPr>
          <w:sz w:val="18"/>
          <w:szCs w:val="18"/>
        </w:rPr>
        <w:t>.</w:t>
      </w:r>
    </w:p>
    <w:p w14:paraId="70D77605" w14:textId="77777777" w:rsidR="0072004C" w:rsidRPr="00DF1BBA" w:rsidRDefault="0072004C" w:rsidP="0072004C">
      <w:pPr>
        <w:pStyle w:val="MDPI23heading3"/>
      </w:pPr>
      <w:r w:rsidRPr="00DF1BBA">
        <w:t>2.2.4. Socio-Demographic Variables</w:t>
      </w:r>
    </w:p>
    <w:p w14:paraId="14D7800D" w14:textId="337F168E" w:rsidR="0072004C" w:rsidRPr="00BE04B3" w:rsidRDefault="0072004C" w:rsidP="0072004C">
      <w:pPr>
        <w:pStyle w:val="MDPI31text"/>
        <w:rPr>
          <w:color w:val="auto"/>
        </w:rPr>
      </w:pPr>
      <w:r w:rsidRPr="00DF1BBA">
        <w:t xml:space="preserve">Sociodemographic characteristics were self-reported in the survey. Since SSB consumption is known to vary across population sub-groups, </w:t>
      </w:r>
      <w:r w:rsidRPr="00EA3A8D">
        <w:t>those sociodemographic characteristics that have been reported elsewhere to be associated with SSB consumption were selected a priori</w:t>
      </w:r>
      <w:r w:rsidRPr="00EA3A8D">
        <w:rPr>
          <w:i/>
        </w:rPr>
        <w:t xml:space="preserve"> </w:t>
      </w:r>
      <w:r w:rsidRPr="00EA3A8D">
        <w:t>to be included</w:t>
      </w:r>
      <w:r w:rsidRPr="00DF1BBA">
        <w:t xml:space="preserve"> as covariates in the modelling. These were: country, age</w:t>
      </w:r>
      <w:r w:rsidR="00941E39">
        <w:t>,</w:t>
      </w:r>
      <w:r w:rsidRPr="00DF1BBA">
        <w:t xml:space="preserve"> and sex </w:t>
      </w:r>
      <w:r w:rsidRPr="00DF1BBA">
        <w:fldChar w:fldCharType="begin" w:fldLock="1"/>
      </w:r>
      <w:r w:rsidRPr="00DF1BBA">
        <w:instrText>ADDIN CSL_CITATION {"citationItems":[{"id":"ITEM-1","itemData":{"author":[{"dropping-particle":"","family":"Bates","given":"Beverley","non-dropping-particle":"","parse-names":false,"suffix":""},{"dropping-particle":"","family":"Collins","given":"David","non-dropping-particle":"","parse-names":false,"suffix":""},{"dropping-particle":"","family":"Cox","given":"Lorna","non-dropping-particle":"","parse-names":false,"suffix":""},{"dropping-particle":"","family":"Nicholson","given":"Sonja","non-dropping-particle":"","parse-names":false,"suffix":""},{"dropping-particle":"","family":"Page","given":"Polly","non-dropping-particle":"","parse-names":false,"suffix":""},{"dropping-particle":"","family":"Roberts","given":"Caireen","non-dropping-particle":"","parse-names":false,"suffix":""},{"dropping-particle":"","family":"Steer","given":"Toni","non-dropping-particle":"","parse-names":false,"suffix":""},{"dropping-particle":"","family":"Swan","given":"Gillian","non-dropping-particle":"","parse-names":false,"suffix":""}],"id":"ITEM-1","issued":{"date-parts":[["2019"]]},"number-of-pages":"1-56","publisher-place":"London","title":"National Diet and Nutrition Survey, Years 1 to 9 of the Rolling Programme (2008/2009 – 2016/2017): Time trend and income analyses","type":"report"},"uris":["http://www.mendeley.com/documents/?uuid=11d093d7-c3b5-4f53-9a35-e22002588cdc"]}],"mendeley":{"formattedCitation":"(34)","plainTextFormattedCitation":"(34)","previouslyFormattedCitation":"[34]"},"properties":{"noteIndex":0},"schema":"https://github.com/citation-style-language/schema/raw/master/csl-citation.json"}</w:instrText>
      </w:r>
      <w:r w:rsidRPr="00DF1BBA">
        <w:fldChar w:fldCharType="separate"/>
      </w:r>
      <w:r w:rsidRPr="00DF1BBA">
        <w:t>[34]</w:t>
      </w:r>
      <w:r w:rsidRPr="00DF1BBA">
        <w:fldChar w:fldCharType="end"/>
      </w:r>
      <w:r w:rsidRPr="00DF1BBA">
        <w:t xml:space="preserve">, ethnicity </w:t>
      </w:r>
      <w:r w:rsidRPr="00DF1BBA">
        <w:fldChar w:fldCharType="begin" w:fldLock="1"/>
      </w:r>
      <w:r w:rsidRPr="00DF1BBA">
        <w:instrText>ADDIN CSL_CITATION {"citationItems":[{"id":"ITEM-1","itemData":{"DOI":"10.1016/j.jand.2012.09.016","ISSN":"22122672","abstract":"Background Few previous studies have investigated consumption distributions of sugar- sweetened beverages (SSBs) over time and individual-level associations despite recent interest in SSBs regarding obesity control. Objective To assess consumption patterns and individual-level associations. Design Trend and cross-sectional analyses of 24-hour dietary recall data and demographic characteristics and socioeconomic status (SES) drawn from National Health and Nutrition Examination Survey (1999-2000, 2001-2002, 2003-2004, 2005-2006, and 2007-2008) data. Participants/setting Children (aged 2 to 11 years, n=8,627), adolescents (aged 12 to 19 years, n=8,922), young adults (aged 20 to 34 years, n=5,933), and middle-aged and elder adults (aged ≥35 years, n=16,456). Statistical analyses performed Age-stratified regression analyses for SSBs overall and by subtypes. Results The prevalence of heavy total SSB consumption (≥500 kcal/day) increased among children (4% to 5%) although it decreased among adolescents (22% to 16%) and young adults (29% to 20%). Soda was the most heavily consumed SSB in all age groups except for children. Prevalence of soda consumption decreased, whereas heavy sports/ energy drink consumption tripled (4% to 12%) among adolescents. Black children and adolescents showed higher odds of heavy fruit drink consumption (odds ratios 1.71 and 1.67) than whites. Low-income children had a higher odds of heavy total SSB consumption (odds ratio 1.93) and higher energy intake from total SSBs and fruit drinks (by 23 and 27 kcal/day) than high-income children. Adolescents with low- vs high-educated parents had higher odds of heavy total SSB consumption (odds ratio 1.28) and higher energy intake from total SSBs and soda (by 27 and 21 kcal/day). Low vs high SES was associated with a higher odds of heavy consumption of total SSBs, soda, and fruit drinks among adults. Conclusions Prevalence of soda consumption fell, but consumption of nontraditional SSBs rose. Heterogeneity of heavy consumption by SSB types across racial/ethnic subpopulations and higher odds of heavy SSB consumption among low-SES populations should be considered in targeting policies to encourage healthful beverage consumption. © 2013 Academy of Nutrition and Dietetics.","author":[{"dropping-particle":"","family":"Han","given":"Euna","non-dropping-particle":"","parse-names":false,"suffix":""},{"dropping-particle":"","family":"Powell","given":"Lisa M.","non-dropping-particle":"","parse-names":false,"suffix":""}],"container-title":"Journal of the Academy of Nutrition and Dietetics","id":"ITEM-1","issue":"1","issued":{"date-parts":[["2013"]]},"page":"43-53","publisher":"Elsevier","title":"Consumption Patterns of Sugar-Sweetened Beverages in the United States","type":"article-journal","volume":"113"},"uris":["http://www.mendeley.com/documents/?uuid=505b12e2-48ed-463c-81ee-17d884e62fe8"]}],"mendeley":{"formattedCitation":"(35)","plainTextFormattedCitation":"(35)","previouslyFormattedCitation":"[35]"},"properties":{"noteIndex":0},"schema":"https://github.com/citation-style-language/schema/raw/master/csl-citation.json"}</w:instrText>
      </w:r>
      <w:r w:rsidRPr="00DF1BBA">
        <w:fldChar w:fldCharType="separate"/>
      </w:r>
      <w:r w:rsidRPr="00DF1BBA">
        <w:t>[35]</w:t>
      </w:r>
      <w:r w:rsidRPr="00DF1BBA">
        <w:fldChar w:fldCharType="end"/>
      </w:r>
      <w:r w:rsidRPr="00DF1BBA">
        <w:t xml:space="preserve">, and highest education level attained (as a proxy for socioeconomic status </w:t>
      </w:r>
      <w:r w:rsidRPr="00DF1BBA">
        <w:fldChar w:fldCharType="begin" w:fldLock="1"/>
      </w:r>
      <w:r w:rsidRPr="00DF1BBA">
        <w:instrText>ADDIN CSL_CITATION {"citationItems":[{"id":"ITEM-1","itemData":{"DOI":"10.1016/j.jand.2012.09.016","ISSN":"22122672","abstract":"Background Few previous studies have investigated consumption distributions of sugar- sweetened beverages (SSBs) over time and individual-level associations despite recent interest in SSBs regarding obesity control. Objective To assess consumption patterns and individual-level associations. Design Trend and cross-sectional analyses of 24-hour dietary recall data and demographic characteristics and socioeconomic status (SES) drawn from National Health and Nutrition Examination Survey (1999-2000, 2001-2002, 2003-2004, 2005-2006, and 2007-2008) data. Participants/setting Children (aged 2 to 11 years, n=8,627), adolescents (aged 12 to 19 years, n=8,922), young adults (aged 20 to 34 years, n=5,933), and middle-aged and elder adults (aged ≥35 years, n=16,456). Statistical analyses performed Age-stratified regression analyses for SSBs overall and by subtypes. Results The prevalence of heavy total SSB consumption (≥500 kcal/day) increased among children (4% to 5%) although it decreased among adolescents (22% to 16%) and young adults (29% to 20%). Soda was the most heavily consumed SSB in all age groups except for children. Prevalence of soda consumption decreased, whereas heavy sports/ energy drink consumption tripled (4% to 12%) among adolescents. Black children and adolescents showed higher odds of heavy fruit drink consumption (odds ratios 1.71 and 1.67) than whites. Low-income children had a higher odds of heavy total SSB consumption (odds ratio 1.93) and higher energy intake from total SSBs and fruit drinks (by 23 and 27 kcal/day) than high-income children. Adolescents with low- vs high-educated parents had higher odds of heavy total SSB consumption (odds ratio 1.28) and higher energy intake from total SSBs and soda (by 27 and 21 kcal/day). Low vs high SES was associated with a higher odds of heavy consumption of total SSBs, soda, and fruit drinks among adults. Conclusions Prevalence of soda consumption fell, but consumption of nontraditional SSBs rose. Heterogeneity of heavy consumption by SSB types across racial/ethnic subpopulations and higher odds of heavy SSB consumption among low-SES populations should be considered in targeting policies to encourage healthful beverage consumption. © 2013 Academy of Nutrition and Dietetics.","author":[{"dropping-particle":"","family":"Han","given":"Euna","non-dropping-particle":"","parse-names":false,"suffix":""},{"dropping-particle":"","family":"Powell","given":"Lisa M.","non-dropping-particle":"","parse-names":false,"suffix":""}],"container-title":"Journal of the Academy of Nutrition and Dietetics","id":"ITEM-1","issue":"1","issued":{"date-parts":[["2013"]]},"page":"43-53","publisher":"Elsevier","title":"Consumption Patterns of Sugar-Sweetened Beverages in the United States","type":"article-journal","volume":"113"},"uris":["http://www.mendeley.com/documents/?uuid=505b12e2-48ed-463c-81ee-17d884e62fe8"]}],"mendeley":{"formattedCitation":"(35)","plainTextFormattedCitation":"(35)","previouslyFormattedCitation":"[35]"},"properties":{"noteIndex":0},"schema":"https://github.com/citation-style-language/schema/raw/master/csl-citation.json"}</w:instrText>
      </w:r>
      <w:r w:rsidRPr="00DF1BBA">
        <w:fldChar w:fldCharType="separate"/>
      </w:r>
      <w:r w:rsidRPr="00DF1BBA">
        <w:t>[35]</w:t>
      </w:r>
      <w:r w:rsidRPr="00DF1BBA">
        <w:fldChar w:fldCharType="end"/>
      </w:r>
      <w:r w:rsidRPr="00DF1BBA">
        <w:t>).</w:t>
      </w:r>
    </w:p>
    <w:p w14:paraId="2A582B4C" w14:textId="77777777" w:rsidR="0072004C" w:rsidRPr="00DF1BBA" w:rsidRDefault="0072004C" w:rsidP="0072004C">
      <w:pPr>
        <w:pStyle w:val="MDPI23heading3"/>
      </w:pPr>
      <w:r w:rsidRPr="00DF1BBA">
        <w:t>2.2.5. Ethics</w:t>
      </w:r>
    </w:p>
    <w:p w14:paraId="1381BB68" w14:textId="05CC48EF" w:rsidR="0072004C" w:rsidRPr="00DF1BBA" w:rsidRDefault="0072004C" w:rsidP="0072004C">
      <w:pPr>
        <w:pStyle w:val="MDPI31text"/>
      </w:pPr>
      <w:r w:rsidRPr="00DF1BBA">
        <w:t>The study received ethical approval from the University of Waterloo’s Research Ethics Committee (ORE</w:t>
      </w:r>
      <w:r w:rsidR="00BE04B3">
        <w:t># 21460 for the IFPS and ORE# 30</w:t>
      </w:r>
      <w:r w:rsidRPr="00356611">
        <w:t xml:space="preserve">893 </w:t>
      </w:r>
      <w:r w:rsidRPr="00DF1BBA">
        <w:t>for the CFS).</w:t>
      </w:r>
    </w:p>
    <w:p w14:paraId="72FF527B" w14:textId="77777777" w:rsidR="0072004C" w:rsidRPr="00DF1BBA" w:rsidRDefault="0072004C" w:rsidP="0072004C">
      <w:pPr>
        <w:pStyle w:val="MDPI22heading2"/>
      </w:pPr>
      <w:r w:rsidRPr="00DF1BBA">
        <w:t>2.3. Analyses</w:t>
      </w:r>
    </w:p>
    <w:p w14:paraId="480C2062" w14:textId="047B9612" w:rsidR="0072004C" w:rsidRPr="00DF1BBA" w:rsidRDefault="0072004C" w:rsidP="0072004C">
      <w:pPr>
        <w:pStyle w:val="MDPI31text"/>
      </w:pPr>
      <w:r w:rsidRPr="00DF1BBA">
        <w:t>All analyses were conducted using STATA 14.2. Survey participants providing valid responses to all of the variables used in the analyses were included in the analytical sample. Analyses were weighted with post-stratification sample weights rescaled to the analytical sample. For each country, these weights were constructed using population estimates from census data based on age, sex</w:t>
      </w:r>
      <w:r w:rsidR="00941E39">
        <w:t>,</w:t>
      </w:r>
      <w:r w:rsidRPr="00DF1BBA">
        <w:t xml:space="preserve"> and region. Applying sample weights throughout analyses helped to minimi</w:t>
      </w:r>
      <w:r w:rsidR="00941E39">
        <w:t>z</w:t>
      </w:r>
      <w:r w:rsidRPr="00DF1BBA">
        <w:t>e the influence of differential non-response on the population representativeness of findings.</w:t>
      </w:r>
    </w:p>
    <w:p w14:paraId="1443386E" w14:textId="1438E96A" w:rsidR="0072004C" w:rsidRPr="00356611" w:rsidRDefault="0072004C" w:rsidP="0072004C">
      <w:pPr>
        <w:pStyle w:val="MDPI31text"/>
        <w:rPr>
          <w:color w:val="auto"/>
        </w:rPr>
      </w:pPr>
      <w:r w:rsidRPr="00DF1BBA">
        <w:t>The sociodemographic characteristics of the sample were summari</w:t>
      </w:r>
      <w:r w:rsidR="00941E39">
        <w:t>z</w:t>
      </w:r>
      <w:r w:rsidRPr="00DF1BBA">
        <w:t>ed. To test for differences between those included and excluded from the modelling, independent sample t-tests were used for continuous variables (total SSB promotion exposure, age) and Pearson’s χ</w:t>
      </w:r>
      <w:r w:rsidRPr="00DF1BBA">
        <w:rPr>
          <w:vertAlign w:val="superscript"/>
        </w:rPr>
        <w:t>2</w:t>
      </w:r>
      <w:r w:rsidRPr="00DF1BBA">
        <w:t xml:space="preserve"> tests for categorical variables (SSB consumption, types of SSB promotion, country, sex, ethnicity, education).</w:t>
      </w:r>
    </w:p>
    <w:p w14:paraId="71D88BDB" w14:textId="6DA05024" w:rsidR="0072004C" w:rsidRPr="00DF1BBA" w:rsidRDefault="0072004C" w:rsidP="0072004C">
      <w:pPr>
        <w:pStyle w:val="MDPI31text"/>
      </w:pPr>
      <w:r w:rsidRPr="00DF1BBA">
        <w:t>To examine the association between total self-reported exposure to SSB promotion and consumption, a multinomial logistic regression model was fit to the data using total exposure to SSB promotion as the independent variable and SSB consumption as the dependent variable, adjusting for country, sex, age, ethnicity, and education. Multinomial logistic regression modelling is appropriate in instances like these</w:t>
      </w:r>
      <w:r w:rsidR="00941E39">
        <w:t>,</w:t>
      </w:r>
      <w:r w:rsidRPr="00DF1BBA">
        <w:t xml:space="preserve"> where the dependent variable is nominal and has more than 2 categories, as illustrated elsewhere [36]. The UK was initially set as the reference country. To draw comparisons between included countries, the models were repeated by changing the reference </w:t>
      </w:r>
      <w:r w:rsidRPr="00DF1BBA">
        <w:lastRenderedPageBreak/>
        <w:t>country until all pairwise permutations were exhausted. To determine if the association between exposure to SSB promotion and SSB consumption varied by type of SSB promotion, we fit</w:t>
      </w:r>
      <w:r w:rsidR="00941E39">
        <w:t>ted</w:t>
      </w:r>
      <w:r w:rsidRPr="00DF1BBA">
        <w:t xml:space="preserve"> a multinomial logistic regression model that included and mutually adjusted all SSB promotion exposure groups (including exposure to “other” promotions, which was not analy</w:t>
      </w:r>
      <w:r w:rsidR="00941E39">
        <w:t>z</w:t>
      </w:r>
      <w:r w:rsidRPr="00DF1BBA">
        <w:t xml:space="preserve">ed as a separate dichotomous exposure), in addition to adjusting for the same covariates, </w:t>
      </w:r>
      <w:r w:rsidR="00941E39">
        <w:t xml:space="preserve">as </w:t>
      </w:r>
      <w:r w:rsidRPr="00DF1BBA">
        <w:t>described above. Finally, the first two models were extended to include multiplicative interactions between promotion exposures and country, in order to determine if associations between SSB promotion and consumption varied between countries. In the case of the second model</w:t>
      </w:r>
      <w:r w:rsidR="00941E39">
        <w:t>,</w:t>
      </w:r>
      <w:r w:rsidRPr="00DF1BBA">
        <w:t xml:space="preserve"> with the four different types of SSB promotion exposure, interactions with each type were introduced separately. The Wald test assessed the significance of these interaction terms; for countries with significant interaction terms, country-stratified models were produced.</w:t>
      </w:r>
    </w:p>
    <w:p w14:paraId="1B7A3DBB" w14:textId="77777777" w:rsidR="0072004C" w:rsidRPr="00DF1BBA" w:rsidRDefault="0072004C" w:rsidP="0072004C">
      <w:pPr>
        <w:pStyle w:val="MDPI21heading1"/>
      </w:pPr>
      <w:r>
        <w:t xml:space="preserve">3. </w:t>
      </w:r>
      <w:r w:rsidRPr="00DF1BBA">
        <w:t>Results</w:t>
      </w:r>
    </w:p>
    <w:p w14:paraId="3B9EFB70" w14:textId="77777777" w:rsidR="0072004C" w:rsidRPr="00DF1BBA" w:rsidRDefault="0072004C" w:rsidP="0072004C">
      <w:pPr>
        <w:pStyle w:val="MDPI22heading2"/>
      </w:pPr>
      <w:r w:rsidRPr="00DF1BBA">
        <w:t>3.1. Sample Characteristics</w:t>
      </w:r>
    </w:p>
    <w:p w14:paraId="4FC689EF" w14:textId="38F4CDF9" w:rsidR="00356611" w:rsidRDefault="0072004C" w:rsidP="0072004C">
      <w:pPr>
        <w:pStyle w:val="MDPI31text"/>
      </w:pPr>
      <w:r w:rsidRPr="00DA029C">
        <w:t>Table 2 presents</w:t>
      </w:r>
      <w:r w:rsidRPr="00DF1BBA">
        <w:t xml:space="preserve"> the sociodemographic characteristics of the analytical sample (after applying response weights). Of the 19,857 survey respondents, 78% (15,515) were included in the analyses. A total of 4342 individuals were excluded due to inadequate data: </w:t>
      </w:r>
      <w:r w:rsidR="00941E39">
        <w:t>T</w:t>
      </w:r>
      <w:r w:rsidRPr="00DF1BBA">
        <w:t xml:space="preserve">hey refused to answer (or answered </w:t>
      </w:r>
      <w:r w:rsidR="00941E39">
        <w:t>“</w:t>
      </w:r>
      <w:r w:rsidRPr="00DF1BBA">
        <w:t>don’t know</w:t>
      </w:r>
      <w:r w:rsidR="00941E39">
        <w:t>”</w:t>
      </w:r>
      <w:r w:rsidRPr="00DF1BBA">
        <w:t>), had discrepancies in their responses, or had missing data for at least one of the variables in the models. Within the analytical sample, 51% (7862) were men, the median age was 40 years, 79% (12,248) identified with majority ethnic groups, and approximately half had high education attainment (55%; 8516). After finding the weighted median SSB intake volume, consumption was approximately evenly distributed across the three groups in the analytical sample: 5265 (34%) were non-consumers, 5117 (33%) were low consumers, and 5133 (33%) were high consumers. Overall, 29% (4549) of the study population self-reported no exposure to SSB promotions. No respondents reported exposure to all 15 types of promotion. Among those reporting exposure to SSB promotions, there was a median value of 3 exposures; 9322 (60%) reported exposure to traditional promotions, 5565 (36%) to digital promotions, 4363 (28%) to promotions in the recreational environment</w:t>
      </w:r>
      <w:r w:rsidR="00941E39">
        <w:t>,</w:t>
      </w:r>
      <w:r w:rsidRPr="00DF1BBA">
        <w:t xml:space="preserve"> and 5265 (34%) to promotions in the functional environment.</w:t>
      </w:r>
    </w:p>
    <w:p w14:paraId="73EFA2EF" w14:textId="0EF1B777" w:rsidR="00356611" w:rsidRPr="00DF1BBA" w:rsidRDefault="00356611" w:rsidP="00356611">
      <w:pPr>
        <w:pStyle w:val="MDPI41tablecaption"/>
        <w:jc w:val="center"/>
      </w:pPr>
      <w:r w:rsidRPr="00356611">
        <w:rPr>
          <w:b/>
        </w:rPr>
        <w:t xml:space="preserve">Table 2. </w:t>
      </w:r>
      <w:r w:rsidRPr="00DF1BBA">
        <w:t>Characteristics of</w:t>
      </w:r>
      <w:r w:rsidR="00941E39">
        <w:t xml:space="preserve"> the</w:t>
      </w:r>
      <w:r w:rsidRPr="00DF1BBA">
        <w:t xml:space="preserve"> IFPS (2017) analytical sample (</w:t>
      </w:r>
      <w:r w:rsidRPr="00AB0EE0">
        <w:rPr>
          <w:i/>
        </w:rPr>
        <w:t xml:space="preserve">n </w:t>
      </w:r>
      <w:r w:rsidRPr="00AB0EE0">
        <w:t>=</w:t>
      </w:r>
      <w:r w:rsidRPr="00AB0EE0">
        <w:rPr>
          <w:i/>
        </w:rPr>
        <w:t xml:space="preserve"> </w:t>
      </w:r>
      <w:r w:rsidRPr="00AB0EE0">
        <w:t>15</w:t>
      </w:r>
      <w:r w:rsidRPr="00DF1BBA">
        <w:t>,515), post-weighting.</w:t>
      </w:r>
    </w:p>
    <w:tbl>
      <w:tblPr>
        <w:tblW w:w="0" w:type="auto"/>
        <w:jc w:val="center"/>
        <w:tblLook w:val="04A0" w:firstRow="1" w:lastRow="0" w:firstColumn="1" w:lastColumn="0" w:noHBand="0" w:noVBand="1"/>
      </w:tblPr>
      <w:tblGrid>
        <w:gridCol w:w="4550"/>
        <w:gridCol w:w="1155"/>
        <w:gridCol w:w="1262"/>
        <w:gridCol w:w="2093"/>
      </w:tblGrid>
      <w:tr w:rsidR="00356611" w:rsidRPr="00356611" w14:paraId="0A0957AF" w14:textId="77777777" w:rsidTr="00B8137C">
        <w:trPr>
          <w:cantSplit/>
          <w:jc w:val="center"/>
        </w:trPr>
        <w:tc>
          <w:tcPr>
            <w:tcW w:w="0" w:type="auto"/>
            <w:tcBorders>
              <w:top w:val="single" w:sz="8" w:space="0" w:color="auto"/>
              <w:bottom w:val="single" w:sz="4" w:space="0" w:color="auto"/>
            </w:tcBorders>
            <w:shd w:val="clear" w:color="auto" w:fill="auto"/>
            <w:vAlign w:val="center"/>
          </w:tcPr>
          <w:p w14:paraId="4B4A9645" w14:textId="77777777" w:rsidR="00356611" w:rsidRPr="00356611" w:rsidRDefault="00356611" w:rsidP="00B8137C">
            <w:pPr>
              <w:autoSpaceDE w:val="0"/>
              <w:autoSpaceDN w:val="0"/>
              <w:adjustRightInd w:val="0"/>
              <w:snapToGrid w:val="0"/>
              <w:spacing w:line="240" w:lineRule="auto"/>
              <w:jc w:val="center"/>
              <w:rPr>
                <w:rFonts w:ascii="Palatino Linotype" w:hAnsi="Palatino Linotype" w:cs="Arial"/>
                <w:b/>
                <w:sz w:val="18"/>
                <w:szCs w:val="18"/>
              </w:rPr>
            </w:pPr>
            <w:r w:rsidRPr="00356611">
              <w:rPr>
                <w:rFonts w:ascii="Palatino Linotype" w:hAnsi="Palatino Linotype" w:cs="Arial"/>
                <w:b/>
                <w:sz w:val="18"/>
                <w:szCs w:val="18"/>
              </w:rPr>
              <w:t>Variable</w:t>
            </w:r>
          </w:p>
        </w:tc>
        <w:tc>
          <w:tcPr>
            <w:tcW w:w="0" w:type="auto"/>
            <w:tcBorders>
              <w:top w:val="single" w:sz="8" w:space="0" w:color="auto"/>
              <w:bottom w:val="single" w:sz="4" w:space="0" w:color="auto"/>
            </w:tcBorders>
            <w:shd w:val="clear" w:color="auto" w:fill="auto"/>
            <w:vAlign w:val="center"/>
          </w:tcPr>
          <w:p w14:paraId="0773C131" w14:textId="77777777" w:rsidR="00356611" w:rsidRPr="00356611" w:rsidRDefault="00356611" w:rsidP="00B8137C">
            <w:pPr>
              <w:adjustRightInd w:val="0"/>
              <w:snapToGrid w:val="0"/>
              <w:spacing w:line="240" w:lineRule="auto"/>
              <w:jc w:val="center"/>
              <w:rPr>
                <w:rFonts w:ascii="Palatino Linotype" w:hAnsi="Palatino Linotype" w:cs="Arial"/>
                <w:b/>
                <w:sz w:val="18"/>
                <w:szCs w:val="18"/>
              </w:rPr>
            </w:pPr>
            <w:r w:rsidRPr="00356611">
              <w:rPr>
                <w:rFonts w:ascii="Palatino Linotype" w:hAnsi="Palatino Linotype" w:cs="Arial"/>
                <w:b/>
                <w:sz w:val="18"/>
                <w:szCs w:val="18"/>
              </w:rPr>
              <w:t>Level</w:t>
            </w:r>
          </w:p>
        </w:tc>
        <w:tc>
          <w:tcPr>
            <w:tcW w:w="0" w:type="auto"/>
            <w:tcBorders>
              <w:top w:val="single" w:sz="8" w:space="0" w:color="auto"/>
              <w:bottom w:val="single" w:sz="4" w:space="0" w:color="auto"/>
            </w:tcBorders>
            <w:shd w:val="clear" w:color="auto" w:fill="auto"/>
            <w:vAlign w:val="center"/>
          </w:tcPr>
          <w:p w14:paraId="7EC72C65" w14:textId="77777777" w:rsidR="00356611" w:rsidRPr="00356611" w:rsidRDefault="00356611" w:rsidP="00B8137C">
            <w:pPr>
              <w:adjustRightInd w:val="0"/>
              <w:snapToGrid w:val="0"/>
              <w:spacing w:line="240" w:lineRule="auto"/>
              <w:jc w:val="center"/>
              <w:rPr>
                <w:rFonts w:ascii="Palatino Linotype" w:hAnsi="Palatino Linotype" w:cs="Arial"/>
                <w:b/>
                <w:sz w:val="18"/>
                <w:szCs w:val="18"/>
              </w:rPr>
            </w:pPr>
            <w:r w:rsidRPr="00356611">
              <w:rPr>
                <w:rFonts w:ascii="Palatino Linotype" w:hAnsi="Palatino Linotype" w:cs="Arial"/>
                <w:b/>
                <w:i/>
                <w:sz w:val="18"/>
                <w:szCs w:val="18"/>
              </w:rPr>
              <w:t>n</w:t>
            </w:r>
          </w:p>
        </w:tc>
        <w:tc>
          <w:tcPr>
            <w:tcW w:w="0" w:type="auto"/>
            <w:tcBorders>
              <w:top w:val="single" w:sz="8" w:space="0" w:color="auto"/>
              <w:bottom w:val="single" w:sz="4" w:space="0" w:color="auto"/>
            </w:tcBorders>
            <w:shd w:val="clear" w:color="auto" w:fill="auto"/>
            <w:vAlign w:val="center"/>
          </w:tcPr>
          <w:p w14:paraId="39FF165A" w14:textId="77777777" w:rsidR="00356611" w:rsidRPr="00356611" w:rsidRDefault="00356611" w:rsidP="00B8137C">
            <w:pPr>
              <w:adjustRightInd w:val="0"/>
              <w:snapToGrid w:val="0"/>
              <w:spacing w:line="240" w:lineRule="auto"/>
              <w:jc w:val="center"/>
              <w:rPr>
                <w:rFonts w:ascii="Palatino Linotype" w:hAnsi="Palatino Linotype" w:cs="Arial"/>
                <w:b/>
                <w:sz w:val="18"/>
                <w:szCs w:val="18"/>
              </w:rPr>
            </w:pPr>
            <w:r w:rsidRPr="00356611">
              <w:rPr>
                <w:rFonts w:ascii="Palatino Linotype" w:hAnsi="Palatino Linotype" w:cs="Arial"/>
                <w:b/>
                <w:sz w:val="18"/>
                <w:szCs w:val="18"/>
              </w:rPr>
              <w:t>%</w:t>
            </w:r>
          </w:p>
        </w:tc>
      </w:tr>
      <w:tr w:rsidR="00356611" w:rsidRPr="00356611" w14:paraId="20FE8DBA" w14:textId="77777777" w:rsidTr="00B8137C">
        <w:trPr>
          <w:cantSplit/>
          <w:jc w:val="center"/>
        </w:trPr>
        <w:tc>
          <w:tcPr>
            <w:tcW w:w="0" w:type="auto"/>
            <w:vMerge w:val="restart"/>
            <w:tcBorders>
              <w:top w:val="single" w:sz="4" w:space="0" w:color="auto"/>
            </w:tcBorders>
            <w:shd w:val="clear" w:color="auto" w:fill="auto"/>
            <w:vAlign w:val="center"/>
          </w:tcPr>
          <w:p w14:paraId="23759803" w14:textId="77777777" w:rsidR="00356611" w:rsidRPr="00356611" w:rsidRDefault="00356611" w:rsidP="00B8137C">
            <w:pPr>
              <w:adjustRightInd w:val="0"/>
              <w:snapToGrid w:val="0"/>
              <w:spacing w:line="240" w:lineRule="auto"/>
              <w:jc w:val="left"/>
              <w:rPr>
                <w:rFonts w:ascii="Palatino Linotype" w:hAnsi="Palatino Linotype" w:cs="Arial"/>
                <w:sz w:val="18"/>
                <w:szCs w:val="18"/>
                <w:highlight w:val="yellow"/>
              </w:rPr>
            </w:pPr>
            <w:r w:rsidRPr="00EA3A8D">
              <w:rPr>
                <w:rFonts w:ascii="Palatino Linotype" w:hAnsi="Palatino Linotype" w:cs="Arial"/>
                <w:b/>
                <w:sz w:val="18"/>
                <w:szCs w:val="18"/>
              </w:rPr>
              <w:t>SSB consumption</w:t>
            </w:r>
          </w:p>
        </w:tc>
        <w:tc>
          <w:tcPr>
            <w:tcW w:w="0" w:type="auto"/>
            <w:tcBorders>
              <w:top w:val="single" w:sz="4" w:space="0" w:color="auto"/>
            </w:tcBorders>
            <w:shd w:val="clear" w:color="auto" w:fill="auto"/>
            <w:vAlign w:val="center"/>
          </w:tcPr>
          <w:p w14:paraId="715570D8"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None</w:t>
            </w:r>
          </w:p>
        </w:tc>
        <w:tc>
          <w:tcPr>
            <w:tcW w:w="0" w:type="auto"/>
            <w:tcBorders>
              <w:top w:val="single" w:sz="4" w:space="0" w:color="auto"/>
            </w:tcBorders>
            <w:shd w:val="clear" w:color="auto" w:fill="auto"/>
            <w:vAlign w:val="center"/>
          </w:tcPr>
          <w:p w14:paraId="75D712CA"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5265</w:t>
            </w:r>
          </w:p>
        </w:tc>
        <w:tc>
          <w:tcPr>
            <w:tcW w:w="0" w:type="auto"/>
            <w:tcBorders>
              <w:top w:val="single" w:sz="4" w:space="0" w:color="auto"/>
            </w:tcBorders>
            <w:shd w:val="clear" w:color="auto" w:fill="auto"/>
            <w:vAlign w:val="center"/>
          </w:tcPr>
          <w:p w14:paraId="56F8C731"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34</w:t>
            </w:r>
          </w:p>
        </w:tc>
      </w:tr>
      <w:tr w:rsidR="00356611" w:rsidRPr="00356611" w14:paraId="23095F81" w14:textId="77777777" w:rsidTr="00B8137C">
        <w:trPr>
          <w:cantSplit/>
          <w:jc w:val="center"/>
        </w:trPr>
        <w:tc>
          <w:tcPr>
            <w:tcW w:w="0" w:type="auto"/>
            <w:vMerge/>
            <w:shd w:val="clear" w:color="auto" w:fill="auto"/>
            <w:vAlign w:val="center"/>
          </w:tcPr>
          <w:p w14:paraId="608FD3C3" w14:textId="77777777" w:rsidR="00356611" w:rsidRPr="00356611" w:rsidRDefault="00356611" w:rsidP="00B8137C">
            <w:pPr>
              <w:adjustRightInd w:val="0"/>
              <w:snapToGrid w:val="0"/>
              <w:spacing w:line="240" w:lineRule="auto"/>
              <w:jc w:val="left"/>
              <w:rPr>
                <w:rFonts w:ascii="Palatino Linotype" w:hAnsi="Palatino Linotype" w:cs="Arial"/>
                <w:sz w:val="18"/>
                <w:szCs w:val="18"/>
              </w:rPr>
            </w:pPr>
          </w:p>
        </w:tc>
        <w:tc>
          <w:tcPr>
            <w:tcW w:w="0" w:type="auto"/>
            <w:shd w:val="clear" w:color="auto" w:fill="auto"/>
            <w:vAlign w:val="center"/>
          </w:tcPr>
          <w:p w14:paraId="08BBCCB7"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Low</w:t>
            </w:r>
          </w:p>
        </w:tc>
        <w:tc>
          <w:tcPr>
            <w:tcW w:w="0" w:type="auto"/>
            <w:shd w:val="clear" w:color="auto" w:fill="auto"/>
            <w:vAlign w:val="center"/>
          </w:tcPr>
          <w:p w14:paraId="27A93909"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5117</w:t>
            </w:r>
          </w:p>
        </w:tc>
        <w:tc>
          <w:tcPr>
            <w:tcW w:w="0" w:type="auto"/>
            <w:shd w:val="clear" w:color="auto" w:fill="auto"/>
            <w:vAlign w:val="center"/>
          </w:tcPr>
          <w:p w14:paraId="21FDDCB9"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33</w:t>
            </w:r>
          </w:p>
        </w:tc>
      </w:tr>
      <w:tr w:rsidR="00356611" w:rsidRPr="00356611" w14:paraId="1C6F5B81" w14:textId="77777777" w:rsidTr="00B8137C">
        <w:trPr>
          <w:cantSplit/>
          <w:jc w:val="center"/>
        </w:trPr>
        <w:tc>
          <w:tcPr>
            <w:tcW w:w="0" w:type="auto"/>
            <w:vMerge/>
            <w:tcBorders>
              <w:bottom w:val="single" w:sz="4" w:space="0" w:color="auto"/>
            </w:tcBorders>
            <w:shd w:val="clear" w:color="auto" w:fill="auto"/>
            <w:vAlign w:val="center"/>
          </w:tcPr>
          <w:p w14:paraId="39A1977A" w14:textId="77777777" w:rsidR="00356611" w:rsidRPr="00356611" w:rsidRDefault="00356611" w:rsidP="00B8137C">
            <w:pPr>
              <w:adjustRightInd w:val="0"/>
              <w:snapToGrid w:val="0"/>
              <w:spacing w:line="240" w:lineRule="auto"/>
              <w:jc w:val="left"/>
              <w:rPr>
                <w:rFonts w:ascii="Palatino Linotype" w:hAnsi="Palatino Linotype" w:cs="Arial"/>
                <w:sz w:val="18"/>
                <w:szCs w:val="18"/>
              </w:rPr>
            </w:pPr>
          </w:p>
        </w:tc>
        <w:tc>
          <w:tcPr>
            <w:tcW w:w="0" w:type="auto"/>
            <w:tcBorders>
              <w:bottom w:val="single" w:sz="4" w:space="0" w:color="auto"/>
            </w:tcBorders>
            <w:shd w:val="clear" w:color="auto" w:fill="auto"/>
            <w:vAlign w:val="center"/>
          </w:tcPr>
          <w:p w14:paraId="073D0555"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High</w:t>
            </w:r>
          </w:p>
        </w:tc>
        <w:tc>
          <w:tcPr>
            <w:tcW w:w="0" w:type="auto"/>
            <w:tcBorders>
              <w:bottom w:val="single" w:sz="4" w:space="0" w:color="auto"/>
            </w:tcBorders>
            <w:shd w:val="clear" w:color="auto" w:fill="auto"/>
            <w:vAlign w:val="center"/>
          </w:tcPr>
          <w:p w14:paraId="4B023178"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5133</w:t>
            </w:r>
          </w:p>
        </w:tc>
        <w:tc>
          <w:tcPr>
            <w:tcW w:w="0" w:type="auto"/>
            <w:tcBorders>
              <w:bottom w:val="single" w:sz="4" w:space="0" w:color="auto"/>
            </w:tcBorders>
            <w:shd w:val="clear" w:color="auto" w:fill="auto"/>
            <w:vAlign w:val="center"/>
          </w:tcPr>
          <w:p w14:paraId="2E30AD26"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33</w:t>
            </w:r>
          </w:p>
        </w:tc>
      </w:tr>
      <w:tr w:rsidR="00356611" w:rsidRPr="00356611" w14:paraId="3915D510" w14:textId="77777777" w:rsidTr="00B8137C">
        <w:trPr>
          <w:cantSplit/>
          <w:jc w:val="center"/>
        </w:trPr>
        <w:tc>
          <w:tcPr>
            <w:tcW w:w="0" w:type="auto"/>
            <w:tcBorders>
              <w:top w:val="single" w:sz="4" w:space="0" w:color="auto"/>
            </w:tcBorders>
            <w:shd w:val="clear" w:color="auto" w:fill="auto"/>
            <w:vAlign w:val="center"/>
          </w:tcPr>
          <w:p w14:paraId="77162F63" w14:textId="77777777" w:rsidR="00356611" w:rsidRPr="00356611" w:rsidRDefault="00356611" w:rsidP="00B8137C">
            <w:pPr>
              <w:adjustRightInd w:val="0"/>
              <w:snapToGrid w:val="0"/>
              <w:spacing w:line="240" w:lineRule="auto"/>
              <w:jc w:val="left"/>
              <w:rPr>
                <w:rFonts w:ascii="Palatino Linotype" w:hAnsi="Palatino Linotype" w:cs="Arial"/>
                <w:b/>
                <w:sz w:val="18"/>
                <w:szCs w:val="18"/>
              </w:rPr>
            </w:pPr>
            <w:r w:rsidRPr="00356611">
              <w:rPr>
                <w:rFonts w:ascii="Palatino Linotype" w:hAnsi="Palatino Linotype" w:cs="Arial"/>
                <w:b/>
                <w:sz w:val="18"/>
                <w:szCs w:val="18"/>
              </w:rPr>
              <w:t>Total exposure to SSB promotion</w:t>
            </w:r>
          </w:p>
        </w:tc>
        <w:tc>
          <w:tcPr>
            <w:tcW w:w="0" w:type="auto"/>
            <w:tcBorders>
              <w:top w:val="single" w:sz="4" w:space="0" w:color="auto"/>
              <w:bottom w:val="single" w:sz="4" w:space="0" w:color="auto"/>
            </w:tcBorders>
            <w:shd w:val="clear" w:color="auto" w:fill="auto"/>
            <w:vAlign w:val="center"/>
          </w:tcPr>
          <w:p w14:paraId="2924ECC4"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Continuous</w:t>
            </w:r>
          </w:p>
        </w:tc>
        <w:tc>
          <w:tcPr>
            <w:tcW w:w="0" w:type="auto"/>
            <w:tcBorders>
              <w:top w:val="single" w:sz="4" w:space="0" w:color="auto"/>
              <w:bottom w:val="single" w:sz="4" w:space="0" w:color="auto"/>
            </w:tcBorders>
            <w:shd w:val="clear" w:color="auto" w:fill="auto"/>
            <w:vAlign w:val="center"/>
          </w:tcPr>
          <w:p w14:paraId="089BE22A"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(none = 4549)</w:t>
            </w:r>
          </w:p>
        </w:tc>
        <w:tc>
          <w:tcPr>
            <w:tcW w:w="0" w:type="auto"/>
            <w:tcBorders>
              <w:top w:val="single" w:sz="4" w:space="0" w:color="auto"/>
              <w:bottom w:val="single" w:sz="4" w:space="0" w:color="auto"/>
            </w:tcBorders>
            <w:shd w:val="clear" w:color="auto" w:fill="auto"/>
            <w:vAlign w:val="center"/>
          </w:tcPr>
          <w:p w14:paraId="5F401942"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Median = 3 (IQ 1, 5)</w:t>
            </w:r>
          </w:p>
        </w:tc>
      </w:tr>
      <w:tr w:rsidR="00356611" w:rsidRPr="00356611" w14:paraId="146B73C4" w14:textId="77777777" w:rsidTr="00B8137C">
        <w:trPr>
          <w:cantSplit/>
          <w:jc w:val="center"/>
        </w:trPr>
        <w:tc>
          <w:tcPr>
            <w:tcW w:w="0" w:type="auto"/>
            <w:vMerge w:val="restart"/>
            <w:tcBorders>
              <w:top w:val="single" w:sz="4" w:space="0" w:color="auto"/>
            </w:tcBorders>
            <w:shd w:val="clear" w:color="auto" w:fill="auto"/>
            <w:vAlign w:val="center"/>
          </w:tcPr>
          <w:p w14:paraId="159BA9B9" w14:textId="77777777" w:rsidR="00356611" w:rsidRPr="00356611" w:rsidRDefault="00356611" w:rsidP="00B8137C">
            <w:pPr>
              <w:adjustRightInd w:val="0"/>
              <w:snapToGrid w:val="0"/>
              <w:spacing w:line="240" w:lineRule="auto"/>
              <w:jc w:val="left"/>
              <w:rPr>
                <w:rFonts w:ascii="Palatino Linotype" w:hAnsi="Palatino Linotype" w:cs="Arial"/>
                <w:sz w:val="18"/>
                <w:szCs w:val="18"/>
              </w:rPr>
            </w:pPr>
            <w:r w:rsidRPr="00356611">
              <w:rPr>
                <w:rFonts w:ascii="Palatino Linotype" w:hAnsi="Palatino Linotype" w:cs="Arial"/>
                <w:b/>
                <w:sz w:val="18"/>
                <w:szCs w:val="18"/>
              </w:rPr>
              <w:t>Exposure to traditional SSB promotion</w:t>
            </w:r>
          </w:p>
        </w:tc>
        <w:tc>
          <w:tcPr>
            <w:tcW w:w="0" w:type="auto"/>
            <w:tcBorders>
              <w:top w:val="single" w:sz="4" w:space="0" w:color="auto"/>
            </w:tcBorders>
            <w:shd w:val="clear" w:color="auto" w:fill="auto"/>
            <w:vAlign w:val="center"/>
          </w:tcPr>
          <w:p w14:paraId="0FCAC8B2"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Yes</w:t>
            </w:r>
          </w:p>
        </w:tc>
        <w:tc>
          <w:tcPr>
            <w:tcW w:w="0" w:type="auto"/>
            <w:tcBorders>
              <w:top w:val="single" w:sz="4" w:space="0" w:color="auto"/>
            </w:tcBorders>
            <w:shd w:val="clear" w:color="auto" w:fill="auto"/>
            <w:vAlign w:val="center"/>
          </w:tcPr>
          <w:p w14:paraId="718207C3"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9322</w:t>
            </w:r>
          </w:p>
        </w:tc>
        <w:tc>
          <w:tcPr>
            <w:tcW w:w="0" w:type="auto"/>
            <w:tcBorders>
              <w:top w:val="single" w:sz="4" w:space="0" w:color="auto"/>
            </w:tcBorders>
            <w:shd w:val="clear" w:color="auto" w:fill="auto"/>
            <w:vAlign w:val="center"/>
          </w:tcPr>
          <w:p w14:paraId="2470BF66"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60</w:t>
            </w:r>
          </w:p>
        </w:tc>
      </w:tr>
      <w:tr w:rsidR="00356611" w:rsidRPr="00356611" w14:paraId="5F7C408A" w14:textId="77777777" w:rsidTr="00B8137C">
        <w:trPr>
          <w:cantSplit/>
          <w:jc w:val="center"/>
        </w:trPr>
        <w:tc>
          <w:tcPr>
            <w:tcW w:w="0" w:type="auto"/>
            <w:vMerge/>
            <w:shd w:val="clear" w:color="auto" w:fill="auto"/>
            <w:vAlign w:val="center"/>
          </w:tcPr>
          <w:p w14:paraId="7944D328" w14:textId="77777777" w:rsidR="00356611" w:rsidRPr="00356611" w:rsidRDefault="00356611" w:rsidP="00B8137C">
            <w:pPr>
              <w:adjustRightInd w:val="0"/>
              <w:snapToGrid w:val="0"/>
              <w:spacing w:line="240" w:lineRule="auto"/>
              <w:jc w:val="left"/>
              <w:rPr>
                <w:rFonts w:ascii="Palatino Linotype" w:hAnsi="Palatino Linotype" w:cs="Arial"/>
                <w:sz w:val="18"/>
                <w:szCs w:val="18"/>
              </w:rPr>
            </w:pPr>
          </w:p>
        </w:tc>
        <w:tc>
          <w:tcPr>
            <w:tcW w:w="0" w:type="auto"/>
            <w:tcBorders>
              <w:bottom w:val="single" w:sz="4" w:space="0" w:color="auto"/>
            </w:tcBorders>
            <w:shd w:val="clear" w:color="auto" w:fill="auto"/>
            <w:vAlign w:val="center"/>
          </w:tcPr>
          <w:p w14:paraId="6065A522"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No</w:t>
            </w:r>
          </w:p>
        </w:tc>
        <w:tc>
          <w:tcPr>
            <w:tcW w:w="0" w:type="auto"/>
            <w:tcBorders>
              <w:bottom w:val="single" w:sz="4" w:space="0" w:color="auto"/>
            </w:tcBorders>
            <w:shd w:val="clear" w:color="auto" w:fill="auto"/>
            <w:vAlign w:val="center"/>
          </w:tcPr>
          <w:p w14:paraId="367CF014"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6193</w:t>
            </w:r>
          </w:p>
        </w:tc>
        <w:tc>
          <w:tcPr>
            <w:tcW w:w="0" w:type="auto"/>
            <w:tcBorders>
              <w:bottom w:val="single" w:sz="4" w:space="0" w:color="auto"/>
            </w:tcBorders>
            <w:shd w:val="clear" w:color="auto" w:fill="auto"/>
            <w:vAlign w:val="center"/>
          </w:tcPr>
          <w:p w14:paraId="72130A3A"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40</w:t>
            </w:r>
          </w:p>
        </w:tc>
      </w:tr>
      <w:tr w:rsidR="00356611" w:rsidRPr="00356611" w14:paraId="42F3F5B8" w14:textId="77777777" w:rsidTr="00B8137C">
        <w:trPr>
          <w:cantSplit/>
          <w:jc w:val="center"/>
        </w:trPr>
        <w:tc>
          <w:tcPr>
            <w:tcW w:w="0" w:type="auto"/>
            <w:vMerge w:val="restart"/>
            <w:tcBorders>
              <w:top w:val="single" w:sz="4" w:space="0" w:color="auto"/>
            </w:tcBorders>
            <w:shd w:val="clear" w:color="auto" w:fill="auto"/>
            <w:vAlign w:val="center"/>
          </w:tcPr>
          <w:p w14:paraId="3CC4D682" w14:textId="77777777" w:rsidR="00356611" w:rsidRPr="00356611" w:rsidRDefault="00356611" w:rsidP="00B8137C">
            <w:pPr>
              <w:adjustRightInd w:val="0"/>
              <w:snapToGrid w:val="0"/>
              <w:spacing w:line="240" w:lineRule="auto"/>
              <w:jc w:val="left"/>
              <w:rPr>
                <w:rFonts w:ascii="Palatino Linotype" w:hAnsi="Palatino Linotype" w:cs="Arial"/>
                <w:b/>
                <w:sz w:val="18"/>
                <w:szCs w:val="18"/>
              </w:rPr>
            </w:pPr>
            <w:r w:rsidRPr="00356611">
              <w:rPr>
                <w:rFonts w:ascii="Palatino Linotype" w:hAnsi="Palatino Linotype" w:cs="Arial"/>
                <w:b/>
                <w:sz w:val="18"/>
                <w:szCs w:val="18"/>
              </w:rPr>
              <w:t>Exposure to digital SSB promotion</w:t>
            </w:r>
          </w:p>
        </w:tc>
        <w:tc>
          <w:tcPr>
            <w:tcW w:w="0" w:type="auto"/>
            <w:tcBorders>
              <w:top w:val="single" w:sz="4" w:space="0" w:color="auto"/>
            </w:tcBorders>
            <w:shd w:val="clear" w:color="auto" w:fill="auto"/>
            <w:vAlign w:val="center"/>
          </w:tcPr>
          <w:p w14:paraId="6666140A"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Yes</w:t>
            </w:r>
          </w:p>
        </w:tc>
        <w:tc>
          <w:tcPr>
            <w:tcW w:w="0" w:type="auto"/>
            <w:tcBorders>
              <w:top w:val="single" w:sz="4" w:space="0" w:color="auto"/>
            </w:tcBorders>
            <w:shd w:val="clear" w:color="auto" w:fill="auto"/>
            <w:vAlign w:val="center"/>
          </w:tcPr>
          <w:p w14:paraId="751BA32A"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5565</w:t>
            </w:r>
          </w:p>
        </w:tc>
        <w:tc>
          <w:tcPr>
            <w:tcW w:w="0" w:type="auto"/>
            <w:tcBorders>
              <w:top w:val="single" w:sz="4" w:space="0" w:color="auto"/>
            </w:tcBorders>
            <w:shd w:val="clear" w:color="auto" w:fill="auto"/>
            <w:vAlign w:val="center"/>
          </w:tcPr>
          <w:p w14:paraId="404F72CD"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36</w:t>
            </w:r>
          </w:p>
        </w:tc>
      </w:tr>
      <w:tr w:rsidR="00356611" w:rsidRPr="00356611" w14:paraId="71C04B4C" w14:textId="77777777" w:rsidTr="00B8137C">
        <w:trPr>
          <w:cantSplit/>
          <w:jc w:val="center"/>
        </w:trPr>
        <w:tc>
          <w:tcPr>
            <w:tcW w:w="0" w:type="auto"/>
            <w:vMerge/>
            <w:shd w:val="clear" w:color="auto" w:fill="auto"/>
            <w:vAlign w:val="center"/>
          </w:tcPr>
          <w:p w14:paraId="2426661E" w14:textId="77777777" w:rsidR="00356611" w:rsidRPr="00356611" w:rsidRDefault="00356611" w:rsidP="00B8137C">
            <w:pPr>
              <w:adjustRightInd w:val="0"/>
              <w:snapToGrid w:val="0"/>
              <w:spacing w:line="240" w:lineRule="auto"/>
              <w:jc w:val="left"/>
              <w:rPr>
                <w:rFonts w:ascii="Palatino Linotype" w:hAnsi="Palatino Linotype" w:cs="Arial"/>
                <w:b/>
                <w:sz w:val="18"/>
                <w:szCs w:val="18"/>
              </w:rPr>
            </w:pPr>
          </w:p>
        </w:tc>
        <w:tc>
          <w:tcPr>
            <w:tcW w:w="0" w:type="auto"/>
            <w:tcBorders>
              <w:bottom w:val="single" w:sz="4" w:space="0" w:color="auto"/>
            </w:tcBorders>
            <w:shd w:val="clear" w:color="auto" w:fill="auto"/>
            <w:vAlign w:val="center"/>
          </w:tcPr>
          <w:p w14:paraId="7028514E"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No</w:t>
            </w:r>
          </w:p>
        </w:tc>
        <w:tc>
          <w:tcPr>
            <w:tcW w:w="0" w:type="auto"/>
            <w:tcBorders>
              <w:bottom w:val="single" w:sz="4" w:space="0" w:color="auto"/>
            </w:tcBorders>
            <w:shd w:val="clear" w:color="auto" w:fill="auto"/>
            <w:vAlign w:val="center"/>
          </w:tcPr>
          <w:p w14:paraId="55C41751"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9950</w:t>
            </w:r>
          </w:p>
        </w:tc>
        <w:tc>
          <w:tcPr>
            <w:tcW w:w="0" w:type="auto"/>
            <w:tcBorders>
              <w:bottom w:val="single" w:sz="4" w:space="0" w:color="auto"/>
            </w:tcBorders>
            <w:shd w:val="clear" w:color="auto" w:fill="auto"/>
            <w:vAlign w:val="center"/>
          </w:tcPr>
          <w:p w14:paraId="5EBF738A"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64</w:t>
            </w:r>
          </w:p>
        </w:tc>
      </w:tr>
      <w:tr w:rsidR="00356611" w:rsidRPr="00356611" w14:paraId="62A1D933" w14:textId="77777777" w:rsidTr="00B8137C">
        <w:trPr>
          <w:cantSplit/>
          <w:jc w:val="center"/>
        </w:trPr>
        <w:tc>
          <w:tcPr>
            <w:tcW w:w="0" w:type="auto"/>
            <w:vMerge w:val="restart"/>
            <w:tcBorders>
              <w:top w:val="single" w:sz="4" w:space="0" w:color="auto"/>
            </w:tcBorders>
            <w:shd w:val="clear" w:color="auto" w:fill="auto"/>
            <w:vAlign w:val="center"/>
          </w:tcPr>
          <w:p w14:paraId="79159E76" w14:textId="77777777" w:rsidR="00356611" w:rsidRPr="00356611" w:rsidRDefault="00356611" w:rsidP="00B8137C">
            <w:pPr>
              <w:adjustRightInd w:val="0"/>
              <w:snapToGrid w:val="0"/>
              <w:spacing w:line="240" w:lineRule="auto"/>
              <w:jc w:val="left"/>
              <w:rPr>
                <w:rFonts w:ascii="Palatino Linotype" w:hAnsi="Palatino Linotype" w:cs="Arial"/>
                <w:b/>
                <w:sz w:val="18"/>
                <w:szCs w:val="18"/>
              </w:rPr>
            </w:pPr>
            <w:r w:rsidRPr="00356611">
              <w:rPr>
                <w:rFonts w:ascii="Palatino Linotype" w:hAnsi="Palatino Linotype" w:cs="Arial"/>
                <w:b/>
                <w:sz w:val="18"/>
                <w:szCs w:val="18"/>
              </w:rPr>
              <w:t>Exposure to recreational environment SSB promotion</w:t>
            </w:r>
          </w:p>
        </w:tc>
        <w:tc>
          <w:tcPr>
            <w:tcW w:w="0" w:type="auto"/>
            <w:tcBorders>
              <w:top w:val="single" w:sz="4" w:space="0" w:color="auto"/>
            </w:tcBorders>
            <w:shd w:val="clear" w:color="auto" w:fill="auto"/>
            <w:vAlign w:val="center"/>
          </w:tcPr>
          <w:p w14:paraId="4D6D1ECF"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Yes</w:t>
            </w:r>
          </w:p>
        </w:tc>
        <w:tc>
          <w:tcPr>
            <w:tcW w:w="0" w:type="auto"/>
            <w:tcBorders>
              <w:top w:val="single" w:sz="4" w:space="0" w:color="auto"/>
            </w:tcBorders>
            <w:shd w:val="clear" w:color="auto" w:fill="auto"/>
            <w:vAlign w:val="center"/>
          </w:tcPr>
          <w:p w14:paraId="6E43D479"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p>
        </w:tc>
        <w:tc>
          <w:tcPr>
            <w:tcW w:w="0" w:type="auto"/>
            <w:tcBorders>
              <w:top w:val="single" w:sz="4" w:space="0" w:color="auto"/>
            </w:tcBorders>
            <w:shd w:val="clear" w:color="auto" w:fill="auto"/>
            <w:vAlign w:val="center"/>
          </w:tcPr>
          <w:p w14:paraId="3B3B07AA"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28</w:t>
            </w:r>
          </w:p>
        </w:tc>
      </w:tr>
      <w:tr w:rsidR="00356611" w:rsidRPr="00356611" w14:paraId="4330FD47" w14:textId="77777777" w:rsidTr="00B8137C">
        <w:trPr>
          <w:cantSplit/>
          <w:jc w:val="center"/>
        </w:trPr>
        <w:tc>
          <w:tcPr>
            <w:tcW w:w="0" w:type="auto"/>
            <w:vMerge/>
            <w:shd w:val="clear" w:color="auto" w:fill="auto"/>
            <w:vAlign w:val="center"/>
          </w:tcPr>
          <w:p w14:paraId="76166E90" w14:textId="77777777" w:rsidR="00356611" w:rsidRPr="00356611" w:rsidRDefault="00356611" w:rsidP="00B8137C">
            <w:pPr>
              <w:adjustRightInd w:val="0"/>
              <w:snapToGrid w:val="0"/>
              <w:spacing w:line="240" w:lineRule="auto"/>
              <w:jc w:val="left"/>
              <w:rPr>
                <w:rFonts w:ascii="Palatino Linotype" w:hAnsi="Palatino Linotype" w:cs="Arial"/>
                <w:b/>
                <w:sz w:val="18"/>
                <w:szCs w:val="18"/>
              </w:rPr>
            </w:pPr>
          </w:p>
        </w:tc>
        <w:tc>
          <w:tcPr>
            <w:tcW w:w="0" w:type="auto"/>
            <w:tcBorders>
              <w:bottom w:val="single" w:sz="4" w:space="0" w:color="auto"/>
            </w:tcBorders>
            <w:shd w:val="clear" w:color="auto" w:fill="auto"/>
            <w:vAlign w:val="center"/>
          </w:tcPr>
          <w:p w14:paraId="559C7FE0"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No</w:t>
            </w:r>
          </w:p>
        </w:tc>
        <w:tc>
          <w:tcPr>
            <w:tcW w:w="0" w:type="auto"/>
            <w:tcBorders>
              <w:bottom w:val="single" w:sz="4" w:space="0" w:color="auto"/>
            </w:tcBorders>
            <w:shd w:val="clear" w:color="auto" w:fill="auto"/>
            <w:vAlign w:val="center"/>
          </w:tcPr>
          <w:p w14:paraId="6FE28E10"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4363</w:t>
            </w:r>
          </w:p>
        </w:tc>
        <w:tc>
          <w:tcPr>
            <w:tcW w:w="0" w:type="auto"/>
            <w:tcBorders>
              <w:bottom w:val="single" w:sz="4" w:space="0" w:color="auto"/>
            </w:tcBorders>
            <w:shd w:val="clear" w:color="auto" w:fill="auto"/>
            <w:vAlign w:val="center"/>
          </w:tcPr>
          <w:p w14:paraId="6170E5E9"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72</w:t>
            </w:r>
          </w:p>
        </w:tc>
      </w:tr>
      <w:tr w:rsidR="00356611" w:rsidRPr="00356611" w14:paraId="45C97712" w14:textId="77777777" w:rsidTr="00B8137C">
        <w:trPr>
          <w:cantSplit/>
          <w:jc w:val="center"/>
        </w:trPr>
        <w:tc>
          <w:tcPr>
            <w:tcW w:w="0" w:type="auto"/>
            <w:vMerge w:val="restart"/>
            <w:tcBorders>
              <w:top w:val="single" w:sz="4" w:space="0" w:color="auto"/>
            </w:tcBorders>
            <w:shd w:val="clear" w:color="auto" w:fill="auto"/>
            <w:vAlign w:val="center"/>
          </w:tcPr>
          <w:p w14:paraId="49715A45" w14:textId="77777777" w:rsidR="00356611" w:rsidRPr="00356611" w:rsidRDefault="00356611" w:rsidP="00B8137C">
            <w:pPr>
              <w:adjustRightInd w:val="0"/>
              <w:snapToGrid w:val="0"/>
              <w:spacing w:line="240" w:lineRule="auto"/>
              <w:jc w:val="left"/>
              <w:rPr>
                <w:rFonts w:ascii="Palatino Linotype" w:hAnsi="Palatino Linotype" w:cs="Arial"/>
                <w:b/>
                <w:sz w:val="18"/>
                <w:szCs w:val="18"/>
              </w:rPr>
            </w:pPr>
            <w:r w:rsidRPr="00356611">
              <w:rPr>
                <w:rFonts w:ascii="Palatino Linotype" w:hAnsi="Palatino Linotype" w:cs="Arial"/>
                <w:b/>
                <w:sz w:val="18"/>
                <w:szCs w:val="18"/>
              </w:rPr>
              <w:t>Exposure to functional environment SSB promotion</w:t>
            </w:r>
          </w:p>
        </w:tc>
        <w:tc>
          <w:tcPr>
            <w:tcW w:w="0" w:type="auto"/>
            <w:tcBorders>
              <w:top w:val="single" w:sz="4" w:space="0" w:color="auto"/>
            </w:tcBorders>
            <w:shd w:val="clear" w:color="auto" w:fill="auto"/>
            <w:vAlign w:val="center"/>
          </w:tcPr>
          <w:p w14:paraId="1CA0DBDD"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Yes</w:t>
            </w:r>
          </w:p>
        </w:tc>
        <w:tc>
          <w:tcPr>
            <w:tcW w:w="0" w:type="auto"/>
            <w:tcBorders>
              <w:top w:val="single" w:sz="4" w:space="0" w:color="auto"/>
            </w:tcBorders>
            <w:shd w:val="clear" w:color="auto" w:fill="auto"/>
            <w:vAlign w:val="center"/>
          </w:tcPr>
          <w:p w14:paraId="621F7C1C"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5265</w:t>
            </w:r>
          </w:p>
        </w:tc>
        <w:tc>
          <w:tcPr>
            <w:tcW w:w="0" w:type="auto"/>
            <w:tcBorders>
              <w:top w:val="single" w:sz="4" w:space="0" w:color="auto"/>
            </w:tcBorders>
            <w:shd w:val="clear" w:color="auto" w:fill="auto"/>
            <w:vAlign w:val="center"/>
          </w:tcPr>
          <w:p w14:paraId="6CE91B4E"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34</w:t>
            </w:r>
          </w:p>
        </w:tc>
      </w:tr>
      <w:tr w:rsidR="00356611" w:rsidRPr="00356611" w14:paraId="447A8613" w14:textId="77777777" w:rsidTr="00B8137C">
        <w:trPr>
          <w:cantSplit/>
          <w:jc w:val="center"/>
        </w:trPr>
        <w:tc>
          <w:tcPr>
            <w:tcW w:w="0" w:type="auto"/>
            <w:vMerge/>
            <w:tcBorders>
              <w:bottom w:val="single" w:sz="4" w:space="0" w:color="auto"/>
            </w:tcBorders>
            <w:shd w:val="clear" w:color="auto" w:fill="auto"/>
            <w:vAlign w:val="center"/>
          </w:tcPr>
          <w:p w14:paraId="5CE9D191" w14:textId="77777777" w:rsidR="00356611" w:rsidRPr="00356611" w:rsidRDefault="00356611" w:rsidP="00B8137C">
            <w:pPr>
              <w:adjustRightInd w:val="0"/>
              <w:snapToGrid w:val="0"/>
              <w:spacing w:line="240" w:lineRule="auto"/>
              <w:jc w:val="left"/>
              <w:rPr>
                <w:rFonts w:ascii="Palatino Linotype" w:hAnsi="Palatino Linotype" w:cs="Arial"/>
                <w:b/>
                <w:sz w:val="18"/>
                <w:szCs w:val="18"/>
              </w:rPr>
            </w:pPr>
          </w:p>
        </w:tc>
        <w:tc>
          <w:tcPr>
            <w:tcW w:w="0" w:type="auto"/>
            <w:tcBorders>
              <w:bottom w:val="single" w:sz="4" w:space="0" w:color="auto"/>
            </w:tcBorders>
            <w:shd w:val="clear" w:color="auto" w:fill="auto"/>
            <w:vAlign w:val="center"/>
          </w:tcPr>
          <w:p w14:paraId="11199453"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No</w:t>
            </w:r>
          </w:p>
        </w:tc>
        <w:tc>
          <w:tcPr>
            <w:tcW w:w="0" w:type="auto"/>
            <w:tcBorders>
              <w:bottom w:val="single" w:sz="4" w:space="0" w:color="auto"/>
            </w:tcBorders>
            <w:shd w:val="clear" w:color="auto" w:fill="auto"/>
            <w:vAlign w:val="center"/>
          </w:tcPr>
          <w:p w14:paraId="1D5BF62B"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10,250</w:t>
            </w:r>
          </w:p>
        </w:tc>
        <w:tc>
          <w:tcPr>
            <w:tcW w:w="0" w:type="auto"/>
            <w:tcBorders>
              <w:bottom w:val="single" w:sz="4" w:space="0" w:color="auto"/>
            </w:tcBorders>
            <w:shd w:val="clear" w:color="auto" w:fill="auto"/>
            <w:vAlign w:val="center"/>
          </w:tcPr>
          <w:p w14:paraId="6BFF8412"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66</w:t>
            </w:r>
          </w:p>
        </w:tc>
      </w:tr>
      <w:tr w:rsidR="00356611" w:rsidRPr="00356611" w14:paraId="20F99EF0" w14:textId="77777777" w:rsidTr="00B8137C">
        <w:trPr>
          <w:cantSplit/>
          <w:jc w:val="center"/>
        </w:trPr>
        <w:tc>
          <w:tcPr>
            <w:tcW w:w="0" w:type="auto"/>
            <w:vMerge w:val="restart"/>
            <w:tcBorders>
              <w:top w:val="single" w:sz="4" w:space="0" w:color="auto"/>
            </w:tcBorders>
            <w:shd w:val="clear" w:color="auto" w:fill="auto"/>
            <w:vAlign w:val="center"/>
          </w:tcPr>
          <w:p w14:paraId="2B765128" w14:textId="77777777" w:rsidR="00356611" w:rsidRPr="00356611" w:rsidRDefault="00356611" w:rsidP="00B8137C">
            <w:pPr>
              <w:adjustRightInd w:val="0"/>
              <w:snapToGrid w:val="0"/>
              <w:spacing w:line="240" w:lineRule="auto"/>
              <w:jc w:val="left"/>
              <w:rPr>
                <w:rFonts w:ascii="Palatino Linotype" w:hAnsi="Palatino Linotype" w:cs="Arial"/>
                <w:sz w:val="18"/>
                <w:szCs w:val="18"/>
              </w:rPr>
            </w:pPr>
            <w:r w:rsidRPr="00356611">
              <w:rPr>
                <w:rFonts w:ascii="Palatino Linotype" w:hAnsi="Palatino Linotype" w:cs="Arial"/>
                <w:b/>
                <w:sz w:val="18"/>
                <w:szCs w:val="18"/>
              </w:rPr>
              <w:t>Country</w:t>
            </w:r>
          </w:p>
        </w:tc>
        <w:tc>
          <w:tcPr>
            <w:tcW w:w="0" w:type="auto"/>
            <w:tcBorders>
              <w:top w:val="single" w:sz="4" w:space="0" w:color="auto"/>
            </w:tcBorders>
            <w:shd w:val="clear" w:color="auto" w:fill="auto"/>
            <w:vAlign w:val="center"/>
          </w:tcPr>
          <w:p w14:paraId="75144598"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UK</w:t>
            </w:r>
          </w:p>
        </w:tc>
        <w:tc>
          <w:tcPr>
            <w:tcW w:w="0" w:type="auto"/>
            <w:tcBorders>
              <w:top w:val="single" w:sz="4" w:space="0" w:color="auto"/>
            </w:tcBorders>
            <w:shd w:val="clear" w:color="auto" w:fill="auto"/>
            <w:vAlign w:val="center"/>
          </w:tcPr>
          <w:p w14:paraId="25BEBECC"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3026</w:t>
            </w:r>
          </w:p>
        </w:tc>
        <w:tc>
          <w:tcPr>
            <w:tcW w:w="0" w:type="auto"/>
            <w:tcBorders>
              <w:top w:val="single" w:sz="4" w:space="0" w:color="auto"/>
            </w:tcBorders>
            <w:shd w:val="clear" w:color="auto" w:fill="auto"/>
            <w:vAlign w:val="center"/>
          </w:tcPr>
          <w:p w14:paraId="21AA6536"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20</w:t>
            </w:r>
          </w:p>
        </w:tc>
      </w:tr>
      <w:tr w:rsidR="00356611" w:rsidRPr="00356611" w14:paraId="0D84FEB9" w14:textId="77777777" w:rsidTr="00B8137C">
        <w:trPr>
          <w:cantSplit/>
          <w:jc w:val="center"/>
        </w:trPr>
        <w:tc>
          <w:tcPr>
            <w:tcW w:w="0" w:type="auto"/>
            <w:vMerge/>
            <w:shd w:val="clear" w:color="auto" w:fill="auto"/>
            <w:vAlign w:val="center"/>
          </w:tcPr>
          <w:p w14:paraId="23531A42" w14:textId="77777777" w:rsidR="00356611" w:rsidRPr="00356611" w:rsidRDefault="00356611" w:rsidP="00B8137C">
            <w:pPr>
              <w:adjustRightInd w:val="0"/>
              <w:snapToGrid w:val="0"/>
              <w:spacing w:line="240" w:lineRule="auto"/>
              <w:jc w:val="left"/>
              <w:rPr>
                <w:rFonts w:ascii="Palatino Linotype" w:hAnsi="Palatino Linotype" w:cs="Arial"/>
                <w:sz w:val="18"/>
                <w:szCs w:val="18"/>
              </w:rPr>
            </w:pPr>
          </w:p>
        </w:tc>
        <w:tc>
          <w:tcPr>
            <w:tcW w:w="0" w:type="auto"/>
            <w:shd w:val="clear" w:color="auto" w:fill="auto"/>
            <w:vAlign w:val="center"/>
          </w:tcPr>
          <w:p w14:paraId="46230AE0"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Australia</w:t>
            </w:r>
          </w:p>
        </w:tc>
        <w:tc>
          <w:tcPr>
            <w:tcW w:w="0" w:type="auto"/>
            <w:shd w:val="clear" w:color="auto" w:fill="auto"/>
            <w:vAlign w:val="center"/>
          </w:tcPr>
          <w:p w14:paraId="4965165B"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2996</w:t>
            </w:r>
          </w:p>
        </w:tc>
        <w:tc>
          <w:tcPr>
            <w:tcW w:w="0" w:type="auto"/>
            <w:shd w:val="clear" w:color="auto" w:fill="auto"/>
            <w:vAlign w:val="center"/>
          </w:tcPr>
          <w:p w14:paraId="461778E0"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19</w:t>
            </w:r>
          </w:p>
        </w:tc>
      </w:tr>
      <w:tr w:rsidR="00356611" w:rsidRPr="00356611" w14:paraId="3E46A49D" w14:textId="77777777" w:rsidTr="00B8137C">
        <w:trPr>
          <w:cantSplit/>
          <w:jc w:val="center"/>
        </w:trPr>
        <w:tc>
          <w:tcPr>
            <w:tcW w:w="0" w:type="auto"/>
            <w:vMerge/>
            <w:shd w:val="clear" w:color="auto" w:fill="auto"/>
            <w:vAlign w:val="center"/>
          </w:tcPr>
          <w:p w14:paraId="422CAE69" w14:textId="77777777" w:rsidR="00356611" w:rsidRPr="00356611" w:rsidRDefault="00356611" w:rsidP="00B8137C">
            <w:pPr>
              <w:adjustRightInd w:val="0"/>
              <w:snapToGrid w:val="0"/>
              <w:spacing w:line="240" w:lineRule="auto"/>
              <w:jc w:val="left"/>
              <w:rPr>
                <w:rFonts w:ascii="Palatino Linotype" w:hAnsi="Palatino Linotype" w:cs="Arial"/>
                <w:sz w:val="18"/>
                <w:szCs w:val="18"/>
              </w:rPr>
            </w:pPr>
          </w:p>
        </w:tc>
        <w:tc>
          <w:tcPr>
            <w:tcW w:w="0" w:type="auto"/>
            <w:shd w:val="clear" w:color="auto" w:fill="auto"/>
            <w:vAlign w:val="center"/>
          </w:tcPr>
          <w:p w14:paraId="472BDC9E"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Canada</w:t>
            </w:r>
          </w:p>
        </w:tc>
        <w:tc>
          <w:tcPr>
            <w:tcW w:w="0" w:type="auto"/>
            <w:shd w:val="clear" w:color="auto" w:fill="auto"/>
            <w:vAlign w:val="center"/>
          </w:tcPr>
          <w:p w14:paraId="78BB7781"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2575</w:t>
            </w:r>
          </w:p>
        </w:tc>
        <w:tc>
          <w:tcPr>
            <w:tcW w:w="0" w:type="auto"/>
            <w:shd w:val="clear" w:color="auto" w:fill="auto"/>
            <w:vAlign w:val="center"/>
          </w:tcPr>
          <w:p w14:paraId="4AE49576"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17</w:t>
            </w:r>
          </w:p>
        </w:tc>
      </w:tr>
      <w:tr w:rsidR="00356611" w:rsidRPr="00356611" w14:paraId="7C4437EE" w14:textId="77777777" w:rsidTr="00B8137C">
        <w:trPr>
          <w:cantSplit/>
          <w:jc w:val="center"/>
        </w:trPr>
        <w:tc>
          <w:tcPr>
            <w:tcW w:w="0" w:type="auto"/>
            <w:vMerge/>
            <w:shd w:val="clear" w:color="auto" w:fill="auto"/>
            <w:vAlign w:val="center"/>
          </w:tcPr>
          <w:p w14:paraId="3725DF39" w14:textId="77777777" w:rsidR="00356611" w:rsidRPr="00356611" w:rsidRDefault="00356611" w:rsidP="00B8137C">
            <w:pPr>
              <w:adjustRightInd w:val="0"/>
              <w:snapToGrid w:val="0"/>
              <w:spacing w:line="240" w:lineRule="auto"/>
              <w:jc w:val="left"/>
              <w:rPr>
                <w:rFonts w:ascii="Palatino Linotype" w:hAnsi="Palatino Linotype" w:cs="Arial"/>
                <w:sz w:val="18"/>
                <w:szCs w:val="18"/>
              </w:rPr>
            </w:pPr>
          </w:p>
        </w:tc>
        <w:tc>
          <w:tcPr>
            <w:tcW w:w="0" w:type="auto"/>
            <w:shd w:val="clear" w:color="auto" w:fill="auto"/>
            <w:vAlign w:val="center"/>
          </w:tcPr>
          <w:p w14:paraId="42F14C6C"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USA</w:t>
            </w:r>
          </w:p>
        </w:tc>
        <w:tc>
          <w:tcPr>
            <w:tcW w:w="0" w:type="auto"/>
            <w:shd w:val="clear" w:color="auto" w:fill="auto"/>
            <w:vAlign w:val="center"/>
          </w:tcPr>
          <w:p w14:paraId="3E0DA659"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3793</w:t>
            </w:r>
          </w:p>
        </w:tc>
        <w:tc>
          <w:tcPr>
            <w:tcW w:w="0" w:type="auto"/>
            <w:shd w:val="clear" w:color="auto" w:fill="auto"/>
            <w:vAlign w:val="center"/>
          </w:tcPr>
          <w:p w14:paraId="2CB37961"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24</w:t>
            </w:r>
          </w:p>
        </w:tc>
      </w:tr>
      <w:tr w:rsidR="00356611" w:rsidRPr="00356611" w14:paraId="3AD660DC" w14:textId="77777777" w:rsidTr="00B8137C">
        <w:trPr>
          <w:cantSplit/>
          <w:jc w:val="center"/>
        </w:trPr>
        <w:tc>
          <w:tcPr>
            <w:tcW w:w="0" w:type="auto"/>
            <w:vMerge/>
            <w:tcBorders>
              <w:bottom w:val="single" w:sz="4" w:space="0" w:color="auto"/>
            </w:tcBorders>
            <w:shd w:val="clear" w:color="auto" w:fill="auto"/>
            <w:vAlign w:val="center"/>
          </w:tcPr>
          <w:p w14:paraId="6022A06B" w14:textId="77777777" w:rsidR="00356611" w:rsidRPr="00356611" w:rsidRDefault="00356611" w:rsidP="00B8137C">
            <w:pPr>
              <w:adjustRightInd w:val="0"/>
              <w:snapToGrid w:val="0"/>
              <w:spacing w:line="240" w:lineRule="auto"/>
              <w:jc w:val="left"/>
              <w:rPr>
                <w:rFonts w:ascii="Palatino Linotype" w:hAnsi="Palatino Linotype" w:cs="Arial"/>
                <w:sz w:val="18"/>
                <w:szCs w:val="18"/>
              </w:rPr>
            </w:pPr>
          </w:p>
        </w:tc>
        <w:tc>
          <w:tcPr>
            <w:tcW w:w="0" w:type="auto"/>
            <w:tcBorders>
              <w:bottom w:val="single" w:sz="4" w:space="0" w:color="auto"/>
            </w:tcBorders>
            <w:shd w:val="clear" w:color="auto" w:fill="auto"/>
            <w:vAlign w:val="center"/>
          </w:tcPr>
          <w:p w14:paraId="2B71058F"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Mexico</w:t>
            </w:r>
          </w:p>
        </w:tc>
        <w:tc>
          <w:tcPr>
            <w:tcW w:w="0" w:type="auto"/>
            <w:tcBorders>
              <w:bottom w:val="single" w:sz="4" w:space="0" w:color="auto"/>
            </w:tcBorders>
            <w:shd w:val="clear" w:color="auto" w:fill="auto"/>
            <w:vAlign w:val="center"/>
          </w:tcPr>
          <w:p w14:paraId="29EF0CE0"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3126</w:t>
            </w:r>
          </w:p>
        </w:tc>
        <w:tc>
          <w:tcPr>
            <w:tcW w:w="0" w:type="auto"/>
            <w:tcBorders>
              <w:bottom w:val="single" w:sz="4" w:space="0" w:color="auto"/>
            </w:tcBorders>
            <w:shd w:val="clear" w:color="auto" w:fill="auto"/>
            <w:vAlign w:val="center"/>
          </w:tcPr>
          <w:p w14:paraId="52CDC39E"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20</w:t>
            </w:r>
          </w:p>
        </w:tc>
      </w:tr>
      <w:tr w:rsidR="00356611" w:rsidRPr="00356611" w14:paraId="3377255B" w14:textId="77777777" w:rsidTr="00B8137C">
        <w:trPr>
          <w:cantSplit/>
          <w:jc w:val="center"/>
        </w:trPr>
        <w:tc>
          <w:tcPr>
            <w:tcW w:w="0" w:type="auto"/>
            <w:vMerge w:val="restart"/>
            <w:tcBorders>
              <w:top w:val="single" w:sz="4" w:space="0" w:color="auto"/>
            </w:tcBorders>
            <w:shd w:val="clear" w:color="auto" w:fill="auto"/>
            <w:vAlign w:val="center"/>
          </w:tcPr>
          <w:p w14:paraId="4D4EB74E" w14:textId="77777777" w:rsidR="00356611" w:rsidRPr="00356611" w:rsidRDefault="00356611" w:rsidP="00B8137C">
            <w:pPr>
              <w:adjustRightInd w:val="0"/>
              <w:snapToGrid w:val="0"/>
              <w:spacing w:line="240" w:lineRule="auto"/>
              <w:jc w:val="left"/>
              <w:rPr>
                <w:rFonts w:ascii="Palatino Linotype" w:hAnsi="Palatino Linotype" w:cs="Arial"/>
                <w:sz w:val="18"/>
                <w:szCs w:val="18"/>
              </w:rPr>
            </w:pPr>
            <w:r w:rsidRPr="00356611">
              <w:rPr>
                <w:rFonts w:ascii="Palatino Linotype" w:hAnsi="Palatino Linotype" w:cs="Arial"/>
                <w:b/>
                <w:sz w:val="18"/>
                <w:szCs w:val="18"/>
              </w:rPr>
              <w:t>Sex</w:t>
            </w:r>
          </w:p>
        </w:tc>
        <w:tc>
          <w:tcPr>
            <w:tcW w:w="0" w:type="auto"/>
            <w:tcBorders>
              <w:top w:val="single" w:sz="4" w:space="0" w:color="auto"/>
            </w:tcBorders>
            <w:shd w:val="clear" w:color="auto" w:fill="auto"/>
            <w:vAlign w:val="center"/>
          </w:tcPr>
          <w:p w14:paraId="5FDB0DF1"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Male</w:t>
            </w:r>
          </w:p>
        </w:tc>
        <w:tc>
          <w:tcPr>
            <w:tcW w:w="0" w:type="auto"/>
            <w:tcBorders>
              <w:top w:val="single" w:sz="4" w:space="0" w:color="auto"/>
            </w:tcBorders>
            <w:shd w:val="clear" w:color="auto" w:fill="auto"/>
            <w:vAlign w:val="center"/>
          </w:tcPr>
          <w:p w14:paraId="71B2B1E3"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7862</w:t>
            </w:r>
          </w:p>
        </w:tc>
        <w:tc>
          <w:tcPr>
            <w:tcW w:w="0" w:type="auto"/>
            <w:tcBorders>
              <w:top w:val="single" w:sz="4" w:space="0" w:color="auto"/>
            </w:tcBorders>
            <w:shd w:val="clear" w:color="auto" w:fill="auto"/>
            <w:vAlign w:val="center"/>
          </w:tcPr>
          <w:p w14:paraId="6F5F3B69"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51</w:t>
            </w:r>
          </w:p>
        </w:tc>
      </w:tr>
      <w:tr w:rsidR="00356611" w:rsidRPr="00356611" w14:paraId="593B3508" w14:textId="77777777" w:rsidTr="00B8137C">
        <w:trPr>
          <w:cantSplit/>
          <w:jc w:val="center"/>
        </w:trPr>
        <w:tc>
          <w:tcPr>
            <w:tcW w:w="0" w:type="auto"/>
            <w:vMerge/>
            <w:tcBorders>
              <w:bottom w:val="single" w:sz="4" w:space="0" w:color="auto"/>
            </w:tcBorders>
            <w:shd w:val="clear" w:color="auto" w:fill="auto"/>
            <w:vAlign w:val="center"/>
          </w:tcPr>
          <w:p w14:paraId="7CE0D16C" w14:textId="77777777" w:rsidR="00356611" w:rsidRPr="00356611" w:rsidRDefault="00356611" w:rsidP="00B8137C">
            <w:pPr>
              <w:adjustRightInd w:val="0"/>
              <w:snapToGrid w:val="0"/>
              <w:spacing w:line="240" w:lineRule="auto"/>
              <w:jc w:val="left"/>
              <w:rPr>
                <w:rFonts w:ascii="Palatino Linotype" w:hAnsi="Palatino Linotype" w:cs="Arial"/>
                <w:sz w:val="18"/>
                <w:szCs w:val="18"/>
              </w:rPr>
            </w:pPr>
          </w:p>
        </w:tc>
        <w:tc>
          <w:tcPr>
            <w:tcW w:w="0" w:type="auto"/>
            <w:tcBorders>
              <w:bottom w:val="single" w:sz="4" w:space="0" w:color="auto"/>
            </w:tcBorders>
            <w:shd w:val="clear" w:color="auto" w:fill="auto"/>
            <w:vAlign w:val="center"/>
          </w:tcPr>
          <w:p w14:paraId="57CF135F"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Female</w:t>
            </w:r>
          </w:p>
        </w:tc>
        <w:tc>
          <w:tcPr>
            <w:tcW w:w="0" w:type="auto"/>
            <w:tcBorders>
              <w:bottom w:val="single" w:sz="4" w:space="0" w:color="auto"/>
            </w:tcBorders>
            <w:shd w:val="clear" w:color="auto" w:fill="auto"/>
            <w:vAlign w:val="center"/>
          </w:tcPr>
          <w:p w14:paraId="3E26F628"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7653</w:t>
            </w:r>
          </w:p>
        </w:tc>
        <w:tc>
          <w:tcPr>
            <w:tcW w:w="0" w:type="auto"/>
            <w:tcBorders>
              <w:bottom w:val="single" w:sz="4" w:space="0" w:color="auto"/>
            </w:tcBorders>
            <w:shd w:val="clear" w:color="auto" w:fill="auto"/>
            <w:vAlign w:val="center"/>
          </w:tcPr>
          <w:p w14:paraId="77BE43C8"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49</w:t>
            </w:r>
          </w:p>
        </w:tc>
      </w:tr>
      <w:tr w:rsidR="00356611" w:rsidRPr="00356611" w14:paraId="7311BA89" w14:textId="77777777" w:rsidTr="00B8137C">
        <w:trPr>
          <w:cantSplit/>
          <w:jc w:val="center"/>
        </w:trPr>
        <w:tc>
          <w:tcPr>
            <w:tcW w:w="0" w:type="auto"/>
            <w:tcBorders>
              <w:top w:val="single" w:sz="4" w:space="0" w:color="auto"/>
            </w:tcBorders>
            <w:shd w:val="clear" w:color="auto" w:fill="auto"/>
            <w:vAlign w:val="center"/>
          </w:tcPr>
          <w:p w14:paraId="4F6E6AF7" w14:textId="77777777" w:rsidR="00356611" w:rsidRPr="00356611" w:rsidRDefault="00356611" w:rsidP="00B8137C">
            <w:pPr>
              <w:adjustRightInd w:val="0"/>
              <w:snapToGrid w:val="0"/>
              <w:spacing w:line="240" w:lineRule="auto"/>
              <w:jc w:val="left"/>
              <w:rPr>
                <w:rFonts w:ascii="Palatino Linotype" w:hAnsi="Palatino Linotype" w:cs="Arial"/>
                <w:b/>
                <w:sz w:val="18"/>
                <w:szCs w:val="18"/>
              </w:rPr>
            </w:pPr>
            <w:r w:rsidRPr="00356611">
              <w:rPr>
                <w:rFonts w:ascii="Palatino Linotype" w:hAnsi="Palatino Linotype" w:cs="Arial"/>
                <w:b/>
                <w:sz w:val="18"/>
                <w:szCs w:val="18"/>
              </w:rPr>
              <w:t>Age (years)</w:t>
            </w:r>
          </w:p>
        </w:tc>
        <w:tc>
          <w:tcPr>
            <w:tcW w:w="0" w:type="auto"/>
            <w:tcBorders>
              <w:top w:val="single" w:sz="4" w:space="0" w:color="auto"/>
              <w:bottom w:val="single" w:sz="4" w:space="0" w:color="auto"/>
            </w:tcBorders>
            <w:shd w:val="clear" w:color="auto" w:fill="auto"/>
            <w:vAlign w:val="center"/>
          </w:tcPr>
          <w:p w14:paraId="5A0A779F"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Continuous</w:t>
            </w:r>
          </w:p>
        </w:tc>
        <w:tc>
          <w:tcPr>
            <w:tcW w:w="0" w:type="auto"/>
            <w:tcBorders>
              <w:top w:val="single" w:sz="4" w:space="0" w:color="auto"/>
              <w:bottom w:val="single" w:sz="4" w:space="0" w:color="auto"/>
            </w:tcBorders>
            <w:shd w:val="clear" w:color="auto" w:fill="auto"/>
            <w:vAlign w:val="center"/>
          </w:tcPr>
          <w:p w14:paraId="5E9BEC32"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15,515</w:t>
            </w:r>
          </w:p>
        </w:tc>
        <w:tc>
          <w:tcPr>
            <w:tcW w:w="0" w:type="auto"/>
            <w:tcBorders>
              <w:top w:val="single" w:sz="4" w:space="0" w:color="auto"/>
              <w:bottom w:val="single" w:sz="4" w:space="0" w:color="auto"/>
            </w:tcBorders>
            <w:shd w:val="clear" w:color="auto" w:fill="auto"/>
            <w:vAlign w:val="center"/>
          </w:tcPr>
          <w:p w14:paraId="1EC12769"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Median = 40 (IQ 29, 52))</w:t>
            </w:r>
          </w:p>
        </w:tc>
      </w:tr>
      <w:tr w:rsidR="00356611" w:rsidRPr="00356611" w14:paraId="43723459" w14:textId="77777777" w:rsidTr="00B8137C">
        <w:trPr>
          <w:cantSplit/>
          <w:jc w:val="center"/>
        </w:trPr>
        <w:tc>
          <w:tcPr>
            <w:tcW w:w="0" w:type="auto"/>
            <w:vMerge w:val="restart"/>
            <w:tcBorders>
              <w:top w:val="single" w:sz="4" w:space="0" w:color="auto"/>
            </w:tcBorders>
            <w:shd w:val="clear" w:color="auto" w:fill="auto"/>
            <w:vAlign w:val="center"/>
          </w:tcPr>
          <w:p w14:paraId="0A2E2058" w14:textId="77777777" w:rsidR="00356611" w:rsidRPr="00356611" w:rsidRDefault="00356611" w:rsidP="00B8137C">
            <w:pPr>
              <w:adjustRightInd w:val="0"/>
              <w:snapToGrid w:val="0"/>
              <w:spacing w:line="240" w:lineRule="auto"/>
              <w:jc w:val="left"/>
              <w:rPr>
                <w:rFonts w:ascii="Palatino Linotype" w:hAnsi="Palatino Linotype" w:cs="Arial"/>
                <w:sz w:val="18"/>
                <w:szCs w:val="18"/>
              </w:rPr>
            </w:pPr>
            <w:r w:rsidRPr="00356611">
              <w:rPr>
                <w:rFonts w:ascii="Palatino Linotype" w:hAnsi="Palatino Linotype" w:cs="Arial"/>
                <w:b/>
                <w:sz w:val="18"/>
                <w:szCs w:val="18"/>
              </w:rPr>
              <w:t>Ethnicity</w:t>
            </w:r>
          </w:p>
        </w:tc>
        <w:tc>
          <w:tcPr>
            <w:tcW w:w="0" w:type="auto"/>
            <w:tcBorders>
              <w:top w:val="single" w:sz="4" w:space="0" w:color="auto"/>
            </w:tcBorders>
            <w:shd w:val="clear" w:color="auto" w:fill="auto"/>
            <w:vAlign w:val="center"/>
          </w:tcPr>
          <w:p w14:paraId="269B8C23"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Majority</w:t>
            </w:r>
          </w:p>
        </w:tc>
        <w:tc>
          <w:tcPr>
            <w:tcW w:w="0" w:type="auto"/>
            <w:tcBorders>
              <w:top w:val="single" w:sz="4" w:space="0" w:color="auto"/>
            </w:tcBorders>
            <w:shd w:val="clear" w:color="auto" w:fill="auto"/>
            <w:vAlign w:val="center"/>
          </w:tcPr>
          <w:p w14:paraId="385BEF16"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12,248</w:t>
            </w:r>
          </w:p>
        </w:tc>
        <w:tc>
          <w:tcPr>
            <w:tcW w:w="0" w:type="auto"/>
            <w:tcBorders>
              <w:top w:val="single" w:sz="4" w:space="0" w:color="auto"/>
            </w:tcBorders>
            <w:shd w:val="clear" w:color="auto" w:fill="auto"/>
            <w:vAlign w:val="center"/>
          </w:tcPr>
          <w:p w14:paraId="39EFE6B3"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79</w:t>
            </w:r>
          </w:p>
        </w:tc>
      </w:tr>
      <w:tr w:rsidR="00356611" w:rsidRPr="00356611" w14:paraId="777ABFAA" w14:textId="77777777" w:rsidTr="00B8137C">
        <w:trPr>
          <w:cantSplit/>
          <w:jc w:val="center"/>
        </w:trPr>
        <w:tc>
          <w:tcPr>
            <w:tcW w:w="0" w:type="auto"/>
            <w:vMerge/>
            <w:shd w:val="clear" w:color="auto" w:fill="auto"/>
            <w:vAlign w:val="center"/>
          </w:tcPr>
          <w:p w14:paraId="0F4F1393" w14:textId="77777777" w:rsidR="00356611" w:rsidRPr="00356611" w:rsidRDefault="00356611" w:rsidP="00B8137C">
            <w:pPr>
              <w:adjustRightInd w:val="0"/>
              <w:snapToGrid w:val="0"/>
              <w:spacing w:line="240" w:lineRule="auto"/>
              <w:jc w:val="left"/>
              <w:rPr>
                <w:rFonts w:ascii="Palatino Linotype" w:hAnsi="Palatino Linotype" w:cs="Arial"/>
                <w:sz w:val="18"/>
                <w:szCs w:val="18"/>
              </w:rPr>
            </w:pPr>
          </w:p>
        </w:tc>
        <w:tc>
          <w:tcPr>
            <w:tcW w:w="0" w:type="auto"/>
            <w:tcBorders>
              <w:bottom w:val="single" w:sz="4" w:space="0" w:color="auto"/>
            </w:tcBorders>
            <w:shd w:val="clear" w:color="auto" w:fill="auto"/>
            <w:vAlign w:val="center"/>
          </w:tcPr>
          <w:p w14:paraId="67AEAEB0"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Minority</w:t>
            </w:r>
          </w:p>
        </w:tc>
        <w:tc>
          <w:tcPr>
            <w:tcW w:w="0" w:type="auto"/>
            <w:tcBorders>
              <w:bottom w:val="single" w:sz="4" w:space="0" w:color="auto"/>
            </w:tcBorders>
            <w:shd w:val="clear" w:color="auto" w:fill="auto"/>
            <w:vAlign w:val="center"/>
          </w:tcPr>
          <w:p w14:paraId="3370904C"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3267</w:t>
            </w:r>
          </w:p>
        </w:tc>
        <w:tc>
          <w:tcPr>
            <w:tcW w:w="0" w:type="auto"/>
            <w:tcBorders>
              <w:bottom w:val="single" w:sz="4" w:space="0" w:color="auto"/>
            </w:tcBorders>
            <w:shd w:val="clear" w:color="auto" w:fill="auto"/>
            <w:vAlign w:val="center"/>
          </w:tcPr>
          <w:p w14:paraId="005C7ED7"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21</w:t>
            </w:r>
          </w:p>
        </w:tc>
      </w:tr>
      <w:tr w:rsidR="00356611" w:rsidRPr="00356611" w14:paraId="40F7114A" w14:textId="77777777" w:rsidTr="00B8137C">
        <w:trPr>
          <w:cantSplit/>
          <w:jc w:val="center"/>
        </w:trPr>
        <w:tc>
          <w:tcPr>
            <w:tcW w:w="0" w:type="auto"/>
            <w:vMerge w:val="restart"/>
            <w:tcBorders>
              <w:top w:val="single" w:sz="4" w:space="0" w:color="auto"/>
            </w:tcBorders>
            <w:shd w:val="clear" w:color="auto" w:fill="auto"/>
            <w:vAlign w:val="center"/>
          </w:tcPr>
          <w:p w14:paraId="3B17DA7D" w14:textId="77777777" w:rsidR="00356611" w:rsidRPr="00356611" w:rsidRDefault="00356611" w:rsidP="00B8137C">
            <w:pPr>
              <w:adjustRightInd w:val="0"/>
              <w:snapToGrid w:val="0"/>
              <w:spacing w:line="240" w:lineRule="auto"/>
              <w:jc w:val="left"/>
              <w:rPr>
                <w:rFonts w:ascii="Palatino Linotype" w:hAnsi="Palatino Linotype" w:cs="Arial"/>
                <w:sz w:val="18"/>
                <w:szCs w:val="18"/>
              </w:rPr>
            </w:pPr>
            <w:r w:rsidRPr="00356611">
              <w:rPr>
                <w:rFonts w:ascii="Palatino Linotype" w:hAnsi="Palatino Linotype" w:cs="Arial"/>
                <w:b/>
                <w:sz w:val="18"/>
                <w:szCs w:val="18"/>
              </w:rPr>
              <w:lastRenderedPageBreak/>
              <w:t>Education attainment</w:t>
            </w:r>
          </w:p>
        </w:tc>
        <w:tc>
          <w:tcPr>
            <w:tcW w:w="0" w:type="auto"/>
            <w:tcBorders>
              <w:top w:val="single" w:sz="4" w:space="0" w:color="auto"/>
            </w:tcBorders>
            <w:shd w:val="clear" w:color="auto" w:fill="auto"/>
            <w:vAlign w:val="center"/>
          </w:tcPr>
          <w:p w14:paraId="1D25CDB2"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Low</w:t>
            </w:r>
          </w:p>
        </w:tc>
        <w:tc>
          <w:tcPr>
            <w:tcW w:w="0" w:type="auto"/>
            <w:tcBorders>
              <w:top w:val="single" w:sz="4" w:space="0" w:color="auto"/>
            </w:tcBorders>
            <w:shd w:val="clear" w:color="auto" w:fill="auto"/>
            <w:vAlign w:val="center"/>
          </w:tcPr>
          <w:p w14:paraId="4E50E8CD"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3108</w:t>
            </w:r>
          </w:p>
        </w:tc>
        <w:tc>
          <w:tcPr>
            <w:tcW w:w="0" w:type="auto"/>
            <w:tcBorders>
              <w:top w:val="single" w:sz="4" w:space="0" w:color="auto"/>
            </w:tcBorders>
            <w:shd w:val="clear" w:color="auto" w:fill="auto"/>
            <w:vAlign w:val="center"/>
          </w:tcPr>
          <w:p w14:paraId="10FFD0B9"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20</w:t>
            </w:r>
          </w:p>
        </w:tc>
      </w:tr>
      <w:tr w:rsidR="00356611" w:rsidRPr="00356611" w14:paraId="57604649" w14:textId="77777777" w:rsidTr="00B8137C">
        <w:trPr>
          <w:cantSplit/>
          <w:jc w:val="center"/>
        </w:trPr>
        <w:tc>
          <w:tcPr>
            <w:tcW w:w="0" w:type="auto"/>
            <w:vMerge/>
            <w:shd w:val="clear" w:color="auto" w:fill="auto"/>
            <w:vAlign w:val="center"/>
          </w:tcPr>
          <w:p w14:paraId="615F13AE"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p>
        </w:tc>
        <w:tc>
          <w:tcPr>
            <w:tcW w:w="0" w:type="auto"/>
            <w:shd w:val="clear" w:color="auto" w:fill="auto"/>
            <w:vAlign w:val="center"/>
          </w:tcPr>
          <w:p w14:paraId="1782E536"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Medium</w:t>
            </w:r>
          </w:p>
        </w:tc>
        <w:tc>
          <w:tcPr>
            <w:tcW w:w="0" w:type="auto"/>
            <w:shd w:val="clear" w:color="auto" w:fill="auto"/>
            <w:vAlign w:val="center"/>
          </w:tcPr>
          <w:p w14:paraId="13A00AC8"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3891</w:t>
            </w:r>
          </w:p>
        </w:tc>
        <w:tc>
          <w:tcPr>
            <w:tcW w:w="0" w:type="auto"/>
            <w:shd w:val="clear" w:color="auto" w:fill="auto"/>
            <w:vAlign w:val="center"/>
          </w:tcPr>
          <w:p w14:paraId="7DCA5D0A"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25</w:t>
            </w:r>
          </w:p>
        </w:tc>
      </w:tr>
      <w:tr w:rsidR="00356611" w:rsidRPr="00356611" w14:paraId="377C7FAC" w14:textId="77777777" w:rsidTr="00B8137C">
        <w:trPr>
          <w:cantSplit/>
          <w:jc w:val="center"/>
        </w:trPr>
        <w:tc>
          <w:tcPr>
            <w:tcW w:w="0" w:type="auto"/>
            <w:vMerge/>
            <w:tcBorders>
              <w:bottom w:val="single" w:sz="8" w:space="0" w:color="auto"/>
            </w:tcBorders>
            <w:shd w:val="clear" w:color="auto" w:fill="auto"/>
            <w:vAlign w:val="center"/>
          </w:tcPr>
          <w:p w14:paraId="23754FE3"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p>
        </w:tc>
        <w:tc>
          <w:tcPr>
            <w:tcW w:w="0" w:type="auto"/>
            <w:tcBorders>
              <w:bottom w:val="single" w:sz="8" w:space="0" w:color="auto"/>
            </w:tcBorders>
            <w:shd w:val="clear" w:color="auto" w:fill="auto"/>
            <w:vAlign w:val="center"/>
          </w:tcPr>
          <w:p w14:paraId="66868A7C"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High</w:t>
            </w:r>
          </w:p>
        </w:tc>
        <w:tc>
          <w:tcPr>
            <w:tcW w:w="0" w:type="auto"/>
            <w:tcBorders>
              <w:bottom w:val="single" w:sz="8" w:space="0" w:color="auto"/>
            </w:tcBorders>
            <w:shd w:val="clear" w:color="auto" w:fill="auto"/>
            <w:vAlign w:val="center"/>
          </w:tcPr>
          <w:p w14:paraId="527B9AC7"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8516</w:t>
            </w:r>
          </w:p>
        </w:tc>
        <w:tc>
          <w:tcPr>
            <w:tcW w:w="0" w:type="auto"/>
            <w:tcBorders>
              <w:bottom w:val="single" w:sz="8" w:space="0" w:color="auto"/>
            </w:tcBorders>
            <w:shd w:val="clear" w:color="auto" w:fill="auto"/>
            <w:vAlign w:val="center"/>
          </w:tcPr>
          <w:p w14:paraId="6AED9510" w14:textId="77777777" w:rsidR="00356611" w:rsidRPr="00356611" w:rsidRDefault="00356611" w:rsidP="00B8137C">
            <w:pPr>
              <w:adjustRightInd w:val="0"/>
              <w:snapToGrid w:val="0"/>
              <w:spacing w:line="240" w:lineRule="auto"/>
              <w:jc w:val="center"/>
              <w:rPr>
                <w:rFonts w:ascii="Palatino Linotype" w:hAnsi="Palatino Linotype" w:cs="Arial"/>
                <w:sz w:val="18"/>
                <w:szCs w:val="18"/>
              </w:rPr>
            </w:pPr>
            <w:r w:rsidRPr="00356611">
              <w:rPr>
                <w:rFonts w:ascii="Palatino Linotype" w:hAnsi="Palatino Linotype" w:cs="Arial"/>
                <w:sz w:val="18"/>
                <w:szCs w:val="18"/>
              </w:rPr>
              <w:t>55</w:t>
            </w:r>
          </w:p>
        </w:tc>
      </w:tr>
    </w:tbl>
    <w:p w14:paraId="3E3AC2E0" w14:textId="0EF34C9C" w:rsidR="00356611" w:rsidRPr="00DF1BBA" w:rsidRDefault="00356611" w:rsidP="00B8137C">
      <w:pPr>
        <w:pStyle w:val="MDPI43tablefooter"/>
        <w:ind w:left="425" w:right="425"/>
      </w:pPr>
      <w:r w:rsidRPr="00EA3A8D">
        <w:rPr>
          <w:b/>
          <w:bCs/>
        </w:rPr>
        <w:t>Note:</w:t>
      </w:r>
      <w:r w:rsidRPr="00EA3A8D">
        <w:t xml:space="preserve"> For continuous</w:t>
      </w:r>
      <w:r w:rsidRPr="00DF1BBA">
        <w:t xml:space="preserve"> variables, </w:t>
      </w:r>
      <w:r w:rsidRPr="00044540">
        <w:rPr>
          <w:i/>
        </w:rPr>
        <w:t>n</w:t>
      </w:r>
      <w:r w:rsidRPr="00DF1BBA">
        <w:t xml:space="preserve"> refers to the total number of participants who had a value of the variable and the median and interquartile ranges (IQ) are presented instead </w:t>
      </w:r>
      <w:r w:rsidRPr="00AB0EE0">
        <w:t>of %.</w:t>
      </w:r>
    </w:p>
    <w:p w14:paraId="1E9FB32C" w14:textId="77777777" w:rsidR="0072004C" w:rsidRPr="00DF1BBA" w:rsidRDefault="0072004C" w:rsidP="0072004C">
      <w:pPr>
        <w:pStyle w:val="MDPI31text"/>
      </w:pPr>
      <w:r w:rsidRPr="00DF1BBA">
        <w:t xml:space="preserve">Differences were found between study participants included and excluded from the analytical sample (see </w:t>
      </w:r>
      <w:r w:rsidRPr="00DF1BBA">
        <w:rPr>
          <w:bCs/>
        </w:rPr>
        <w:t>Supplementary Table S1</w:t>
      </w:r>
      <w:r w:rsidRPr="00DF1BBA">
        <w:t>). For example, individuals in the analytical sample had lower total exposure to SSB promotions than those excluded and were older. We chose not to impute missing values because the magnitude of these differences was small.</w:t>
      </w:r>
    </w:p>
    <w:p w14:paraId="6FA97393" w14:textId="77777777" w:rsidR="0072004C" w:rsidRPr="00DF1BBA" w:rsidRDefault="0072004C" w:rsidP="0072004C">
      <w:pPr>
        <w:pStyle w:val="MDPI22heading2"/>
      </w:pPr>
      <w:r w:rsidRPr="00DF1BBA">
        <w:t>3.2. Total Exposure to SSB Promotions and SSB Consumption</w:t>
      </w:r>
    </w:p>
    <w:p w14:paraId="52C3D160" w14:textId="228E97C2" w:rsidR="0072004C" w:rsidRPr="00DF1BBA" w:rsidRDefault="0072004C" w:rsidP="0072004C">
      <w:pPr>
        <w:pStyle w:val="MDPI31text"/>
      </w:pPr>
      <w:r w:rsidRPr="00933963">
        <w:t>Figure 1 summari</w:t>
      </w:r>
      <w:r w:rsidR="00941E39">
        <w:t>z</w:t>
      </w:r>
      <w:r w:rsidRPr="00933963">
        <w:t>es</w:t>
      </w:r>
      <w:r w:rsidRPr="00DF1BBA">
        <w:t xml:space="preserve"> the associations between total exposure to SSB promotions and SSB consumption after adjustment for socio-demographic characteristics. The likelihood of being a low or a high SSB consumer (relative to a non-consumer) increased as self-reported exposure to promotions increased (low: relative risk ratio (RRR</w:t>
      </w:r>
      <w:r w:rsidRPr="00933963">
        <w:t>) = 1.08, 95% confidence interval (CI) = 1.05–1.10; high: RRR = 1.13, 95% CI = 1.11–1.16), compared with being a non-consume</w:t>
      </w:r>
      <w:r w:rsidRPr="00DF1BBA">
        <w:t>r. There were also associations between some of the sociodemographic characteristics included as covariates and SSB consumption. Women (compared to men) and people with high educational attainment (compared to low attainment) were less likely to be high SSB consumers. Meanwhile, younger individuals and ethnic minorities (compared to majorities) were more likely to be low or high SSB consumers.</w:t>
      </w:r>
    </w:p>
    <w:p w14:paraId="50E183BE" w14:textId="5360C032" w:rsidR="00356611" w:rsidRDefault="0072004C" w:rsidP="0072004C">
      <w:pPr>
        <w:pStyle w:val="MDPI31text"/>
      </w:pPr>
      <w:r w:rsidRPr="00DF1BBA">
        <w:t xml:space="preserve">Country variations in consumption were also present and are described in </w:t>
      </w:r>
      <w:r w:rsidRPr="00933963">
        <w:t xml:space="preserve">Supplementary </w:t>
      </w:r>
      <w:r w:rsidRPr="00EA3A8D">
        <w:t xml:space="preserve">Table </w:t>
      </w:r>
      <w:r w:rsidR="00941E39" w:rsidRPr="00EA3A8D">
        <w:t>S</w:t>
      </w:r>
      <w:r w:rsidRPr="00EA3A8D">
        <w:t>3. Compared</w:t>
      </w:r>
      <w:r w:rsidRPr="00933963">
        <w:t xml:space="preserve"> with the UK, Australian (RRR = </w:t>
      </w:r>
      <w:r>
        <w:t>1.40, 95% CI: 1.21–</w:t>
      </w:r>
      <w:r w:rsidRPr="00933963">
        <w:t>1.62), Canadian (RRR = 1</w:t>
      </w:r>
      <w:r>
        <w:t>.37, 95% CI: 1.18–</w:t>
      </w:r>
      <w:r w:rsidRPr="00933963">
        <w:t>1.59)</w:t>
      </w:r>
      <w:r w:rsidR="00941E39">
        <w:t>,</w:t>
      </w:r>
      <w:r w:rsidRPr="00933963">
        <w:t xml:space="preserve"> and Mexican (RRR = 2.26, 95% CI: 1</w:t>
      </w:r>
      <w:r>
        <w:t>.91–</w:t>
      </w:r>
      <w:r w:rsidRPr="00933963">
        <w:t xml:space="preserve">2.69) participants were more likely to be low SSB consumers than non-consumers. This pattern persisted </w:t>
      </w:r>
      <w:r w:rsidR="00941E39">
        <w:t xml:space="preserve">with a </w:t>
      </w:r>
      <w:r w:rsidRPr="00933963">
        <w:t xml:space="preserve"> likelihood of high SSB consumption for Australia (RRR = 1</w:t>
      </w:r>
      <w:r>
        <w:t>.72, 95% CI: 1.48–</w:t>
      </w:r>
      <w:r w:rsidRPr="00933963">
        <w:t>1.99) and Mexico (RRR = 4</w:t>
      </w:r>
      <w:r>
        <w:t>.33, 95% CI: 3.65–</w:t>
      </w:r>
      <w:r w:rsidRPr="00933963">
        <w:t>5.14) compared to no consumption. USA participants were less likely than Australian (RRR = 0</w:t>
      </w:r>
      <w:r>
        <w:t>.77, 95% CI: 0.67–</w:t>
      </w:r>
      <w:r w:rsidRPr="00933963">
        <w:t>0.89) and Canadian participants (RRR = 0.77, 95% CI: 0.68, 0.87) to be low SSB consumers than non-consumers, but this only persisted at high SSB consumption for Australia (RRR = 0.65, 95% CI:</w:t>
      </w:r>
      <w:r>
        <w:t xml:space="preserve"> 0.56–</w:t>
      </w:r>
      <w:r w:rsidRPr="00DF1BBA">
        <w:t>0.75). Mexican participants were more likely to be low or high consumers than non-consumers compared with all countries included in the study.</w:t>
      </w:r>
    </w:p>
    <w:p w14:paraId="6B65F720" w14:textId="77777777" w:rsidR="003C2EDA" w:rsidRPr="00DF1BBA" w:rsidRDefault="003C2EDA" w:rsidP="003C2EDA">
      <w:pPr>
        <w:pStyle w:val="MDPI22heading2"/>
      </w:pPr>
      <w:r w:rsidRPr="00DF1BBA">
        <w:t>3.3. Exposure to Different Types of SSB Promotion and SSB Consumption</w:t>
      </w:r>
    </w:p>
    <w:p w14:paraId="41C67B83" w14:textId="1091849C" w:rsidR="003C2EDA" w:rsidRPr="00DF1BBA" w:rsidRDefault="003C2EDA" w:rsidP="003C2EDA">
      <w:pPr>
        <w:pStyle w:val="MDPI31text"/>
      </w:pPr>
      <w:r w:rsidRPr="007F3E10">
        <w:rPr>
          <w:bCs/>
        </w:rPr>
        <w:t xml:space="preserve">Figure 2 </w:t>
      </w:r>
      <w:r w:rsidRPr="00DF1BBA">
        <w:rPr>
          <w:bCs/>
        </w:rPr>
        <w:t>shows</w:t>
      </w:r>
      <w:r w:rsidRPr="00DF1BBA">
        <w:t xml:space="preserve"> the associations between exposure to different types of SSB promotion and SSB consumption, after adjustment for socio-demographic factors. Increased exposure to digital promotions was associated with increased likelihood of both low and high SSB consumption compared with non-consumption (low: RRR</w:t>
      </w:r>
      <w:r>
        <w:t xml:space="preserve"> </w:t>
      </w:r>
      <w:r w:rsidRPr="007F3E10">
        <w:t>= 1</w:t>
      </w:r>
      <w:r w:rsidRPr="00DF1BBA">
        <w:t>.19, 95% CI: 1.05</w:t>
      </w:r>
      <w:r>
        <w:t>–</w:t>
      </w:r>
      <w:r w:rsidRPr="00DF1BBA">
        <w:t xml:space="preserve">1.34; high: </w:t>
      </w:r>
      <w:r w:rsidRPr="007F3E10">
        <w:t>RRR = 1.</w:t>
      </w:r>
      <w:r w:rsidRPr="00DF1BBA">
        <w:t>52, 95% CI: 1.34</w:t>
      </w:r>
      <w:r>
        <w:t>–</w:t>
      </w:r>
      <w:r w:rsidRPr="00DF1BBA">
        <w:t xml:space="preserve">1.71), and similarly for traditional promotions (low: </w:t>
      </w:r>
      <w:r w:rsidRPr="007F3E10">
        <w:t xml:space="preserve">RRR = 1.29, 95% CI: 1.16–1.43; high: RRR = 1.40, 95% CI: 1.26–1.56). Exposure to SSB promotion in the functional environment was only significantly associated with </w:t>
      </w:r>
      <w:r w:rsidR="00941E39">
        <w:t xml:space="preserve">a </w:t>
      </w:r>
      <w:r w:rsidRPr="007F3E10">
        <w:t>likelihood of high SSB consumption (RRR = 1.21, 95% CI: 1.07</w:t>
      </w:r>
      <w:r>
        <w:t>–</w:t>
      </w:r>
      <w:r w:rsidRPr="00DF1BBA">
        <w:t>1.38), compared with no SSB consumption.</w:t>
      </w:r>
    </w:p>
    <w:p w14:paraId="478B6BFB" w14:textId="77777777" w:rsidR="003C2EDA" w:rsidRDefault="003C2EDA" w:rsidP="0072004C">
      <w:pPr>
        <w:pStyle w:val="MDPI31text"/>
      </w:pPr>
    </w:p>
    <w:p w14:paraId="4ABA629D" w14:textId="77777777" w:rsidR="003C2EDA" w:rsidRDefault="003C2EDA" w:rsidP="0072004C">
      <w:pPr>
        <w:pStyle w:val="MDPI31text"/>
        <w:sectPr w:rsidR="003C2EDA" w:rsidSect="00356611">
          <w:pgSz w:w="11906" w:h="16838" w:code="9"/>
          <w:pgMar w:top="1417" w:right="1531" w:bottom="1077" w:left="1531" w:header="1020" w:footer="850" w:gutter="0"/>
          <w:cols w:space="425"/>
          <w:docGrid w:type="lines" w:linePitch="326"/>
        </w:sectPr>
      </w:pPr>
    </w:p>
    <w:p w14:paraId="0E1F2D09" w14:textId="77777777" w:rsidR="00356611" w:rsidRPr="00DF1BBA" w:rsidRDefault="00356611" w:rsidP="00356611">
      <w:pPr>
        <w:pStyle w:val="MDPI52figure"/>
      </w:pPr>
      <w:r w:rsidRPr="0072004C">
        <w:rPr>
          <w:noProof/>
          <w:snapToGrid/>
          <w:lang w:val="en-GB" w:eastAsia="en-GB" w:bidi="ar-SA"/>
        </w:rPr>
        <w:lastRenderedPageBreak/>
        <w:drawing>
          <wp:inline distT="0" distB="0" distL="0" distR="0" wp14:anchorId="345DB083" wp14:editId="094960F1">
            <wp:extent cx="6273800" cy="3865880"/>
            <wp:effectExtent l="0" t="0" r="0" b="1270"/>
            <wp:docPr id="1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a:extLst>
                        <a:ext uri="{28A0092B-C50C-407E-A947-70E740481C1C}">
                          <a14:useLocalDpi xmlns:a14="http://schemas.microsoft.com/office/drawing/2010/main" val="0"/>
                        </a:ext>
                      </a:extLst>
                    </a:blip>
                    <a:srcRect t="107" r="4582" b="-2"/>
                    <a:stretch>
                      <a:fillRect/>
                    </a:stretch>
                  </pic:blipFill>
                  <pic:spPr bwMode="auto">
                    <a:xfrm>
                      <a:off x="0" y="0"/>
                      <a:ext cx="6273800" cy="3865880"/>
                    </a:xfrm>
                    <a:prstGeom prst="rect">
                      <a:avLst/>
                    </a:prstGeom>
                    <a:noFill/>
                    <a:ln>
                      <a:noFill/>
                    </a:ln>
                  </pic:spPr>
                </pic:pic>
              </a:graphicData>
            </a:graphic>
          </wp:inline>
        </w:drawing>
      </w:r>
    </w:p>
    <w:p w14:paraId="5D0F65F8" w14:textId="6D39A4EB" w:rsidR="00356611" w:rsidRPr="00EA3A8D" w:rsidRDefault="00356611" w:rsidP="00356611">
      <w:pPr>
        <w:pStyle w:val="MDPI43tablefooter"/>
        <w:jc w:val="center"/>
      </w:pPr>
      <w:r w:rsidRPr="00EA3A8D">
        <w:rPr>
          <w:b/>
        </w:rPr>
        <w:t xml:space="preserve">Note: </w:t>
      </w:r>
      <w:r w:rsidR="00941E39" w:rsidRPr="00EA3A8D">
        <w:t>R</w:t>
      </w:r>
      <w:r w:rsidRPr="00EA3A8D">
        <w:t xml:space="preserve">elative risk ratio </w:t>
      </w:r>
      <w:r w:rsidR="00941E39" w:rsidRPr="00EA3A8D">
        <w:t xml:space="preserve">(RRR) </w:t>
      </w:r>
      <w:r w:rsidRPr="00EA3A8D">
        <w:t>of SSB consumption, adjusted for sex, age, ethnicity</w:t>
      </w:r>
      <w:r w:rsidR="00941E39" w:rsidRPr="00EA3A8D">
        <w:t>,</w:t>
      </w:r>
      <w:r w:rsidRPr="00EA3A8D">
        <w:t xml:space="preserve"> and education; confidence interval</w:t>
      </w:r>
      <w:r w:rsidR="00941E39" w:rsidRPr="00EA3A8D">
        <w:t xml:space="preserve"> (CI).</w:t>
      </w:r>
    </w:p>
    <w:p w14:paraId="1A97F6EA" w14:textId="5778B2C5" w:rsidR="00356611" w:rsidRDefault="00356611" w:rsidP="00356611">
      <w:pPr>
        <w:pStyle w:val="MDPI51figurecaption"/>
      </w:pPr>
      <w:r w:rsidRPr="00EA3A8D">
        <w:rPr>
          <w:b/>
        </w:rPr>
        <w:t xml:space="preserve">Figure 1. </w:t>
      </w:r>
      <w:r w:rsidRPr="00EA3A8D">
        <w:t>Forest plot summari</w:t>
      </w:r>
      <w:r w:rsidR="00941E39" w:rsidRPr="00EA3A8D">
        <w:t>z</w:t>
      </w:r>
      <w:r w:rsidRPr="00EA3A8D">
        <w:t>ing associations</w:t>
      </w:r>
      <w:r w:rsidRPr="00DF1BBA">
        <w:t xml:space="preserve"> between self-reported exposure to SSB promotions and SSB consumption, estimated by multinomial logistic regression with adjustment for sociodemographic characteristics (</w:t>
      </w:r>
      <w:r w:rsidRPr="00933963">
        <w:rPr>
          <w:i/>
        </w:rPr>
        <w:t xml:space="preserve">n </w:t>
      </w:r>
      <w:r w:rsidRPr="00933963">
        <w:t>=</w:t>
      </w:r>
      <w:r w:rsidRPr="00933963">
        <w:rPr>
          <w:i/>
        </w:rPr>
        <w:t xml:space="preserve"> </w:t>
      </w:r>
      <w:r w:rsidRPr="00933963">
        <w:t>15</w:t>
      </w:r>
      <w:r w:rsidRPr="00DF1BBA">
        <w:t>,515; ref: no SSB consumption).</w:t>
      </w:r>
    </w:p>
    <w:p w14:paraId="4624CE6C" w14:textId="77777777" w:rsidR="00356611" w:rsidRDefault="00356611" w:rsidP="0072004C">
      <w:pPr>
        <w:pStyle w:val="MDPI31text"/>
      </w:pPr>
    </w:p>
    <w:p w14:paraId="506BE1E1" w14:textId="77777777" w:rsidR="00356611" w:rsidRDefault="00356611" w:rsidP="0072004C">
      <w:pPr>
        <w:pStyle w:val="MDPI31text"/>
        <w:sectPr w:rsidR="00356611" w:rsidSect="00356611">
          <w:pgSz w:w="16838" w:h="11906" w:orient="landscape" w:code="9"/>
          <w:pgMar w:top="1417" w:right="1531" w:bottom="1077" w:left="1531" w:header="1020" w:footer="850" w:gutter="0"/>
          <w:cols w:space="425"/>
          <w:docGrid w:type="linesAndChars" w:linePitch="326"/>
        </w:sectPr>
      </w:pPr>
    </w:p>
    <w:p w14:paraId="7E0637F8" w14:textId="4C6F22E1" w:rsidR="00B8137C" w:rsidRPr="00EA3A8D" w:rsidRDefault="00B8137C" w:rsidP="00B8137C">
      <w:pPr>
        <w:pStyle w:val="MDPI41tablecaption"/>
      </w:pPr>
      <w:r w:rsidRPr="00EA3A8D">
        <w:rPr>
          <w:b/>
        </w:rPr>
        <w:lastRenderedPageBreak/>
        <w:t xml:space="preserve">Table 3. </w:t>
      </w:r>
      <w:r w:rsidRPr="00EA3A8D">
        <w:t>Between country</w:t>
      </w:r>
      <w:r w:rsidR="00941E39" w:rsidRPr="00EA3A8D">
        <w:t xml:space="preserve"> </w:t>
      </w:r>
      <w:r w:rsidRPr="00EA3A8D">
        <w:t>contrasts of the associations between total self-reported exposure to SSB promotions and SSB consumption using multinomial logistic regress (</w:t>
      </w:r>
      <w:r w:rsidRPr="00EA3A8D">
        <w:rPr>
          <w:i/>
        </w:rPr>
        <w:t xml:space="preserve">n </w:t>
      </w:r>
      <w:r w:rsidRPr="00EA3A8D">
        <w:t>= 15,515, ref: no SSB consumption, only country estimates printed).</w:t>
      </w:r>
    </w:p>
    <w:tbl>
      <w:tblPr>
        <w:tblW w:w="0" w:type="auto"/>
        <w:jc w:val="center"/>
        <w:tblBorders>
          <w:top w:val="single" w:sz="8" w:space="0" w:color="auto"/>
          <w:bottom w:val="single" w:sz="8" w:space="0" w:color="auto"/>
        </w:tblBorders>
        <w:tblLook w:val="04A0" w:firstRow="1" w:lastRow="0" w:firstColumn="1" w:lastColumn="0" w:noHBand="0" w:noVBand="1"/>
      </w:tblPr>
      <w:tblGrid>
        <w:gridCol w:w="2066"/>
        <w:gridCol w:w="1217"/>
        <w:gridCol w:w="2482"/>
        <w:gridCol w:w="2609"/>
      </w:tblGrid>
      <w:tr w:rsidR="00B8137C" w:rsidRPr="00EA3A8D" w14:paraId="0F99E1B4" w14:textId="77777777" w:rsidTr="00B8137C">
        <w:trPr>
          <w:cantSplit/>
          <w:jc w:val="center"/>
        </w:trPr>
        <w:tc>
          <w:tcPr>
            <w:tcW w:w="0" w:type="auto"/>
            <w:tcBorders>
              <w:top w:val="single" w:sz="8" w:space="0" w:color="auto"/>
              <w:bottom w:val="single" w:sz="4" w:space="0" w:color="auto"/>
            </w:tcBorders>
            <w:shd w:val="clear" w:color="auto" w:fill="auto"/>
            <w:vAlign w:val="center"/>
          </w:tcPr>
          <w:p w14:paraId="4F9E27D8" w14:textId="77777777" w:rsidR="00B8137C" w:rsidRPr="00EA3A8D" w:rsidRDefault="00B8137C" w:rsidP="00B8137C">
            <w:pPr>
              <w:autoSpaceDE w:val="0"/>
              <w:autoSpaceDN w:val="0"/>
              <w:adjustRightInd w:val="0"/>
              <w:snapToGrid w:val="0"/>
              <w:spacing w:line="240" w:lineRule="auto"/>
              <w:jc w:val="center"/>
              <w:rPr>
                <w:rFonts w:ascii="Palatino Linotype" w:hAnsi="Palatino Linotype" w:cs="Arial"/>
                <w:b/>
                <w:sz w:val="20"/>
                <w:szCs w:val="18"/>
                <w:lang w:eastAsia="en-US"/>
              </w:rPr>
            </w:pPr>
          </w:p>
        </w:tc>
        <w:tc>
          <w:tcPr>
            <w:tcW w:w="0" w:type="auto"/>
            <w:gridSpan w:val="3"/>
            <w:tcBorders>
              <w:top w:val="single" w:sz="8" w:space="0" w:color="auto"/>
              <w:bottom w:val="single" w:sz="4" w:space="0" w:color="auto"/>
            </w:tcBorders>
            <w:shd w:val="clear" w:color="auto" w:fill="auto"/>
            <w:vAlign w:val="center"/>
            <w:hideMark/>
          </w:tcPr>
          <w:p w14:paraId="016B61F7" w14:textId="77777777" w:rsidR="00B8137C" w:rsidRPr="00EA3A8D" w:rsidRDefault="00B8137C" w:rsidP="00B8137C">
            <w:pPr>
              <w:adjustRightInd w:val="0"/>
              <w:snapToGrid w:val="0"/>
              <w:spacing w:line="240" w:lineRule="auto"/>
              <w:jc w:val="center"/>
              <w:rPr>
                <w:rFonts w:ascii="Palatino Linotype" w:hAnsi="Palatino Linotype" w:cs="Arial"/>
                <w:b/>
                <w:sz w:val="20"/>
                <w:szCs w:val="18"/>
                <w:lang w:eastAsia="en-US"/>
              </w:rPr>
            </w:pPr>
            <w:r w:rsidRPr="00EA3A8D">
              <w:rPr>
                <w:rFonts w:ascii="Palatino Linotype" w:hAnsi="Palatino Linotype" w:cs="Arial"/>
                <w:b/>
                <w:sz w:val="20"/>
                <w:szCs w:val="18"/>
              </w:rPr>
              <w:t>Likelihood of SSB Consumption Compared with No Consumption</w:t>
            </w:r>
          </w:p>
        </w:tc>
      </w:tr>
      <w:tr w:rsidR="00B8137C" w:rsidRPr="00EA3A8D" w14:paraId="2ED77F4F" w14:textId="77777777" w:rsidTr="00B8137C">
        <w:trPr>
          <w:cantSplit/>
          <w:jc w:val="center"/>
        </w:trPr>
        <w:tc>
          <w:tcPr>
            <w:tcW w:w="0" w:type="auto"/>
            <w:tcBorders>
              <w:top w:val="single" w:sz="4" w:space="0" w:color="auto"/>
              <w:bottom w:val="single" w:sz="4" w:space="0" w:color="auto"/>
            </w:tcBorders>
            <w:shd w:val="clear" w:color="auto" w:fill="auto"/>
            <w:vAlign w:val="center"/>
          </w:tcPr>
          <w:p w14:paraId="1D7466DF" w14:textId="77777777" w:rsidR="00B8137C" w:rsidRPr="00EA3A8D" w:rsidRDefault="00B8137C" w:rsidP="00B8137C">
            <w:pPr>
              <w:adjustRightInd w:val="0"/>
              <w:snapToGrid w:val="0"/>
              <w:spacing w:line="240" w:lineRule="auto"/>
              <w:jc w:val="center"/>
              <w:rPr>
                <w:rFonts w:ascii="Palatino Linotype" w:hAnsi="Palatino Linotype" w:cs="Arial"/>
                <w:b/>
                <w:sz w:val="20"/>
                <w:szCs w:val="18"/>
                <w:lang w:eastAsia="en-US"/>
              </w:rPr>
            </w:pPr>
          </w:p>
        </w:tc>
        <w:tc>
          <w:tcPr>
            <w:tcW w:w="0" w:type="auto"/>
            <w:tcBorders>
              <w:top w:val="single" w:sz="4" w:space="0" w:color="auto"/>
              <w:bottom w:val="single" w:sz="4" w:space="0" w:color="auto"/>
            </w:tcBorders>
            <w:shd w:val="clear" w:color="auto" w:fill="auto"/>
            <w:vAlign w:val="center"/>
            <w:hideMark/>
          </w:tcPr>
          <w:p w14:paraId="159B4BFF" w14:textId="77777777" w:rsidR="00B8137C" w:rsidRPr="00EA3A8D" w:rsidRDefault="00B8137C" w:rsidP="00B8137C">
            <w:pPr>
              <w:adjustRightInd w:val="0"/>
              <w:snapToGrid w:val="0"/>
              <w:spacing w:line="240" w:lineRule="auto"/>
              <w:jc w:val="center"/>
              <w:rPr>
                <w:rFonts w:ascii="Palatino Linotype" w:hAnsi="Palatino Linotype" w:cs="Arial"/>
                <w:b/>
                <w:sz w:val="20"/>
                <w:szCs w:val="18"/>
                <w:lang w:eastAsia="en-US"/>
              </w:rPr>
            </w:pPr>
            <w:r w:rsidRPr="00EA3A8D">
              <w:rPr>
                <w:rFonts w:ascii="Palatino Linotype" w:hAnsi="Palatino Linotype" w:cs="Arial"/>
                <w:b/>
                <w:sz w:val="20"/>
                <w:szCs w:val="18"/>
              </w:rPr>
              <w:t>RRR</w:t>
            </w:r>
          </w:p>
        </w:tc>
        <w:tc>
          <w:tcPr>
            <w:tcW w:w="0" w:type="auto"/>
            <w:tcBorders>
              <w:top w:val="single" w:sz="4" w:space="0" w:color="auto"/>
              <w:bottom w:val="single" w:sz="4" w:space="0" w:color="auto"/>
            </w:tcBorders>
            <w:shd w:val="clear" w:color="auto" w:fill="auto"/>
            <w:vAlign w:val="center"/>
            <w:hideMark/>
          </w:tcPr>
          <w:p w14:paraId="01BF42B4" w14:textId="77777777" w:rsidR="00B8137C" w:rsidRPr="00EA3A8D" w:rsidRDefault="00B8137C" w:rsidP="00B8137C">
            <w:pPr>
              <w:adjustRightInd w:val="0"/>
              <w:snapToGrid w:val="0"/>
              <w:spacing w:line="240" w:lineRule="auto"/>
              <w:jc w:val="center"/>
              <w:rPr>
                <w:rFonts w:ascii="Palatino Linotype" w:hAnsi="Palatino Linotype" w:cs="Arial"/>
                <w:b/>
                <w:sz w:val="20"/>
                <w:szCs w:val="18"/>
                <w:lang w:eastAsia="en-US"/>
              </w:rPr>
            </w:pPr>
            <w:r w:rsidRPr="00EA3A8D">
              <w:rPr>
                <w:rFonts w:ascii="Palatino Linotype" w:hAnsi="Palatino Linotype" w:cs="Arial"/>
                <w:b/>
                <w:sz w:val="20"/>
                <w:szCs w:val="18"/>
              </w:rPr>
              <w:t>Low 95% CI</w:t>
            </w:r>
          </w:p>
        </w:tc>
        <w:tc>
          <w:tcPr>
            <w:tcW w:w="0" w:type="auto"/>
            <w:tcBorders>
              <w:top w:val="single" w:sz="4" w:space="0" w:color="auto"/>
              <w:bottom w:val="single" w:sz="4" w:space="0" w:color="auto"/>
            </w:tcBorders>
            <w:shd w:val="clear" w:color="auto" w:fill="auto"/>
            <w:vAlign w:val="center"/>
            <w:hideMark/>
          </w:tcPr>
          <w:p w14:paraId="216EB30B" w14:textId="77777777" w:rsidR="00B8137C" w:rsidRPr="00EA3A8D" w:rsidRDefault="00B8137C" w:rsidP="00B8137C">
            <w:pPr>
              <w:adjustRightInd w:val="0"/>
              <w:snapToGrid w:val="0"/>
              <w:spacing w:line="240" w:lineRule="auto"/>
              <w:jc w:val="center"/>
              <w:rPr>
                <w:rFonts w:ascii="Palatino Linotype" w:hAnsi="Palatino Linotype" w:cs="Arial"/>
                <w:b/>
                <w:sz w:val="20"/>
                <w:szCs w:val="18"/>
                <w:lang w:eastAsia="en-US"/>
              </w:rPr>
            </w:pPr>
            <w:r w:rsidRPr="00EA3A8D">
              <w:rPr>
                <w:rFonts w:ascii="Palatino Linotype" w:hAnsi="Palatino Linotype" w:cs="Arial"/>
                <w:b/>
                <w:sz w:val="20"/>
                <w:szCs w:val="18"/>
              </w:rPr>
              <w:t>High 95% CI</w:t>
            </w:r>
          </w:p>
        </w:tc>
      </w:tr>
      <w:tr w:rsidR="00B8137C" w:rsidRPr="00DF1BBA" w14:paraId="3C114F2F" w14:textId="77777777" w:rsidTr="00424A8A">
        <w:trPr>
          <w:cantSplit/>
          <w:jc w:val="center"/>
        </w:trPr>
        <w:tc>
          <w:tcPr>
            <w:tcW w:w="0" w:type="auto"/>
            <w:gridSpan w:val="4"/>
            <w:tcBorders>
              <w:top w:val="single" w:sz="4" w:space="0" w:color="auto"/>
              <w:bottom w:val="single" w:sz="4" w:space="0" w:color="auto"/>
            </w:tcBorders>
            <w:shd w:val="clear" w:color="auto" w:fill="auto"/>
            <w:vAlign w:val="center"/>
            <w:hideMark/>
          </w:tcPr>
          <w:p w14:paraId="1C3BC56B" w14:textId="77777777" w:rsidR="00B8137C" w:rsidRPr="00EA3A8D" w:rsidRDefault="00B8137C" w:rsidP="003751AA">
            <w:pPr>
              <w:adjustRightInd w:val="0"/>
              <w:snapToGrid w:val="0"/>
              <w:spacing w:line="240" w:lineRule="auto"/>
              <w:jc w:val="left"/>
              <w:rPr>
                <w:b/>
                <w:sz w:val="20"/>
              </w:rPr>
            </w:pPr>
            <w:r w:rsidRPr="00EA3A8D">
              <w:rPr>
                <w:rFonts w:ascii="Palatino Linotype" w:hAnsi="Palatino Linotype" w:cs="Arial"/>
                <w:b/>
                <w:sz w:val="20"/>
                <w:szCs w:val="18"/>
              </w:rPr>
              <w:t>No SSB Consumption (n = 5265), ref</w:t>
            </w:r>
          </w:p>
        </w:tc>
      </w:tr>
      <w:tr w:rsidR="00B8137C" w:rsidRPr="00DF1BBA" w14:paraId="45A91F1D" w14:textId="77777777" w:rsidTr="00424A8A">
        <w:trPr>
          <w:cantSplit/>
          <w:jc w:val="center"/>
        </w:trPr>
        <w:tc>
          <w:tcPr>
            <w:tcW w:w="0" w:type="auto"/>
            <w:gridSpan w:val="4"/>
            <w:tcBorders>
              <w:top w:val="single" w:sz="4" w:space="0" w:color="auto"/>
              <w:bottom w:val="single" w:sz="4" w:space="0" w:color="auto"/>
            </w:tcBorders>
            <w:shd w:val="clear" w:color="auto" w:fill="auto"/>
            <w:vAlign w:val="center"/>
            <w:hideMark/>
          </w:tcPr>
          <w:p w14:paraId="7F178DD5" w14:textId="77777777" w:rsidR="00B8137C" w:rsidRPr="00941E39" w:rsidRDefault="00B8137C" w:rsidP="003751AA">
            <w:pPr>
              <w:adjustRightInd w:val="0"/>
              <w:snapToGrid w:val="0"/>
              <w:spacing w:line="240" w:lineRule="auto"/>
              <w:jc w:val="left"/>
              <w:rPr>
                <w:b/>
                <w:sz w:val="20"/>
              </w:rPr>
            </w:pPr>
            <w:r w:rsidRPr="00346205">
              <w:rPr>
                <w:rFonts w:ascii="Palatino Linotype" w:hAnsi="Palatino Linotype" w:cs="Arial"/>
                <w:b/>
                <w:sz w:val="20"/>
                <w:szCs w:val="18"/>
              </w:rPr>
              <w:t>Low SSB Consumption (n = 5117)</w:t>
            </w:r>
          </w:p>
        </w:tc>
      </w:tr>
      <w:tr w:rsidR="00B8137C" w:rsidRPr="00DF1BBA" w14:paraId="2C2ED984" w14:textId="77777777" w:rsidTr="00B8137C">
        <w:trPr>
          <w:cantSplit/>
          <w:jc w:val="center"/>
        </w:trPr>
        <w:tc>
          <w:tcPr>
            <w:tcW w:w="0" w:type="auto"/>
            <w:tcBorders>
              <w:top w:val="single" w:sz="4" w:space="0" w:color="auto"/>
            </w:tcBorders>
            <w:shd w:val="clear" w:color="auto" w:fill="auto"/>
            <w:vAlign w:val="center"/>
            <w:hideMark/>
          </w:tcPr>
          <w:p w14:paraId="041B6365" w14:textId="77777777" w:rsidR="00B8137C" w:rsidRPr="00DF1BBA" w:rsidRDefault="00B8137C" w:rsidP="003751AA">
            <w:pPr>
              <w:adjustRightInd w:val="0"/>
              <w:snapToGrid w:val="0"/>
              <w:spacing w:line="240" w:lineRule="auto"/>
              <w:jc w:val="left"/>
              <w:rPr>
                <w:rFonts w:ascii="Palatino Linotype" w:hAnsi="Palatino Linotype" w:cs="Arial"/>
                <w:sz w:val="20"/>
                <w:szCs w:val="18"/>
                <w:lang w:eastAsia="en-US"/>
              </w:rPr>
            </w:pPr>
            <w:r w:rsidRPr="00DF1BBA">
              <w:rPr>
                <w:rFonts w:ascii="Palatino Linotype" w:hAnsi="Palatino Linotype" w:cs="Arial"/>
                <w:sz w:val="20"/>
                <w:szCs w:val="18"/>
              </w:rPr>
              <w:t>Australia vs. UK</w:t>
            </w:r>
          </w:p>
        </w:tc>
        <w:tc>
          <w:tcPr>
            <w:tcW w:w="0" w:type="auto"/>
            <w:tcBorders>
              <w:top w:val="single" w:sz="4" w:space="0" w:color="auto"/>
            </w:tcBorders>
            <w:shd w:val="clear" w:color="auto" w:fill="auto"/>
            <w:vAlign w:val="center"/>
            <w:hideMark/>
          </w:tcPr>
          <w:p w14:paraId="29C0D496"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1.40</w:t>
            </w:r>
          </w:p>
        </w:tc>
        <w:tc>
          <w:tcPr>
            <w:tcW w:w="0" w:type="auto"/>
            <w:tcBorders>
              <w:top w:val="single" w:sz="4" w:space="0" w:color="auto"/>
            </w:tcBorders>
            <w:shd w:val="clear" w:color="auto" w:fill="auto"/>
            <w:vAlign w:val="center"/>
            <w:hideMark/>
          </w:tcPr>
          <w:p w14:paraId="65A84F7D"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1.21</w:t>
            </w:r>
          </w:p>
        </w:tc>
        <w:tc>
          <w:tcPr>
            <w:tcW w:w="0" w:type="auto"/>
            <w:tcBorders>
              <w:top w:val="single" w:sz="4" w:space="0" w:color="auto"/>
            </w:tcBorders>
            <w:shd w:val="clear" w:color="auto" w:fill="auto"/>
            <w:vAlign w:val="center"/>
            <w:hideMark/>
          </w:tcPr>
          <w:p w14:paraId="04FE55D1"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1.62</w:t>
            </w:r>
          </w:p>
        </w:tc>
      </w:tr>
      <w:tr w:rsidR="00B8137C" w:rsidRPr="00DF1BBA" w14:paraId="5247F274" w14:textId="77777777" w:rsidTr="00B8137C">
        <w:trPr>
          <w:cantSplit/>
          <w:jc w:val="center"/>
        </w:trPr>
        <w:tc>
          <w:tcPr>
            <w:tcW w:w="0" w:type="auto"/>
            <w:shd w:val="clear" w:color="auto" w:fill="auto"/>
            <w:vAlign w:val="center"/>
            <w:hideMark/>
          </w:tcPr>
          <w:p w14:paraId="1C5B6556" w14:textId="77777777" w:rsidR="00B8137C" w:rsidRPr="00DF1BBA" w:rsidRDefault="00B8137C" w:rsidP="003751AA">
            <w:pPr>
              <w:adjustRightInd w:val="0"/>
              <w:snapToGrid w:val="0"/>
              <w:spacing w:line="240" w:lineRule="auto"/>
              <w:jc w:val="left"/>
              <w:rPr>
                <w:rFonts w:ascii="Palatino Linotype" w:hAnsi="Palatino Linotype" w:cs="Arial"/>
                <w:sz w:val="20"/>
                <w:szCs w:val="18"/>
                <w:lang w:eastAsia="en-US"/>
              </w:rPr>
            </w:pPr>
            <w:r w:rsidRPr="00DF1BBA">
              <w:rPr>
                <w:rFonts w:ascii="Palatino Linotype" w:hAnsi="Palatino Linotype" w:cs="Arial"/>
                <w:sz w:val="20"/>
                <w:szCs w:val="18"/>
              </w:rPr>
              <w:t>Canada vs. UK</w:t>
            </w:r>
          </w:p>
        </w:tc>
        <w:tc>
          <w:tcPr>
            <w:tcW w:w="0" w:type="auto"/>
            <w:shd w:val="clear" w:color="auto" w:fill="auto"/>
            <w:vAlign w:val="center"/>
            <w:hideMark/>
          </w:tcPr>
          <w:p w14:paraId="794B598C"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1.37</w:t>
            </w:r>
          </w:p>
        </w:tc>
        <w:tc>
          <w:tcPr>
            <w:tcW w:w="0" w:type="auto"/>
            <w:shd w:val="clear" w:color="auto" w:fill="auto"/>
            <w:vAlign w:val="center"/>
            <w:hideMark/>
          </w:tcPr>
          <w:p w14:paraId="5AB750BC"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1.18</w:t>
            </w:r>
          </w:p>
        </w:tc>
        <w:tc>
          <w:tcPr>
            <w:tcW w:w="0" w:type="auto"/>
            <w:shd w:val="clear" w:color="auto" w:fill="auto"/>
            <w:vAlign w:val="center"/>
            <w:hideMark/>
          </w:tcPr>
          <w:p w14:paraId="45A12652"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1.59</w:t>
            </w:r>
          </w:p>
        </w:tc>
      </w:tr>
      <w:tr w:rsidR="00B8137C" w:rsidRPr="00DF1BBA" w14:paraId="183BC32E" w14:textId="77777777" w:rsidTr="00B8137C">
        <w:trPr>
          <w:cantSplit/>
          <w:jc w:val="center"/>
        </w:trPr>
        <w:tc>
          <w:tcPr>
            <w:tcW w:w="0" w:type="auto"/>
            <w:shd w:val="clear" w:color="auto" w:fill="auto"/>
            <w:vAlign w:val="center"/>
            <w:hideMark/>
          </w:tcPr>
          <w:p w14:paraId="2D2D1DBD" w14:textId="77777777" w:rsidR="00B8137C" w:rsidRPr="00DF1BBA" w:rsidRDefault="00B8137C" w:rsidP="003751AA">
            <w:pPr>
              <w:adjustRightInd w:val="0"/>
              <w:snapToGrid w:val="0"/>
              <w:spacing w:line="240" w:lineRule="auto"/>
              <w:jc w:val="left"/>
              <w:rPr>
                <w:rFonts w:ascii="Palatino Linotype" w:hAnsi="Palatino Linotype" w:cs="Arial"/>
                <w:sz w:val="20"/>
                <w:szCs w:val="18"/>
                <w:lang w:eastAsia="en-US"/>
              </w:rPr>
            </w:pPr>
            <w:r w:rsidRPr="00DF1BBA">
              <w:rPr>
                <w:rFonts w:ascii="Palatino Linotype" w:hAnsi="Palatino Linotype" w:cs="Arial"/>
                <w:sz w:val="20"/>
                <w:szCs w:val="18"/>
              </w:rPr>
              <w:t>USA vs. UK</w:t>
            </w:r>
          </w:p>
        </w:tc>
        <w:tc>
          <w:tcPr>
            <w:tcW w:w="0" w:type="auto"/>
            <w:shd w:val="clear" w:color="auto" w:fill="auto"/>
            <w:vAlign w:val="center"/>
            <w:hideMark/>
          </w:tcPr>
          <w:p w14:paraId="36DAAE15"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1.08</w:t>
            </w:r>
          </w:p>
        </w:tc>
        <w:tc>
          <w:tcPr>
            <w:tcW w:w="0" w:type="auto"/>
            <w:shd w:val="clear" w:color="auto" w:fill="auto"/>
            <w:vAlign w:val="center"/>
            <w:hideMark/>
          </w:tcPr>
          <w:p w14:paraId="7E552DF9"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0.94</w:t>
            </w:r>
          </w:p>
        </w:tc>
        <w:tc>
          <w:tcPr>
            <w:tcW w:w="0" w:type="auto"/>
            <w:shd w:val="clear" w:color="auto" w:fill="auto"/>
            <w:vAlign w:val="center"/>
            <w:hideMark/>
          </w:tcPr>
          <w:p w14:paraId="24D19B33"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1.25</w:t>
            </w:r>
          </w:p>
        </w:tc>
      </w:tr>
      <w:tr w:rsidR="00B8137C" w:rsidRPr="00DF1BBA" w14:paraId="351A91D4" w14:textId="77777777" w:rsidTr="00B8137C">
        <w:trPr>
          <w:cantSplit/>
          <w:jc w:val="center"/>
        </w:trPr>
        <w:tc>
          <w:tcPr>
            <w:tcW w:w="0" w:type="auto"/>
            <w:shd w:val="clear" w:color="auto" w:fill="auto"/>
            <w:vAlign w:val="center"/>
            <w:hideMark/>
          </w:tcPr>
          <w:p w14:paraId="47BB7269" w14:textId="77777777" w:rsidR="00B8137C" w:rsidRPr="00DF1BBA" w:rsidRDefault="00B8137C" w:rsidP="003751AA">
            <w:pPr>
              <w:adjustRightInd w:val="0"/>
              <w:snapToGrid w:val="0"/>
              <w:spacing w:line="240" w:lineRule="auto"/>
              <w:jc w:val="left"/>
              <w:rPr>
                <w:rFonts w:ascii="Palatino Linotype" w:hAnsi="Palatino Linotype" w:cs="Arial"/>
                <w:sz w:val="20"/>
                <w:szCs w:val="18"/>
                <w:lang w:eastAsia="en-US"/>
              </w:rPr>
            </w:pPr>
            <w:r w:rsidRPr="00DF1BBA">
              <w:rPr>
                <w:rFonts w:ascii="Palatino Linotype" w:hAnsi="Palatino Linotype" w:cs="Arial"/>
                <w:sz w:val="20"/>
                <w:szCs w:val="18"/>
              </w:rPr>
              <w:t xml:space="preserve">Mexico vs. UK </w:t>
            </w:r>
          </w:p>
        </w:tc>
        <w:tc>
          <w:tcPr>
            <w:tcW w:w="0" w:type="auto"/>
            <w:shd w:val="clear" w:color="auto" w:fill="auto"/>
            <w:vAlign w:val="center"/>
            <w:hideMark/>
          </w:tcPr>
          <w:p w14:paraId="7D20F08B"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2.26</w:t>
            </w:r>
          </w:p>
        </w:tc>
        <w:tc>
          <w:tcPr>
            <w:tcW w:w="0" w:type="auto"/>
            <w:shd w:val="clear" w:color="auto" w:fill="auto"/>
            <w:vAlign w:val="center"/>
            <w:hideMark/>
          </w:tcPr>
          <w:p w14:paraId="73B912DB"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1.91</w:t>
            </w:r>
          </w:p>
        </w:tc>
        <w:tc>
          <w:tcPr>
            <w:tcW w:w="0" w:type="auto"/>
            <w:shd w:val="clear" w:color="auto" w:fill="auto"/>
            <w:vAlign w:val="center"/>
            <w:hideMark/>
          </w:tcPr>
          <w:p w14:paraId="1E156042"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2.69</w:t>
            </w:r>
          </w:p>
        </w:tc>
      </w:tr>
      <w:tr w:rsidR="00B8137C" w:rsidRPr="00DF1BBA" w14:paraId="2809BA8A" w14:textId="77777777" w:rsidTr="00B8137C">
        <w:trPr>
          <w:cantSplit/>
          <w:jc w:val="center"/>
        </w:trPr>
        <w:tc>
          <w:tcPr>
            <w:tcW w:w="0" w:type="auto"/>
            <w:shd w:val="clear" w:color="auto" w:fill="auto"/>
            <w:vAlign w:val="center"/>
            <w:hideMark/>
          </w:tcPr>
          <w:p w14:paraId="5759414A" w14:textId="77777777" w:rsidR="00B8137C" w:rsidRPr="00DF1BBA" w:rsidRDefault="00B8137C" w:rsidP="003751AA">
            <w:pPr>
              <w:adjustRightInd w:val="0"/>
              <w:snapToGrid w:val="0"/>
              <w:spacing w:line="240" w:lineRule="auto"/>
              <w:jc w:val="left"/>
              <w:rPr>
                <w:rFonts w:ascii="Palatino Linotype" w:hAnsi="Palatino Linotype" w:cs="Arial"/>
                <w:sz w:val="20"/>
                <w:szCs w:val="18"/>
                <w:lang w:eastAsia="en-US"/>
              </w:rPr>
            </w:pPr>
            <w:r w:rsidRPr="00DF1BBA">
              <w:rPr>
                <w:rFonts w:ascii="Palatino Linotype" w:hAnsi="Palatino Linotype" w:cs="Arial"/>
                <w:sz w:val="20"/>
                <w:szCs w:val="18"/>
              </w:rPr>
              <w:t>Canada vs. Australia</w:t>
            </w:r>
          </w:p>
        </w:tc>
        <w:tc>
          <w:tcPr>
            <w:tcW w:w="0" w:type="auto"/>
            <w:shd w:val="clear" w:color="auto" w:fill="auto"/>
            <w:vAlign w:val="center"/>
            <w:hideMark/>
          </w:tcPr>
          <w:p w14:paraId="162A9478"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0.98</w:t>
            </w:r>
          </w:p>
        </w:tc>
        <w:tc>
          <w:tcPr>
            <w:tcW w:w="0" w:type="auto"/>
            <w:shd w:val="clear" w:color="auto" w:fill="auto"/>
            <w:vAlign w:val="center"/>
            <w:hideMark/>
          </w:tcPr>
          <w:p w14:paraId="7A8E783C"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0.84</w:t>
            </w:r>
          </w:p>
        </w:tc>
        <w:tc>
          <w:tcPr>
            <w:tcW w:w="0" w:type="auto"/>
            <w:shd w:val="clear" w:color="auto" w:fill="auto"/>
            <w:vAlign w:val="center"/>
            <w:hideMark/>
          </w:tcPr>
          <w:p w14:paraId="46A7A24A"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1.13</w:t>
            </w:r>
          </w:p>
        </w:tc>
      </w:tr>
      <w:tr w:rsidR="00B8137C" w:rsidRPr="00DF1BBA" w14:paraId="4BC20A7C" w14:textId="77777777" w:rsidTr="00B8137C">
        <w:trPr>
          <w:cantSplit/>
          <w:jc w:val="center"/>
        </w:trPr>
        <w:tc>
          <w:tcPr>
            <w:tcW w:w="0" w:type="auto"/>
            <w:shd w:val="clear" w:color="auto" w:fill="auto"/>
            <w:vAlign w:val="center"/>
            <w:hideMark/>
          </w:tcPr>
          <w:p w14:paraId="184608D1" w14:textId="77777777" w:rsidR="00B8137C" w:rsidRPr="00DF1BBA" w:rsidRDefault="00B8137C" w:rsidP="003751AA">
            <w:pPr>
              <w:adjustRightInd w:val="0"/>
              <w:snapToGrid w:val="0"/>
              <w:spacing w:line="240" w:lineRule="auto"/>
              <w:jc w:val="left"/>
              <w:rPr>
                <w:rFonts w:ascii="Palatino Linotype" w:hAnsi="Palatino Linotype" w:cs="Arial"/>
                <w:sz w:val="20"/>
                <w:szCs w:val="18"/>
                <w:lang w:eastAsia="en-US"/>
              </w:rPr>
            </w:pPr>
            <w:r w:rsidRPr="00DF1BBA">
              <w:rPr>
                <w:rFonts w:ascii="Palatino Linotype" w:hAnsi="Palatino Linotype" w:cs="Arial"/>
                <w:sz w:val="20"/>
                <w:szCs w:val="18"/>
              </w:rPr>
              <w:t>USA vs. Australia</w:t>
            </w:r>
          </w:p>
        </w:tc>
        <w:tc>
          <w:tcPr>
            <w:tcW w:w="0" w:type="auto"/>
            <w:shd w:val="clear" w:color="auto" w:fill="auto"/>
            <w:vAlign w:val="center"/>
            <w:hideMark/>
          </w:tcPr>
          <w:p w14:paraId="51CCF4BE"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0.77</w:t>
            </w:r>
          </w:p>
        </w:tc>
        <w:tc>
          <w:tcPr>
            <w:tcW w:w="0" w:type="auto"/>
            <w:shd w:val="clear" w:color="auto" w:fill="auto"/>
            <w:vAlign w:val="center"/>
            <w:hideMark/>
          </w:tcPr>
          <w:p w14:paraId="3ED60D6B"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0.67</w:t>
            </w:r>
          </w:p>
        </w:tc>
        <w:tc>
          <w:tcPr>
            <w:tcW w:w="0" w:type="auto"/>
            <w:shd w:val="clear" w:color="auto" w:fill="auto"/>
            <w:vAlign w:val="center"/>
            <w:hideMark/>
          </w:tcPr>
          <w:p w14:paraId="34CD8708"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0.89</w:t>
            </w:r>
          </w:p>
        </w:tc>
      </w:tr>
      <w:tr w:rsidR="00B8137C" w:rsidRPr="00DF1BBA" w14:paraId="1D99F264" w14:textId="77777777" w:rsidTr="00B8137C">
        <w:trPr>
          <w:cantSplit/>
          <w:jc w:val="center"/>
        </w:trPr>
        <w:tc>
          <w:tcPr>
            <w:tcW w:w="0" w:type="auto"/>
            <w:shd w:val="clear" w:color="auto" w:fill="auto"/>
            <w:vAlign w:val="center"/>
            <w:hideMark/>
          </w:tcPr>
          <w:p w14:paraId="6E1902F2" w14:textId="77777777" w:rsidR="00B8137C" w:rsidRPr="00DF1BBA" w:rsidRDefault="00B8137C" w:rsidP="003751AA">
            <w:pPr>
              <w:adjustRightInd w:val="0"/>
              <w:snapToGrid w:val="0"/>
              <w:spacing w:line="240" w:lineRule="auto"/>
              <w:jc w:val="left"/>
              <w:rPr>
                <w:rFonts w:ascii="Palatino Linotype" w:hAnsi="Palatino Linotype" w:cs="Arial"/>
                <w:sz w:val="20"/>
                <w:szCs w:val="18"/>
                <w:lang w:eastAsia="en-US"/>
              </w:rPr>
            </w:pPr>
            <w:r w:rsidRPr="00DF1BBA">
              <w:rPr>
                <w:rFonts w:ascii="Palatino Linotype" w:hAnsi="Palatino Linotype" w:cs="Arial"/>
                <w:sz w:val="20"/>
                <w:szCs w:val="18"/>
              </w:rPr>
              <w:t>Mexico vs. Australia</w:t>
            </w:r>
          </w:p>
        </w:tc>
        <w:tc>
          <w:tcPr>
            <w:tcW w:w="0" w:type="auto"/>
            <w:shd w:val="clear" w:color="auto" w:fill="auto"/>
            <w:vAlign w:val="center"/>
            <w:hideMark/>
          </w:tcPr>
          <w:p w14:paraId="5092FE31"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1.62</w:t>
            </w:r>
          </w:p>
        </w:tc>
        <w:tc>
          <w:tcPr>
            <w:tcW w:w="0" w:type="auto"/>
            <w:shd w:val="clear" w:color="auto" w:fill="auto"/>
            <w:vAlign w:val="center"/>
            <w:hideMark/>
          </w:tcPr>
          <w:p w14:paraId="322E7671"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1.36</w:t>
            </w:r>
          </w:p>
        </w:tc>
        <w:tc>
          <w:tcPr>
            <w:tcW w:w="0" w:type="auto"/>
            <w:shd w:val="clear" w:color="auto" w:fill="auto"/>
            <w:vAlign w:val="center"/>
            <w:hideMark/>
          </w:tcPr>
          <w:p w14:paraId="3B82A252"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1.93</w:t>
            </w:r>
          </w:p>
        </w:tc>
      </w:tr>
      <w:tr w:rsidR="00B8137C" w:rsidRPr="00DF1BBA" w14:paraId="33B0CB17" w14:textId="77777777" w:rsidTr="00B8137C">
        <w:trPr>
          <w:cantSplit/>
          <w:jc w:val="center"/>
        </w:trPr>
        <w:tc>
          <w:tcPr>
            <w:tcW w:w="0" w:type="auto"/>
            <w:shd w:val="clear" w:color="auto" w:fill="auto"/>
            <w:vAlign w:val="center"/>
            <w:hideMark/>
          </w:tcPr>
          <w:p w14:paraId="35F4AE8F" w14:textId="77777777" w:rsidR="00B8137C" w:rsidRPr="00DF1BBA" w:rsidRDefault="00B8137C" w:rsidP="003751AA">
            <w:pPr>
              <w:adjustRightInd w:val="0"/>
              <w:snapToGrid w:val="0"/>
              <w:spacing w:line="240" w:lineRule="auto"/>
              <w:jc w:val="left"/>
              <w:rPr>
                <w:rFonts w:ascii="Palatino Linotype" w:hAnsi="Palatino Linotype" w:cs="Arial"/>
                <w:sz w:val="20"/>
                <w:szCs w:val="18"/>
                <w:lang w:eastAsia="en-US"/>
              </w:rPr>
            </w:pPr>
            <w:r w:rsidRPr="00DF1BBA">
              <w:rPr>
                <w:rFonts w:ascii="Palatino Linotype" w:hAnsi="Palatino Linotype" w:cs="Arial"/>
                <w:sz w:val="20"/>
                <w:szCs w:val="18"/>
              </w:rPr>
              <w:t xml:space="preserve">USA vs. Canada </w:t>
            </w:r>
          </w:p>
        </w:tc>
        <w:tc>
          <w:tcPr>
            <w:tcW w:w="0" w:type="auto"/>
            <w:shd w:val="clear" w:color="auto" w:fill="auto"/>
            <w:vAlign w:val="center"/>
            <w:hideMark/>
          </w:tcPr>
          <w:p w14:paraId="06D981B0"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0.77</w:t>
            </w:r>
          </w:p>
        </w:tc>
        <w:tc>
          <w:tcPr>
            <w:tcW w:w="0" w:type="auto"/>
            <w:shd w:val="clear" w:color="auto" w:fill="auto"/>
            <w:vAlign w:val="center"/>
            <w:hideMark/>
          </w:tcPr>
          <w:p w14:paraId="6150F954"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0.68</w:t>
            </w:r>
          </w:p>
        </w:tc>
        <w:tc>
          <w:tcPr>
            <w:tcW w:w="0" w:type="auto"/>
            <w:shd w:val="clear" w:color="auto" w:fill="auto"/>
            <w:vAlign w:val="center"/>
            <w:hideMark/>
          </w:tcPr>
          <w:p w14:paraId="7A79F4C9"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0.87</w:t>
            </w:r>
          </w:p>
        </w:tc>
      </w:tr>
      <w:tr w:rsidR="00B8137C" w:rsidRPr="00DF1BBA" w14:paraId="6310DDD2" w14:textId="77777777" w:rsidTr="00B8137C">
        <w:trPr>
          <w:cantSplit/>
          <w:jc w:val="center"/>
        </w:trPr>
        <w:tc>
          <w:tcPr>
            <w:tcW w:w="0" w:type="auto"/>
            <w:shd w:val="clear" w:color="auto" w:fill="auto"/>
            <w:vAlign w:val="center"/>
            <w:hideMark/>
          </w:tcPr>
          <w:p w14:paraId="206C05CD" w14:textId="77777777" w:rsidR="00B8137C" w:rsidRPr="00DF1BBA" w:rsidRDefault="00B8137C" w:rsidP="003751AA">
            <w:pPr>
              <w:adjustRightInd w:val="0"/>
              <w:snapToGrid w:val="0"/>
              <w:spacing w:line="240" w:lineRule="auto"/>
              <w:jc w:val="left"/>
              <w:rPr>
                <w:rFonts w:ascii="Palatino Linotype" w:hAnsi="Palatino Linotype" w:cs="Arial"/>
                <w:sz w:val="20"/>
                <w:szCs w:val="18"/>
                <w:lang w:eastAsia="en-US"/>
              </w:rPr>
            </w:pPr>
            <w:r w:rsidRPr="00DF1BBA">
              <w:rPr>
                <w:rFonts w:ascii="Palatino Linotype" w:hAnsi="Palatino Linotype" w:cs="Arial"/>
                <w:sz w:val="20"/>
                <w:szCs w:val="18"/>
              </w:rPr>
              <w:t>Mexico vs. Canada</w:t>
            </w:r>
          </w:p>
        </w:tc>
        <w:tc>
          <w:tcPr>
            <w:tcW w:w="0" w:type="auto"/>
            <w:shd w:val="clear" w:color="auto" w:fill="auto"/>
            <w:vAlign w:val="center"/>
            <w:hideMark/>
          </w:tcPr>
          <w:p w14:paraId="6B275825"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1.68</w:t>
            </w:r>
          </w:p>
        </w:tc>
        <w:tc>
          <w:tcPr>
            <w:tcW w:w="0" w:type="auto"/>
            <w:shd w:val="clear" w:color="auto" w:fill="auto"/>
            <w:vAlign w:val="center"/>
            <w:hideMark/>
          </w:tcPr>
          <w:p w14:paraId="5F6D7901"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1.45</w:t>
            </w:r>
          </w:p>
        </w:tc>
        <w:tc>
          <w:tcPr>
            <w:tcW w:w="0" w:type="auto"/>
            <w:shd w:val="clear" w:color="auto" w:fill="auto"/>
            <w:vAlign w:val="center"/>
            <w:hideMark/>
          </w:tcPr>
          <w:p w14:paraId="05C7F50E"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1.95</w:t>
            </w:r>
          </w:p>
        </w:tc>
      </w:tr>
      <w:tr w:rsidR="00B8137C" w:rsidRPr="00DF1BBA" w14:paraId="116EBA05" w14:textId="77777777" w:rsidTr="00B8137C">
        <w:trPr>
          <w:cantSplit/>
          <w:jc w:val="center"/>
        </w:trPr>
        <w:tc>
          <w:tcPr>
            <w:tcW w:w="0" w:type="auto"/>
            <w:tcBorders>
              <w:bottom w:val="single" w:sz="4" w:space="0" w:color="auto"/>
            </w:tcBorders>
            <w:shd w:val="clear" w:color="auto" w:fill="auto"/>
            <w:vAlign w:val="center"/>
            <w:hideMark/>
          </w:tcPr>
          <w:p w14:paraId="191AA2EC" w14:textId="77777777" w:rsidR="00B8137C" w:rsidRPr="00DF1BBA" w:rsidRDefault="00B8137C" w:rsidP="003751AA">
            <w:pPr>
              <w:adjustRightInd w:val="0"/>
              <w:snapToGrid w:val="0"/>
              <w:spacing w:line="240" w:lineRule="auto"/>
              <w:jc w:val="left"/>
              <w:rPr>
                <w:rFonts w:ascii="Palatino Linotype" w:hAnsi="Palatino Linotype" w:cs="Arial"/>
                <w:sz w:val="20"/>
                <w:szCs w:val="18"/>
                <w:lang w:eastAsia="en-US"/>
              </w:rPr>
            </w:pPr>
            <w:r w:rsidRPr="00DF1BBA">
              <w:rPr>
                <w:rFonts w:ascii="Palatino Linotype" w:hAnsi="Palatino Linotype" w:cs="Arial"/>
                <w:sz w:val="20"/>
                <w:szCs w:val="18"/>
              </w:rPr>
              <w:t>Mexico vs. USA</w:t>
            </w:r>
          </w:p>
        </w:tc>
        <w:tc>
          <w:tcPr>
            <w:tcW w:w="0" w:type="auto"/>
            <w:tcBorders>
              <w:bottom w:val="single" w:sz="4" w:space="0" w:color="auto"/>
            </w:tcBorders>
            <w:shd w:val="clear" w:color="auto" w:fill="auto"/>
            <w:vAlign w:val="center"/>
            <w:hideMark/>
          </w:tcPr>
          <w:p w14:paraId="2DE90536"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2.09</w:t>
            </w:r>
          </w:p>
        </w:tc>
        <w:tc>
          <w:tcPr>
            <w:tcW w:w="0" w:type="auto"/>
            <w:tcBorders>
              <w:bottom w:val="single" w:sz="4" w:space="0" w:color="auto"/>
            </w:tcBorders>
            <w:shd w:val="clear" w:color="auto" w:fill="auto"/>
            <w:vAlign w:val="center"/>
            <w:hideMark/>
          </w:tcPr>
          <w:p w14:paraId="5F79BB69"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1.77</w:t>
            </w:r>
          </w:p>
        </w:tc>
        <w:tc>
          <w:tcPr>
            <w:tcW w:w="0" w:type="auto"/>
            <w:tcBorders>
              <w:bottom w:val="single" w:sz="4" w:space="0" w:color="auto"/>
            </w:tcBorders>
            <w:shd w:val="clear" w:color="auto" w:fill="auto"/>
            <w:vAlign w:val="center"/>
            <w:hideMark/>
          </w:tcPr>
          <w:p w14:paraId="5C17A055"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2.47</w:t>
            </w:r>
          </w:p>
        </w:tc>
      </w:tr>
      <w:tr w:rsidR="00B8137C" w:rsidRPr="00DF1BBA" w14:paraId="220A0E89" w14:textId="77777777" w:rsidTr="00B8137C">
        <w:trPr>
          <w:cantSplit/>
          <w:jc w:val="center"/>
        </w:trPr>
        <w:tc>
          <w:tcPr>
            <w:tcW w:w="0" w:type="auto"/>
            <w:gridSpan w:val="4"/>
            <w:tcBorders>
              <w:top w:val="single" w:sz="4" w:space="0" w:color="auto"/>
              <w:bottom w:val="single" w:sz="4" w:space="0" w:color="auto"/>
            </w:tcBorders>
            <w:shd w:val="clear" w:color="auto" w:fill="auto"/>
            <w:vAlign w:val="center"/>
            <w:hideMark/>
          </w:tcPr>
          <w:p w14:paraId="5FE2FCD3" w14:textId="77777777" w:rsidR="00B8137C" w:rsidRPr="00941E39" w:rsidRDefault="00B8137C" w:rsidP="003751AA">
            <w:pPr>
              <w:adjustRightInd w:val="0"/>
              <w:snapToGrid w:val="0"/>
              <w:spacing w:line="240" w:lineRule="auto"/>
              <w:jc w:val="left"/>
              <w:rPr>
                <w:rFonts w:ascii="Palatino Linotype" w:hAnsi="Palatino Linotype" w:cs="Arial"/>
                <w:b/>
                <w:sz w:val="20"/>
                <w:szCs w:val="18"/>
                <w:lang w:eastAsia="en-US"/>
              </w:rPr>
            </w:pPr>
            <w:r w:rsidRPr="00346205">
              <w:rPr>
                <w:rFonts w:ascii="Palatino Linotype" w:hAnsi="Palatino Linotype" w:cs="Arial"/>
                <w:b/>
                <w:sz w:val="20"/>
                <w:szCs w:val="18"/>
              </w:rPr>
              <w:t>High SSB consumption (n = 5133)</w:t>
            </w:r>
          </w:p>
        </w:tc>
      </w:tr>
      <w:tr w:rsidR="00B8137C" w:rsidRPr="00DF1BBA" w14:paraId="1B62F4E1" w14:textId="77777777" w:rsidTr="00B8137C">
        <w:trPr>
          <w:cantSplit/>
          <w:jc w:val="center"/>
        </w:trPr>
        <w:tc>
          <w:tcPr>
            <w:tcW w:w="0" w:type="auto"/>
            <w:tcBorders>
              <w:top w:val="single" w:sz="4" w:space="0" w:color="auto"/>
            </w:tcBorders>
            <w:shd w:val="clear" w:color="auto" w:fill="auto"/>
            <w:vAlign w:val="center"/>
            <w:hideMark/>
          </w:tcPr>
          <w:p w14:paraId="76DC561D" w14:textId="77777777" w:rsidR="00B8137C" w:rsidRPr="00DF1BBA" w:rsidRDefault="00B8137C" w:rsidP="003751AA">
            <w:pPr>
              <w:adjustRightInd w:val="0"/>
              <w:snapToGrid w:val="0"/>
              <w:spacing w:line="240" w:lineRule="auto"/>
              <w:jc w:val="left"/>
              <w:rPr>
                <w:rFonts w:ascii="Palatino Linotype" w:hAnsi="Palatino Linotype" w:cs="Arial"/>
                <w:sz w:val="20"/>
                <w:szCs w:val="18"/>
                <w:lang w:eastAsia="en-US"/>
              </w:rPr>
            </w:pPr>
            <w:r w:rsidRPr="00DF1BBA">
              <w:rPr>
                <w:rFonts w:ascii="Palatino Linotype" w:hAnsi="Palatino Linotype" w:cs="Arial"/>
                <w:sz w:val="20"/>
                <w:szCs w:val="18"/>
              </w:rPr>
              <w:t>Australia vs. UK</w:t>
            </w:r>
          </w:p>
        </w:tc>
        <w:tc>
          <w:tcPr>
            <w:tcW w:w="0" w:type="auto"/>
            <w:tcBorders>
              <w:top w:val="single" w:sz="4" w:space="0" w:color="auto"/>
            </w:tcBorders>
            <w:shd w:val="clear" w:color="auto" w:fill="auto"/>
            <w:vAlign w:val="center"/>
            <w:hideMark/>
          </w:tcPr>
          <w:p w14:paraId="7DE08726"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1.72</w:t>
            </w:r>
          </w:p>
        </w:tc>
        <w:tc>
          <w:tcPr>
            <w:tcW w:w="0" w:type="auto"/>
            <w:tcBorders>
              <w:top w:val="single" w:sz="4" w:space="0" w:color="auto"/>
            </w:tcBorders>
            <w:shd w:val="clear" w:color="auto" w:fill="auto"/>
            <w:vAlign w:val="center"/>
            <w:hideMark/>
          </w:tcPr>
          <w:p w14:paraId="29ADBD4F"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1.48</w:t>
            </w:r>
          </w:p>
        </w:tc>
        <w:tc>
          <w:tcPr>
            <w:tcW w:w="0" w:type="auto"/>
            <w:tcBorders>
              <w:top w:val="single" w:sz="4" w:space="0" w:color="auto"/>
            </w:tcBorders>
            <w:shd w:val="clear" w:color="auto" w:fill="auto"/>
            <w:vAlign w:val="center"/>
            <w:hideMark/>
          </w:tcPr>
          <w:p w14:paraId="094446F6"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1.99</w:t>
            </w:r>
          </w:p>
        </w:tc>
      </w:tr>
      <w:tr w:rsidR="00B8137C" w:rsidRPr="00DF1BBA" w14:paraId="5CDAA049" w14:textId="77777777" w:rsidTr="00B8137C">
        <w:trPr>
          <w:cantSplit/>
          <w:jc w:val="center"/>
        </w:trPr>
        <w:tc>
          <w:tcPr>
            <w:tcW w:w="0" w:type="auto"/>
            <w:shd w:val="clear" w:color="auto" w:fill="auto"/>
            <w:vAlign w:val="center"/>
            <w:hideMark/>
          </w:tcPr>
          <w:p w14:paraId="3E592757" w14:textId="77777777" w:rsidR="00B8137C" w:rsidRPr="00DF1BBA" w:rsidRDefault="00B8137C" w:rsidP="003751AA">
            <w:pPr>
              <w:adjustRightInd w:val="0"/>
              <w:snapToGrid w:val="0"/>
              <w:spacing w:line="240" w:lineRule="auto"/>
              <w:jc w:val="left"/>
              <w:rPr>
                <w:rFonts w:ascii="Palatino Linotype" w:hAnsi="Palatino Linotype" w:cs="Arial"/>
                <w:sz w:val="20"/>
                <w:szCs w:val="18"/>
                <w:lang w:eastAsia="en-US"/>
              </w:rPr>
            </w:pPr>
            <w:r w:rsidRPr="00DF1BBA">
              <w:rPr>
                <w:rFonts w:ascii="Palatino Linotype" w:hAnsi="Palatino Linotype" w:cs="Arial"/>
                <w:sz w:val="20"/>
                <w:szCs w:val="18"/>
              </w:rPr>
              <w:t>Canada vs. UK</w:t>
            </w:r>
          </w:p>
        </w:tc>
        <w:tc>
          <w:tcPr>
            <w:tcW w:w="0" w:type="auto"/>
            <w:shd w:val="clear" w:color="auto" w:fill="auto"/>
            <w:vAlign w:val="center"/>
            <w:hideMark/>
          </w:tcPr>
          <w:p w14:paraId="7D471902"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0.96</w:t>
            </w:r>
          </w:p>
        </w:tc>
        <w:tc>
          <w:tcPr>
            <w:tcW w:w="0" w:type="auto"/>
            <w:shd w:val="clear" w:color="auto" w:fill="auto"/>
            <w:vAlign w:val="center"/>
            <w:hideMark/>
          </w:tcPr>
          <w:p w14:paraId="2B974ADA"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0.81</w:t>
            </w:r>
          </w:p>
        </w:tc>
        <w:tc>
          <w:tcPr>
            <w:tcW w:w="0" w:type="auto"/>
            <w:shd w:val="clear" w:color="auto" w:fill="auto"/>
            <w:vAlign w:val="center"/>
            <w:hideMark/>
          </w:tcPr>
          <w:p w14:paraId="661F610A"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1.13</w:t>
            </w:r>
          </w:p>
        </w:tc>
      </w:tr>
      <w:tr w:rsidR="00B8137C" w:rsidRPr="00DF1BBA" w14:paraId="65CC5BC4" w14:textId="77777777" w:rsidTr="00B8137C">
        <w:trPr>
          <w:cantSplit/>
          <w:jc w:val="center"/>
        </w:trPr>
        <w:tc>
          <w:tcPr>
            <w:tcW w:w="0" w:type="auto"/>
            <w:shd w:val="clear" w:color="auto" w:fill="auto"/>
            <w:vAlign w:val="center"/>
            <w:hideMark/>
          </w:tcPr>
          <w:p w14:paraId="4A4400B0" w14:textId="77777777" w:rsidR="00B8137C" w:rsidRPr="00DF1BBA" w:rsidRDefault="00B8137C" w:rsidP="003751AA">
            <w:pPr>
              <w:adjustRightInd w:val="0"/>
              <w:snapToGrid w:val="0"/>
              <w:spacing w:line="240" w:lineRule="auto"/>
              <w:jc w:val="left"/>
              <w:rPr>
                <w:rFonts w:ascii="Palatino Linotype" w:hAnsi="Palatino Linotype" w:cs="Arial"/>
                <w:sz w:val="20"/>
                <w:szCs w:val="18"/>
                <w:lang w:eastAsia="en-US"/>
              </w:rPr>
            </w:pPr>
            <w:r w:rsidRPr="00DF1BBA">
              <w:rPr>
                <w:rFonts w:ascii="Palatino Linotype" w:hAnsi="Palatino Linotype" w:cs="Arial"/>
                <w:sz w:val="20"/>
                <w:szCs w:val="18"/>
              </w:rPr>
              <w:t>USA vs. UK</w:t>
            </w:r>
          </w:p>
        </w:tc>
        <w:tc>
          <w:tcPr>
            <w:tcW w:w="0" w:type="auto"/>
            <w:shd w:val="clear" w:color="auto" w:fill="auto"/>
            <w:vAlign w:val="center"/>
            <w:hideMark/>
          </w:tcPr>
          <w:p w14:paraId="2DDB368E"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1.12</w:t>
            </w:r>
          </w:p>
        </w:tc>
        <w:tc>
          <w:tcPr>
            <w:tcW w:w="0" w:type="auto"/>
            <w:shd w:val="clear" w:color="auto" w:fill="auto"/>
            <w:vAlign w:val="center"/>
            <w:hideMark/>
          </w:tcPr>
          <w:p w14:paraId="4DC8BE86"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0.96</w:t>
            </w:r>
          </w:p>
        </w:tc>
        <w:tc>
          <w:tcPr>
            <w:tcW w:w="0" w:type="auto"/>
            <w:shd w:val="clear" w:color="auto" w:fill="auto"/>
            <w:vAlign w:val="center"/>
            <w:hideMark/>
          </w:tcPr>
          <w:p w14:paraId="29420BD3"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1.30</w:t>
            </w:r>
          </w:p>
        </w:tc>
      </w:tr>
      <w:tr w:rsidR="00B8137C" w:rsidRPr="00DF1BBA" w14:paraId="4387B308" w14:textId="77777777" w:rsidTr="00B8137C">
        <w:trPr>
          <w:cantSplit/>
          <w:jc w:val="center"/>
        </w:trPr>
        <w:tc>
          <w:tcPr>
            <w:tcW w:w="0" w:type="auto"/>
            <w:shd w:val="clear" w:color="auto" w:fill="auto"/>
            <w:vAlign w:val="center"/>
            <w:hideMark/>
          </w:tcPr>
          <w:p w14:paraId="6BE95E4B" w14:textId="77777777" w:rsidR="00B8137C" w:rsidRPr="00DF1BBA" w:rsidRDefault="00B8137C" w:rsidP="003751AA">
            <w:pPr>
              <w:adjustRightInd w:val="0"/>
              <w:snapToGrid w:val="0"/>
              <w:spacing w:line="240" w:lineRule="auto"/>
              <w:jc w:val="left"/>
              <w:rPr>
                <w:rFonts w:ascii="Palatino Linotype" w:hAnsi="Palatino Linotype" w:cs="Arial"/>
                <w:sz w:val="20"/>
                <w:szCs w:val="18"/>
                <w:lang w:eastAsia="en-US"/>
              </w:rPr>
            </w:pPr>
            <w:r w:rsidRPr="00DF1BBA">
              <w:rPr>
                <w:rFonts w:ascii="Palatino Linotype" w:hAnsi="Palatino Linotype" w:cs="Arial"/>
                <w:sz w:val="20"/>
                <w:szCs w:val="18"/>
              </w:rPr>
              <w:t xml:space="preserve">Mexico vs. UK </w:t>
            </w:r>
          </w:p>
        </w:tc>
        <w:tc>
          <w:tcPr>
            <w:tcW w:w="0" w:type="auto"/>
            <w:shd w:val="clear" w:color="auto" w:fill="auto"/>
            <w:vAlign w:val="center"/>
            <w:hideMark/>
          </w:tcPr>
          <w:p w14:paraId="72D35941"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4.33</w:t>
            </w:r>
          </w:p>
        </w:tc>
        <w:tc>
          <w:tcPr>
            <w:tcW w:w="0" w:type="auto"/>
            <w:shd w:val="clear" w:color="auto" w:fill="auto"/>
            <w:vAlign w:val="center"/>
            <w:hideMark/>
          </w:tcPr>
          <w:p w14:paraId="3114161D"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3.65</w:t>
            </w:r>
          </w:p>
        </w:tc>
        <w:tc>
          <w:tcPr>
            <w:tcW w:w="0" w:type="auto"/>
            <w:shd w:val="clear" w:color="auto" w:fill="auto"/>
            <w:vAlign w:val="center"/>
            <w:hideMark/>
          </w:tcPr>
          <w:p w14:paraId="6AA127FB"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5.14</w:t>
            </w:r>
          </w:p>
        </w:tc>
      </w:tr>
      <w:tr w:rsidR="00B8137C" w:rsidRPr="00DF1BBA" w14:paraId="55AAB052" w14:textId="77777777" w:rsidTr="00B8137C">
        <w:trPr>
          <w:cantSplit/>
          <w:jc w:val="center"/>
        </w:trPr>
        <w:tc>
          <w:tcPr>
            <w:tcW w:w="0" w:type="auto"/>
            <w:shd w:val="clear" w:color="auto" w:fill="auto"/>
            <w:vAlign w:val="center"/>
            <w:hideMark/>
          </w:tcPr>
          <w:p w14:paraId="47EC147F" w14:textId="77777777" w:rsidR="00B8137C" w:rsidRPr="00DF1BBA" w:rsidRDefault="00B8137C" w:rsidP="003751AA">
            <w:pPr>
              <w:adjustRightInd w:val="0"/>
              <w:snapToGrid w:val="0"/>
              <w:spacing w:line="240" w:lineRule="auto"/>
              <w:jc w:val="left"/>
              <w:rPr>
                <w:rFonts w:ascii="Palatino Linotype" w:hAnsi="Palatino Linotype" w:cs="Arial"/>
                <w:sz w:val="20"/>
                <w:szCs w:val="18"/>
                <w:lang w:eastAsia="en-US"/>
              </w:rPr>
            </w:pPr>
            <w:r w:rsidRPr="00DF1BBA">
              <w:rPr>
                <w:rFonts w:ascii="Palatino Linotype" w:hAnsi="Palatino Linotype" w:cs="Arial"/>
                <w:sz w:val="20"/>
                <w:szCs w:val="18"/>
              </w:rPr>
              <w:t>Canada vs. Australia</w:t>
            </w:r>
          </w:p>
        </w:tc>
        <w:tc>
          <w:tcPr>
            <w:tcW w:w="0" w:type="auto"/>
            <w:shd w:val="clear" w:color="auto" w:fill="auto"/>
            <w:vAlign w:val="center"/>
            <w:hideMark/>
          </w:tcPr>
          <w:p w14:paraId="46DB16C4"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0.56</w:t>
            </w:r>
          </w:p>
        </w:tc>
        <w:tc>
          <w:tcPr>
            <w:tcW w:w="0" w:type="auto"/>
            <w:shd w:val="clear" w:color="auto" w:fill="auto"/>
            <w:vAlign w:val="center"/>
            <w:hideMark/>
          </w:tcPr>
          <w:p w14:paraId="5E0533BE"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0.47</w:t>
            </w:r>
          </w:p>
        </w:tc>
        <w:tc>
          <w:tcPr>
            <w:tcW w:w="0" w:type="auto"/>
            <w:shd w:val="clear" w:color="auto" w:fill="auto"/>
            <w:vAlign w:val="center"/>
            <w:hideMark/>
          </w:tcPr>
          <w:p w14:paraId="089EF85D"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0.65</w:t>
            </w:r>
          </w:p>
        </w:tc>
      </w:tr>
      <w:tr w:rsidR="00B8137C" w:rsidRPr="00DF1BBA" w14:paraId="0E285DC5" w14:textId="77777777" w:rsidTr="00B8137C">
        <w:trPr>
          <w:cantSplit/>
          <w:jc w:val="center"/>
        </w:trPr>
        <w:tc>
          <w:tcPr>
            <w:tcW w:w="0" w:type="auto"/>
            <w:shd w:val="clear" w:color="auto" w:fill="auto"/>
            <w:vAlign w:val="center"/>
            <w:hideMark/>
          </w:tcPr>
          <w:p w14:paraId="103B1DE6" w14:textId="77777777" w:rsidR="00B8137C" w:rsidRPr="00DF1BBA" w:rsidRDefault="00B8137C" w:rsidP="003751AA">
            <w:pPr>
              <w:adjustRightInd w:val="0"/>
              <w:snapToGrid w:val="0"/>
              <w:spacing w:line="240" w:lineRule="auto"/>
              <w:jc w:val="left"/>
              <w:rPr>
                <w:rFonts w:ascii="Palatino Linotype" w:hAnsi="Palatino Linotype" w:cs="Arial"/>
                <w:sz w:val="20"/>
                <w:szCs w:val="18"/>
                <w:lang w:eastAsia="en-US"/>
              </w:rPr>
            </w:pPr>
            <w:r w:rsidRPr="00DF1BBA">
              <w:rPr>
                <w:rFonts w:ascii="Palatino Linotype" w:hAnsi="Palatino Linotype" w:cs="Arial"/>
                <w:sz w:val="20"/>
                <w:szCs w:val="18"/>
              </w:rPr>
              <w:t>USA vs. Australia</w:t>
            </w:r>
          </w:p>
        </w:tc>
        <w:tc>
          <w:tcPr>
            <w:tcW w:w="0" w:type="auto"/>
            <w:shd w:val="clear" w:color="auto" w:fill="auto"/>
            <w:vAlign w:val="center"/>
            <w:hideMark/>
          </w:tcPr>
          <w:p w14:paraId="46F6A771"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0.65</w:t>
            </w:r>
          </w:p>
        </w:tc>
        <w:tc>
          <w:tcPr>
            <w:tcW w:w="0" w:type="auto"/>
            <w:shd w:val="clear" w:color="auto" w:fill="auto"/>
            <w:vAlign w:val="center"/>
            <w:hideMark/>
          </w:tcPr>
          <w:p w14:paraId="7F827E4D"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0.56</w:t>
            </w:r>
          </w:p>
        </w:tc>
        <w:tc>
          <w:tcPr>
            <w:tcW w:w="0" w:type="auto"/>
            <w:shd w:val="clear" w:color="auto" w:fill="auto"/>
            <w:vAlign w:val="center"/>
            <w:hideMark/>
          </w:tcPr>
          <w:p w14:paraId="4C345186"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0.75</w:t>
            </w:r>
          </w:p>
        </w:tc>
      </w:tr>
      <w:tr w:rsidR="00B8137C" w:rsidRPr="00DF1BBA" w14:paraId="11503254" w14:textId="77777777" w:rsidTr="00B8137C">
        <w:trPr>
          <w:cantSplit/>
          <w:jc w:val="center"/>
        </w:trPr>
        <w:tc>
          <w:tcPr>
            <w:tcW w:w="0" w:type="auto"/>
            <w:shd w:val="clear" w:color="auto" w:fill="auto"/>
            <w:vAlign w:val="center"/>
            <w:hideMark/>
          </w:tcPr>
          <w:p w14:paraId="3DA20B1C" w14:textId="77777777" w:rsidR="00B8137C" w:rsidRPr="00DF1BBA" w:rsidRDefault="00B8137C" w:rsidP="003751AA">
            <w:pPr>
              <w:adjustRightInd w:val="0"/>
              <w:snapToGrid w:val="0"/>
              <w:spacing w:line="240" w:lineRule="auto"/>
              <w:jc w:val="left"/>
              <w:rPr>
                <w:rFonts w:ascii="Palatino Linotype" w:hAnsi="Palatino Linotype" w:cs="Arial"/>
                <w:sz w:val="20"/>
                <w:szCs w:val="18"/>
                <w:lang w:eastAsia="en-US"/>
              </w:rPr>
            </w:pPr>
            <w:r w:rsidRPr="00DF1BBA">
              <w:rPr>
                <w:rFonts w:ascii="Palatino Linotype" w:hAnsi="Palatino Linotype" w:cs="Arial"/>
                <w:sz w:val="20"/>
                <w:szCs w:val="18"/>
              </w:rPr>
              <w:t>Mexico vs. Australia</w:t>
            </w:r>
          </w:p>
        </w:tc>
        <w:tc>
          <w:tcPr>
            <w:tcW w:w="0" w:type="auto"/>
            <w:shd w:val="clear" w:color="auto" w:fill="auto"/>
            <w:vAlign w:val="center"/>
            <w:hideMark/>
          </w:tcPr>
          <w:p w14:paraId="0C910206"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2.52</w:t>
            </w:r>
          </w:p>
        </w:tc>
        <w:tc>
          <w:tcPr>
            <w:tcW w:w="0" w:type="auto"/>
            <w:shd w:val="clear" w:color="auto" w:fill="auto"/>
            <w:vAlign w:val="center"/>
            <w:hideMark/>
          </w:tcPr>
          <w:p w14:paraId="32075348"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2.13</w:t>
            </w:r>
          </w:p>
        </w:tc>
        <w:tc>
          <w:tcPr>
            <w:tcW w:w="0" w:type="auto"/>
            <w:shd w:val="clear" w:color="auto" w:fill="auto"/>
            <w:vAlign w:val="center"/>
            <w:hideMark/>
          </w:tcPr>
          <w:p w14:paraId="5E12C659"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2.99</w:t>
            </w:r>
          </w:p>
        </w:tc>
      </w:tr>
      <w:tr w:rsidR="00B8137C" w:rsidRPr="00DF1BBA" w14:paraId="7C0C8191" w14:textId="77777777" w:rsidTr="00B8137C">
        <w:trPr>
          <w:cantSplit/>
          <w:jc w:val="center"/>
        </w:trPr>
        <w:tc>
          <w:tcPr>
            <w:tcW w:w="0" w:type="auto"/>
            <w:shd w:val="clear" w:color="auto" w:fill="auto"/>
            <w:vAlign w:val="center"/>
            <w:hideMark/>
          </w:tcPr>
          <w:p w14:paraId="4CA78CDE" w14:textId="77777777" w:rsidR="00B8137C" w:rsidRPr="00DF1BBA" w:rsidRDefault="00B8137C" w:rsidP="003751AA">
            <w:pPr>
              <w:adjustRightInd w:val="0"/>
              <w:snapToGrid w:val="0"/>
              <w:spacing w:line="240" w:lineRule="auto"/>
              <w:jc w:val="left"/>
              <w:rPr>
                <w:rFonts w:ascii="Palatino Linotype" w:hAnsi="Palatino Linotype" w:cs="Arial"/>
                <w:sz w:val="20"/>
                <w:szCs w:val="18"/>
                <w:lang w:eastAsia="en-US"/>
              </w:rPr>
            </w:pPr>
            <w:r w:rsidRPr="00DF1BBA">
              <w:rPr>
                <w:rFonts w:ascii="Palatino Linotype" w:hAnsi="Palatino Linotype" w:cs="Arial"/>
                <w:sz w:val="20"/>
                <w:szCs w:val="18"/>
              </w:rPr>
              <w:t xml:space="preserve">USA vs. Canada </w:t>
            </w:r>
          </w:p>
        </w:tc>
        <w:tc>
          <w:tcPr>
            <w:tcW w:w="0" w:type="auto"/>
            <w:shd w:val="clear" w:color="auto" w:fill="auto"/>
            <w:vAlign w:val="center"/>
            <w:hideMark/>
          </w:tcPr>
          <w:p w14:paraId="52D3FE02"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1.08</w:t>
            </w:r>
          </w:p>
        </w:tc>
        <w:tc>
          <w:tcPr>
            <w:tcW w:w="0" w:type="auto"/>
            <w:shd w:val="clear" w:color="auto" w:fill="auto"/>
            <w:vAlign w:val="center"/>
            <w:hideMark/>
          </w:tcPr>
          <w:p w14:paraId="29C47901"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0.95</w:t>
            </w:r>
          </w:p>
        </w:tc>
        <w:tc>
          <w:tcPr>
            <w:tcW w:w="0" w:type="auto"/>
            <w:shd w:val="clear" w:color="auto" w:fill="auto"/>
            <w:vAlign w:val="center"/>
            <w:hideMark/>
          </w:tcPr>
          <w:p w14:paraId="7162F2E0"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1.24</w:t>
            </w:r>
          </w:p>
        </w:tc>
      </w:tr>
      <w:tr w:rsidR="00B8137C" w:rsidRPr="00DF1BBA" w14:paraId="1C252B7F" w14:textId="77777777" w:rsidTr="00B8137C">
        <w:trPr>
          <w:cantSplit/>
          <w:jc w:val="center"/>
        </w:trPr>
        <w:tc>
          <w:tcPr>
            <w:tcW w:w="0" w:type="auto"/>
            <w:shd w:val="clear" w:color="auto" w:fill="auto"/>
            <w:vAlign w:val="center"/>
            <w:hideMark/>
          </w:tcPr>
          <w:p w14:paraId="06D3A42C" w14:textId="77777777" w:rsidR="00B8137C" w:rsidRPr="00DF1BBA" w:rsidRDefault="00B8137C" w:rsidP="003751AA">
            <w:pPr>
              <w:adjustRightInd w:val="0"/>
              <w:snapToGrid w:val="0"/>
              <w:spacing w:line="240" w:lineRule="auto"/>
              <w:jc w:val="left"/>
              <w:rPr>
                <w:rFonts w:ascii="Palatino Linotype" w:hAnsi="Palatino Linotype" w:cs="Arial"/>
                <w:sz w:val="20"/>
                <w:szCs w:val="18"/>
                <w:lang w:eastAsia="en-US"/>
              </w:rPr>
            </w:pPr>
            <w:r w:rsidRPr="00DF1BBA">
              <w:rPr>
                <w:rFonts w:ascii="Palatino Linotype" w:hAnsi="Palatino Linotype" w:cs="Arial"/>
                <w:sz w:val="20"/>
                <w:szCs w:val="18"/>
              </w:rPr>
              <w:t>Mexico vs. Canada</w:t>
            </w:r>
          </w:p>
        </w:tc>
        <w:tc>
          <w:tcPr>
            <w:tcW w:w="0" w:type="auto"/>
            <w:shd w:val="clear" w:color="auto" w:fill="auto"/>
            <w:vAlign w:val="center"/>
            <w:hideMark/>
          </w:tcPr>
          <w:p w14:paraId="004DCF48"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4.40</w:t>
            </w:r>
          </w:p>
        </w:tc>
        <w:tc>
          <w:tcPr>
            <w:tcW w:w="0" w:type="auto"/>
            <w:shd w:val="clear" w:color="auto" w:fill="auto"/>
            <w:vAlign w:val="center"/>
            <w:hideMark/>
          </w:tcPr>
          <w:p w14:paraId="44159F79"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3.78</w:t>
            </w:r>
          </w:p>
        </w:tc>
        <w:tc>
          <w:tcPr>
            <w:tcW w:w="0" w:type="auto"/>
            <w:shd w:val="clear" w:color="auto" w:fill="auto"/>
            <w:vAlign w:val="center"/>
            <w:hideMark/>
          </w:tcPr>
          <w:p w14:paraId="0C93C625" w14:textId="77777777" w:rsidR="00B8137C" w:rsidRPr="00DF1BBA" w:rsidRDefault="00B8137C" w:rsidP="00B8137C">
            <w:pPr>
              <w:adjustRightInd w:val="0"/>
              <w:snapToGrid w:val="0"/>
              <w:spacing w:line="240" w:lineRule="auto"/>
              <w:jc w:val="center"/>
              <w:rPr>
                <w:rFonts w:ascii="Palatino Linotype" w:hAnsi="Palatino Linotype" w:cs="Arial"/>
                <w:sz w:val="20"/>
                <w:szCs w:val="18"/>
                <w:lang w:eastAsia="en-US"/>
              </w:rPr>
            </w:pPr>
            <w:r w:rsidRPr="00DF1BBA">
              <w:rPr>
                <w:rFonts w:ascii="Palatino Linotype" w:hAnsi="Palatino Linotype" w:cs="Arial"/>
                <w:sz w:val="20"/>
                <w:szCs w:val="18"/>
              </w:rPr>
              <w:t>5.13</w:t>
            </w:r>
          </w:p>
        </w:tc>
      </w:tr>
      <w:tr w:rsidR="00B8137C" w:rsidRPr="00EA3A8D" w14:paraId="0BE62758" w14:textId="77777777" w:rsidTr="00B8137C">
        <w:trPr>
          <w:cantSplit/>
          <w:jc w:val="center"/>
        </w:trPr>
        <w:tc>
          <w:tcPr>
            <w:tcW w:w="0" w:type="auto"/>
            <w:shd w:val="clear" w:color="auto" w:fill="auto"/>
            <w:vAlign w:val="center"/>
            <w:hideMark/>
          </w:tcPr>
          <w:p w14:paraId="59026780" w14:textId="77777777" w:rsidR="00B8137C" w:rsidRPr="00EA3A8D" w:rsidRDefault="00B8137C" w:rsidP="003751AA">
            <w:pPr>
              <w:adjustRightInd w:val="0"/>
              <w:snapToGrid w:val="0"/>
              <w:spacing w:line="240" w:lineRule="auto"/>
              <w:jc w:val="left"/>
              <w:rPr>
                <w:rFonts w:ascii="Palatino Linotype" w:hAnsi="Palatino Linotype" w:cs="Arial"/>
                <w:sz w:val="20"/>
                <w:szCs w:val="18"/>
                <w:lang w:eastAsia="en-US"/>
              </w:rPr>
            </w:pPr>
            <w:r w:rsidRPr="00EA3A8D">
              <w:rPr>
                <w:rFonts w:ascii="Palatino Linotype" w:hAnsi="Palatino Linotype" w:cs="Arial"/>
                <w:sz w:val="20"/>
                <w:szCs w:val="18"/>
              </w:rPr>
              <w:t>Mexico vs. USA</w:t>
            </w:r>
          </w:p>
        </w:tc>
        <w:tc>
          <w:tcPr>
            <w:tcW w:w="0" w:type="auto"/>
            <w:shd w:val="clear" w:color="auto" w:fill="auto"/>
            <w:vAlign w:val="center"/>
            <w:hideMark/>
          </w:tcPr>
          <w:p w14:paraId="4C497476" w14:textId="77777777" w:rsidR="00B8137C" w:rsidRPr="00EA3A8D" w:rsidRDefault="00B8137C" w:rsidP="00B8137C">
            <w:pPr>
              <w:adjustRightInd w:val="0"/>
              <w:snapToGrid w:val="0"/>
              <w:spacing w:line="240" w:lineRule="auto"/>
              <w:jc w:val="center"/>
              <w:rPr>
                <w:rFonts w:ascii="Palatino Linotype" w:hAnsi="Palatino Linotype" w:cs="Arial"/>
                <w:sz w:val="20"/>
                <w:szCs w:val="18"/>
                <w:lang w:eastAsia="en-US"/>
              </w:rPr>
            </w:pPr>
            <w:r w:rsidRPr="00EA3A8D">
              <w:rPr>
                <w:rFonts w:ascii="Palatino Linotype" w:hAnsi="Palatino Linotype" w:cs="Arial"/>
                <w:sz w:val="20"/>
                <w:szCs w:val="18"/>
              </w:rPr>
              <w:t>3.88</w:t>
            </w:r>
          </w:p>
        </w:tc>
        <w:tc>
          <w:tcPr>
            <w:tcW w:w="0" w:type="auto"/>
            <w:shd w:val="clear" w:color="auto" w:fill="auto"/>
            <w:vAlign w:val="center"/>
            <w:hideMark/>
          </w:tcPr>
          <w:p w14:paraId="3905C057" w14:textId="77777777" w:rsidR="00B8137C" w:rsidRPr="00EA3A8D" w:rsidRDefault="00B8137C" w:rsidP="00B8137C">
            <w:pPr>
              <w:adjustRightInd w:val="0"/>
              <w:snapToGrid w:val="0"/>
              <w:spacing w:line="240" w:lineRule="auto"/>
              <w:jc w:val="center"/>
              <w:rPr>
                <w:rFonts w:ascii="Palatino Linotype" w:hAnsi="Palatino Linotype" w:cs="Arial"/>
                <w:sz w:val="20"/>
                <w:szCs w:val="18"/>
                <w:lang w:eastAsia="en-US"/>
              </w:rPr>
            </w:pPr>
            <w:r w:rsidRPr="00EA3A8D">
              <w:rPr>
                <w:rFonts w:ascii="Palatino Linotype" w:hAnsi="Palatino Linotype" w:cs="Arial"/>
                <w:sz w:val="20"/>
                <w:szCs w:val="18"/>
              </w:rPr>
              <w:t>3.30</w:t>
            </w:r>
          </w:p>
        </w:tc>
        <w:tc>
          <w:tcPr>
            <w:tcW w:w="0" w:type="auto"/>
            <w:shd w:val="clear" w:color="auto" w:fill="auto"/>
            <w:vAlign w:val="center"/>
            <w:hideMark/>
          </w:tcPr>
          <w:p w14:paraId="2CB08B8B" w14:textId="77777777" w:rsidR="00B8137C" w:rsidRPr="00EA3A8D" w:rsidRDefault="00B8137C" w:rsidP="00B8137C">
            <w:pPr>
              <w:adjustRightInd w:val="0"/>
              <w:snapToGrid w:val="0"/>
              <w:spacing w:line="240" w:lineRule="auto"/>
              <w:jc w:val="center"/>
              <w:rPr>
                <w:rFonts w:ascii="Palatino Linotype" w:hAnsi="Palatino Linotype" w:cs="Arial"/>
                <w:sz w:val="20"/>
                <w:szCs w:val="18"/>
                <w:lang w:eastAsia="en-US"/>
              </w:rPr>
            </w:pPr>
            <w:r w:rsidRPr="00EA3A8D">
              <w:rPr>
                <w:rFonts w:ascii="Palatino Linotype" w:hAnsi="Palatino Linotype" w:cs="Arial"/>
                <w:sz w:val="20"/>
                <w:szCs w:val="18"/>
              </w:rPr>
              <w:t>4.56</w:t>
            </w:r>
          </w:p>
        </w:tc>
      </w:tr>
    </w:tbl>
    <w:p w14:paraId="1A3E5B1C" w14:textId="15C42F93" w:rsidR="00B8137C" w:rsidRDefault="00B8137C" w:rsidP="003F7BFA">
      <w:pPr>
        <w:pStyle w:val="MDPI43tablefooter"/>
        <w:ind w:left="425" w:right="425"/>
      </w:pPr>
      <w:r w:rsidRPr="00EA3A8D">
        <w:rPr>
          <w:b/>
        </w:rPr>
        <w:t>Note:</w:t>
      </w:r>
      <w:r w:rsidR="00941E39" w:rsidRPr="00EA3A8D">
        <w:rPr>
          <w:b/>
        </w:rPr>
        <w:t xml:space="preserve"> </w:t>
      </w:r>
      <w:r w:rsidR="00941E39" w:rsidRPr="00EA3A8D">
        <w:t>R</w:t>
      </w:r>
      <w:r w:rsidRPr="00EA3A8D">
        <w:t>elative risk ratio</w:t>
      </w:r>
      <w:r w:rsidR="00941E39" w:rsidRPr="00EA3A8D">
        <w:t xml:space="preserve"> (RRR)</w:t>
      </w:r>
      <w:r w:rsidRPr="00EA3A8D">
        <w:t>, adjusted for sex, age, ethnicity</w:t>
      </w:r>
      <w:r w:rsidR="00941E39" w:rsidRPr="00EA3A8D">
        <w:t>,</w:t>
      </w:r>
      <w:r w:rsidRPr="00EA3A8D">
        <w:t xml:space="preserve"> and education. Reference country presented second</w:t>
      </w:r>
      <w:r w:rsidRPr="00DF1BBA">
        <w:t>.</w:t>
      </w:r>
    </w:p>
    <w:p w14:paraId="6412059A" w14:textId="2261DE11" w:rsidR="0072004C" w:rsidRPr="00DF1BBA" w:rsidRDefault="0072004C" w:rsidP="0072004C">
      <w:pPr>
        <w:pStyle w:val="MDPI22heading2"/>
      </w:pPr>
      <w:r w:rsidRPr="00DF1BBA">
        <w:t>3.4. Country</w:t>
      </w:r>
      <w:r w:rsidR="00941E39">
        <w:t xml:space="preserve"> </w:t>
      </w:r>
      <w:r w:rsidRPr="00DF1BBA">
        <w:t>Variations in the Relationships between Exposure to SSB Promotion and SSB Consumption</w:t>
      </w:r>
    </w:p>
    <w:p w14:paraId="473E3010" w14:textId="1F90E67A" w:rsidR="00356611" w:rsidRDefault="0072004C" w:rsidP="0072004C">
      <w:pPr>
        <w:pStyle w:val="MDPI31text"/>
        <w:sectPr w:rsidR="00356611" w:rsidSect="00356611">
          <w:pgSz w:w="11906" w:h="16838" w:code="9"/>
          <w:pgMar w:top="1417" w:right="1531" w:bottom="1077" w:left="1531" w:header="1020" w:footer="850" w:gutter="0"/>
          <w:cols w:space="425"/>
          <w:docGrid w:type="lines" w:linePitch="326"/>
        </w:sectPr>
      </w:pPr>
      <w:r w:rsidRPr="00DF1BBA">
        <w:t xml:space="preserve">There was inconsistent evidence </w:t>
      </w:r>
      <w:r w:rsidR="00941E39">
        <w:t xml:space="preserve">to show </w:t>
      </w:r>
      <w:r w:rsidRPr="00DF1BBA">
        <w:t>that associations between exposure to SSB promotions and SSB consumption varied across countries. There was no evidence that the relationship between total exposure to SSB promotions and SSB consumption (</w:t>
      </w:r>
      <w:r w:rsidRPr="007F3E10">
        <w:rPr>
          <w:i/>
        </w:rPr>
        <w:t xml:space="preserve">p </w:t>
      </w:r>
      <w:r w:rsidRPr="007F3E10">
        <w:t>=</w:t>
      </w:r>
      <w:r w:rsidRPr="007F3E10">
        <w:rPr>
          <w:i/>
        </w:rPr>
        <w:t xml:space="preserve"> </w:t>
      </w:r>
      <w:r w:rsidRPr="007F3E10">
        <w:t xml:space="preserve">0.36) varied between countries, nor for the </w:t>
      </w:r>
      <w:r w:rsidRPr="007F3E10">
        <w:rPr>
          <w:spacing w:val="-4"/>
        </w:rPr>
        <w:t>relationship between exposure to promotions in the functional environment and SSB consumption (</w:t>
      </w:r>
      <w:r w:rsidRPr="007F3E10">
        <w:rPr>
          <w:i/>
          <w:spacing w:val="-4"/>
        </w:rPr>
        <w:t xml:space="preserve">p </w:t>
      </w:r>
      <w:r w:rsidRPr="007F3E10">
        <w:rPr>
          <w:spacing w:val="-4"/>
        </w:rPr>
        <w:t>=</w:t>
      </w:r>
      <w:r w:rsidRPr="007F3E10">
        <w:rPr>
          <w:i/>
          <w:spacing w:val="-4"/>
        </w:rPr>
        <w:t xml:space="preserve"> </w:t>
      </w:r>
      <w:r w:rsidRPr="007F3E10">
        <w:rPr>
          <w:spacing w:val="-4"/>
        </w:rPr>
        <w:t>0.07). However, there was some evidence that the relationships between exposure to digital</w:t>
      </w:r>
      <w:r w:rsidRPr="00DF1BBA">
        <w:t xml:space="preserve"> promotions, traditional promotions, and promotions in the recreational environment and SSB consumption varied between countries (</w:t>
      </w:r>
      <w:r w:rsidRPr="00044540">
        <w:rPr>
          <w:i/>
        </w:rPr>
        <w:t>p</w:t>
      </w:r>
      <w:r>
        <w:rPr>
          <w:i/>
        </w:rPr>
        <w:t xml:space="preserve"> </w:t>
      </w:r>
      <w:r w:rsidRPr="00DF1BBA">
        <w:t>&lt;</w:t>
      </w:r>
      <w:r>
        <w:rPr>
          <w:i/>
        </w:rPr>
        <w:t xml:space="preserve"> </w:t>
      </w:r>
      <w:r w:rsidRPr="00DF1BBA">
        <w:t>0.0001 respectively). To elucidate these differences, we fit</w:t>
      </w:r>
      <w:r w:rsidR="00941E39">
        <w:t>ted</w:t>
      </w:r>
      <w:r w:rsidRPr="00DF1BBA">
        <w:t xml:space="preserve"> country-stratified models, which are summari</w:t>
      </w:r>
      <w:r w:rsidR="00941E39">
        <w:t>z</w:t>
      </w:r>
      <w:r w:rsidRPr="00DF1BBA">
        <w:t xml:space="preserve">ed in </w:t>
      </w:r>
      <w:r w:rsidRPr="00DF1BBA">
        <w:rPr>
          <w:bCs/>
        </w:rPr>
        <w:t>Supplementary Table S2</w:t>
      </w:r>
      <w:r w:rsidRPr="00DF1BBA">
        <w:t xml:space="preserve">. In short, only </w:t>
      </w:r>
      <w:r w:rsidR="00B6482E">
        <w:t xml:space="preserve">the </w:t>
      </w:r>
      <w:r w:rsidRPr="00DF1BBA">
        <w:t>USA and Mexico had significant association</w:t>
      </w:r>
      <w:r w:rsidR="00941E39">
        <w:t>s</w:t>
      </w:r>
      <w:r w:rsidRPr="00DF1BBA">
        <w:t xml:space="preserve"> with both low and high SSB consumption when exposed to digital promotions; the UK was significant at high SSB consumption only. For exposure to traditional promotions, only </w:t>
      </w:r>
      <w:r w:rsidR="00941E39">
        <w:t xml:space="preserve">the </w:t>
      </w:r>
      <w:r w:rsidRPr="00DF1BBA">
        <w:t>USA and Australia had significant association</w:t>
      </w:r>
      <w:r w:rsidR="00941E39">
        <w:t>s</w:t>
      </w:r>
      <w:r w:rsidRPr="00DF1BBA">
        <w:t xml:space="preserve"> with both low and high SSB consumption; Canada was significant at only low SSB consumption. For exposure to promotions in the recreational environment, there were no significant country-stratified associations with SSB consumption.</w:t>
      </w:r>
    </w:p>
    <w:p w14:paraId="1BF8CA8D" w14:textId="77777777" w:rsidR="00356611" w:rsidRPr="00DF1BBA" w:rsidRDefault="00356611" w:rsidP="00356611">
      <w:pPr>
        <w:pStyle w:val="MDPI52figure"/>
      </w:pPr>
      <w:r w:rsidRPr="0072004C">
        <w:rPr>
          <w:noProof/>
          <w:snapToGrid/>
          <w:lang w:val="en-GB" w:eastAsia="en-GB" w:bidi="ar-SA"/>
        </w:rPr>
        <w:lastRenderedPageBreak/>
        <w:drawing>
          <wp:inline distT="0" distB="0" distL="0" distR="0" wp14:anchorId="56791627" wp14:editId="7E53C5CF">
            <wp:extent cx="6995160" cy="4358640"/>
            <wp:effectExtent l="0" t="0" r="0" b="0"/>
            <wp:docPr id="1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a:extLst>
                        <a:ext uri="{28A0092B-C50C-407E-A947-70E740481C1C}">
                          <a14:useLocalDpi xmlns:a14="http://schemas.microsoft.com/office/drawing/2010/main" val="0"/>
                        </a:ext>
                      </a:extLst>
                    </a:blip>
                    <a:srcRect t="-204" r="4694" b="-2"/>
                    <a:stretch>
                      <a:fillRect/>
                    </a:stretch>
                  </pic:blipFill>
                  <pic:spPr bwMode="auto">
                    <a:xfrm>
                      <a:off x="0" y="0"/>
                      <a:ext cx="6995160" cy="4358640"/>
                    </a:xfrm>
                    <a:prstGeom prst="rect">
                      <a:avLst/>
                    </a:prstGeom>
                    <a:noFill/>
                    <a:ln>
                      <a:noFill/>
                    </a:ln>
                  </pic:spPr>
                </pic:pic>
              </a:graphicData>
            </a:graphic>
          </wp:inline>
        </w:drawing>
      </w:r>
    </w:p>
    <w:p w14:paraId="327F3DF8" w14:textId="14E6A7EC" w:rsidR="00356611" w:rsidRPr="00DF1BBA" w:rsidRDefault="00356611" w:rsidP="00356611">
      <w:pPr>
        <w:pStyle w:val="MDPI51figurecaption"/>
      </w:pPr>
      <w:r w:rsidRPr="00356611">
        <w:rPr>
          <w:b/>
        </w:rPr>
        <w:t xml:space="preserve">Figure 2. </w:t>
      </w:r>
      <w:r w:rsidRPr="00DF1BBA">
        <w:t>Forest plot summari</w:t>
      </w:r>
      <w:r w:rsidR="00941E39">
        <w:t>z</w:t>
      </w:r>
      <w:r w:rsidRPr="00DF1BBA">
        <w:t>ing the association between self-reported exposure to different types of SSB promotions and SSB consumption, estimated by multinomial logistic regression with adjustment for sociodemographic characteristics (</w:t>
      </w:r>
      <w:r w:rsidRPr="007F3E10">
        <w:rPr>
          <w:i/>
        </w:rPr>
        <w:t xml:space="preserve">n </w:t>
      </w:r>
      <w:r w:rsidRPr="007F3E10">
        <w:t>=</w:t>
      </w:r>
      <w:r w:rsidRPr="007F3E10">
        <w:rPr>
          <w:i/>
        </w:rPr>
        <w:t xml:space="preserve"> </w:t>
      </w:r>
      <w:r w:rsidRPr="007F3E10">
        <w:t>15</w:t>
      </w:r>
      <w:r w:rsidRPr="00DF1BBA">
        <w:t>,515; ref: no SSB consumption)</w:t>
      </w:r>
      <w:r>
        <w:t>.</w:t>
      </w:r>
    </w:p>
    <w:p w14:paraId="32FF5BD6" w14:textId="77777777" w:rsidR="00356611" w:rsidRDefault="00356611" w:rsidP="0072004C">
      <w:pPr>
        <w:pStyle w:val="MDPI31text"/>
      </w:pPr>
    </w:p>
    <w:p w14:paraId="0972F6B0" w14:textId="77777777" w:rsidR="00356611" w:rsidRDefault="00356611" w:rsidP="0072004C">
      <w:pPr>
        <w:pStyle w:val="MDPI31text"/>
        <w:sectPr w:rsidR="00356611" w:rsidSect="00356611">
          <w:pgSz w:w="16838" w:h="11906" w:orient="landscape" w:code="9"/>
          <w:pgMar w:top="1417" w:right="1531" w:bottom="1077" w:left="1531" w:header="1020" w:footer="850" w:gutter="0"/>
          <w:cols w:space="425"/>
          <w:docGrid w:type="linesAndChars" w:linePitch="326"/>
        </w:sectPr>
      </w:pPr>
    </w:p>
    <w:p w14:paraId="6D5FA491" w14:textId="77777777" w:rsidR="0072004C" w:rsidRPr="00DF1BBA" w:rsidRDefault="0072004C" w:rsidP="0072004C">
      <w:pPr>
        <w:pStyle w:val="MDPI21heading1"/>
      </w:pPr>
      <w:r>
        <w:lastRenderedPageBreak/>
        <w:t xml:space="preserve">4. </w:t>
      </w:r>
      <w:r w:rsidRPr="00DF1BBA">
        <w:t>Discussion</w:t>
      </w:r>
    </w:p>
    <w:p w14:paraId="093942E5" w14:textId="77777777" w:rsidR="0072004C" w:rsidRPr="00DF1BBA" w:rsidRDefault="0072004C" w:rsidP="0072004C">
      <w:pPr>
        <w:pStyle w:val="MDPI22heading2"/>
      </w:pPr>
      <w:r w:rsidRPr="00DF1BBA">
        <w:t>4.1. Summary of Findings</w:t>
      </w:r>
    </w:p>
    <w:p w14:paraId="74C7F42D" w14:textId="2B4F3E2C" w:rsidR="0072004C" w:rsidRPr="00DF1BBA" w:rsidRDefault="0072004C" w:rsidP="0072004C">
      <w:pPr>
        <w:pStyle w:val="MDPI31text"/>
      </w:pPr>
      <w:r w:rsidRPr="00DF1BBA">
        <w:t xml:space="preserve">To our knowledge, this is the first study to explore the relationship between self-reported exposure to a range of SSB promotions and SSB consumption in a diverse international sample </w:t>
      </w:r>
      <w:r w:rsidR="00B6482E">
        <w:t>of</w:t>
      </w:r>
      <w:r w:rsidR="00B6482E" w:rsidRPr="00DF1BBA">
        <w:t xml:space="preserve"> </w:t>
      </w:r>
      <w:r w:rsidRPr="00DF1BBA">
        <w:t xml:space="preserve">adults and whether this differs by type of exposure or country. We found that increased self-reported exposure to SSB promotions was associated with </w:t>
      </w:r>
      <w:r w:rsidR="00B6482E">
        <w:t xml:space="preserve">a </w:t>
      </w:r>
      <w:r w:rsidRPr="00DF1BBA">
        <w:t>greater likelihood of SSB consumption. Of the various types of promotions investigated in the study, exposure to digital and traditional promotions had the strongest associations with SSB consumption. We also found some evidence that the strength of association between self-reported exposure to digital promotions, traditional promotions, and promotions in the recreational environment and SSB consumption varied between countries in the study.</w:t>
      </w:r>
    </w:p>
    <w:p w14:paraId="35EF49E6" w14:textId="77777777" w:rsidR="0072004C" w:rsidRPr="00DF1BBA" w:rsidRDefault="0072004C" w:rsidP="0072004C">
      <w:pPr>
        <w:pStyle w:val="MDPI22heading2"/>
      </w:pPr>
      <w:r w:rsidRPr="00DF1BBA">
        <w:t>4.2. Strengths and Limitations of Methods</w:t>
      </w:r>
    </w:p>
    <w:p w14:paraId="37F2D798" w14:textId="3FD98961" w:rsidR="0072004C" w:rsidRPr="00DF1BBA" w:rsidRDefault="0072004C" w:rsidP="0072004C">
      <w:pPr>
        <w:pStyle w:val="MDPI31text"/>
      </w:pPr>
      <w:r w:rsidRPr="00DF1BBA">
        <w:t xml:space="preserve">The strengths of the IFPS design have been reported elsewhere </w:t>
      </w:r>
      <w:r w:rsidRPr="00DF1BBA">
        <w:fldChar w:fldCharType="begin" w:fldLock="1"/>
      </w:r>
      <w:r w:rsidRPr="00DF1BBA">
        <w:instrText>ADDIN CSL_CITATION {"citationItems":[{"id":"ITEM-1","itemData":{"DOI":"10.1136/bmjopen-2018-026698","ISSN":"20446055","abstract":"OBJECTIVES To answer four questions: What are attitudes, knowledge and social norms around sugar-sweetened beverages (SSBs)? What are current levels of trust in messages on SSBs? What is current support for, and perceived effectiveness of, the UK soft drinks industry levy (SDIL)? What is the association between attitudes, knowledge, social norms, trust, SSB consumption and sociodemographic factors; and support for, and perceived effectiveness of, the SDIL? DESIGN Cross-sectional online survey. SETTING UK. PARTICIPANTS UK respondents to the 2017 International Food Policy Study aged 18-64 years who provided information on all variables of interest (n=3104). OUTCOME MEASURES Self-reported perceived effectiveness of, and support for, the SDIL. RESULTS Most participants supported the SDIL (70%), believed it would be effective (71%), had a positive attitude to SSBs (62%), had knowledge of the link between SSBs and obesity (90%), and trusted messages from health experts (61%), but not those from the food and beverage industry (73%). Nearly half (46%) had negative social norms about drinking SSBs. In adjusted models, older age, non-consumption of SSBs, social norms to not drinks SSBs, knowledge of the link between SSBs and obesity and trust in health expert messages were associated with greater support for the SDIL, whereas having dependent children and trusting messages from the food and beverage industry were associated with less support. In adjusted models, older age was associated with lower perceived effectiveness of the SDIL, whereas social norms to not drink SSBs, negative attitudes to SSBs and trusting messages from health experts and the food and beverage industry were associated with greater perceived effectiveness. CONCLUSIONS There was strong support for the SDIL and belief that it would be effective. Those with more 'public health' orientated norms and trust were generally more likely to support the SDIL or believe that it would be effective.","author":[{"dropping-particle":"","family":"Pell","given":"David","non-dropping-particle":"","parse-names":false,"suffix":""},{"dropping-particle":"","family":"Penney","given":"Tarra","non-dropping-particle":"","parse-names":false,"suffix":""},{"dropping-particle":"","family":"Hammond","given":"David","non-dropping-particle":"","parse-names":false,"suffix":""},{"dropping-particle":"","family":"Vanderlee","given":"Lana","non-dropping-particle":"","parse-names":false,"suffix":""},{"dropping-particle":"","family":"White","given":"Martin","non-dropping-particle":"","parse-names":false,"suffix":""},{"dropping-particle":"","family":"Adams","given":"Jean","non-dropping-particle":"","parse-names":false,"suffix":""}],"container-title":"BMJ Open","id":"ITEM-1","issue":"3","issued":{"date-parts":[["2019","3","1"]]},"publisher":"BMJ Publishing Group","title":"Support for, and perceived effectiveness of, the UK soft drinks industry levy among UK adults: Cross-sectional analysis of the International Food Policy Study","type":"article-journal","volume":"9"},"uris":["http://www.mendeley.com/documents/?uuid=8e9f86b5-8b73-34a5-ada6-f99f89102a91"]}],"mendeley":{"formattedCitation":"(36)","manualFormatting":"[376]","plainTextFormattedCitation":"(36)","previouslyFormattedCitation":"[36]"},"properties":{"noteIndex":0},"schema":"https://github.com/citation-style-language/schema/raw/master/csl-citation.json"}</w:instrText>
      </w:r>
      <w:r w:rsidRPr="00DF1BBA">
        <w:fldChar w:fldCharType="separate"/>
      </w:r>
      <w:r w:rsidRPr="00DF1BBA">
        <w:t>[37]</w:t>
      </w:r>
      <w:r w:rsidRPr="00DF1BBA">
        <w:fldChar w:fldCharType="end"/>
      </w:r>
      <w:r w:rsidRPr="00DF1BBA">
        <w:t xml:space="preserve">. Using IFPS data facilitated </w:t>
      </w:r>
      <w:r w:rsidR="00B6482E">
        <w:t xml:space="preserve">the </w:t>
      </w:r>
      <w:r w:rsidRPr="00DF1BBA">
        <w:t>inclusion of a large and diverse population sample of adults from countries with varying efforts to reduce exposure to beverage marketing and reduce consumption of sugary drinks. This increases the generali</w:t>
      </w:r>
      <w:r w:rsidR="00B6482E">
        <w:t>z</w:t>
      </w:r>
      <w:r w:rsidRPr="00DF1BBA">
        <w:t xml:space="preserve">ability of our findings. Unlike existing literature that tends to focus on specific forms of promotion (for example, television advertising </w:t>
      </w:r>
      <w:r w:rsidRPr="00DF1BBA">
        <w:fldChar w:fldCharType="begin" w:fldLock="1"/>
      </w:r>
      <w:r w:rsidRPr="00DF1BBA">
        <w:instrText>ADDIN CSL_CITATION {"citationItems":[{"id":"ITEM-1","itemData":{"DOI":"10.1111/obr.12840","ISSN":"1467789X","abstract":"Restricting children's exposures to marketing of unhealthy foods and beverages is a global obesity prevention priority. Monitoring marketing exposures supports informed policymaking. This study presents a global overview of children's television advertising exposure to healthy and unhealthy products. Twenty-two countries contributed data, captured between 2008 and 2017. Advertisements were coded for the nature of foods and beverages, using the 2015 World Health Organization (WHO) Europe Nutrient Profile Model (should be permitted/not-permitted to be advertised). Peak viewing times were defined as the top five hour timeslots for children. On average, there were four times more advertisements for foods/beverages that should not be permitted than for permitted foods/beverages. The frequency of food/beverages advertisements that should not be permitted per hour was higher during peak viewing times compared with other times (P &lt; 0.001). During peak viewing times, food and beverage advertisements that should not be permitted were higher in countries with industry self-regulatory programmes for responsible advertising compared with countries with no policies. Globally, children are exposed to a large volume of television advertisements for unhealthy foods and beverages, despite the implementation of food industry programmes. Governments should enact regulation to protect children from television advertising of unhealthy products that undermine their health.","author":[{"dropping-particle":"","family":"Kelly","given":"Bridget","non-dropping-particle":"","parse-names":false,"suffix":""},{"dropping-particle":"","family":"Vandevijvere","given":"Stefanie","non-dropping-particle":"","parse-names":false,"suffix":""},{"dropping-particle":"","family":"Ng","given":"See Hoe","non-dropping-particle":"","parse-names":false,"suffix":""},{"dropping-particle":"","family":"Adams","given":"Jean","non-dropping-particle":"","parse-names":false,"suffix":""},{"dropping-particle":"","family":"Allemandi","given":"Lorena","non-dropping-particle":"","parse-names":false,"suffix":""},{"dropping-particle":"","family":"Bahena-Espina","given":"Liliana","non-dropping-particle":"","parse-names":false,"suffix":""},{"dropping-particle":"","family":"Barquera","given":"Simon","non-dropping-particle":"","parse-names":false,"suffix":""},{"dropping-particle":"","family":"Boyland","given":"Emma","non-dropping-particle":"","parse-names":false,"suffix":""},{"dropping-particle":"","family":"Calleja","given":"Paul","non-dropping-particle":"","parse-names":false,"suffix":""},{"dropping-particle":"","family":"Carmona-Garcés","given":"Isabel Cristina","non-dropping-particle":"","parse-names":false,"suffix":""},{"dropping-particle":"","family":"Castronuovo","given":"Luciana","non-dropping-particle":"","parse-names":false,"suffix":""},{"dropping-particle":"","family":"Cauchi","given":"Daniel","non-dropping-particle":"","parse-names":false,"suffix":""},{"dropping-particle":"","family":"Correa","given":"Teresa","non-dropping-particle":"","parse-names":false,"suffix":""},{"dropping-particle":"","family":"Corvalán","given":"Camila","non-dropping-particle":"","parse-names":false,"suffix":""},{"dropping-particle":"","family":"Cosenza-Quintana","given":"Emma Lucia","non-dropping-particle":"","parse-names":false,"suffix":""},{"dropping-particle":"","family":"Fernández-Escobar","given":"Carlos","non-dropping-particle":"","parse-names":false,"suffix":""},{"dropping-particle":"","family":"González-Zapata","given":"Laura I.","non-dropping-particle":"","parse-names":false,"suffix":""},{"dropping-particle":"","family":"Halford","given":"Jason","non-dropping-particle":"","parse-names":false,"suffix":""},{"dropping-particle":"","family":"Jaichuen","given":"Nongnuch","non-dropping-particle":"","parse-names":false,"suffix":""},{"dropping-particle":"","family":"Jensen","given":"Melissa L.","non-dropping-particle":"","parse-names":false,"suffix":""},{"dropping-particle":"","family":"Karupaiah","given":"Tilakavati","non-dropping-particle":"","parse-names":false,"suffix":""},{"dropping-particle":"","family":"Kaur","given":"Asha","non-dropping-particle":"","parse-names":false,"suffix":""},{"dropping-particle":"","family":"Kroker-Lobos","given":"María F.","non-dropping-particle":"","parse-names":false,"suffix":""},{"dropping-particle":"","family":"Mchiza","given":"Zandile","non-dropping-particle":"","parse-names":false,"suffix":""},{"dropping-particle":"","family":"Miklavec","given":"Krista","non-dropping-particle":"","parse-names":false,"suffix":""},{"dropping-particle":"","family":"Parker","given":"Whadi ah","non-dropping-particle":"","parse-names":false,"suffix":""},{"dropping-particle":"","family":"Potvin Kent","given":"Monique","non-dropping-particle":"","parse-names":false,"suffix":""},{"dropping-particle":"","family":"Pravst","given":"Igor","non-dropping-particle":"","parse-names":false,"suffix":""},{"dropping-particle":"","family":"Ramírez-Zea","given":"Manuel","non-dropping-particle":"","parse-names":false,"suffix":""},{"dropping-particle":"","family":"Reiff","given":"Sascha","non-dropping-particle":"","parse-names":false,"suffix":""},{"dropping-particle":"","family":"Reyes","given":"Marcela","non-dropping-particle":"","parse-names":false,"suffix":""},{"dropping-particle":"","family":"Royo-Bordonada","given":"Miguel Ángel","non-dropping-particle":"","parse-names":false,"suffix":""},{"dropping-particle":"","family":"Rueangsom","given":"Putthipanya","non-dropping-particle":"","parse-names":false,"suffix":""},{"dropping-particle":"","family":"Scarborough","given":"Peter","non-dropping-particle":"","parse-names":false,"suffix":""},{"dropping-particle":"","family":"Tiscornia","given":"Maria Victoria","non-dropping-particle":"","parse-names":false,"suffix":""},{"dropping-particle":"","family":"Tolentino-Mayo","given":"Lizbeth","non-dropping-particle":"","parse-names":false,"suffix":""},{"dropping-particle":"","family":"Wate","given":"Jillian","non-dropping-particle":"","parse-names":false,"suffix":""},{"dropping-particle":"","family":"White","given":"Martin","non-dropping-particle":"","parse-names":false,"suffix":""},{"dropping-particle":"","family":"Zamora-Corrales","given":"Irina","non-dropping-particle":"","parse-names":false,"suffix":""},{"dropping-particle":"","family":"Zeng","given":"Lingxia","non-dropping-particle":"","parse-names":false,"suffix":""},{"dropping-particle":"","family":"Swinburn","given":"Boyd","non-dropping-particle":"","parse-names":false,"suffix":""}],"container-title":"Obesity Reviews","id":"ITEM-1","issued":{"date-parts":[["2019"]]},"publisher":"Blackwell Publishing Ltd","title":"Global benchmarking of children's exposure to television advertising of unhealthy foods and beverages across 22 countries","type":"article-journal"},"uris":["http://www.mendeley.com/documents/?uuid=1ebdaebd-40ed-3237-a114-92b88f9f95fb"]}],"mendeley":{"formattedCitation":"(27)","plainTextFormattedCitation":"(27)","previouslyFormattedCitation":"[27]"},"properties":{"noteIndex":0},"schema":"https://github.com/citation-style-language/schema/raw/master/csl-citation.json"}</w:instrText>
      </w:r>
      <w:r w:rsidRPr="00DF1BBA">
        <w:fldChar w:fldCharType="separate"/>
      </w:r>
      <w:r w:rsidRPr="00DF1BBA">
        <w:t>[27]</w:t>
      </w:r>
      <w:r w:rsidRPr="00DF1BBA">
        <w:fldChar w:fldCharType="end"/>
      </w:r>
      <w:r w:rsidRPr="00DF1BBA">
        <w:t>), we included a broad range of promotion</w:t>
      </w:r>
      <w:r w:rsidR="00B6482E">
        <w:t xml:space="preserve"> </w:t>
      </w:r>
      <w:r w:rsidR="00B6482E" w:rsidRPr="00DF1BBA">
        <w:t>exposures</w:t>
      </w:r>
      <w:r w:rsidRPr="00DF1BBA">
        <w:t xml:space="preserve">. Using the validated BFQ </w:t>
      </w:r>
      <w:r w:rsidRPr="00DF1BBA">
        <w:fldChar w:fldCharType="begin" w:fldLock="1"/>
      </w:r>
      <w:r w:rsidRPr="00DF1BBA">
        <w:instrText>ADDIN CSL_CITATION {"citationItems":[{"id":"ITEM-1","itemData":{"DOI":"10.1186/s12937-018-0380-8 LK  - http://bvgcsalud.c17.net/openurl?sid=EMBASE&amp;issn=14752891&amp;id=doi:10.1186%2Fs12937-018-0380-8&amp;atitle=Evaluation+of+the+online+Beverage+Frequency+Questionnaire+%28BFQ%29&amp;stitle=Nutr.+J.&amp;title=Nutrition+Journal&amp;volume=17&amp;issue=1&amp;spage=&amp;epage=&amp;aulast=Vanderlee&amp;aufirst=Lana&amp;auinit=L.&amp;aufull=Vanderlee+L.&amp;coden=&amp;isbn=&amp;pages=-&amp;date=2018&amp;auinit1=L&amp;auinitm=","abstract":"Background: The contribution of beverages to overall diet is of increasing interest to researchers and policymakers, particularly in terms of consumption of drinks high in added sugars; however, few tools to assess beverage intake have been developed and evaluated. This study aimed to evaluate the relative validity of a new online Beverage Frequency Questionnaire (BFQ) among young adults in Canada. Methods: A cross-sectional relative validation study was conducted among young adults aged 16-30 years (n = 50). Participants completed a 17-item BFQ, a 7-day food record (7dFR), and a single-item measure of sugary drink intake. Pearson correlations and paired t-tests were used to evaluate correlation and agreement between the measures for 17 individual beverage categories, total drink consumption, total alcoholic beverage consumption, and two definitions of drinks with excess sugars. Cognitive interviews were conducted to examine participant interpretation and comprehensiveness of the BFQ. Results: Estimates of beverage intake based on the BFQ and the 7dFR were highly correlated, specifically for the total number and volume of beverages consumed, total alcoholic beverage consumption, sugary drink intake, and each of the 17 beverage categories with 3 exceptions: coffee or tea with sugar or cream, specialty coffees, and hard alcohol with caloric mix. Paired t-tests between the BFQ and the 7dFR indicated that the average reported volume was significantly different only for sweetened fruit drinks. The single-item measure of sugary beverage intake was not significantly correlated with the 7dFR. Cognitive interviewing demonstrated high comprehension levels, and confirmed the appropriateness of the BFQ beverage categories and sizes. Conclusions: Overall, the results suggest that the BFQ performed well relative to a 7dFR and had high usability among this study population, indicating its promise for collecting population-level data on beverage intake, including sugar-sweetened beverages, which are known indicators of diet and health.","author":[{"dropping-particle":"","family":"Vanderlee","given":"L","non-dropping-particle":"","parse-names":false,"suffix":""},{"dropping-particle":"","family":"Reid","given":"J.L.","non-dropping-particle":"","parse-names":false,"suffix":""},{"dropping-particle":"","family":"White","given":"C.M.","non-dropping-particle":"","parse-names":false,"suffix":""},{"dropping-particle":"","family":"Hobin","given":"E.P.","non-dropping-particle":"","parse-names":false,"suffix":""},{"dropping-particle":"","family":"Acton","given":"R.B.","non-dropping-particle":"","parse-names":false,"suffix":""},{"dropping-particle":"","family":"Jones","given":"A.C.","non-dropping-particle":"","parse-names":false,"suffix":""},{"dropping-particle":"","family":"O'Neill","given":"M","non-dropping-particle":"","parse-names":false,"suffix":""},{"dropping-particle":"","family":"Kirkpatrick","given":"S.I.","non-dropping-particle":"","parse-names":false,"suffix":""},{"dropping-particle":"","family":"Hammond","given":"D.","non-dropping-particle":"","parse-names":false,"suffix":""}],"container-title":"Nutrition Journal","id":"ITEM-1","issue":"1","issued":{"date-parts":[["2018"]]},"page":"1-10","publisher":"Nutrition Journal","title":"Evaluation of the online Beverage Frequency Questionnaire (BFQ)","type":"article-journal","volume":"17"},"uris":["http://www.mendeley.com/documents/?uuid=f102303d-8518-4f19-b02f-f7315a497a08"]}],"mendeley":{"formattedCitation":"(33)","plainTextFormattedCitation":"(33)","previouslyFormattedCitation":"[33]"},"properties":{"noteIndex":0},"schema":"https://github.com/citation-style-language/schema/raw/master/csl-citation.json"}</w:instrText>
      </w:r>
      <w:r w:rsidRPr="00DF1BBA">
        <w:fldChar w:fldCharType="separate"/>
      </w:r>
      <w:r w:rsidRPr="00DF1BBA">
        <w:t>[33]</w:t>
      </w:r>
      <w:r w:rsidRPr="00DF1BBA">
        <w:fldChar w:fldCharType="end"/>
      </w:r>
      <w:r w:rsidRPr="00DF1BBA">
        <w:t xml:space="preserve"> increase</w:t>
      </w:r>
      <w:r w:rsidR="00B6482E">
        <w:t>d</w:t>
      </w:r>
      <w:r w:rsidRPr="00DF1BBA">
        <w:t xml:space="preserve"> the internal validity of our results. However, recruitment using non-probability sampling limited the ability of our analyses to provide nationally representative findings, as d</w:t>
      </w:r>
      <w:r w:rsidR="00B6482E">
        <w:t>id</w:t>
      </w:r>
      <w:r w:rsidRPr="00DF1BBA">
        <w:t xml:space="preserve"> sociodemographic differences between participants in the total and analytical sample. Applying sampling weights throughout helped reduce th</w:t>
      </w:r>
      <w:r w:rsidR="00B6482E">
        <w:t>e</w:t>
      </w:r>
      <w:r w:rsidRPr="00DF1BBA">
        <w:t xml:space="preserve"> threat to generalizability; imputation may have further reduced the potential for this to introduce bias. All variables were self-reported, which could introduce recall and social desirability bias </w:t>
      </w:r>
      <w:r w:rsidRPr="00DF1BBA">
        <w:fldChar w:fldCharType="begin" w:fldLock="1"/>
      </w:r>
      <w:r w:rsidRPr="00DF1BBA">
        <w:instrText>ADDIN CSL_CITATION {"citationItems":[{"id":"ITEM-1","itemData":{"author":[{"dropping-particle":"","family":"Dietz","given":"L G","non-dropping-particle":"","parse-names":false,"suffix":""},{"dropping-particle":"","family":"Bandini","given":"D A","non-dropping-particle":"","parse-names":false,"suffix":""},{"dropping-particle":"","family":"Schoeller","given":"H N","non-dropping-particle":"","parse-names":false,"suffix":""},{"dropping-particle":"","family":"Cyr","given":"W H","non-dropping-particle":"","parse-names":false,"suffix":""}],"container-title":"The American Journal of Clinical Nutrition","id":"ITEM-1","issue":"3","issued":{"date-parts":[["1990"]]},"title":"Validity of reported energy intake in obese and nonobese adolescents","type":"article-journal","volume":"52"},"uris":["http://www.mendeley.com/documents/?uuid=e0a144e0-3218-4381-a229-692b349251a3"]}],"mendeley":{"formattedCitation":"(37)","manualFormatting":"[387]","plainTextFormattedCitation":"(37)","previouslyFormattedCitation":"[37]"},"properties":{"noteIndex":0},"schema":"https://github.com/citation-style-language/schema/raw/master/csl-citation.json"}</w:instrText>
      </w:r>
      <w:r w:rsidRPr="00DF1BBA">
        <w:fldChar w:fldCharType="separate"/>
      </w:r>
      <w:r w:rsidRPr="00DF1BBA">
        <w:t>[38]</w:t>
      </w:r>
      <w:r w:rsidRPr="00DF1BBA">
        <w:fldChar w:fldCharType="end"/>
      </w:r>
      <w:r w:rsidRPr="00DF1BBA">
        <w:t>. The potential for social desirability bias was minimi</w:t>
      </w:r>
      <w:r w:rsidR="00B6482E">
        <w:t>z</w:t>
      </w:r>
      <w:r w:rsidRPr="00DF1BBA">
        <w:t xml:space="preserve">ed by collecting data online </w:t>
      </w:r>
      <w:r w:rsidRPr="00DF1BBA">
        <w:fldChar w:fldCharType="begin" w:fldLock="1"/>
      </w:r>
      <w:r w:rsidRPr="00DF1BBA">
        <w:instrText>ADDIN CSL_CITATION {"citationItems":[{"id":"ITEM-1","itemData":{"DOI":"10.3310/hta19940","author":[{"dropping-particle":"","family":"Adams","given":"J","non-dropping-particle":"","parse-names":false,"suffix":""},{"dropping-particle":"","family":"Bateman","given":"B","non-dropping-particle":"","parse-names":false,"suffix":""},{"dropping-particle":"","family":"Becker","given":"F","non-dropping-particle":"","parse-names":false,"suffix":""},{"dropping-particle":"","family":"Cresswell","given":"T","non-dropping-particle":"","parse-names":false,"suffix":""},{"dropping-particle":"","family":"Flynn","given":"D","non-dropping-particle":"","parse-names":false,"suffix":""},{"dropping-particle":"","family":"McNaughton","given":"R","non-dropping-particle":"","parse-names":false,"suffix":""},{"dropping-particle":"","family":"Oluboyede","given":"Y","non-dropping-particle":"","parse-names":false,"suffix":""},{"dropping-particle":"","family":"Robalino","given":"S","non-dropping-particle":"","parse-names":false,"suffix":""},{"dropping-particle":"","family":"Ternent","given":"L","non-dropping-particle":"","parse-names":false,"suffix":""},{"dropping-particle":"","family":"Sood","given":"B G","non-dropping-particle":"","parse-names":false,"suffix":""},{"dropping-particle":"","family":"Michie","given":"S","non-dropping-particle":"","parse-names":false,"suffix":""},{"dropping-particle":"","family":"Shucksmith","given":"J","non-dropping-particle":"","parse-names":false,"suffix":""},{"dropping-particle":"","family":"Sniehotta","given":"FF","non-dropping-particle":"","parse-names":false,"suffix":""},{"dropping-particle":"","family":"Wigham","given":"S","non-dropping-particle":"","parse-names":false,"suffix":""}],"container-title":"Health Technology Assessment","id":"ITEM-1","issue":"94","issued":{"date-parts":[["2015"]]},"page":"1-176","title":"Effectiveness and acceptability of parential financial incentives and quasi-mandatory schemes for increasing uptake of vaccinations in preschool children: systematic review, qualitative study and discrete choice experiment","type":"article-journal","volume":"19"},"uris":["http://www.mendeley.com/documents/?uuid=b9809719-6bda-4e25-9c6d-bb59e1e8a751"]}],"mendeley":{"formattedCitation":"(38)","manualFormatting":"[389]","plainTextFormattedCitation":"(38)","previouslyFormattedCitation":"[38]"},"properties":{"noteIndex":0},"schema":"https://github.com/citation-style-language/schema/raw/master/csl-citation.json"}</w:instrText>
      </w:r>
      <w:r w:rsidRPr="00DF1BBA">
        <w:fldChar w:fldCharType="separate"/>
      </w:r>
      <w:r w:rsidRPr="00DF1BBA">
        <w:t>[39]</w:t>
      </w:r>
      <w:r w:rsidRPr="00DF1BBA">
        <w:fldChar w:fldCharType="end"/>
      </w:r>
      <w:r w:rsidRPr="00DF1BBA">
        <w:t>. The survey was conducted in November; early winter in the UK, USA, Canada</w:t>
      </w:r>
      <w:r w:rsidR="00B6482E">
        <w:t>,</w:t>
      </w:r>
      <w:r w:rsidRPr="00DF1BBA">
        <w:t xml:space="preserve"> and Mexico, but early summer in Australia. As SSB intake is likely to be higher in summer </w:t>
      </w:r>
      <w:r w:rsidRPr="00DF1BBA">
        <w:fldChar w:fldCharType="begin" w:fldLock="1"/>
      </w:r>
      <w:r w:rsidRPr="00DF1BBA">
        <w:instrText>ADDIN CSL_CITATION {"citationItems":[{"id":"ITEM-1","itemData":{"DOI":"10.1371/journal.pone.0194637","ISSN":"19326203","abstract":"© 2018 Breeze et al. This is an open access article distributed under the terms of the Creative Commons Attribution License, which permits unrestricted use, distribution, and reproduction in any medium, provided the original author and source are credited. Background We aimed to evaluate the impact of a local sugar sweetened beverages (SSB) health promotion and 20p price increase in leisure centre venues and estimate the impact on consumption. Method Monthly cold drinks sales data and attendance at leisure centres across the city of Sheffield were analysed over the period January 2015-July 2017. Interrupted time-series methods were employed to estimate changes in consumption per attendance of SSB and non-SSB cold drinks following the introduction of the SSB policy from August 2016 adjusting for seasonal variation and autocorrelation. SSB price elasticities were estimated with fixed effects log-log models by SSB product type (soda can, soda bottle, soda post mix, energy drinks, juice from concentrate). Findings We estimated a 31% (95% CI 4%, 59%) reduction in units of SSB sold per attendance in the year since the policy was introduced. We did not observe substitution effects to fruit juice or water but found sales of other artificially sweetened non-SSB products increased by 27% (95% CI 6%, 47%) after the introduction of the tax. Price elasticity analysis identified that a 1% increase in price alongside health promotion leads to a 3.8% (95% CI 3.1% 4.4%) decrease in demand for SSB’s. Price elasticity of demand was highest for child friendly and high caffeine energy drinks. Interpretation Demand for SSB drinks at leisure centre venues is highly responsive to the policy, particularly for child-friendly and high caffeine energy drinks, compared with other SSB tax policy evaluations. The policy also increased purchases of carbonated non-SSB.","author":[{"dropping-particle":"","family":"Breeze","given":"Penny","non-dropping-particle":"","parse-names":false,"suffix":""},{"dropping-particle":"","family":"Womack","given":"Robert","non-dropping-particle":"","parse-names":false,"suffix":""},{"dropping-particle":"","family":"Pryce","given":"Robert","non-dropping-particle":"","parse-names":false,"suffix":""},{"dropping-particle":"","family":"Brennan","given":"Alan","non-dropping-particle":"","parse-names":false,"suffix":""},{"dropping-particle":"","family":"Goyder","given":"Elizabeth","non-dropping-particle":"","parse-names":false,"suffix":""}],"container-title":"PLoS ONE","id":"ITEM-1","issue":"5","issued":{"date-parts":[["2018","5","1"]]},"publisher":"Public Library of Science","title":"The impact of a local sugar sweetened beverage health promotion and price increase on sales in public leisure centre facilities","type":"article-journal","volume":"13"},"uris":["http://www.mendeley.com/documents/?uuid=c0687309-7df6-369d-b46c-36e2c2c2fe17"]}],"mendeley":{"formattedCitation":"(39)","manualFormatting":"[4039]","plainTextFormattedCitation":"(39)","previouslyFormattedCitation":"[39]"},"properties":{"noteIndex":0},"schema":"https://github.com/citation-style-language/schema/raw/master/csl-citation.json"}</w:instrText>
      </w:r>
      <w:r w:rsidRPr="00DF1BBA">
        <w:fldChar w:fldCharType="separate"/>
      </w:r>
      <w:r w:rsidRPr="00DF1BBA">
        <w:t>[40]</w:t>
      </w:r>
      <w:r w:rsidRPr="00DF1BBA">
        <w:fldChar w:fldCharType="end"/>
      </w:r>
      <w:r w:rsidRPr="00DF1BBA">
        <w:t>, this may introduce differential seasonal effects between countries. It is also unclear how participants interpreted the questions on exposure to SSB ‘advertising and promotions’; some may have employed more expansive definitions to include marketing via product, price, and placement. This may have introduced further bias if there were systematic differences in how people interpreted the questions</w:t>
      </w:r>
      <w:r w:rsidR="00B6482E">
        <w:t>,</w:t>
      </w:r>
      <w:r w:rsidRPr="00DF1BBA">
        <w:t xml:space="preserve"> according to either their exposure or SSB consumption. Finally, measures of exposure to promotions were not validated, albeit similar questions have been used elsewhere </w:t>
      </w:r>
      <w:r w:rsidRPr="00DF1BBA">
        <w:fldChar w:fldCharType="begin" w:fldLock="1"/>
      </w:r>
      <w:r w:rsidRPr="00DF1BBA">
        <w:instrText>ADDIN CSL_CITATION {"citationItems":[{"id":"ITEM-1","itemData":{"author":[{"dropping-particle":"","family":"Schooler","given":"Caroline","non-dropping-particle":"","parse-names":false,"suffix":""},{"dropping-particle":"","family":"Feighery","given":"Ellen","non-dropping-particle":"","parse-names":false,"suffix":""},{"dropping-particle":"","family":"Flora","given":"June A","non-dropping-particle":"","parse-names":false,"suffix":""}],"container-title":"American Journal of Public Health","id":"ITEM-1","issue":"9","issued":{"date-parts":[["1996"]]},"page":"1217-1221","title":"Seventh Graders' Self-Reported Exposure to Cigarette Marketing and Its Relationship to Their Smoking Behaviour","type":"article-journal","volume":"86"},"uris":["http://www.mendeley.com/documents/?uuid=0c7c8dd9-4734-4e60-9e6c-38b9e19b96cc"]}],"mendeley":{"formattedCitation":"(40)","manualFormatting":"[410]","plainTextFormattedCitation":"(40)","previouslyFormattedCitation":"[40]"},"properties":{"noteIndex":0},"schema":"https://github.com/citation-style-language/schema/raw/master/csl-citation.json"}</w:instrText>
      </w:r>
      <w:r w:rsidRPr="00DF1BBA">
        <w:fldChar w:fldCharType="separate"/>
      </w:r>
      <w:r w:rsidRPr="00DF1BBA">
        <w:t>[41]</w:t>
      </w:r>
      <w:r w:rsidRPr="00DF1BBA">
        <w:fldChar w:fldCharType="end"/>
      </w:r>
      <w:r w:rsidRPr="00DF1BBA">
        <w:t>.</w:t>
      </w:r>
    </w:p>
    <w:p w14:paraId="7A45B04A" w14:textId="77777777" w:rsidR="0072004C" w:rsidRPr="00DF1BBA" w:rsidRDefault="0072004C" w:rsidP="0072004C">
      <w:pPr>
        <w:pStyle w:val="MDPI22heading2"/>
      </w:pPr>
      <w:r w:rsidRPr="00EA3A8D">
        <w:t>4.3. Comparison</w:t>
      </w:r>
      <w:r w:rsidRPr="007F3E10">
        <w:t xml:space="preserve"> </w:t>
      </w:r>
      <w:r w:rsidRPr="00DF1BBA">
        <w:t>to Previous Research and Interpretation of Findings</w:t>
      </w:r>
    </w:p>
    <w:p w14:paraId="5E89116C" w14:textId="75A0F037" w:rsidR="0072004C" w:rsidRPr="00DF1BBA" w:rsidRDefault="0072004C" w:rsidP="0072004C">
      <w:pPr>
        <w:pStyle w:val="MDPI31text"/>
      </w:pPr>
      <w:r w:rsidRPr="00DF1BBA">
        <w:t xml:space="preserve">Our findings extend existing studies of exposure to SSB promotions and consumption, which have tended to focus on specific sociodemographic groups, for example, young people and children </w:t>
      </w:r>
      <w:r w:rsidRPr="00DF1BBA">
        <w:fldChar w:fldCharType="begin" w:fldLock="1"/>
      </w:r>
      <w:r w:rsidRPr="00DF1BBA">
        <w:instrText>ADDIN CSL_CITATION {"citationItems":[{"id":"ITEM-1","itemData":{"author":[{"dropping-particle":"","family":"Kumar","given":"G","non-dropping-particle":"","parse-names":false,"suffix":""},{"dropping-particle":"","family":"Onufrak","given":"S","non-dropping-particle":"","parse-names":false,"suffix":""},{"dropping-particle":"","family":"Zytnick","given":"D","non-dropping-particle":"","parse-names":false,"suffix":""},{"dropping-particle":"","family":"Kingsley","given":"B","non-dropping-particle":"","parse-names":false,"suffix":""},{"dropping-particle":"","family":"Park","given":"S","non-dropping-particle":"","parse-names":false,"suffix":""}],"container-title":"Public Health Nutrition","id":"ITEM-1","issue":"7","issued":{"date-parts":[["2015"]]},"page":"1173-9","title":"Self-reported advertising exposure to sugar-sweetened beverages among US youth","type":"article-journal","volume":"18"},"uris":["http://www.mendeley.com/documents/?uuid=69d5abaa-2364-48c5-862f-95071a33a27d"]},{"id":"ITEM-2","itemData":{"DOI":"10.1111/1753-6405.12801","ISSN":"17536405","abstract":"Objective: We explored how sugar-sweetened beverages are marketed to Australian young people through sugar-sweetened beverage brand Facebook pages. Methods: We undertook a content analysis of Facebook posts made by six of the most popular sugar-sweetened beverage Facebook pages in Australia. Data were collected for a six-month period and were quantitatively analysed for descriptive data and explicit marketing techniques and then thematically analysed for implicit marketing messages. Results: There were almost 1.9 million engagements across the six pages over the six-month period. Most posts (70%) included one or more calls to action through which followers were encouraged to do something. Content by sports and energy drink brands were heavily dominated by ‘sporting prowess’ and ‘masculinity’ themes while content by Coca-Cola shared the message of ‘having fun with friends’ and ‘happiness’. All pages used outdoor setting scenes. Conclusions: Sugar-sweetened beverage brands use Facebook to align their marketing with the socio-cultural values and practices likely to be regarded as important by young people. Implications for public health: Our findings provide challenges and opportunities for those in public health advocacy and policy to consider for future obesity-reduction strategies.","author":[{"dropping-particle":"","family":"Brownbill","given":"Aimee L.","non-dropping-particle":"","parse-names":false,"suffix":""},{"dropping-particle":"","family":"Miller","given":"Caroline L.","non-dropping-particle":"","parse-names":false,"suffix":""},{"dropping-particle":"","family":"Braunack-Mayer","given":"Annette J.","non-dropping-particle":"","parse-names":false,"suffix":""}],"container-title":"Australian and New Zealand Journal of Public Health","id":"ITEM-2","issue":"4","issued":{"date-parts":[["2018"]]},"page":"354-360","title":"The marketing of sugar-sweetened beverages to young people on Facebook","type":"article-journal","volume":"42"},"uris":["http://www.mendeley.com/documents/?uuid=774bc51f-d1fc-4f50-8bcc-5a55d752d38a"]},{"id":"ITEM-3","itemData":{"DOI":"10.1177/1090198115577379","ISSN":"15526127","abstract":"© 2015, © 2015 Society for Public Health Education. Objective. To examine how parents’ beliefs about beverage attributes and exposure to sugar-sweetened beverage (SSB) advertising are associated with parents’ and their children’s SSB consumption. Design. Cross-sectional representative telephone survey of Philadelphia parents in households with children between the ages of 3 and 16 years. Participants. Three hundred and seventy-one randomly selected survey respondents. The response rate was 27% using the American Association for Public Opinion Research RR3 formula. Main Outcome Measures. SSB consumption, health ratings of SSBs, exposure to SSB ads, and exposure to anti-SSB public service advertisements. Analysis. Seemingly unrelated regression was used to correct for Type I error and significance levels were set at.05 or less. Results. Assessment of SSB “healthiness” was associated with the increased adult consumption of SSBs for three of the five SSBs and associated with children’s consumption for all four SSBs with child consumption data. For both groups, ratings of SSB sugar and caloric content were not related to consumption. Adult exposure to SSB-specific advertising was related to consumption for three of five SSBs and two of four SSBs consumed by children. Conclusions and Implications. These results suggest that sugar and calories are not relevant to consumption, absent an explicit connection to a healthiness evaluation of SSBs.","author":[{"dropping-particle":"","family":"Hennessy","given":"Michael","non-dropping-particle":"","parse-names":false,"suffix":""},{"dropping-particle":"","family":"Bleakley","given":"Amy","non-dropping-particle":"","parse-names":false,"suffix":""},{"dropping-particle":"","family":"Piotrowski","given":"Jessica Taylor","non-dropping-particle":"","parse-names":false,"suffix":""},{"dropping-particle":"","family":"Mallya","given":"Giridhar","non-dropping-particle":"","parse-names":false,"suffix":""},{"dropping-particle":"","family":"Jordan","given":"Amy","non-dropping-particle":"","parse-names":false,"suffix":""}],"container-title":"Health Education and Behavior","id":"ITEM-3","issue":"5","issued":{"date-parts":[["2015"]]},"page":"677-686","title":"Sugar-Sweetened Beverage Consumption by Adult Caregivers and Their Children: The Role of Drink Features and Advertising Exposure","type":"article-journal","volume":"42"},"uris":["http://www.mendeley.com/documents/?uuid=3a442348-c6ed-4f8d-bce2-7f0f8f18160c"]}],"mendeley":{"formattedCitation":"(41–43)","manualFormatting":"[421–443]","plainTextFormattedCitation":"(41–43)","previouslyFormattedCitation":"[41]–[43]"},"properties":{"noteIndex":0},"schema":"https://github.com/citation-style-language/schema/raw/master/csl-citation.json"}</w:instrText>
      </w:r>
      <w:r w:rsidRPr="00DF1BBA">
        <w:fldChar w:fldCharType="separate"/>
      </w:r>
      <w:r w:rsidRPr="00DF1BBA">
        <w:t>[42–44]</w:t>
      </w:r>
      <w:r w:rsidRPr="00DF1BBA">
        <w:fldChar w:fldCharType="end"/>
      </w:r>
      <w:r w:rsidRPr="00DF1BBA">
        <w:t>. Our finding</w:t>
      </w:r>
      <w:r w:rsidR="00B6482E">
        <w:t>s</w:t>
      </w:r>
      <w:r w:rsidRPr="00DF1BBA">
        <w:t xml:space="preserve"> that self-reported exposure was positively associated with SSB consumption is consistent with the limited existing epidemiological evidence that focuses specifically on this topic </w:t>
      </w:r>
      <w:r w:rsidRPr="00DF1BBA">
        <w:fldChar w:fldCharType="begin" w:fldLock="1"/>
      </w:r>
      <w:r w:rsidRPr="00DF1BBA">
        <w:instrText>ADDIN CSL_CITATION {"citationItems":[{"id":"ITEM-1","itemData":{"author":[{"dropping-particle":"","family":"Koordeman","given":"Renske","non-dropping-particle":"","parse-names":false,"suffix":""},{"dropping-particle":"","family":"Anschutz","given":"Doeschka J.","non-dropping-particle":"","parse-names":false,"suffix":""},{"dropping-particle":"","family":"Baaren","given":"Rick B.","non-dropping-particle":"van","parse-names":false,"suffix":""},{"dropping-particle":"","family":"Engels","given":"Rutger C.M.E.","non-dropping-particle":"","parse-names":false,"suffix":""}],"container-title":"Appetite","id":"ITEM-1","issue":"3","issued":{"date-parts":[["2010"]]},"page":"619-622","title":"Exposure to soda commercials affects sugar-sweetened soda consumption in young women. An observational experimental study","type":"article-journal","volume":"54"},"uris":["http://www.mendeley.com/documents/?uuid=688c93b7-0ac1-4bca-a6eb-6d2312f78551"]},{"id":"ITEM-2","itemData":{"author":[{"dropping-particle":"","family":"Lesser","given":"Lenard I","non-dropping-particle":"","parse-names":false,"suffix":""},{"dropping-particle":"","family":"Zimmerman","given":"Frederick J","non-dropping-particle":"","parse-names":false,"suffix":""},{"dropping-particle":"","family":"Cohen","given":"Deborah A","non-dropping-particle":"","parse-names":false,"suffix":""}],"container-title":"BMC Public Health","id":"ITEM-2","issue":"20","issued":{"date-parts":[["2013"]]},"title":"Outdoor advertising, obesity, and soda consumption: a cross-sectional study","type":"article-journal","volume":"13"},"uris":["http://www.mendeley.com/documents/?uuid=7574a20d-7113-4f4b-ba52-6700a32d61fe"]},{"id":"ITEM-3","itemData":{"author":[{"dropping-particle":"","family":"Powell","given":"L.M.","non-dropping-particle":"","parse-names":false,"suffix":""},{"dropping-particle":"","family":"Wada","given":"R.","non-dropping-particle":"","parse-names":false,"suffix":""},{"dropping-particle":"","family":"Khan","given":"T.","non-dropping-particle":"","parse-names":false,"suffix":""},{"dropping-particle":"","family":"Emery","given":"S.L.","non-dropping-particle":"","parse-names":false,"suffix":""}],"container-title":"The Canadian Journal of Economics","id":"ITEM-3","issue":"2","issued":{"date-parts":[["2017"]]},"page":"345-364","title":"Food and beverage television advertising exposure and youth consumption, body mass index and adiposity outcomes","type":"article-journal","volume":"50"},"uris":["http://www.mendeley.com/documents/?uuid=b89fba43-1566-4f9d-bb03-408a4e90f15a"]},{"id":"ITEM-4","itemData":{"author":[{"dropping-particle":"","family":"Andreyeva","given":"T","non-dropping-particle":"","parse-names":false,"suffix":""},{"dropping-particle":"","family":"Kelly","given":"I.R.","non-dropping-particle":"","parse-names":false,"suffix":""},{"dropping-particle":"","family":"Harris","given":"J. L.","non-dropping-particle":"","parse-names":false,"suffix":""}],"container-title":"Economics and Human Biology","id":"ITEM-4","issue":"3","issued":{"date-parts":[["2011"]]},"page":"221-233","title":"Exposure to food advertising on television: associations with children's fast food and soft drink consumption and obesity","type":"article-journal","volume":"9"},"uris":["http://www.mendeley.com/documents/?uuid=dc12fb4b-eaad-4b5b-bce5-ce6e91a9544d"]},{"id":"ITEM-5","itemData":{"author":[{"dropping-particle":"","family":"Cervi","given":"M.M.","non-dropping-particle":"","parse-names":false,"suffix":""},{"dropping-particle":"","family":"Agurs-Collins","given":"T.","non-dropping-particle":"","parse-names":false,"suffix":""},{"dropping-particle":"","family":"Dwyer","given":"L.A.","non-dropping-particle":"","parse-names":false,"suffix":""},{"dropping-particle":"","family":"Thai","given":"C.L.","non-dropping-particle":"","parse-names":false,"suffix":""},{"dropping-particle":"","family":"Moser","given":"R.P.","non-dropping-particle":"","parse-names":false,"suffix":""},{"dropping-particle":"","family":"Nebleing","given":"L.C.","non-dropping-particle":"","parse-names":false,"suffix":""}],"container-title":"Journal of Community Health","id":"ITEM-5","issue":"4","issued":{"date-parts":[["2017"]]},"page":"748-756","title":"Susceptibility to Food Advertisements and Sugar-Sweetened Beverage Intake in Non-Hispanic Black and Non-Hispanic White Adolescents","type":"article-journal","volume":"42"},"uris":["http://www.mendeley.com/documents/?uuid=04e9229a-bc6b-4cbb-a102-83ad2b040f09"]}],"mendeley":{"formattedCitation":"(44–48)","manualFormatting":"[454–498]","plainTextFormattedCitation":"(44–48)","previouslyFormattedCitation":"[44]–[48]"},"properties":{"noteIndex":0},"schema":"https://github.com/citation-style-language/schema/raw/master/csl-citation.json"}</w:instrText>
      </w:r>
      <w:r w:rsidRPr="00DF1BBA">
        <w:fldChar w:fldCharType="separate"/>
      </w:r>
      <w:r w:rsidRPr="00DF1BBA">
        <w:t>[45–49]</w:t>
      </w:r>
      <w:r w:rsidRPr="00DF1BBA">
        <w:fldChar w:fldCharType="end"/>
      </w:r>
      <w:r w:rsidR="00B6482E">
        <w:t>,</w:t>
      </w:r>
      <w:r w:rsidRPr="00DF1BBA">
        <w:t xml:space="preserve"> as well as the wider literature</w:t>
      </w:r>
      <w:r w:rsidR="00B6482E">
        <w:t>,</w:t>
      </w:r>
      <w:r w:rsidRPr="00DF1BBA">
        <w:t xml:space="preserve"> which reports a more generic association between exposure to food and drink marketing and consumption in general </w:t>
      </w:r>
      <w:r w:rsidRPr="00DF1BBA">
        <w:fldChar w:fldCharType="begin" w:fldLock="1"/>
      </w:r>
      <w:r w:rsidRPr="00DF1BBA">
        <w:instrText>ADDIN CSL_CITATION {"citationItems":[{"id":"ITEM-1","itemData":{"DOI":"10.1016/j.appet.2012.04.017","ISSN":"01956663","abstract":"A 2009 systematic review of the international evidence on food and beverage marketing to children is the most recent internationally comprehensive review of the evidence base. Its findings are consistent with other independent, rigorous reviews conducted during the period 2003-2012. Food promotions have a direct effect on children's nutrition knowledge, preferences, purchase behaviour, consumption patterns and diet-related health. Current marketing practice predominantly promotes low nutrition foods and beverages. Rebalancing the food marketing landscape' is a recurring policy aim of interventions aimed at constraining food and beverage promotions to children. The collective review evidence on marketing practice indicates little progress towards policy aims has been achieved during the period 2003-2012. There is a gap in the evidence base on how substantive policy implementation can be achieved. We recommend a priority for future policy relevant research is a greater emphasis on translational research. A global framework for co-ordinated intervention to constrain unhealthy food marketing which has received high level support provides valuable insight on some aspects of immediate implementation research priorities. © 2012 Elsevier Ltd.","author":[{"dropping-particle":"","family":"Cairns","given":"Georgina","non-dropping-particle":"","parse-names":false,"suffix":""},{"dropping-particle":"","family":"Angus","given":"Kathryn","non-dropping-particle":"","parse-names":false,"suffix":""},{"dropping-particle":"","family":"Hastings","given":"Gerard","non-dropping-particle":"","parse-names":false,"suffix":""},{"dropping-particle":"","family":"Caraher","given":"Martin","non-dropping-particle":"","parse-names":false,"suffix":""}],"container-title":"Appetite","id":"ITEM-1","issued":{"date-parts":[["2013"]]},"title":"Systematic reviews of the evidence on the nature, extent and effects of food marketing to children. A retrospective summary","type":"article"},"uris":["http://www.mendeley.com/documents/?uuid=76bba6fe-14a3-30fb-8a9e-9cd8372dc207"]}],"mendeley":{"formattedCitation":"(24)","manualFormatting":"[234]","plainTextFormattedCitation":"(24)","previouslyFormattedCitation":"[24]"},"properties":{"noteIndex":0},"schema":"https://github.com/citation-style-language/schema/raw/master/csl-citation.json"}</w:instrText>
      </w:r>
      <w:r w:rsidRPr="00DF1BBA">
        <w:fldChar w:fldCharType="separate"/>
      </w:r>
      <w:r w:rsidRPr="00DF1BBA">
        <w:t>[23]</w:t>
      </w:r>
      <w:r w:rsidRPr="00DF1BBA">
        <w:fldChar w:fldCharType="end"/>
      </w:r>
      <w:r w:rsidRPr="00DF1BBA">
        <w:t>. The results extend previous work on exposure to SSB promotion by including participants across sociodemographic groups and including countries with different food policies. That the overall finding of an association between self-reported marketing exposure and SSB consumption did not vary between countries with different food environments and policy contexts increases confidence that this is a generalizable finding.</w:t>
      </w:r>
      <w:r w:rsidRPr="00DF1BBA">
        <w:rPr>
          <w:b/>
          <w:color w:val="FF0000"/>
        </w:rPr>
        <w:t xml:space="preserve"> </w:t>
      </w:r>
      <w:r w:rsidRPr="00DF1BBA">
        <w:t>Our cross-sectional analyses were unable to demonstrate any putative causal pathways</w:t>
      </w:r>
      <w:r w:rsidR="00B6482E">
        <w:t>,</w:t>
      </w:r>
      <w:r w:rsidRPr="00DF1BBA">
        <w:t xml:space="preserve"> and it is possible that reverse causation is operating with higher SSB consumers</w:t>
      </w:r>
      <w:r w:rsidR="00B6482E">
        <w:t>,</w:t>
      </w:r>
      <w:r w:rsidRPr="00DF1BBA">
        <w:t xml:space="preserve"> being more likely to notice</w:t>
      </w:r>
      <w:r w:rsidR="00B6482E">
        <w:t>,</w:t>
      </w:r>
      <w:r w:rsidRPr="00DF1BBA">
        <w:t xml:space="preserve"> and so</w:t>
      </w:r>
      <w:r w:rsidR="00B6482E">
        <w:t xml:space="preserve"> causes a</w:t>
      </w:r>
      <w:r w:rsidRPr="00DF1BBA">
        <w:t xml:space="preserve"> report</w:t>
      </w:r>
      <w:r w:rsidR="00B6482E">
        <w:t xml:space="preserve"> on</w:t>
      </w:r>
      <w:r w:rsidRPr="00DF1BBA">
        <w:t xml:space="preserve"> marketing exposure. However, </w:t>
      </w:r>
      <w:r w:rsidR="00B6482E">
        <w:t xml:space="preserve">the </w:t>
      </w:r>
      <w:r w:rsidR="00B6482E" w:rsidRPr="00DF1BBA">
        <w:t xml:space="preserve">high expenditure </w:t>
      </w:r>
      <w:r w:rsidR="00B6482E">
        <w:t xml:space="preserve">of </w:t>
      </w:r>
      <w:r w:rsidRPr="00DF1BBA">
        <w:t xml:space="preserve">soft-drinks firms on marketing provides support for the hypothesis that exposure to promotions of SSBs leads to their consumption. The interpretation of a causal relationship is further supported by numerous </w:t>
      </w:r>
      <w:r w:rsidRPr="00DF1BBA">
        <w:lastRenderedPageBreak/>
        <w:t xml:space="preserve">experimental studies on exposure to both SSB marketing specifically and food and drink marketing more generally </w:t>
      </w:r>
      <w:r w:rsidRPr="00DF1BBA">
        <w:fldChar w:fldCharType="begin" w:fldLock="1"/>
      </w:r>
      <w:r w:rsidRPr="00DF1BBA">
        <w:instrText>ADDIN CSL_CITATION {"citationItems":[{"id":"ITEM-1","itemData":{"DOI":"10.1016/j.appet.2012.04.017","ISSN":"01956663","abstract":"A 2009 systematic review of the international evidence on food and beverage marketing to children is the most recent internationally comprehensive review of the evidence base. Its findings are consistent with other independent, rigorous reviews conducted during the period 2003-2012. Food promotions have a direct effect on children's nutrition knowledge, preferences, purchase behaviour, consumption patterns and diet-related health. Current marketing practice predominantly promotes low nutrition foods and beverages. Rebalancing the food marketing landscape' is a recurring policy aim of interventions aimed at constraining food and beverage promotions to children. The collective review evidence on marketing practice indicates little progress towards policy aims has been achieved during the period 2003-2012. There is a gap in the evidence base on how substantive policy implementation can be achieved. We recommend a priority for future policy relevant research is a greater emphasis on translational research. A global framework for co-ordinated intervention to constrain unhealthy food marketing which has received high level support provides valuable insight on some aspects of immediate implementation research priorities. © 2012 Elsevier Ltd.","author":[{"dropping-particle":"","family":"Cairns","given":"Georgina","non-dropping-particle":"","parse-names":false,"suffix":""},{"dropping-particle":"","family":"Angus","given":"Kathryn","non-dropping-particle":"","parse-names":false,"suffix":""},{"dropping-particle":"","family":"Hastings","given":"Gerard","non-dropping-particle":"","parse-names":false,"suffix":""},{"dropping-particle":"","family":"Caraher","given":"Martin","non-dropping-particle":"","parse-names":false,"suffix":""}],"container-title":"Appetite","id":"ITEM-1","issued":{"date-parts":[["2013"]]},"title":"Systematic reviews of the evidence on the nature, extent and effects of food marketing to children. A retrospective summary","type":"article"},"uris":["http://www.mendeley.com/documents/?uuid=76bba6fe-14a3-30fb-8a9e-9cd8372dc207"]}],"mendeley":{"formattedCitation":"(24)","plainTextFormattedCitation":"(24)","previouslyFormattedCitation":"[24]"},"properties":{"noteIndex":0},"schema":"https://github.com/citation-style-language/schema/raw/master/csl-citation.json"}</w:instrText>
      </w:r>
      <w:r w:rsidRPr="00DF1BBA">
        <w:fldChar w:fldCharType="separate"/>
      </w:r>
      <w:r w:rsidRPr="00DF1BBA">
        <w:t>[23]</w:t>
      </w:r>
      <w:r w:rsidRPr="00DF1BBA">
        <w:fldChar w:fldCharType="end"/>
      </w:r>
      <w:r w:rsidRPr="00DF1BBA">
        <w:t>.</w:t>
      </w:r>
    </w:p>
    <w:p w14:paraId="4B6E56E4" w14:textId="51A93F91" w:rsidR="0072004C" w:rsidRPr="00DF1BBA" w:rsidRDefault="00B6482E" w:rsidP="0072004C">
      <w:pPr>
        <w:pStyle w:val="MDPI31text"/>
      </w:pPr>
      <w:r>
        <w:t>The fact t</w:t>
      </w:r>
      <w:r w:rsidR="0072004C" w:rsidRPr="00DF1BBA">
        <w:t xml:space="preserve">hat the study’s findings depend on self-reported exposure to SSB promotions adds another dimension to their interpretation. Assessing exposure using a self-report method has been used in similar research examining the relationship between components of marketing and consumption </w:t>
      </w:r>
      <w:r w:rsidR="0072004C" w:rsidRPr="00DF1BBA">
        <w:fldChar w:fldCharType="begin" w:fldLock="1"/>
      </w:r>
      <w:r w:rsidR="0072004C" w:rsidRPr="00DF1BBA">
        <w:instrText>ADDIN CSL_CITATION {"citationItems":[{"id":"ITEM-1","itemData":{"author":[{"dropping-particle":"","family":"Schooler","given":"Caroline","non-dropping-particle":"","parse-names":false,"suffix":""},{"dropping-particle":"","family":"Feighery","given":"Ellen","non-dropping-particle":"","parse-names":false,"suffix":""},{"dropping-particle":"","family":"Flora","given":"June A","non-dropping-particle":"","parse-names":false,"suffix":""}],"container-title":"American Journal of Public Health","id":"ITEM-1","issue":"9","issued":{"date-parts":[["1996"]]},"page":"1217-1221","title":"Seventh Graders' Self-Reported Exposure to Cigarette Marketing and Its Relationship to Their Smoking Behaviour","type":"article-journal","volume":"86"},"uris":["http://www.mendeley.com/documents/?uuid=0c7c8dd9-4734-4e60-9e6c-38b9e19b96cc"]}],"mendeley":{"formattedCitation":"(40)","manualFormatting":"[410]","plainTextFormattedCitation":"(40)","previouslyFormattedCitation":"[40]"},"properties":{"noteIndex":0},"schema":"https://github.com/citation-style-language/schema/raw/master/csl-citation.json"}</w:instrText>
      </w:r>
      <w:r w:rsidR="0072004C" w:rsidRPr="00DF1BBA">
        <w:fldChar w:fldCharType="separate"/>
      </w:r>
      <w:r w:rsidR="0072004C" w:rsidRPr="00DF1BBA">
        <w:t>[41]</w:t>
      </w:r>
      <w:r w:rsidR="0072004C" w:rsidRPr="00DF1BBA">
        <w:fldChar w:fldCharType="end"/>
      </w:r>
      <w:r w:rsidR="0072004C" w:rsidRPr="00DF1BBA">
        <w:t xml:space="preserve">. However, memory of marketing exposure is multidimensional, of which recall and recognition might only capture a small proportion </w:t>
      </w:r>
      <w:r w:rsidR="0072004C" w:rsidRPr="00DF1BBA">
        <w:fldChar w:fldCharType="begin" w:fldLock="1"/>
      </w:r>
      <w:r w:rsidR="0072004C" w:rsidRPr="00DF1BBA">
        <w:instrText>ADDIN CSL_CITATION {"citationItems":[{"id":"ITEM-1","itemData":{"author":[{"dropping-particle":"","family":"Bagozzi","given":"Richard P.","non-dropping-particle":"","parse-names":false,"suffix":""},{"dropping-particle":"","family":"Silk","given":"Alvin J.","non-dropping-particle":"","parse-names":false,"suffix":""}],"container-title":"Marketing Science","id":"ITEM-1","issue":"2","issued":{"date-parts":[["1983"]]},"page":"95-202","title":"Recall, Recognition and the Measurement of Memory for Print Advertisements","type":"article-journal","volume":"2"},"uris":["http://www.mendeley.com/documents/?uuid=6d6d2ee5-abe4-49d7-9d25-e349c048c95f"]}],"mendeley":{"formattedCitation":"(49)","manualFormatting":"[5049]","plainTextFormattedCitation":"(49)","previouslyFormattedCitation":"[49]"},"properties":{"noteIndex":0},"schema":"https://github.com/citation-style-language/schema/raw/master/csl-citation.json"}</w:instrText>
      </w:r>
      <w:r w:rsidR="0072004C" w:rsidRPr="00DF1BBA">
        <w:fldChar w:fldCharType="separate"/>
      </w:r>
      <w:r w:rsidR="0072004C" w:rsidRPr="00DF1BBA">
        <w:t>[50]</w:t>
      </w:r>
      <w:r w:rsidR="0072004C" w:rsidRPr="00DF1BBA">
        <w:fldChar w:fldCharType="end"/>
      </w:r>
      <w:r w:rsidR="0072004C" w:rsidRPr="00DF1BBA">
        <w:t xml:space="preserve">; specifically, the extent that advertising messages have been encoded in memory and the ability to access that information </w:t>
      </w:r>
      <w:r w:rsidR="0072004C" w:rsidRPr="00DF1BBA">
        <w:fldChar w:fldCharType="begin" w:fldLock="1"/>
      </w:r>
      <w:r w:rsidR="0072004C" w:rsidRPr="00DF1BBA">
        <w:instrText>ADDIN CSL_CITATION {"citationItems":[{"id":"ITEM-1","itemData":{"DOI":"10.1111/j.1751-2409.2009.01015.x","ISSN":"17512395","abstract":"Marketing practices that promote calorie-dense, nutrient-poor foods directly to children and adolescents present significant public health risk. Worldwide, calls for government action and industry change to protect young people from the negative effects of food marketing have increased. Current proposals focus on restricting television advertising to children under 12 years old, but current psychological models suggest that much more is required. All forms of marketing pose considerable risk; adolescents are also highly vulnerable; and food marketing may produce far-reaching negative health outcomes. We propose a food marketing defense model that posits four necessary conditions to effectively counter harmful food marketing practices: awareness, understanding, ability and motivation to resist. A new generation of psychological research is needed to examine each of these processes, including the psychological mechanisms through which food marketing affects young people, to identify public policy that will effectively protect them from harmful influence.","author":[{"dropping-particle":"","family":"Harris","given":"Jennifer L.","non-dropping-particle":"","parse-names":false,"suffix":""},{"dropping-particle":"","family":"Brownell","given":"Kelly D.","non-dropping-particle":"","parse-names":false,"suffix":""},{"dropping-particle":"","family":"Bargh","given":"John A.","non-dropping-particle":"","parse-names":false,"suffix":""}],"container-title":"Social Issues and Policy Review","id":"ITEM-1","issue":"1","issued":{"date-parts":[["2009"]]},"note":"Review of psyhcological models that can be applied to better understand how food marketing affects children/adolescents, and then how to protect them from unhealthy influence.","page":"211-271","title":"The Food Marketing Defense Model: Integrating Psychological Research to Protect Youth and Inform Public Policy","type":"article-journal","volume":"3"},"uris":["http://www.mendeley.com/documents/?uuid=50cda9f5-1070-45f7-aedc-b2ea47a4de3e"]}],"mendeley":{"formattedCitation":"(50)","plainTextFormattedCitation":"(50)","previouslyFormattedCitation":"[50]"},"properties":{"noteIndex":0},"schema":"https://github.com/citation-style-language/schema/raw/master/csl-citation.json"}</w:instrText>
      </w:r>
      <w:r w:rsidR="0072004C" w:rsidRPr="00DF1BBA">
        <w:fldChar w:fldCharType="separate"/>
      </w:r>
      <w:r w:rsidR="0072004C" w:rsidRPr="00DF1BBA">
        <w:t>[51]</w:t>
      </w:r>
      <w:r w:rsidR="0072004C" w:rsidRPr="00DF1BBA">
        <w:fldChar w:fldCharType="end"/>
      </w:r>
      <w:r w:rsidR="0072004C" w:rsidRPr="00DF1BBA">
        <w:t>. Meanwhile</w:t>
      </w:r>
      <w:r>
        <w:t>,</w:t>
      </w:r>
      <w:r w:rsidR="0072004C" w:rsidRPr="00DF1BBA">
        <w:t xml:space="preserve"> consumers are typically less good at gauging the influence of marketing on implicit attitudes </w:t>
      </w:r>
      <w:r w:rsidR="0072004C" w:rsidRPr="00DF1BBA">
        <w:fldChar w:fldCharType="begin" w:fldLock="1"/>
      </w:r>
      <w:r w:rsidR="0072004C" w:rsidRPr="00DF1BBA">
        <w:instrText>ADDIN CSL_CITATION {"citationItems":[{"id":"ITEM-1","itemData":{"author":[{"dropping-particle":"","family":"Nairn","given":"Agnes","non-dropping-particle":"","parse-names":false,"suffix":""},{"dropping-particle":"","family":"Fine","given":"Cordelia","non-dropping-particle":"","parse-names":false,"suffix":""}],"container-title":"International Journal of Advertising","id":"ITEM-1","issue":"3","issued":{"date-parts":[["2008"]]},"page":"447-470","title":"Who's messing with my mind? The implications of dual-process models for the ethics of advertising to children","type":"article-journal","volume":"27"},"uris":["http://www.mendeley.com/documents/?uuid=acb4c7cb-3c67-4ea2-b9ed-e5780a9d2e4b"]}],"mendeley":{"formattedCitation":"(51)","manualFormatting":"[521]","plainTextFormattedCitation":"(51)","previouslyFormattedCitation":"[51]"},"properties":{"noteIndex":0},"schema":"https://github.com/citation-style-language/schema/raw/master/csl-citation.json"}</w:instrText>
      </w:r>
      <w:r w:rsidR="0072004C" w:rsidRPr="00DF1BBA">
        <w:fldChar w:fldCharType="separate"/>
      </w:r>
      <w:r w:rsidR="0072004C" w:rsidRPr="00DF1BBA">
        <w:t>[52]</w:t>
      </w:r>
      <w:r w:rsidR="0072004C" w:rsidRPr="00DF1BBA">
        <w:fldChar w:fldCharType="end"/>
      </w:r>
      <w:r w:rsidR="0072004C" w:rsidRPr="00DF1BBA">
        <w:t xml:space="preserve">, even though some evidence suggests that implicit memory may be more important than explicit recall to soft drink choice </w:t>
      </w:r>
      <w:r w:rsidR="0072004C" w:rsidRPr="00DF1BBA">
        <w:fldChar w:fldCharType="begin" w:fldLock="1"/>
      </w:r>
      <w:r w:rsidR="0072004C" w:rsidRPr="00DF1BBA">
        <w:instrText>ADDIN CSL_CITATION {"citationItems":[{"id":"ITEM-1","itemData":{"DOI":"10.1002/mar.20025","ISSN":"07426046","abstract":"There has been little attempt to understand the influence on children of branded products that appear in television programs and movies.A study exposed children of two different age groups (6–7 and 11–12) in classrooms to a brief film clip. They were then individually asked to demonstrate their witness skills by describing in as much detail as pos- sible what they had seen. Half of each class was shown a scene from Home Alone that shows Pepsi Cola being spilled during a meal. The other half was shown a similar clip from Home Alone but without branded products. All children were invited to help themselves from a choice of Pepsi or Coke at the outset of the individual interviews. Those who had seen the branded clip made a significantly different choice of drink. The responses to the interviews suggest that it is not simply exposure to the film but rather previous exposure together with a reminder in the form of recent exposure that affects choice. Age (and by implication processing skill) does not appear to be a mediating fac- tor affecting choice, because implicit memory (mere exposure) seems to be more important than explicit recall.","author":[{"dropping-particle":"","family":"Auty","given":"Susan","non-dropping-particle":"","parse-names":false,"suffix":""},{"dropping-particle":"","family":"Lewis","given":"Charlie","non-dropping-particle":"","parse-names":false,"suffix":""}],"container-title":"Psychology and Marketing","id":"ITEM-1","issue":"9","issued":{"date-parts":[["2004"]]},"note":"Not simply exposure but rather, previous exposure toegehter with a recent exposure that affects choice. Age [processing skill] does not appear to be a mediating fator affecting choice, becuase implict memory (mere exposure) seems to be more important than explicit recall. \n\nIncludes review of previous research into the implicit and explicit memory for product placements.","page":"697-713","title":"Exploring children's choice: The reminder effect of product placement","type":"article-journal","volume":"21"},"uris":["http://www.mendeley.com/documents/?uuid=7e45fa90-4a5c-4698-8187-c11f7f8523fe"]}],"mendeley":{"formattedCitation":"(52)","plainTextFormattedCitation":"(52)","previouslyFormattedCitation":"[52]"},"properties":{"noteIndex":0},"schema":"https://github.com/citation-style-language/schema/raw/master/csl-citation.json"}</w:instrText>
      </w:r>
      <w:r w:rsidR="0072004C" w:rsidRPr="00DF1BBA">
        <w:fldChar w:fldCharType="separate"/>
      </w:r>
      <w:r w:rsidR="0072004C" w:rsidRPr="00DF1BBA">
        <w:t>[53]</w:t>
      </w:r>
      <w:r w:rsidR="0072004C" w:rsidRPr="00DF1BBA">
        <w:fldChar w:fldCharType="end"/>
      </w:r>
      <w:r w:rsidR="0072004C" w:rsidRPr="00DF1BBA">
        <w:t>.</w:t>
      </w:r>
      <w:r w:rsidR="0072004C">
        <w:t xml:space="preserve"> </w:t>
      </w:r>
      <w:r w:rsidR="0072004C" w:rsidRPr="00DF1BBA">
        <w:t xml:space="preserve">In this light, it is unclear how well our results reflect the association between implicit influences of sugary drinks promotion and marketing more generally and SSB consumption. Future research could address this by seeking to comprehensively measure exposure to all components of marketing; albeit these methods might come with their own logistical challenges and </w:t>
      </w:r>
      <w:r>
        <w:t xml:space="preserve">a </w:t>
      </w:r>
      <w:r w:rsidR="0072004C" w:rsidRPr="00DF1BBA">
        <w:t>risk of overestimating implicit exposure.</w:t>
      </w:r>
    </w:p>
    <w:p w14:paraId="63084FED" w14:textId="2CFF1E41" w:rsidR="0072004C" w:rsidRPr="00DF1BBA" w:rsidRDefault="0072004C" w:rsidP="0072004C">
      <w:pPr>
        <w:pStyle w:val="MDPI31text"/>
      </w:pPr>
      <w:r w:rsidRPr="00DF1BBA">
        <w:t xml:space="preserve">To our knowledge, evidence of variation in the strength of association between exposure to SSB promotions and consumption is a novel finding. We found that self-reported exposure to more interactive modes of promotion (digital and traditional) were associated with greater SSB consumption. In contrast, exposure to promotion in the environment that may be more passively consumed were </w:t>
      </w:r>
      <w:r w:rsidR="00B6482E">
        <w:t xml:space="preserve">it </w:t>
      </w:r>
      <w:r w:rsidRPr="00DF1BBA">
        <w:t xml:space="preserve">not conclusively associated with SSB consumption </w:t>
      </w:r>
      <w:r w:rsidRPr="00DF1BBA">
        <w:fldChar w:fldCharType="begin" w:fldLock="1"/>
      </w:r>
      <w:r w:rsidRPr="00DF1BBA">
        <w:instrText>ADDIN CSL_CITATION {"citationItems":[{"id":"ITEM-1","itemData":{"author":[{"dropping-particle":"","family":"World Health Organization","given":"","non-dropping-particle":"","parse-names":false,"suffix":""}],"id":"ITEM-1","issue":"June","issued":{"date-parts":[["2018"]]},"publisher-place":"Moscow","title":"Monitoring and Restricting Digital Marketing","type":"report"},"uris":["http://www.mendeley.com/documents/?uuid=8bf5b391-c3fe-489a-b150-88af9a209acb"]}],"mendeley":{"formattedCitation":"(53)","plainTextFormattedCitation":"(53)","previouslyFormattedCitation":"[53]"},"properties":{"noteIndex":0},"schema":"https://github.com/citation-style-language/schema/raw/master/csl-citation.json"}</w:instrText>
      </w:r>
      <w:r w:rsidRPr="00DF1BBA">
        <w:fldChar w:fldCharType="separate"/>
      </w:r>
      <w:r w:rsidRPr="00DF1BBA">
        <w:t>[5</w:t>
      </w:r>
      <w:r w:rsidRPr="00DF1BBA">
        <w:fldChar w:fldCharType="end"/>
      </w:r>
      <w:r w:rsidRPr="00DF1BBA">
        <w:t>4]. This may relate to the volume or intensity of exposure that participants experienced within each of these modes. Whilst we measured any exposure versus none, we did not capture variations in volume and intensity</w:t>
      </w:r>
      <w:r w:rsidR="00B6482E">
        <w:t>,</w:t>
      </w:r>
      <w:r w:rsidRPr="00DF1BBA">
        <w:t xml:space="preserve"> and these may have been greater amongst those reporting exposure </w:t>
      </w:r>
      <w:r w:rsidR="00B6482E">
        <w:t>than</w:t>
      </w:r>
      <w:r w:rsidRPr="00DF1BBA">
        <w:t xml:space="preserve"> any digital and traditional promotion marketing. We also did not associate our finding</w:t>
      </w:r>
      <w:r w:rsidR="00B6482E">
        <w:t>s</w:t>
      </w:r>
      <w:r w:rsidRPr="00DF1BBA">
        <w:t xml:space="preserve"> with the fact that most promotion expenditure tends to go towards traditional promotion (e.g.</w:t>
      </w:r>
      <w:r>
        <w:t>,</w:t>
      </w:r>
      <w:r w:rsidRPr="00DF1BBA">
        <w:t xml:space="preserve"> television </w:t>
      </w:r>
      <w:r w:rsidRPr="00DF1BBA">
        <w:fldChar w:fldCharType="begin" w:fldLock="1"/>
      </w:r>
      <w:r w:rsidRPr="00DF1BBA">
        <w:instrText>ADDIN CSL_CITATION {"citationItems":[{"id":"ITEM-1","itemData":{"author":[{"dropping-particle":"","family":"McGinnis","given":"M.J.","non-dropping-particle":"","parse-names":false,"suffix":""},{"dropping-particle":"","family":"Gootman","given":"J.A.","non-dropping-particle":"","parse-names":false,"suffix":""},{"dropping-particle":"","family":"Kraak","given":"V.I.","non-dropping-particle":"","parse-names":false,"suffix":""}],"id":"ITEM-1","issued":{"date-parts":[["2006"]]},"publisher":"Food and Nutrition Board, Board on Children, Youth and Families, Institute of Medicine of the National Academies","publisher-place":"Washington, DC","title":"Food marketing to children and youth: threat or opportunity?","type":"book"},"uris":["http://www.mendeley.com/documents/?uuid=9686fde2-3803-4bd9-a523-c1104220b177"]}],"mendeley":{"formattedCitation":"(54)","manualFormatting":"[545]","plainTextFormattedCitation":"(54)","previouslyFormattedCitation":"[54]"},"properties":{"noteIndex":0},"schema":"https://github.com/citation-style-language/schema/raw/master/csl-citation.json"}</w:instrText>
      </w:r>
      <w:r w:rsidRPr="00DF1BBA">
        <w:fldChar w:fldCharType="separate"/>
      </w:r>
      <w:r w:rsidRPr="00DF1BBA">
        <w:t>[55]</w:t>
      </w:r>
      <w:r w:rsidRPr="00DF1BBA">
        <w:fldChar w:fldCharType="end"/>
      </w:r>
      <w:r w:rsidRPr="00DF1BBA">
        <w:t xml:space="preserve">), and increasingly towards digital </w:t>
      </w:r>
      <w:r w:rsidRPr="00DF1BBA">
        <w:fldChar w:fldCharType="begin" w:fldLock="1"/>
      </w:r>
      <w:r w:rsidRPr="00DF1BBA">
        <w:instrText>ADDIN CSL_CITATION {"citationItems":[{"id":"ITEM-1","itemData":{"abstract":"Sugary drinks are the leading single source of empty calories in young people’s diets1 2 and directly contribute to diet-related diseases, including obesity and diabetes.3 Each 8-ounce serving of a sugary drink added to a child’s diet increases his or her risk of obesity by 60%.4 Advertising exposure for these unhealthy drinks is associated with increased consumption,5 and exposure during childhood can create a lasting bias towards advertised brands into adulthood.","author":[{"dropping-particle":"","family":"Harris","given":"Jennifer L.","non-dropping-particle":"","parse-names":false,"suffix":""},{"dropping-particle":"","family":"Schwartz","given":"Marlene B.","non-dropping-particle":"","parse-names":false,"suffix":""},{"dropping-particle":"","family":"LoDolce","given":"Megan","non-dropping-particle":"","parse-names":false,"suffix":""},{"dropping-particle":"","family":"Munsell","given":"Christina","non-dropping-particle":"","parse-names":false,"suffix":""},{"dropping-particle":"","family":"Fleming-Milici","given":"Frances","non-dropping-particle":"","parse-names":false,"suffix":""},{"dropping-particle":"","family":"Elsey","given":"James","non-dropping-particle":"","parse-names":false,"suffix":""},{"dropping-particle":"","family":"Liu","given":"Sai","non-dropping-particle":"","parse-names":false,"suffix":""},{"dropping-particle":"","family":"Hyary","given":"Maia","non-dropping-particle":"","parse-names":false,"suffix":""},{"dropping-particle":"","family":"Gross","given":"Renee","non-dropping-particle":"","parse-names":false,"suffix":""},{"dropping-particle":"","family":"Hazen","given":"Carol","non-dropping-particle":"","parse-names":false,"suffix":""},{"dropping-particle":"","family":"Dembek","given":"Cathryn","non-dropping-particle":"","parse-names":false,"suffix":""}],"container-title":"Yale Rudd Center for Food Policy &amp; Obesity","id":"ITEM-1","issued":{"date-parts":[["2014"]]},"title":"Sugary Drink FACTS 2014: Sugary drink marketing to youth: Some progress but much room for improvement in marketing to youth","type":"thesis"},"uris":["http://www.mendeley.com/documents/?uuid=da0e5e80-ace4-3386-a727-aad0955d8c79"]}],"mendeley":{"formattedCitation":"(26)","plainTextFormattedCitation":"(26)","previouslyFormattedCitation":"[26]"},"properties":{"noteIndex":0},"schema":"https://github.com/citation-style-language/schema/raw/master/csl-citation.json"}</w:instrText>
      </w:r>
      <w:r w:rsidRPr="00DF1BBA">
        <w:fldChar w:fldCharType="separate"/>
      </w:r>
      <w:r w:rsidRPr="00DF1BBA">
        <w:t>[26]</w:t>
      </w:r>
      <w:r w:rsidRPr="00DF1BBA">
        <w:fldChar w:fldCharType="end"/>
      </w:r>
      <w:r w:rsidRPr="00DF1BBA">
        <w:t xml:space="preserve">. Interactive modes of promotion may also be more likely to be recalled than others </w:t>
      </w:r>
      <w:r w:rsidRPr="00DF1BBA">
        <w:fldChar w:fldCharType="begin" w:fldLock="1"/>
      </w:r>
      <w:r w:rsidRPr="00DF1BBA">
        <w:instrText>ADDIN CSL_CITATION {"citationItems":[{"id":"ITEM-1","itemData":{"DOI":"10.1111/j.1751-2409.2009.01015.x","ISSN":"17512395","abstract":"Marketing practices that promote calorie-dense, nutrient-poor foods directly to children and adolescents present significant public health risk. Worldwide, calls for government action and industry change to protect young people from the negative effects of food marketing have increased. Current proposals focus on restricting television advertising to children under 12 years old, but current psychological models suggest that much more is required. All forms of marketing pose considerable risk; adolescents are also highly vulnerable; and food marketing may produce far-reaching negative health outcomes. We propose a food marketing defense model that posits four necessary conditions to effectively counter harmful food marketing practices: awareness, understanding, ability and motivation to resist. A new generation of psychological research is needed to examine each of these processes, including the psychological mechanisms through which food marketing affects young people, to identify public policy that will effectively protect them from harmful influence.","author":[{"dropping-particle":"","family":"Harris","given":"Jennifer L.","non-dropping-particle":"","parse-names":false,"suffix":""},{"dropping-particle":"","family":"Brownell","given":"Kelly D.","non-dropping-particle":"","parse-names":false,"suffix":""},{"dropping-particle":"","family":"Bargh","given":"John A.","non-dropping-particle":"","parse-names":false,"suffix":""}],"container-title":"Social Issues and Policy Review","id":"ITEM-1","issue":"1","issued":{"date-parts":[["2009"]]},"note":"Review of psyhcological models that can be applied to better understand how food marketing affects children/adolescents, and then how to protect them from unhealthy influence.","page":"211-271","title":"The Food Marketing Defense Model: Integrating Psychological Research to Protect Youth and Inform Public Policy","type":"article-journal","volume":"3"},"uris":["http://www.mendeley.com/documents/?uuid=50cda9f5-1070-45f7-aedc-b2ea47a4de3e"]}],"mendeley":{"formattedCitation":"(50)","plainTextFormattedCitation":"(50)","previouslyFormattedCitation":"[50]"},"properties":{"noteIndex":0},"schema":"https://github.com/citation-style-language/schema/raw/master/csl-citation.json"}</w:instrText>
      </w:r>
      <w:r w:rsidRPr="00DF1BBA">
        <w:fldChar w:fldCharType="separate"/>
      </w:r>
      <w:r w:rsidRPr="00DF1BBA">
        <w:t>[51]</w:t>
      </w:r>
      <w:r w:rsidRPr="00DF1BBA">
        <w:fldChar w:fldCharType="end"/>
      </w:r>
      <w:r w:rsidRPr="00DF1BBA">
        <w:t xml:space="preserve">. Measuring and quantifying marketing exposure using more objective methods, as attempted elsewhere </w:t>
      </w:r>
      <w:r w:rsidRPr="00DF1BBA">
        <w:fldChar w:fldCharType="begin" w:fldLock="1"/>
      </w:r>
      <w:r w:rsidRPr="00DF1BBA">
        <w:instrText>ADDIN CSL_CITATION {"citationItems":[{"id":"ITEM-1","itemData":{"DOI":"10.1186/s12966-017-0570-3","ISSN":"14795868","abstract":"© 2017 The Author(s). Background: Over the past three decades the global prevalence of childhood overweight and obesity has increased by 47%. Marketing of energy-dense nutrient-poor foods and beverages contributes to this worldwide increase. Previous research on food marketing to children largely uses self-report, reporting by parents, or third-party observation of children's environments, with the focus mostly on single settings and/or media. This paper reports on innovative research, Kids'Cam, in which children wore cameras to examine the frequency and nature of everyday exposure to food marketing across multiple media and settings. Methods: Kids'Cam was a cross-sectional study of 168 children (mean age 12.6years, SD=0.5) in Wellington, New Zealand. Each child wore a wearable camera on four consecutive days, capturing images automatically every seven seconds. Images were manually coded as either recommended (core) or not recommended (non-core) to be marketed to children by setting, marketing medium, and product category. Images in convenience stores and supermarkets were excluded as marketing examples were considered too numerous to count. Results: On average, children were exposed to non-core food marketing 27.3 times a day (95% CI 24.8, 30.1) across all settings. This was more than twice their average exposure to core food marketing (12.3 per day, 95% CI 8.7, 17.4). Most non-core exposures occurred at home (33%), in public spaces (30%) and at school (19%). Food packaging was the predominant marketing medium (74% and 64% for core and non-core foods) followed by signs (21% and 28% for core and non-core). Sugary drinks, fast food, confectionary and snack foods were the most commonly encountered non-core foods marketed. Rates were calculated using Poisson regression. Conclusions: Children in this study were frequently exposed, across multiple settings, to marketing of non-core foods not recommended to be marketed to children. The study provides further evidence of the need for urgent action to reduce children's exposure to marketing of unhealthy foods, and suggests the settings and media in which to act. Such action is necessary if the Commission on Ending Childhood Obesity's vision is to be achieved.","author":[{"dropping-particle":"","family":"Signal","given":"L. N.","non-dropping-particle":"","parse-names":false,"suffix":""},{"dropping-particle":"","family":"Stanley","given":"J.","non-dropping-particle":"","parse-names":false,"suffix":""},{"dropping-particle":"","family":"Smith","given":"M.","non-dropping-particle":"","parse-names":false,"suffix":""},{"dropping-particle":"","family":"Barr","given":"M. B.","non-dropping-particle":"","parse-names":false,"suffix":""},{"dropping-particle":"","family":"Chambers","given":"T. J.","non-dropping-particle":"","parse-names":false,"suffix":""},{"dropping-particle":"","family":"Zhou","given":"J.","non-dropping-particle":"","parse-names":false,"suffix":""},{"dropping-particle":"","family":"Duane","given":"A.","non-dropping-particle":"","parse-names":false,"suffix":""},{"dropping-particle":"","family":"Gurrin","given":"C.","non-dropping-particle":"","parse-names":false,"suffix":""},{"dropping-particle":"","family":"Smeaton","given":"A. F.","non-dropping-particle":"","parse-names":false,"suffix":""},{"dropping-particle":"","family":"McKerchar","given":"C.","non-dropping-particle":"","parse-names":false,"suffix":""},{"dropping-particle":"","family":"Pearson","given":"A. L.","non-dropping-particle":"","parse-names":false,"suffix":""},{"dropping-particle":"","family":"Hoek","given":"J.","non-dropping-particle":"","parse-names":false,"suffix":""},{"dropping-particle":"","family":"Jenkin","given":"G. L.S.","non-dropping-particle":"","parse-names":false,"suffix":""},{"dropping-particle":"","family":"Ni Mhurchu","given":"C.","non-dropping-particle":"","parse-names":false,"suffix":""}],"container-title":"International Journal of Behavioral Nutrition and Physical Activity","id":"ITEM-1","issue":"1","issued":{"date-parts":[["2017"]]},"page":"1-11","publisher":"International Journal of Behavioral Nutrition and Physical Activity","title":"Children's everyday exposure to food marketing: An objective analysis using wearable cameras","type":"article-journal","volume":"14"},"uris":["http://www.mendeley.com/documents/?uuid=bb869661-fff9-42e6-9ebf-62aa33c28a7f"]}],"mendeley":{"formattedCitation":"(55)","plainTextFormattedCitation":"(55)","previouslyFormattedCitation":"[55]"},"properties":{"noteIndex":0},"schema":"https://github.com/citation-style-language/schema/raw/master/csl-citation.json"}</w:instrText>
      </w:r>
      <w:r w:rsidRPr="00DF1BBA">
        <w:fldChar w:fldCharType="separate"/>
      </w:r>
      <w:r w:rsidRPr="00DF1BBA">
        <w:t>[56]</w:t>
      </w:r>
      <w:r w:rsidRPr="00DF1BBA">
        <w:fldChar w:fldCharType="end"/>
      </w:r>
      <w:r w:rsidRPr="00DF1BBA">
        <w:t>, may help to distinguish between these possibilities.</w:t>
      </w:r>
    </w:p>
    <w:p w14:paraId="50EF34E7" w14:textId="58C4E441" w:rsidR="0072004C" w:rsidRPr="00DF1BBA" w:rsidRDefault="0072004C" w:rsidP="0072004C">
      <w:pPr>
        <w:pStyle w:val="MDPI31text"/>
      </w:pPr>
      <w:r w:rsidRPr="00DF1BBA">
        <w:t xml:space="preserve">Our attempts to differentiate exposure to different types of promotion may also be overly simplistic. Firms are concerned with building brand </w:t>
      </w:r>
      <w:r w:rsidR="00B6482E">
        <w:t>“</w:t>
      </w:r>
      <w:r w:rsidRPr="00DF1BBA">
        <w:t>equity through marketing: “everything that exists in the minds of the customer with respect to a brand (e.g.</w:t>
      </w:r>
      <w:r>
        <w:t>,</w:t>
      </w:r>
      <w:r w:rsidRPr="00DF1BBA">
        <w:t xml:space="preserve"> thoughts, feelings, experiences, images, perceptions, beliefs</w:t>
      </w:r>
      <w:r w:rsidR="00B6482E">
        <w:t>,</w:t>
      </w:r>
      <w:r w:rsidRPr="00DF1BBA">
        <w:t xml:space="preserve"> and attitudes)” </w:t>
      </w:r>
      <w:r w:rsidRPr="00DF1BBA">
        <w:fldChar w:fldCharType="begin" w:fldLock="1"/>
      </w:r>
      <w:r w:rsidRPr="00DF1BBA">
        <w:instrText>ADDIN CSL_CITATION {"citationItems":[{"id":"ITEM-1","itemData":{"author":[{"dropping-particle":"","family":"Keller","given":"K.L.","non-dropping-particle":"","parse-names":false,"suffix":""},{"dropping-particle":"","family":"Lehmann","given":"D.","non-dropping-particle":"","parse-names":false,"suffix":""}],"container-title":"Marketing Management","id":"ITEM-1","issued":{"date-parts":[["2003"]]},"page":"15-19","title":"How do brands create value?","type":"article-journal","volume":"July/Augus"},"uris":["http://www.mendeley.com/documents/?uuid=d7040b92-c024-4836-8b5c-c1aee156a16b"]}],"mendeley":{"formattedCitation":"(56)","manualFormatting":"[576]","plainTextFormattedCitation":"(56)","previouslyFormattedCitation":"[56]"},"properties":{"noteIndex":0},"schema":"https://github.com/citation-style-language/schema/raw/master/csl-citation.json"}</w:instrText>
      </w:r>
      <w:r w:rsidRPr="00DF1BBA">
        <w:fldChar w:fldCharType="separate"/>
      </w:r>
      <w:r w:rsidRPr="00DF1BBA">
        <w:t>[57]</w:t>
      </w:r>
      <w:r w:rsidRPr="00DF1BBA">
        <w:fldChar w:fldCharType="end"/>
      </w:r>
      <w:r w:rsidRPr="00DF1BBA">
        <w:t>. This means that firms rely on different components of marketing to work together synergistically, rather than assuming different and separate effects of different modalities. Future research could seek to use brand-level data to understand how different forms of SSB marketing</w:t>
      </w:r>
      <w:r w:rsidR="003C2EDA">
        <w:t>—</w:t>
      </w:r>
      <w:r w:rsidRPr="00DF1BBA">
        <w:t>including promotion</w:t>
      </w:r>
      <w:r w:rsidR="003C2EDA">
        <w:t>—</w:t>
      </w:r>
      <w:r w:rsidRPr="00DF1BBA">
        <w:t>work synergistically to influence SSB consumption.</w:t>
      </w:r>
    </w:p>
    <w:p w14:paraId="03CD5AC9" w14:textId="1475884D" w:rsidR="0072004C" w:rsidRPr="00DF1BBA" w:rsidRDefault="0072004C" w:rsidP="0072004C">
      <w:pPr>
        <w:pStyle w:val="MDPI31text"/>
      </w:pPr>
      <w:r w:rsidRPr="00DF1BBA">
        <w:t xml:space="preserve">Existing evidence from the IFPS shows that exposure to SSB promotions varies by country </w:t>
      </w:r>
      <w:r w:rsidRPr="00DF1BBA">
        <w:fldChar w:fldCharType="begin" w:fldLock="1"/>
      </w:r>
      <w:r w:rsidRPr="00DF1BBA">
        <w:instrText>ADDIN CSL_CITATION {"citationItems":[{"id":"ITEM-1","itemData":{"author":[{"dropping-particle":"","family":"Czoli","given":"C","non-dropping-particle":"","parse-names":false,"suffix":""},{"dropping-particle":"","family":"Pauze","given":"E","non-dropping-particle":"","parse-names":false,"suffix":""},{"dropping-particle":"","family":"Kent","given":"M.P","non-dropping-particle":"","parse-names":false,"suffix":""},{"dropping-particle":"","family":"White","given":"C.M","non-dropping-particle":"","parse-names":false,"suffix":""},{"dropping-particle":"","family":"Vanderlee","given":"L","non-dropping-particle":"","parse-names":false,"suffix":""},{"dropping-particle":"","family":"Hammond","given":"D","non-dropping-particle":"","parse-names":false,"suffix":""}],"container-title":"Under review","id":"ITEM-1","issued":{"date-parts":[["0"]]},"title":"A comparison of fast food and sugary drinks marketing among adults across five countries: findings from the International Food Policy Study","type":"article-journal"},"uris":["http://www.mendeley.com/documents/?uuid=bd3d69f0-6ef0-4fc0-87ad-1814287983c1"]}],"mendeley":{"formattedCitation":"(28)","plainTextFormattedCitation":"(28)","previouslyFormattedCitation":"[28]"},"properties":{"noteIndex":0},"schema":"https://github.com/citation-style-language/schema/raw/master/csl-citation.json"}</w:instrText>
      </w:r>
      <w:r w:rsidRPr="00DF1BBA">
        <w:fldChar w:fldCharType="separate"/>
      </w:r>
      <w:r w:rsidRPr="00DF1BBA">
        <w:t>[28]</w:t>
      </w:r>
      <w:r w:rsidRPr="00DF1BBA">
        <w:fldChar w:fldCharType="end"/>
      </w:r>
      <w:r w:rsidRPr="00DF1BBA">
        <w:t>, but clarifying whether the association between marketing exposure and SSB consumption differs by country is important for translating</w:t>
      </w:r>
      <w:r w:rsidR="00B6482E">
        <w:t xml:space="preserve"> the</w:t>
      </w:r>
      <w:r w:rsidRPr="00DF1BBA">
        <w:t xml:space="preserve"> understanding of SSB consumption and regulation internationally. There are several possible explanations for inconsistent evidence of country</w:t>
      </w:r>
      <w:r w:rsidR="00B6482E">
        <w:t xml:space="preserve"> </w:t>
      </w:r>
      <w:r w:rsidRPr="00DF1BBA">
        <w:t xml:space="preserve">variations in this study, including </w:t>
      </w:r>
      <w:r w:rsidR="00B6482E">
        <w:t xml:space="preserve">the fact </w:t>
      </w:r>
      <w:r w:rsidRPr="00DF1BBA">
        <w:t xml:space="preserve">that the content of these SSB promotions are likely to vary by country. Given that the effectiveness of marketing is understood to be a function of exposure and persuasive power </w:t>
      </w:r>
      <w:r w:rsidRPr="00DF1BBA">
        <w:fldChar w:fldCharType="begin" w:fldLock="1"/>
      </w:r>
      <w:r w:rsidRPr="00DF1BBA">
        <w:instrText>ADDIN CSL_CITATION {"citationItems":[{"id":"ITEM-1","itemData":{"author":[{"dropping-particle":"","family":"World Health Organization","given":"","non-dropping-particle":"","parse-names":false,"suffix":""}],"id":"ITEM-1","issued":{"date-parts":[["2012"]]},"title":"A framework for implementing the set of recommendations on the marketing of foods and non-alcoholic beverages to children","type":"report"},"uris":["http://www.mendeley.com/documents/?uuid=8d70eec9-f054-4388-8913-71e3fc167d6f"]}],"mendeley":{"formattedCitation":"(57)","manualFormatting":"[587]","plainTextFormattedCitation":"(57)","previouslyFormattedCitation":"[57]"},"properties":{"noteIndex":0},"schema":"https://github.com/citation-style-language/schema/raw/master/csl-citation.json"}</w:instrText>
      </w:r>
      <w:r w:rsidRPr="00DF1BBA">
        <w:fldChar w:fldCharType="separate"/>
      </w:r>
      <w:r w:rsidRPr="00DF1BBA">
        <w:t>[58]</w:t>
      </w:r>
      <w:r w:rsidRPr="00DF1BBA">
        <w:fldChar w:fldCharType="end"/>
      </w:r>
      <w:r w:rsidRPr="00DF1BBA">
        <w:t xml:space="preserve">, cross-country differences in the volume of exposure or persuasive power </w:t>
      </w:r>
      <w:r w:rsidR="00B6482E">
        <w:t xml:space="preserve">for </w:t>
      </w:r>
      <w:r w:rsidRPr="00DF1BBA">
        <w:t>these promotions may account for the small variations we found in this dataset. Repeating these analyses with a more diverse set of countries, incorporating a measure for persuasive power (e.g.</w:t>
      </w:r>
      <w:r>
        <w:t>,</w:t>
      </w:r>
      <w:r w:rsidRPr="00DF1BBA">
        <w:t xml:space="preserve"> persuasive techniques </w:t>
      </w:r>
      <w:r w:rsidRPr="00DF1BBA">
        <w:fldChar w:fldCharType="begin" w:fldLock="1"/>
      </w:r>
      <w:r w:rsidRPr="00DF1BBA">
        <w:instrText>ADDIN CSL_CITATION {"citationItems":[{"id":"ITEM-1","itemData":{"DOI":"10.1111/j.1440-1754.2011.02025.x","ISSN":"10344810","abstract":"AIM: Persuasive marketing techniques, such as promotional characters, influence children's food preferences and requests for foods. The aim of this research was to describe the techniques used to market unhealthy foods and beverages to children on Sydney free-to-air television.\\n\\nMETHODS: Marketing techniques designed to appeal to children were identified from international literature and summarised into a systematic coding tool. Using this tool, the marketing techniques used in a random sample of 100 unique food advertisements, broadcasted on Sydney free-to-air television, were coded. Frequency of marketing techniques was analysed overall and for use in advertisements marketing unhealthy foods, emotionally or verbally appealing to parents, or featuring child actors.\\n\\nRESULTS: Advertisers' use of persuasive techniques generally did not differ by type of food advertised. Marketing techniques with greater prominence in unhealthy food advertising were palatability (54% of unhealthy food advertisements), convenience (52%), fantasy/imagination (28%), fun/happiness (17%) and cartoon characters (9%). Advertisements emotionally appealing to parents (24%) were significantly more likely to make general health or nutrition statements (38% vs. 17%), and appealed to children concurrently through fun/happiness and fantasy/imagination appeals. Children were depicted in advertisements as eating with friends or family, situated within the home and frequently snacking on less healthy foods.\\n\\nCONCLUSIONS: Food and beverage advertisers use a range of visual, audio and emotive techniques to appeal to children and their parents that do not discriminate by the type of food advertised. The range and complexity of these techniques complicate the restriction of their use in food advertising to children.","author":[{"dropping-particle":"","family":"Hebden","given":"Lana","non-dropping-particle":"","parse-names":false,"suffix":""},{"dropping-particle":"","family":"King","given":"Lesley","non-dropping-particle":"","parse-names":false,"suffix":""},{"dropping-particle":"","family":"Kelly","given":"Bridget","non-dropping-particle":"","parse-names":false,"suffix":""}],"container-title":"Journal of Paediatrics and Child Health","id":"ITEM-1","issue":"11","issued":{"date-parts":[["2011"]]},"page":"776-782","title":"Art of persuasion: An analysis of techniques used to market foods to children","type":"article-journal","volume":"47"},"uris":["http://www.mendeley.com/documents/?uuid=59f67692-6cc6-4a5d-a18e-47e6ff660e24"]}],"mendeley":{"formattedCitation":"(58)","manualFormatting":"[598]","plainTextFormattedCitation":"(58)","previouslyFormattedCitation":"[58]"},"properties":{"noteIndex":0},"schema":"https://github.com/citation-style-language/schema/raw/master/csl-citation.json"}</w:instrText>
      </w:r>
      <w:r w:rsidRPr="00DF1BBA">
        <w:fldChar w:fldCharType="separate"/>
      </w:r>
      <w:r w:rsidRPr="00DF1BBA">
        <w:t>[59]</w:t>
      </w:r>
      <w:r w:rsidRPr="00DF1BBA">
        <w:fldChar w:fldCharType="end"/>
      </w:r>
      <w:r w:rsidRPr="00DF1BBA">
        <w:t>), and attempting to understand the extent to which this varies by the company enacting the marketing, could further clarify these variations. This could inform public health policymakers wishing to know whether they should apply international evidence to inform local policy decisions.</w:t>
      </w:r>
    </w:p>
    <w:p w14:paraId="782094D4" w14:textId="77777777" w:rsidR="0072004C" w:rsidRPr="00DF1BBA" w:rsidRDefault="0072004C" w:rsidP="0072004C">
      <w:pPr>
        <w:pStyle w:val="MDPI31text"/>
      </w:pPr>
      <w:r w:rsidRPr="00DF1BBA">
        <w:t xml:space="preserve">In addition to answering the central research questions, analyses also provided insight into the relationship between sociodemographic characteristics and SSB consumption. SSB consumption was higher among males, people with lower educational attainment, younger individuals, and ethnic </w:t>
      </w:r>
      <w:r w:rsidRPr="00DF1BBA">
        <w:lastRenderedPageBreak/>
        <w:t xml:space="preserve">minorities. All these findings are consistent with wider literature </w:t>
      </w:r>
      <w:r w:rsidRPr="00DF1BBA">
        <w:fldChar w:fldCharType="begin" w:fldLock="1"/>
      </w:r>
      <w:r w:rsidRPr="00DF1BBA">
        <w:instrText>ADDIN CSL_CITATION {"citationItems":[{"id":"ITEM-1","itemData":{"DOI":"10.1016/j.jand.2012.09.016","ISSN":"22122672","abstract":"Background Few previous studies have investigated consumption distributions of sugar- sweetened beverages (SSBs) over time and individual-level associations despite recent interest in SSBs regarding obesity control. Objective To assess consumption patterns and individual-level associations. Design Trend and cross-sectional analyses of 24-hour dietary recall data and demographic characteristics and socioeconomic status (SES) drawn from National Health and Nutrition Examination Survey (1999-2000, 2001-2002, 2003-2004, 2005-2006, and 2007-2008) data. Participants/setting Children (aged 2 to 11 years, n=8,627), adolescents (aged 12 to 19 years, n=8,922), young adults (aged 20 to 34 years, n=5,933), and middle-aged and elder adults (aged ≥35 years, n=16,456). Statistical analyses performed Age-stratified regression analyses for SSBs overall and by subtypes. Results The prevalence of heavy total SSB consumption (≥500 kcal/day) increased among children (4% to 5%) although it decreased among adolescents (22% to 16%) and young adults (29% to 20%). Soda was the most heavily consumed SSB in all age groups except for children. Prevalence of soda consumption decreased, whereas heavy sports/ energy drink consumption tripled (4% to 12%) among adolescents. Black children and adolescents showed higher odds of heavy fruit drink consumption (odds ratios 1.71 and 1.67) than whites. Low-income children had a higher odds of heavy total SSB consumption (odds ratio 1.93) and higher energy intake from total SSBs and fruit drinks (by 23 and 27 kcal/day) than high-income children. Adolescents with low- vs high-educated parents had higher odds of heavy total SSB consumption (odds ratio 1.28) and higher energy intake from total SSBs and soda (by 27 and 21 kcal/day). Low vs high SES was associated with a higher odds of heavy consumption of total SSBs, soda, and fruit drinks among adults. Conclusions Prevalence of soda consumption fell, but consumption of nontraditional SSBs rose. Heterogeneity of heavy consumption by SSB types across racial/ethnic subpopulations and higher odds of heavy SSB consumption among low-SES populations should be considered in targeting policies to encourage healthful beverage consumption. © 2013 Academy of Nutrition and Dietetics.","author":[{"dropping-particle":"","family":"Han","given":"Euna","non-dropping-particle":"","parse-names":false,"suffix":""},{"dropping-particle":"","family":"Powell","given":"Lisa M.","non-dropping-particle":"","parse-names":false,"suffix":""}],"container-title":"Journal of the Academy of Nutrition and Dietetics","id":"ITEM-1","issue":"1","issued":{"date-parts":[["2013"]]},"page":"43-53","publisher":"Elsevier","title":"Consumption Patterns of Sugar-Sweetened Beverages in the United States","type":"article-journal","volume":"113"},"uris":["http://www.mendeley.com/documents/?uuid=505b12e2-48ed-463c-81ee-17d884e62fe8"]}],"mendeley":{"formattedCitation":"(35)","plainTextFormattedCitation":"(35)","previouslyFormattedCitation":"[35]"},"properties":{"noteIndex":0},"schema":"https://github.com/citation-style-language/schema/raw/master/csl-citation.json"}</w:instrText>
      </w:r>
      <w:r w:rsidRPr="00DF1BBA">
        <w:fldChar w:fldCharType="separate"/>
      </w:r>
      <w:r w:rsidRPr="00DF1BBA">
        <w:t>[35]</w:t>
      </w:r>
      <w:r w:rsidRPr="00DF1BBA">
        <w:fldChar w:fldCharType="end"/>
      </w:r>
      <w:r>
        <w:t>—</w:t>
      </w:r>
      <w:r w:rsidRPr="00DF1BBA">
        <w:t>increasing our confidence in the external validity of our main findings.</w:t>
      </w:r>
    </w:p>
    <w:p w14:paraId="14FA719E" w14:textId="77777777" w:rsidR="0072004C" w:rsidRPr="00DF1BBA" w:rsidRDefault="0072004C" w:rsidP="0072004C">
      <w:pPr>
        <w:pStyle w:val="MDPI22heading2"/>
      </w:pPr>
      <w:r w:rsidRPr="00EA3A8D">
        <w:t>4.4. Implications of Findings and</w:t>
      </w:r>
      <w:r w:rsidRPr="00DF1BBA">
        <w:t xml:space="preserve"> Future Research</w:t>
      </w:r>
    </w:p>
    <w:p w14:paraId="66E583C0" w14:textId="4429124E" w:rsidR="0072004C" w:rsidRPr="00DF1BBA" w:rsidRDefault="0072004C" w:rsidP="0072004C">
      <w:pPr>
        <w:pStyle w:val="MDPI31text"/>
      </w:pPr>
      <w:r w:rsidRPr="00DF1BBA">
        <w:t xml:space="preserve">Substantial existing evidence links SSB consumption with poor health outcomes </w:t>
      </w:r>
      <w:r w:rsidRPr="00DF1BBA">
        <w:fldChar w:fldCharType="begin" w:fldLock="1"/>
      </w:r>
      <w:r w:rsidRPr="00DF1BBA">
        <w:instrText>ADDIN CSL_CITATION {"citationItems":[{"id":"ITEM-1","itemData":{"DOI":"10.1136/bmj.h3576","ISBN":"1756-1833","ISSN":"1756-1833","PMID":"26199070","abstract":"Objectives To examine the prospective associations between consumption of sugar sweetened beverages, artificially sweetened beverages, and fruit juice with type 2 diabetes before and after adjustment for adiposity, and to estimate the population attributable fraction for type 2 diabetes from consumption of sugar sweetened beverages in the United States and United Kingdom. Design Systematic review and meta-analysis. Data sources and eligibility PubMed, Embase, Ovid, and Web of Knowledge for prospective studies of adults without diabetes, published until February 2014. The population attributable fraction was estimated in national surveys in the USA, 2009-10 (n=4729 representing 189.1 million adults without diabetes) and the UK, 2008-12 (n=1932 representing 44.7 million). Synthesis methods Random effects meta-analysis and survey analysis for population attributable fraction associated with consumption of sugar sweetened beverages. Results Prespecified information was extracted from 17 cohorts (38 253 cases/10 126 754 person years). Higher consumption of sugar sweetened beverages was associated with a greater incidence of type 2 diabetes, by 18% per one serving/day (95% confidence interval 9% to 28%, I2 for heterogeneity=89%) and 13% (6% to 21%, I2=79%) before and after adjustment for adiposity; for artificially sweetened beverages, 25% (18% to 33%, I2=70%) and 8% (2% to 15%, I2=64%); and for fruit juice, 5% (−1% to 11%, I2=58%) and 7% (1% to 14%, I2=51%). Potential sources of heterogeneity or bias were not evident for sugar sweetened beverages. For artificially sweetened beverages, publication bias and residual confounding were indicated. For fruit juice the finding was non-significant in studies ascertaining type 2 diabetes objectively (P for heterogeneity=0.008). Under specified assumptions for population attributable fraction, of 20.9 million events of type 2 diabetes predicted to occur over 10 years in the USA (absolute event rate 11.0%), 1.8 million would be attributable to consumption of sugar sweetened beverages (population attributable fraction 8.7%, 95% confidence interval 3.9% to 12.9%); and of 2.6 million events in the UK (absolute event rate 5.8%), 79 000 would be attributable to consumption of sugar sweetened beverages (population attributable fraction 3.6%, 1.7% to 5.6%). Conclusions Habitual consumption of sugar sweetened beverages was associated with a greater incidence of type 2 diabetes, independently of adiposity. Although artificially …","author":[{"dropping-particle":"","family":"Imamura","given":"Fumiaki","non-dropping-particle":"","parse-names":false,"suffix":""},{"dropping-particle":"","family":"O’Connor","given":"Laura","non-dropping-particle":"","parse-names":false,"suffix":""},{"dropping-particle":"","family":"Ye","given":"Zheng","non-dropping-particle":"","parse-names":false,"suffix":""},{"dropping-particle":"","family":"Mursu","given":"Jaakko","non-dropping-particle":"","parse-names":false,"suffix":""},{"dropping-particle":"","family":"Hayashino","given":"Yasuaki","non-dropping-particle":"","parse-names":false,"suffix":""},{"dropping-particle":"","family":"Bhupathiraju","given":"Shilpa N","non-dropping-particle":"","parse-names":false,"suffix":""},{"dropping-particle":"","family":"Forouhi","given":"Nita G","non-dropping-particle":"","parse-names":false,"suffix":""}],"container-title":"Bmj","id":"ITEM-1","issued":{"date-parts":[["2015"]]},"page":"h3576","title":"Consumption of sugar sweetened beverages, artificially sweetened beverages, and fruit juice and incidence of type 2 diabetes: systematic review, meta-analysis, and estimation of population attributable fraction","type":"article-journal"},"uris":["http://www.mendeley.com/documents/?uuid=288b53de-acde-4a40-9847-718ddcfd99ca"]},{"id":"ITEM-2","itemData":{"DOI":"10.1017/S0007114514004383","ISBN":"0007-1145","ISSN":"0007-1145","PMID":"25735740","abstract":"&lt;p&gt;A number of prospective cohort studies have investigated the associations between consumption of sugar-sweetened beverages (SSB) and the risk of hypertension, CHD and stroke, but revealed mixed results. In the present study, we aimed to perform a dose–response meta-analysis of these prospective studies to clarify these associations. A systematic literature search was conducted using the PubMed and Embase databases up to 5 May 2014. Random- or fixed-effects models were used to calculate the pooled relative risks (RR) with 95 % CI for the highest compared with the lowest category of SSB consumption, and to conduct a dose–response analysis. A total of six prospective studies (240 726 participants and 80 411 incident cases of hypertension) from four publications on hypertension were identified. A total of four prospective studies (194 664 participants and 7396 incident cases of CHD) from four publications on CHD were identified. A total of four prospective studies (259 176 participants and 10 011 incident cases of stroke) from four publications on stroke were identified. The summary RR for incident hypertension was 1·08 (95 % CI 1·04, 1·12) for every additional one serving/d increase in SSB consumption. The summary RR for incident CHD was 1·17 (95 % CI 1·10, 1·24) for every serving/d increase in SSB consumption. There was no significant association between SSB consumption and total stroke (summary RR 1·06, 95 % CI 0·97, 1·15) for every serving/d increase in SSB consumption. The present meta-analysis suggested that a higher consumption of SSB was associated with a higher risk of hypertension and CHD, but not with a higher risk of stroke.&lt;/p&gt;","author":[{"dropping-particle":"","family":"Xi","given":"Bo","non-dropping-particle":"","parse-names":false,"suffix":""},{"dropping-particle":"","family":"Huang","given":"Yubei","non-dropping-particle":"","parse-names":false,"suffix":""},{"dropping-particle":"","family":"Reilly","given":"Kathleen Heather","non-dropping-particle":"","parse-names":false,"suffix":""},{"dropping-particle":"","family":"Li","given":"Shuangshuang","non-dropping-particle":"","parse-names":false,"suffix":""},{"dropping-particle":"","family":"Zheng","given":"Ruolong","non-dropping-particle":"","parse-names":false,"suffix":""},{"dropping-particle":"","family":"Barrio-Lopez","given":"Maria T.","non-dropping-particle":"","parse-names":false,"suffix":""},{"dropping-particle":"","family":"Martinez-Gonzalez","given":"Miguel A.","non-dropping-particle":"","parse-names":false,"suffix":""},{"dropping-particle":"","family":"Zhou","given":"Donghao","non-dropping-particle":"","parse-names":false,"suffix":""}],"container-title":"British Journal of Nutrition","id":"ITEM-2","issue":"05","issued":{"date-parts":[["2015"]]},"page":"709-717","title":"Sugar-sweetened beverages and risk of hypertension and CVD: a dose–response meta-analysis","type":"article-journal","volume":"113"},"uris":["http://www.mendeley.com/documents/?uuid=b48c4ef2-d828-4033-bf63-7b284326ec8c"]}],"mendeley":{"formattedCitation":"(14,15)","plainTextFormattedCitation":"(14,15)","previouslyFormattedCitation":"[14], [15]"},"properties":{"noteIndex":0},"schema":"https://github.com/citation-style-language/schema/raw/master/csl-citation.json"}</w:instrText>
      </w:r>
      <w:r w:rsidRPr="00DF1BBA">
        <w:fldChar w:fldCharType="separate"/>
      </w:r>
      <w:r w:rsidRPr="00DF1BBA">
        <w:t>[14,15</w:t>
      </w:r>
      <w:r w:rsidRPr="00DF1BBA">
        <w:fldChar w:fldCharType="end"/>
      </w:r>
      <w:r w:rsidRPr="00DF1BBA">
        <w:t xml:space="preserve">]. By finding an association between exposure to SSB promotions and SSB consumption, this study adds weight to existing calls to restrict SSB marketing for the benefit of public health </w:t>
      </w:r>
      <w:r w:rsidRPr="00DF1BBA">
        <w:fldChar w:fldCharType="begin" w:fldLock="1"/>
      </w:r>
      <w:r w:rsidRPr="00DF1BBA">
        <w:instrText>ADDIN CSL_CITATION {"citationItems":[{"id":"ITEM-1","itemData":{"ISBN":"9789241500210","abstract":"Title from title caption (viewed on December 15, 2010).","author":[{"dropping-particle":"","family":"World Health Organization.","given":"","non-dropping-particle":"","parse-names":false,"suffix":""}],"id":"ITEM-1","issued":{"date-parts":[["2010"]]},"number-of-pages":"14","publisher":"World Health Organization","title":"Set of recommendations on the marketing of foods and non-alcoholic beverages to children.","type":"book"},"uris":["http://www.mendeley.com/documents/?uuid=06cd935d-4b2b-3a85-957a-16583b455f64"]}],"mendeley":{"formattedCitation":"(25)","plainTextFormattedCitation":"(25)","previouslyFormattedCitation":"[25]"},"properties":{"noteIndex":0},"schema":"https://github.com/citation-style-language/schema/raw/master/csl-citation.json"}</w:instrText>
      </w:r>
      <w:r w:rsidRPr="00DF1BBA">
        <w:fldChar w:fldCharType="separate"/>
      </w:r>
      <w:r w:rsidRPr="00DF1BBA">
        <w:t>[26]</w:t>
      </w:r>
      <w:r w:rsidRPr="00DF1BBA">
        <w:fldChar w:fldCharType="end"/>
      </w:r>
      <w:r w:rsidRPr="00DF1BBA">
        <w:t xml:space="preserve">. To provide further justification for such restrictions, future research should clarify whether this relationship is causal and extends to other components of marketing. As </w:t>
      </w:r>
      <w:r w:rsidR="00B6482E">
        <w:t>“</w:t>
      </w:r>
      <w:r w:rsidRPr="00DF1BBA">
        <w:t>mere exposure theory</w:t>
      </w:r>
      <w:r w:rsidR="00B6482E">
        <w:t>”</w:t>
      </w:r>
      <w:r w:rsidRPr="00DF1BBA">
        <w:t xml:space="preserve"> suggests that product choice may be mediated by repetition of exposure to marketing </w:t>
      </w:r>
      <w:r w:rsidRPr="00DF1BBA">
        <w:fldChar w:fldCharType="begin" w:fldLock="1"/>
      </w:r>
      <w:r w:rsidRPr="00DF1BBA">
        <w:instrText>ADDIN CSL_CITATION {"citationItems":[{"id":"ITEM-1","itemData":{"DOI":"10.1002/mar.20025","ISSN":"07426046","abstract":"There has been little attempt to understand the influence on children of branded products that appear in television programs and movies.A study exposed children of two different age groups (6–7 and 11–12) in classrooms to a brief film clip. They were then individually asked to demonstrate their witness skills by describing in as much detail as pos- sible what they had seen. Half of each class was shown a scene from Home Alone that shows Pepsi Cola being spilled during a meal. The other half was shown a similar clip from Home Alone but without branded products. All children were invited to help themselves from a choice of Pepsi or Coke at the outset of the individual interviews. Those who had seen the branded clip made a significantly different choice of drink. The responses to the interviews suggest that it is not simply exposure to the film but rather previous exposure together with a reminder in the form of recent exposure that affects choice. Age (and by implication processing skill) does not appear to be a mediating fac- tor affecting choice, because implicit memory (mere exposure) seems to be more important than explicit recall.","author":[{"dropping-particle":"","family":"Auty","given":"Susan","non-dropping-particle":"","parse-names":false,"suffix":""},{"dropping-particle":"","family":"Lewis","given":"Charlie","non-dropping-particle":"","parse-names":false,"suffix":""}],"container-title":"Psychology and Marketing","id":"ITEM-1","issue":"9","issued":{"date-parts":[["2004"]]},"note":"Not simply exposure but rather, previous exposure toegehter with a recent exposure that affects choice. Age [processing skill] does not appear to be a mediating fator affecting choice, becuase implict memory (mere exposure) seems to be more important than explicit recall. \n\nIncludes review of previous research into the implicit and explicit memory for product placements.","page":"697-713","title":"Exploring children's choice: The reminder effect of product placement","type":"article-journal","volume":"21"},"uris":["http://www.mendeley.com/documents/?uuid=7e45fa90-4a5c-4698-8187-c11f7f8523fe"]}],"mendeley":{"formattedCitation":"(52)","plainTextFormattedCitation":"(52)","previouslyFormattedCitation":"[52]"},"properties":{"noteIndex":0},"schema":"https://github.com/citation-style-language/schema/raw/master/csl-citation.json"}</w:instrText>
      </w:r>
      <w:r w:rsidRPr="00DF1BBA">
        <w:fldChar w:fldCharType="separate"/>
      </w:r>
      <w:r w:rsidRPr="00DF1BBA">
        <w:t>[53]</w:t>
      </w:r>
      <w:r w:rsidRPr="00DF1BBA">
        <w:fldChar w:fldCharType="end"/>
      </w:r>
      <w:r w:rsidRPr="00DF1BBA">
        <w:t xml:space="preserve">, future studies could extend the present research to quantify and understand the effects of the degree of exposure to promotion. The wear-out effects of repetition of marketing exposure could also be studied by exploring non-linear relationships between marketing exposure and consumption </w:t>
      </w:r>
      <w:r w:rsidRPr="00DF1BBA">
        <w:fldChar w:fldCharType="begin" w:fldLock="1"/>
      </w:r>
      <w:r w:rsidRPr="00DF1BBA">
        <w:instrText>ADDIN CSL_CITATION {"citationItems":[{"id":"ITEM-1","itemData":{"DOI":"10.1002/mar.20025","ISSN":"07426046","abstract":"There has been little attempt to understand the influence on children of branded products that appear in television programs and movies.A study exposed children of two different age groups (6–7 and 11–12) in classrooms to a brief film clip. They were then individually asked to demonstrate their witness skills by describing in as much detail as pos- sible what they had seen. Half of each class was shown a scene from Home Alone that shows Pepsi Cola being spilled during a meal. The other half was shown a similar clip from Home Alone but without branded products. All children were invited to help themselves from a choice of Pepsi or Coke at the outset of the individual interviews. Those who had seen the branded clip made a significantly different choice of drink. The responses to the interviews suggest that it is not simply exposure to the film but rather previous exposure together with a reminder in the form of recent exposure that affects choice. Age (and by implication processing skill) does not appear to be a mediating fac- tor affecting choice, because implicit memory (mere exposure) seems to be more important than explicit recall.","author":[{"dropping-particle":"","family":"Auty","given":"Susan","non-dropping-particle":"","parse-names":false,"suffix":""},{"dropping-particle":"","family":"Lewis","given":"Charlie","non-dropping-particle":"","parse-names":false,"suffix":""}],"container-title":"Psychology and Marketing","id":"ITEM-1","issue":"9","issued":{"date-parts":[["2004"]]},"note":"Not simply exposure but rather, previous exposure toegehter with a recent exposure that affects choice. Age [processing skill] does not appear to be a mediating fator affecting choice, becuase implict memory (mere exposure) seems to be more important than explicit recall. \n\nIncludes review of previous research into the implicit and explicit memory for product placements.","page":"697-713","title":"Exploring children's choice: The reminder effect of product placement","type":"article-journal","volume":"21"},"uris":["http://www.mendeley.com/documents/?uuid=7e45fa90-4a5c-4698-8187-c11f7f8523fe"]}],"mendeley":{"formattedCitation":"(52)","manualFormatting":"[532]","plainTextFormattedCitation":"(52)","previouslyFormattedCitation":"[52]"},"properties":{"noteIndex":0},"schema":"https://github.com/citation-style-language/schema/raw/master/csl-citation.json"}</w:instrText>
      </w:r>
      <w:r w:rsidRPr="00DF1BBA">
        <w:fldChar w:fldCharType="separate"/>
      </w:r>
      <w:r w:rsidRPr="00DF1BBA">
        <w:t>[53]</w:t>
      </w:r>
      <w:r w:rsidRPr="00DF1BBA">
        <w:fldChar w:fldCharType="end"/>
      </w:r>
      <w:r w:rsidRPr="00DF1BBA">
        <w:t xml:space="preserve">, which was not accounted for in the present study. Further developing understanding of the relationship between SSB marketing and consumption could help policymakers develop multicomponent strategies to address SSB consumption, </w:t>
      </w:r>
      <w:r w:rsidR="00B6482E">
        <w:t>such as</w:t>
      </w:r>
      <w:r w:rsidRPr="00DF1BBA">
        <w:t xml:space="preserve"> that currently being modelled in Chile </w:t>
      </w:r>
      <w:r w:rsidRPr="00DF1BBA">
        <w:fldChar w:fldCharType="begin" w:fldLock="1"/>
      </w:r>
      <w:r w:rsidRPr="00DF1BBA">
        <w:instrText>ADDIN CSL_CITATION {"citationItems":[{"id":"ITEM-1","itemData":{"DOI":"10.2105/AJPH.2019.305159","author":[{"dropping-particle":"","family":"Massri","given":"Camila","non-dropping-particle":"","parse-names":false,"suffix":""},{"dropping-particle":"","family":"Sutherland","given":"Sofía","non-dropping-particle":"","parse-names":false,"suffix":""},{"dropping-particle":"","family":"Carina","given":"K","non-dropping-particle":"","parse-names":false,"suffix":""}],"container-title":"American Journal of Public Health","id":"ITEM-1","issued":{"date-parts":[["2019"]]},"page":"e1-e6","title":"Impact of the Food-Labeling and Advertising Law Banning Competitive Food and Beverages in Chilean Public Schools , 2014 – 2016","type":"article-journal"},"uris":["http://www.mendeley.com/documents/?uuid=a7ff3776-ad4e-4cc7-bc1e-d318f7ad88b4"]}],"mendeley":{"formattedCitation":"(59)","plainTextFormattedCitation":"(59)","previouslyFormattedCitation":"[59]"},"properties":{"noteIndex":0},"schema":"https://github.com/citation-style-language/schema/raw/master/csl-citation.json"}</w:instrText>
      </w:r>
      <w:r w:rsidRPr="00DF1BBA">
        <w:fldChar w:fldCharType="separate"/>
      </w:r>
      <w:r w:rsidRPr="00DF1BBA">
        <w:t>[60]</w:t>
      </w:r>
      <w:r w:rsidRPr="00DF1BBA">
        <w:fldChar w:fldCharType="end"/>
      </w:r>
      <w:r w:rsidRPr="00DF1BBA">
        <w:t>. For example, if SSB taxes lead to unintended changes to marketing, they could be introduced alongside greater SSB marketing restrictions.</w:t>
      </w:r>
    </w:p>
    <w:p w14:paraId="0DFC5649" w14:textId="76B0222F" w:rsidR="0072004C" w:rsidRPr="00DF1BBA" w:rsidRDefault="0072004C" w:rsidP="0072004C">
      <w:pPr>
        <w:pStyle w:val="MDPI31text"/>
      </w:pPr>
      <w:r w:rsidRPr="00DF1BBA">
        <w:t xml:space="preserve">Our results also provide some evidence that SSB marketing restrictions should particularly focus on traditional and digital forms of promotion. Further research should seek to confirm this and explore causal mechanisms for the variations in </w:t>
      </w:r>
      <w:r w:rsidR="00B6482E">
        <w:t xml:space="preserve">the </w:t>
      </w:r>
      <w:r w:rsidRPr="00DF1BBA">
        <w:t>effect</w:t>
      </w:r>
      <w:r w:rsidR="00B6482E">
        <w:t>s</w:t>
      </w:r>
      <w:r w:rsidRPr="00DF1BBA">
        <w:t xml:space="preserve"> we found between different types of promotion exposure. The possibility of different types of marketing working synergistically to affect consumption should also be explored. However, our findings suggest that current attempts to restrict SSB marketing that focus overwhelmingly on TV advertising </w:t>
      </w:r>
      <w:r w:rsidRPr="00DF1BBA">
        <w:fldChar w:fldCharType="begin" w:fldLock="1"/>
      </w:r>
      <w:r w:rsidRPr="00DF1BBA">
        <w:instrText>ADDIN CSL_CITATION {"citationItems":[{"id":"ITEM-1","itemData":{"author":[{"dropping-particle":"","family":"Landon J; Gritschneder Y","given":"","non-dropping-particle":"","parse-names":false,"suffix":""}],"container-title":"National Heart Forum","id":"ITEM-1","issued":{"date-parts":[["2011"]]},"page":"1-135","title":"An analysis of the regulatory and voluntary landscape concerning the marketing and promotion of food and drink to children","type":"article-journal"},"uris":["http://www.mendeley.com/documents/?uuid=d050a2f8-46f1-435a-89d6-f107a32469fc"]}],"mendeley":{"formattedCitation":"(60)","manualFormatting":"[6061]","plainTextFormattedCitation":"(60)","previouslyFormattedCitation":"[60]"},"properties":{"noteIndex":0},"schema":"https://github.com/citation-style-language/schema/raw/master/csl-citation.json"}</w:instrText>
      </w:r>
      <w:r w:rsidRPr="00DF1BBA">
        <w:fldChar w:fldCharType="separate"/>
      </w:r>
      <w:r w:rsidRPr="00DF1BBA">
        <w:t>[61]</w:t>
      </w:r>
      <w:r w:rsidRPr="00DF1BBA">
        <w:fldChar w:fldCharType="end"/>
      </w:r>
      <w:r w:rsidRPr="00DF1BBA">
        <w:t xml:space="preserve"> could be undermined by reactive increases in say, digital advertising, which are similarly associated with SSB consumption. Taking a broader approach to marketing regulation might ultimately prove more effective.</w:t>
      </w:r>
    </w:p>
    <w:p w14:paraId="2486F9D3" w14:textId="04917292" w:rsidR="0072004C" w:rsidRPr="00DF1BBA" w:rsidRDefault="0072004C" w:rsidP="0072004C">
      <w:pPr>
        <w:pStyle w:val="MDPI31text"/>
      </w:pPr>
      <w:r w:rsidRPr="00DF1BBA">
        <w:t xml:space="preserve">Given that competitive edge depends on novelty, we should expect to see continued innovation in ways that sugary drinks firms seek to promote their products (such as advergaming </w:t>
      </w:r>
      <w:r w:rsidRPr="00DF1BBA">
        <w:fldChar w:fldCharType="begin" w:fldLock="1"/>
      </w:r>
      <w:r w:rsidRPr="00DF1BBA">
        <w:instrText>ADDIN CSL_CITATION {"citationItems":[{"id":"ITEM-1","itemData":{"DOI":"2015391","abstract":"Public Health England exists to protect and improve the nation's health and wellbeing, and reduce health inequalities. It does this through world-class science, knowledge and intelligence, advocacy, partnerships and the delivery of specialist public health services. PHE is an operationally autonomous executive agency of the Department of Health.","author":[{"dropping-particle":"","family":"Ells","given":"Louisa J","non-dropping-particle":"","parse-names":false,"suffix":""},{"dropping-particle":"","family":"Roberts","given":"Katharine","non-dropping-particle":"","parse-names":false,"suffix":""},{"dropping-particle":"","family":"Mcgowan","given":"Victoria J","non-dropping-particle":"","parse-names":false,"suffix":""},{"dropping-particle":"","family":"Machaira","given":"Theodora","non-dropping-particle":"","parse-names":false,"suffix":""}],"container-title":"Public Health England","id":"ITEM-1","issued":{"date-parts":[["2015"]]},"title":"Sugar Reduction: The evidence for action. Annexe 3: A mixed method review of behaviour changes resulting from marketing strategies targeted at high sugar food and non-alcoholic drink","type":"article-journal"},"uris":["http://www.mendeley.com/documents/?uuid=9b971703-7146-4f30-adbe-fc46e5d25da5"]}],"mendeley":{"formattedCitation":"(17)","plainTextFormattedCitation":"(17)","previouslyFormattedCitation":"[17]"},"properties":{"noteIndex":0},"schema":"https://github.com/citation-style-language/schema/raw/master/csl-citation.json"}</w:instrText>
      </w:r>
      <w:r w:rsidRPr="00DF1BBA">
        <w:fldChar w:fldCharType="separate"/>
      </w:r>
      <w:r w:rsidRPr="00DF1BBA">
        <w:t>[17]</w:t>
      </w:r>
      <w:r w:rsidRPr="00DF1BBA">
        <w:fldChar w:fldCharType="end"/>
      </w:r>
      <w:r w:rsidRPr="00DF1BBA">
        <w:t>), and future research should seek to understand the impact of this on SSB consumption. While we found inconsistent evidence of</w:t>
      </w:r>
      <w:r w:rsidR="00B6482E">
        <w:t xml:space="preserve"> the</w:t>
      </w:r>
      <w:r w:rsidRPr="00DF1BBA">
        <w:t xml:space="preserve"> difference in the strength of association between self-reported exposure to SSB promotion and consumption between the countries included, future research could test this in a more heterogeneous set of countries.</w:t>
      </w:r>
    </w:p>
    <w:p w14:paraId="692ADC2E" w14:textId="77777777" w:rsidR="0072004C" w:rsidRPr="00DF1BBA" w:rsidRDefault="0072004C" w:rsidP="0072004C">
      <w:pPr>
        <w:pStyle w:val="MDPI21heading1"/>
      </w:pPr>
      <w:r>
        <w:t xml:space="preserve">5. </w:t>
      </w:r>
      <w:r w:rsidRPr="00DF1BBA">
        <w:t>Conclusions</w:t>
      </w:r>
    </w:p>
    <w:p w14:paraId="2C4DCA52" w14:textId="5D393E44" w:rsidR="0072004C" w:rsidRPr="00DF1BBA" w:rsidRDefault="0072004C" w:rsidP="0072004C">
      <w:pPr>
        <w:pStyle w:val="MDPI31text"/>
      </w:pPr>
      <w:r w:rsidRPr="00DF1BBA">
        <w:t>We found a positive association between self-reported exposure to SSB promotions and SSB consumption among adults in the UK, Mexico, Australia, Canada</w:t>
      </w:r>
      <w:r w:rsidR="00B6482E">
        <w:t>,</w:t>
      </w:r>
      <w:r w:rsidRPr="00DF1BBA">
        <w:t xml:space="preserve"> and</w:t>
      </w:r>
      <w:r w:rsidR="00B6482E">
        <w:t xml:space="preserve"> the</w:t>
      </w:r>
      <w:r w:rsidRPr="00DF1BBA">
        <w:t xml:space="preserve"> USA. The strength of this association varied by type of promotion exposure: </w:t>
      </w:r>
      <w:r w:rsidR="00B6482E">
        <w:t>E</w:t>
      </w:r>
      <w:r w:rsidRPr="00DF1BBA">
        <w:t>xposure to digital and traditional promotions was associated with greater SSB consumption, whilst there was a mixed picture of associations for promotions in the functional and recreational environment. There was also some evidence that these associations var</w:t>
      </w:r>
      <w:r w:rsidR="00B6482E">
        <w:t>ied</w:t>
      </w:r>
      <w:r w:rsidRPr="00DF1BBA">
        <w:t xml:space="preserve"> by country. Using a self-reported measure of exposure and not measuring </w:t>
      </w:r>
      <w:r w:rsidR="00B6482E">
        <w:t xml:space="preserve">the </w:t>
      </w:r>
      <w:r w:rsidRPr="00DF1BBA">
        <w:t xml:space="preserve">intensity of exposure are key limitations of the study. Nonetheless, efforts to restrict marketing of SSBs should focus on a wider range of marketing than just TV promotions and </w:t>
      </w:r>
      <w:r w:rsidR="00B6482E">
        <w:t xml:space="preserve">should </w:t>
      </w:r>
      <w:r w:rsidRPr="00DF1BBA">
        <w:t>reflect country context.</w:t>
      </w:r>
    </w:p>
    <w:p w14:paraId="3F577E10" w14:textId="77777777" w:rsidR="0072004C" w:rsidRPr="00DF1BBA" w:rsidRDefault="0072004C" w:rsidP="0072004C">
      <w:pPr>
        <w:pStyle w:val="MDPI62Acknowledgments"/>
      </w:pPr>
      <w:r w:rsidRPr="00DF1BBA">
        <w:rPr>
          <w:b/>
        </w:rPr>
        <w:t xml:space="preserve">Supplementary Materials: </w:t>
      </w:r>
      <w:r w:rsidRPr="00DF1BBA">
        <w:t>The following are available online at www.mdpi.com/xxx/s1, Table S1: Differences between individuals included and excluded from the analytical sample, pre-weighting, Table S2: Country-stratified models of the association between total exposure to SSB promotions and SSB consumption using multinomial logistic regression (</w:t>
      </w:r>
      <w:r w:rsidRPr="007F3E10">
        <w:rPr>
          <w:i/>
        </w:rPr>
        <w:t xml:space="preserve">n </w:t>
      </w:r>
      <w:r w:rsidRPr="007F3E10">
        <w:t>=</w:t>
      </w:r>
      <w:r w:rsidRPr="007F3E10">
        <w:rPr>
          <w:i/>
        </w:rPr>
        <w:t xml:space="preserve"> </w:t>
      </w:r>
      <w:r w:rsidRPr="007F3E10">
        <w:t>15,</w:t>
      </w:r>
      <w:r w:rsidRPr="00DF1BBA">
        <w:t>515; ref: no SSB consumption, only country estimates printed).</w:t>
      </w:r>
    </w:p>
    <w:p w14:paraId="1A8BF03A" w14:textId="1E92FFC9" w:rsidR="0072004C" w:rsidRDefault="0072004C" w:rsidP="0072004C">
      <w:pPr>
        <w:pStyle w:val="MDPI62Acknowledgments"/>
      </w:pPr>
      <w:r w:rsidRPr="00DF1BBA">
        <w:rPr>
          <w:b/>
        </w:rPr>
        <w:t xml:space="preserve">Author Contributions: </w:t>
      </w:r>
      <w:r w:rsidRPr="00DF1BBA">
        <w:t>Conceptualization for the International Food P</w:t>
      </w:r>
      <w:r>
        <w:t>olicy Study, D.H. and</w:t>
      </w:r>
      <w:r w:rsidRPr="00DF1BBA">
        <w:t xml:space="preserve"> L.V.; survey development, D.H., L.V</w:t>
      </w:r>
      <w:r w:rsidRPr="007F3E10">
        <w:t>., J.</w:t>
      </w:r>
      <w:r>
        <w:t>A.</w:t>
      </w:r>
      <w:r w:rsidR="00B6482E">
        <w:t>,</w:t>
      </w:r>
      <w:r>
        <w:t xml:space="preserve"> and</w:t>
      </w:r>
      <w:r w:rsidRPr="00DF1BBA">
        <w:t xml:space="preserve"> M.W.; conceptualization for these analyses, H.F</w:t>
      </w:r>
      <w:r>
        <w:t>.</w:t>
      </w:r>
      <w:r w:rsidRPr="00DF1BBA">
        <w:t xml:space="preserve"> and J.A.; methodology, H.F</w:t>
      </w:r>
      <w:r>
        <w:t>.</w:t>
      </w:r>
      <w:r w:rsidRPr="00DF1BBA">
        <w:t xml:space="preserve"> and J.A.; formal analysis, H.F.; writing—original draft preparation, H.F.; writing—review and editing, J.A., M.W., F</w:t>
      </w:r>
      <w:r>
        <w:t>.G., L.L., S.S., D.H.</w:t>
      </w:r>
      <w:r w:rsidR="00B6482E">
        <w:t>,</w:t>
      </w:r>
      <w:r>
        <w:t xml:space="preserve"> and L.V.</w:t>
      </w:r>
      <w:r w:rsidRPr="00DF1BBA">
        <w:t>; visuali</w:t>
      </w:r>
      <w:r>
        <w:t>zation, H.F.; supervision, J.A.</w:t>
      </w:r>
    </w:p>
    <w:p w14:paraId="058B8E55" w14:textId="6FE5C72E" w:rsidR="0072004C" w:rsidRPr="00DF1BBA" w:rsidRDefault="0072004C" w:rsidP="0072004C">
      <w:pPr>
        <w:pStyle w:val="MDPI62Acknowledgments"/>
      </w:pPr>
      <w:r w:rsidRPr="00DF1BBA">
        <w:rPr>
          <w:b/>
        </w:rPr>
        <w:lastRenderedPageBreak/>
        <w:t xml:space="preserve">Funding: </w:t>
      </w:r>
      <w:r w:rsidRPr="00DF1BBA">
        <w:t>Funding for the International Food Policy Study was provided by the Canadian Institutes of Health Research (CIHR; operating grant). Additional support was provided by a CIHR—Public Health agency of Canada (PHAC) Applied Public Health Research Chair. The study has no affiliations with the food industry. H.F., J.A.</w:t>
      </w:r>
      <w:r w:rsidR="00B6482E">
        <w:t>,</w:t>
      </w:r>
      <w:r w:rsidRPr="00DF1BBA">
        <w:t xml:space="preserve"> and M.W. are supported by the Centre for Diet and Activity Research (CEDAR), a UKCRC Public Health Research Centre of Excellence. Funding from the British Heart Foundation, Cancer Research UK, Economic and Social Research Council, Medical Research Council, the National Institute for Health Research, and the </w:t>
      </w:r>
      <w:proofErr w:type="spellStart"/>
      <w:r w:rsidRPr="00DF1BBA">
        <w:t>Wellcome</w:t>
      </w:r>
      <w:proofErr w:type="spellEnd"/>
      <w:r w:rsidRPr="00DF1BBA">
        <w:t xml:space="preserve"> Trust, under the auspices of the UK Clinical Research Collaboration, is gratefully acknowledged (grant number MR/K023187/1). H.F. receives funding from the Economic and Social Research Council and Public Health England (PHE). S.S. is supported by the medical research council, grant number MC_UU_12015. L.L. and F.G. are employed by PHE. M.W. holds an honorary consultant in public health contract with PHE. These funding sources had no direct role in the writing of the manuscript or decision to submit for publication. Views expressed in this paper are those of the authors and not necessarily those of the above named funders.</w:t>
      </w:r>
    </w:p>
    <w:p w14:paraId="55DFFB44" w14:textId="77777777" w:rsidR="0072004C" w:rsidRPr="00DF1BBA" w:rsidRDefault="0072004C" w:rsidP="0072004C">
      <w:pPr>
        <w:pStyle w:val="MDPI62Acknowledgments"/>
      </w:pPr>
      <w:r w:rsidRPr="00DF1BBA">
        <w:rPr>
          <w:b/>
        </w:rPr>
        <w:t xml:space="preserve">Acknowledgments: </w:t>
      </w:r>
      <w:r w:rsidRPr="00DF1BBA">
        <w:t xml:space="preserve">The authors would like to thank all participants who dedicated their time to the study, as well as the research assistants who were fundamental in surveying and data collection. We also would like to thank Professor Agnes </w:t>
      </w:r>
      <w:proofErr w:type="spellStart"/>
      <w:r w:rsidRPr="00DF1BBA">
        <w:t>Nairn</w:t>
      </w:r>
      <w:proofErr w:type="spellEnd"/>
      <w:r w:rsidRPr="00DF1BBA">
        <w:t xml:space="preserve"> in the Department of Management at the University of Bristol for insights into commercial marketing.</w:t>
      </w:r>
    </w:p>
    <w:p w14:paraId="0CB735E0" w14:textId="77777777" w:rsidR="0072004C" w:rsidRPr="00DF1BBA" w:rsidRDefault="0072004C" w:rsidP="0072004C">
      <w:pPr>
        <w:pStyle w:val="MDPI62Acknowledgments"/>
      </w:pPr>
      <w:r w:rsidRPr="00DF1BBA">
        <w:rPr>
          <w:b/>
        </w:rPr>
        <w:t xml:space="preserve">Conflicts of Interest: </w:t>
      </w:r>
      <w:r w:rsidRPr="00DF1BBA">
        <w:t>L.L. and F.G. are employed by PHE. M.W. holds an honorary consultant in public health contract with PHE. H.F. receives funding for her PhD studentship from PHE and the Economic and Social Research Council. There are no other conflicts of interest to declare.</w:t>
      </w:r>
    </w:p>
    <w:p w14:paraId="6B9A8181" w14:textId="5A68AA3C" w:rsidR="0072004C" w:rsidRPr="00DF1BBA" w:rsidRDefault="0072004C" w:rsidP="0072004C">
      <w:pPr>
        <w:pStyle w:val="MDPI21heading1"/>
      </w:pPr>
      <w:r w:rsidRPr="00DF1BBA">
        <w:t>References</w:t>
      </w:r>
    </w:p>
    <w:p w14:paraId="2167155F" w14:textId="77777777" w:rsidR="0072004C" w:rsidRPr="008860B2" w:rsidRDefault="0072004C" w:rsidP="0072004C">
      <w:pPr>
        <w:pStyle w:val="MDPI71References"/>
        <w:ind w:left="780" w:hanging="420"/>
        <w:jc w:val="left"/>
      </w:pPr>
      <w:r w:rsidRPr="008860B2">
        <w:t xml:space="preserve">Afshin, A.; Sur, </w:t>
      </w:r>
      <w:proofErr w:type="spellStart"/>
      <w:r w:rsidRPr="00044540">
        <w:rPr>
          <w:i/>
        </w:rPr>
        <w:t>p</w:t>
      </w:r>
      <w:r w:rsidRPr="008860B2">
        <w:t>.J</w:t>
      </w:r>
      <w:proofErr w:type="spellEnd"/>
      <w:r w:rsidRPr="008860B2">
        <w:t xml:space="preserve">.; Fay, K.A.; </w:t>
      </w:r>
      <w:proofErr w:type="spellStart"/>
      <w:r w:rsidRPr="008860B2">
        <w:t>Cornaby</w:t>
      </w:r>
      <w:proofErr w:type="spellEnd"/>
      <w:r w:rsidRPr="008860B2">
        <w:t xml:space="preserve">, L.; Ferrara, G.; Salama, J.S.; et al. Health effects of dietary risks in 195 countries, 1990–2017: a systematic analysis for the Global Burden of Disease Study 2017. </w:t>
      </w:r>
      <w:r w:rsidRPr="008860B2">
        <w:rPr>
          <w:i/>
          <w:iCs/>
        </w:rPr>
        <w:t>Lancet</w:t>
      </w:r>
      <w:r w:rsidRPr="008860B2">
        <w:t xml:space="preserve"> </w:t>
      </w:r>
      <w:r w:rsidRPr="008860B2">
        <w:rPr>
          <w:b/>
          <w:bCs/>
        </w:rPr>
        <w:t>2019</w:t>
      </w:r>
      <w:r w:rsidRPr="008860B2">
        <w:t xml:space="preserve">, </w:t>
      </w:r>
      <w:r w:rsidRPr="008860B2">
        <w:rPr>
          <w:i/>
          <w:iCs/>
        </w:rPr>
        <w:t xml:space="preserve">393 (10184), </w:t>
      </w:r>
      <w:r w:rsidRPr="008860B2">
        <w:t>pp1958–72.</w:t>
      </w:r>
    </w:p>
    <w:p w14:paraId="0AAB9962" w14:textId="77777777" w:rsidR="0072004C" w:rsidRPr="008860B2" w:rsidRDefault="0072004C" w:rsidP="0072004C">
      <w:pPr>
        <w:pStyle w:val="MDPI71References"/>
        <w:ind w:left="780" w:hanging="420"/>
        <w:jc w:val="left"/>
      </w:pPr>
      <w:r w:rsidRPr="008860B2">
        <w:t xml:space="preserve">Lim, S.S.; Vos, T.; Flaxman, A.D.; </w:t>
      </w:r>
      <w:proofErr w:type="spellStart"/>
      <w:r w:rsidRPr="008860B2">
        <w:t>Danaei</w:t>
      </w:r>
      <w:proofErr w:type="spellEnd"/>
      <w:r w:rsidRPr="008860B2">
        <w:t>, G.; Shibuya, K.; Adair-</w:t>
      </w:r>
      <w:proofErr w:type="spellStart"/>
      <w:r w:rsidRPr="008860B2">
        <w:t>Rohani</w:t>
      </w:r>
      <w:proofErr w:type="spellEnd"/>
      <w:r w:rsidRPr="008860B2">
        <w:t xml:space="preserve">, H.; et al. A comparative risk assessment of burden of disease and injury attributable to 67 risk factors and risk factor clusters in 21 regions, 1990-2010: A systematic analysis for the Global Burden of Disease Study 2010. </w:t>
      </w:r>
      <w:r w:rsidRPr="008860B2">
        <w:rPr>
          <w:i/>
          <w:iCs/>
        </w:rPr>
        <w:t>Lancet</w:t>
      </w:r>
      <w:r w:rsidRPr="008860B2">
        <w:t xml:space="preserve"> </w:t>
      </w:r>
      <w:r w:rsidRPr="008860B2">
        <w:rPr>
          <w:b/>
          <w:bCs/>
        </w:rPr>
        <w:t>2012</w:t>
      </w:r>
      <w:r w:rsidRPr="008860B2">
        <w:t xml:space="preserve">, </w:t>
      </w:r>
      <w:r w:rsidRPr="008860B2">
        <w:rPr>
          <w:i/>
          <w:iCs/>
        </w:rPr>
        <w:t>380 (9859</w:t>
      </w:r>
      <w:r w:rsidRPr="008860B2">
        <w:t>), pp2224–60.</w:t>
      </w:r>
    </w:p>
    <w:p w14:paraId="7427FD18" w14:textId="77777777" w:rsidR="0072004C" w:rsidRPr="008860B2" w:rsidRDefault="0072004C" w:rsidP="0072004C">
      <w:pPr>
        <w:pStyle w:val="MDPI71References"/>
        <w:ind w:left="780" w:hanging="420"/>
        <w:jc w:val="left"/>
      </w:pPr>
      <w:r w:rsidRPr="008860B2">
        <w:t xml:space="preserve">Scientific Advisory Committee on Nutrition. Carbohydrates and Health. </w:t>
      </w:r>
      <w:r w:rsidRPr="008860B2">
        <w:rPr>
          <w:i/>
          <w:iCs/>
        </w:rPr>
        <w:t xml:space="preserve">The Stationary Office </w:t>
      </w:r>
      <w:r w:rsidRPr="008860B2">
        <w:rPr>
          <w:b/>
          <w:bCs/>
        </w:rPr>
        <w:t>2015</w:t>
      </w:r>
      <w:r w:rsidRPr="008860B2">
        <w:t>.</w:t>
      </w:r>
    </w:p>
    <w:p w14:paraId="3D258046" w14:textId="77777777" w:rsidR="0072004C" w:rsidRPr="008860B2" w:rsidRDefault="0072004C" w:rsidP="0072004C">
      <w:pPr>
        <w:pStyle w:val="MDPI71References"/>
        <w:ind w:left="780" w:hanging="420"/>
        <w:jc w:val="left"/>
      </w:pPr>
      <w:proofErr w:type="spellStart"/>
      <w:r w:rsidRPr="008860B2">
        <w:t>Te</w:t>
      </w:r>
      <w:proofErr w:type="spellEnd"/>
      <w:r w:rsidRPr="008860B2">
        <w:t xml:space="preserve"> </w:t>
      </w:r>
      <w:proofErr w:type="spellStart"/>
      <w:r w:rsidRPr="008860B2">
        <w:t>Morenga</w:t>
      </w:r>
      <w:proofErr w:type="spellEnd"/>
      <w:r w:rsidRPr="008860B2">
        <w:t xml:space="preserve">, L.A.; Mallard, S.; Mann, J. Dietary sugars and body weight: systematic review and meta-analyses of </w:t>
      </w:r>
      <w:proofErr w:type="spellStart"/>
      <w:r w:rsidRPr="008860B2">
        <w:t>randomised</w:t>
      </w:r>
      <w:proofErr w:type="spellEnd"/>
      <w:r w:rsidRPr="008860B2">
        <w:t xml:space="preserve"> controlled trials and cohort studies. </w:t>
      </w:r>
      <w:r w:rsidRPr="008860B2">
        <w:rPr>
          <w:i/>
          <w:iCs/>
        </w:rPr>
        <w:t>BMJ</w:t>
      </w:r>
      <w:r w:rsidRPr="008860B2">
        <w:t xml:space="preserve"> </w:t>
      </w:r>
      <w:r w:rsidRPr="008860B2">
        <w:rPr>
          <w:b/>
          <w:bCs/>
        </w:rPr>
        <w:t>2012</w:t>
      </w:r>
      <w:r w:rsidRPr="008860B2">
        <w:t xml:space="preserve">, </w:t>
      </w:r>
      <w:r w:rsidRPr="008860B2">
        <w:rPr>
          <w:i/>
          <w:iCs/>
        </w:rPr>
        <w:t>346</w:t>
      </w:r>
      <w:r w:rsidRPr="008860B2">
        <w:t>, e7492–e7492.</w:t>
      </w:r>
    </w:p>
    <w:p w14:paraId="62B6CF53" w14:textId="77777777" w:rsidR="0072004C" w:rsidRPr="008860B2" w:rsidRDefault="0072004C" w:rsidP="0072004C">
      <w:pPr>
        <w:pStyle w:val="MDPI71References"/>
        <w:ind w:left="780" w:hanging="420"/>
        <w:jc w:val="left"/>
      </w:pPr>
      <w:r w:rsidRPr="008860B2">
        <w:t xml:space="preserve">Malik, V.S.; Popkin, B.M.; Bray, G.A.; </w:t>
      </w:r>
      <w:proofErr w:type="spellStart"/>
      <w:r w:rsidRPr="008860B2">
        <w:t>Després</w:t>
      </w:r>
      <w:proofErr w:type="spellEnd"/>
      <w:r w:rsidRPr="008860B2">
        <w:t xml:space="preserve">, J-P; Hu, F.B. Sugar Sweetened Beverages, Obesity, Type 2 Diabetes and Cardiovascular Disease risk. </w:t>
      </w:r>
      <w:r w:rsidRPr="008860B2">
        <w:rPr>
          <w:i/>
          <w:iCs/>
        </w:rPr>
        <w:t>Circulation</w:t>
      </w:r>
      <w:r w:rsidRPr="008860B2">
        <w:t xml:space="preserve"> </w:t>
      </w:r>
      <w:r w:rsidRPr="008860B2">
        <w:rPr>
          <w:b/>
          <w:bCs/>
        </w:rPr>
        <w:t>2010</w:t>
      </w:r>
      <w:r w:rsidRPr="008860B2">
        <w:t xml:space="preserve"> </w:t>
      </w:r>
      <w:r w:rsidRPr="008860B2">
        <w:rPr>
          <w:i/>
          <w:iCs/>
        </w:rPr>
        <w:t>121(11</w:t>
      </w:r>
      <w:r w:rsidRPr="008860B2">
        <w:t>), pp1356–64.</w:t>
      </w:r>
    </w:p>
    <w:p w14:paraId="1A3C9173" w14:textId="77777777" w:rsidR="0072004C" w:rsidRPr="008860B2" w:rsidRDefault="0072004C" w:rsidP="0072004C">
      <w:pPr>
        <w:pStyle w:val="MDPI71References"/>
        <w:ind w:left="780" w:hanging="420"/>
        <w:jc w:val="left"/>
      </w:pPr>
      <w:proofErr w:type="spellStart"/>
      <w:r w:rsidRPr="008860B2">
        <w:t>Te</w:t>
      </w:r>
      <w:proofErr w:type="spellEnd"/>
      <w:r w:rsidRPr="008860B2">
        <w:t xml:space="preserve"> </w:t>
      </w:r>
      <w:proofErr w:type="spellStart"/>
      <w:r w:rsidRPr="008860B2">
        <w:t>Morenga</w:t>
      </w:r>
      <w:proofErr w:type="spellEnd"/>
      <w:r w:rsidRPr="008860B2">
        <w:t xml:space="preserve">, L.A.; </w:t>
      </w:r>
      <w:proofErr w:type="spellStart"/>
      <w:r w:rsidRPr="008860B2">
        <w:t>Howatson</w:t>
      </w:r>
      <w:proofErr w:type="spellEnd"/>
      <w:r w:rsidRPr="008860B2">
        <w:t xml:space="preserve">, A.J.; Jones, R.M.; Mann, J. Dietary sugars and cardiometabolic risk: systematic review and meta-analyses of randomized controlled trials of the effects on blood pressure and lipids 1 – 3. </w:t>
      </w:r>
      <w:r w:rsidRPr="008860B2">
        <w:rPr>
          <w:i/>
          <w:iCs/>
        </w:rPr>
        <w:t xml:space="preserve">Am J </w:t>
      </w:r>
      <w:proofErr w:type="spellStart"/>
      <w:r w:rsidRPr="008860B2">
        <w:rPr>
          <w:i/>
          <w:iCs/>
        </w:rPr>
        <w:t>Clin</w:t>
      </w:r>
      <w:proofErr w:type="spellEnd"/>
      <w:r w:rsidRPr="008860B2">
        <w:rPr>
          <w:i/>
          <w:iCs/>
        </w:rPr>
        <w:t xml:space="preserve"> </w:t>
      </w:r>
      <w:proofErr w:type="spellStart"/>
      <w:r w:rsidRPr="008860B2">
        <w:rPr>
          <w:i/>
          <w:iCs/>
        </w:rPr>
        <w:t>Nutr</w:t>
      </w:r>
      <w:proofErr w:type="spellEnd"/>
      <w:r w:rsidRPr="008860B2">
        <w:t xml:space="preserve">. </w:t>
      </w:r>
      <w:r w:rsidRPr="008860B2">
        <w:rPr>
          <w:b/>
          <w:bCs/>
        </w:rPr>
        <w:t>2014</w:t>
      </w:r>
      <w:r w:rsidRPr="008860B2">
        <w:t xml:space="preserve">, </w:t>
      </w:r>
      <w:r w:rsidRPr="008860B2">
        <w:rPr>
          <w:i/>
          <w:iCs/>
        </w:rPr>
        <w:t>100(1</w:t>
      </w:r>
      <w:r w:rsidRPr="008860B2">
        <w:t>), pp65–79.</w:t>
      </w:r>
    </w:p>
    <w:p w14:paraId="20A4AAA4" w14:textId="77777777" w:rsidR="0072004C" w:rsidRPr="008860B2" w:rsidRDefault="0072004C" w:rsidP="0072004C">
      <w:pPr>
        <w:pStyle w:val="MDPI71References"/>
        <w:ind w:left="780" w:hanging="420"/>
        <w:jc w:val="left"/>
      </w:pPr>
      <w:r w:rsidRPr="008860B2">
        <w:t xml:space="preserve">Moynihan, P. Sugars and Dental Caries: Evidence for Setting a Recommended Threshold for Intake. </w:t>
      </w:r>
      <w:proofErr w:type="spellStart"/>
      <w:r w:rsidRPr="008860B2">
        <w:rPr>
          <w:i/>
          <w:iCs/>
        </w:rPr>
        <w:t>Adv</w:t>
      </w:r>
      <w:proofErr w:type="spellEnd"/>
      <w:r w:rsidRPr="008860B2">
        <w:rPr>
          <w:i/>
          <w:iCs/>
        </w:rPr>
        <w:t xml:space="preserve"> </w:t>
      </w:r>
      <w:proofErr w:type="spellStart"/>
      <w:r w:rsidRPr="008860B2">
        <w:rPr>
          <w:i/>
          <w:iCs/>
        </w:rPr>
        <w:t>Nutr</w:t>
      </w:r>
      <w:proofErr w:type="spellEnd"/>
      <w:r w:rsidRPr="008860B2">
        <w:rPr>
          <w:i/>
          <w:iCs/>
        </w:rPr>
        <w:t xml:space="preserve"> An </w:t>
      </w:r>
      <w:proofErr w:type="spellStart"/>
      <w:r w:rsidRPr="008860B2">
        <w:rPr>
          <w:i/>
          <w:iCs/>
        </w:rPr>
        <w:t>Int</w:t>
      </w:r>
      <w:proofErr w:type="spellEnd"/>
      <w:r w:rsidRPr="008860B2">
        <w:rPr>
          <w:i/>
          <w:iCs/>
        </w:rPr>
        <w:t xml:space="preserve"> Rev J</w:t>
      </w:r>
      <w:r w:rsidRPr="008860B2">
        <w:t xml:space="preserve"> </w:t>
      </w:r>
      <w:r w:rsidRPr="008860B2">
        <w:rPr>
          <w:b/>
          <w:bCs/>
        </w:rPr>
        <w:t>2016</w:t>
      </w:r>
      <w:r w:rsidRPr="008860B2">
        <w:t xml:space="preserve">, </w:t>
      </w:r>
      <w:r w:rsidRPr="008860B2">
        <w:rPr>
          <w:i/>
          <w:iCs/>
        </w:rPr>
        <w:t xml:space="preserve">7(1), </w:t>
      </w:r>
      <w:r w:rsidRPr="008860B2">
        <w:t>pp149–56.</w:t>
      </w:r>
    </w:p>
    <w:p w14:paraId="68332274" w14:textId="77777777" w:rsidR="0072004C" w:rsidRPr="008860B2" w:rsidRDefault="0072004C" w:rsidP="0072004C">
      <w:pPr>
        <w:pStyle w:val="MDPI71References"/>
        <w:ind w:left="780" w:hanging="420"/>
        <w:jc w:val="left"/>
      </w:pPr>
      <w:r w:rsidRPr="008860B2">
        <w:t xml:space="preserve">Malik, V.S.; Li, Y.; Pan, A.; De Koning, L.; </w:t>
      </w:r>
      <w:proofErr w:type="spellStart"/>
      <w:r w:rsidRPr="008860B2">
        <w:t>Schernhammer</w:t>
      </w:r>
      <w:proofErr w:type="spellEnd"/>
      <w:r w:rsidRPr="008860B2">
        <w:t xml:space="preserve">, E.; Willett, W.C.; et al. Long-Term Consumption of Sugar-Sweetened and Artificially Sweetened Beverages and Risk of Mortality in US Adults. </w:t>
      </w:r>
      <w:r w:rsidRPr="008860B2">
        <w:rPr>
          <w:i/>
          <w:iCs/>
        </w:rPr>
        <w:t>Circulation</w:t>
      </w:r>
      <w:r w:rsidRPr="008860B2">
        <w:t xml:space="preserve"> </w:t>
      </w:r>
      <w:r w:rsidRPr="008860B2">
        <w:rPr>
          <w:b/>
          <w:bCs/>
        </w:rPr>
        <w:t>2019,</w:t>
      </w:r>
      <w:r w:rsidRPr="008860B2">
        <w:t xml:space="preserve"> </w:t>
      </w:r>
      <w:r w:rsidRPr="008860B2">
        <w:rPr>
          <w:i/>
          <w:iCs/>
        </w:rPr>
        <w:t xml:space="preserve">139, </w:t>
      </w:r>
      <w:r w:rsidRPr="008860B2">
        <w:t>pp2113–2125.</w:t>
      </w:r>
    </w:p>
    <w:p w14:paraId="0CBDA3EB" w14:textId="77777777" w:rsidR="0072004C" w:rsidRPr="008860B2" w:rsidRDefault="0072004C" w:rsidP="0072004C">
      <w:pPr>
        <w:pStyle w:val="MDPI71References"/>
        <w:ind w:left="780" w:hanging="420"/>
        <w:jc w:val="left"/>
      </w:pPr>
      <w:proofErr w:type="spellStart"/>
      <w:r w:rsidRPr="008860B2">
        <w:t>Tedstone</w:t>
      </w:r>
      <w:proofErr w:type="spellEnd"/>
      <w:r w:rsidRPr="008860B2">
        <w:t xml:space="preserve">, A.; Anderson, S.; Allen, R.; Targett, V.; Allen, R. Sugar Reduction: The evidence for action. </w:t>
      </w:r>
      <w:r w:rsidRPr="008860B2">
        <w:rPr>
          <w:i/>
          <w:iCs/>
        </w:rPr>
        <w:t>Public Heal England</w:t>
      </w:r>
      <w:r w:rsidRPr="008860B2">
        <w:t xml:space="preserve"> </w:t>
      </w:r>
      <w:r w:rsidRPr="008860B2">
        <w:rPr>
          <w:b/>
          <w:bCs/>
        </w:rPr>
        <w:t>2015</w:t>
      </w:r>
    </w:p>
    <w:p w14:paraId="624637CD" w14:textId="77777777" w:rsidR="0072004C" w:rsidRPr="008860B2" w:rsidRDefault="0072004C" w:rsidP="0072004C">
      <w:pPr>
        <w:pStyle w:val="MDPI71References"/>
        <w:ind w:left="780" w:hanging="420"/>
        <w:jc w:val="left"/>
      </w:pPr>
      <w:r w:rsidRPr="008860B2">
        <w:t xml:space="preserve">Gupta, A.; </w:t>
      </w:r>
      <w:proofErr w:type="spellStart"/>
      <w:r w:rsidRPr="008860B2">
        <w:t>Smithers</w:t>
      </w:r>
      <w:proofErr w:type="spellEnd"/>
      <w:r w:rsidRPr="008860B2">
        <w:t xml:space="preserve">, L.G.; </w:t>
      </w:r>
      <w:proofErr w:type="spellStart"/>
      <w:r w:rsidRPr="008860B2">
        <w:t>Braunack</w:t>
      </w:r>
      <w:proofErr w:type="spellEnd"/>
      <w:r w:rsidRPr="008860B2">
        <w:t xml:space="preserve">-Mayer, A.; Harford, J. How much free sugar do Australians consume? Findings from a national survey. </w:t>
      </w:r>
      <w:r w:rsidRPr="008860B2">
        <w:rPr>
          <w:i/>
          <w:iCs/>
        </w:rPr>
        <w:t>Aust N Z J Public Health</w:t>
      </w:r>
      <w:r w:rsidRPr="008860B2">
        <w:t xml:space="preserve">. </w:t>
      </w:r>
      <w:r w:rsidRPr="008860B2">
        <w:rPr>
          <w:b/>
          <w:bCs/>
        </w:rPr>
        <w:t>2018</w:t>
      </w:r>
      <w:r w:rsidRPr="008860B2">
        <w:t xml:space="preserve">, </w:t>
      </w:r>
      <w:r w:rsidRPr="008860B2">
        <w:rPr>
          <w:i/>
          <w:iCs/>
        </w:rPr>
        <w:t xml:space="preserve">42(6), </w:t>
      </w:r>
      <w:r w:rsidRPr="008860B2">
        <w:t>pp533–40.</w:t>
      </w:r>
    </w:p>
    <w:p w14:paraId="3AD78D9D" w14:textId="77777777" w:rsidR="0072004C" w:rsidRPr="008860B2" w:rsidRDefault="0072004C" w:rsidP="0072004C">
      <w:pPr>
        <w:pStyle w:val="MDPI71References"/>
        <w:ind w:left="780" w:hanging="420"/>
        <w:jc w:val="left"/>
      </w:pPr>
      <w:r w:rsidRPr="008860B2">
        <w:t xml:space="preserve">U.S. Department of Health and Human Services and U.S. Department of Agriculture. 2015–2020 Dietary Guidelines for Americans. 8th Edition. Available online: </w:t>
      </w:r>
      <w:hyperlink r:id="rId16" w:history="1">
        <w:r w:rsidRPr="008860B2">
          <w:rPr>
            <w:rStyle w:val="Hyperlink"/>
          </w:rPr>
          <w:t>https://health.gov/dietaryguidelines/2015/guidelines/</w:t>
        </w:r>
      </w:hyperlink>
      <w:r w:rsidRPr="008860B2">
        <w:t xml:space="preserve"> (accessed on 10 July 2019)</w:t>
      </w:r>
    </w:p>
    <w:p w14:paraId="7A608737" w14:textId="77777777" w:rsidR="0072004C" w:rsidRPr="008860B2" w:rsidRDefault="0072004C" w:rsidP="0072004C">
      <w:pPr>
        <w:pStyle w:val="MDPI71References"/>
        <w:ind w:left="780" w:hanging="420"/>
        <w:jc w:val="left"/>
      </w:pPr>
      <w:r w:rsidRPr="008860B2">
        <w:t xml:space="preserve">Statistics Canada. Change in total sugars consumption among Canadian children and adults. </w:t>
      </w:r>
      <w:r w:rsidRPr="008860B2">
        <w:rPr>
          <w:i/>
          <w:iCs/>
        </w:rPr>
        <w:t>Health Reports.</w:t>
      </w:r>
      <w:r w:rsidRPr="008860B2">
        <w:t xml:space="preserve"> Available online: </w:t>
      </w:r>
      <w:hyperlink r:id="rId17" w:history="1">
        <w:r w:rsidRPr="008860B2">
          <w:rPr>
            <w:rStyle w:val="Hyperlink"/>
          </w:rPr>
          <w:t>https://www150.statcan.gc.ca/n1/en/catalogue/82-003-X201900100002</w:t>
        </w:r>
      </w:hyperlink>
      <w:r w:rsidRPr="008860B2">
        <w:t xml:space="preserve"> (accessed on 15 August 2019)</w:t>
      </w:r>
    </w:p>
    <w:p w14:paraId="6430383F" w14:textId="77777777" w:rsidR="0072004C" w:rsidRPr="008860B2" w:rsidRDefault="0072004C" w:rsidP="0072004C">
      <w:pPr>
        <w:pStyle w:val="MDPI71References"/>
        <w:ind w:left="780" w:hanging="420"/>
        <w:jc w:val="left"/>
      </w:pPr>
      <w:proofErr w:type="spellStart"/>
      <w:r w:rsidRPr="008860B2">
        <w:lastRenderedPageBreak/>
        <w:t>Aburto</w:t>
      </w:r>
      <w:proofErr w:type="spellEnd"/>
      <w:r w:rsidRPr="008860B2">
        <w:t xml:space="preserve">, T.C.; </w:t>
      </w:r>
      <w:proofErr w:type="spellStart"/>
      <w:r w:rsidRPr="008860B2">
        <w:t>Pedraza</w:t>
      </w:r>
      <w:proofErr w:type="spellEnd"/>
      <w:r w:rsidRPr="008860B2">
        <w:t>, L.S.; Sánchez-</w:t>
      </w:r>
      <w:proofErr w:type="spellStart"/>
      <w:r w:rsidRPr="008860B2">
        <w:t>Pimienta</w:t>
      </w:r>
      <w:proofErr w:type="spellEnd"/>
      <w:r w:rsidRPr="008860B2">
        <w:t xml:space="preserve">, T.G.; </w:t>
      </w:r>
      <w:proofErr w:type="spellStart"/>
      <w:r w:rsidRPr="008860B2">
        <w:t>Batis</w:t>
      </w:r>
      <w:proofErr w:type="spellEnd"/>
      <w:r w:rsidRPr="008860B2">
        <w:t xml:space="preserve">, C.; Rivera, J.A. Discretionary Foods Have a High Contribution and Fruit, Vegetables, and Legumes Have a Low Contribution to the Total Energy Intake of the Mexican Population. </w:t>
      </w:r>
      <w:r w:rsidRPr="008860B2">
        <w:rPr>
          <w:i/>
          <w:iCs/>
        </w:rPr>
        <w:t xml:space="preserve">J </w:t>
      </w:r>
      <w:proofErr w:type="spellStart"/>
      <w:r w:rsidRPr="008860B2">
        <w:rPr>
          <w:i/>
          <w:iCs/>
        </w:rPr>
        <w:t>Nutr</w:t>
      </w:r>
      <w:proofErr w:type="spellEnd"/>
      <w:r w:rsidRPr="008860B2">
        <w:rPr>
          <w:i/>
          <w:iCs/>
        </w:rPr>
        <w:t>.</w:t>
      </w:r>
      <w:r w:rsidRPr="008860B2">
        <w:t xml:space="preserve"> </w:t>
      </w:r>
      <w:r w:rsidRPr="008860B2">
        <w:rPr>
          <w:b/>
          <w:bCs/>
        </w:rPr>
        <w:t>2016</w:t>
      </w:r>
      <w:r w:rsidRPr="008860B2">
        <w:t xml:space="preserve">, </w:t>
      </w:r>
      <w:r w:rsidRPr="008860B2">
        <w:rPr>
          <w:i/>
          <w:iCs/>
        </w:rPr>
        <w:t xml:space="preserve">146(9), </w:t>
      </w:r>
      <w:r w:rsidRPr="008860B2">
        <w:t>pp1881S-1887S.</w:t>
      </w:r>
    </w:p>
    <w:p w14:paraId="28EABF0D" w14:textId="77777777" w:rsidR="0072004C" w:rsidRPr="008860B2" w:rsidRDefault="0072004C" w:rsidP="0072004C">
      <w:pPr>
        <w:pStyle w:val="MDPI71References"/>
        <w:ind w:left="780" w:hanging="420"/>
        <w:jc w:val="left"/>
      </w:pPr>
      <w:r w:rsidRPr="008860B2">
        <w:t xml:space="preserve">Imamura, F.; O’Connor, L.; Ye, Z.; </w:t>
      </w:r>
      <w:proofErr w:type="spellStart"/>
      <w:r w:rsidRPr="008860B2">
        <w:t>Mursu</w:t>
      </w:r>
      <w:proofErr w:type="spellEnd"/>
      <w:r w:rsidRPr="008860B2">
        <w:t xml:space="preserve">, J.; </w:t>
      </w:r>
      <w:proofErr w:type="spellStart"/>
      <w:r w:rsidRPr="008860B2">
        <w:t>Hayashino</w:t>
      </w:r>
      <w:proofErr w:type="spellEnd"/>
      <w:r w:rsidRPr="008860B2">
        <w:t xml:space="preserve">, Y.; </w:t>
      </w:r>
      <w:proofErr w:type="spellStart"/>
      <w:r w:rsidRPr="008860B2">
        <w:t>Bhupathiraju</w:t>
      </w:r>
      <w:proofErr w:type="spellEnd"/>
      <w:r w:rsidRPr="008860B2">
        <w:t xml:space="preserve">, S.N.; et al. Consumption of sugar sweetened beverages, artificially sweetened beverages, and fruit juice and incidence of type 2 diabetes: systematic review, meta-analysis, and estimation of population attributable fraction. </w:t>
      </w:r>
      <w:r w:rsidRPr="008860B2">
        <w:rPr>
          <w:i/>
          <w:iCs/>
        </w:rPr>
        <w:t>BMJ</w:t>
      </w:r>
      <w:r w:rsidRPr="008860B2">
        <w:t xml:space="preserve"> </w:t>
      </w:r>
      <w:r w:rsidRPr="008860B2">
        <w:rPr>
          <w:b/>
          <w:bCs/>
        </w:rPr>
        <w:t>2015</w:t>
      </w:r>
      <w:r w:rsidRPr="008860B2">
        <w:t>, h3576.</w:t>
      </w:r>
    </w:p>
    <w:p w14:paraId="50B01A5B" w14:textId="77777777" w:rsidR="0072004C" w:rsidRPr="008860B2" w:rsidRDefault="0072004C" w:rsidP="0072004C">
      <w:pPr>
        <w:pStyle w:val="MDPI71References"/>
        <w:ind w:left="780" w:hanging="420"/>
        <w:jc w:val="left"/>
      </w:pPr>
      <w:r w:rsidRPr="008860B2">
        <w:t xml:space="preserve">Xi, B.; Huang, Y.; Reilly, K.H.; Li, S.; Zheng, R.; Barrio-Lopez, M.T.; et al. Sugar-sweetened beverages and risk of hypertension and CVD: a dose–response meta-analysis. </w:t>
      </w:r>
      <w:r w:rsidRPr="008860B2">
        <w:rPr>
          <w:i/>
          <w:iCs/>
        </w:rPr>
        <w:t xml:space="preserve">Br J </w:t>
      </w:r>
      <w:proofErr w:type="spellStart"/>
      <w:r w:rsidRPr="008860B2">
        <w:rPr>
          <w:i/>
          <w:iCs/>
        </w:rPr>
        <w:t>Nutr</w:t>
      </w:r>
      <w:proofErr w:type="spellEnd"/>
      <w:r w:rsidRPr="008860B2">
        <w:t xml:space="preserve"> </w:t>
      </w:r>
      <w:r w:rsidRPr="008860B2">
        <w:rPr>
          <w:b/>
          <w:bCs/>
        </w:rPr>
        <w:t>2015</w:t>
      </w:r>
      <w:r w:rsidRPr="008860B2">
        <w:t xml:space="preserve">, </w:t>
      </w:r>
      <w:r w:rsidRPr="008860B2">
        <w:rPr>
          <w:i/>
          <w:iCs/>
        </w:rPr>
        <w:t xml:space="preserve">113(05), </w:t>
      </w:r>
      <w:r w:rsidRPr="008860B2">
        <w:t>pp709–17.</w:t>
      </w:r>
    </w:p>
    <w:p w14:paraId="0EEFFD96" w14:textId="77777777" w:rsidR="0072004C" w:rsidRPr="008860B2" w:rsidRDefault="0072004C" w:rsidP="0072004C">
      <w:pPr>
        <w:pStyle w:val="MDPI71References"/>
        <w:ind w:left="780" w:hanging="420"/>
        <w:jc w:val="left"/>
      </w:pPr>
      <w:r w:rsidRPr="008860B2">
        <w:t xml:space="preserve">Pomeranz, J.L. Advanced policy options to regulate sugar-related beverages to support public health. </w:t>
      </w:r>
      <w:r w:rsidRPr="008860B2">
        <w:rPr>
          <w:i/>
          <w:iCs/>
        </w:rPr>
        <w:t>J Public Health Policy</w:t>
      </w:r>
      <w:r w:rsidRPr="008860B2">
        <w:t xml:space="preserve">. </w:t>
      </w:r>
      <w:r w:rsidRPr="008860B2">
        <w:rPr>
          <w:b/>
          <w:bCs/>
        </w:rPr>
        <w:t>2012</w:t>
      </w:r>
      <w:r w:rsidRPr="008860B2">
        <w:t xml:space="preserve">, </w:t>
      </w:r>
      <w:r w:rsidRPr="008860B2">
        <w:rPr>
          <w:i/>
          <w:iCs/>
        </w:rPr>
        <w:t>33(1),</w:t>
      </w:r>
      <w:r w:rsidRPr="008860B2">
        <w:t xml:space="preserve"> pp75–88.</w:t>
      </w:r>
    </w:p>
    <w:p w14:paraId="27E025E1" w14:textId="77777777" w:rsidR="0072004C" w:rsidRPr="008860B2" w:rsidRDefault="0072004C" w:rsidP="0072004C">
      <w:pPr>
        <w:pStyle w:val="MDPI71References"/>
        <w:ind w:left="780" w:hanging="420"/>
        <w:jc w:val="left"/>
      </w:pPr>
      <w:r w:rsidRPr="008860B2">
        <w:t xml:space="preserve">Ells, L.J.; Roberts, K.; McGowan, V.J.; </w:t>
      </w:r>
      <w:proofErr w:type="spellStart"/>
      <w:r w:rsidRPr="008860B2">
        <w:t>Machaira</w:t>
      </w:r>
      <w:proofErr w:type="spellEnd"/>
      <w:r w:rsidRPr="008860B2">
        <w:t xml:space="preserve">, T. Sugar Reduction: The evidence for action. </w:t>
      </w:r>
      <w:proofErr w:type="spellStart"/>
      <w:r w:rsidRPr="008860B2">
        <w:t>Annexe</w:t>
      </w:r>
      <w:proofErr w:type="spellEnd"/>
      <w:r w:rsidRPr="008860B2">
        <w:t xml:space="preserve"> 3: A mixed method review of </w:t>
      </w:r>
      <w:proofErr w:type="spellStart"/>
      <w:r w:rsidRPr="008860B2">
        <w:t>behaviour</w:t>
      </w:r>
      <w:proofErr w:type="spellEnd"/>
      <w:r w:rsidRPr="008860B2">
        <w:t xml:space="preserve"> changes resulting from marketing strategies targeted at high sugar food and non-alcoholic drink. </w:t>
      </w:r>
      <w:r w:rsidRPr="008860B2">
        <w:rPr>
          <w:i/>
          <w:iCs/>
        </w:rPr>
        <w:t>Public Health England</w:t>
      </w:r>
      <w:r w:rsidRPr="008860B2">
        <w:t xml:space="preserve"> </w:t>
      </w:r>
      <w:r w:rsidRPr="008860B2">
        <w:rPr>
          <w:b/>
          <w:bCs/>
        </w:rPr>
        <w:t>2015.</w:t>
      </w:r>
    </w:p>
    <w:p w14:paraId="5D1A0007" w14:textId="77777777" w:rsidR="0072004C" w:rsidRPr="008860B2" w:rsidRDefault="0072004C" w:rsidP="0072004C">
      <w:pPr>
        <w:pStyle w:val="MDPI71References"/>
        <w:ind w:left="780" w:hanging="420"/>
        <w:jc w:val="left"/>
      </w:pPr>
      <w:r w:rsidRPr="008860B2">
        <w:t xml:space="preserve">Hastings, G.; Stead, M.; McDermott, L.; Forsyth, A.; Mackintosh, A.M.; Rayner, M.; et al. Review of research on the effects of food promotion to children – final report. Prepared for the Food Standards Agency: Glasgow; </w:t>
      </w:r>
      <w:r w:rsidRPr="008860B2">
        <w:rPr>
          <w:b/>
          <w:bCs/>
        </w:rPr>
        <w:t>2003</w:t>
      </w:r>
      <w:r w:rsidRPr="008860B2">
        <w:t>.</w:t>
      </w:r>
    </w:p>
    <w:p w14:paraId="497FFDD6" w14:textId="77777777" w:rsidR="0072004C" w:rsidRPr="008860B2" w:rsidRDefault="0072004C" w:rsidP="0072004C">
      <w:pPr>
        <w:pStyle w:val="MDPI71References"/>
        <w:ind w:left="780" w:hanging="420"/>
        <w:jc w:val="left"/>
      </w:pPr>
      <w:r w:rsidRPr="008860B2">
        <w:t xml:space="preserve">Kotler, P.; Armstrong, G.; Saunders, J.; Wong, V. </w:t>
      </w:r>
      <w:r w:rsidRPr="008860B2">
        <w:rPr>
          <w:i/>
          <w:iCs/>
        </w:rPr>
        <w:t>Principles of Marketing</w:t>
      </w:r>
      <w:r w:rsidRPr="008860B2">
        <w:t xml:space="preserve">. London: Prentice Hall; </w:t>
      </w:r>
      <w:r w:rsidRPr="008860B2">
        <w:rPr>
          <w:i/>
          <w:iCs/>
        </w:rPr>
        <w:t>1996</w:t>
      </w:r>
      <w:r w:rsidRPr="008860B2">
        <w:t>.</w:t>
      </w:r>
    </w:p>
    <w:p w14:paraId="4E39C6CB" w14:textId="77777777" w:rsidR="0072004C" w:rsidRPr="008860B2" w:rsidRDefault="0072004C" w:rsidP="0072004C">
      <w:pPr>
        <w:pStyle w:val="MDPI71References"/>
        <w:ind w:left="780" w:hanging="420"/>
        <w:jc w:val="left"/>
      </w:pPr>
      <w:r w:rsidRPr="008860B2">
        <w:tab/>
        <w:t xml:space="preserve">Kotler, P. </w:t>
      </w:r>
      <w:r w:rsidRPr="008860B2">
        <w:rPr>
          <w:i/>
          <w:iCs/>
        </w:rPr>
        <w:t>Marketing Management</w:t>
      </w:r>
      <w:r w:rsidRPr="008860B2">
        <w:t xml:space="preserve">. Custom Edition. London: Prentice Hall; </w:t>
      </w:r>
      <w:r w:rsidRPr="008860B2">
        <w:rPr>
          <w:i/>
          <w:iCs/>
        </w:rPr>
        <w:t>2000</w:t>
      </w:r>
      <w:r w:rsidRPr="008860B2">
        <w:t>.</w:t>
      </w:r>
    </w:p>
    <w:p w14:paraId="198C4199" w14:textId="77777777" w:rsidR="0072004C" w:rsidRPr="008860B2" w:rsidRDefault="0072004C" w:rsidP="0072004C">
      <w:pPr>
        <w:pStyle w:val="MDPI71References"/>
        <w:ind w:left="780" w:hanging="420"/>
        <w:jc w:val="left"/>
      </w:pPr>
      <w:r w:rsidRPr="008860B2">
        <w:t xml:space="preserve">Statista. Coca-Cola Company’s advertising expense from 2014 to 2017 (in billion U.S. dollars). Available online: </w:t>
      </w:r>
      <w:hyperlink r:id="rId18" w:history="1">
        <w:r w:rsidRPr="008860B2">
          <w:rPr>
            <w:rStyle w:val="Hyperlink"/>
          </w:rPr>
          <w:t>https://www.statista.com/statistics/286526/coca-cola-advertising-spending-worldwide/</w:t>
        </w:r>
      </w:hyperlink>
      <w:r w:rsidRPr="008860B2">
        <w:t xml:space="preserve"> (accessed on 9 January 2019).</w:t>
      </w:r>
    </w:p>
    <w:p w14:paraId="34BD5AFB" w14:textId="77777777" w:rsidR="0072004C" w:rsidRPr="008860B2" w:rsidRDefault="0072004C" w:rsidP="0072004C">
      <w:pPr>
        <w:pStyle w:val="MDPI71References"/>
        <w:ind w:left="780" w:hanging="420"/>
        <w:jc w:val="left"/>
      </w:pPr>
      <w:r w:rsidRPr="008860B2">
        <w:tab/>
      </w:r>
      <w:proofErr w:type="spellStart"/>
      <w:r w:rsidRPr="008860B2">
        <w:t>Boyland</w:t>
      </w:r>
      <w:proofErr w:type="spellEnd"/>
      <w:r w:rsidRPr="008860B2">
        <w:t xml:space="preserve">, E.J.; Nolan, S.; Kelly, B.; </w:t>
      </w:r>
      <w:proofErr w:type="spellStart"/>
      <w:r w:rsidRPr="008860B2">
        <w:t>Tudur</w:t>
      </w:r>
      <w:proofErr w:type="spellEnd"/>
      <w:r w:rsidRPr="008860B2">
        <w:t xml:space="preserve">-Smith, C.; Jones, A.; Halford, J.C.G.; et al. Advertising as a cue to consume: A systematic review and meta-analysis of the effects of acute exposure to unhealthy food and nonalcoholic beverage advertising on intake in children and adults. </w:t>
      </w:r>
      <w:r w:rsidRPr="008860B2">
        <w:rPr>
          <w:i/>
          <w:iCs/>
        </w:rPr>
        <w:t xml:space="preserve">Am J </w:t>
      </w:r>
      <w:proofErr w:type="spellStart"/>
      <w:r w:rsidRPr="008860B2">
        <w:rPr>
          <w:i/>
          <w:iCs/>
        </w:rPr>
        <w:t>Clin</w:t>
      </w:r>
      <w:proofErr w:type="spellEnd"/>
      <w:r w:rsidRPr="008860B2">
        <w:rPr>
          <w:i/>
          <w:iCs/>
        </w:rPr>
        <w:t xml:space="preserve"> </w:t>
      </w:r>
      <w:proofErr w:type="spellStart"/>
      <w:r w:rsidRPr="008860B2">
        <w:rPr>
          <w:i/>
          <w:iCs/>
        </w:rPr>
        <w:t>Nutr</w:t>
      </w:r>
      <w:proofErr w:type="spellEnd"/>
      <w:r w:rsidRPr="008860B2">
        <w:rPr>
          <w:i/>
          <w:iCs/>
        </w:rPr>
        <w:t>.</w:t>
      </w:r>
      <w:r w:rsidRPr="008860B2">
        <w:t xml:space="preserve"> </w:t>
      </w:r>
      <w:r w:rsidRPr="008860B2">
        <w:rPr>
          <w:b/>
          <w:bCs/>
        </w:rPr>
        <w:t>2016,</w:t>
      </w:r>
      <w:r w:rsidRPr="008860B2">
        <w:t xml:space="preserve"> </w:t>
      </w:r>
      <w:r w:rsidRPr="008860B2">
        <w:rPr>
          <w:i/>
          <w:iCs/>
        </w:rPr>
        <w:t xml:space="preserve">103(2), </w:t>
      </w:r>
      <w:r w:rsidRPr="008860B2">
        <w:t>pp519–33.</w:t>
      </w:r>
    </w:p>
    <w:p w14:paraId="5F582533" w14:textId="77777777" w:rsidR="0072004C" w:rsidRPr="008860B2" w:rsidRDefault="0072004C" w:rsidP="0072004C">
      <w:pPr>
        <w:pStyle w:val="MDPI71References"/>
        <w:ind w:left="780" w:hanging="420"/>
        <w:jc w:val="left"/>
      </w:pPr>
      <w:r w:rsidRPr="008860B2">
        <w:tab/>
        <w:t xml:space="preserve">Cairns, G.; Angus, K.; Hastings, G.; </w:t>
      </w:r>
      <w:proofErr w:type="spellStart"/>
      <w:r w:rsidRPr="008860B2">
        <w:t>Caraher</w:t>
      </w:r>
      <w:proofErr w:type="spellEnd"/>
      <w:r w:rsidRPr="008860B2">
        <w:t xml:space="preserve">, M. Systematic reviews of the evidence on the nature, extent and effects of food marketing to children. A retrospective summary. </w:t>
      </w:r>
      <w:r w:rsidRPr="008860B2">
        <w:rPr>
          <w:i/>
          <w:iCs/>
        </w:rPr>
        <w:t>Appetite</w:t>
      </w:r>
      <w:r w:rsidRPr="008860B2">
        <w:t xml:space="preserve">. </w:t>
      </w:r>
      <w:r w:rsidRPr="008860B2">
        <w:rPr>
          <w:b/>
          <w:bCs/>
        </w:rPr>
        <w:t>2013</w:t>
      </w:r>
      <w:r w:rsidRPr="008860B2">
        <w:t xml:space="preserve">, </w:t>
      </w:r>
      <w:r w:rsidRPr="008860B2">
        <w:rPr>
          <w:i/>
          <w:iCs/>
        </w:rPr>
        <w:t xml:space="preserve">62, </w:t>
      </w:r>
      <w:r w:rsidRPr="008860B2">
        <w:t>pp209-215.</w:t>
      </w:r>
    </w:p>
    <w:p w14:paraId="53980372" w14:textId="77777777" w:rsidR="0072004C" w:rsidRPr="008860B2" w:rsidRDefault="0072004C" w:rsidP="0072004C">
      <w:pPr>
        <w:pStyle w:val="MDPI71References"/>
        <w:ind w:left="780" w:hanging="420"/>
        <w:jc w:val="left"/>
      </w:pPr>
      <w:r w:rsidRPr="008860B2">
        <w:t xml:space="preserve">World Health Organization. Set of recommendations on the marketing of foods and non-alcoholic beverages to children. </w:t>
      </w:r>
      <w:r w:rsidRPr="008860B2">
        <w:rPr>
          <w:b/>
          <w:bCs/>
        </w:rPr>
        <w:t>2010</w:t>
      </w:r>
      <w:r w:rsidRPr="008860B2">
        <w:t>.</w:t>
      </w:r>
    </w:p>
    <w:p w14:paraId="09C9182A" w14:textId="77777777" w:rsidR="0072004C" w:rsidRPr="008860B2" w:rsidRDefault="0072004C" w:rsidP="0072004C">
      <w:pPr>
        <w:pStyle w:val="MDPI71References"/>
        <w:ind w:left="780" w:hanging="420"/>
        <w:jc w:val="left"/>
      </w:pPr>
      <w:r w:rsidRPr="008860B2">
        <w:t xml:space="preserve">Norman, J.; Kelly, B.; </w:t>
      </w:r>
      <w:proofErr w:type="spellStart"/>
      <w:r w:rsidRPr="008860B2">
        <w:t>Boyland</w:t>
      </w:r>
      <w:proofErr w:type="spellEnd"/>
      <w:r w:rsidRPr="008860B2">
        <w:t xml:space="preserve">, E.; McMahon, Anne-T. The Impact of Marketing and Advertising on Food </w:t>
      </w:r>
      <w:proofErr w:type="spellStart"/>
      <w:r w:rsidRPr="008860B2">
        <w:t>Behaviours</w:t>
      </w:r>
      <w:proofErr w:type="spellEnd"/>
      <w:r w:rsidRPr="008860B2">
        <w:t xml:space="preserve">: Evaluating the Evidence for a Causal Relationship. </w:t>
      </w:r>
      <w:proofErr w:type="spellStart"/>
      <w:r w:rsidRPr="008860B2">
        <w:rPr>
          <w:i/>
        </w:rPr>
        <w:t>Curr</w:t>
      </w:r>
      <w:proofErr w:type="spellEnd"/>
      <w:r w:rsidRPr="008860B2">
        <w:rPr>
          <w:i/>
        </w:rPr>
        <w:t xml:space="preserve"> </w:t>
      </w:r>
      <w:proofErr w:type="spellStart"/>
      <w:r w:rsidRPr="008860B2">
        <w:rPr>
          <w:i/>
        </w:rPr>
        <w:t>Nutr</w:t>
      </w:r>
      <w:proofErr w:type="spellEnd"/>
      <w:r w:rsidRPr="008860B2">
        <w:rPr>
          <w:i/>
        </w:rPr>
        <w:t xml:space="preserve"> Rep. </w:t>
      </w:r>
      <w:r w:rsidRPr="008860B2">
        <w:rPr>
          <w:b/>
        </w:rPr>
        <w:t>2016,</w:t>
      </w:r>
      <w:r w:rsidRPr="008860B2">
        <w:t xml:space="preserve"> </w:t>
      </w:r>
      <w:r w:rsidRPr="008860B2">
        <w:rPr>
          <w:i/>
        </w:rPr>
        <w:t>5,</w:t>
      </w:r>
      <w:r w:rsidRPr="008860B2">
        <w:t>pp139-149</w:t>
      </w:r>
    </w:p>
    <w:p w14:paraId="02B0BE61" w14:textId="77777777" w:rsidR="0072004C" w:rsidRPr="008860B2" w:rsidRDefault="0072004C" w:rsidP="0072004C">
      <w:pPr>
        <w:pStyle w:val="MDPI71References"/>
        <w:ind w:left="780" w:hanging="420"/>
        <w:jc w:val="left"/>
      </w:pPr>
      <w:r w:rsidRPr="008860B2">
        <w:t xml:space="preserve">Harris, J.L.; Schwartz, M.B.; </w:t>
      </w:r>
      <w:proofErr w:type="spellStart"/>
      <w:r w:rsidRPr="008860B2">
        <w:t>LoDolce</w:t>
      </w:r>
      <w:proofErr w:type="spellEnd"/>
      <w:r w:rsidRPr="008860B2">
        <w:t>, M.; Munsell, C.; Fleming-</w:t>
      </w:r>
      <w:proofErr w:type="spellStart"/>
      <w:r w:rsidRPr="008860B2">
        <w:t>Milici</w:t>
      </w:r>
      <w:proofErr w:type="spellEnd"/>
      <w:r w:rsidRPr="008860B2">
        <w:t xml:space="preserve">, F.; Elsey, J.; et al. Sugary Drink FACTS 2014: Sugary drink marketing to youth: Some progress but much room for improvement in marketing to youth. Yale Rudd Center for Food Policy &amp; Obesity. </w:t>
      </w:r>
      <w:r w:rsidRPr="008860B2">
        <w:rPr>
          <w:b/>
          <w:bCs/>
        </w:rPr>
        <w:t>2014</w:t>
      </w:r>
      <w:r w:rsidRPr="008860B2">
        <w:t>.</w:t>
      </w:r>
    </w:p>
    <w:p w14:paraId="51844EC7" w14:textId="77777777" w:rsidR="0072004C" w:rsidRPr="008860B2" w:rsidRDefault="0072004C" w:rsidP="0072004C">
      <w:pPr>
        <w:pStyle w:val="MDPI71References"/>
        <w:ind w:left="780" w:hanging="420"/>
        <w:jc w:val="left"/>
      </w:pPr>
      <w:r w:rsidRPr="008860B2">
        <w:tab/>
        <w:t xml:space="preserve">Kelly, B.; Vandevijvere, S.; Ng, S.H.; Adams, J.; </w:t>
      </w:r>
      <w:proofErr w:type="spellStart"/>
      <w:r w:rsidRPr="008860B2">
        <w:t>Allemandi</w:t>
      </w:r>
      <w:proofErr w:type="spellEnd"/>
      <w:r w:rsidRPr="008860B2">
        <w:t xml:space="preserve">, L.; </w:t>
      </w:r>
      <w:proofErr w:type="spellStart"/>
      <w:r w:rsidRPr="008860B2">
        <w:t>Bahena-Espina</w:t>
      </w:r>
      <w:proofErr w:type="spellEnd"/>
      <w:r w:rsidRPr="008860B2">
        <w:t xml:space="preserve">, L.; et al. Global benchmarking of children’s exposure to television advertising of unhealthy foods and beverages across 22 countries. </w:t>
      </w:r>
      <w:proofErr w:type="spellStart"/>
      <w:r w:rsidRPr="008860B2">
        <w:rPr>
          <w:i/>
          <w:iCs/>
        </w:rPr>
        <w:t>Obes</w:t>
      </w:r>
      <w:proofErr w:type="spellEnd"/>
      <w:r w:rsidRPr="008860B2">
        <w:rPr>
          <w:i/>
          <w:iCs/>
        </w:rPr>
        <w:t xml:space="preserve"> Rev.</w:t>
      </w:r>
      <w:r w:rsidRPr="008860B2">
        <w:t xml:space="preserve"> </w:t>
      </w:r>
      <w:r w:rsidRPr="008860B2">
        <w:rPr>
          <w:b/>
          <w:bCs/>
        </w:rPr>
        <w:t>2019</w:t>
      </w:r>
    </w:p>
    <w:p w14:paraId="5BCF0355" w14:textId="77777777" w:rsidR="0072004C" w:rsidRPr="008860B2" w:rsidRDefault="0072004C" w:rsidP="0072004C">
      <w:pPr>
        <w:pStyle w:val="MDPI71References"/>
        <w:ind w:left="780" w:hanging="420"/>
        <w:jc w:val="left"/>
      </w:pPr>
      <w:proofErr w:type="spellStart"/>
      <w:r w:rsidRPr="008860B2">
        <w:t>Czoli</w:t>
      </w:r>
      <w:proofErr w:type="spellEnd"/>
      <w:r w:rsidRPr="008860B2">
        <w:t xml:space="preserve">, C.; </w:t>
      </w:r>
      <w:proofErr w:type="spellStart"/>
      <w:r w:rsidRPr="008860B2">
        <w:t>Pauze</w:t>
      </w:r>
      <w:proofErr w:type="spellEnd"/>
      <w:r w:rsidRPr="008860B2">
        <w:t xml:space="preserve">, E.; Kent, M.; White, C.; Vanderlee, L.; Hammond, D. A comparison of fast food and sugary drinks marketing among adults across five countries: findings from the International Food Policy Study. </w:t>
      </w:r>
      <w:r w:rsidRPr="008860B2">
        <w:rPr>
          <w:i/>
          <w:iCs/>
        </w:rPr>
        <w:t>Under Rev.</w:t>
      </w:r>
    </w:p>
    <w:p w14:paraId="2FBFB8F5" w14:textId="77777777" w:rsidR="0072004C" w:rsidRPr="008860B2" w:rsidRDefault="0072004C" w:rsidP="0072004C">
      <w:pPr>
        <w:pStyle w:val="MDPI71References"/>
        <w:ind w:left="780" w:hanging="420"/>
        <w:jc w:val="left"/>
      </w:pPr>
      <w:r w:rsidRPr="008860B2">
        <w:t xml:space="preserve">HM Government. Introducing further advertising restrictions on TV and online for products high in fat, sugar and salt (HFSS). </w:t>
      </w:r>
      <w:r w:rsidRPr="008860B2">
        <w:rPr>
          <w:b/>
          <w:bCs/>
        </w:rPr>
        <w:t>2019</w:t>
      </w:r>
      <w:r w:rsidRPr="008860B2">
        <w:t xml:space="preserve">; March. Available online: </w:t>
      </w:r>
      <w:hyperlink r:id="rId19" w:history="1">
        <w:r w:rsidRPr="008860B2">
          <w:rPr>
            <w:rStyle w:val="Hyperlink"/>
          </w:rPr>
          <w:t>https://assets.publishing.service.gov.uk/government/uploads/system/uploads/attachment_data/file/795412/hfss-advertising-consultation-10-april-2019.pdf</w:t>
        </w:r>
      </w:hyperlink>
      <w:r w:rsidRPr="008860B2">
        <w:t xml:space="preserve"> (accessed on 9 April 2019).</w:t>
      </w:r>
    </w:p>
    <w:p w14:paraId="69276A1D" w14:textId="77777777" w:rsidR="0072004C" w:rsidRPr="008860B2" w:rsidRDefault="0072004C" w:rsidP="0072004C">
      <w:pPr>
        <w:pStyle w:val="MDPI71References"/>
        <w:ind w:left="780" w:hanging="420"/>
        <w:jc w:val="left"/>
      </w:pPr>
      <w:r w:rsidRPr="008860B2">
        <w:t xml:space="preserve">White, M.; Scarborough, P.; Briggs, A.; Rutter, H.; Adams, J.; Mytton, O.; et al. Evaluation of the health impacts of the UK Treasury Soft Drinks Industry Levy (SDIL). </w:t>
      </w:r>
      <w:r w:rsidRPr="008860B2">
        <w:rPr>
          <w:b/>
          <w:bCs/>
        </w:rPr>
        <w:t>2017</w:t>
      </w:r>
      <w:r w:rsidRPr="008860B2">
        <w:t xml:space="preserve">. Available online: </w:t>
      </w:r>
      <w:hyperlink r:id="rId20" w:history="1">
        <w:r w:rsidRPr="008860B2">
          <w:rPr>
            <w:rStyle w:val="Hyperlink"/>
          </w:rPr>
          <w:t>https://njl-admin.nihr.ac.uk/document/download/2010886</w:t>
        </w:r>
      </w:hyperlink>
      <w:r w:rsidRPr="008860B2">
        <w:t xml:space="preserve"> (accessed on 10 April 2018).</w:t>
      </w:r>
    </w:p>
    <w:p w14:paraId="281ED5F2" w14:textId="77777777" w:rsidR="0072004C" w:rsidRPr="008860B2" w:rsidRDefault="0072004C" w:rsidP="0072004C">
      <w:pPr>
        <w:pStyle w:val="MDPI71References"/>
        <w:ind w:left="780" w:hanging="420"/>
        <w:jc w:val="left"/>
      </w:pPr>
      <w:r w:rsidRPr="008860B2">
        <w:t xml:space="preserve">Hammond, D.; White, C.; Reid, J. Canada Food Study: Technical Report – Wave 2 (2017). </w:t>
      </w:r>
      <w:r w:rsidRPr="008860B2">
        <w:rPr>
          <w:b/>
          <w:bCs/>
        </w:rPr>
        <w:t>2019</w:t>
      </w:r>
      <w:r w:rsidRPr="008860B2">
        <w:t xml:space="preserve"> Available online: </w:t>
      </w:r>
      <w:hyperlink r:id="rId21" w:history="1">
        <w:r w:rsidRPr="008860B2">
          <w:rPr>
            <w:rStyle w:val="Hyperlink"/>
          </w:rPr>
          <w:t>http://www.canadafoodstudy.ca/studydocs</w:t>
        </w:r>
      </w:hyperlink>
      <w:r w:rsidRPr="008860B2">
        <w:t xml:space="preserve"> (accessed on 26 June 2019).</w:t>
      </w:r>
    </w:p>
    <w:p w14:paraId="42025E9C" w14:textId="77777777" w:rsidR="0072004C" w:rsidRPr="008860B2" w:rsidRDefault="0072004C" w:rsidP="0072004C">
      <w:pPr>
        <w:pStyle w:val="MDPI71References"/>
        <w:ind w:left="780" w:hanging="420"/>
        <w:jc w:val="left"/>
      </w:pPr>
      <w:r w:rsidRPr="008860B2">
        <w:t xml:space="preserve">Hammond, D.; White, C.; </w:t>
      </w:r>
      <w:proofErr w:type="spellStart"/>
      <w:r w:rsidRPr="008860B2">
        <w:t>Mahamad</w:t>
      </w:r>
      <w:proofErr w:type="spellEnd"/>
      <w:r w:rsidRPr="008860B2">
        <w:t xml:space="preserve">, S. International Food Policy Study: Technical Report - Wave 1 (2017) </w:t>
      </w:r>
      <w:r w:rsidRPr="008860B2">
        <w:rPr>
          <w:b/>
          <w:bCs/>
        </w:rPr>
        <w:t xml:space="preserve">2019 </w:t>
      </w:r>
      <w:r w:rsidRPr="008860B2">
        <w:t xml:space="preserve">Available online: </w:t>
      </w:r>
      <w:hyperlink r:id="rId22" w:history="1">
        <w:r w:rsidRPr="008860B2">
          <w:rPr>
            <w:rStyle w:val="Hyperlink"/>
          </w:rPr>
          <w:t>http://foodpolicystudy.com/methods/</w:t>
        </w:r>
      </w:hyperlink>
      <w:r w:rsidRPr="008860B2">
        <w:t xml:space="preserve"> (accessed 26 June 2019).</w:t>
      </w:r>
    </w:p>
    <w:p w14:paraId="6FF45B43" w14:textId="77777777" w:rsidR="0072004C" w:rsidRPr="008860B2" w:rsidRDefault="0072004C" w:rsidP="0072004C">
      <w:pPr>
        <w:pStyle w:val="MDPI71References"/>
        <w:ind w:left="780" w:hanging="420"/>
        <w:jc w:val="left"/>
      </w:pPr>
      <w:r w:rsidRPr="008860B2">
        <w:lastRenderedPageBreak/>
        <w:t xml:space="preserve">Vanderlee, L.; Reid, J.L.; White, C.; </w:t>
      </w:r>
      <w:proofErr w:type="spellStart"/>
      <w:r w:rsidRPr="008860B2">
        <w:t>Hobin</w:t>
      </w:r>
      <w:proofErr w:type="spellEnd"/>
      <w:r w:rsidRPr="008860B2">
        <w:t xml:space="preserve">, E.P.; Acton, R.B.; Jones, A.C.; et al. Evaluation of the online Beverage Frequency Questionnaire (BFQ). </w:t>
      </w:r>
      <w:proofErr w:type="spellStart"/>
      <w:r w:rsidRPr="008860B2">
        <w:rPr>
          <w:i/>
          <w:iCs/>
        </w:rPr>
        <w:t>Nutr</w:t>
      </w:r>
      <w:proofErr w:type="spellEnd"/>
      <w:r w:rsidRPr="008860B2">
        <w:rPr>
          <w:i/>
          <w:iCs/>
        </w:rPr>
        <w:t xml:space="preserve"> J</w:t>
      </w:r>
      <w:r w:rsidRPr="008860B2">
        <w:t xml:space="preserve"> </w:t>
      </w:r>
      <w:r w:rsidRPr="008860B2">
        <w:rPr>
          <w:b/>
          <w:bCs/>
        </w:rPr>
        <w:t>2018</w:t>
      </w:r>
      <w:r w:rsidRPr="008860B2">
        <w:t xml:space="preserve">, </w:t>
      </w:r>
      <w:r w:rsidRPr="008860B2">
        <w:rPr>
          <w:i/>
          <w:iCs/>
        </w:rPr>
        <w:t>17(1),</w:t>
      </w:r>
      <w:r w:rsidRPr="008860B2">
        <w:t xml:space="preserve"> pp1–10.</w:t>
      </w:r>
    </w:p>
    <w:p w14:paraId="0C5E1C51" w14:textId="77777777" w:rsidR="0072004C" w:rsidRPr="008860B2" w:rsidRDefault="0072004C" w:rsidP="0072004C">
      <w:pPr>
        <w:pStyle w:val="MDPI71References"/>
        <w:ind w:left="780" w:hanging="420"/>
        <w:jc w:val="left"/>
      </w:pPr>
      <w:r w:rsidRPr="008860B2">
        <w:t xml:space="preserve">Bates, B.; Collins, D.; Cox, L.; Nicholson, S.; Page, P.; Roberts, C.; et al. National Diet and Nutrition Survey, Years 1 to 9 of the Rolling </w:t>
      </w:r>
      <w:proofErr w:type="spellStart"/>
      <w:r w:rsidRPr="008860B2">
        <w:t>Programme</w:t>
      </w:r>
      <w:proofErr w:type="spellEnd"/>
      <w:r w:rsidRPr="008860B2">
        <w:t xml:space="preserve"> (2008/2009 – 2016/2017): Time trend and income analyses. London; </w:t>
      </w:r>
      <w:r w:rsidRPr="008860B2">
        <w:rPr>
          <w:b/>
          <w:bCs/>
        </w:rPr>
        <w:t>2019</w:t>
      </w:r>
      <w:r w:rsidRPr="008860B2">
        <w:t>.</w:t>
      </w:r>
    </w:p>
    <w:p w14:paraId="11711663" w14:textId="77777777" w:rsidR="0072004C" w:rsidRPr="008860B2" w:rsidRDefault="0072004C" w:rsidP="0072004C">
      <w:pPr>
        <w:pStyle w:val="MDPI71References"/>
        <w:ind w:left="780" w:hanging="420"/>
        <w:jc w:val="left"/>
      </w:pPr>
      <w:r w:rsidRPr="008860B2">
        <w:t xml:space="preserve">Han, E.; Powell, L.M. Consumption Patterns of Sugar-Sweetened Beverages in the United States. </w:t>
      </w:r>
      <w:r w:rsidRPr="008860B2">
        <w:rPr>
          <w:i/>
          <w:iCs/>
        </w:rPr>
        <w:t xml:space="preserve">J </w:t>
      </w:r>
      <w:proofErr w:type="spellStart"/>
      <w:r w:rsidRPr="008860B2">
        <w:rPr>
          <w:i/>
          <w:iCs/>
        </w:rPr>
        <w:t>Acad</w:t>
      </w:r>
      <w:proofErr w:type="spellEnd"/>
      <w:r w:rsidRPr="008860B2">
        <w:rPr>
          <w:i/>
          <w:iCs/>
        </w:rPr>
        <w:t xml:space="preserve"> </w:t>
      </w:r>
      <w:proofErr w:type="spellStart"/>
      <w:r w:rsidRPr="008860B2">
        <w:rPr>
          <w:i/>
          <w:iCs/>
        </w:rPr>
        <w:t>Nutr</w:t>
      </w:r>
      <w:proofErr w:type="spellEnd"/>
      <w:r w:rsidRPr="008860B2">
        <w:rPr>
          <w:i/>
          <w:iCs/>
        </w:rPr>
        <w:t xml:space="preserve"> Diet</w:t>
      </w:r>
      <w:r w:rsidRPr="008860B2">
        <w:t xml:space="preserve">. </w:t>
      </w:r>
      <w:r w:rsidRPr="008860B2">
        <w:rPr>
          <w:b/>
          <w:bCs/>
        </w:rPr>
        <w:t>2013</w:t>
      </w:r>
      <w:r w:rsidRPr="008860B2">
        <w:t xml:space="preserve">, </w:t>
      </w:r>
      <w:r w:rsidRPr="008860B2">
        <w:rPr>
          <w:i/>
          <w:iCs/>
        </w:rPr>
        <w:t xml:space="preserve">113(1), </w:t>
      </w:r>
      <w:r w:rsidRPr="008860B2">
        <w:t>pp43–53.</w:t>
      </w:r>
    </w:p>
    <w:p w14:paraId="3A7487F7" w14:textId="77777777" w:rsidR="0072004C" w:rsidRPr="008860B2" w:rsidRDefault="0072004C" w:rsidP="0072004C">
      <w:pPr>
        <w:pStyle w:val="MDPI71References"/>
        <w:ind w:left="780" w:hanging="420"/>
        <w:jc w:val="left"/>
      </w:pPr>
      <w:r w:rsidRPr="008860B2">
        <w:t xml:space="preserve">Knox, E.C.L.; Musson, H.; Adams, E.J. Knowledge of physical activity recommendations in adults employed in England: associations with individual and workplace-related predictors. </w:t>
      </w:r>
      <w:r w:rsidRPr="008860B2">
        <w:rPr>
          <w:b/>
        </w:rPr>
        <w:t xml:space="preserve">2015, </w:t>
      </w:r>
      <w:r w:rsidRPr="008860B2">
        <w:rPr>
          <w:i/>
        </w:rPr>
        <w:t>12</w:t>
      </w:r>
      <w:r w:rsidRPr="008860B2">
        <w:t>(69)</w:t>
      </w:r>
    </w:p>
    <w:p w14:paraId="2390EAD2" w14:textId="77777777" w:rsidR="0072004C" w:rsidRPr="008860B2" w:rsidRDefault="0072004C" w:rsidP="0072004C">
      <w:pPr>
        <w:pStyle w:val="MDPI71References"/>
        <w:ind w:left="780" w:hanging="420"/>
        <w:jc w:val="left"/>
      </w:pPr>
      <w:r w:rsidRPr="008860B2">
        <w:t xml:space="preserve">Pell, D.; Penney, T.; Hammond, D.; Vanderlee, L.; White, M.; Adams, J. Support for, and perceived effectiveness of, the UK soft drinks industry levy among UK adults: Cross-sectional analysis of the International Food Policy Study. </w:t>
      </w:r>
      <w:r w:rsidRPr="008860B2">
        <w:rPr>
          <w:i/>
          <w:iCs/>
        </w:rPr>
        <w:t>BMJ Open</w:t>
      </w:r>
      <w:r w:rsidRPr="008860B2">
        <w:t xml:space="preserve">. </w:t>
      </w:r>
      <w:r w:rsidRPr="008860B2">
        <w:rPr>
          <w:b/>
          <w:bCs/>
        </w:rPr>
        <w:t>2019,</w:t>
      </w:r>
      <w:r w:rsidRPr="008860B2">
        <w:t xml:space="preserve"> </w:t>
      </w:r>
      <w:r w:rsidRPr="008860B2">
        <w:rPr>
          <w:i/>
          <w:iCs/>
        </w:rPr>
        <w:t>9(3).</w:t>
      </w:r>
    </w:p>
    <w:p w14:paraId="098D36D6" w14:textId="77777777" w:rsidR="0072004C" w:rsidRPr="008860B2" w:rsidRDefault="0072004C" w:rsidP="0072004C">
      <w:pPr>
        <w:pStyle w:val="MDPI71References"/>
        <w:ind w:left="780" w:hanging="420"/>
        <w:jc w:val="left"/>
      </w:pPr>
      <w:r w:rsidRPr="008860B2">
        <w:t xml:space="preserve">Dietz, L.G.; </w:t>
      </w:r>
      <w:proofErr w:type="spellStart"/>
      <w:r w:rsidRPr="008860B2">
        <w:t>Bandini</w:t>
      </w:r>
      <w:proofErr w:type="spellEnd"/>
      <w:r w:rsidRPr="008860B2">
        <w:t xml:space="preserve">, D.A.; </w:t>
      </w:r>
      <w:proofErr w:type="spellStart"/>
      <w:r w:rsidRPr="008860B2">
        <w:t>Schoeller</w:t>
      </w:r>
      <w:proofErr w:type="spellEnd"/>
      <w:r w:rsidRPr="008860B2">
        <w:t xml:space="preserve">, H.N.; Cyr, W.H. Validity of reported energy intake in obese and nonobese adolescents. </w:t>
      </w:r>
      <w:r w:rsidRPr="008860B2">
        <w:rPr>
          <w:i/>
          <w:iCs/>
        </w:rPr>
        <w:t xml:space="preserve">Am J </w:t>
      </w:r>
      <w:proofErr w:type="spellStart"/>
      <w:r w:rsidRPr="008860B2">
        <w:rPr>
          <w:i/>
          <w:iCs/>
        </w:rPr>
        <w:t>Clin</w:t>
      </w:r>
      <w:proofErr w:type="spellEnd"/>
      <w:r w:rsidRPr="008860B2">
        <w:rPr>
          <w:i/>
          <w:iCs/>
        </w:rPr>
        <w:t xml:space="preserve"> </w:t>
      </w:r>
      <w:proofErr w:type="spellStart"/>
      <w:r w:rsidRPr="008860B2">
        <w:rPr>
          <w:i/>
          <w:iCs/>
        </w:rPr>
        <w:t>Nutr</w:t>
      </w:r>
      <w:proofErr w:type="spellEnd"/>
      <w:r w:rsidRPr="008860B2">
        <w:rPr>
          <w:i/>
          <w:iCs/>
        </w:rPr>
        <w:t>.</w:t>
      </w:r>
      <w:r w:rsidRPr="008860B2">
        <w:t xml:space="preserve"> </w:t>
      </w:r>
      <w:r w:rsidRPr="008860B2">
        <w:rPr>
          <w:b/>
          <w:bCs/>
        </w:rPr>
        <w:t>1990,</w:t>
      </w:r>
      <w:r w:rsidRPr="008860B2">
        <w:t xml:space="preserve"> </w:t>
      </w:r>
      <w:r w:rsidRPr="008860B2">
        <w:rPr>
          <w:i/>
          <w:iCs/>
        </w:rPr>
        <w:t>52(3).</w:t>
      </w:r>
    </w:p>
    <w:p w14:paraId="097D5A3B" w14:textId="77777777" w:rsidR="0072004C" w:rsidRPr="008860B2" w:rsidRDefault="0072004C" w:rsidP="0072004C">
      <w:pPr>
        <w:pStyle w:val="MDPI71References"/>
        <w:ind w:left="780" w:hanging="420"/>
        <w:jc w:val="left"/>
      </w:pPr>
      <w:r w:rsidRPr="008860B2">
        <w:t xml:space="preserve">Adams, J.; Bateman, B.; Becker, F.; </w:t>
      </w:r>
      <w:proofErr w:type="spellStart"/>
      <w:r w:rsidRPr="008860B2">
        <w:t>Cresswell</w:t>
      </w:r>
      <w:proofErr w:type="spellEnd"/>
      <w:r w:rsidRPr="008860B2">
        <w:t xml:space="preserve">, T.; Flynn, D.; McNaughton, R.; et al. Effectiveness and acceptability of </w:t>
      </w:r>
      <w:proofErr w:type="spellStart"/>
      <w:r w:rsidRPr="008860B2">
        <w:t>parential</w:t>
      </w:r>
      <w:proofErr w:type="spellEnd"/>
      <w:r w:rsidRPr="008860B2">
        <w:t xml:space="preserve"> financial incentives and quasi-mandatory schemes for increasing uptake of vaccinations in preschool children: systematic review, qualitative study and discrete choice experiment. </w:t>
      </w:r>
      <w:r w:rsidRPr="008860B2">
        <w:rPr>
          <w:i/>
          <w:iCs/>
        </w:rPr>
        <w:t xml:space="preserve">Health </w:t>
      </w:r>
      <w:proofErr w:type="spellStart"/>
      <w:r w:rsidRPr="008860B2">
        <w:rPr>
          <w:i/>
          <w:iCs/>
        </w:rPr>
        <w:t>Technol</w:t>
      </w:r>
      <w:proofErr w:type="spellEnd"/>
      <w:r w:rsidRPr="008860B2">
        <w:rPr>
          <w:i/>
          <w:iCs/>
        </w:rPr>
        <w:t xml:space="preserve"> Assess (</w:t>
      </w:r>
      <w:proofErr w:type="spellStart"/>
      <w:r w:rsidRPr="008860B2">
        <w:rPr>
          <w:i/>
          <w:iCs/>
        </w:rPr>
        <w:t>Rockv</w:t>
      </w:r>
      <w:proofErr w:type="spellEnd"/>
      <w:r w:rsidRPr="008860B2">
        <w:rPr>
          <w:i/>
          <w:iCs/>
        </w:rPr>
        <w:t>).</w:t>
      </w:r>
      <w:r w:rsidRPr="008860B2">
        <w:t xml:space="preserve"> </w:t>
      </w:r>
      <w:r w:rsidRPr="008860B2">
        <w:rPr>
          <w:b/>
          <w:bCs/>
        </w:rPr>
        <w:t>2015</w:t>
      </w:r>
      <w:r w:rsidRPr="008860B2">
        <w:t xml:space="preserve">, </w:t>
      </w:r>
      <w:r w:rsidRPr="008860B2">
        <w:rPr>
          <w:i/>
          <w:iCs/>
        </w:rPr>
        <w:t xml:space="preserve">19(94), </w:t>
      </w:r>
      <w:r w:rsidRPr="008860B2">
        <w:t>pp1–176.</w:t>
      </w:r>
    </w:p>
    <w:p w14:paraId="28FB3C89" w14:textId="77777777" w:rsidR="0072004C" w:rsidRPr="008860B2" w:rsidRDefault="0072004C" w:rsidP="0072004C">
      <w:pPr>
        <w:pStyle w:val="MDPI71References"/>
        <w:ind w:left="780" w:hanging="420"/>
        <w:jc w:val="left"/>
      </w:pPr>
      <w:r w:rsidRPr="008860B2">
        <w:tab/>
        <w:t xml:space="preserve">Breeze, P.; Womack, R.; Pryce, R.; Brennan, A.; Goyder, E. The impact of a local sugar sweetened beverage health promotion and price increase on sales in public leisure </w:t>
      </w:r>
      <w:proofErr w:type="spellStart"/>
      <w:r w:rsidRPr="008860B2">
        <w:t>centre</w:t>
      </w:r>
      <w:proofErr w:type="spellEnd"/>
      <w:r w:rsidRPr="008860B2">
        <w:t xml:space="preserve"> facilities. </w:t>
      </w:r>
      <w:proofErr w:type="spellStart"/>
      <w:r w:rsidRPr="008860B2">
        <w:rPr>
          <w:i/>
          <w:iCs/>
        </w:rPr>
        <w:t>PLoS</w:t>
      </w:r>
      <w:proofErr w:type="spellEnd"/>
      <w:r w:rsidRPr="008860B2">
        <w:rPr>
          <w:i/>
          <w:iCs/>
        </w:rPr>
        <w:t xml:space="preserve"> One</w:t>
      </w:r>
      <w:r w:rsidRPr="008860B2">
        <w:t xml:space="preserve">. </w:t>
      </w:r>
      <w:r w:rsidRPr="008860B2">
        <w:rPr>
          <w:b/>
          <w:bCs/>
        </w:rPr>
        <w:t>2018</w:t>
      </w:r>
      <w:r w:rsidRPr="008860B2">
        <w:t xml:space="preserve">, </w:t>
      </w:r>
      <w:r w:rsidRPr="008860B2">
        <w:rPr>
          <w:i/>
          <w:iCs/>
        </w:rPr>
        <w:t>13(5).</w:t>
      </w:r>
    </w:p>
    <w:p w14:paraId="494E28F6" w14:textId="77777777" w:rsidR="0072004C" w:rsidRPr="008860B2" w:rsidRDefault="0072004C" w:rsidP="0072004C">
      <w:pPr>
        <w:pStyle w:val="MDPI71References"/>
        <w:ind w:left="780" w:hanging="420"/>
        <w:jc w:val="left"/>
      </w:pPr>
      <w:r w:rsidRPr="008860B2">
        <w:t xml:space="preserve">Schooler, C.; </w:t>
      </w:r>
      <w:proofErr w:type="spellStart"/>
      <w:r w:rsidRPr="008860B2">
        <w:t>Feighery</w:t>
      </w:r>
      <w:proofErr w:type="spellEnd"/>
      <w:r w:rsidRPr="008860B2">
        <w:t xml:space="preserve">, E.; Flora, J.A. Seventh Graders’ Self-Reported Exposure to Cigarette Marketing and Its Relationship to Their Smoking </w:t>
      </w:r>
      <w:proofErr w:type="spellStart"/>
      <w:r w:rsidRPr="008860B2">
        <w:t>Behaviour</w:t>
      </w:r>
      <w:proofErr w:type="spellEnd"/>
      <w:r w:rsidRPr="008860B2">
        <w:t xml:space="preserve">. </w:t>
      </w:r>
      <w:r w:rsidRPr="008860B2">
        <w:rPr>
          <w:i/>
          <w:iCs/>
        </w:rPr>
        <w:t>Am J Public Health.</w:t>
      </w:r>
      <w:r w:rsidRPr="008860B2">
        <w:t xml:space="preserve"> </w:t>
      </w:r>
      <w:r w:rsidRPr="008860B2">
        <w:rPr>
          <w:b/>
          <w:bCs/>
        </w:rPr>
        <w:t>1996</w:t>
      </w:r>
      <w:r w:rsidRPr="008860B2">
        <w:t xml:space="preserve">, </w:t>
      </w:r>
      <w:r w:rsidRPr="008860B2">
        <w:rPr>
          <w:i/>
          <w:iCs/>
        </w:rPr>
        <w:t xml:space="preserve">86(9), </w:t>
      </w:r>
      <w:r w:rsidRPr="008860B2">
        <w:t>pp1217–21.</w:t>
      </w:r>
    </w:p>
    <w:p w14:paraId="5686535C" w14:textId="77777777" w:rsidR="0072004C" w:rsidRPr="008860B2" w:rsidRDefault="0072004C" w:rsidP="0072004C">
      <w:pPr>
        <w:pStyle w:val="MDPI71References"/>
        <w:ind w:left="780" w:hanging="420"/>
        <w:jc w:val="left"/>
      </w:pPr>
      <w:r w:rsidRPr="008860B2">
        <w:t xml:space="preserve">Kumar, G.; </w:t>
      </w:r>
      <w:proofErr w:type="spellStart"/>
      <w:r w:rsidRPr="008860B2">
        <w:t>Onufrak</w:t>
      </w:r>
      <w:proofErr w:type="spellEnd"/>
      <w:r w:rsidRPr="008860B2">
        <w:t xml:space="preserve">, S.; </w:t>
      </w:r>
      <w:proofErr w:type="spellStart"/>
      <w:r w:rsidRPr="008860B2">
        <w:t>Zytnick</w:t>
      </w:r>
      <w:proofErr w:type="spellEnd"/>
      <w:r w:rsidRPr="008860B2">
        <w:t xml:space="preserve">, D.; Kingsley, B.; Park, S. Self-reported advertising exposure to sugar-sweetened beverages among US youth. </w:t>
      </w:r>
      <w:r w:rsidRPr="008860B2">
        <w:rPr>
          <w:i/>
          <w:iCs/>
        </w:rPr>
        <w:t xml:space="preserve">Public Health </w:t>
      </w:r>
      <w:proofErr w:type="spellStart"/>
      <w:r w:rsidRPr="008860B2">
        <w:rPr>
          <w:i/>
          <w:iCs/>
        </w:rPr>
        <w:t>Nutr</w:t>
      </w:r>
      <w:proofErr w:type="spellEnd"/>
      <w:r w:rsidRPr="008860B2">
        <w:rPr>
          <w:i/>
          <w:iCs/>
        </w:rPr>
        <w:t>.</w:t>
      </w:r>
      <w:r w:rsidRPr="008860B2">
        <w:t xml:space="preserve"> </w:t>
      </w:r>
      <w:r w:rsidRPr="008860B2">
        <w:rPr>
          <w:b/>
          <w:bCs/>
        </w:rPr>
        <w:t>2015</w:t>
      </w:r>
      <w:r w:rsidRPr="008860B2">
        <w:t xml:space="preserve">, </w:t>
      </w:r>
      <w:r w:rsidRPr="008860B2">
        <w:rPr>
          <w:i/>
          <w:iCs/>
        </w:rPr>
        <w:t xml:space="preserve">18(7), </w:t>
      </w:r>
      <w:r w:rsidRPr="008860B2">
        <w:t>pp1173–9.</w:t>
      </w:r>
    </w:p>
    <w:p w14:paraId="7A38E322" w14:textId="77777777" w:rsidR="0072004C" w:rsidRPr="008860B2" w:rsidRDefault="0072004C" w:rsidP="0072004C">
      <w:pPr>
        <w:pStyle w:val="MDPI71References"/>
        <w:ind w:left="780" w:hanging="420"/>
        <w:jc w:val="left"/>
      </w:pPr>
      <w:r w:rsidRPr="008860B2">
        <w:tab/>
      </w:r>
      <w:proofErr w:type="spellStart"/>
      <w:r w:rsidRPr="008860B2">
        <w:t>Brownbill</w:t>
      </w:r>
      <w:proofErr w:type="spellEnd"/>
      <w:r w:rsidRPr="008860B2">
        <w:t xml:space="preserve">, A.L.; Miller, C.L.; </w:t>
      </w:r>
      <w:proofErr w:type="spellStart"/>
      <w:r w:rsidRPr="008860B2">
        <w:t>Braunack</w:t>
      </w:r>
      <w:proofErr w:type="spellEnd"/>
      <w:r w:rsidRPr="008860B2">
        <w:t xml:space="preserve">-Mayer, A.J. The marketing of sugar-sweetened beverages to young people on Facebook. </w:t>
      </w:r>
      <w:r w:rsidRPr="008860B2">
        <w:rPr>
          <w:i/>
          <w:iCs/>
        </w:rPr>
        <w:t>Aust N Z J Public Health.</w:t>
      </w:r>
      <w:r w:rsidRPr="008860B2">
        <w:t xml:space="preserve"> </w:t>
      </w:r>
      <w:r w:rsidRPr="008860B2">
        <w:rPr>
          <w:b/>
          <w:bCs/>
        </w:rPr>
        <w:t>2018</w:t>
      </w:r>
      <w:r w:rsidRPr="008860B2">
        <w:t xml:space="preserve">, </w:t>
      </w:r>
      <w:r w:rsidRPr="008860B2">
        <w:rPr>
          <w:i/>
          <w:iCs/>
        </w:rPr>
        <w:t xml:space="preserve">42(4), </w:t>
      </w:r>
      <w:r w:rsidRPr="008860B2">
        <w:t>pp354–60.</w:t>
      </w:r>
    </w:p>
    <w:p w14:paraId="736E9313" w14:textId="77777777" w:rsidR="0072004C" w:rsidRPr="008860B2" w:rsidRDefault="0072004C" w:rsidP="0072004C">
      <w:pPr>
        <w:pStyle w:val="MDPI71References"/>
        <w:ind w:left="780" w:hanging="420"/>
        <w:jc w:val="left"/>
      </w:pPr>
      <w:r w:rsidRPr="008860B2">
        <w:tab/>
        <w:t xml:space="preserve">Hennessy, M.; </w:t>
      </w:r>
      <w:proofErr w:type="spellStart"/>
      <w:r w:rsidRPr="008860B2">
        <w:t>Bleakley</w:t>
      </w:r>
      <w:proofErr w:type="spellEnd"/>
      <w:r w:rsidRPr="008860B2">
        <w:t xml:space="preserve">, A.; Piotrowski, J.T.; </w:t>
      </w:r>
      <w:proofErr w:type="spellStart"/>
      <w:r w:rsidRPr="008860B2">
        <w:t>Mallya</w:t>
      </w:r>
      <w:proofErr w:type="spellEnd"/>
      <w:r w:rsidRPr="008860B2">
        <w:t>, G.; Jordan, A. Sugar-Sweetened Beverage Consumption by Adult Caregivers and Their Children: The Role of Drink Features and Advertising Exposure</w:t>
      </w:r>
      <w:r w:rsidRPr="008860B2">
        <w:rPr>
          <w:i/>
          <w:iCs/>
        </w:rPr>
        <w:t xml:space="preserve">. Heal </w:t>
      </w:r>
      <w:proofErr w:type="spellStart"/>
      <w:r w:rsidRPr="008860B2">
        <w:rPr>
          <w:i/>
          <w:iCs/>
        </w:rPr>
        <w:t>Educ</w:t>
      </w:r>
      <w:proofErr w:type="spellEnd"/>
      <w:r w:rsidRPr="008860B2">
        <w:rPr>
          <w:i/>
          <w:iCs/>
        </w:rPr>
        <w:t xml:space="preserve"> </w:t>
      </w:r>
      <w:proofErr w:type="spellStart"/>
      <w:r w:rsidRPr="008860B2">
        <w:rPr>
          <w:i/>
          <w:iCs/>
        </w:rPr>
        <w:t>Behav</w:t>
      </w:r>
      <w:proofErr w:type="spellEnd"/>
      <w:r w:rsidRPr="008860B2">
        <w:rPr>
          <w:i/>
          <w:iCs/>
        </w:rPr>
        <w:t>.</w:t>
      </w:r>
      <w:r w:rsidRPr="008860B2">
        <w:t xml:space="preserve"> </w:t>
      </w:r>
      <w:r w:rsidRPr="008860B2">
        <w:rPr>
          <w:b/>
          <w:bCs/>
        </w:rPr>
        <w:t>2015</w:t>
      </w:r>
      <w:r w:rsidRPr="008860B2">
        <w:t xml:space="preserve">, </w:t>
      </w:r>
      <w:r w:rsidRPr="008860B2">
        <w:rPr>
          <w:i/>
          <w:iCs/>
        </w:rPr>
        <w:t>42(5),</w:t>
      </w:r>
      <w:r w:rsidRPr="008860B2">
        <w:t xml:space="preserve"> pp677–86.</w:t>
      </w:r>
    </w:p>
    <w:p w14:paraId="740D2654" w14:textId="77777777" w:rsidR="0072004C" w:rsidRPr="008860B2" w:rsidRDefault="0072004C" w:rsidP="0072004C">
      <w:pPr>
        <w:pStyle w:val="MDPI71References"/>
        <w:ind w:left="780" w:hanging="420"/>
        <w:jc w:val="left"/>
      </w:pPr>
      <w:r w:rsidRPr="008860B2">
        <w:tab/>
      </w:r>
      <w:proofErr w:type="spellStart"/>
      <w:r w:rsidRPr="008860B2">
        <w:t>Koordeman</w:t>
      </w:r>
      <w:proofErr w:type="spellEnd"/>
      <w:r w:rsidRPr="008860B2">
        <w:t xml:space="preserve">, R.; Anschutz, D.J.; van </w:t>
      </w:r>
      <w:proofErr w:type="spellStart"/>
      <w:r w:rsidRPr="008860B2">
        <w:t>Baaren</w:t>
      </w:r>
      <w:proofErr w:type="spellEnd"/>
      <w:r w:rsidRPr="008860B2">
        <w:t xml:space="preserve">, R.B.; Engels, R.C.M.E. Exposure to soda commercials affects sugar-sweetened soda consumption in young women. An observational experimental study. </w:t>
      </w:r>
      <w:r w:rsidRPr="008860B2">
        <w:rPr>
          <w:i/>
          <w:iCs/>
        </w:rPr>
        <w:t>Appetite.</w:t>
      </w:r>
      <w:r w:rsidRPr="008860B2">
        <w:t xml:space="preserve"> </w:t>
      </w:r>
      <w:r w:rsidRPr="008860B2">
        <w:rPr>
          <w:b/>
          <w:bCs/>
        </w:rPr>
        <w:t>2010</w:t>
      </w:r>
      <w:r w:rsidRPr="008860B2">
        <w:t xml:space="preserve">, </w:t>
      </w:r>
      <w:r w:rsidRPr="008860B2">
        <w:rPr>
          <w:i/>
          <w:iCs/>
        </w:rPr>
        <w:t xml:space="preserve">54(3), </w:t>
      </w:r>
      <w:r w:rsidRPr="008860B2">
        <w:t>pp619–22.</w:t>
      </w:r>
    </w:p>
    <w:p w14:paraId="37844A0B" w14:textId="77777777" w:rsidR="0072004C" w:rsidRPr="008860B2" w:rsidRDefault="0072004C" w:rsidP="0072004C">
      <w:pPr>
        <w:pStyle w:val="MDPI71References"/>
        <w:ind w:left="780" w:hanging="420"/>
        <w:jc w:val="left"/>
      </w:pPr>
      <w:r w:rsidRPr="008860B2">
        <w:tab/>
        <w:t xml:space="preserve">Lesser, L.I.; Zimmerman, F.J.; Cohen, D.A. Outdoor advertising, obesity, and soda consumption: a cross-sectional study. </w:t>
      </w:r>
      <w:r w:rsidRPr="008860B2">
        <w:rPr>
          <w:i/>
          <w:iCs/>
        </w:rPr>
        <w:t>BMC Public Health</w:t>
      </w:r>
      <w:r w:rsidRPr="008860B2">
        <w:t xml:space="preserve">. </w:t>
      </w:r>
      <w:r w:rsidRPr="008860B2">
        <w:rPr>
          <w:b/>
          <w:bCs/>
        </w:rPr>
        <w:t>2013</w:t>
      </w:r>
      <w:r w:rsidRPr="008860B2">
        <w:t xml:space="preserve">, </w:t>
      </w:r>
      <w:r w:rsidRPr="008860B2">
        <w:rPr>
          <w:i/>
          <w:iCs/>
        </w:rPr>
        <w:t>13(20).</w:t>
      </w:r>
    </w:p>
    <w:p w14:paraId="691966A1" w14:textId="77777777" w:rsidR="0072004C" w:rsidRPr="008860B2" w:rsidRDefault="0072004C" w:rsidP="0072004C">
      <w:pPr>
        <w:pStyle w:val="MDPI71References"/>
        <w:ind w:left="780" w:hanging="420"/>
        <w:jc w:val="left"/>
      </w:pPr>
      <w:r w:rsidRPr="008860B2">
        <w:t xml:space="preserve">Powell, L.M.; Wada, R.; Khan, T.; Emery, S.L. Food and beverage television advertising exposure and youth consumption, body mass index and adiposity outcomes. </w:t>
      </w:r>
      <w:r w:rsidRPr="008860B2">
        <w:rPr>
          <w:i/>
          <w:iCs/>
        </w:rPr>
        <w:t>Can J Econ.</w:t>
      </w:r>
      <w:r w:rsidRPr="008860B2">
        <w:t xml:space="preserve"> </w:t>
      </w:r>
      <w:r w:rsidRPr="008860B2">
        <w:rPr>
          <w:b/>
          <w:bCs/>
        </w:rPr>
        <w:t>2017</w:t>
      </w:r>
      <w:r w:rsidRPr="008860B2">
        <w:t xml:space="preserve">, </w:t>
      </w:r>
      <w:r w:rsidRPr="008860B2">
        <w:rPr>
          <w:i/>
          <w:iCs/>
        </w:rPr>
        <w:t>50(2),</w:t>
      </w:r>
      <w:r w:rsidRPr="008860B2">
        <w:t xml:space="preserve"> pp345–64.</w:t>
      </w:r>
    </w:p>
    <w:p w14:paraId="0E831824" w14:textId="77777777" w:rsidR="0072004C" w:rsidRPr="008860B2" w:rsidRDefault="0072004C" w:rsidP="0072004C">
      <w:pPr>
        <w:pStyle w:val="MDPI71References"/>
        <w:ind w:left="780" w:hanging="420"/>
        <w:jc w:val="left"/>
      </w:pPr>
      <w:proofErr w:type="spellStart"/>
      <w:r w:rsidRPr="008860B2">
        <w:t>Andreyeva</w:t>
      </w:r>
      <w:proofErr w:type="spellEnd"/>
      <w:r w:rsidRPr="008860B2">
        <w:t xml:space="preserve">, T.; Kelly, I.R.; Harris, J.L. Exposure to food advertising on television: associations with children’s fast food and soft drink consumption and obesity. </w:t>
      </w:r>
      <w:r w:rsidRPr="008860B2">
        <w:rPr>
          <w:i/>
          <w:iCs/>
        </w:rPr>
        <w:t>Econ Hum Biol.</w:t>
      </w:r>
      <w:r w:rsidRPr="008860B2">
        <w:t xml:space="preserve"> </w:t>
      </w:r>
      <w:r w:rsidRPr="008860B2">
        <w:rPr>
          <w:b/>
          <w:bCs/>
        </w:rPr>
        <w:t>2011</w:t>
      </w:r>
      <w:r w:rsidRPr="008860B2">
        <w:t xml:space="preserve">, </w:t>
      </w:r>
      <w:r w:rsidRPr="008860B2">
        <w:rPr>
          <w:i/>
          <w:iCs/>
        </w:rPr>
        <w:t>9(3),</w:t>
      </w:r>
      <w:r w:rsidRPr="008860B2">
        <w:t xml:space="preserve"> pp221–33.</w:t>
      </w:r>
    </w:p>
    <w:p w14:paraId="5641D4E6" w14:textId="77777777" w:rsidR="0072004C" w:rsidRPr="008860B2" w:rsidRDefault="0072004C" w:rsidP="0072004C">
      <w:pPr>
        <w:pStyle w:val="MDPI71References"/>
        <w:ind w:left="780" w:hanging="420"/>
        <w:jc w:val="left"/>
      </w:pPr>
      <w:proofErr w:type="spellStart"/>
      <w:r w:rsidRPr="008860B2">
        <w:t>Cervi</w:t>
      </w:r>
      <w:proofErr w:type="spellEnd"/>
      <w:r w:rsidRPr="008860B2">
        <w:t xml:space="preserve">, M.M.; </w:t>
      </w:r>
      <w:proofErr w:type="spellStart"/>
      <w:r w:rsidRPr="008860B2">
        <w:t>Agurs</w:t>
      </w:r>
      <w:proofErr w:type="spellEnd"/>
      <w:r w:rsidRPr="008860B2">
        <w:t xml:space="preserve">-Collins, T.; Dwyer, L.A.; Thai, C.L.; Moser, R.P.; </w:t>
      </w:r>
      <w:proofErr w:type="spellStart"/>
      <w:r w:rsidRPr="008860B2">
        <w:t>Nebleing</w:t>
      </w:r>
      <w:proofErr w:type="spellEnd"/>
      <w:r w:rsidRPr="008860B2">
        <w:t xml:space="preserve">, L.C. Susceptibility to Food Advertisements and Sugar-Sweetened Beverage Intake in Non-Hispanic Black and Non-Hispanic White Adolescents. </w:t>
      </w:r>
      <w:r w:rsidRPr="008860B2">
        <w:rPr>
          <w:i/>
          <w:iCs/>
        </w:rPr>
        <w:t>J Community Health.</w:t>
      </w:r>
      <w:r w:rsidRPr="008860B2">
        <w:t xml:space="preserve"> </w:t>
      </w:r>
      <w:r w:rsidRPr="008860B2">
        <w:rPr>
          <w:b/>
          <w:bCs/>
        </w:rPr>
        <w:t>2017</w:t>
      </w:r>
      <w:r w:rsidRPr="008860B2">
        <w:t xml:space="preserve">, </w:t>
      </w:r>
      <w:r w:rsidRPr="008860B2">
        <w:rPr>
          <w:i/>
          <w:iCs/>
        </w:rPr>
        <w:t xml:space="preserve">42(4), </w:t>
      </w:r>
      <w:r w:rsidRPr="008860B2">
        <w:t>pp748–56.</w:t>
      </w:r>
    </w:p>
    <w:p w14:paraId="369161C2" w14:textId="77777777" w:rsidR="0072004C" w:rsidRPr="008860B2" w:rsidRDefault="0072004C" w:rsidP="0072004C">
      <w:pPr>
        <w:pStyle w:val="MDPI71References"/>
        <w:ind w:left="780" w:hanging="420"/>
        <w:jc w:val="left"/>
      </w:pPr>
      <w:r w:rsidRPr="008860B2">
        <w:tab/>
      </w:r>
      <w:proofErr w:type="spellStart"/>
      <w:r w:rsidRPr="008860B2">
        <w:t>Bagozzi</w:t>
      </w:r>
      <w:proofErr w:type="spellEnd"/>
      <w:r w:rsidRPr="008860B2">
        <w:t xml:space="preserve">, R.P.; Silk, A.J. Recall, Recognition and the Measurement of Memory for Print Advertisements. </w:t>
      </w:r>
      <w:r w:rsidRPr="008860B2">
        <w:rPr>
          <w:i/>
          <w:iCs/>
        </w:rPr>
        <w:t>Mark Sci</w:t>
      </w:r>
      <w:r w:rsidRPr="008860B2">
        <w:t xml:space="preserve">. </w:t>
      </w:r>
      <w:r w:rsidRPr="008860B2">
        <w:rPr>
          <w:b/>
          <w:bCs/>
        </w:rPr>
        <w:t>1983</w:t>
      </w:r>
      <w:r w:rsidRPr="008860B2">
        <w:t xml:space="preserve">, </w:t>
      </w:r>
      <w:r w:rsidRPr="008860B2">
        <w:rPr>
          <w:i/>
          <w:iCs/>
        </w:rPr>
        <w:t>2(2)</w:t>
      </w:r>
      <w:r w:rsidRPr="008860B2">
        <w:t>, pp95–202.</w:t>
      </w:r>
    </w:p>
    <w:p w14:paraId="02602007" w14:textId="77777777" w:rsidR="0072004C" w:rsidRPr="008860B2" w:rsidRDefault="0072004C" w:rsidP="0072004C">
      <w:pPr>
        <w:pStyle w:val="MDPI71References"/>
        <w:ind w:left="780" w:hanging="420"/>
        <w:jc w:val="left"/>
      </w:pPr>
      <w:r w:rsidRPr="008860B2">
        <w:tab/>
        <w:t xml:space="preserve">Harris, J.L.; Brownell, K.D.; </w:t>
      </w:r>
      <w:proofErr w:type="spellStart"/>
      <w:r w:rsidRPr="008860B2">
        <w:t>Bargh</w:t>
      </w:r>
      <w:proofErr w:type="spellEnd"/>
      <w:r w:rsidRPr="008860B2">
        <w:t xml:space="preserve">, J.A. The Food Marketing Defense Model: Integrating Psychological Research to Protect Youth and Inform Public Policy. </w:t>
      </w:r>
      <w:r w:rsidRPr="008860B2">
        <w:rPr>
          <w:i/>
          <w:iCs/>
        </w:rPr>
        <w:t>Soc Issues Policy Rev</w:t>
      </w:r>
      <w:r w:rsidRPr="008860B2">
        <w:t xml:space="preserve">. </w:t>
      </w:r>
      <w:r w:rsidRPr="008860B2">
        <w:rPr>
          <w:b/>
          <w:bCs/>
        </w:rPr>
        <w:t>2009</w:t>
      </w:r>
      <w:r w:rsidRPr="008860B2">
        <w:t xml:space="preserve">, </w:t>
      </w:r>
      <w:r w:rsidRPr="008860B2">
        <w:rPr>
          <w:i/>
          <w:iCs/>
        </w:rPr>
        <w:t>3(1),</w:t>
      </w:r>
      <w:r w:rsidRPr="008860B2">
        <w:t xml:space="preserve"> pp211–71.</w:t>
      </w:r>
    </w:p>
    <w:p w14:paraId="3CB96A22" w14:textId="77777777" w:rsidR="0072004C" w:rsidRPr="008860B2" w:rsidRDefault="0072004C" w:rsidP="0072004C">
      <w:pPr>
        <w:pStyle w:val="MDPI71References"/>
        <w:ind w:left="780" w:hanging="420"/>
        <w:jc w:val="left"/>
      </w:pPr>
      <w:proofErr w:type="spellStart"/>
      <w:r w:rsidRPr="008860B2">
        <w:t>Nairn</w:t>
      </w:r>
      <w:proofErr w:type="spellEnd"/>
      <w:r w:rsidRPr="008860B2">
        <w:t xml:space="preserve">, A.; Fine C. Who’s messing with my mind? The implications of dual-process models for the ethics of advertising to children. </w:t>
      </w:r>
      <w:r w:rsidRPr="008860B2">
        <w:rPr>
          <w:i/>
          <w:iCs/>
        </w:rPr>
        <w:t>Int J Advert.</w:t>
      </w:r>
      <w:r w:rsidRPr="008860B2">
        <w:t xml:space="preserve"> </w:t>
      </w:r>
      <w:r w:rsidRPr="008860B2">
        <w:rPr>
          <w:b/>
          <w:bCs/>
        </w:rPr>
        <w:t>2008</w:t>
      </w:r>
      <w:r w:rsidRPr="008860B2">
        <w:t xml:space="preserve">, </w:t>
      </w:r>
      <w:r w:rsidRPr="008860B2">
        <w:rPr>
          <w:i/>
          <w:iCs/>
        </w:rPr>
        <w:t xml:space="preserve">27(3), </w:t>
      </w:r>
      <w:r w:rsidRPr="008860B2">
        <w:t>pp447–70.</w:t>
      </w:r>
    </w:p>
    <w:p w14:paraId="30298008" w14:textId="77777777" w:rsidR="0072004C" w:rsidRPr="008860B2" w:rsidRDefault="0072004C" w:rsidP="0072004C">
      <w:pPr>
        <w:pStyle w:val="MDPI71References"/>
        <w:ind w:left="780" w:hanging="420"/>
        <w:jc w:val="left"/>
      </w:pPr>
      <w:proofErr w:type="spellStart"/>
      <w:r w:rsidRPr="008860B2">
        <w:t>Auty</w:t>
      </w:r>
      <w:proofErr w:type="spellEnd"/>
      <w:r w:rsidRPr="008860B2">
        <w:t xml:space="preserve">, S.; Lewis C. Exploring children’s choice: The reminder effect of product placement. </w:t>
      </w:r>
      <w:r w:rsidRPr="008860B2">
        <w:rPr>
          <w:i/>
          <w:iCs/>
        </w:rPr>
        <w:t>Psychol Mark.</w:t>
      </w:r>
      <w:r w:rsidRPr="008860B2">
        <w:t xml:space="preserve"> </w:t>
      </w:r>
      <w:r w:rsidRPr="008860B2">
        <w:rPr>
          <w:b/>
          <w:bCs/>
        </w:rPr>
        <w:t>2004,</w:t>
      </w:r>
      <w:r w:rsidRPr="008860B2">
        <w:t xml:space="preserve"> </w:t>
      </w:r>
      <w:r w:rsidRPr="008860B2">
        <w:rPr>
          <w:i/>
          <w:iCs/>
        </w:rPr>
        <w:t>21(9),</w:t>
      </w:r>
      <w:r w:rsidRPr="008860B2">
        <w:t xml:space="preserve"> pp697–713.</w:t>
      </w:r>
    </w:p>
    <w:p w14:paraId="4321900B" w14:textId="77777777" w:rsidR="0072004C" w:rsidRPr="008860B2" w:rsidRDefault="0072004C" w:rsidP="0072004C">
      <w:pPr>
        <w:pStyle w:val="MDPI71References"/>
        <w:ind w:left="780" w:hanging="420"/>
        <w:jc w:val="left"/>
      </w:pPr>
      <w:r w:rsidRPr="008860B2">
        <w:t xml:space="preserve">World Health Organization. Monitoring and Restricting Digital Marketing. Moscow; </w:t>
      </w:r>
      <w:r w:rsidRPr="008860B2">
        <w:rPr>
          <w:b/>
          <w:bCs/>
        </w:rPr>
        <w:t>2018</w:t>
      </w:r>
      <w:r w:rsidRPr="008860B2">
        <w:t>.</w:t>
      </w:r>
    </w:p>
    <w:p w14:paraId="799FC75D" w14:textId="77777777" w:rsidR="0072004C" w:rsidRPr="008860B2" w:rsidRDefault="0072004C" w:rsidP="0072004C">
      <w:pPr>
        <w:pStyle w:val="MDPI71References"/>
        <w:ind w:left="780" w:hanging="420"/>
        <w:jc w:val="left"/>
      </w:pPr>
      <w:r w:rsidRPr="008860B2">
        <w:lastRenderedPageBreak/>
        <w:tab/>
        <w:t xml:space="preserve">McGinnis, M.J.; </w:t>
      </w:r>
      <w:proofErr w:type="spellStart"/>
      <w:r w:rsidRPr="008860B2">
        <w:t>Gootman</w:t>
      </w:r>
      <w:proofErr w:type="spellEnd"/>
      <w:r w:rsidRPr="008860B2">
        <w:t xml:space="preserve">, J.A.; </w:t>
      </w:r>
      <w:proofErr w:type="spellStart"/>
      <w:r w:rsidRPr="008860B2">
        <w:t>Kraak</w:t>
      </w:r>
      <w:proofErr w:type="spellEnd"/>
      <w:r w:rsidRPr="008860B2">
        <w:t xml:space="preserve">, V.I. Food marketing to children and youth: threat or opportunity? Washington, DC: Food and Nutrition Board, Board on Children, Youth and Families, Institute of Medicine of the National Academies; </w:t>
      </w:r>
      <w:r w:rsidRPr="008860B2">
        <w:rPr>
          <w:b/>
          <w:bCs/>
        </w:rPr>
        <w:t>2006</w:t>
      </w:r>
      <w:r w:rsidRPr="008860B2">
        <w:t>.</w:t>
      </w:r>
    </w:p>
    <w:p w14:paraId="01B04508" w14:textId="77777777" w:rsidR="0072004C" w:rsidRPr="008860B2" w:rsidRDefault="0072004C" w:rsidP="0072004C">
      <w:pPr>
        <w:pStyle w:val="MDPI71References"/>
        <w:ind w:left="780" w:hanging="420"/>
        <w:jc w:val="left"/>
      </w:pPr>
      <w:r w:rsidRPr="008860B2">
        <w:tab/>
        <w:t xml:space="preserve">Signal, L.N.; Stanley, J.; Smith, M.; Barr, M.B.; Chambers, T.J.; Zhou, J.; et al. Children’s everyday exposure to food marketing: An objective analysis using wearable cameras. </w:t>
      </w:r>
      <w:proofErr w:type="spellStart"/>
      <w:r w:rsidRPr="008860B2">
        <w:rPr>
          <w:i/>
          <w:iCs/>
        </w:rPr>
        <w:t>Int</w:t>
      </w:r>
      <w:proofErr w:type="spellEnd"/>
      <w:r w:rsidRPr="008860B2">
        <w:rPr>
          <w:i/>
          <w:iCs/>
        </w:rPr>
        <w:t xml:space="preserve"> J </w:t>
      </w:r>
      <w:proofErr w:type="spellStart"/>
      <w:r w:rsidRPr="008860B2">
        <w:rPr>
          <w:i/>
          <w:iCs/>
        </w:rPr>
        <w:t>Behav</w:t>
      </w:r>
      <w:proofErr w:type="spellEnd"/>
      <w:r w:rsidRPr="008860B2">
        <w:rPr>
          <w:i/>
          <w:iCs/>
        </w:rPr>
        <w:t xml:space="preserve"> </w:t>
      </w:r>
      <w:proofErr w:type="spellStart"/>
      <w:r w:rsidRPr="008860B2">
        <w:rPr>
          <w:i/>
          <w:iCs/>
        </w:rPr>
        <w:t>Nutr</w:t>
      </w:r>
      <w:proofErr w:type="spellEnd"/>
      <w:r w:rsidRPr="008860B2">
        <w:rPr>
          <w:i/>
          <w:iCs/>
        </w:rPr>
        <w:t xml:space="preserve"> </w:t>
      </w:r>
      <w:proofErr w:type="spellStart"/>
      <w:r w:rsidRPr="008860B2">
        <w:rPr>
          <w:i/>
          <w:iCs/>
        </w:rPr>
        <w:t>Phys</w:t>
      </w:r>
      <w:proofErr w:type="spellEnd"/>
      <w:r w:rsidRPr="008860B2">
        <w:rPr>
          <w:i/>
          <w:iCs/>
        </w:rPr>
        <w:t xml:space="preserve"> Act</w:t>
      </w:r>
      <w:r w:rsidRPr="008860B2">
        <w:t xml:space="preserve">. </w:t>
      </w:r>
      <w:r w:rsidRPr="008860B2">
        <w:rPr>
          <w:b/>
          <w:bCs/>
        </w:rPr>
        <w:t>2017</w:t>
      </w:r>
      <w:r w:rsidRPr="008860B2">
        <w:t xml:space="preserve">, </w:t>
      </w:r>
      <w:r w:rsidRPr="008860B2">
        <w:rPr>
          <w:i/>
          <w:iCs/>
        </w:rPr>
        <w:t xml:space="preserve">14(1), </w:t>
      </w:r>
      <w:r w:rsidRPr="008860B2">
        <w:t>pp1–11.</w:t>
      </w:r>
    </w:p>
    <w:p w14:paraId="6254FC53" w14:textId="77777777" w:rsidR="0072004C" w:rsidRPr="008860B2" w:rsidRDefault="0072004C" w:rsidP="0072004C">
      <w:pPr>
        <w:pStyle w:val="MDPI71References"/>
        <w:ind w:left="780" w:hanging="420"/>
        <w:jc w:val="left"/>
      </w:pPr>
      <w:r w:rsidRPr="008860B2">
        <w:t xml:space="preserve">Keller, K.L.; Lehmann, D. How do brands create value? </w:t>
      </w:r>
      <w:r w:rsidRPr="008860B2">
        <w:rPr>
          <w:i/>
          <w:iCs/>
        </w:rPr>
        <w:t xml:space="preserve">Mark </w:t>
      </w:r>
      <w:proofErr w:type="spellStart"/>
      <w:r w:rsidRPr="008860B2">
        <w:rPr>
          <w:i/>
          <w:iCs/>
        </w:rPr>
        <w:t>Manag</w:t>
      </w:r>
      <w:proofErr w:type="spellEnd"/>
      <w:r w:rsidRPr="008860B2">
        <w:rPr>
          <w:i/>
          <w:iCs/>
        </w:rPr>
        <w:t>.</w:t>
      </w:r>
      <w:r w:rsidRPr="008860B2">
        <w:t xml:space="preserve"> </w:t>
      </w:r>
      <w:r w:rsidRPr="008860B2">
        <w:rPr>
          <w:b/>
          <w:bCs/>
        </w:rPr>
        <w:t xml:space="preserve">2003, </w:t>
      </w:r>
      <w:r w:rsidRPr="008860B2">
        <w:rPr>
          <w:i/>
          <w:iCs/>
        </w:rPr>
        <w:t>July/August</w:t>
      </w:r>
      <w:r w:rsidRPr="008860B2">
        <w:t>, pp15–9.</w:t>
      </w:r>
    </w:p>
    <w:p w14:paraId="7160F3BD" w14:textId="77777777" w:rsidR="0072004C" w:rsidRPr="008860B2" w:rsidRDefault="0072004C" w:rsidP="0072004C">
      <w:pPr>
        <w:pStyle w:val="MDPI71References"/>
        <w:ind w:left="780" w:hanging="420"/>
        <w:jc w:val="left"/>
      </w:pPr>
      <w:r w:rsidRPr="008860B2">
        <w:t xml:space="preserve">World Health Organization. A framework for implementing the set of recommendations on the marketing of foods and non-alcoholic beverages to children </w:t>
      </w:r>
      <w:r w:rsidRPr="008860B2">
        <w:rPr>
          <w:b/>
          <w:bCs/>
        </w:rPr>
        <w:t>2012.</w:t>
      </w:r>
      <w:r w:rsidRPr="008860B2">
        <w:t xml:space="preserve"> Available online: </w:t>
      </w:r>
      <w:hyperlink r:id="rId23" w:history="1">
        <w:r w:rsidRPr="008860B2">
          <w:rPr>
            <w:rStyle w:val="Hyperlink"/>
          </w:rPr>
          <w:t>https://www.who.int/dietphysicalactivity/framework_marketing_food_to_children/en/</w:t>
        </w:r>
      </w:hyperlink>
      <w:r w:rsidRPr="008860B2">
        <w:t xml:space="preserve"> (accessed on 30 May 2019)</w:t>
      </w:r>
    </w:p>
    <w:p w14:paraId="2F73869B" w14:textId="77777777" w:rsidR="0072004C" w:rsidRPr="008860B2" w:rsidRDefault="0072004C" w:rsidP="0072004C">
      <w:pPr>
        <w:pStyle w:val="MDPI71References"/>
        <w:ind w:left="780" w:hanging="420"/>
        <w:jc w:val="left"/>
      </w:pPr>
      <w:r w:rsidRPr="008860B2">
        <w:tab/>
        <w:t xml:space="preserve">Hebden, L.; King, L.; Kelly, B. Art of persuasion: An analysis of techniques used to market foods to children. </w:t>
      </w:r>
      <w:r w:rsidRPr="008860B2">
        <w:rPr>
          <w:i/>
          <w:iCs/>
        </w:rPr>
        <w:t xml:space="preserve">J </w:t>
      </w:r>
      <w:proofErr w:type="spellStart"/>
      <w:r w:rsidRPr="008860B2">
        <w:rPr>
          <w:i/>
          <w:iCs/>
        </w:rPr>
        <w:t>Paediatr</w:t>
      </w:r>
      <w:proofErr w:type="spellEnd"/>
      <w:r w:rsidRPr="008860B2">
        <w:rPr>
          <w:i/>
          <w:iCs/>
        </w:rPr>
        <w:t xml:space="preserve"> Child Health</w:t>
      </w:r>
      <w:r w:rsidRPr="008860B2">
        <w:t xml:space="preserve">. </w:t>
      </w:r>
      <w:r w:rsidRPr="008860B2">
        <w:rPr>
          <w:b/>
          <w:bCs/>
        </w:rPr>
        <w:t>2011</w:t>
      </w:r>
      <w:r w:rsidRPr="008860B2">
        <w:t xml:space="preserve">, </w:t>
      </w:r>
      <w:r w:rsidRPr="008860B2">
        <w:rPr>
          <w:i/>
          <w:iCs/>
        </w:rPr>
        <w:t>47(11),</w:t>
      </w:r>
      <w:r w:rsidRPr="008860B2">
        <w:t xml:space="preserve"> pp776–82.</w:t>
      </w:r>
    </w:p>
    <w:p w14:paraId="7DFFC657" w14:textId="77777777" w:rsidR="0072004C" w:rsidRPr="008860B2" w:rsidRDefault="0072004C" w:rsidP="0072004C">
      <w:pPr>
        <w:pStyle w:val="MDPI71References"/>
        <w:ind w:left="780" w:hanging="420"/>
        <w:jc w:val="left"/>
      </w:pPr>
      <w:proofErr w:type="spellStart"/>
      <w:r w:rsidRPr="008860B2">
        <w:t>Massri</w:t>
      </w:r>
      <w:proofErr w:type="spellEnd"/>
      <w:r w:rsidRPr="008860B2">
        <w:t xml:space="preserve">, C.; Sutherland, S.; Carina, K. Impact of the Food-Labeling and Advertising Law Banning Competitive Food and Beverages in Chilean Public Schools, 2014 – 2016. </w:t>
      </w:r>
      <w:r w:rsidRPr="008860B2">
        <w:rPr>
          <w:i/>
          <w:iCs/>
        </w:rPr>
        <w:t>Am J Public Health</w:t>
      </w:r>
      <w:r w:rsidRPr="008860B2">
        <w:t xml:space="preserve">. </w:t>
      </w:r>
      <w:r w:rsidRPr="008860B2">
        <w:rPr>
          <w:b/>
          <w:bCs/>
        </w:rPr>
        <w:t>2019</w:t>
      </w:r>
      <w:r w:rsidRPr="008860B2">
        <w:t>, e1–6.</w:t>
      </w:r>
    </w:p>
    <w:p w14:paraId="5868F63C" w14:textId="77777777" w:rsidR="008313A9" w:rsidRDefault="0072004C" w:rsidP="0072004C">
      <w:pPr>
        <w:pStyle w:val="MDPI71References"/>
        <w:ind w:left="780" w:hanging="420"/>
        <w:jc w:val="left"/>
      </w:pPr>
      <w:r w:rsidRPr="008860B2">
        <w:t xml:space="preserve">Landon, J.; </w:t>
      </w:r>
      <w:proofErr w:type="spellStart"/>
      <w:r w:rsidRPr="008860B2">
        <w:t>Gritschneder</w:t>
      </w:r>
      <w:proofErr w:type="spellEnd"/>
      <w:r w:rsidRPr="008860B2">
        <w:t xml:space="preserve">, Y. An analysis of the regulatory and voluntary landscape concerning the marketing and promotion of food and drink to children. </w:t>
      </w:r>
      <w:r w:rsidRPr="008860B2">
        <w:rPr>
          <w:i/>
          <w:iCs/>
        </w:rPr>
        <w:t>Natl Hear Forum</w:t>
      </w:r>
      <w:r w:rsidRPr="008860B2">
        <w:t xml:space="preserve">. </w:t>
      </w:r>
      <w:r w:rsidRPr="008860B2">
        <w:rPr>
          <w:b/>
          <w:bCs/>
        </w:rPr>
        <w:t>2011</w:t>
      </w:r>
      <w:r w:rsidRPr="008860B2">
        <w:t xml:space="preserve">, pp1–135. Available online: </w:t>
      </w:r>
      <w:hyperlink r:id="rId24" w:history="1">
        <w:r w:rsidRPr="008860B2">
          <w:rPr>
            <w:rStyle w:val="Hyperlink"/>
          </w:rPr>
          <w:t>http://nhfshare.heartforum.org.uk/RMAssets/NHF_Staffpublications/VoluntaryPrinciples/NHFFoodMarkMAINFinal.pdf</w:t>
        </w:r>
      </w:hyperlink>
      <w:r w:rsidRPr="008860B2">
        <w:t xml:space="preserve"> (accessed on 20 August 2019)</w:t>
      </w:r>
    </w:p>
    <w:tbl>
      <w:tblPr>
        <w:tblW w:w="0" w:type="auto"/>
        <w:jc w:val="center"/>
        <w:tblLook w:val="04A0" w:firstRow="1" w:lastRow="0" w:firstColumn="1" w:lastColumn="0" w:noHBand="0" w:noVBand="1"/>
      </w:tblPr>
      <w:tblGrid>
        <w:gridCol w:w="1721"/>
        <w:gridCol w:w="7149"/>
      </w:tblGrid>
      <w:tr w:rsidR="008313A9" w:rsidRPr="00721BCF" w14:paraId="1CBB0A2B" w14:textId="77777777" w:rsidTr="00FC780D">
        <w:trPr>
          <w:jc w:val="center"/>
        </w:trPr>
        <w:tc>
          <w:tcPr>
            <w:tcW w:w="0" w:type="auto"/>
            <w:shd w:val="clear" w:color="auto" w:fill="auto"/>
            <w:vAlign w:val="center"/>
          </w:tcPr>
          <w:p w14:paraId="4DBB34BC" w14:textId="1C55EB6B" w:rsidR="008313A9" w:rsidRPr="00721BCF" w:rsidRDefault="0072004C" w:rsidP="00C86505">
            <w:pPr>
              <w:pStyle w:val="MDPI71References"/>
              <w:numPr>
                <w:ilvl w:val="0"/>
                <w:numId w:val="0"/>
              </w:numPr>
              <w:ind w:left="-85"/>
              <w:rPr>
                <w:rFonts w:eastAsia="SimSun"/>
                <w:bCs/>
                <w:szCs w:val="18"/>
              </w:rPr>
            </w:pPr>
            <w:r w:rsidRPr="00721BCF">
              <w:rPr>
                <w:rFonts w:eastAsia="SimSun"/>
                <w:bCs/>
                <w:noProof/>
                <w:szCs w:val="18"/>
                <w:lang w:val="en-GB" w:eastAsia="en-GB" w:bidi="ar-SA"/>
              </w:rPr>
              <w:drawing>
                <wp:inline distT="0" distB="0" distL="0" distR="0" wp14:anchorId="5B65B34F" wp14:editId="1E2F6C2E">
                  <wp:extent cx="1000760" cy="360680"/>
                  <wp:effectExtent l="0" t="0" r="8890" b="1270"/>
                  <wp:docPr id="1" name="Picture 3" descr="copyRigh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opyRight"/>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000760" cy="360680"/>
                          </a:xfrm>
                          <a:prstGeom prst="rect">
                            <a:avLst/>
                          </a:prstGeom>
                          <a:noFill/>
                          <a:ln>
                            <a:noFill/>
                          </a:ln>
                        </pic:spPr>
                      </pic:pic>
                    </a:graphicData>
                  </a:graphic>
                </wp:inline>
              </w:drawing>
            </w:r>
          </w:p>
        </w:tc>
        <w:tc>
          <w:tcPr>
            <w:tcW w:w="7149" w:type="dxa"/>
            <w:shd w:val="clear" w:color="auto" w:fill="auto"/>
            <w:vAlign w:val="center"/>
          </w:tcPr>
          <w:p w14:paraId="21E30171" w14:textId="77777777" w:rsidR="008313A9" w:rsidRPr="00721BCF" w:rsidRDefault="006D5B1F" w:rsidP="00830F91">
            <w:pPr>
              <w:pStyle w:val="MDPI71References"/>
              <w:numPr>
                <w:ilvl w:val="0"/>
                <w:numId w:val="0"/>
              </w:numPr>
              <w:ind w:left="-85"/>
              <w:rPr>
                <w:rFonts w:eastAsia="SimSun"/>
                <w:bCs/>
                <w:szCs w:val="18"/>
              </w:rPr>
            </w:pPr>
            <w:r>
              <w:rPr>
                <w:rFonts w:eastAsia="SimSun"/>
                <w:bCs/>
                <w:szCs w:val="18"/>
              </w:rPr>
              <w:t>© 20</w:t>
            </w:r>
            <w:r w:rsidR="00830F91">
              <w:rPr>
                <w:rFonts w:eastAsia="SimSun"/>
                <w:bCs/>
                <w:szCs w:val="18"/>
              </w:rPr>
              <w:t>20</w:t>
            </w:r>
            <w:r w:rsidR="008313A9" w:rsidRPr="00721BCF">
              <w:rPr>
                <w:rFonts w:eastAsia="SimSun"/>
                <w:bCs/>
                <w:szCs w:val="18"/>
              </w:rPr>
              <w:t xml:space="preserve"> by the authors. Submitted for possible open access publication under the terms and conditions of the Creative Commons Attribution (CC BY) license (http://creativecommons.org/licenses/by/4.0/).</w:t>
            </w:r>
          </w:p>
        </w:tc>
      </w:tr>
    </w:tbl>
    <w:p w14:paraId="4E81DD5A" w14:textId="77777777" w:rsidR="002549C8" w:rsidRPr="001E25B9" w:rsidRDefault="002549C8" w:rsidP="008313A9">
      <w:pPr>
        <w:pStyle w:val="MDPI71References"/>
        <w:numPr>
          <w:ilvl w:val="0"/>
          <w:numId w:val="0"/>
        </w:numPr>
        <w:spacing w:after="240"/>
        <w:rPr>
          <w:rFonts w:eastAsia="SimSun"/>
          <w:szCs w:val="18"/>
        </w:rPr>
      </w:pPr>
    </w:p>
    <w:sectPr w:rsidR="002549C8" w:rsidRPr="001E25B9" w:rsidSect="00356611">
      <w:pgSz w:w="11906" w:h="16838" w:code="9"/>
      <w:pgMar w:top="1417" w:right="1531" w:bottom="1077" w:left="1531" w:header="1020" w:footer="850" w:gutter="0"/>
      <w:cols w:space="425"/>
      <w:docGrid w:type="lines" w:linePitch="326"/>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387F3074" w15:done="0"/>
  <w15:commentEx w15:paraId="08383AD3" w15:done="0"/>
  <w15:commentEx w15:paraId="0C6B4112" w15:done="0"/>
  <w15:commentEx w15:paraId="0272B427" w15:done="1"/>
  <w15:commentEx w15:paraId="0575DFC3" w15:done="1"/>
  <w15:commentEx w15:paraId="2D910D72" w15:done="0"/>
  <w15:commentEx w15:paraId="6F52D999" w15:done="0"/>
  <w15:commentEx w15:paraId="31B4A107" w15:done="0"/>
  <w15:commentEx w15:paraId="298C85D7" w15:done="0"/>
  <w15:commentEx w15:paraId="11184989" w15:done="0"/>
  <w15:commentEx w15:paraId="079B9F59" w15:done="0"/>
  <w15:commentEx w15:paraId="282F8C25" w15:done="1"/>
  <w15:commentEx w15:paraId="0D5FF4E4" w15:done="0"/>
  <w15:commentEx w15:paraId="1DF28329" w15:done="0"/>
  <w15:commentEx w15:paraId="639CA614" w15:done="0"/>
  <w15:commentEx w15:paraId="7B9E8851"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87F3074" w16cid:durableId="2198D1DE"/>
  <w16cid:commentId w16cid:paraId="08383AD3" w16cid:durableId="2198D6A7"/>
  <w16cid:commentId w16cid:paraId="0C6B4112" w16cid:durableId="2198D9FC"/>
  <w16cid:commentId w16cid:paraId="0272B427" w16cid:durableId="2198D1DF"/>
  <w16cid:commentId w16cid:paraId="0575DFC3" w16cid:durableId="2198D1E0"/>
  <w16cid:commentId w16cid:paraId="2D910D72" w16cid:durableId="2198DE40"/>
  <w16cid:commentId w16cid:paraId="6F52D999" w16cid:durableId="2198D1E1"/>
  <w16cid:commentId w16cid:paraId="31B4A107" w16cid:durableId="2198D1E2"/>
  <w16cid:commentId w16cid:paraId="298C85D7" w16cid:durableId="2198D1E3"/>
  <w16cid:commentId w16cid:paraId="11184989" w16cid:durableId="2198D1E4"/>
  <w16cid:commentId w16cid:paraId="079B9F59" w16cid:durableId="2198D1E5"/>
  <w16cid:commentId w16cid:paraId="282F8C25" w16cid:durableId="2198D1E6"/>
  <w16cid:commentId w16cid:paraId="0D5FF4E4" w16cid:durableId="2198E1E0"/>
  <w16cid:commentId w16cid:paraId="1DF28329" w16cid:durableId="2198D1E7"/>
  <w16cid:commentId w16cid:paraId="639CA614" w16cid:durableId="2198E3A1"/>
  <w16cid:commentId w16cid:paraId="7B9E8851" w16cid:durableId="2198D1E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C457875" w14:textId="77777777" w:rsidR="004428CC" w:rsidRDefault="004428CC">
      <w:pPr>
        <w:spacing w:line="240" w:lineRule="auto"/>
      </w:pPr>
      <w:r>
        <w:separator/>
      </w:r>
    </w:p>
  </w:endnote>
  <w:endnote w:type="continuationSeparator" w:id="0">
    <w:p w14:paraId="4F848917" w14:textId="77777777" w:rsidR="004428CC" w:rsidRDefault="004428C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Palatino Linotype">
    <w:panose1 w:val="02040502050505030304"/>
    <w:charset w:val="00"/>
    <w:family w:val="roman"/>
    <w:pitch w:val="variable"/>
    <w:sig w:usb0="E0000287" w:usb1="40000013"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141C1F" w14:textId="77777777" w:rsidR="00B8137C" w:rsidRPr="00885BB0" w:rsidRDefault="00B8137C" w:rsidP="00C90B3B">
    <w:pPr>
      <w:pStyle w:val="Footer"/>
      <w:spacing w:line="240" w:lineRule="auto"/>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762A56" w14:textId="77777777" w:rsidR="00B8137C" w:rsidRPr="008B308E" w:rsidRDefault="00B8137C" w:rsidP="00830F91">
    <w:pPr>
      <w:pStyle w:val="MDPIfooterfirstpage"/>
      <w:spacing w:line="240" w:lineRule="auto"/>
      <w:jc w:val="both"/>
      <w:rPr>
        <w:lang w:val="fr-CH"/>
      </w:rPr>
    </w:pPr>
    <w:r w:rsidRPr="00141586">
      <w:rPr>
        <w:i/>
        <w:szCs w:val="16"/>
      </w:rPr>
      <w:t>Nutrients</w:t>
    </w:r>
    <w:r w:rsidRPr="00A70616">
      <w:rPr>
        <w:iCs/>
        <w:szCs w:val="16"/>
      </w:rPr>
      <w:t xml:space="preserve"> </w:t>
    </w:r>
    <w:r w:rsidRPr="008313A9">
      <w:rPr>
        <w:b/>
        <w:bCs/>
        <w:iCs/>
        <w:szCs w:val="16"/>
      </w:rPr>
      <w:t>20</w:t>
    </w:r>
    <w:r>
      <w:rPr>
        <w:b/>
        <w:bCs/>
        <w:iCs/>
        <w:szCs w:val="16"/>
      </w:rPr>
      <w:t>20</w:t>
    </w:r>
    <w:r w:rsidRPr="008313A9">
      <w:rPr>
        <w:bCs/>
        <w:iCs/>
        <w:szCs w:val="16"/>
      </w:rPr>
      <w:t xml:space="preserve">, </w:t>
    </w:r>
    <w:r w:rsidRPr="008313A9">
      <w:rPr>
        <w:bCs/>
        <w:i/>
        <w:iCs/>
        <w:szCs w:val="16"/>
      </w:rPr>
      <w:t>1</w:t>
    </w:r>
    <w:r>
      <w:rPr>
        <w:bCs/>
        <w:i/>
        <w:iCs/>
        <w:szCs w:val="16"/>
      </w:rPr>
      <w:t>2</w:t>
    </w:r>
    <w:r w:rsidRPr="008313A9">
      <w:rPr>
        <w:bCs/>
        <w:iCs/>
        <w:szCs w:val="16"/>
      </w:rPr>
      <w:t xml:space="preserve">, </w:t>
    </w:r>
    <w:r>
      <w:rPr>
        <w:bCs/>
        <w:iCs/>
        <w:szCs w:val="16"/>
      </w:rPr>
      <w:t xml:space="preserve">x; </w:t>
    </w:r>
    <w:proofErr w:type="spellStart"/>
    <w:r>
      <w:rPr>
        <w:bCs/>
        <w:iCs/>
        <w:szCs w:val="16"/>
      </w:rPr>
      <w:t>doi</w:t>
    </w:r>
    <w:proofErr w:type="spellEnd"/>
    <w:r>
      <w:rPr>
        <w:bCs/>
        <w:iCs/>
        <w:szCs w:val="16"/>
      </w:rPr>
      <w:t>: FOR PEER REVIEW</w:t>
    </w:r>
    <w:r w:rsidRPr="008B308E">
      <w:rPr>
        <w:lang w:val="fr-CH"/>
      </w:rPr>
      <w:tab/>
      <w:t>www.mdpi.com/journal/</w:t>
    </w:r>
    <w:r>
      <w:t>nutrients</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A58064B" w14:textId="77777777" w:rsidR="004428CC" w:rsidRDefault="004428CC">
      <w:pPr>
        <w:spacing w:line="240" w:lineRule="auto"/>
      </w:pPr>
      <w:r>
        <w:separator/>
      </w:r>
    </w:p>
  </w:footnote>
  <w:footnote w:type="continuationSeparator" w:id="0">
    <w:p w14:paraId="6DBC3808" w14:textId="77777777" w:rsidR="004428CC" w:rsidRDefault="004428CC">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E5D2A6" w14:textId="77777777" w:rsidR="00B8137C" w:rsidRDefault="00B8137C" w:rsidP="00C90B3B">
    <w:pPr>
      <w:pStyle w:val="Header"/>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E2B60C" w14:textId="77777777" w:rsidR="00B8137C" w:rsidRPr="00310EBF" w:rsidRDefault="00B8137C" w:rsidP="00830F91">
    <w:pPr>
      <w:tabs>
        <w:tab w:val="right" w:pos="8844"/>
      </w:tabs>
      <w:adjustRightInd w:val="0"/>
      <w:snapToGrid w:val="0"/>
      <w:spacing w:after="240" w:line="240" w:lineRule="auto"/>
      <w:rPr>
        <w:rFonts w:ascii="Palatino Linotype" w:hAnsi="Palatino Linotype"/>
        <w:sz w:val="16"/>
      </w:rPr>
    </w:pPr>
    <w:r>
      <w:rPr>
        <w:rFonts w:ascii="Palatino Linotype" w:hAnsi="Palatino Linotype"/>
        <w:i/>
        <w:sz w:val="16"/>
      </w:rPr>
      <w:t xml:space="preserve">Nutrients </w:t>
    </w:r>
    <w:r w:rsidRPr="008313A9">
      <w:rPr>
        <w:rFonts w:ascii="Palatino Linotype" w:hAnsi="Palatino Linotype"/>
        <w:b/>
        <w:sz w:val="16"/>
      </w:rPr>
      <w:t>20</w:t>
    </w:r>
    <w:r>
      <w:rPr>
        <w:rFonts w:ascii="Palatino Linotype" w:hAnsi="Palatino Linotype"/>
        <w:b/>
        <w:sz w:val="16"/>
      </w:rPr>
      <w:t>20</w:t>
    </w:r>
    <w:r w:rsidRPr="008313A9">
      <w:rPr>
        <w:rFonts w:ascii="Palatino Linotype" w:hAnsi="Palatino Linotype"/>
        <w:sz w:val="16"/>
      </w:rPr>
      <w:t xml:space="preserve">, </w:t>
    </w:r>
    <w:r w:rsidRPr="008313A9">
      <w:rPr>
        <w:rFonts w:ascii="Palatino Linotype" w:hAnsi="Palatino Linotype"/>
        <w:i/>
        <w:sz w:val="16"/>
      </w:rPr>
      <w:t>1</w:t>
    </w:r>
    <w:r>
      <w:rPr>
        <w:rFonts w:ascii="Palatino Linotype" w:hAnsi="Palatino Linotype"/>
        <w:i/>
        <w:sz w:val="16"/>
      </w:rPr>
      <w:t>2</w:t>
    </w:r>
    <w:r>
      <w:rPr>
        <w:rFonts w:ascii="Palatino Linotype" w:hAnsi="Palatino Linotype"/>
        <w:sz w:val="16"/>
      </w:rPr>
      <w:t>, x FOR PEER REVIEW</w:t>
    </w:r>
    <w:r>
      <w:rPr>
        <w:rFonts w:ascii="Palatino Linotype" w:hAnsi="Palatino Linotype"/>
        <w:sz w:val="16"/>
      </w:rPr>
      <w:ptab w:relativeTo="margin" w:alignment="right" w:leader="none"/>
    </w:r>
    <w:r>
      <w:rPr>
        <w:rFonts w:ascii="Palatino Linotype" w:hAnsi="Palatino Linotype"/>
        <w:sz w:val="16"/>
      </w:rPr>
      <w:fldChar w:fldCharType="begin"/>
    </w:r>
    <w:r>
      <w:rPr>
        <w:rFonts w:ascii="Palatino Linotype" w:hAnsi="Palatino Linotype"/>
        <w:sz w:val="16"/>
      </w:rPr>
      <w:instrText xml:space="preserve"> PAGE   \* MERGEFORMAT </w:instrText>
    </w:r>
    <w:r>
      <w:rPr>
        <w:rFonts w:ascii="Palatino Linotype" w:hAnsi="Palatino Linotype"/>
        <w:sz w:val="16"/>
      </w:rPr>
      <w:fldChar w:fldCharType="separate"/>
    </w:r>
    <w:r w:rsidR="00EA3A8D">
      <w:rPr>
        <w:rFonts w:ascii="Palatino Linotype" w:hAnsi="Palatino Linotype"/>
        <w:noProof/>
        <w:sz w:val="16"/>
      </w:rPr>
      <w:t>2</w:t>
    </w:r>
    <w:r>
      <w:rPr>
        <w:rFonts w:ascii="Palatino Linotype" w:hAnsi="Palatino Linotype"/>
        <w:sz w:val="16"/>
      </w:rPr>
      <w:fldChar w:fldCharType="end"/>
    </w:r>
    <w:r>
      <w:rPr>
        <w:rFonts w:ascii="Palatino Linotype" w:hAnsi="Palatino Linotype"/>
        <w:sz w:val="16"/>
      </w:rPr>
      <w:t xml:space="preserve"> of </w:t>
    </w:r>
    <w:r>
      <w:rPr>
        <w:rFonts w:ascii="Palatino Linotype" w:hAnsi="Palatino Linotype"/>
        <w:sz w:val="16"/>
      </w:rPr>
      <w:fldChar w:fldCharType="begin"/>
    </w:r>
    <w:r>
      <w:rPr>
        <w:rFonts w:ascii="Palatino Linotype" w:hAnsi="Palatino Linotype"/>
        <w:sz w:val="16"/>
      </w:rPr>
      <w:instrText xml:space="preserve"> NUMPAGES   \* MERGEFORMAT </w:instrText>
    </w:r>
    <w:r>
      <w:rPr>
        <w:rFonts w:ascii="Palatino Linotype" w:hAnsi="Palatino Linotype"/>
        <w:sz w:val="16"/>
      </w:rPr>
      <w:fldChar w:fldCharType="separate"/>
    </w:r>
    <w:r w:rsidR="00EA3A8D">
      <w:rPr>
        <w:rFonts w:ascii="Palatino Linotype" w:hAnsi="Palatino Linotype"/>
        <w:noProof/>
        <w:sz w:val="16"/>
      </w:rPr>
      <w:t>18</w:t>
    </w:r>
    <w:r>
      <w:rPr>
        <w:rFonts w:ascii="Palatino Linotype" w:hAnsi="Palatino Linotype"/>
        <w:sz w:val="16"/>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96FA54" w14:textId="3B98E55E" w:rsidR="00B8137C" w:rsidRDefault="00B8137C" w:rsidP="00C90B3B">
    <w:pPr>
      <w:pStyle w:val="MDPIheaderjournallogo"/>
    </w:pPr>
    <w:r w:rsidRPr="00CE1CFD">
      <w:rPr>
        <w:i w:val="0"/>
        <w:noProof/>
        <w:szCs w:val="16"/>
        <w:lang w:val="en-GB" w:eastAsia="en-GB"/>
      </w:rPr>
      <mc:AlternateContent>
        <mc:Choice Requires="wps">
          <w:drawing>
            <wp:anchor distT="45720" distB="45720" distL="114300" distR="114300" simplePos="0" relativeHeight="251657728" behindDoc="1" locked="0" layoutInCell="1" allowOverlap="1" wp14:anchorId="57E7B2AF" wp14:editId="7E05B25F">
              <wp:simplePos x="0" y="0"/>
              <wp:positionH relativeFrom="page">
                <wp:posOffset>6029960</wp:posOffset>
              </wp:positionH>
              <wp:positionV relativeFrom="page">
                <wp:posOffset>647700</wp:posOffset>
              </wp:positionV>
              <wp:extent cx="546735" cy="709295"/>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6735" cy="709295"/>
                      </a:xfrm>
                      <a:prstGeom prst="rect">
                        <a:avLst/>
                      </a:prstGeom>
                      <a:solidFill>
                        <a:srgbClr val="FFFFFF"/>
                      </a:solidFill>
                      <a:ln w="9525">
                        <a:noFill/>
                        <a:miter lim="800000"/>
                        <a:headEnd/>
                        <a:tailEnd/>
                      </a:ln>
                    </wps:spPr>
                    <wps:txbx>
                      <w:txbxContent>
                        <w:p w14:paraId="2AB6CC2B" w14:textId="0A2CF35A" w:rsidR="00B8137C" w:rsidRDefault="00B8137C" w:rsidP="00C90B3B">
                          <w:pPr>
                            <w:pStyle w:val="MDPIheaderjournallogo"/>
                            <w:jc w:val="center"/>
                            <w:textboxTightWrap w:val="allLines"/>
                            <w:rPr>
                              <w:i w:val="0"/>
                              <w:szCs w:val="16"/>
                            </w:rPr>
                          </w:pPr>
                          <w:r w:rsidRPr="002549C8">
                            <w:rPr>
                              <w:i w:val="0"/>
                              <w:noProof/>
                              <w:szCs w:val="16"/>
                              <w:lang w:val="en-GB" w:eastAsia="en-GB"/>
                            </w:rPr>
                            <w:drawing>
                              <wp:inline distT="0" distB="0" distL="0" distR="0" wp14:anchorId="58E7DAFA" wp14:editId="335976BD">
                                <wp:extent cx="548640" cy="360680"/>
                                <wp:effectExtent l="0" t="0" r="3810" b="1270"/>
                                <wp:docPr id="4" name="Picture 5" descr="C:\Users\home\Desktop\logos\ori\png\logo-mdp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home\Desktop\logos\ori\png\logo-mdp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8640" cy="360680"/>
                                        </a:xfrm>
                                        <a:prstGeom prst="rect">
                                          <a:avLst/>
                                        </a:prstGeom>
                                        <a:noFill/>
                                        <a:ln>
                                          <a:noFill/>
                                        </a:ln>
                                      </pic:spPr>
                                    </pic:pic>
                                  </a:graphicData>
                                </a:graphic>
                              </wp:inline>
                            </w:drawing>
                          </w:r>
                        </w:p>
                      </w:txbxContent>
                    </wps:txbx>
                    <wps:bodyPr rot="0" vert="horz" wrap="none" lIns="0" tIns="0" rIns="0" bIns="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57E7B2AF" id="_x0000_t202" coordsize="21600,21600" o:spt="202" path="m,l,21600r21600,l21600,xe">
              <v:stroke joinstyle="miter"/>
              <v:path gradientshapeok="t" o:connecttype="rect"/>
            </v:shapetype>
            <v:shape id="Text Box 2" o:spid="_x0000_s1026" type="#_x0000_t202" style="position:absolute;margin-left:474.8pt;margin-top:51pt;width:43.05pt;height:55.85pt;z-index:-251658752;visibility:visible;mso-wrap-style:none;mso-width-percent:0;mso-height-percent:0;mso-wrap-distance-left:9pt;mso-wrap-distance-top:3.6pt;mso-wrap-distance-right:9pt;mso-wrap-distance-bottom:3.6pt;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" stroked="f">
              <v:textbox inset="0,0,0,0">
                <w:txbxContent>
                  <w:p w14:paraId="2AB6CC2B" w14:textId="0A2CF35A" w:rsidR="00B8137C" w:rsidRDefault="00B8137C" w:rsidP="00C90B3B">
                    <w:pPr>
                      <w:pStyle w:val="MDPIheaderjournallogo"/>
                      <w:jc w:val="center"/>
                      <w:textboxTightWrap w:val="allLines"/>
                      <w:rPr>
                        <w:i w:val="0"/>
                        <w:szCs w:val="16"/>
                      </w:rPr>
                    </w:pPr>
                    <w:r w:rsidRPr="002549C8">
                      <w:rPr>
                        <w:i w:val="0"/>
                        <w:noProof/>
                        <w:szCs w:val="16"/>
                        <w:lang w:eastAsia="zh-CN"/>
                      </w:rPr>
                      <w:drawing>
                        <wp:inline distT="0" distB="0" distL="0" distR="0" wp14:anchorId="58E7DAFA" wp14:editId="335976BD">
                          <wp:extent cx="548640" cy="360680"/>
                          <wp:effectExtent l="0" t="0" r="3810" b="1270"/>
                          <wp:docPr id="4" name="Picture 5" descr="C:\Users\home\Desktop\logos\ori\png\logo-mdp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home\Desktop\logos\ori\png\logo-mdpi.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8640" cy="360680"/>
                                  </a:xfrm>
                                  <a:prstGeom prst="rect">
                                    <a:avLst/>
                                  </a:prstGeom>
                                  <a:noFill/>
                                  <a:ln>
                                    <a:noFill/>
                                  </a:ln>
                                </pic:spPr>
                              </pic:pic>
                            </a:graphicData>
                          </a:graphic>
                        </wp:inline>
                      </w:drawing>
                    </w:r>
                  </w:p>
                </w:txbxContent>
              </v:textbox>
              <w10:wrap anchorx="page" anchory="page"/>
            </v:shape>
          </w:pict>
        </mc:Fallback>
      </mc:AlternateContent>
    </w:r>
    <w:r w:rsidRPr="00A04686">
      <w:rPr>
        <w:noProof/>
        <w:lang w:val="en-GB" w:eastAsia="en-GB"/>
      </w:rPr>
      <w:drawing>
        <wp:inline distT="0" distB="0" distL="0" distR="0" wp14:anchorId="6EBED9CF" wp14:editId="319D1F70">
          <wp:extent cx="1701800" cy="426720"/>
          <wp:effectExtent l="0" t="0" r="0" b="0"/>
          <wp:docPr id="5" name="Picture 7" descr="C:\Users\home\Desktop\logos\Nutrient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home\Desktop\logos\Nutrients-logo.png"/>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701800" cy="42672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AFD05FDC"/>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250A245F"/>
    <w:multiLevelType w:val="hybridMultilevel"/>
    <w:tmpl w:val="29E20A30"/>
    <w:lvl w:ilvl="0" w:tplc="1AF444CE">
      <w:start w:val="1"/>
      <w:numFmt w:val="decimal"/>
      <w:pStyle w:val="MDPI71References"/>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2805051C"/>
    <w:multiLevelType w:val="hybridMultilevel"/>
    <w:tmpl w:val="D6480D34"/>
    <w:lvl w:ilvl="0" w:tplc="CDCEE7DA">
      <w:start w:val="1"/>
      <w:numFmt w:val="decimal"/>
      <w:pStyle w:val="MDPI37itemize"/>
      <w:lvlText w:val="%1."/>
      <w:lvlJc w:val="left"/>
      <w:pPr>
        <w:ind w:left="1429" w:hanging="360"/>
      </w:pPr>
    </w:lvl>
    <w:lvl w:ilvl="1" w:tplc="08070019" w:tentative="1">
      <w:start w:val="1"/>
      <w:numFmt w:val="lowerLetter"/>
      <w:lvlText w:val="%2."/>
      <w:lvlJc w:val="left"/>
      <w:pPr>
        <w:ind w:left="2149" w:hanging="360"/>
      </w:pPr>
    </w:lvl>
    <w:lvl w:ilvl="2" w:tplc="0807001B" w:tentative="1">
      <w:start w:val="1"/>
      <w:numFmt w:val="lowerRoman"/>
      <w:lvlText w:val="%3."/>
      <w:lvlJc w:val="right"/>
      <w:pPr>
        <w:ind w:left="2869" w:hanging="180"/>
      </w:pPr>
    </w:lvl>
    <w:lvl w:ilvl="3" w:tplc="0807000F" w:tentative="1">
      <w:start w:val="1"/>
      <w:numFmt w:val="decimal"/>
      <w:lvlText w:val="%4."/>
      <w:lvlJc w:val="left"/>
      <w:pPr>
        <w:ind w:left="3589" w:hanging="360"/>
      </w:pPr>
    </w:lvl>
    <w:lvl w:ilvl="4" w:tplc="08070019" w:tentative="1">
      <w:start w:val="1"/>
      <w:numFmt w:val="lowerLetter"/>
      <w:lvlText w:val="%5."/>
      <w:lvlJc w:val="left"/>
      <w:pPr>
        <w:ind w:left="4309" w:hanging="360"/>
      </w:pPr>
    </w:lvl>
    <w:lvl w:ilvl="5" w:tplc="0807001B" w:tentative="1">
      <w:start w:val="1"/>
      <w:numFmt w:val="lowerRoman"/>
      <w:lvlText w:val="%6."/>
      <w:lvlJc w:val="right"/>
      <w:pPr>
        <w:ind w:left="5029" w:hanging="180"/>
      </w:pPr>
    </w:lvl>
    <w:lvl w:ilvl="6" w:tplc="0807000F" w:tentative="1">
      <w:start w:val="1"/>
      <w:numFmt w:val="decimal"/>
      <w:lvlText w:val="%7."/>
      <w:lvlJc w:val="left"/>
      <w:pPr>
        <w:ind w:left="5749" w:hanging="360"/>
      </w:pPr>
    </w:lvl>
    <w:lvl w:ilvl="7" w:tplc="08070019" w:tentative="1">
      <w:start w:val="1"/>
      <w:numFmt w:val="lowerLetter"/>
      <w:lvlText w:val="%8."/>
      <w:lvlJc w:val="left"/>
      <w:pPr>
        <w:ind w:left="6469" w:hanging="360"/>
      </w:pPr>
    </w:lvl>
    <w:lvl w:ilvl="8" w:tplc="0807001B" w:tentative="1">
      <w:start w:val="1"/>
      <w:numFmt w:val="lowerRoman"/>
      <w:lvlText w:val="%9."/>
      <w:lvlJc w:val="right"/>
      <w:pPr>
        <w:ind w:left="7189" w:hanging="180"/>
      </w:pPr>
    </w:lvl>
  </w:abstractNum>
  <w:abstractNum w:abstractNumId="3">
    <w:nsid w:val="369A6535"/>
    <w:multiLevelType w:val="hybridMultilevel"/>
    <w:tmpl w:val="3CB68362"/>
    <w:lvl w:ilvl="0" w:tplc="B2367048">
      <w:start w:val="1"/>
      <w:numFmt w:val="bullet"/>
      <w:pStyle w:val="MDPI38bullet"/>
      <w:lvlText w:val=""/>
      <w:lvlJc w:val="left"/>
      <w:pPr>
        <w:ind w:left="1429" w:hanging="360"/>
      </w:pPr>
      <w:rPr>
        <w:rFonts w:ascii="Symbol" w:hAnsi="Symbol" w:hint="default"/>
      </w:rPr>
    </w:lvl>
    <w:lvl w:ilvl="1" w:tplc="08070003" w:tentative="1">
      <w:start w:val="1"/>
      <w:numFmt w:val="bullet"/>
      <w:lvlText w:val="o"/>
      <w:lvlJc w:val="left"/>
      <w:pPr>
        <w:ind w:left="2149" w:hanging="360"/>
      </w:pPr>
      <w:rPr>
        <w:rFonts w:ascii="Courier New" w:hAnsi="Courier New" w:cs="Courier New" w:hint="default"/>
      </w:rPr>
    </w:lvl>
    <w:lvl w:ilvl="2" w:tplc="08070005" w:tentative="1">
      <w:start w:val="1"/>
      <w:numFmt w:val="bullet"/>
      <w:lvlText w:val=""/>
      <w:lvlJc w:val="left"/>
      <w:pPr>
        <w:ind w:left="2869" w:hanging="360"/>
      </w:pPr>
      <w:rPr>
        <w:rFonts w:ascii="Wingdings" w:hAnsi="Wingdings" w:hint="default"/>
      </w:rPr>
    </w:lvl>
    <w:lvl w:ilvl="3" w:tplc="08070001" w:tentative="1">
      <w:start w:val="1"/>
      <w:numFmt w:val="bullet"/>
      <w:lvlText w:val=""/>
      <w:lvlJc w:val="left"/>
      <w:pPr>
        <w:ind w:left="3589" w:hanging="360"/>
      </w:pPr>
      <w:rPr>
        <w:rFonts w:ascii="Symbol" w:hAnsi="Symbol" w:hint="default"/>
      </w:rPr>
    </w:lvl>
    <w:lvl w:ilvl="4" w:tplc="08070003" w:tentative="1">
      <w:start w:val="1"/>
      <w:numFmt w:val="bullet"/>
      <w:lvlText w:val="o"/>
      <w:lvlJc w:val="left"/>
      <w:pPr>
        <w:ind w:left="4309" w:hanging="360"/>
      </w:pPr>
      <w:rPr>
        <w:rFonts w:ascii="Courier New" w:hAnsi="Courier New" w:cs="Courier New" w:hint="default"/>
      </w:rPr>
    </w:lvl>
    <w:lvl w:ilvl="5" w:tplc="08070005" w:tentative="1">
      <w:start w:val="1"/>
      <w:numFmt w:val="bullet"/>
      <w:lvlText w:val=""/>
      <w:lvlJc w:val="left"/>
      <w:pPr>
        <w:ind w:left="5029" w:hanging="360"/>
      </w:pPr>
      <w:rPr>
        <w:rFonts w:ascii="Wingdings" w:hAnsi="Wingdings" w:hint="default"/>
      </w:rPr>
    </w:lvl>
    <w:lvl w:ilvl="6" w:tplc="08070001" w:tentative="1">
      <w:start w:val="1"/>
      <w:numFmt w:val="bullet"/>
      <w:lvlText w:val=""/>
      <w:lvlJc w:val="left"/>
      <w:pPr>
        <w:ind w:left="5749" w:hanging="360"/>
      </w:pPr>
      <w:rPr>
        <w:rFonts w:ascii="Symbol" w:hAnsi="Symbol" w:hint="default"/>
      </w:rPr>
    </w:lvl>
    <w:lvl w:ilvl="7" w:tplc="08070003" w:tentative="1">
      <w:start w:val="1"/>
      <w:numFmt w:val="bullet"/>
      <w:lvlText w:val="o"/>
      <w:lvlJc w:val="left"/>
      <w:pPr>
        <w:ind w:left="6469" w:hanging="360"/>
      </w:pPr>
      <w:rPr>
        <w:rFonts w:ascii="Courier New" w:hAnsi="Courier New" w:cs="Courier New" w:hint="default"/>
      </w:rPr>
    </w:lvl>
    <w:lvl w:ilvl="8" w:tplc="08070005" w:tentative="1">
      <w:start w:val="1"/>
      <w:numFmt w:val="bullet"/>
      <w:lvlText w:val=""/>
      <w:lvlJc w:val="left"/>
      <w:pPr>
        <w:ind w:left="7189" w:hanging="360"/>
      </w:pPr>
      <w:rPr>
        <w:rFonts w:ascii="Wingdings" w:hAnsi="Wingdings" w:hint="default"/>
      </w:rPr>
    </w:lvl>
  </w:abstractNum>
  <w:num w:numId="1">
    <w:abstractNumId w:val="2"/>
  </w:num>
  <w:num w:numId="2">
    <w:abstractNumId w:val="3"/>
  </w:num>
  <w:num w:numId="3">
    <w:abstractNumId w:val="1"/>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MDPI">
    <w15:presenceInfo w15:providerId="None" w15:userId="MDPI"/>
  </w15:person>
  <w15:person w15:author="Maddy Glenn">
    <w15:presenceInfo w15:providerId="Windows Live" w15:userId="3f9513b2dfd223a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attachedTemplate r:id="rId1"/>
  <w:defaultTabStop w:val="420"/>
  <w:drawingGridHorizontalSpacing w:val="120"/>
  <w:drawingGridVerticalSpacing w:val="163"/>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004C"/>
    <w:rsid w:val="000330FF"/>
    <w:rsid w:val="00070240"/>
    <w:rsid w:val="00077A11"/>
    <w:rsid w:val="000B6163"/>
    <w:rsid w:val="000F03E2"/>
    <w:rsid w:val="00192EF9"/>
    <w:rsid w:val="001E2AEB"/>
    <w:rsid w:val="001E4BE2"/>
    <w:rsid w:val="00202E01"/>
    <w:rsid w:val="0021329E"/>
    <w:rsid w:val="002549C8"/>
    <w:rsid w:val="0029512B"/>
    <w:rsid w:val="0032569D"/>
    <w:rsid w:val="00326141"/>
    <w:rsid w:val="00346205"/>
    <w:rsid w:val="00355677"/>
    <w:rsid w:val="00356611"/>
    <w:rsid w:val="003751AA"/>
    <w:rsid w:val="003934AC"/>
    <w:rsid w:val="003C2EDA"/>
    <w:rsid w:val="003E4154"/>
    <w:rsid w:val="003F7BFA"/>
    <w:rsid w:val="00401D30"/>
    <w:rsid w:val="00435811"/>
    <w:rsid w:val="004428CC"/>
    <w:rsid w:val="004A2214"/>
    <w:rsid w:val="004B543E"/>
    <w:rsid w:val="004C025E"/>
    <w:rsid w:val="004C3BAD"/>
    <w:rsid w:val="0058522B"/>
    <w:rsid w:val="005A79DF"/>
    <w:rsid w:val="005C74F1"/>
    <w:rsid w:val="00612EEA"/>
    <w:rsid w:val="00657213"/>
    <w:rsid w:val="00657B19"/>
    <w:rsid w:val="00674A62"/>
    <w:rsid w:val="00692393"/>
    <w:rsid w:val="006D5B1F"/>
    <w:rsid w:val="006F0855"/>
    <w:rsid w:val="0072004C"/>
    <w:rsid w:val="00721BCF"/>
    <w:rsid w:val="00797D64"/>
    <w:rsid w:val="00830F91"/>
    <w:rsid w:val="008313A9"/>
    <w:rsid w:val="00831BDE"/>
    <w:rsid w:val="0084006D"/>
    <w:rsid w:val="008427A3"/>
    <w:rsid w:val="00850CDD"/>
    <w:rsid w:val="00891137"/>
    <w:rsid w:val="008949C9"/>
    <w:rsid w:val="008B5FC5"/>
    <w:rsid w:val="00915BFC"/>
    <w:rsid w:val="00941E39"/>
    <w:rsid w:val="0099746A"/>
    <w:rsid w:val="009B682C"/>
    <w:rsid w:val="009C50EC"/>
    <w:rsid w:val="009F70E6"/>
    <w:rsid w:val="00A179BA"/>
    <w:rsid w:val="00AE6C73"/>
    <w:rsid w:val="00AF3A21"/>
    <w:rsid w:val="00B42244"/>
    <w:rsid w:val="00B6482E"/>
    <w:rsid w:val="00B751BD"/>
    <w:rsid w:val="00B8137C"/>
    <w:rsid w:val="00B919EF"/>
    <w:rsid w:val="00BD0170"/>
    <w:rsid w:val="00BD2F41"/>
    <w:rsid w:val="00BD3278"/>
    <w:rsid w:val="00BE04B3"/>
    <w:rsid w:val="00BE05D8"/>
    <w:rsid w:val="00C1192A"/>
    <w:rsid w:val="00C31AF5"/>
    <w:rsid w:val="00C64435"/>
    <w:rsid w:val="00C658BF"/>
    <w:rsid w:val="00C77084"/>
    <w:rsid w:val="00C86505"/>
    <w:rsid w:val="00C876E2"/>
    <w:rsid w:val="00C90B3B"/>
    <w:rsid w:val="00CC03C7"/>
    <w:rsid w:val="00CC0501"/>
    <w:rsid w:val="00CD265F"/>
    <w:rsid w:val="00CE591F"/>
    <w:rsid w:val="00DA6C33"/>
    <w:rsid w:val="00DD1D1E"/>
    <w:rsid w:val="00DD3F21"/>
    <w:rsid w:val="00E23D9F"/>
    <w:rsid w:val="00E80413"/>
    <w:rsid w:val="00EA3A8D"/>
    <w:rsid w:val="00EC71B4"/>
    <w:rsid w:val="00F300E3"/>
    <w:rsid w:val="00F560F3"/>
    <w:rsid w:val="00FA2128"/>
    <w:rsid w:val="00FC78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754B42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SimSun"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49C8"/>
    <w:pPr>
      <w:spacing w:line="340" w:lineRule="atLeast"/>
      <w:jc w:val="both"/>
    </w:pPr>
    <w:rPr>
      <w:rFonts w:ascii="Times New Roman" w:eastAsia="Times New Roman" w:hAnsi="Times New Roman"/>
      <w:color w:val="000000"/>
      <w:sz w:val="24"/>
      <w:lang w:eastAsia="de-DE"/>
    </w:rPr>
  </w:style>
  <w:style w:type="paragraph" w:styleId="Heading4">
    <w:name w:val="heading 4"/>
    <w:basedOn w:val="Normal"/>
    <w:next w:val="Normal"/>
    <w:link w:val="Heading4Char"/>
    <w:uiPriority w:val="9"/>
    <w:unhideWhenUsed/>
    <w:qFormat/>
    <w:rsid w:val="0072004C"/>
    <w:pPr>
      <w:keepNext/>
      <w:keepLines/>
      <w:spacing w:line="360" w:lineRule="auto"/>
      <w:jc w:val="left"/>
      <w:outlineLvl w:val="3"/>
    </w:pPr>
    <w:rPr>
      <w:rFonts w:ascii="Calibri" w:hAnsi="Calibri"/>
      <w:b/>
      <w:bCs/>
      <w:iCs/>
      <w:color w:val="auto"/>
      <w:sz w:val="22"/>
      <w:szCs w:val="24"/>
      <w:lang w:val="en-GB"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DPI11articletype">
    <w:name w:val="MDPI_1.1_article_type"/>
    <w:basedOn w:val="MDPI31text"/>
    <w:next w:val="MDPI12title"/>
    <w:qFormat/>
    <w:rsid w:val="002549C8"/>
    <w:pPr>
      <w:spacing w:before="240" w:line="240" w:lineRule="auto"/>
      <w:ind w:firstLine="0"/>
      <w:jc w:val="left"/>
    </w:pPr>
    <w:rPr>
      <w:i/>
    </w:rPr>
  </w:style>
  <w:style w:type="paragraph" w:customStyle="1" w:styleId="MDPI12title">
    <w:name w:val="MDPI_1.2_title"/>
    <w:next w:val="MDPI13authornames"/>
    <w:qFormat/>
    <w:rsid w:val="002549C8"/>
    <w:pPr>
      <w:adjustRightInd w:val="0"/>
      <w:snapToGrid w:val="0"/>
      <w:spacing w:after="240" w:line="400" w:lineRule="exact"/>
    </w:pPr>
    <w:rPr>
      <w:rFonts w:ascii="Palatino Linotype" w:eastAsia="Times New Roman" w:hAnsi="Palatino Linotype"/>
      <w:b/>
      <w:snapToGrid w:val="0"/>
      <w:color w:val="000000"/>
      <w:sz w:val="36"/>
      <w:lang w:eastAsia="de-DE" w:bidi="en-US"/>
    </w:rPr>
  </w:style>
  <w:style w:type="paragraph" w:customStyle="1" w:styleId="MDPI13authornames">
    <w:name w:val="MDPI_1.3_authornames"/>
    <w:basedOn w:val="MDPI31text"/>
    <w:next w:val="MDPI14history"/>
    <w:qFormat/>
    <w:rsid w:val="002549C8"/>
    <w:pPr>
      <w:spacing w:after="120"/>
      <w:ind w:firstLine="0"/>
      <w:jc w:val="left"/>
    </w:pPr>
    <w:rPr>
      <w:b/>
      <w:snapToGrid/>
    </w:rPr>
  </w:style>
  <w:style w:type="paragraph" w:customStyle="1" w:styleId="MDPI14history">
    <w:name w:val="MDPI_1.4_history"/>
    <w:basedOn w:val="MDPI62Acknowledgments"/>
    <w:next w:val="Normal"/>
    <w:qFormat/>
    <w:rsid w:val="002549C8"/>
    <w:pPr>
      <w:ind w:left="113"/>
      <w:jc w:val="left"/>
    </w:pPr>
    <w:rPr>
      <w:snapToGrid/>
    </w:rPr>
  </w:style>
  <w:style w:type="paragraph" w:customStyle="1" w:styleId="MDPI16affiliation">
    <w:name w:val="MDPI_1.6_affiliation"/>
    <w:basedOn w:val="MDPI62Acknowledgments"/>
    <w:qFormat/>
    <w:rsid w:val="002549C8"/>
    <w:pPr>
      <w:spacing w:before="0"/>
      <w:ind w:left="311" w:hanging="198"/>
      <w:jc w:val="left"/>
    </w:pPr>
    <w:rPr>
      <w:snapToGrid/>
      <w:szCs w:val="18"/>
    </w:rPr>
  </w:style>
  <w:style w:type="paragraph" w:customStyle="1" w:styleId="MDPI17abstract">
    <w:name w:val="MDPI_1.7_abstract"/>
    <w:basedOn w:val="MDPI31text"/>
    <w:next w:val="MDPI18keywords"/>
    <w:qFormat/>
    <w:rsid w:val="002549C8"/>
    <w:pPr>
      <w:spacing w:before="240"/>
      <w:ind w:left="113" w:firstLine="0"/>
    </w:pPr>
    <w:rPr>
      <w:snapToGrid/>
    </w:rPr>
  </w:style>
  <w:style w:type="paragraph" w:customStyle="1" w:styleId="MDPI18keywords">
    <w:name w:val="MDPI_1.8_keywords"/>
    <w:basedOn w:val="MDPI31text"/>
    <w:next w:val="Normal"/>
    <w:qFormat/>
    <w:rsid w:val="002549C8"/>
    <w:pPr>
      <w:spacing w:before="240"/>
      <w:ind w:left="113" w:firstLine="0"/>
    </w:pPr>
  </w:style>
  <w:style w:type="paragraph" w:customStyle="1" w:styleId="MDPI19line">
    <w:name w:val="MDPI_1.9_line"/>
    <w:basedOn w:val="MDPI31text"/>
    <w:qFormat/>
    <w:rsid w:val="002549C8"/>
    <w:pPr>
      <w:pBdr>
        <w:bottom w:val="single" w:sz="6" w:space="1" w:color="auto"/>
      </w:pBdr>
      <w:ind w:firstLine="0"/>
    </w:pPr>
    <w:rPr>
      <w:snapToGrid/>
      <w:szCs w:val="24"/>
    </w:rPr>
  </w:style>
  <w:style w:type="table" w:customStyle="1" w:styleId="Mdeck5tablebodythreelines">
    <w:name w:val="M_deck_5_table_body_three_lines"/>
    <w:basedOn w:val="TableNormal"/>
    <w:uiPriority w:val="99"/>
    <w:rsid w:val="002549C8"/>
    <w:pPr>
      <w:adjustRightInd w:val="0"/>
      <w:snapToGrid w:val="0"/>
      <w:spacing w:line="300" w:lineRule="exact"/>
      <w:jc w:val="center"/>
    </w:pPr>
    <w:rPr>
      <w:rFonts w:ascii="Times New Roman" w:hAnsi="Times New Roman"/>
      <w:lang w:val="de-DE" w:eastAsia="de-DE"/>
    </w:rPr>
    <w:tblPr>
      <w:jc w:val="center"/>
      <w:tblInd w:w="0" w:type="dxa"/>
      <w:tblBorders>
        <w:bottom w:val="single" w:sz="8" w:space="0" w:color="auto"/>
      </w:tblBorders>
      <w:tblCellMar>
        <w:top w:w="0" w:type="dxa"/>
        <w:left w:w="108" w:type="dxa"/>
        <w:bottom w:w="0" w:type="dxa"/>
        <w:right w:w="108" w:type="dxa"/>
      </w:tblCellMar>
    </w:tblPr>
    <w:trPr>
      <w:jc w:val="center"/>
    </w:trPr>
    <w:tcPr>
      <w:vAlign w:val="center"/>
    </w:tcPr>
    <w:tblStylePr w:type="firstRow">
      <w:pPr>
        <w:wordWrap/>
        <w:adjustRightInd w:val="0"/>
        <w:snapToGrid w:val="0"/>
        <w:spacing w:beforeLines="0" w:beforeAutospacing="0" w:afterLines="0" w:afterAutospacing="0" w:line="300" w:lineRule="exact"/>
        <w:ind w:leftChars="0" w:left="0" w:rightChars="0" w:right="0" w:firstLineChars="0" w:firstLine="0"/>
        <w:contextualSpacing w:val="0"/>
        <w:mirrorIndents w:val="0"/>
        <w:jc w:val="center"/>
        <w:outlineLvl w:val="9"/>
      </w:pPr>
      <w:rPr>
        <w:rFonts w:ascii="Times New Roman" w:eastAsia="Times New Roman" w:hAnsi="Times New Roman"/>
        <w:b w:val="0"/>
        <w:i w:val="0"/>
        <w:snapToGrid w:val="0"/>
        <w:sz w:val="22"/>
      </w:rPr>
      <w:tblPr/>
      <w:tcPr>
        <w:tcBorders>
          <w:top w:val="single" w:sz="8" w:space="0" w:color="auto"/>
          <w:left w:val="nil"/>
          <w:bottom w:val="single" w:sz="4" w:space="0" w:color="auto"/>
          <w:right w:val="nil"/>
          <w:insideH w:val="nil"/>
          <w:insideV w:val="nil"/>
          <w:tl2br w:val="nil"/>
          <w:tr2bl w:val="nil"/>
        </w:tcBorders>
      </w:tcPr>
    </w:tblStylePr>
  </w:style>
  <w:style w:type="table" w:styleId="TableGrid">
    <w:name w:val="Table Grid"/>
    <w:basedOn w:val="TableNormal"/>
    <w:uiPriority w:val="39"/>
    <w:rsid w:val="002549C8"/>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rsid w:val="002549C8"/>
    <w:pPr>
      <w:tabs>
        <w:tab w:val="center" w:pos="4153"/>
        <w:tab w:val="right" w:pos="8306"/>
      </w:tabs>
      <w:snapToGrid w:val="0"/>
      <w:spacing w:line="240" w:lineRule="atLeast"/>
    </w:pPr>
    <w:rPr>
      <w:sz w:val="18"/>
      <w:szCs w:val="18"/>
    </w:rPr>
  </w:style>
  <w:style w:type="character" w:customStyle="1" w:styleId="FooterChar">
    <w:name w:val="Footer Char"/>
    <w:link w:val="Footer"/>
    <w:uiPriority w:val="99"/>
    <w:rsid w:val="002549C8"/>
    <w:rPr>
      <w:rFonts w:ascii="Times New Roman" w:eastAsia="Times New Roman" w:hAnsi="Times New Roman" w:cs="Times New Roman"/>
      <w:color w:val="000000"/>
      <w:kern w:val="0"/>
      <w:sz w:val="18"/>
      <w:szCs w:val="18"/>
      <w:lang w:eastAsia="de-DE"/>
    </w:rPr>
  </w:style>
  <w:style w:type="paragraph" w:styleId="Header">
    <w:name w:val="header"/>
    <w:basedOn w:val="Normal"/>
    <w:link w:val="HeaderChar"/>
    <w:uiPriority w:val="99"/>
    <w:rsid w:val="002549C8"/>
    <w:pPr>
      <w:pBdr>
        <w:bottom w:val="single" w:sz="6" w:space="1" w:color="auto"/>
      </w:pBdr>
      <w:tabs>
        <w:tab w:val="center" w:pos="4153"/>
        <w:tab w:val="right" w:pos="8306"/>
      </w:tabs>
      <w:snapToGrid w:val="0"/>
      <w:spacing w:line="240" w:lineRule="atLeast"/>
      <w:jc w:val="center"/>
    </w:pPr>
    <w:rPr>
      <w:sz w:val="18"/>
      <w:szCs w:val="18"/>
    </w:rPr>
  </w:style>
  <w:style w:type="character" w:customStyle="1" w:styleId="HeaderChar">
    <w:name w:val="Header Char"/>
    <w:link w:val="Header"/>
    <w:uiPriority w:val="99"/>
    <w:rsid w:val="002549C8"/>
    <w:rPr>
      <w:rFonts w:ascii="Times New Roman" w:eastAsia="Times New Roman" w:hAnsi="Times New Roman" w:cs="Times New Roman"/>
      <w:color w:val="000000"/>
      <w:kern w:val="0"/>
      <w:sz w:val="18"/>
      <w:szCs w:val="18"/>
      <w:lang w:eastAsia="de-DE"/>
    </w:rPr>
  </w:style>
  <w:style w:type="paragraph" w:customStyle="1" w:styleId="MDPIheaderjournallogo">
    <w:name w:val="MDPI_header_journal_logo"/>
    <w:qFormat/>
    <w:rsid w:val="002549C8"/>
    <w:pPr>
      <w:adjustRightInd w:val="0"/>
      <w:snapToGrid w:val="0"/>
    </w:pPr>
    <w:rPr>
      <w:rFonts w:ascii="Palatino Linotype" w:eastAsia="Times New Roman" w:hAnsi="Palatino Linotype"/>
      <w:i/>
      <w:color w:val="000000"/>
      <w:sz w:val="24"/>
      <w:szCs w:val="22"/>
      <w:lang w:eastAsia="de-CH"/>
    </w:rPr>
  </w:style>
  <w:style w:type="paragraph" w:customStyle="1" w:styleId="MDPI32textnoindent">
    <w:name w:val="MDPI_3.2_text_no_indent"/>
    <w:basedOn w:val="MDPI31text"/>
    <w:qFormat/>
    <w:rsid w:val="002549C8"/>
    <w:pPr>
      <w:ind w:firstLine="0"/>
    </w:pPr>
  </w:style>
  <w:style w:type="paragraph" w:customStyle="1" w:styleId="MDPI33textspaceafter">
    <w:name w:val="MDPI_3.3_text_space_after"/>
    <w:basedOn w:val="MDPI31text"/>
    <w:qFormat/>
    <w:rsid w:val="002549C8"/>
    <w:pPr>
      <w:spacing w:after="240"/>
    </w:pPr>
  </w:style>
  <w:style w:type="paragraph" w:customStyle="1" w:styleId="MDPI35textbeforelist">
    <w:name w:val="MDPI_3.5_text_before_list"/>
    <w:basedOn w:val="MDPI31text"/>
    <w:qFormat/>
    <w:rsid w:val="002549C8"/>
    <w:pPr>
      <w:spacing w:after="120"/>
    </w:pPr>
  </w:style>
  <w:style w:type="paragraph" w:customStyle="1" w:styleId="MDPI36textafterlist">
    <w:name w:val="MDPI_3.6_text_after_list"/>
    <w:basedOn w:val="MDPI31text"/>
    <w:qFormat/>
    <w:rsid w:val="002549C8"/>
    <w:pPr>
      <w:spacing w:before="120"/>
    </w:pPr>
  </w:style>
  <w:style w:type="paragraph" w:customStyle="1" w:styleId="MDPI37itemize">
    <w:name w:val="MDPI_3.7_itemize"/>
    <w:basedOn w:val="MDPI31text"/>
    <w:qFormat/>
    <w:rsid w:val="002549C8"/>
    <w:pPr>
      <w:numPr>
        <w:numId w:val="1"/>
      </w:numPr>
      <w:ind w:left="425" w:hanging="425"/>
    </w:pPr>
  </w:style>
  <w:style w:type="paragraph" w:customStyle="1" w:styleId="MDPI38bullet">
    <w:name w:val="MDPI_3.8_bullet"/>
    <w:basedOn w:val="MDPI31text"/>
    <w:qFormat/>
    <w:rsid w:val="002549C8"/>
    <w:pPr>
      <w:numPr>
        <w:numId w:val="2"/>
      </w:numPr>
      <w:ind w:left="425" w:hanging="425"/>
    </w:pPr>
  </w:style>
  <w:style w:type="paragraph" w:customStyle="1" w:styleId="MDPI39equation">
    <w:name w:val="MDPI_3.9_equation"/>
    <w:basedOn w:val="MDPI31text"/>
    <w:qFormat/>
    <w:rsid w:val="002549C8"/>
    <w:pPr>
      <w:spacing w:before="120" w:after="120"/>
      <w:ind w:left="709" w:firstLine="0"/>
      <w:jc w:val="center"/>
    </w:pPr>
  </w:style>
  <w:style w:type="paragraph" w:customStyle="1" w:styleId="MDPI3aequationnumber">
    <w:name w:val="MDPI_3.a_equation_number"/>
    <w:basedOn w:val="MDPI31text"/>
    <w:qFormat/>
    <w:rsid w:val="002549C8"/>
    <w:pPr>
      <w:spacing w:before="120" w:after="120" w:line="240" w:lineRule="auto"/>
      <w:ind w:firstLine="0"/>
      <w:jc w:val="right"/>
    </w:pPr>
  </w:style>
  <w:style w:type="paragraph" w:customStyle="1" w:styleId="MDPI62Acknowledgments">
    <w:name w:val="MDPI_6.2_Acknowledgments"/>
    <w:qFormat/>
    <w:rsid w:val="002549C8"/>
    <w:pPr>
      <w:adjustRightInd w:val="0"/>
      <w:snapToGrid w:val="0"/>
      <w:spacing w:before="120" w:line="200" w:lineRule="atLeast"/>
      <w:jc w:val="both"/>
    </w:pPr>
    <w:rPr>
      <w:rFonts w:ascii="Palatino Linotype" w:eastAsia="Times New Roman" w:hAnsi="Palatino Linotype"/>
      <w:snapToGrid w:val="0"/>
      <w:color w:val="000000"/>
      <w:sz w:val="18"/>
      <w:lang w:eastAsia="de-DE" w:bidi="en-US"/>
    </w:rPr>
  </w:style>
  <w:style w:type="paragraph" w:customStyle="1" w:styleId="MDPI41tablecaption">
    <w:name w:val="MDPI_4.1_table_caption"/>
    <w:basedOn w:val="MDPI62Acknowledgments"/>
    <w:qFormat/>
    <w:rsid w:val="002549C8"/>
    <w:pPr>
      <w:spacing w:before="240" w:after="120" w:line="260" w:lineRule="atLeast"/>
      <w:ind w:left="425" w:right="425"/>
    </w:pPr>
    <w:rPr>
      <w:snapToGrid/>
      <w:szCs w:val="22"/>
    </w:rPr>
  </w:style>
  <w:style w:type="paragraph" w:customStyle="1" w:styleId="MDPI42tablebody">
    <w:name w:val="MDPI_4.2_table_body"/>
    <w:qFormat/>
    <w:rsid w:val="008949C9"/>
    <w:pPr>
      <w:adjustRightInd w:val="0"/>
      <w:snapToGrid w:val="0"/>
      <w:spacing w:line="260" w:lineRule="atLeast"/>
      <w:jc w:val="center"/>
    </w:pPr>
    <w:rPr>
      <w:rFonts w:ascii="Palatino Linotype" w:eastAsia="Times New Roman" w:hAnsi="Palatino Linotype"/>
      <w:snapToGrid w:val="0"/>
      <w:color w:val="000000"/>
      <w:lang w:eastAsia="de-DE" w:bidi="en-US"/>
    </w:rPr>
  </w:style>
  <w:style w:type="paragraph" w:customStyle="1" w:styleId="MDPI43tablefooter">
    <w:name w:val="MDPI_4.3_table_footer"/>
    <w:basedOn w:val="MDPI41tablecaption"/>
    <w:next w:val="MDPI31text"/>
    <w:qFormat/>
    <w:rsid w:val="002549C8"/>
    <w:pPr>
      <w:spacing w:before="0"/>
      <w:ind w:left="0" w:right="0"/>
    </w:pPr>
  </w:style>
  <w:style w:type="paragraph" w:customStyle="1" w:styleId="MDPI51figurecaption">
    <w:name w:val="MDPI_5.1_figure_caption"/>
    <w:basedOn w:val="MDPI62Acknowledgments"/>
    <w:qFormat/>
    <w:rsid w:val="002549C8"/>
    <w:pPr>
      <w:spacing w:after="240" w:line="260" w:lineRule="atLeast"/>
      <w:ind w:left="425" w:right="425"/>
    </w:pPr>
    <w:rPr>
      <w:snapToGrid/>
    </w:rPr>
  </w:style>
  <w:style w:type="paragraph" w:customStyle="1" w:styleId="MDPI52figure">
    <w:name w:val="MDPI_5.2_figure"/>
    <w:qFormat/>
    <w:rsid w:val="002549C8"/>
    <w:pPr>
      <w:jc w:val="center"/>
    </w:pPr>
    <w:rPr>
      <w:rFonts w:ascii="Palatino Linotype" w:eastAsia="Times New Roman" w:hAnsi="Palatino Linotype"/>
      <w:snapToGrid w:val="0"/>
      <w:color w:val="000000"/>
      <w:sz w:val="24"/>
      <w:lang w:eastAsia="de-DE" w:bidi="en-US"/>
    </w:rPr>
  </w:style>
  <w:style w:type="paragraph" w:customStyle="1" w:styleId="MDPI61Supplementary">
    <w:name w:val="MDPI_6.1_Supplementary"/>
    <w:basedOn w:val="MDPI62Acknowledgments"/>
    <w:qFormat/>
    <w:rsid w:val="002549C8"/>
    <w:pPr>
      <w:spacing w:before="240"/>
    </w:pPr>
    <w:rPr>
      <w:lang w:eastAsia="en-US"/>
    </w:rPr>
  </w:style>
  <w:style w:type="paragraph" w:customStyle="1" w:styleId="MDPI63AuthorContributions">
    <w:name w:val="MDPI_6.3_AuthorContributions"/>
    <w:basedOn w:val="MDPI62Acknowledgments"/>
    <w:qFormat/>
    <w:rsid w:val="002549C8"/>
    <w:rPr>
      <w:rFonts w:eastAsia="SimSun"/>
      <w:color w:val="auto"/>
      <w:lang w:eastAsia="en-US"/>
    </w:rPr>
  </w:style>
  <w:style w:type="paragraph" w:customStyle="1" w:styleId="MDPI64CoI">
    <w:name w:val="MDPI_6.4_CoI"/>
    <w:basedOn w:val="MDPI62Acknowledgments"/>
    <w:qFormat/>
    <w:rsid w:val="002549C8"/>
  </w:style>
  <w:style w:type="paragraph" w:customStyle="1" w:styleId="MDPIfooterfirstpage">
    <w:name w:val="MDPI_footer_firstpage"/>
    <w:basedOn w:val="Normal"/>
    <w:qFormat/>
    <w:rsid w:val="002549C8"/>
    <w:pPr>
      <w:tabs>
        <w:tab w:val="right" w:pos="8845"/>
      </w:tabs>
      <w:adjustRightInd w:val="0"/>
      <w:snapToGrid w:val="0"/>
      <w:spacing w:before="120" w:line="160" w:lineRule="exact"/>
      <w:jc w:val="left"/>
    </w:pPr>
    <w:rPr>
      <w:rFonts w:ascii="Palatino Linotype" w:hAnsi="Palatino Linotype"/>
      <w:color w:val="auto"/>
      <w:sz w:val="16"/>
    </w:rPr>
  </w:style>
  <w:style w:type="paragraph" w:customStyle="1" w:styleId="MDPI31text">
    <w:name w:val="MDPI_3.1_text"/>
    <w:qFormat/>
    <w:rsid w:val="002549C8"/>
    <w:pPr>
      <w:adjustRightInd w:val="0"/>
      <w:snapToGrid w:val="0"/>
      <w:spacing w:line="260" w:lineRule="atLeast"/>
      <w:ind w:firstLine="425"/>
      <w:jc w:val="both"/>
    </w:pPr>
    <w:rPr>
      <w:rFonts w:ascii="Palatino Linotype" w:eastAsia="Times New Roman" w:hAnsi="Palatino Linotype"/>
      <w:snapToGrid w:val="0"/>
      <w:color w:val="000000"/>
      <w:szCs w:val="22"/>
      <w:lang w:eastAsia="de-DE" w:bidi="en-US"/>
    </w:rPr>
  </w:style>
  <w:style w:type="paragraph" w:customStyle="1" w:styleId="MDPI23heading3">
    <w:name w:val="MDPI_2.3_heading3"/>
    <w:basedOn w:val="MDPI31text"/>
    <w:qFormat/>
    <w:rsid w:val="002549C8"/>
    <w:pPr>
      <w:spacing w:before="240" w:after="120"/>
      <w:ind w:firstLine="0"/>
      <w:jc w:val="left"/>
      <w:outlineLvl w:val="2"/>
    </w:pPr>
  </w:style>
  <w:style w:type="paragraph" w:customStyle="1" w:styleId="MDPI21heading1">
    <w:name w:val="MDPI_2.1_heading1"/>
    <w:basedOn w:val="MDPI23heading3"/>
    <w:qFormat/>
    <w:rsid w:val="002549C8"/>
    <w:pPr>
      <w:outlineLvl w:val="0"/>
    </w:pPr>
    <w:rPr>
      <w:b/>
    </w:rPr>
  </w:style>
  <w:style w:type="paragraph" w:customStyle="1" w:styleId="MDPI22heading2">
    <w:name w:val="MDPI_2.2_heading2"/>
    <w:basedOn w:val="Normal"/>
    <w:qFormat/>
    <w:rsid w:val="002549C8"/>
    <w:pPr>
      <w:kinsoku w:val="0"/>
      <w:overflowPunct w:val="0"/>
      <w:autoSpaceDE w:val="0"/>
      <w:autoSpaceDN w:val="0"/>
      <w:adjustRightInd w:val="0"/>
      <w:snapToGrid w:val="0"/>
      <w:spacing w:before="240" w:after="120" w:line="260" w:lineRule="atLeast"/>
      <w:jc w:val="left"/>
      <w:outlineLvl w:val="1"/>
    </w:pPr>
    <w:rPr>
      <w:rFonts w:ascii="Palatino Linotype" w:hAnsi="Palatino Linotype"/>
      <w:i/>
      <w:noProof/>
      <w:snapToGrid w:val="0"/>
      <w:sz w:val="20"/>
      <w:szCs w:val="22"/>
      <w:lang w:bidi="en-US"/>
    </w:rPr>
  </w:style>
  <w:style w:type="paragraph" w:customStyle="1" w:styleId="MDPI71References">
    <w:name w:val="MDPI_7.1_References"/>
    <w:basedOn w:val="MDPI62Acknowledgments"/>
    <w:qFormat/>
    <w:rsid w:val="002549C8"/>
    <w:pPr>
      <w:numPr>
        <w:numId w:val="3"/>
      </w:numPr>
      <w:spacing w:before="0" w:line="260" w:lineRule="atLeast"/>
      <w:ind w:left="425" w:hanging="425"/>
    </w:pPr>
  </w:style>
  <w:style w:type="paragraph" w:styleId="BalloonText">
    <w:name w:val="Balloon Text"/>
    <w:basedOn w:val="Normal"/>
    <w:link w:val="BalloonTextChar"/>
    <w:uiPriority w:val="99"/>
    <w:semiHidden/>
    <w:unhideWhenUsed/>
    <w:rsid w:val="002549C8"/>
    <w:pPr>
      <w:spacing w:line="240" w:lineRule="auto"/>
    </w:pPr>
    <w:rPr>
      <w:sz w:val="18"/>
      <w:szCs w:val="18"/>
    </w:rPr>
  </w:style>
  <w:style w:type="character" w:customStyle="1" w:styleId="BalloonTextChar">
    <w:name w:val="Balloon Text Char"/>
    <w:link w:val="BalloonText"/>
    <w:uiPriority w:val="99"/>
    <w:semiHidden/>
    <w:rsid w:val="002549C8"/>
    <w:rPr>
      <w:rFonts w:ascii="Times New Roman" w:eastAsia="Times New Roman" w:hAnsi="Times New Roman" w:cs="Times New Roman"/>
      <w:color w:val="000000"/>
      <w:kern w:val="0"/>
      <w:sz w:val="18"/>
      <w:szCs w:val="18"/>
      <w:lang w:eastAsia="de-DE"/>
    </w:rPr>
  </w:style>
  <w:style w:type="character" w:styleId="LineNumber">
    <w:name w:val="line number"/>
    <w:basedOn w:val="DefaultParagraphFont"/>
    <w:uiPriority w:val="99"/>
    <w:semiHidden/>
    <w:unhideWhenUsed/>
    <w:rsid w:val="002549C8"/>
  </w:style>
  <w:style w:type="table" w:customStyle="1" w:styleId="MDPI41threelinetable">
    <w:name w:val="MDPI_4.1_three_line_table"/>
    <w:basedOn w:val="TableNormal"/>
    <w:uiPriority w:val="99"/>
    <w:rsid w:val="008949C9"/>
    <w:pPr>
      <w:adjustRightInd w:val="0"/>
      <w:snapToGrid w:val="0"/>
      <w:jc w:val="center"/>
    </w:pPr>
    <w:rPr>
      <w:rFonts w:ascii="Palatino Linotype" w:hAnsi="Palatino Linotype"/>
      <w:color w:val="000000"/>
    </w:rPr>
    <w:tblPr>
      <w:jc w:val="center"/>
      <w:tblInd w:w="0" w:type="dxa"/>
      <w:tblBorders>
        <w:top w:val="single" w:sz="8" w:space="0" w:color="auto"/>
        <w:bottom w:val="single" w:sz="8" w:space="0" w:color="auto"/>
      </w:tblBorders>
      <w:tblCellMar>
        <w:top w:w="0" w:type="dxa"/>
        <w:left w:w="108" w:type="dxa"/>
        <w:bottom w:w="0" w:type="dxa"/>
        <w:right w:w="108" w:type="dxa"/>
      </w:tblCellMar>
    </w:tblPr>
    <w:trPr>
      <w:jc w:val="center"/>
    </w:trPr>
    <w:tcPr>
      <w:vAlign w:val="center"/>
    </w:tcPr>
    <w:tblStylePr w:type="firstRow">
      <w:rPr>
        <w:rFonts w:ascii="Palatino Linotype" w:hAnsi="Palatino Linotype"/>
        <w:b/>
        <w:i w:val="0"/>
        <w:sz w:val="20"/>
      </w:rPr>
      <w:tblPr/>
      <w:tcPr>
        <w:tcBorders>
          <w:bottom w:val="single" w:sz="4" w:space="0" w:color="auto"/>
        </w:tcBorders>
      </w:tcPr>
    </w:tblStylePr>
  </w:style>
  <w:style w:type="character" w:styleId="Hyperlink">
    <w:name w:val="Hyperlink"/>
    <w:uiPriority w:val="99"/>
    <w:unhideWhenUsed/>
    <w:rsid w:val="00AF3A21"/>
    <w:rPr>
      <w:color w:val="0563C1"/>
      <w:u w:val="single"/>
    </w:rPr>
  </w:style>
  <w:style w:type="character" w:customStyle="1" w:styleId="UnresolvedMention1">
    <w:name w:val="Unresolved Mention1"/>
    <w:uiPriority w:val="99"/>
    <w:semiHidden/>
    <w:unhideWhenUsed/>
    <w:rsid w:val="00891137"/>
    <w:rPr>
      <w:color w:val="605E5C"/>
      <w:shd w:val="clear" w:color="auto" w:fill="E1DFDD"/>
    </w:rPr>
  </w:style>
  <w:style w:type="table" w:customStyle="1" w:styleId="PlainTable4">
    <w:name w:val="Plain Table 4"/>
    <w:basedOn w:val="TableNormal"/>
    <w:uiPriority w:val="44"/>
    <w:rsid w:val="008313A9"/>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Heading4Char">
    <w:name w:val="Heading 4 Char"/>
    <w:basedOn w:val="DefaultParagraphFont"/>
    <w:link w:val="Heading4"/>
    <w:uiPriority w:val="9"/>
    <w:rsid w:val="0072004C"/>
    <w:rPr>
      <w:rFonts w:eastAsia="Times New Roman"/>
      <w:b/>
      <w:bCs/>
      <w:iCs/>
      <w:sz w:val="22"/>
      <w:szCs w:val="24"/>
      <w:lang w:val="en-GB" w:eastAsia="en-US"/>
    </w:rPr>
  </w:style>
  <w:style w:type="character" w:styleId="CommentReference">
    <w:name w:val="annotation reference"/>
    <w:uiPriority w:val="99"/>
    <w:semiHidden/>
    <w:unhideWhenUsed/>
    <w:rsid w:val="0072004C"/>
    <w:rPr>
      <w:sz w:val="16"/>
      <w:szCs w:val="16"/>
    </w:rPr>
  </w:style>
  <w:style w:type="paragraph" w:styleId="CommentText">
    <w:name w:val="annotation text"/>
    <w:basedOn w:val="Normal"/>
    <w:link w:val="CommentTextChar"/>
    <w:uiPriority w:val="99"/>
    <w:semiHidden/>
    <w:unhideWhenUsed/>
    <w:rsid w:val="0072004C"/>
    <w:rPr>
      <w:sz w:val="20"/>
    </w:rPr>
  </w:style>
  <w:style w:type="character" w:customStyle="1" w:styleId="CommentTextChar">
    <w:name w:val="Comment Text Char"/>
    <w:basedOn w:val="DefaultParagraphFont"/>
    <w:link w:val="CommentText"/>
    <w:uiPriority w:val="99"/>
    <w:semiHidden/>
    <w:rsid w:val="0072004C"/>
    <w:rPr>
      <w:rFonts w:ascii="Times New Roman" w:eastAsia="Times New Roman" w:hAnsi="Times New Roman"/>
      <w:color w:val="000000"/>
      <w:lang w:eastAsia="de-DE"/>
    </w:rPr>
  </w:style>
  <w:style w:type="paragraph" w:styleId="CommentSubject">
    <w:name w:val="annotation subject"/>
    <w:basedOn w:val="CommentText"/>
    <w:next w:val="CommentText"/>
    <w:link w:val="CommentSubjectChar"/>
    <w:uiPriority w:val="99"/>
    <w:semiHidden/>
    <w:unhideWhenUsed/>
    <w:rsid w:val="0072004C"/>
    <w:rPr>
      <w:b/>
      <w:bCs/>
    </w:rPr>
  </w:style>
  <w:style w:type="character" w:customStyle="1" w:styleId="CommentSubjectChar">
    <w:name w:val="Comment Subject Char"/>
    <w:basedOn w:val="CommentTextChar"/>
    <w:link w:val="CommentSubject"/>
    <w:uiPriority w:val="99"/>
    <w:semiHidden/>
    <w:rsid w:val="0072004C"/>
    <w:rPr>
      <w:rFonts w:ascii="Times New Roman" w:eastAsia="Times New Roman" w:hAnsi="Times New Roman"/>
      <w:b/>
      <w:bCs/>
      <w:color w:val="000000"/>
      <w:lang w:eastAsia="de-DE"/>
    </w:rPr>
  </w:style>
  <w:style w:type="paragraph" w:customStyle="1" w:styleId="MDPI15academiceditor">
    <w:name w:val="MDPI_1.5_academic_editor"/>
    <w:qFormat/>
    <w:rsid w:val="0072004C"/>
    <w:pPr>
      <w:adjustRightInd w:val="0"/>
      <w:snapToGrid w:val="0"/>
      <w:spacing w:line="260" w:lineRule="atLeast"/>
      <w:ind w:left="113"/>
    </w:pPr>
    <w:rPr>
      <w:rFonts w:ascii="Palatino Linotype" w:eastAsia="Times New Roman" w:hAnsi="Palatino Linotype"/>
      <w:color w:val="000000"/>
      <w:sz w:val="18"/>
      <w:szCs w:val="22"/>
      <w:lang w:eastAsia="de-DE" w:bidi="en-US"/>
    </w:rPr>
  </w:style>
  <w:style w:type="paragraph" w:customStyle="1" w:styleId="MDPI19classification">
    <w:name w:val="MDPI_1.9_classification"/>
    <w:qFormat/>
    <w:rsid w:val="0072004C"/>
    <w:pPr>
      <w:spacing w:before="240" w:line="260" w:lineRule="atLeast"/>
      <w:ind w:left="113"/>
      <w:jc w:val="both"/>
    </w:pPr>
    <w:rPr>
      <w:rFonts w:ascii="Palatino Linotype" w:eastAsia="Times New Roman" w:hAnsi="Palatino Linotype"/>
      <w:b/>
      <w:color w:val="000000"/>
      <w:szCs w:val="22"/>
      <w:lang w:eastAsia="de-DE" w:bidi="en-US"/>
    </w:rPr>
  </w:style>
  <w:style w:type="paragraph" w:customStyle="1" w:styleId="MDPI34textspacebefore">
    <w:name w:val="MDPI_3.4_text_space_before"/>
    <w:qFormat/>
    <w:rsid w:val="0072004C"/>
    <w:pPr>
      <w:spacing w:before="240" w:line="260" w:lineRule="atLeast"/>
      <w:jc w:val="both"/>
    </w:pPr>
    <w:rPr>
      <w:rFonts w:ascii="Palatino Linotype" w:eastAsia="Times New Roman" w:hAnsi="Palatino Linotype"/>
      <w:snapToGrid w:val="0"/>
      <w:color w:val="000000"/>
      <w:szCs w:val="22"/>
      <w:lang w:eastAsia="de-DE" w:bidi="en-US"/>
    </w:rPr>
  </w:style>
  <w:style w:type="paragraph" w:customStyle="1" w:styleId="MDPI411onetablecaption">
    <w:name w:val="MDPI_4.1.1_one_table_caption"/>
    <w:qFormat/>
    <w:rsid w:val="0072004C"/>
    <w:pPr>
      <w:adjustRightInd w:val="0"/>
      <w:snapToGrid w:val="0"/>
      <w:spacing w:before="240" w:after="120" w:line="260" w:lineRule="atLeast"/>
      <w:jc w:val="center"/>
    </w:pPr>
    <w:rPr>
      <w:rFonts w:ascii="Palatino Linotype" w:hAnsi="Palatino Linotype"/>
      <w:noProof/>
      <w:color w:val="000000"/>
      <w:sz w:val="18"/>
      <w:szCs w:val="22"/>
      <w:lang w:bidi="en-US"/>
    </w:rPr>
  </w:style>
  <w:style w:type="paragraph" w:customStyle="1" w:styleId="MDPI511onefigurecaption">
    <w:name w:val="MDPI_5.1.1_one_figure_caption"/>
    <w:qFormat/>
    <w:rsid w:val="0072004C"/>
    <w:pPr>
      <w:adjustRightInd w:val="0"/>
      <w:snapToGrid w:val="0"/>
      <w:spacing w:before="240" w:after="120" w:line="260" w:lineRule="atLeast"/>
      <w:jc w:val="center"/>
    </w:pPr>
    <w:rPr>
      <w:rFonts w:ascii="Palatino Linotype" w:hAnsi="Palatino Linotype"/>
      <w:noProof/>
      <w:color w:val="000000"/>
      <w:sz w:val="18"/>
      <w:lang w:bidi="en-US"/>
    </w:rPr>
  </w:style>
  <w:style w:type="paragraph" w:customStyle="1" w:styleId="MDPI72Copyright">
    <w:name w:val="MDPI_7.2_Copyright"/>
    <w:qFormat/>
    <w:rsid w:val="0072004C"/>
    <w:pPr>
      <w:adjustRightInd w:val="0"/>
      <w:snapToGrid w:val="0"/>
      <w:spacing w:before="400" w:line="260" w:lineRule="atLeast"/>
      <w:jc w:val="both"/>
    </w:pPr>
    <w:rPr>
      <w:rFonts w:ascii="Palatino Linotype" w:eastAsia="Times New Roman" w:hAnsi="Palatino Linotype"/>
      <w:noProof/>
      <w:snapToGrid w:val="0"/>
      <w:color w:val="000000"/>
      <w:spacing w:val="-2"/>
      <w:sz w:val="18"/>
      <w:lang w:val="en-GB" w:eastAsia="en-GB"/>
    </w:rPr>
  </w:style>
  <w:style w:type="paragraph" w:customStyle="1" w:styleId="MDPI73CopyrightImage">
    <w:name w:val="MDPI_7.3_CopyrightImage"/>
    <w:rsid w:val="0072004C"/>
    <w:pPr>
      <w:adjustRightInd w:val="0"/>
      <w:snapToGrid w:val="0"/>
      <w:spacing w:after="100" w:line="260" w:lineRule="atLeast"/>
      <w:jc w:val="right"/>
    </w:pPr>
    <w:rPr>
      <w:rFonts w:ascii="Palatino Linotype" w:eastAsia="Times New Roman" w:hAnsi="Palatino Linotype"/>
      <w:color w:val="000000"/>
      <w:lang w:eastAsia="de-CH"/>
    </w:rPr>
  </w:style>
  <w:style w:type="paragraph" w:customStyle="1" w:styleId="MDPI81theorem">
    <w:name w:val="MDPI_8.1_theorem"/>
    <w:qFormat/>
    <w:rsid w:val="0072004C"/>
    <w:pPr>
      <w:spacing w:line="260" w:lineRule="atLeast"/>
      <w:jc w:val="both"/>
    </w:pPr>
    <w:rPr>
      <w:rFonts w:ascii="Palatino Linotype" w:eastAsia="Times New Roman" w:hAnsi="Palatino Linotype"/>
      <w:i/>
      <w:snapToGrid w:val="0"/>
      <w:color w:val="000000"/>
      <w:szCs w:val="22"/>
      <w:lang w:eastAsia="de-DE" w:bidi="en-US"/>
    </w:rPr>
  </w:style>
  <w:style w:type="paragraph" w:customStyle="1" w:styleId="MDPI82proof">
    <w:name w:val="MDPI_8.2_proof"/>
    <w:qFormat/>
    <w:rsid w:val="0072004C"/>
    <w:pPr>
      <w:spacing w:line="260" w:lineRule="atLeast"/>
      <w:jc w:val="both"/>
    </w:pPr>
    <w:rPr>
      <w:rFonts w:ascii="Palatino Linotype" w:eastAsia="Times New Roman" w:hAnsi="Palatino Linotype"/>
      <w:snapToGrid w:val="0"/>
      <w:color w:val="000000"/>
      <w:szCs w:val="22"/>
      <w:lang w:eastAsia="de-DE" w:bidi="en-US"/>
    </w:rPr>
  </w:style>
  <w:style w:type="paragraph" w:customStyle="1" w:styleId="MDPIequationFram">
    <w:name w:val="MDPI_equationFram"/>
    <w:qFormat/>
    <w:rsid w:val="0072004C"/>
    <w:pPr>
      <w:adjustRightInd w:val="0"/>
      <w:snapToGrid w:val="0"/>
      <w:spacing w:before="120" w:after="120"/>
      <w:jc w:val="center"/>
    </w:pPr>
    <w:rPr>
      <w:rFonts w:ascii="Palatino Linotype" w:eastAsia="Times New Roman" w:hAnsi="Palatino Linotype"/>
      <w:snapToGrid w:val="0"/>
      <w:color w:val="000000"/>
      <w:szCs w:val="22"/>
      <w:lang w:eastAsia="de-DE" w:bidi="en-US"/>
    </w:rPr>
  </w:style>
  <w:style w:type="paragraph" w:customStyle="1" w:styleId="MDPIfooter">
    <w:name w:val="MDPI_footer"/>
    <w:qFormat/>
    <w:rsid w:val="0072004C"/>
    <w:pPr>
      <w:adjustRightInd w:val="0"/>
      <w:snapToGrid w:val="0"/>
      <w:spacing w:before="120" w:line="260" w:lineRule="atLeast"/>
      <w:jc w:val="center"/>
    </w:pPr>
    <w:rPr>
      <w:rFonts w:ascii="Palatino Linotype" w:eastAsia="Times New Roman" w:hAnsi="Palatino Linotype"/>
      <w:color w:val="000000"/>
      <w:lang w:eastAsia="de-DE"/>
    </w:rPr>
  </w:style>
  <w:style w:type="paragraph" w:customStyle="1" w:styleId="MDPIheader">
    <w:name w:val="MDPI_header"/>
    <w:qFormat/>
    <w:rsid w:val="0072004C"/>
    <w:pPr>
      <w:adjustRightInd w:val="0"/>
      <w:snapToGrid w:val="0"/>
      <w:spacing w:after="240" w:line="260" w:lineRule="atLeast"/>
      <w:jc w:val="both"/>
    </w:pPr>
    <w:rPr>
      <w:rFonts w:ascii="Palatino Linotype" w:eastAsia="Times New Roman" w:hAnsi="Palatino Linotype"/>
      <w:iCs/>
      <w:color w:val="000000"/>
      <w:sz w:val="16"/>
      <w:lang w:eastAsia="de-DE"/>
    </w:rPr>
  </w:style>
  <w:style w:type="paragraph" w:customStyle="1" w:styleId="MDPIheadercitation">
    <w:name w:val="MDPI_header_citation"/>
    <w:rsid w:val="0072004C"/>
    <w:pPr>
      <w:spacing w:after="240"/>
    </w:pPr>
    <w:rPr>
      <w:rFonts w:ascii="Palatino Linotype" w:eastAsia="Times New Roman" w:hAnsi="Palatino Linotype"/>
      <w:snapToGrid w:val="0"/>
      <w:color w:val="000000"/>
      <w:sz w:val="18"/>
      <w:lang w:eastAsia="de-DE" w:bidi="en-US"/>
    </w:rPr>
  </w:style>
  <w:style w:type="paragraph" w:customStyle="1" w:styleId="MDPIheadermdpilogo">
    <w:name w:val="MDPI_header_mdpi_logo"/>
    <w:qFormat/>
    <w:rsid w:val="0072004C"/>
    <w:pPr>
      <w:adjustRightInd w:val="0"/>
      <w:snapToGrid w:val="0"/>
      <w:spacing w:line="260" w:lineRule="atLeast"/>
      <w:jc w:val="right"/>
    </w:pPr>
    <w:rPr>
      <w:rFonts w:ascii="Palatino Linotype" w:eastAsia="Times New Roman" w:hAnsi="Palatino Linotype"/>
      <w:color w:val="000000"/>
      <w:sz w:val="24"/>
      <w:szCs w:val="22"/>
      <w:lang w:eastAsia="de-CH"/>
    </w:rPr>
  </w:style>
  <w:style w:type="paragraph" w:customStyle="1" w:styleId="MDPItext">
    <w:name w:val="MDPI_text"/>
    <w:qFormat/>
    <w:rsid w:val="0072004C"/>
    <w:pPr>
      <w:spacing w:line="260" w:lineRule="atLeast"/>
      <w:ind w:left="425" w:right="425" w:firstLine="284"/>
      <w:jc w:val="both"/>
    </w:pPr>
    <w:rPr>
      <w:rFonts w:ascii="Times New Roman" w:eastAsia="Times New Roman" w:hAnsi="Times New Roman"/>
      <w:noProof/>
      <w:snapToGrid w:val="0"/>
      <w:color w:val="000000"/>
      <w:sz w:val="22"/>
      <w:szCs w:val="22"/>
      <w:lang w:eastAsia="de-DE" w:bidi="en-US"/>
    </w:rPr>
  </w:style>
  <w:style w:type="paragraph" w:customStyle="1" w:styleId="MDPItitle">
    <w:name w:val="MDPI_title"/>
    <w:qFormat/>
    <w:rsid w:val="0072004C"/>
    <w:pPr>
      <w:adjustRightInd w:val="0"/>
      <w:snapToGrid w:val="0"/>
      <w:spacing w:after="240" w:line="260" w:lineRule="atLeast"/>
      <w:jc w:val="both"/>
    </w:pPr>
    <w:rPr>
      <w:rFonts w:ascii="Palatino Linotype" w:eastAsia="Times New Roman" w:hAnsi="Palatino Linotype"/>
      <w:b/>
      <w:snapToGrid w:val="0"/>
      <w:color w:val="000000"/>
      <w:sz w:val="36"/>
      <w:lang w:eastAsia="de-DE" w:bidi="en-US"/>
    </w:rPr>
  </w:style>
  <w:style w:type="character" w:styleId="Strong">
    <w:name w:val="Strong"/>
    <w:uiPriority w:val="22"/>
    <w:qFormat/>
    <w:rsid w:val="0072004C"/>
    <w:rPr>
      <w:b/>
      <w:bCs/>
    </w:rPr>
  </w:style>
  <w:style w:type="paragraph" w:styleId="ListBullet">
    <w:name w:val="List Bullet"/>
    <w:basedOn w:val="Normal"/>
    <w:uiPriority w:val="99"/>
    <w:unhideWhenUsed/>
    <w:rsid w:val="00B8137C"/>
    <w:pPr>
      <w:numPr>
        <w:numId w:val="5"/>
      </w:numPr>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SimSun"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49C8"/>
    <w:pPr>
      <w:spacing w:line="340" w:lineRule="atLeast"/>
      <w:jc w:val="both"/>
    </w:pPr>
    <w:rPr>
      <w:rFonts w:ascii="Times New Roman" w:eastAsia="Times New Roman" w:hAnsi="Times New Roman"/>
      <w:color w:val="000000"/>
      <w:sz w:val="24"/>
      <w:lang w:eastAsia="de-DE"/>
    </w:rPr>
  </w:style>
  <w:style w:type="paragraph" w:styleId="Heading4">
    <w:name w:val="heading 4"/>
    <w:basedOn w:val="Normal"/>
    <w:next w:val="Normal"/>
    <w:link w:val="Heading4Char"/>
    <w:uiPriority w:val="9"/>
    <w:unhideWhenUsed/>
    <w:qFormat/>
    <w:rsid w:val="0072004C"/>
    <w:pPr>
      <w:keepNext/>
      <w:keepLines/>
      <w:spacing w:line="360" w:lineRule="auto"/>
      <w:jc w:val="left"/>
      <w:outlineLvl w:val="3"/>
    </w:pPr>
    <w:rPr>
      <w:rFonts w:ascii="Calibri" w:hAnsi="Calibri"/>
      <w:b/>
      <w:bCs/>
      <w:iCs/>
      <w:color w:val="auto"/>
      <w:sz w:val="22"/>
      <w:szCs w:val="24"/>
      <w:lang w:val="en-GB"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DPI11articletype">
    <w:name w:val="MDPI_1.1_article_type"/>
    <w:basedOn w:val="MDPI31text"/>
    <w:next w:val="MDPI12title"/>
    <w:qFormat/>
    <w:rsid w:val="002549C8"/>
    <w:pPr>
      <w:spacing w:before="240" w:line="240" w:lineRule="auto"/>
      <w:ind w:firstLine="0"/>
      <w:jc w:val="left"/>
    </w:pPr>
    <w:rPr>
      <w:i/>
    </w:rPr>
  </w:style>
  <w:style w:type="paragraph" w:customStyle="1" w:styleId="MDPI12title">
    <w:name w:val="MDPI_1.2_title"/>
    <w:next w:val="MDPI13authornames"/>
    <w:qFormat/>
    <w:rsid w:val="002549C8"/>
    <w:pPr>
      <w:adjustRightInd w:val="0"/>
      <w:snapToGrid w:val="0"/>
      <w:spacing w:after="240" w:line="400" w:lineRule="exact"/>
    </w:pPr>
    <w:rPr>
      <w:rFonts w:ascii="Palatino Linotype" w:eastAsia="Times New Roman" w:hAnsi="Palatino Linotype"/>
      <w:b/>
      <w:snapToGrid w:val="0"/>
      <w:color w:val="000000"/>
      <w:sz w:val="36"/>
      <w:lang w:eastAsia="de-DE" w:bidi="en-US"/>
    </w:rPr>
  </w:style>
  <w:style w:type="paragraph" w:customStyle="1" w:styleId="MDPI13authornames">
    <w:name w:val="MDPI_1.3_authornames"/>
    <w:basedOn w:val="MDPI31text"/>
    <w:next w:val="MDPI14history"/>
    <w:qFormat/>
    <w:rsid w:val="002549C8"/>
    <w:pPr>
      <w:spacing w:after="120"/>
      <w:ind w:firstLine="0"/>
      <w:jc w:val="left"/>
    </w:pPr>
    <w:rPr>
      <w:b/>
      <w:snapToGrid/>
    </w:rPr>
  </w:style>
  <w:style w:type="paragraph" w:customStyle="1" w:styleId="MDPI14history">
    <w:name w:val="MDPI_1.4_history"/>
    <w:basedOn w:val="MDPI62Acknowledgments"/>
    <w:next w:val="Normal"/>
    <w:qFormat/>
    <w:rsid w:val="002549C8"/>
    <w:pPr>
      <w:ind w:left="113"/>
      <w:jc w:val="left"/>
    </w:pPr>
    <w:rPr>
      <w:snapToGrid/>
    </w:rPr>
  </w:style>
  <w:style w:type="paragraph" w:customStyle="1" w:styleId="MDPI16affiliation">
    <w:name w:val="MDPI_1.6_affiliation"/>
    <w:basedOn w:val="MDPI62Acknowledgments"/>
    <w:qFormat/>
    <w:rsid w:val="002549C8"/>
    <w:pPr>
      <w:spacing w:before="0"/>
      <w:ind w:left="311" w:hanging="198"/>
      <w:jc w:val="left"/>
    </w:pPr>
    <w:rPr>
      <w:snapToGrid/>
      <w:szCs w:val="18"/>
    </w:rPr>
  </w:style>
  <w:style w:type="paragraph" w:customStyle="1" w:styleId="MDPI17abstract">
    <w:name w:val="MDPI_1.7_abstract"/>
    <w:basedOn w:val="MDPI31text"/>
    <w:next w:val="MDPI18keywords"/>
    <w:qFormat/>
    <w:rsid w:val="002549C8"/>
    <w:pPr>
      <w:spacing w:before="240"/>
      <w:ind w:left="113" w:firstLine="0"/>
    </w:pPr>
    <w:rPr>
      <w:snapToGrid/>
    </w:rPr>
  </w:style>
  <w:style w:type="paragraph" w:customStyle="1" w:styleId="MDPI18keywords">
    <w:name w:val="MDPI_1.8_keywords"/>
    <w:basedOn w:val="MDPI31text"/>
    <w:next w:val="Normal"/>
    <w:qFormat/>
    <w:rsid w:val="002549C8"/>
    <w:pPr>
      <w:spacing w:before="240"/>
      <w:ind w:left="113" w:firstLine="0"/>
    </w:pPr>
  </w:style>
  <w:style w:type="paragraph" w:customStyle="1" w:styleId="MDPI19line">
    <w:name w:val="MDPI_1.9_line"/>
    <w:basedOn w:val="MDPI31text"/>
    <w:qFormat/>
    <w:rsid w:val="002549C8"/>
    <w:pPr>
      <w:pBdr>
        <w:bottom w:val="single" w:sz="6" w:space="1" w:color="auto"/>
      </w:pBdr>
      <w:ind w:firstLine="0"/>
    </w:pPr>
    <w:rPr>
      <w:snapToGrid/>
      <w:szCs w:val="24"/>
    </w:rPr>
  </w:style>
  <w:style w:type="table" w:customStyle="1" w:styleId="Mdeck5tablebodythreelines">
    <w:name w:val="M_deck_5_table_body_three_lines"/>
    <w:basedOn w:val="TableNormal"/>
    <w:uiPriority w:val="99"/>
    <w:rsid w:val="002549C8"/>
    <w:pPr>
      <w:adjustRightInd w:val="0"/>
      <w:snapToGrid w:val="0"/>
      <w:spacing w:line="300" w:lineRule="exact"/>
      <w:jc w:val="center"/>
    </w:pPr>
    <w:rPr>
      <w:rFonts w:ascii="Times New Roman" w:hAnsi="Times New Roman"/>
      <w:lang w:val="de-DE" w:eastAsia="de-DE"/>
    </w:rPr>
    <w:tblPr>
      <w:jc w:val="center"/>
      <w:tblInd w:w="0" w:type="dxa"/>
      <w:tblBorders>
        <w:bottom w:val="single" w:sz="8" w:space="0" w:color="auto"/>
      </w:tblBorders>
      <w:tblCellMar>
        <w:top w:w="0" w:type="dxa"/>
        <w:left w:w="108" w:type="dxa"/>
        <w:bottom w:w="0" w:type="dxa"/>
        <w:right w:w="108" w:type="dxa"/>
      </w:tblCellMar>
    </w:tblPr>
    <w:trPr>
      <w:jc w:val="center"/>
    </w:trPr>
    <w:tcPr>
      <w:vAlign w:val="center"/>
    </w:tcPr>
    <w:tblStylePr w:type="firstRow">
      <w:pPr>
        <w:wordWrap/>
        <w:adjustRightInd w:val="0"/>
        <w:snapToGrid w:val="0"/>
        <w:spacing w:beforeLines="0" w:beforeAutospacing="0" w:afterLines="0" w:afterAutospacing="0" w:line="300" w:lineRule="exact"/>
        <w:ind w:leftChars="0" w:left="0" w:rightChars="0" w:right="0" w:firstLineChars="0" w:firstLine="0"/>
        <w:contextualSpacing w:val="0"/>
        <w:mirrorIndents w:val="0"/>
        <w:jc w:val="center"/>
        <w:outlineLvl w:val="9"/>
      </w:pPr>
      <w:rPr>
        <w:rFonts w:ascii="Times New Roman" w:eastAsia="Times New Roman" w:hAnsi="Times New Roman"/>
        <w:b w:val="0"/>
        <w:i w:val="0"/>
        <w:snapToGrid w:val="0"/>
        <w:sz w:val="22"/>
      </w:rPr>
      <w:tblPr/>
      <w:tcPr>
        <w:tcBorders>
          <w:top w:val="single" w:sz="8" w:space="0" w:color="auto"/>
          <w:left w:val="nil"/>
          <w:bottom w:val="single" w:sz="4" w:space="0" w:color="auto"/>
          <w:right w:val="nil"/>
          <w:insideH w:val="nil"/>
          <w:insideV w:val="nil"/>
          <w:tl2br w:val="nil"/>
          <w:tr2bl w:val="nil"/>
        </w:tcBorders>
      </w:tcPr>
    </w:tblStylePr>
  </w:style>
  <w:style w:type="table" w:styleId="TableGrid">
    <w:name w:val="Table Grid"/>
    <w:basedOn w:val="TableNormal"/>
    <w:uiPriority w:val="39"/>
    <w:rsid w:val="002549C8"/>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rsid w:val="002549C8"/>
    <w:pPr>
      <w:tabs>
        <w:tab w:val="center" w:pos="4153"/>
        <w:tab w:val="right" w:pos="8306"/>
      </w:tabs>
      <w:snapToGrid w:val="0"/>
      <w:spacing w:line="240" w:lineRule="atLeast"/>
    </w:pPr>
    <w:rPr>
      <w:sz w:val="18"/>
      <w:szCs w:val="18"/>
    </w:rPr>
  </w:style>
  <w:style w:type="character" w:customStyle="1" w:styleId="FooterChar">
    <w:name w:val="Footer Char"/>
    <w:link w:val="Footer"/>
    <w:uiPriority w:val="99"/>
    <w:rsid w:val="002549C8"/>
    <w:rPr>
      <w:rFonts w:ascii="Times New Roman" w:eastAsia="Times New Roman" w:hAnsi="Times New Roman" w:cs="Times New Roman"/>
      <w:color w:val="000000"/>
      <w:kern w:val="0"/>
      <w:sz w:val="18"/>
      <w:szCs w:val="18"/>
      <w:lang w:eastAsia="de-DE"/>
    </w:rPr>
  </w:style>
  <w:style w:type="paragraph" w:styleId="Header">
    <w:name w:val="header"/>
    <w:basedOn w:val="Normal"/>
    <w:link w:val="HeaderChar"/>
    <w:uiPriority w:val="99"/>
    <w:rsid w:val="002549C8"/>
    <w:pPr>
      <w:pBdr>
        <w:bottom w:val="single" w:sz="6" w:space="1" w:color="auto"/>
      </w:pBdr>
      <w:tabs>
        <w:tab w:val="center" w:pos="4153"/>
        <w:tab w:val="right" w:pos="8306"/>
      </w:tabs>
      <w:snapToGrid w:val="0"/>
      <w:spacing w:line="240" w:lineRule="atLeast"/>
      <w:jc w:val="center"/>
    </w:pPr>
    <w:rPr>
      <w:sz w:val="18"/>
      <w:szCs w:val="18"/>
    </w:rPr>
  </w:style>
  <w:style w:type="character" w:customStyle="1" w:styleId="HeaderChar">
    <w:name w:val="Header Char"/>
    <w:link w:val="Header"/>
    <w:uiPriority w:val="99"/>
    <w:rsid w:val="002549C8"/>
    <w:rPr>
      <w:rFonts w:ascii="Times New Roman" w:eastAsia="Times New Roman" w:hAnsi="Times New Roman" w:cs="Times New Roman"/>
      <w:color w:val="000000"/>
      <w:kern w:val="0"/>
      <w:sz w:val="18"/>
      <w:szCs w:val="18"/>
      <w:lang w:eastAsia="de-DE"/>
    </w:rPr>
  </w:style>
  <w:style w:type="paragraph" w:customStyle="1" w:styleId="MDPIheaderjournallogo">
    <w:name w:val="MDPI_header_journal_logo"/>
    <w:qFormat/>
    <w:rsid w:val="002549C8"/>
    <w:pPr>
      <w:adjustRightInd w:val="0"/>
      <w:snapToGrid w:val="0"/>
    </w:pPr>
    <w:rPr>
      <w:rFonts w:ascii="Palatino Linotype" w:eastAsia="Times New Roman" w:hAnsi="Palatino Linotype"/>
      <w:i/>
      <w:color w:val="000000"/>
      <w:sz w:val="24"/>
      <w:szCs w:val="22"/>
      <w:lang w:eastAsia="de-CH"/>
    </w:rPr>
  </w:style>
  <w:style w:type="paragraph" w:customStyle="1" w:styleId="MDPI32textnoindent">
    <w:name w:val="MDPI_3.2_text_no_indent"/>
    <w:basedOn w:val="MDPI31text"/>
    <w:qFormat/>
    <w:rsid w:val="002549C8"/>
    <w:pPr>
      <w:ind w:firstLine="0"/>
    </w:pPr>
  </w:style>
  <w:style w:type="paragraph" w:customStyle="1" w:styleId="MDPI33textspaceafter">
    <w:name w:val="MDPI_3.3_text_space_after"/>
    <w:basedOn w:val="MDPI31text"/>
    <w:qFormat/>
    <w:rsid w:val="002549C8"/>
    <w:pPr>
      <w:spacing w:after="240"/>
    </w:pPr>
  </w:style>
  <w:style w:type="paragraph" w:customStyle="1" w:styleId="MDPI35textbeforelist">
    <w:name w:val="MDPI_3.5_text_before_list"/>
    <w:basedOn w:val="MDPI31text"/>
    <w:qFormat/>
    <w:rsid w:val="002549C8"/>
    <w:pPr>
      <w:spacing w:after="120"/>
    </w:pPr>
  </w:style>
  <w:style w:type="paragraph" w:customStyle="1" w:styleId="MDPI36textafterlist">
    <w:name w:val="MDPI_3.6_text_after_list"/>
    <w:basedOn w:val="MDPI31text"/>
    <w:qFormat/>
    <w:rsid w:val="002549C8"/>
    <w:pPr>
      <w:spacing w:before="120"/>
    </w:pPr>
  </w:style>
  <w:style w:type="paragraph" w:customStyle="1" w:styleId="MDPI37itemize">
    <w:name w:val="MDPI_3.7_itemize"/>
    <w:basedOn w:val="MDPI31text"/>
    <w:qFormat/>
    <w:rsid w:val="002549C8"/>
    <w:pPr>
      <w:numPr>
        <w:numId w:val="1"/>
      </w:numPr>
      <w:ind w:left="425" w:hanging="425"/>
    </w:pPr>
  </w:style>
  <w:style w:type="paragraph" w:customStyle="1" w:styleId="MDPI38bullet">
    <w:name w:val="MDPI_3.8_bullet"/>
    <w:basedOn w:val="MDPI31text"/>
    <w:qFormat/>
    <w:rsid w:val="002549C8"/>
    <w:pPr>
      <w:numPr>
        <w:numId w:val="2"/>
      </w:numPr>
      <w:ind w:left="425" w:hanging="425"/>
    </w:pPr>
  </w:style>
  <w:style w:type="paragraph" w:customStyle="1" w:styleId="MDPI39equation">
    <w:name w:val="MDPI_3.9_equation"/>
    <w:basedOn w:val="MDPI31text"/>
    <w:qFormat/>
    <w:rsid w:val="002549C8"/>
    <w:pPr>
      <w:spacing w:before="120" w:after="120"/>
      <w:ind w:left="709" w:firstLine="0"/>
      <w:jc w:val="center"/>
    </w:pPr>
  </w:style>
  <w:style w:type="paragraph" w:customStyle="1" w:styleId="MDPI3aequationnumber">
    <w:name w:val="MDPI_3.a_equation_number"/>
    <w:basedOn w:val="MDPI31text"/>
    <w:qFormat/>
    <w:rsid w:val="002549C8"/>
    <w:pPr>
      <w:spacing w:before="120" w:after="120" w:line="240" w:lineRule="auto"/>
      <w:ind w:firstLine="0"/>
      <w:jc w:val="right"/>
    </w:pPr>
  </w:style>
  <w:style w:type="paragraph" w:customStyle="1" w:styleId="MDPI62Acknowledgments">
    <w:name w:val="MDPI_6.2_Acknowledgments"/>
    <w:qFormat/>
    <w:rsid w:val="002549C8"/>
    <w:pPr>
      <w:adjustRightInd w:val="0"/>
      <w:snapToGrid w:val="0"/>
      <w:spacing w:before="120" w:line="200" w:lineRule="atLeast"/>
      <w:jc w:val="both"/>
    </w:pPr>
    <w:rPr>
      <w:rFonts w:ascii="Palatino Linotype" w:eastAsia="Times New Roman" w:hAnsi="Palatino Linotype"/>
      <w:snapToGrid w:val="0"/>
      <w:color w:val="000000"/>
      <w:sz w:val="18"/>
      <w:lang w:eastAsia="de-DE" w:bidi="en-US"/>
    </w:rPr>
  </w:style>
  <w:style w:type="paragraph" w:customStyle="1" w:styleId="MDPI41tablecaption">
    <w:name w:val="MDPI_4.1_table_caption"/>
    <w:basedOn w:val="MDPI62Acknowledgments"/>
    <w:qFormat/>
    <w:rsid w:val="002549C8"/>
    <w:pPr>
      <w:spacing w:before="240" w:after="120" w:line="260" w:lineRule="atLeast"/>
      <w:ind w:left="425" w:right="425"/>
    </w:pPr>
    <w:rPr>
      <w:snapToGrid/>
      <w:szCs w:val="22"/>
    </w:rPr>
  </w:style>
  <w:style w:type="paragraph" w:customStyle="1" w:styleId="MDPI42tablebody">
    <w:name w:val="MDPI_4.2_table_body"/>
    <w:qFormat/>
    <w:rsid w:val="008949C9"/>
    <w:pPr>
      <w:adjustRightInd w:val="0"/>
      <w:snapToGrid w:val="0"/>
      <w:spacing w:line="260" w:lineRule="atLeast"/>
      <w:jc w:val="center"/>
    </w:pPr>
    <w:rPr>
      <w:rFonts w:ascii="Palatino Linotype" w:eastAsia="Times New Roman" w:hAnsi="Palatino Linotype"/>
      <w:snapToGrid w:val="0"/>
      <w:color w:val="000000"/>
      <w:lang w:eastAsia="de-DE" w:bidi="en-US"/>
    </w:rPr>
  </w:style>
  <w:style w:type="paragraph" w:customStyle="1" w:styleId="MDPI43tablefooter">
    <w:name w:val="MDPI_4.3_table_footer"/>
    <w:basedOn w:val="MDPI41tablecaption"/>
    <w:next w:val="MDPI31text"/>
    <w:qFormat/>
    <w:rsid w:val="002549C8"/>
    <w:pPr>
      <w:spacing w:before="0"/>
      <w:ind w:left="0" w:right="0"/>
    </w:pPr>
  </w:style>
  <w:style w:type="paragraph" w:customStyle="1" w:styleId="MDPI51figurecaption">
    <w:name w:val="MDPI_5.1_figure_caption"/>
    <w:basedOn w:val="MDPI62Acknowledgments"/>
    <w:qFormat/>
    <w:rsid w:val="002549C8"/>
    <w:pPr>
      <w:spacing w:after="240" w:line="260" w:lineRule="atLeast"/>
      <w:ind w:left="425" w:right="425"/>
    </w:pPr>
    <w:rPr>
      <w:snapToGrid/>
    </w:rPr>
  </w:style>
  <w:style w:type="paragraph" w:customStyle="1" w:styleId="MDPI52figure">
    <w:name w:val="MDPI_5.2_figure"/>
    <w:qFormat/>
    <w:rsid w:val="002549C8"/>
    <w:pPr>
      <w:jc w:val="center"/>
    </w:pPr>
    <w:rPr>
      <w:rFonts w:ascii="Palatino Linotype" w:eastAsia="Times New Roman" w:hAnsi="Palatino Linotype"/>
      <w:snapToGrid w:val="0"/>
      <w:color w:val="000000"/>
      <w:sz w:val="24"/>
      <w:lang w:eastAsia="de-DE" w:bidi="en-US"/>
    </w:rPr>
  </w:style>
  <w:style w:type="paragraph" w:customStyle="1" w:styleId="MDPI61Supplementary">
    <w:name w:val="MDPI_6.1_Supplementary"/>
    <w:basedOn w:val="MDPI62Acknowledgments"/>
    <w:qFormat/>
    <w:rsid w:val="002549C8"/>
    <w:pPr>
      <w:spacing w:before="240"/>
    </w:pPr>
    <w:rPr>
      <w:lang w:eastAsia="en-US"/>
    </w:rPr>
  </w:style>
  <w:style w:type="paragraph" w:customStyle="1" w:styleId="MDPI63AuthorContributions">
    <w:name w:val="MDPI_6.3_AuthorContributions"/>
    <w:basedOn w:val="MDPI62Acknowledgments"/>
    <w:qFormat/>
    <w:rsid w:val="002549C8"/>
    <w:rPr>
      <w:rFonts w:eastAsia="SimSun"/>
      <w:color w:val="auto"/>
      <w:lang w:eastAsia="en-US"/>
    </w:rPr>
  </w:style>
  <w:style w:type="paragraph" w:customStyle="1" w:styleId="MDPI64CoI">
    <w:name w:val="MDPI_6.4_CoI"/>
    <w:basedOn w:val="MDPI62Acknowledgments"/>
    <w:qFormat/>
    <w:rsid w:val="002549C8"/>
  </w:style>
  <w:style w:type="paragraph" w:customStyle="1" w:styleId="MDPIfooterfirstpage">
    <w:name w:val="MDPI_footer_firstpage"/>
    <w:basedOn w:val="Normal"/>
    <w:qFormat/>
    <w:rsid w:val="002549C8"/>
    <w:pPr>
      <w:tabs>
        <w:tab w:val="right" w:pos="8845"/>
      </w:tabs>
      <w:adjustRightInd w:val="0"/>
      <w:snapToGrid w:val="0"/>
      <w:spacing w:before="120" w:line="160" w:lineRule="exact"/>
      <w:jc w:val="left"/>
    </w:pPr>
    <w:rPr>
      <w:rFonts w:ascii="Palatino Linotype" w:hAnsi="Palatino Linotype"/>
      <w:color w:val="auto"/>
      <w:sz w:val="16"/>
    </w:rPr>
  </w:style>
  <w:style w:type="paragraph" w:customStyle="1" w:styleId="MDPI31text">
    <w:name w:val="MDPI_3.1_text"/>
    <w:qFormat/>
    <w:rsid w:val="002549C8"/>
    <w:pPr>
      <w:adjustRightInd w:val="0"/>
      <w:snapToGrid w:val="0"/>
      <w:spacing w:line="260" w:lineRule="atLeast"/>
      <w:ind w:firstLine="425"/>
      <w:jc w:val="both"/>
    </w:pPr>
    <w:rPr>
      <w:rFonts w:ascii="Palatino Linotype" w:eastAsia="Times New Roman" w:hAnsi="Palatino Linotype"/>
      <w:snapToGrid w:val="0"/>
      <w:color w:val="000000"/>
      <w:szCs w:val="22"/>
      <w:lang w:eastAsia="de-DE" w:bidi="en-US"/>
    </w:rPr>
  </w:style>
  <w:style w:type="paragraph" w:customStyle="1" w:styleId="MDPI23heading3">
    <w:name w:val="MDPI_2.3_heading3"/>
    <w:basedOn w:val="MDPI31text"/>
    <w:qFormat/>
    <w:rsid w:val="002549C8"/>
    <w:pPr>
      <w:spacing w:before="240" w:after="120"/>
      <w:ind w:firstLine="0"/>
      <w:jc w:val="left"/>
      <w:outlineLvl w:val="2"/>
    </w:pPr>
  </w:style>
  <w:style w:type="paragraph" w:customStyle="1" w:styleId="MDPI21heading1">
    <w:name w:val="MDPI_2.1_heading1"/>
    <w:basedOn w:val="MDPI23heading3"/>
    <w:qFormat/>
    <w:rsid w:val="002549C8"/>
    <w:pPr>
      <w:outlineLvl w:val="0"/>
    </w:pPr>
    <w:rPr>
      <w:b/>
    </w:rPr>
  </w:style>
  <w:style w:type="paragraph" w:customStyle="1" w:styleId="MDPI22heading2">
    <w:name w:val="MDPI_2.2_heading2"/>
    <w:basedOn w:val="Normal"/>
    <w:qFormat/>
    <w:rsid w:val="002549C8"/>
    <w:pPr>
      <w:kinsoku w:val="0"/>
      <w:overflowPunct w:val="0"/>
      <w:autoSpaceDE w:val="0"/>
      <w:autoSpaceDN w:val="0"/>
      <w:adjustRightInd w:val="0"/>
      <w:snapToGrid w:val="0"/>
      <w:spacing w:before="240" w:after="120" w:line="260" w:lineRule="atLeast"/>
      <w:jc w:val="left"/>
      <w:outlineLvl w:val="1"/>
    </w:pPr>
    <w:rPr>
      <w:rFonts w:ascii="Palatino Linotype" w:hAnsi="Palatino Linotype"/>
      <w:i/>
      <w:noProof/>
      <w:snapToGrid w:val="0"/>
      <w:sz w:val="20"/>
      <w:szCs w:val="22"/>
      <w:lang w:bidi="en-US"/>
    </w:rPr>
  </w:style>
  <w:style w:type="paragraph" w:customStyle="1" w:styleId="MDPI71References">
    <w:name w:val="MDPI_7.1_References"/>
    <w:basedOn w:val="MDPI62Acknowledgments"/>
    <w:qFormat/>
    <w:rsid w:val="002549C8"/>
    <w:pPr>
      <w:numPr>
        <w:numId w:val="3"/>
      </w:numPr>
      <w:spacing w:before="0" w:line="260" w:lineRule="atLeast"/>
      <w:ind w:left="425" w:hanging="425"/>
    </w:pPr>
  </w:style>
  <w:style w:type="paragraph" w:styleId="BalloonText">
    <w:name w:val="Balloon Text"/>
    <w:basedOn w:val="Normal"/>
    <w:link w:val="BalloonTextChar"/>
    <w:uiPriority w:val="99"/>
    <w:semiHidden/>
    <w:unhideWhenUsed/>
    <w:rsid w:val="002549C8"/>
    <w:pPr>
      <w:spacing w:line="240" w:lineRule="auto"/>
    </w:pPr>
    <w:rPr>
      <w:sz w:val="18"/>
      <w:szCs w:val="18"/>
    </w:rPr>
  </w:style>
  <w:style w:type="character" w:customStyle="1" w:styleId="BalloonTextChar">
    <w:name w:val="Balloon Text Char"/>
    <w:link w:val="BalloonText"/>
    <w:uiPriority w:val="99"/>
    <w:semiHidden/>
    <w:rsid w:val="002549C8"/>
    <w:rPr>
      <w:rFonts w:ascii="Times New Roman" w:eastAsia="Times New Roman" w:hAnsi="Times New Roman" w:cs="Times New Roman"/>
      <w:color w:val="000000"/>
      <w:kern w:val="0"/>
      <w:sz w:val="18"/>
      <w:szCs w:val="18"/>
      <w:lang w:eastAsia="de-DE"/>
    </w:rPr>
  </w:style>
  <w:style w:type="character" w:styleId="LineNumber">
    <w:name w:val="line number"/>
    <w:basedOn w:val="DefaultParagraphFont"/>
    <w:uiPriority w:val="99"/>
    <w:semiHidden/>
    <w:unhideWhenUsed/>
    <w:rsid w:val="002549C8"/>
  </w:style>
  <w:style w:type="table" w:customStyle="1" w:styleId="MDPI41threelinetable">
    <w:name w:val="MDPI_4.1_three_line_table"/>
    <w:basedOn w:val="TableNormal"/>
    <w:uiPriority w:val="99"/>
    <w:rsid w:val="008949C9"/>
    <w:pPr>
      <w:adjustRightInd w:val="0"/>
      <w:snapToGrid w:val="0"/>
      <w:jc w:val="center"/>
    </w:pPr>
    <w:rPr>
      <w:rFonts w:ascii="Palatino Linotype" w:hAnsi="Palatino Linotype"/>
      <w:color w:val="000000"/>
    </w:rPr>
    <w:tblPr>
      <w:jc w:val="center"/>
      <w:tblInd w:w="0" w:type="dxa"/>
      <w:tblBorders>
        <w:top w:val="single" w:sz="8" w:space="0" w:color="auto"/>
        <w:bottom w:val="single" w:sz="8" w:space="0" w:color="auto"/>
      </w:tblBorders>
      <w:tblCellMar>
        <w:top w:w="0" w:type="dxa"/>
        <w:left w:w="108" w:type="dxa"/>
        <w:bottom w:w="0" w:type="dxa"/>
        <w:right w:w="108" w:type="dxa"/>
      </w:tblCellMar>
    </w:tblPr>
    <w:trPr>
      <w:jc w:val="center"/>
    </w:trPr>
    <w:tcPr>
      <w:vAlign w:val="center"/>
    </w:tcPr>
    <w:tblStylePr w:type="firstRow">
      <w:rPr>
        <w:rFonts w:ascii="Palatino Linotype" w:hAnsi="Palatino Linotype"/>
        <w:b/>
        <w:i w:val="0"/>
        <w:sz w:val="20"/>
      </w:rPr>
      <w:tblPr/>
      <w:tcPr>
        <w:tcBorders>
          <w:bottom w:val="single" w:sz="4" w:space="0" w:color="auto"/>
        </w:tcBorders>
      </w:tcPr>
    </w:tblStylePr>
  </w:style>
  <w:style w:type="character" w:styleId="Hyperlink">
    <w:name w:val="Hyperlink"/>
    <w:uiPriority w:val="99"/>
    <w:unhideWhenUsed/>
    <w:rsid w:val="00AF3A21"/>
    <w:rPr>
      <w:color w:val="0563C1"/>
      <w:u w:val="single"/>
    </w:rPr>
  </w:style>
  <w:style w:type="character" w:customStyle="1" w:styleId="UnresolvedMention1">
    <w:name w:val="Unresolved Mention1"/>
    <w:uiPriority w:val="99"/>
    <w:semiHidden/>
    <w:unhideWhenUsed/>
    <w:rsid w:val="00891137"/>
    <w:rPr>
      <w:color w:val="605E5C"/>
      <w:shd w:val="clear" w:color="auto" w:fill="E1DFDD"/>
    </w:rPr>
  </w:style>
  <w:style w:type="table" w:customStyle="1" w:styleId="PlainTable4">
    <w:name w:val="Plain Table 4"/>
    <w:basedOn w:val="TableNormal"/>
    <w:uiPriority w:val="44"/>
    <w:rsid w:val="008313A9"/>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Heading4Char">
    <w:name w:val="Heading 4 Char"/>
    <w:basedOn w:val="DefaultParagraphFont"/>
    <w:link w:val="Heading4"/>
    <w:uiPriority w:val="9"/>
    <w:rsid w:val="0072004C"/>
    <w:rPr>
      <w:rFonts w:eastAsia="Times New Roman"/>
      <w:b/>
      <w:bCs/>
      <w:iCs/>
      <w:sz w:val="22"/>
      <w:szCs w:val="24"/>
      <w:lang w:val="en-GB" w:eastAsia="en-US"/>
    </w:rPr>
  </w:style>
  <w:style w:type="character" w:styleId="CommentReference">
    <w:name w:val="annotation reference"/>
    <w:uiPriority w:val="99"/>
    <w:semiHidden/>
    <w:unhideWhenUsed/>
    <w:rsid w:val="0072004C"/>
    <w:rPr>
      <w:sz w:val="16"/>
      <w:szCs w:val="16"/>
    </w:rPr>
  </w:style>
  <w:style w:type="paragraph" w:styleId="CommentText">
    <w:name w:val="annotation text"/>
    <w:basedOn w:val="Normal"/>
    <w:link w:val="CommentTextChar"/>
    <w:uiPriority w:val="99"/>
    <w:semiHidden/>
    <w:unhideWhenUsed/>
    <w:rsid w:val="0072004C"/>
    <w:rPr>
      <w:sz w:val="20"/>
    </w:rPr>
  </w:style>
  <w:style w:type="character" w:customStyle="1" w:styleId="CommentTextChar">
    <w:name w:val="Comment Text Char"/>
    <w:basedOn w:val="DefaultParagraphFont"/>
    <w:link w:val="CommentText"/>
    <w:uiPriority w:val="99"/>
    <w:semiHidden/>
    <w:rsid w:val="0072004C"/>
    <w:rPr>
      <w:rFonts w:ascii="Times New Roman" w:eastAsia="Times New Roman" w:hAnsi="Times New Roman"/>
      <w:color w:val="000000"/>
      <w:lang w:eastAsia="de-DE"/>
    </w:rPr>
  </w:style>
  <w:style w:type="paragraph" w:styleId="CommentSubject">
    <w:name w:val="annotation subject"/>
    <w:basedOn w:val="CommentText"/>
    <w:next w:val="CommentText"/>
    <w:link w:val="CommentSubjectChar"/>
    <w:uiPriority w:val="99"/>
    <w:semiHidden/>
    <w:unhideWhenUsed/>
    <w:rsid w:val="0072004C"/>
    <w:rPr>
      <w:b/>
      <w:bCs/>
    </w:rPr>
  </w:style>
  <w:style w:type="character" w:customStyle="1" w:styleId="CommentSubjectChar">
    <w:name w:val="Comment Subject Char"/>
    <w:basedOn w:val="CommentTextChar"/>
    <w:link w:val="CommentSubject"/>
    <w:uiPriority w:val="99"/>
    <w:semiHidden/>
    <w:rsid w:val="0072004C"/>
    <w:rPr>
      <w:rFonts w:ascii="Times New Roman" w:eastAsia="Times New Roman" w:hAnsi="Times New Roman"/>
      <w:b/>
      <w:bCs/>
      <w:color w:val="000000"/>
      <w:lang w:eastAsia="de-DE"/>
    </w:rPr>
  </w:style>
  <w:style w:type="paragraph" w:customStyle="1" w:styleId="MDPI15academiceditor">
    <w:name w:val="MDPI_1.5_academic_editor"/>
    <w:qFormat/>
    <w:rsid w:val="0072004C"/>
    <w:pPr>
      <w:adjustRightInd w:val="0"/>
      <w:snapToGrid w:val="0"/>
      <w:spacing w:line="260" w:lineRule="atLeast"/>
      <w:ind w:left="113"/>
    </w:pPr>
    <w:rPr>
      <w:rFonts w:ascii="Palatino Linotype" w:eastAsia="Times New Roman" w:hAnsi="Palatino Linotype"/>
      <w:color w:val="000000"/>
      <w:sz w:val="18"/>
      <w:szCs w:val="22"/>
      <w:lang w:eastAsia="de-DE" w:bidi="en-US"/>
    </w:rPr>
  </w:style>
  <w:style w:type="paragraph" w:customStyle="1" w:styleId="MDPI19classification">
    <w:name w:val="MDPI_1.9_classification"/>
    <w:qFormat/>
    <w:rsid w:val="0072004C"/>
    <w:pPr>
      <w:spacing w:before="240" w:line="260" w:lineRule="atLeast"/>
      <w:ind w:left="113"/>
      <w:jc w:val="both"/>
    </w:pPr>
    <w:rPr>
      <w:rFonts w:ascii="Palatino Linotype" w:eastAsia="Times New Roman" w:hAnsi="Palatino Linotype"/>
      <w:b/>
      <w:color w:val="000000"/>
      <w:szCs w:val="22"/>
      <w:lang w:eastAsia="de-DE" w:bidi="en-US"/>
    </w:rPr>
  </w:style>
  <w:style w:type="paragraph" w:customStyle="1" w:styleId="MDPI34textspacebefore">
    <w:name w:val="MDPI_3.4_text_space_before"/>
    <w:qFormat/>
    <w:rsid w:val="0072004C"/>
    <w:pPr>
      <w:spacing w:before="240" w:line="260" w:lineRule="atLeast"/>
      <w:jc w:val="both"/>
    </w:pPr>
    <w:rPr>
      <w:rFonts w:ascii="Palatino Linotype" w:eastAsia="Times New Roman" w:hAnsi="Palatino Linotype"/>
      <w:snapToGrid w:val="0"/>
      <w:color w:val="000000"/>
      <w:szCs w:val="22"/>
      <w:lang w:eastAsia="de-DE" w:bidi="en-US"/>
    </w:rPr>
  </w:style>
  <w:style w:type="paragraph" w:customStyle="1" w:styleId="MDPI411onetablecaption">
    <w:name w:val="MDPI_4.1.1_one_table_caption"/>
    <w:qFormat/>
    <w:rsid w:val="0072004C"/>
    <w:pPr>
      <w:adjustRightInd w:val="0"/>
      <w:snapToGrid w:val="0"/>
      <w:spacing w:before="240" w:after="120" w:line="260" w:lineRule="atLeast"/>
      <w:jc w:val="center"/>
    </w:pPr>
    <w:rPr>
      <w:rFonts w:ascii="Palatino Linotype" w:hAnsi="Palatino Linotype"/>
      <w:noProof/>
      <w:color w:val="000000"/>
      <w:sz w:val="18"/>
      <w:szCs w:val="22"/>
      <w:lang w:bidi="en-US"/>
    </w:rPr>
  </w:style>
  <w:style w:type="paragraph" w:customStyle="1" w:styleId="MDPI511onefigurecaption">
    <w:name w:val="MDPI_5.1.1_one_figure_caption"/>
    <w:qFormat/>
    <w:rsid w:val="0072004C"/>
    <w:pPr>
      <w:adjustRightInd w:val="0"/>
      <w:snapToGrid w:val="0"/>
      <w:spacing w:before="240" w:after="120" w:line="260" w:lineRule="atLeast"/>
      <w:jc w:val="center"/>
    </w:pPr>
    <w:rPr>
      <w:rFonts w:ascii="Palatino Linotype" w:hAnsi="Palatino Linotype"/>
      <w:noProof/>
      <w:color w:val="000000"/>
      <w:sz w:val="18"/>
      <w:lang w:bidi="en-US"/>
    </w:rPr>
  </w:style>
  <w:style w:type="paragraph" w:customStyle="1" w:styleId="MDPI72Copyright">
    <w:name w:val="MDPI_7.2_Copyright"/>
    <w:qFormat/>
    <w:rsid w:val="0072004C"/>
    <w:pPr>
      <w:adjustRightInd w:val="0"/>
      <w:snapToGrid w:val="0"/>
      <w:spacing w:before="400" w:line="260" w:lineRule="atLeast"/>
      <w:jc w:val="both"/>
    </w:pPr>
    <w:rPr>
      <w:rFonts w:ascii="Palatino Linotype" w:eastAsia="Times New Roman" w:hAnsi="Palatino Linotype"/>
      <w:noProof/>
      <w:snapToGrid w:val="0"/>
      <w:color w:val="000000"/>
      <w:spacing w:val="-2"/>
      <w:sz w:val="18"/>
      <w:lang w:val="en-GB" w:eastAsia="en-GB"/>
    </w:rPr>
  </w:style>
  <w:style w:type="paragraph" w:customStyle="1" w:styleId="MDPI73CopyrightImage">
    <w:name w:val="MDPI_7.3_CopyrightImage"/>
    <w:rsid w:val="0072004C"/>
    <w:pPr>
      <w:adjustRightInd w:val="0"/>
      <w:snapToGrid w:val="0"/>
      <w:spacing w:after="100" w:line="260" w:lineRule="atLeast"/>
      <w:jc w:val="right"/>
    </w:pPr>
    <w:rPr>
      <w:rFonts w:ascii="Palatino Linotype" w:eastAsia="Times New Roman" w:hAnsi="Palatino Linotype"/>
      <w:color w:val="000000"/>
      <w:lang w:eastAsia="de-CH"/>
    </w:rPr>
  </w:style>
  <w:style w:type="paragraph" w:customStyle="1" w:styleId="MDPI81theorem">
    <w:name w:val="MDPI_8.1_theorem"/>
    <w:qFormat/>
    <w:rsid w:val="0072004C"/>
    <w:pPr>
      <w:spacing w:line="260" w:lineRule="atLeast"/>
      <w:jc w:val="both"/>
    </w:pPr>
    <w:rPr>
      <w:rFonts w:ascii="Palatino Linotype" w:eastAsia="Times New Roman" w:hAnsi="Palatino Linotype"/>
      <w:i/>
      <w:snapToGrid w:val="0"/>
      <w:color w:val="000000"/>
      <w:szCs w:val="22"/>
      <w:lang w:eastAsia="de-DE" w:bidi="en-US"/>
    </w:rPr>
  </w:style>
  <w:style w:type="paragraph" w:customStyle="1" w:styleId="MDPI82proof">
    <w:name w:val="MDPI_8.2_proof"/>
    <w:qFormat/>
    <w:rsid w:val="0072004C"/>
    <w:pPr>
      <w:spacing w:line="260" w:lineRule="atLeast"/>
      <w:jc w:val="both"/>
    </w:pPr>
    <w:rPr>
      <w:rFonts w:ascii="Palatino Linotype" w:eastAsia="Times New Roman" w:hAnsi="Palatino Linotype"/>
      <w:snapToGrid w:val="0"/>
      <w:color w:val="000000"/>
      <w:szCs w:val="22"/>
      <w:lang w:eastAsia="de-DE" w:bidi="en-US"/>
    </w:rPr>
  </w:style>
  <w:style w:type="paragraph" w:customStyle="1" w:styleId="MDPIequationFram">
    <w:name w:val="MDPI_equationFram"/>
    <w:qFormat/>
    <w:rsid w:val="0072004C"/>
    <w:pPr>
      <w:adjustRightInd w:val="0"/>
      <w:snapToGrid w:val="0"/>
      <w:spacing w:before="120" w:after="120"/>
      <w:jc w:val="center"/>
    </w:pPr>
    <w:rPr>
      <w:rFonts w:ascii="Palatino Linotype" w:eastAsia="Times New Roman" w:hAnsi="Palatino Linotype"/>
      <w:snapToGrid w:val="0"/>
      <w:color w:val="000000"/>
      <w:szCs w:val="22"/>
      <w:lang w:eastAsia="de-DE" w:bidi="en-US"/>
    </w:rPr>
  </w:style>
  <w:style w:type="paragraph" w:customStyle="1" w:styleId="MDPIfooter">
    <w:name w:val="MDPI_footer"/>
    <w:qFormat/>
    <w:rsid w:val="0072004C"/>
    <w:pPr>
      <w:adjustRightInd w:val="0"/>
      <w:snapToGrid w:val="0"/>
      <w:spacing w:before="120" w:line="260" w:lineRule="atLeast"/>
      <w:jc w:val="center"/>
    </w:pPr>
    <w:rPr>
      <w:rFonts w:ascii="Palatino Linotype" w:eastAsia="Times New Roman" w:hAnsi="Palatino Linotype"/>
      <w:color w:val="000000"/>
      <w:lang w:eastAsia="de-DE"/>
    </w:rPr>
  </w:style>
  <w:style w:type="paragraph" w:customStyle="1" w:styleId="MDPIheader">
    <w:name w:val="MDPI_header"/>
    <w:qFormat/>
    <w:rsid w:val="0072004C"/>
    <w:pPr>
      <w:adjustRightInd w:val="0"/>
      <w:snapToGrid w:val="0"/>
      <w:spacing w:after="240" w:line="260" w:lineRule="atLeast"/>
      <w:jc w:val="both"/>
    </w:pPr>
    <w:rPr>
      <w:rFonts w:ascii="Palatino Linotype" w:eastAsia="Times New Roman" w:hAnsi="Palatino Linotype"/>
      <w:iCs/>
      <w:color w:val="000000"/>
      <w:sz w:val="16"/>
      <w:lang w:eastAsia="de-DE"/>
    </w:rPr>
  </w:style>
  <w:style w:type="paragraph" w:customStyle="1" w:styleId="MDPIheadercitation">
    <w:name w:val="MDPI_header_citation"/>
    <w:rsid w:val="0072004C"/>
    <w:pPr>
      <w:spacing w:after="240"/>
    </w:pPr>
    <w:rPr>
      <w:rFonts w:ascii="Palatino Linotype" w:eastAsia="Times New Roman" w:hAnsi="Palatino Linotype"/>
      <w:snapToGrid w:val="0"/>
      <w:color w:val="000000"/>
      <w:sz w:val="18"/>
      <w:lang w:eastAsia="de-DE" w:bidi="en-US"/>
    </w:rPr>
  </w:style>
  <w:style w:type="paragraph" w:customStyle="1" w:styleId="MDPIheadermdpilogo">
    <w:name w:val="MDPI_header_mdpi_logo"/>
    <w:qFormat/>
    <w:rsid w:val="0072004C"/>
    <w:pPr>
      <w:adjustRightInd w:val="0"/>
      <w:snapToGrid w:val="0"/>
      <w:spacing w:line="260" w:lineRule="atLeast"/>
      <w:jc w:val="right"/>
    </w:pPr>
    <w:rPr>
      <w:rFonts w:ascii="Palatino Linotype" w:eastAsia="Times New Roman" w:hAnsi="Palatino Linotype"/>
      <w:color w:val="000000"/>
      <w:sz w:val="24"/>
      <w:szCs w:val="22"/>
      <w:lang w:eastAsia="de-CH"/>
    </w:rPr>
  </w:style>
  <w:style w:type="paragraph" w:customStyle="1" w:styleId="MDPItext">
    <w:name w:val="MDPI_text"/>
    <w:qFormat/>
    <w:rsid w:val="0072004C"/>
    <w:pPr>
      <w:spacing w:line="260" w:lineRule="atLeast"/>
      <w:ind w:left="425" w:right="425" w:firstLine="284"/>
      <w:jc w:val="both"/>
    </w:pPr>
    <w:rPr>
      <w:rFonts w:ascii="Times New Roman" w:eastAsia="Times New Roman" w:hAnsi="Times New Roman"/>
      <w:noProof/>
      <w:snapToGrid w:val="0"/>
      <w:color w:val="000000"/>
      <w:sz w:val="22"/>
      <w:szCs w:val="22"/>
      <w:lang w:eastAsia="de-DE" w:bidi="en-US"/>
    </w:rPr>
  </w:style>
  <w:style w:type="paragraph" w:customStyle="1" w:styleId="MDPItitle">
    <w:name w:val="MDPI_title"/>
    <w:qFormat/>
    <w:rsid w:val="0072004C"/>
    <w:pPr>
      <w:adjustRightInd w:val="0"/>
      <w:snapToGrid w:val="0"/>
      <w:spacing w:after="240" w:line="260" w:lineRule="atLeast"/>
      <w:jc w:val="both"/>
    </w:pPr>
    <w:rPr>
      <w:rFonts w:ascii="Palatino Linotype" w:eastAsia="Times New Roman" w:hAnsi="Palatino Linotype"/>
      <w:b/>
      <w:snapToGrid w:val="0"/>
      <w:color w:val="000000"/>
      <w:sz w:val="36"/>
      <w:lang w:eastAsia="de-DE" w:bidi="en-US"/>
    </w:rPr>
  </w:style>
  <w:style w:type="character" w:styleId="Strong">
    <w:name w:val="Strong"/>
    <w:uiPriority w:val="22"/>
    <w:qFormat/>
    <w:rsid w:val="0072004C"/>
    <w:rPr>
      <w:b/>
      <w:bCs/>
    </w:rPr>
  </w:style>
  <w:style w:type="paragraph" w:styleId="ListBullet">
    <w:name w:val="List Bullet"/>
    <w:basedOn w:val="Normal"/>
    <w:uiPriority w:val="99"/>
    <w:unhideWhenUsed/>
    <w:rsid w:val="00B8137C"/>
    <w:pPr>
      <w:numPr>
        <w:numId w:val="5"/>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encoding w:val="iso-8859-6"/>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foodpolicystudy.com/methods" TargetMode="External"/><Relationship Id="rId13" Type="http://schemas.openxmlformats.org/officeDocument/2006/relationships/footer" Target="footer2.xml"/><Relationship Id="rId18" Type="http://schemas.openxmlformats.org/officeDocument/2006/relationships/hyperlink" Target="https://www.statista.com/statistics/286526/coca-cola-advertising-spending-worldwide/" TargetMode="External"/><Relationship Id="rId26" Type="http://schemas.openxmlformats.org/officeDocument/2006/relationships/fontTable" Target="fontTable.xml"/><Relationship Id="rId3" Type="http://schemas.microsoft.com/office/2007/relationships/stylesWithEffects" Target="stylesWithEffects.xml"/><Relationship Id="rId21" Type="http://schemas.openxmlformats.org/officeDocument/2006/relationships/hyperlink" Target="http://www.canadafoodstudy.ca/studydocs" TargetMode="Externa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https://www150.statcan.gc.ca/n1/en/catalogue/82-003-X201900100002" TargetMode="External"/><Relationship Id="rId25" Type="http://schemas.openxmlformats.org/officeDocument/2006/relationships/image" Target="media/image5.png"/><Relationship Id="rId2" Type="http://schemas.openxmlformats.org/officeDocument/2006/relationships/styles" Target="styles.xml"/><Relationship Id="rId16" Type="http://schemas.openxmlformats.org/officeDocument/2006/relationships/hyperlink" Target="https://health.gov/dietaryguidelines/2015/guidelines/" TargetMode="External"/><Relationship Id="rId20" Type="http://schemas.openxmlformats.org/officeDocument/2006/relationships/hyperlink" Target="https://njl-admin.nihr.ac.uk/document/download/2010886" TargetMode="External"/><Relationship Id="rId29" Type="http://schemas.microsoft.com/office/2011/relationships/people" Target="peop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nhfshare.heartforum.org.uk/RMAssets/NHF_Staffpublications/VoluntaryPrinciples/NHFFoodMarkMAINFinal.pdf" TargetMode="External"/><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hyperlink" Target="https://www.who.int/dietphysicalactivity/framework_marketing_food_to_children/en/" TargetMode="External"/><Relationship Id="rId28" Type="http://schemas.microsoft.com/office/2011/relationships/commentsExtended" Target="commentsExtended.xml"/><Relationship Id="rId10" Type="http://schemas.openxmlformats.org/officeDocument/2006/relationships/header" Target="header2.xml"/><Relationship Id="rId19" Type="http://schemas.openxmlformats.org/officeDocument/2006/relationships/hyperlink" Target="https://assets.publishing.service.gov.uk/government/uploads/system/uploads/attachment_data/file/795412/hfss-advertising-consultation-10-april-2019.pdf"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emf"/><Relationship Id="rId22" Type="http://schemas.openxmlformats.org/officeDocument/2006/relationships/hyperlink" Target="http://foodpolicystudy.com/methods/" TargetMode="External"/><Relationship Id="rId27" Type="http://schemas.openxmlformats.org/officeDocument/2006/relationships/theme" Target="theme/theme1.xml"/><Relationship Id="rId30" Type="http://schemas.microsoft.com/office/2016/09/relationships/commentsIds" Target="commentsIds.xml"/></Relationships>
</file>

<file path=word/_rels/header3.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media/image10.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DPI\Desktop\nutrients-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nutrients-template.dot</Template>
  <TotalTime>1</TotalTime>
  <Pages>18</Pages>
  <Words>8066</Words>
  <Characters>245966</Characters>
  <Application>Microsoft Office Word</Application>
  <DocSecurity>0</DocSecurity>
  <Lines>2049</Lines>
  <Paragraphs>507</Paragraphs>
  <ScaleCrop>false</ScaleCrop>
  <HeadingPairs>
    <vt:vector size="2" baseType="variant">
      <vt:variant>
        <vt:lpstr>Title</vt:lpstr>
      </vt:variant>
      <vt:variant>
        <vt:i4>1</vt:i4>
      </vt:variant>
    </vt:vector>
  </HeadingPairs>
  <TitlesOfParts>
    <vt:vector size="1" baseType="lpstr">
      <vt:lpstr/>
    </vt:vector>
  </TitlesOfParts>
  <Company>MRC Epidemiology Unit</Company>
  <LinksUpToDate>false</LinksUpToDate>
  <CharactersWithSpaces>253525</CharactersWithSpaces>
  <SharedDoc>false</SharedDoc>
  <HLinks>
    <vt:vector size="6" baseType="variant">
      <vt:variant>
        <vt:i4>6094915</vt:i4>
      </vt:variant>
      <vt:variant>
        <vt:i4>0</vt:i4>
      </vt:variant>
      <vt:variant>
        <vt:i4>0</vt:i4>
      </vt:variant>
      <vt:variant>
        <vt:i4>5</vt:i4>
      </vt:variant>
      <vt:variant>
        <vt:lpwstr>http://img.mdpi.org/data/contributor-role-instruction.pdf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MDPI</dc:creator>
  <cp:lastModifiedBy>Hannah Dingwall</cp:lastModifiedBy>
  <cp:revision>3</cp:revision>
  <cp:lastPrinted>2019-12-09T15:32:00Z</cp:lastPrinted>
  <dcterms:created xsi:type="dcterms:W3CDTF">2019-12-12T15:11:00Z</dcterms:created>
  <dcterms:modified xsi:type="dcterms:W3CDTF">2019-12-12T15:12:00Z</dcterms:modified>
</cp:coreProperties>
</file>