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AD986A" w14:textId="756878DA" w:rsidR="00CE1E67" w:rsidRPr="001C72FB" w:rsidRDefault="00CE1E67">
      <w:pPr>
        <w:jc w:val="center"/>
        <w:rPr>
          <w:rFonts w:ascii="Arial" w:eastAsia="Arial" w:hAnsi="Arial" w:cs="Arial"/>
          <w:sz w:val="20"/>
          <w:szCs w:val="20"/>
        </w:rPr>
      </w:pPr>
    </w:p>
    <w:p w14:paraId="1BBCCEE3" w14:textId="77777777" w:rsidR="00CE1E67" w:rsidRPr="003707B2" w:rsidRDefault="00BD41CE">
      <w:pPr>
        <w:rPr>
          <w:rFonts w:ascii="Arial" w:eastAsia="Arial" w:hAnsi="Arial" w:cs="Arial"/>
          <w:sz w:val="20"/>
          <w:szCs w:val="20"/>
        </w:rPr>
      </w:pPr>
      <w:r w:rsidRPr="003707B2">
        <w:rPr>
          <w:rFonts w:ascii="Arial" w:eastAsia="Arial" w:hAnsi="Arial" w:cs="Arial"/>
          <w:sz w:val="20"/>
          <w:szCs w:val="20"/>
        </w:rPr>
        <w:t>Supplementary Information for</w:t>
      </w:r>
    </w:p>
    <w:p w14:paraId="35598CAB" w14:textId="39680D11" w:rsidR="00CE1E67" w:rsidRPr="003707B2" w:rsidRDefault="00BD41CE">
      <w:pPr>
        <w:rPr>
          <w:rFonts w:ascii="Arial" w:eastAsia="Arial" w:hAnsi="Arial" w:cs="Arial"/>
          <w:b/>
          <w:sz w:val="22"/>
          <w:szCs w:val="22"/>
        </w:rPr>
      </w:pPr>
      <w:r w:rsidRPr="003707B2">
        <w:rPr>
          <w:rFonts w:ascii="Arial" w:eastAsia="Arial" w:hAnsi="Arial" w:cs="Arial"/>
          <w:b/>
          <w:sz w:val="22"/>
          <w:szCs w:val="22"/>
        </w:rPr>
        <w:t xml:space="preserve">Imaging breast cancer using hyperpolarized </w:t>
      </w:r>
      <w:r w:rsidRPr="003707B2">
        <w:rPr>
          <w:rFonts w:ascii="Arial" w:eastAsia="Arial" w:hAnsi="Arial" w:cs="Arial"/>
          <w:b/>
          <w:sz w:val="22"/>
          <w:szCs w:val="22"/>
          <w:vertAlign w:val="superscript"/>
        </w:rPr>
        <w:t>13</w:t>
      </w:r>
      <w:r w:rsidRPr="003707B2">
        <w:rPr>
          <w:rFonts w:ascii="Arial" w:eastAsia="Arial" w:hAnsi="Arial" w:cs="Arial"/>
          <w:b/>
          <w:sz w:val="22"/>
          <w:szCs w:val="22"/>
        </w:rPr>
        <w:t>C-MRI</w:t>
      </w:r>
    </w:p>
    <w:p w14:paraId="2B813771" w14:textId="2454A3FB" w:rsidR="00CE1E67" w:rsidRPr="003707B2" w:rsidRDefault="00CE1E67">
      <w:pPr>
        <w:rPr>
          <w:rFonts w:ascii="Arial" w:eastAsia="Arial" w:hAnsi="Arial" w:cs="Arial"/>
          <w:b/>
          <w:sz w:val="20"/>
          <w:szCs w:val="20"/>
        </w:rPr>
      </w:pPr>
    </w:p>
    <w:p w14:paraId="1738C158" w14:textId="77777777" w:rsidR="00CE1E67" w:rsidRPr="003707B2" w:rsidRDefault="00BD41CE">
      <w:pPr>
        <w:rPr>
          <w:rFonts w:ascii="Arial" w:eastAsia="Arial" w:hAnsi="Arial" w:cs="Arial"/>
          <w:b/>
          <w:sz w:val="20"/>
          <w:szCs w:val="20"/>
        </w:rPr>
      </w:pPr>
      <w:r w:rsidRPr="003707B2">
        <w:rPr>
          <w:rFonts w:ascii="Arial" w:eastAsia="Arial" w:hAnsi="Arial" w:cs="Arial"/>
          <w:b/>
          <w:sz w:val="20"/>
          <w:szCs w:val="20"/>
        </w:rPr>
        <w:t>This PDF file includes:</w:t>
      </w:r>
    </w:p>
    <w:p w14:paraId="775E17E5" w14:textId="77777777" w:rsidR="00CE1E67" w:rsidRPr="003707B2" w:rsidRDefault="00CE1E67">
      <w:pPr>
        <w:rPr>
          <w:rFonts w:ascii="Arial" w:eastAsia="Arial" w:hAnsi="Arial" w:cs="Arial"/>
          <w:sz w:val="20"/>
          <w:szCs w:val="20"/>
        </w:rPr>
      </w:pPr>
    </w:p>
    <w:p w14:paraId="581C883C" w14:textId="0EC3BD76" w:rsidR="00CE1E67" w:rsidRPr="003707B2" w:rsidRDefault="00BD41CE" w:rsidP="00CD6B2B">
      <w:pPr>
        <w:ind w:left="720"/>
        <w:rPr>
          <w:rFonts w:ascii="Arial" w:eastAsia="Arial" w:hAnsi="Arial" w:cs="Arial"/>
          <w:sz w:val="20"/>
          <w:szCs w:val="20"/>
        </w:rPr>
      </w:pPr>
      <w:r w:rsidRPr="003707B2">
        <w:rPr>
          <w:rFonts w:ascii="Arial" w:eastAsia="Arial" w:hAnsi="Arial" w:cs="Arial"/>
          <w:sz w:val="20"/>
          <w:szCs w:val="20"/>
        </w:rPr>
        <w:t>Supplementary text: Methods</w:t>
      </w:r>
    </w:p>
    <w:p w14:paraId="59A33D3D" w14:textId="159758C1" w:rsidR="00CE1E67" w:rsidRPr="003707B2" w:rsidRDefault="00BD41CE">
      <w:pPr>
        <w:ind w:left="720"/>
        <w:rPr>
          <w:rFonts w:ascii="Arial" w:eastAsia="Arial" w:hAnsi="Arial" w:cs="Arial"/>
          <w:sz w:val="20"/>
          <w:szCs w:val="20"/>
        </w:rPr>
      </w:pPr>
      <w:r w:rsidRPr="003707B2">
        <w:rPr>
          <w:rFonts w:ascii="Arial" w:eastAsia="Arial" w:hAnsi="Arial" w:cs="Arial"/>
          <w:sz w:val="20"/>
          <w:szCs w:val="20"/>
        </w:rPr>
        <w:t>Figures S1 to S</w:t>
      </w:r>
      <w:r w:rsidR="00CD6B2B" w:rsidRPr="003707B2">
        <w:rPr>
          <w:rFonts w:ascii="Arial" w:eastAsia="Arial" w:hAnsi="Arial" w:cs="Arial"/>
          <w:sz w:val="20"/>
          <w:szCs w:val="20"/>
        </w:rPr>
        <w:t>4</w:t>
      </w:r>
    </w:p>
    <w:p w14:paraId="1DCC9E5B" w14:textId="423F3AE8" w:rsidR="00CE1E67" w:rsidRPr="003707B2" w:rsidRDefault="00BD41CE" w:rsidP="00CD6B2B">
      <w:pPr>
        <w:ind w:left="720"/>
        <w:rPr>
          <w:rFonts w:ascii="Arial" w:eastAsia="Arial" w:hAnsi="Arial" w:cs="Arial"/>
          <w:sz w:val="20"/>
          <w:szCs w:val="20"/>
        </w:rPr>
      </w:pPr>
      <w:r w:rsidRPr="003707B2">
        <w:rPr>
          <w:rFonts w:ascii="Arial" w:eastAsia="Arial" w:hAnsi="Arial" w:cs="Arial"/>
          <w:sz w:val="20"/>
          <w:szCs w:val="20"/>
        </w:rPr>
        <w:t>Tables S1</w:t>
      </w:r>
      <w:r w:rsidR="00CD6B2B" w:rsidRPr="003707B2">
        <w:rPr>
          <w:rFonts w:ascii="Arial" w:eastAsia="Arial" w:hAnsi="Arial" w:cs="Arial"/>
          <w:sz w:val="20"/>
          <w:szCs w:val="20"/>
        </w:rPr>
        <w:t>, S2</w:t>
      </w:r>
    </w:p>
    <w:p w14:paraId="4DE3CB4B" w14:textId="77777777" w:rsidR="00CE1E67" w:rsidRPr="003707B2" w:rsidRDefault="00BD41CE">
      <w:pPr>
        <w:ind w:left="720"/>
        <w:rPr>
          <w:rFonts w:ascii="Arial" w:eastAsia="Arial" w:hAnsi="Arial" w:cs="Arial"/>
          <w:sz w:val="20"/>
          <w:szCs w:val="20"/>
        </w:rPr>
      </w:pPr>
      <w:r w:rsidRPr="003707B2">
        <w:rPr>
          <w:rFonts w:ascii="Arial" w:eastAsia="Arial" w:hAnsi="Arial" w:cs="Arial"/>
          <w:sz w:val="20"/>
          <w:szCs w:val="20"/>
        </w:rPr>
        <w:t xml:space="preserve">SI References </w:t>
      </w:r>
    </w:p>
    <w:p w14:paraId="36FAEBF7" w14:textId="77777777" w:rsidR="00CE1E67" w:rsidRPr="003707B2" w:rsidRDefault="00BD41CE">
      <w:pPr>
        <w:rPr>
          <w:rFonts w:ascii="Arial" w:eastAsia="Arial" w:hAnsi="Arial" w:cs="Arial"/>
          <w:sz w:val="20"/>
          <w:szCs w:val="20"/>
        </w:rPr>
      </w:pPr>
      <w:r w:rsidRPr="003707B2">
        <w:rPr>
          <w:rFonts w:ascii="Arial" w:hAnsi="Arial" w:cs="Arial"/>
        </w:rPr>
        <w:br w:type="page"/>
      </w:r>
    </w:p>
    <w:p w14:paraId="533B35E6" w14:textId="77777777" w:rsidR="00CE1E67" w:rsidRPr="003707B2" w:rsidRDefault="00BD41CE">
      <w:pPr>
        <w:keepNext/>
        <w:pBdr>
          <w:top w:val="nil"/>
          <w:left w:val="nil"/>
          <w:bottom w:val="nil"/>
          <w:right w:val="nil"/>
          <w:between w:val="nil"/>
        </w:pBdr>
        <w:spacing w:before="240" w:after="60"/>
        <w:rPr>
          <w:rFonts w:ascii="Arial" w:eastAsia="Arial" w:hAnsi="Arial" w:cs="Arial"/>
          <w:b/>
          <w:color w:val="000000"/>
          <w:sz w:val="20"/>
          <w:szCs w:val="20"/>
        </w:rPr>
      </w:pPr>
      <w:r w:rsidRPr="003707B2">
        <w:rPr>
          <w:rFonts w:ascii="Arial" w:eastAsia="Arial" w:hAnsi="Arial" w:cs="Arial"/>
          <w:b/>
          <w:color w:val="000000"/>
          <w:sz w:val="20"/>
          <w:szCs w:val="20"/>
        </w:rPr>
        <w:lastRenderedPageBreak/>
        <w:t xml:space="preserve">Supplementary Information </w:t>
      </w:r>
    </w:p>
    <w:p w14:paraId="218FAA39" w14:textId="77777777" w:rsidR="00CE1E67" w:rsidRPr="003707B2" w:rsidRDefault="00BD41CE">
      <w:pPr>
        <w:pStyle w:val="Heading2"/>
        <w:spacing w:line="480" w:lineRule="auto"/>
        <w:rPr>
          <w:rFonts w:ascii="Arial" w:eastAsia="Arial" w:hAnsi="Arial" w:cs="Arial"/>
          <w:i w:val="0"/>
          <w:sz w:val="20"/>
          <w:szCs w:val="20"/>
        </w:rPr>
      </w:pPr>
      <w:r w:rsidRPr="003707B2">
        <w:rPr>
          <w:rFonts w:ascii="Arial" w:eastAsia="Arial" w:hAnsi="Arial" w:cs="Arial"/>
          <w:i w:val="0"/>
          <w:sz w:val="20"/>
          <w:szCs w:val="20"/>
        </w:rPr>
        <w:t>Methods</w:t>
      </w:r>
    </w:p>
    <w:p w14:paraId="1F82153D" w14:textId="77777777" w:rsidR="00CE1E67" w:rsidRPr="003707B2" w:rsidRDefault="00BD41CE">
      <w:pPr>
        <w:pStyle w:val="Heading3"/>
        <w:rPr>
          <w:rFonts w:ascii="Arial" w:eastAsia="Arial" w:hAnsi="Arial" w:cs="Arial"/>
          <w:b w:val="0"/>
          <w:sz w:val="20"/>
          <w:szCs w:val="20"/>
        </w:rPr>
      </w:pPr>
      <w:r w:rsidRPr="003707B2">
        <w:rPr>
          <w:rFonts w:ascii="Arial" w:eastAsia="Arial" w:hAnsi="Arial" w:cs="Arial"/>
          <w:sz w:val="20"/>
          <w:szCs w:val="20"/>
        </w:rPr>
        <w:t xml:space="preserve">Proton MRI. </w:t>
      </w:r>
      <w:r w:rsidRPr="003707B2">
        <w:rPr>
          <w:rFonts w:ascii="Arial" w:eastAsia="Arial" w:hAnsi="Arial" w:cs="Arial"/>
          <w:b w:val="0"/>
          <w:sz w:val="20"/>
          <w:szCs w:val="20"/>
        </w:rPr>
        <w:t xml:space="preserve">Sequence specifications for T1-weighted axial and coronal 3D fast spoiled gradient echo images used to plan the </w:t>
      </w:r>
      <w:r w:rsidRPr="003707B2">
        <w:rPr>
          <w:rFonts w:ascii="Arial" w:eastAsia="Arial" w:hAnsi="Arial" w:cs="Arial"/>
          <w:b w:val="0"/>
          <w:sz w:val="20"/>
          <w:szCs w:val="20"/>
          <w:vertAlign w:val="superscript"/>
        </w:rPr>
        <w:t>13</w:t>
      </w:r>
      <w:r w:rsidRPr="003707B2">
        <w:rPr>
          <w:rFonts w:ascii="Arial" w:eastAsia="Arial" w:hAnsi="Arial" w:cs="Arial"/>
          <w:b w:val="0"/>
          <w:sz w:val="20"/>
          <w:szCs w:val="20"/>
        </w:rPr>
        <w:t>C-MRI: FOV = 35 cm; matrix = 256 x 256; TE = 2.1 ms; TR = 5.292 ms; flip angle = 10°; slice thickness = 2.8 mm.</w:t>
      </w:r>
    </w:p>
    <w:p w14:paraId="5C759867"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Sequence specifications for dynamic contrast enhanced (DCE) MRI (volume image breast assessment–time resolved imaging of contrast kinetics, VIBRANT-TRICKS): FOV = 350 mm; matrix = 512 x 512; reconstructed using an in-plane voxel size of 0.68 x 0.68 mm; slice thickness = 1.4mm; spectral-spatial water excitation; repetition time (TR) = 7.1 ms; echo time (TE) = 3.8 ms; flip angle (FA) = 12°).</w:t>
      </w:r>
    </w:p>
    <w:p w14:paraId="2664A00E" w14:textId="1A2B706D"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Postprocessing of DCE MRI data: T1</w:t>
      </w:r>
      <w:r w:rsidRPr="003707B2">
        <w:rPr>
          <w:rFonts w:ascii="Arial" w:eastAsia="Arial" w:hAnsi="Arial" w:cs="Arial"/>
          <w:sz w:val="20"/>
          <w:szCs w:val="20"/>
          <w:vertAlign w:val="subscript"/>
        </w:rPr>
        <w:t>0</w:t>
      </w:r>
      <w:r w:rsidRPr="003707B2">
        <w:rPr>
          <w:rFonts w:ascii="Arial" w:eastAsia="Arial" w:hAnsi="Arial" w:cs="Arial"/>
          <w:sz w:val="20"/>
          <w:szCs w:val="20"/>
        </w:rPr>
        <w:t xml:space="preserve"> maps were used to convert from signal intensity to gadolinium concentration. T1</w:t>
      </w:r>
      <w:r w:rsidRPr="003707B2">
        <w:rPr>
          <w:rFonts w:ascii="Arial" w:eastAsia="Arial" w:hAnsi="Arial" w:cs="Arial"/>
          <w:sz w:val="20"/>
          <w:szCs w:val="20"/>
          <w:vertAlign w:val="subscript"/>
        </w:rPr>
        <w:t>0</w:t>
      </w:r>
      <w:r w:rsidRPr="003707B2">
        <w:rPr>
          <w:rFonts w:ascii="Arial" w:eastAsia="Arial" w:hAnsi="Arial" w:cs="Arial"/>
          <w:sz w:val="20"/>
          <w:szCs w:val="20"/>
        </w:rPr>
        <w:t xml:space="preserve"> mapping was based on a 3D variable flip angle (VFA) gradient echo method using FAs of 2°, 3°, 5°, 10°, and 15° used with an axial three-dimensional fast spoiled gradient-echo sequence (field of view, FOV = 350 mm; matrix = 256 x 256; interpolated slice thickness = 1.4 mm; in-plane voxel size = 0.6 x 0.6 mm²; TR = 5.3 ms; TE = 2.1 ms) </w:t>
      </w:r>
      <w:r w:rsidR="00213C13" w:rsidRPr="003707B2">
        <w:rPr>
          <w:rFonts w:ascii="Arial" w:eastAsia="Arial" w:hAnsi="Arial" w:cs="Arial"/>
          <w:sz w:val="20"/>
          <w:szCs w:val="20"/>
        </w:rPr>
        <w:fldChar w:fldCharType="begin" w:fldLock="1"/>
      </w:r>
      <w:r w:rsidR="00213C13" w:rsidRPr="003707B2">
        <w:rPr>
          <w:rFonts w:ascii="Arial" w:eastAsia="Arial" w:hAnsi="Arial" w:cs="Arial"/>
          <w:sz w:val="20"/>
          <w:szCs w:val="20"/>
        </w:rPr>
        <w:instrText>ADDIN CSL_CITATION {"citationItems":[{"id":"ITEM-1","itemData":{"DOI":"10.1148/radiol.2015150920","ISSN":"1527-1315","PMID":"26579563","abstract":"Purpose To investigate the effects of radiofrequency transmit field (B1(+)) correction on (a) the measured T1 relaxation times of normal breast tissue and malignant lesions and (b) the pharmacokinetically derived parameters of malignant breast lesions at 3 T. Materials and Methods Ethics approval and informed consent were obtained. Between May 2013 and January 2014, 30 women (median age, 58 years; range, 32-83 years) with invasive ductal carcinoma of at least 10 mm were recruited to undergo dynamic contrast material-enhanced magnetic resonance (MR) imaging before surgery. B1(+) and T1 mapping sequences were performed to determine the effect of B1(+) correction on the native tissue relaxation time (T10) of fat, parenchyma, and malignant lesions in both breasts. Pharmacokinetic parameters were calculated before and after correction for B1(+) variations. Results were correlated with histologic grade by using the Kruskal-Wallis test. Results Measurements showed a mean 37% flip angle difference between the right and left breast, which resulted in a 61% T10 difference in fat and a 41.5% difference in parenchyma between the two breasts. The T1 of lesions in the right breast increased by 58%, whereas that of lesions in the left breast decreased by 30% after B1(+) correction. The whole-tumor transendothelial permeability across the vascular compartment(K(trans)) of lesions in the right breast decreased by 41%, and that of lesions in the left breast increased by 46% after correction. A systematic increase in K(trans) was observed, with significant differences found across the histologic grades (P &lt; .001). The effect size of B1(+) correction on K(trans) calculation was large for lesions in the right breast and moderate for lesions in the left breast (Cohen effect size, d = 0.86 and d = 0.59, respectively). Conclusion B1(+) correction demonstrates a substantial effect on the results of quantitative dynamic contrast-enhanced analysis of breast tissue at 3 T, which propagates into the pharmacokinetic analysis of tumors that is dependent on whether the tumor is located in the right or left breast. (©) RSNA, 2015.","author":[{"dropping-particle":"","family":"Bedair","given":"Reem","non-dropping-particle":"","parse-names":false,"suffix":""},{"dropping-particle":"","family":"Graves","given":"Martin J","non-dropping-particle":"","parse-names":false,"suffix":""},{"dropping-particle":"","family":"Patterson","given":"Andrew J","non-dropping-particle":"","parse-names":false,"suffix":""},{"dropping-particle":"","family":"McLean","given":"Mary A","non-dropping-particle":"","parse-names":false,"suffix":""},{"dropping-particle":"","family":"Manavaki","given":"Roido","non-dropping-particle":"","parse-names":false,"suffix":""},{"dropping-particle":"","family":"Wallace","given":"Tess","non-dropping-particle":"","parse-names":false,"suffix":""},{"dropping-particle":"","family":"Reid","given":"Scott","non-dropping-particle":"","parse-names":false,"suffix":""},{"dropping-particle":"","family":"Mendichovszky","given":"Iosif","non-dropping-particle":"","parse-names":false,"suffix":""},{"dropping-particle":"","family":"Griffiths","given":"John","non-dropping-particle":"","parse-names":false,"suffix":""},{"dropping-particle":"","family":"Gilbert","given":"Fiona J","non-dropping-particle":"","parse-names":false,"suffix":""}],"container-title":"Radiology","id":"ITEM-1","issued":{"date-parts":[["2015","11","16"]]},"page":"150920","title":"Effect of Radiofrequency Transmit Field Correction on Quantitative Dynamic Contrast-enhanced MR Imaging of the Breast at 3.0 T.","type":"article-journal"},"uris":["http://www.mendeley.com/documents/?uuid=4a9bf93b-7c0e-46cb-8d3f-ce61e93edd15"]}],"mendeley":{"formattedCitation":"(1)","plainTextFormattedCitation":"(1)","previouslyFormattedCitation":"(1)"},"properties":{"noteIndex":0},"schema":"https://github.com/citation-style-language/schema/raw/master/csl-citation.json"}</w:instrText>
      </w:r>
      <w:r w:rsidR="00213C13" w:rsidRPr="003707B2">
        <w:rPr>
          <w:rFonts w:ascii="Arial" w:eastAsia="Arial" w:hAnsi="Arial" w:cs="Arial"/>
          <w:sz w:val="20"/>
          <w:szCs w:val="20"/>
        </w:rPr>
        <w:fldChar w:fldCharType="separate"/>
      </w:r>
      <w:r w:rsidR="00213C13" w:rsidRPr="003707B2">
        <w:rPr>
          <w:rFonts w:ascii="Arial" w:eastAsia="Arial" w:hAnsi="Arial" w:cs="Arial"/>
          <w:noProof/>
          <w:sz w:val="20"/>
          <w:szCs w:val="20"/>
        </w:rPr>
        <w:t>(1)</w:t>
      </w:r>
      <w:r w:rsidR="00213C13" w:rsidRPr="003707B2">
        <w:rPr>
          <w:rFonts w:ascii="Arial" w:eastAsia="Arial" w:hAnsi="Arial" w:cs="Arial"/>
          <w:sz w:val="20"/>
          <w:szCs w:val="20"/>
        </w:rPr>
        <w:fldChar w:fldCharType="end"/>
      </w:r>
      <w:r w:rsidRPr="003707B2">
        <w:rPr>
          <w:rFonts w:ascii="Arial" w:eastAsia="Arial" w:hAnsi="Arial" w:cs="Arial"/>
          <w:sz w:val="20"/>
          <w:szCs w:val="20"/>
        </w:rPr>
        <w:t>. T1</w:t>
      </w:r>
      <w:r w:rsidRPr="003707B2">
        <w:rPr>
          <w:rFonts w:ascii="Arial" w:eastAsia="Arial" w:hAnsi="Arial" w:cs="Arial"/>
          <w:sz w:val="20"/>
          <w:szCs w:val="20"/>
          <w:vertAlign w:val="subscript"/>
        </w:rPr>
        <w:t>0</w:t>
      </w:r>
      <w:r w:rsidRPr="003707B2">
        <w:rPr>
          <w:rFonts w:ascii="Arial" w:eastAsia="Arial" w:hAnsi="Arial" w:cs="Arial"/>
          <w:sz w:val="20"/>
          <w:szCs w:val="20"/>
        </w:rPr>
        <w:t xml:space="preserve"> maps were calculated using MIStar (Apollo Medical Imaging, Melbourne, Australia). R</w:t>
      </w:r>
      <w:r w:rsidR="00AE2C96" w:rsidRPr="003707B2">
        <w:rPr>
          <w:rFonts w:ascii="Arial" w:eastAsia="Arial" w:hAnsi="Arial" w:cs="Arial"/>
          <w:sz w:val="20"/>
          <w:szCs w:val="20"/>
        </w:rPr>
        <w:t>F</w:t>
      </w:r>
      <w:r w:rsidRPr="003707B2">
        <w:rPr>
          <w:rFonts w:ascii="Arial" w:eastAsia="Arial" w:hAnsi="Arial" w:cs="Arial"/>
          <w:sz w:val="20"/>
          <w:szCs w:val="20"/>
        </w:rPr>
        <w:t xml:space="preserve"> transmit uniformity (B</w:t>
      </w:r>
      <w:r w:rsidRPr="003707B2">
        <w:rPr>
          <w:rFonts w:ascii="Arial" w:eastAsia="Arial" w:hAnsi="Arial" w:cs="Arial"/>
          <w:sz w:val="20"/>
          <w:szCs w:val="20"/>
          <w:vertAlign w:val="subscript"/>
        </w:rPr>
        <w:t>1</w:t>
      </w:r>
      <w:r w:rsidRPr="003707B2">
        <w:rPr>
          <w:rFonts w:ascii="Arial" w:eastAsia="Arial" w:hAnsi="Arial" w:cs="Arial"/>
          <w:sz w:val="20"/>
          <w:szCs w:val="20"/>
          <w:vertAlign w:val="superscript"/>
        </w:rPr>
        <w:t>+</w:t>
      </w:r>
      <w:r w:rsidRPr="003707B2">
        <w:rPr>
          <w:rFonts w:ascii="Arial" w:eastAsia="Arial" w:hAnsi="Arial" w:cs="Arial"/>
          <w:sz w:val="20"/>
          <w:szCs w:val="20"/>
        </w:rPr>
        <w:t xml:space="preserve">) maps were obtained using a multi-slice 2D Bloch-Siegert–based gradient-echo sequence </w:t>
      </w:r>
      <w:r w:rsidR="00213C13" w:rsidRPr="003707B2">
        <w:rPr>
          <w:rFonts w:ascii="Arial" w:eastAsia="Arial" w:hAnsi="Arial" w:cs="Arial"/>
          <w:sz w:val="20"/>
          <w:szCs w:val="20"/>
        </w:rPr>
        <w:fldChar w:fldCharType="begin" w:fldLock="1"/>
      </w:r>
      <w:r w:rsidR="00213C13" w:rsidRPr="003707B2">
        <w:rPr>
          <w:rFonts w:ascii="Arial" w:eastAsia="Arial" w:hAnsi="Arial" w:cs="Arial"/>
          <w:sz w:val="20"/>
          <w:szCs w:val="20"/>
        </w:rPr>
        <w:instrText>ADDIN CSL_CITATION {"citationItems":[{"id":"ITEM-1","itemData":{"author":[{"dropping-particle":"","family":"Sacolick","given":"L I","non-dropping-particle":"","parse-names":false,"suffix":""},{"dropping-particle":"","family":"Wiesinger","given":"F","non-dropping-particle":"","parse-names":false,"suffix":""},{"dropping-particle":"","family":"Hancu","given":"I","non-dropping-particle":"","parse-names":false,"suffix":""},{"dropping-particle":"","family":"Vogel","given":"M W","non-dropping-particle":"","parse-names":false,"suffix":""}],"container-title":"Magn Reson Med","id":"ITEM-1","issue":"5 SRC  - GoogleScholar FG  - 0","issued":{"date-parts":[["2010"]]},"note":"[Original String]:\n11. Sacolick LI, Wiesinger F, Hancu I, Vogel MW: B1 mapping by Bloch-Siegert shift. Magn Reson Med 2010, 63(5):1315-1322.","page":"1315-1322","title":"B1 mapping by Bloch-Siegert shift.","type":"article-journal","volume":"63"},"uris":["http://www.mendeley.com/documents/?uuid=2e11ff52-d3e6-4c21-ab1c-ebb6e9fb11a3"]}],"mendeley":{"formattedCitation":"(2)","plainTextFormattedCitation":"(2)","previouslyFormattedCitation":"(2)"},"properties":{"noteIndex":0},"schema":"https://github.com/citation-style-language/schema/raw/master/csl-citation.json"}</w:instrText>
      </w:r>
      <w:r w:rsidR="00213C13" w:rsidRPr="003707B2">
        <w:rPr>
          <w:rFonts w:ascii="Arial" w:eastAsia="Arial" w:hAnsi="Arial" w:cs="Arial"/>
          <w:sz w:val="20"/>
          <w:szCs w:val="20"/>
        </w:rPr>
        <w:fldChar w:fldCharType="separate"/>
      </w:r>
      <w:r w:rsidR="00213C13" w:rsidRPr="003707B2">
        <w:rPr>
          <w:rFonts w:ascii="Arial" w:eastAsia="Arial" w:hAnsi="Arial" w:cs="Arial"/>
          <w:noProof/>
          <w:sz w:val="20"/>
          <w:szCs w:val="20"/>
        </w:rPr>
        <w:t>(2)</w:t>
      </w:r>
      <w:r w:rsidR="00213C13" w:rsidRPr="003707B2">
        <w:rPr>
          <w:rFonts w:ascii="Arial" w:eastAsia="Arial" w:hAnsi="Arial" w:cs="Arial"/>
          <w:sz w:val="20"/>
          <w:szCs w:val="20"/>
        </w:rPr>
        <w:fldChar w:fldCharType="end"/>
      </w:r>
      <w:r w:rsidRPr="003707B2">
        <w:rPr>
          <w:rFonts w:ascii="Arial" w:eastAsia="Arial" w:hAnsi="Arial" w:cs="Arial"/>
          <w:sz w:val="20"/>
          <w:szCs w:val="20"/>
        </w:rPr>
        <w:t xml:space="preserve"> with the images postprocessed using in-house code (MATLAB, The MathWorks, Inc., Natick, MA); FOV = 350 mm; matrix = 128 x 128; slice thickness = 7 mm; in-plane voxel size = 2.7 x 2.7 mm²; TR = 29 ms; TE = 13.5 ms; FA = 20°. Spatial registration of B</w:t>
      </w:r>
      <w:r w:rsidRPr="003707B2">
        <w:rPr>
          <w:rFonts w:ascii="Arial" w:eastAsia="Arial" w:hAnsi="Arial" w:cs="Arial"/>
          <w:sz w:val="20"/>
          <w:szCs w:val="20"/>
          <w:vertAlign w:val="subscript"/>
        </w:rPr>
        <w:t>1</w:t>
      </w:r>
      <w:r w:rsidRPr="003707B2">
        <w:rPr>
          <w:rFonts w:ascii="Arial" w:eastAsia="Arial" w:hAnsi="Arial" w:cs="Arial"/>
          <w:sz w:val="20"/>
          <w:szCs w:val="20"/>
          <w:vertAlign w:val="superscript"/>
        </w:rPr>
        <w:t>+</w:t>
      </w:r>
      <w:r w:rsidRPr="003707B2">
        <w:rPr>
          <w:rFonts w:ascii="Arial" w:eastAsia="Arial" w:hAnsi="Arial" w:cs="Arial"/>
          <w:sz w:val="20"/>
          <w:szCs w:val="20"/>
        </w:rPr>
        <w:t xml:space="preserve"> corrected T1</w:t>
      </w:r>
      <w:r w:rsidRPr="003707B2">
        <w:rPr>
          <w:rFonts w:ascii="Arial" w:eastAsia="Arial" w:hAnsi="Arial" w:cs="Arial"/>
          <w:sz w:val="20"/>
          <w:szCs w:val="20"/>
          <w:vertAlign w:val="subscript"/>
        </w:rPr>
        <w:t>0</w:t>
      </w:r>
      <w:r w:rsidRPr="003707B2">
        <w:rPr>
          <w:rFonts w:ascii="Arial" w:eastAsia="Arial" w:hAnsi="Arial" w:cs="Arial"/>
          <w:sz w:val="20"/>
          <w:szCs w:val="20"/>
        </w:rPr>
        <w:t xml:space="preserve"> maps and DCE was adjusted manually where necessary.</w:t>
      </w:r>
    </w:p>
    <w:p w14:paraId="7D5CFD7E" w14:textId="77777777" w:rsidR="00CE1E67" w:rsidRPr="003707B2" w:rsidRDefault="00CE1E67">
      <w:pPr>
        <w:spacing w:line="480" w:lineRule="auto"/>
        <w:rPr>
          <w:rFonts w:ascii="Arial" w:eastAsia="Arial" w:hAnsi="Arial" w:cs="Arial"/>
          <w:sz w:val="20"/>
          <w:szCs w:val="20"/>
        </w:rPr>
      </w:pPr>
    </w:p>
    <w:p w14:paraId="7375C4C1" w14:textId="769C7EA0" w:rsidR="00CE1E67" w:rsidRPr="003707B2" w:rsidRDefault="00BD41CE">
      <w:pPr>
        <w:pStyle w:val="Heading3"/>
        <w:rPr>
          <w:rFonts w:ascii="Arial" w:eastAsia="Arial" w:hAnsi="Arial" w:cs="Arial"/>
          <w:b w:val="0"/>
          <w:sz w:val="20"/>
          <w:szCs w:val="20"/>
        </w:rPr>
      </w:pPr>
      <w:r w:rsidRPr="003707B2">
        <w:rPr>
          <w:rFonts w:ascii="Arial" w:eastAsia="Arial" w:hAnsi="Arial" w:cs="Arial"/>
          <w:sz w:val="20"/>
          <w:szCs w:val="20"/>
          <w:vertAlign w:val="superscript"/>
        </w:rPr>
        <w:t>13</w:t>
      </w:r>
      <w:r w:rsidRPr="003707B2">
        <w:rPr>
          <w:rFonts w:ascii="Arial" w:eastAsia="Arial" w:hAnsi="Arial" w:cs="Arial"/>
          <w:sz w:val="20"/>
          <w:szCs w:val="20"/>
        </w:rPr>
        <w:t>C Magnetic Resonance Imaging (</w:t>
      </w:r>
      <w:r w:rsidRPr="003707B2">
        <w:rPr>
          <w:rFonts w:ascii="Arial" w:eastAsia="Arial" w:hAnsi="Arial" w:cs="Arial"/>
          <w:sz w:val="20"/>
          <w:szCs w:val="20"/>
          <w:vertAlign w:val="superscript"/>
        </w:rPr>
        <w:t>13</w:t>
      </w:r>
      <w:r w:rsidRPr="003707B2">
        <w:rPr>
          <w:rFonts w:ascii="Arial" w:eastAsia="Arial" w:hAnsi="Arial" w:cs="Arial"/>
          <w:sz w:val="20"/>
          <w:szCs w:val="20"/>
        </w:rPr>
        <w:t xml:space="preserve">C-MRI) and postprocessing. </w:t>
      </w:r>
      <w:r w:rsidRPr="003707B2">
        <w:rPr>
          <w:rFonts w:ascii="Arial" w:eastAsia="Arial" w:hAnsi="Arial" w:cs="Arial"/>
          <w:b w:val="0"/>
          <w:sz w:val="20"/>
          <w:szCs w:val="20"/>
        </w:rPr>
        <w:t>Pharmacy kits: the [1-</w:t>
      </w:r>
      <w:r w:rsidRPr="003707B2">
        <w:rPr>
          <w:rFonts w:ascii="Arial" w:eastAsia="Arial" w:hAnsi="Arial" w:cs="Arial"/>
          <w:b w:val="0"/>
          <w:sz w:val="20"/>
          <w:szCs w:val="20"/>
          <w:vertAlign w:val="superscript"/>
        </w:rPr>
        <w:t>13</w:t>
      </w:r>
      <w:r w:rsidRPr="003707B2">
        <w:rPr>
          <w:rFonts w:ascii="Arial" w:eastAsia="Arial" w:hAnsi="Arial" w:cs="Arial"/>
          <w:b w:val="0"/>
          <w:sz w:val="20"/>
          <w:szCs w:val="20"/>
        </w:rPr>
        <w:t xml:space="preserve">C]pyruvic acid containing formulation was sealed, by laser welding, in a vial within the pharmacy kit. After preparation, pharmacy kits were stored at -20°C </w:t>
      </w:r>
      <w:r w:rsidR="00213C13" w:rsidRPr="003707B2">
        <w:rPr>
          <w:rFonts w:ascii="Arial" w:eastAsia="Arial" w:hAnsi="Arial" w:cs="Arial"/>
          <w:b w:val="0"/>
          <w:sz w:val="20"/>
          <w:szCs w:val="20"/>
        </w:rPr>
        <w:fldChar w:fldCharType="begin" w:fldLock="1"/>
      </w:r>
      <w:r w:rsidR="00213C13" w:rsidRPr="003707B2">
        <w:rPr>
          <w:rFonts w:ascii="Arial" w:eastAsia="Arial" w:hAnsi="Arial" w:cs="Arial"/>
          <w:b w:val="0"/>
          <w:sz w:val="20"/>
          <w:szCs w:val="20"/>
        </w:rPr>
        <w:instrText>ADDIN CSL_CITATION {"citationItems":[{"id":"ITEM-1","itemData":{"DOI":"10.1259/bjr.20170688","ISSN":"00071285","abstract":"© 2018 The Authors. Glucose metabolism in tumours is reprogrammed away from oxidative metabolism, even in the presence of oxygen. Non-invasive imaging techniques can probe these alterations in cancer metabolism providing tools to detect tumours and their response to therapy. Although Positron Emission Tomography with ( 18 F)2-fluoro-2-deoxy-D-glucose ( 18 F-FDG PET) is an established clinical tool to probe cancer metabolism, it has poor spatial resolution and soft tissue contrast, utilizes ionizing radiation and only probes glucose uptake and phosphorylation and not further downstream metabolism. Magnetic Resonance Spectroscopy (MRS) has the capability to non-invasively detect and distinguish molecules within tissue but has low sensitivity and can only detect selected nuclei. Dynamic Nuclear Polarization (DNP) is a technique which greatly increases the signal-to-noise ratio (SNR) achieved with MR by significantly increasing nuclear spin polarization and this method has now been translated into human imaging. This review provides a brief overview of this process, also termed Hyperpolarized Carbon-13 Magnetic Resonance Spectroscopic Imaging (HP 13 C-MRSI), its applications in preclinical imaging, an outline of the current human trials that are ongoing, as well as future potential applications in oncology.","author":[{"dropping-particle":"","family":"Zaccagna","given":"F.","non-dropping-particle":"","parse-names":false,"suffix":""},{"dropping-particle":"","family":"Grist","given":"J.T.","non-dropping-particle":"","parse-names":false,"suffix":""},{"dropping-particle":"","family":"Deen","given":"S.S.","non-dropping-particle":"","parse-names":false,"suffix":""},{"dropping-particle":"","family":"Woitek","given":"R.","non-dropping-particle":"","parse-names":false,"suffix":""},{"dropping-particle":"","family":"Lechermann","given":"L.M.T.","non-dropping-particle":"","parse-names":false,"suffix":""},{"dropping-particle":"","family":"McLean","given":"M.A.","non-dropping-particle":"","parse-names":false,"suffix":""},{"dropping-particle":"","family":"Basu","given":"B.","non-dropping-particle":"","parse-names":false,"suffix":""},{"dropping-particle":"","family":"Gallagher","given":"F.A.","non-dropping-particle":"","parse-names":false,"suffix":""}],"container-title":"British Journal of Radiology","id":"ITEM-1","issue":"1085","issued":{"date-parts":[["2018"]]},"title":"Hyperpolarized carbon-13 magnetic resonance spectroscopic imaging: A clinical tool for studying tumour metabolism","type":"article-journal","volume":"91"},"uris":["http://www.mendeley.com/documents/?uuid=bdc87176-60d2-329e-8803-a86e0aaf3f76"]},{"id":"ITEM-2","itemData":{"DOI":"10.1016/j.neuroimage.2019.01.027","ISSN":"10538119","author":[{"dropping-particle":"","family":"Grist","given":"James T.","non-dropping-particle":"","parse-names":false,"suffix":""},{"dropping-particle":"","family":"McLean","given":"Mary A.","non-dropping-particle":"","parse-names":false,"suffix":""},{"dropping-particle":"","family":"Riemer","given":"Frank","non-dropping-particle":"","parse-names":false,"suffix":""},{"dropping-particle":"","family":"Schulte","given":"Rolf F.","non-dropping-particle":"","parse-names":false,"suffix":""},{"dropping-particle":"","family":"Deen","given":"Surrin S.","non-dropping-particle":"","parse-names":false,"suffix":""},{"dropping-particle":"","family":"Zaccagna","given":"Fulvio","non-dropping-particle":"","parse-names":false,"suffix":""},{"dropping-particle":"","family":"Woitek","given":"Ramona","non-dropping-particle":"","parse-names":false,"suffix":""},{"dropping-particle":"","family":"Daniels","given":"Charlie J.","non-dropping-particle":"","parse-names":false,"suffix":""},{"dropping-particle":"","family":"Kaggie","given":"Joshua D.","non-dropping-particle":"","parse-names":false,"suffix":""},{"dropping-particle":"","family":"Matys","given":"Tomasz","non-dropping-particle":"","parse-names":false,"suffix":""},{"dropping-particle":"","family":"Patterson","given":"Ilse","non-dropping-particle":"","parse-names":false,"suffix":""},{"dropping-particle":"","family":"Slough","given":"Rhys","non-dropping-particle":"","parse-names":false,"suffix":""},{"dropping-particle":"","family":"Gill","given":"Andrew B.","non-dropping-particle":"","parse-names":false,"suffix":""},{"dropping-particle":"","family":"Chhabra","given":"Anita","non-dropping-particle":"","parse-names":false,"suffix":""},{"dropping-particle":"","family":"Eichenberger","given":"Rose","non-dropping-particle":"","parse-names":false,"suffix":""},{"dropping-particle":"","family":"Laurent","given":"Marie-Christine","non-dropping-particle":"","parse-names":false,"suffix":""},{"dropping-particle":"","family":"Comment","given":"Arnaud","non-dropping-particle":"","parse-names":false,"suffix":""},{"dropping-particle":"","family":"Gillard","given":"Jonathan H.","non-dropping-particle":"","parse-names":false,"suffix":""},{"dropping-particle":"","family":"Coles","given":"Alasdair J.","non-dropping-particle":"","parse-names":false,"suffix":""},{"dropping-particle":"","family":"Tyler","given":"Damian J.","non-dropping-particle":"","parse-names":false,"suffix":""},{"dropping-particle":"","family":"Wilkinson","given":"Ian","non-dropping-particle":"","parse-names":false,"suffix":""},{"dropping-particle":"","family":"Basu","given":"Bristi","non-dropping-particle":"","parse-names":false,"suffix":""},{"dropping-particle":"","family":"Lomas","given":"David J.","non-dropping-particle":"","parse-names":false,"suffix":""},{"dropping-particle":"","family":"Graves","given":"Martin J.","non-dropping-particle":"","parse-names":false,"suffix":""},{"dropping-particle":"","family":"Brindle","given":"Kevin M.","non-dropping-particle":"","parse-names":false,"suffix":""},{"dropping-particle":"","family":"Gallagher","given":"Ferdia A.","non-dropping-particle":"","parse-names":false,"suffix":""}],"container-title":"NeuroImage","id":"ITEM-2","issued":{"date-parts":[["2019","4"]]},"page":"171-179","title":"Quantifying normal human brain metabolism using hyperpolarized [1–&lt;sup&gt;13&lt;/sup&gt;C]pyruvate and magnetic resonance imaging","type":"article-journal","volume":"189"},"uris":["http://www.mendeley.com/documents/?uuid=bab43978-439f-33a4-bac1-21e1b539f073"]}],"mendeley":{"formattedCitation":"(3, 4)","plainTextFormattedCitation":"(3, 4)","previouslyFormattedCitation":"(3, 4)"},"properties":{"noteIndex":0},"schema":"https://github.com/citation-style-language/schema/raw/master/csl-citation.json"}</w:instrText>
      </w:r>
      <w:r w:rsidR="00213C13" w:rsidRPr="003707B2">
        <w:rPr>
          <w:rFonts w:ascii="Arial" w:eastAsia="Arial" w:hAnsi="Arial" w:cs="Arial"/>
          <w:b w:val="0"/>
          <w:sz w:val="20"/>
          <w:szCs w:val="20"/>
        </w:rPr>
        <w:fldChar w:fldCharType="separate"/>
      </w:r>
      <w:r w:rsidR="00213C13" w:rsidRPr="003707B2">
        <w:rPr>
          <w:rFonts w:ascii="Arial" w:eastAsia="Arial" w:hAnsi="Arial" w:cs="Arial"/>
          <w:b w:val="0"/>
          <w:noProof/>
          <w:sz w:val="20"/>
          <w:szCs w:val="20"/>
        </w:rPr>
        <w:t>(3, 4)</w:t>
      </w:r>
      <w:r w:rsidR="00213C13" w:rsidRPr="003707B2">
        <w:rPr>
          <w:rFonts w:ascii="Arial" w:eastAsia="Arial" w:hAnsi="Arial" w:cs="Arial"/>
          <w:b w:val="0"/>
          <w:sz w:val="20"/>
          <w:szCs w:val="20"/>
        </w:rPr>
        <w:fldChar w:fldCharType="end"/>
      </w:r>
      <w:r w:rsidRPr="003707B2">
        <w:rPr>
          <w:rFonts w:ascii="Arial" w:eastAsia="Arial" w:hAnsi="Arial" w:cs="Arial"/>
          <w:b w:val="0"/>
          <w:sz w:val="20"/>
          <w:szCs w:val="20"/>
        </w:rPr>
        <w:t xml:space="preserve">. Before hyperpolarization, the vial containing the frozen pyruvate/EPA formulation was loaded into a clinical hyperpolarizer and defrosted for one hour (SPINlab, Research Circle Technology, Niskayuna, NY). Formulation of </w:t>
      </w:r>
      <w:r w:rsidRPr="003707B2">
        <w:rPr>
          <w:rFonts w:ascii="Arial" w:eastAsia="Arial" w:hAnsi="Arial" w:cs="Arial"/>
          <w:b w:val="0"/>
          <w:sz w:val="20"/>
          <w:szCs w:val="20"/>
        </w:rPr>
        <w:lastRenderedPageBreak/>
        <w:t>the neutralizing buffer solution comprised 19 mL sterile water with 17.5 mL NaOH/Tris/EDTA (2.4%, 4.03%, and 0.033% w/v respectively, (Royal Free Hospital, London, UK).</w:t>
      </w:r>
    </w:p>
    <w:p w14:paraId="38519170" w14:textId="77777777" w:rsidR="000C40DC" w:rsidRPr="003707B2" w:rsidRDefault="000C40DC" w:rsidP="000C40DC">
      <w:pPr>
        <w:rPr>
          <w:rFonts w:eastAsia="Arial"/>
        </w:rPr>
      </w:pPr>
    </w:p>
    <w:p w14:paraId="080A153B" w14:textId="77777777" w:rsidR="00CE1E67" w:rsidRPr="003707B2" w:rsidRDefault="00BD41CE">
      <w:pPr>
        <w:spacing w:line="480" w:lineRule="auto"/>
        <w:rPr>
          <w:rFonts w:ascii="Arial" w:eastAsia="Arial" w:hAnsi="Arial" w:cs="Arial"/>
          <w:sz w:val="20"/>
          <w:szCs w:val="20"/>
        </w:rPr>
      </w:pPr>
      <w:r w:rsidRPr="003707B2">
        <w:rPr>
          <w:rFonts w:ascii="Arial" w:eastAsia="Arial Unicode MS" w:hAnsi="Arial" w:cs="Arial"/>
          <w:sz w:val="20"/>
          <w:szCs w:val="20"/>
        </w:rPr>
        <w:t xml:space="preserve">QC criteria for injections: pH 6.7-8.1; EPA concentration ≤ 3 μM; pyruvate concentration 220-280 mM; and temperature 25-37 </w:t>
      </w:r>
      <w:r w:rsidRPr="003707B2">
        <w:rPr>
          <w:rFonts w:ascii="Arial" w:eastAsia="Symbol" w:hAnsi="Arial" w:cs="Arial"/>
          <w:sz w:val="20"/>
          <w:szCs w:val="20"/>
        </w:rPr>
        <w:t>°</w:t>
      </w:r>
      <w:r w:rsidRPr="003707B2">
        <w:rPr>
          <w:rFonts w:ascii="Arial" w:eastAsia="Arial" w:hAnsi="Arial" w:cs="Arial"/>
          <w:sz w:val="20"/>
          <w:szCs w:val="20"/>
        </w:rPr>
        <w:t xml:space="preserve">C. After QC, the solution was passed through a sterilizing filter (0.2 μm; PureFlo Disc Filter, ZenPure, Manassas, VA) before collection in a sterile syringe (Medrad, Warrendale, PA). </w:t>
      </w:r>
    </w:p>
    <w:p w14:paraId="2C454B08" w14:textId="77777777" w:rsidR="000C40DC" w:rsidRPr="003707B2" w:rsidRDefault="000C40DC">
      <w:pPr>
        <w:spacing w:line="480" w:lineRule="auto"/>
        <w:rPr>
          <w:rFonts w:ascii="Arial" w:eastAsia="Arial" w:hAnsi="Arial" w:cs="Arial"/>
          <w:sz w:val="20"/>
          <w:szCs w:val="20"/>
        </w:rPr>
      </w:pPr>
    </w:p>
    <w:p w14:paraId="05DD2851"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 xml:space="preserve">The FOV was centered over the breast tumor and two to three coronal slices were acquired depending on the size of the breast. </w:t>
      </w:r>
      <w:r w:rsidRPr="003707B2">
        <w:rPr>
          <w:rFonts w:ascii="Arial" w:eastAsia="Arial" w:hAnsi="Arial" w:cs="Arial"/>
          <w:sz w:val="20"/>
          <w:szCs w:val="20"/>
          <w:vertAlign w:val="superscript"/>
        </w:rPr>
        <w:t>13</w:t>
      </w:r>
      <w:r w:rsidRPr="003707B2">
        <w:rPr>
          <w:rFonts w:ascii="Arial" w:eastAsia="Arial" w:hAnsi="Arial" w:cs="Arial"/>
          <w:sz w:val="20"/>
          <w:szCs w:val="20"/>
        </w:rPr>
        <w:t xml:space="preserve">C imaging started between 0 and 30 s after the </w:t>
      </w:r>
      <w:r w:rsidRPr="003707B2">
        <w:rPr>
          <w:rFonts w:ascii="Arial" w:eastAsia="Arial" w:hAnsi="Arial" w:cs="Arial"/>
          <w:sz w:val="20"/>
          <w:szCs w:val="20"/>
          <w:vertAlign w:val="superscript"/>
        </w:rPr>
        <w:t>13</w:t>
      </w:r>
      <w:r w:rsidRPr="003707B2">
        <w:rPr>
          <w:rFonts w:ascii="Arial" w:eastAsia="Arial" w:hAnsi="Arial" w:cs="Arial"/>
          <w:sz w:val="20"/>
          <w:szCs w:val="20"/>
        </w:rPr>
        <w:t xml:space="preserve">C-pyruvate injection. </w:t>
      </w:r>
    </w:p>
    <w:p w14:paraId="795C4779" w14:textId="77777777" w:rsidR="000C40DC" w:rsidRPr="003707B2" w:rsidRDefault="000C40DC">
      <w:pPr>
        <w:spacing w:line="480" w:lineRule="auto"/>
        <w:rPr>
          <w:rFonts w:ascii="Arial" w:eastAsia="Arial" w:hAnsi="Arial" w:cs="Arial"/>
          <w:sz w:val="20"/>
          <w:szCs w:val="20"/>
        </w:rPr>
      </w:pPr>
    </w:p>
    <w:p w14:paraId="10606187" w14:textId="31D3DE97" w:rsidR="00CE1E67" w:rsidRPr="003707B2" w:rsidRDefault="00BD41CE">
      <w:pPr>
        <w:pBdr>
          <w:top w:val="nil"/>
          <w:left w:val="nil"/>
          <w:bottom w:val="nil"/>
          <w:right w:val="nil"/>
          <w:between w:val="nil"/>
        </w:pBdr>
        <w:spacing w:line="480" w:lineRule="auto"/>
        <w:rPr>
          <w:rFonts w:ascii="Arial" w:eastAsia="Arial" w:hAnsi="Arial" w:cs="Arial"/>
          <w:color w:val="212121"/>
          <w:sz w:val="20"/>
          <w:szCs w:val="20"/>
        </w:rPr>
      </w:pPr>
      <w:r w:rsidRPr="003707B2">
        <w:rPr>
          <w:rFonts w:ascii="Arial" w:eastAsia="Arial" w:hAnsi="Arial" w:cs="Arial"/>
          <w:color w:val="000000"/>
          <w:sz w:val="20"/>
          <w:szCs w:val="20"/>
        </w:rPr>
        <w:t xml:space="preserve">Kinetic fitting was also explored as an alternative to analysis of metabolite ratios in the summed time courses. A two-way kinetic model </w:t>
      </w:r>
      <w:r w:rsidR="00213C13" w:rsidRPr="003707B2">
        <w:rPr>
          <w:rFonts w:ascii="Arial" w:eastAsia="Arial" w:hAnsi="Arial" w:cs="Arial"/>
          <w:color w:val="000000"/>
          <w:sz w:val="20"/>
          <w:szCs w:val="20"/>
        </w:rPr>
        <w:fldChar w:fldCharType="begin" w:fldLock="1"/>
      </w:r>
      <w:r w:rsidR="00312009" w:rsidRPr="003707B2">
        <w:rPr>
          <w:rFonts w:ascii="Arial" w:eastAsia="Arial" w:hAnsi="Arial" w:cs="Arial"/>
          <w:color w:val="000000"/>
          <w:sz w:val="20"/>
          <w:szCs w:val="20"/>
        </w:rPr>
        <w:instrText>ADDIN CSL_CITATION {"citationItems":[{"id":"ITEM-1","itemData":{"DOI":"10.1002/nbm.3468","ISSN":"09523480","PMID":"27414749","abstract":"Dissolution dynamic nuclear polarization (DNP) enables the metabolism of hyperpolarized (13)C-labelled molecules, such as the conversion of [1-(13)C]pyruvate to [1-(13)C]lactate, to be dynamically and non-invasively imaged in tissue. Imaging of this exchange reaction in animal models has been shown to detect early treatment response and correlate with tumour grade. The first human DNP study has recently been completed, and, for widespread clinical translation, simple and reliable methods are necessary to accurately probe the reaction in patients. However, there is currently no consensus on the most appropriate method to quantify this exchange reaction. In this study, an in vitro system was used to compare several kinetic models, as well as simple model-free methods. Experiments were performed using a clinical hyperpolarizer, a human 3 T MR system, and spectroscopic imaging sequences. The quantitative methods were compared in vivo by using subcutaneous breast tumours in rats to examine the effect of pyruvate inflow. The two-way kinetic model was the most accurate method for characterizing the exchange reaction in vitro, and the incorporation of a Heaviside step inflow profile was best able to describe the in vivo data. The lactate time-to-peak and the lactate-to-pyruvate area under the curve ratio were simple model-free approaches that accurately represented the full reaction, with the time-to-peak method performing indistinguishably from the best kinetic model. Finally, extracting data from a single pixel was a robust and reliable surrogate of the whole region of interest. This work has identified appropriate quantitative methods for future work in the analysis of human hyperpolarized (13)C data.","author":[{"dropping-particle":"","family":"Daniels","given":"Charlie J.","non-dropping-particle":"","parse-names":false,"suffix":""},{"dropping-particle":"","family":"McLean","given":"Mary A.","non-dropping-particle":"","parse-names":false,"suffix":""},{"dropping-particle":"","family":"Schulte","given":"Rolf F.","non-dropping-particle":"","parse-names":false,"suffix":""},{"dropping-particle":"","family":"Robb","given":"Fraser J.","non-dropping-particle":"","parse-names":false,"suffix":""},{"dropping-particle":"","family":"Gill","given":"Andrew B.","non-dropping-particle":"","parse-names":false,"suffix":""},{"dropping-particle":"","family":"McGlashan","given":"Nicholas","non-dropping-particle":"","parse-names":false,"suffix":""},{"dropping-particle":"","family":"Graves","given":"Martin J.","non-dropping-particle":"","parse-names":false,"suffix":""},{"dropping-particle":"","family":"Schwaiger","given":"Markus","non-dropping-particle":"","parse-names":false,"suffix":""},{"dropping-particle":"","family":"Lomas","given":"David J.","non-dropping-particle":"","parse-names":false,"suffix":""},{"dropping-particle":"","family":"Brindle","given":"Kevin M.","non-dropping-particle":"","parse-names":false,"suffix":""},{"dropping-particle":"","family":"Gallagher","given":"Ferdia A.","non-dropping-particle":"","parse-names":false,"suffix":""}],"container-title":"NMR in Biomedicine","id":"ITEM-1","issue":"4","issued":{"date-parts":[["2016","4"]]},"page":"387-399","title":"A comparison of quantitative methods for clinical imaging with hyperpolarized &lt;sup&gt;13&lt;/sup&gt;C-pyruvate","type":"article-journal","volume":"29"},"uris":["http://www.mendeley.com/documents/?uuid=12ed4aba-b29e-3863-a903-a094ae07a8f4"]}],"mendeley":{"formattedCitation":"(5)","plainTextFormattedCitation":"(5)","previouslyFormattedCitation":"(5)"},"properties":{"noteIndex":0},"schema":"https://github.com/citation-style-language/schema/raw/master/csl-citation.json"}</w:instrText>
      </w:r>
      <w:r w:rsidR="00213C13" w:rsidRPr="003707B2">
        <w:rPr>
          <w:rFonts w:ascii="Arial" w:eastAsia="Arial" w:hAnsi="Arial" w:cs="Arial"/>
          <w:color w:val="000000"/>
          <w:sz w:val="20"/>
          <w:szCs w:val="20"/>
        </w:rPr>
        <w:fldChar w:fldCharType="separate"/>
      </w:r>
      <w:r w:rsidR="00213C13" w:rsidRPr="003707B2">
        <w:rPr>
          <w:rFonts w:ascii="Arial" w:eastAsia="Arial" w:hAnsi="Arial" w:cs="Arial"/>
          <w:noProof/>
          <w:color w:val="000000"/>
          <w:sz w:val="20"/>
          <w:szCs w:val="20"/>
        </w:rPr>
        <w:t>(5)</w:t>
      </w:r>
      <w:r w:rsidR="00213C13" w:rsidRPr="003707B2">
        <w:rPr>
          <w:rFonts w:ascii="Arial" w:eastAsia="Arial" w:hAnsi="Arial" w:cs="Arial"/>
          <w:color w:val="000000"/>
          <w:sz w:val="20"/>
          <w:szCs w:val="20"/>
        </w:rPr>
        <w:fldChar w:fldCharType="end"/>
      </w:r>
      <w:r w:rsidRPr="003707B2">
        <w:rPr>
          <w:rFonts w:ascii="Arial" w:eastAsia="Arial" w:hAnsi="Arial" w:cs="Arial"/>
          <w:color w:val="000000"/>
          <w:sz w:val="20"/>
          <w:szCs w:val="20"/>
        </w:rPr>
        <w:t xml:space="preserve"> was used to fit the evolution of pyruvate and lactate signals between the time of peak pyruvate signal and the end of the acquisition. The forward rate constant k</w:t>
      </w:r>
      <w:r w:rsidRPr="003707B2">
        <w:rPr>
          <w:rFonts w:ascii="Arial" w:eastAsia="Arial" w:hAnsi="Arial" w:cs="Arial"/>
          <w:i/>
          <w:color w:val="000000"/>
          <w:sz w:val="20"/>
          <w:szCs w:val="20"/>
          <w:vertAlign w:val="subscript"/>
        </w:rPr>
        <w:t>PL</w:t>
      </w:r>
      <w:r w:rsidRPr="003707B2">
        <w:rPr>
          <w:rFonts w:ascii="Arial" w:eastAsia="Arial" w:hAnsi="Arial" w:cs="Arial"/>
          <w:i/>
          <w:color w:val="000000"/>
          <w:sz w:val="20"/>
          <w:szCs w:val="20"/>
        </w:rPr>
        <w:t xml:space="preserve"> </w:t>
      </w:r>
      <w:r w:rsidRPr="003707B2">
        <w:rPr>
          <w:rFonts w:ascii="Arial" w:eastAsia="Arial" w:hAnsi="Arial" w:cs="Arial"/>
          <w:color w:val="000000"/>
          <w:sz w:val="20"/>
          <w:szCs w:val="20"/>
        </w:rPr>
        <w:t>from this fit was compared between patients. As an estimate of the uncertainty in fitting of k</w:t>
      </w:r>
      <w:r w:rsidRPr="003707B2">
        <w:rPr>
          <w:rFonts w:ascii="Arial" w:eastAsia="Arial" w:hAnsi="Arial" w:cs="Arial"/>
          <w:i/>
          <w:color w:val="000000"/>
          <w:sz w:val="20"/>
          <w:szCs w:val="20"/>
          <w:vertAlign w:val="subscript"/>
        </w:rPr>
        <w:t>PL</w:t>
      </w:r>
      <w:r w:rsidRPr="003707B2">
        <w:rPr>
          <w:rFonts w:ascii="Arial" w:eastAsia="Arial" w:hAnsi="Arial" w:cs="Arial"/>
          <w:i/>
          <w:color w:val="000000"/>
          <w:sz w:val="20"/>
          <w:szCs w:val="20"/>
        </w:rPr>
        <w:t xml:space="preserve">, </w:t>
      </w:r>
      <w:r w:rsidRPr="003707B2">
        <w:rPr>
          <w:rFonts w:ascii="Arial" w:eastAsia="Arial" w:hAnsi="Arial" w:cs="Arial"/>
          <w:color w:val="000000"/>
          <w:sz w:val="20"/>
          <w:szCs w:val="20"/>
        </w:rPr>
        <w:t>we calculated the variance for each metabolite between the measured and fitted data over the time series. For example, the variance for lactate over the series of N time points, Var(</w:t>
      </w:r>
      <w:r w:rsidRPr="003707B2">
        <w:rPr>
          <w:rFonts w:ascii="Arial" w:eastAsia="Arial" w:hAnsi="Arial" w:cs="Arial"/>
          <w:i/>
          <w:color w:val="000000"/>
          <w:sz w:val="20"/>
          <w:szCs w:val="20"/>
        </w:rPr>
        <w:t>L</w:t>
      </w:r>
      <w:r w:rsidRPr="003707B2">
        <w:rPr>
          <w:rFonts w:ascii="Arial" w:eastAsia="Arial" w:hAnsi="Arial" w:cs="Arial"/>
          <w:color w:val="000000"/>
          <w:sz w:val="20"/>
          <w:szCs w:val="20"/>
        </w:rPr>
        <w:t>), is calculated from the measured and fitted lactate intensities (</w:t>
      </w:r>
      <w:r w:rsidRPr="003707B2">
        <w:rPr>
          <w:rFonts w:ascii="Arial" w:eastAsia="Arial" w:hAnsi="Arial" w:cs="Arial"/>
          <w:i/>
          <w:color w:val="000000"/>
          <w:sz w:val="20"/>
          <w:szCs w:val="20"/>
        </w:rPr>
        <w:t>L</w:t>
      </w:r>
      <w:r w:rsidRPr="003707B2">
        <w:rPr>
          <w:rFonts w:ascii="Arial" w:eastAsia="Arial" w:hAnsi="Arial" w:cs="Arial"/>
          <w:i/>
          <w:color w:val="000000"/>
          <w:sz w:val="20"/>
          <w:szCs w:val="20"/>
          <w:vertAlign w:val="subscript"/>
        </w:rPr>
        <w:t>m</w:t>
      </w:r>
      <w:r w:rsidRPr="003707B2">
        <w:rPr>
          <w:rFonts w:ascii="Arial" w:eastAsia="Arial" w:hAnsi="Arial" w:cs="Arial"/>
          <w:i/>
          <w:color w:val="000000"/>
          <w:sz w:val="20"/>
          <w:szCs w:val="20"/>
        </w:rPr>
        <w:t xml:space="preserve"> </w:t>
      </w:r>
      <w:r w:rsidRPr="003707B2">
        <w:rPr>
          <w:rFonts w:ascii="Arial" w:eastAsia="Arial" w:hAnsi="Arial" w:cs="Arial"/>
          <w:color w:val="000000"/>
          <w:sz w:val="20"/>
          <w:szCs w:val="20"/>
        </w:rPr>
        <w:t>and</w:t>
      </w:r>
      <w:r w:rsidRPr="003707B2">
        <w:rPr>
          <w:rFonts w:ascii="Arial" w:eastAsia="Arial" w:hAnsi="Arial" w:cs="Arial"/>
          <w:i/>
          <w:color w:val="000000"/>
          <w:sz w:val="20"/>
          <w:szCs w:val="20"/>
        </w:rPr>
        <w:t xml:space="preserve"> L</w:t>
      </w:r>
      <w:r w:rsidRPr="003707B2">
        <w:rPr>
          <w:rFonts w:ascii="Arial" w:eastAsia="Arial" w:hAnsi="Arial" w:cs="Arial"/>
          <w:i/>
          <w:color w:val="000000"/>
          <w:sz w:val="20"/>
          <w:szCs w:val="20"/>
          <w:vertAlign w:val="subscript"/>
        </w:rPr>
        <w:t>f</w:t>
      </w:r>
      <w:r w:rsidRPr="003707B2">
        <w:rPr>
          <w:rFonts w:ascii="Arial" w:eastAsia="Arial" w:hAnsi="Arial" w:cs="Arial"/>
          <w:color w:val="000000"/>
          <w:sz w:val="20"/>
          <w:szCs w:val="20"/>
        </w:rPr>
        <w:t>) as:</w:t>
      </w:r>
    </w:p>
    <w:p w14:paraId="6351B06A" w14:textId="77777777" w:rsidR="00AA1094" w:rsidRPr="003707B2" w:rsidRDefault="00AA1094" w:rsidP="00AA1094">
      <w:pPr>
        <w:spacing w:line="480" w:lineRule="auto"/>
        <w:rPr>
          <w:rFonts w:ascii="Arial" w:hAnsi="Arial" w:cs="Arial"/>
          <w:color w:val="000000" w:themeColor="text1"/>
          <w:sz w:val="20"/>
        </w:rPr>
      </w:pPr>
      <m:oMathPara>
        <m:oMath>
          <m:r>
            <m:rPr>
              <m:sty m:val="p"/>
            </m:rPr>
            <w:rPr>
              <w:rFonts w:ascii="Cambria Math" w:hAnsi="Cambria Math" w:cs="Arial"/>
              <w:color w:val="000000" w:themeColor="text1"/>
              <w:sz w:val="20"/>
            </w:rPr>
            <m:t>Var(</m:t>
          </m:r>
          <m:r>
            <w:rPr>
              <w:rFonts w:ascii="Cambria Math" w:hAnsi="Cambria Math" w:cs="Arial"/>
              <w:color w:val="000000" w:themeColor="text1"/>
              <w:sz w:val="20"/>
            </w:rPr>
            <m:t>L)=</m:t>
          </m:r>
          <m:f>
            <m:fPr>
              <m:ctrlPr>
                <w:rPr>
                  <w:rFonts w:ascii="Cambria Math" w:hAnsi="Cambria Math" w:cs="Arial"/>
                  <w:i/>
                  <w:color w:val="000000" w:themeColor="text1"/>
                  <w:sz w:val="20"/>
                </w:rPr>
              </m:ctrlPr>
            </m:fPr>
            <m:num>
              <m:nary>
                <m:naryPr>
                  <m:chr m:val="∑"/>
                  <m:limLoc m:val="undOvr"/>
                  <m:ctrlPr>
                    <w:rPr>
                      <w:rFonts w:ascii="Cambria Math" w:hAnsi="Cambria Math" w:cs="Arial"/>
                      <w:i/>
                      <w:color w:val="000000" w:themeColor="text1"/>
                      <w:sz w:val="20"/>
                    </w:rPr>
                  </m:ctrlPr>
                </m:naryPr>
                <m:sub>
                  <m:r>
                    <w:rPr>
                      <w:rFonts w:ascii="Cambria Math" w:hAnsi="Cambria Math" w:cs="Arial"/>
                      <w:color w:val="000000" w:themeColor="text1"/>
                      <w:sz w:val="20"/>
                    </w:rPr>
                    <m:t>i=1</m:t>
                  </m:r>
                </m:sub>
                <m:sup>
                  <m:r>
                    <w:rPr>
                      <w:rFonts w:ascii="Cambria Math" w:hAnsi="Cambria Math" w:cs="Arial"/>
                      <w:color w:val="000000" w:themeColor="text1"/>
                      <w:sz w:val="20"/>
                    </w:rPr>
                    <m:t>N</m:t>
                  </m:r>
                </m:sup>
                <m:e>
                  <m:sSup>
                    <m:sSupPr>
                      <m:ctrlPr>
                        <w:rPr>
                          <w:rFonts w:ascii="Cambria Math" w:hAnsi="Cambria Math" w:cs="Arial"/>
                          <w:i/>
                          <w:color w:val="000000" w:themeColor="text1"/>
                          <w:sz w:val="20"/>
                        </w:rPr>
                      </m:ctrlPr>
                    </m:sSupPr>
                    <m:e>
                      <m:d>
                        <m:dPr>
                          <m:ctrlPr>
                            <w:rPr>
                              <w:rFonts w:ascii="Cambria Math" w:hAnsi="Cambria Math" w:cs="Arial"/>
                              <w:i/>
                              <w:color w:val="000000" w:themeColor="text1"/>
                              <w:sz w:val="20"/>
                            </w:rPr>
                          </m:ctrlPr>
                        </m:dPr>
                        <m:e>
                          <m:sSub>
                            <m:sSubPr>
                              <m:ctrlPr>
                                <w:rPr>
                                  <w:rFonts w:ascii="Cambria Math" w:hAnsi="Cambria Math" w:cs="Arial"/>
                                  <w:i/>
                                  <w:color w:val="000000" w:themeColor="text1"/>
                                  <w:sz w:val="20"/>
                                </w:rPr>
                              </m:ctrlPr>
                            </m:sSubPr>
                            <m:e>
                              <m:r>
                                <w:rPr>
                                  <w:rFonts w:ascii="Cambria Math" w:hAnsi="Cambria Math" w:cs="Arial"/>
                                  <w:color w:val="000000" w:themeColor="text1"/>
                                  <w:sz w:val="20"/>
                                </w:rPr>
                                <m:t>L</m:t>
                              </m:r>
                            </m:e>
                            <m:sub>
                              <m:sSub>
                                <m:sSubPr>
                                  <m:ctrlPr>
                                    <w:rPr>
                                      <w:rFonts w:ascii="Cambria Math" w:hAnsi="Cambria Math" w:cs="Arial"/>
                                      <w:i/>
                                      <w:color w:val="000000" w:themeColor="text1"/>
                                      <w:sz w:val="20"/>
                                    </w:rPr>
                                  </m:ctrlPr>
                                </m:sSubPr>
                                <m:e>
                                  <m:r>
                                    <w:rPr>
                                      <w:rFonts w:ascii="Cambria Math" w:hAnsi="Cambria Math" w:cs="Arial"/>
                                      <w:color w:val="000000" w:themeColor="text1"/>
                                      <w:sz w:val="20"/>
                                    </w:rPr>
                                    <m:t>m</m:t>
                                  </m:r>
                                </m:e>
                                <m:sub>
                                  <m:r>
                                    <w:rPr>
                                      <w:rFonts w:ascii="Cambria Math" w:hAnsi="Cambria Math" w:cs="Arial"/>
                                      <w:color w:val="000000" w:themeColor="text1"/>
                                      <w:sz w:val="20"/>
                                    </w:rPr>
                                    <m:t>i</m:t>
                                  </m:r>
                                </m:sub>
                              </m:sSub>
                            </m:sub>
                          </m:sSub>
                          <m:r>
                            <w:rPr>
                              <w:rFonts w:ascii="Cambria Math" w:hAnsi="Cambria Math" w:cs="Arial"/>
                              <w:color w:val="000000" w:themeColor="text1"/>
                              <w:sz w:val="20"/>
                            </w:rPr>
                            <m:t>-</m:t>
                          </m:r>
                          <m:sSub>
                            <m:sSubPr>
                              <m:ctrlPr>
                                <w:rPr>
                                  <w:rFonts w:ascii="Cambria Math" w:hAnsi="Cambria Math" w:cs="Arial"/>
                                  <w:i/>
                                  <w:color w:val="000000" w:themeColor="text1"/>
                                  <w:sz w:val="20"/>
                                </w:rPr>
                              </m:ctrlPr>
                            </m:sSubPr>
                            <m:e>
                              <m:r>
                                <w:rPr>
                                  <w:rFonts w:ascii="Cambria Math" w:hAnsi="Cambria Math" w:cs="Arial"/>
                                  <w:color w:val="000000" w:themeColor="text1"/>
                                  <w:sz w:val="20"/>
                                </w:rPr>
                                <m:t>L</m:t>
                              </m:r>
                            </m:e>
                            <m:sub>
                              <m:sSub>
                                <m:sSubPr>
                                  <m:ctrlPr>
                                    <w:rPr>
                                      <w:rFonts w:ascii="Cambria Math" w:hAnsi="Cambria Math" w:cs="Arial"/>
                                      <w:i/>
                                      <w:color w:val="000000" w:themeColor="text1"/>
                                      <w:sz w:val="20"/>
                                    </w:rPr>
                                  </m:ctrlPr>
                                </m:sSubPr>
                                <m:e>
                                  <m:r>
                                    <w:rPr>
                                      <w:rFonts w:ascii="Cambria Math" w:hAnsi="Cambria Math" w:cs="Arial"/>
                                      <w:color w:val="000000" w:themeColor="text1"/>
                                      <w:sz w:val="20"/>
                                    </w:rPr>
                                    <m:t>f</m:t>
                                  </m:r>
                                </m:e>
                                <m:sub>
                                  <m:r>
                                    <w:rPr>
                                      <w:rFonts w:ascii="Cambria Math" w:hAnsi="Cambria Math" w:cs="Arial"/>
                                      <w:color w:val="000000" w:themeColor="text1"/>
                                      <w:sz w:val="20"/>
                                    </w:rPr>
                                    <m:t>i</m:t>
                                  </m:r>
                                </m:sub>
                              </m:sSub>
                            </m:sub>
                          </m:sSub>
                        </m:e>
                      </m:d>
                    </m:e>
                    <m:sup>
                      <m:r>
                        <w:rPr>
                          <w:rFonts w:ascii="Cambria Math" w:hAnsi="Cambria Math" w:cs="Arial"/>
                          <w:color w:val="000000" w:themeColor="text1"/>
                          <w:sz w:val="20"/>
                        </w:rPr>
                        <m:t>2</m:t>
                      </m:r>
                    </m:sup>
                  </m:sSup>
                </m:e>
              </m:nary>
            </m:num>
            <m:den>
              <m:nary>
                <m:naryPr>
                  <m:chr m:val="∑"/>
                  <m:limLoc m:val="undOvr"/>
                  <m:ctrlPr>
                    <w:rPr>
                      <w:rFonts w:ascii="Cambria Math" w:hAnsi="Cambria Math" w:cs="Arial"/>
                      <w:i/>
                      <w:color w:val="000000" w:themeColor="text1"/>
                      <w:sz w:val="20"/>
                    </w:rPr>
                  </m:ctrlPr>
                </m:naryPr>
                <m:sub>
                  <m:r>
                    <w:rPr>
                      <w:rFonts w:ascii="Cambria Math" w:hAnsi="Cambria Math" w:cs="Arial"/>
                      <w:color w:val="000000" w:themeColor="text1"/>
                      <w:sz w:val="20"/>
                    </w:rPr>
                    <m:t>i=1</m:t>
                  </m:r>
                </m:sub>
                <m:sup>
                  <m:r>
                    <w:rPr>
                      <w:rFonts w:ascii="Cambria Math" w:hAnsi="Cambria Math" w:cs="Arial"/>
                      <w:color w:val="000000" w:themeColor="text1"/>
                      <w:sz w:val="20"/>
                    </w:rPr>
                    <m:t>N</m:t>
                  </m:r>
                </m:sup>
                <m:e>
                  <m:sSup>
                    <m:sSupPr>
                      <m:ctrlPr>
                        <w:rPr>
                          <w:rFonts w:ascii="Cambria Math" w:hAnsi="Cambria Math" w:cs="Arial"/>
                          <w:i/>
                          <w:color w:val="000000" w:themeColor="text1"/>
                          <w:sz w:val="20"/>
                        </w:rPr>
                      </m:ctrlPr>
                    </m:sSupPr>
                    <m:e>
                      <m:d>
                        <m:dPr>
                          <m:ctrlPr>
                            <w:rPr>
                              <w:rFonts w:ascii="Cambria Math" w:hAnsi="Cambria Math" w:cs="Arial"/>
                              <w:i/>
                              <w:color w:val="000000" w:themeColor="text1"/>
                              <w:sz w:val="20"/>
                            </w:rPr>
                          </m:ctrlPr>
                        </m:dPr>
                        <m:e>
                          <m:sSub>
                            <m:sSubPr>
                              <m:ctrlPr>
                                <w:rPr>
                                  <w:rFonts w:ascii="Cambria Math" w:hAnsi="Cambria Math" w:cs="Arial"/>
                                  <w:i/>
                                  <w:color w:val="000000" w:themeColor="text1"/>
                                  <w:sz w:val="20"/>
                                </w:rPr>
                              </m:ctrlPr>
                            </m:sSubPr>
                            <m:e>
                              <m:r>
                                <w:rPr>
                                  <w:rFonts w:ascii="Cambria Math" w:hAnsi="Cambria Math" w:cs="Arial"/>
                                  <w:color w:val="000000" w:themeColor="text1"/>
                                  <w:sz w:val="20"/>
                                </w:rPr>
                                <m:t>L</m:t>
                              </m:r>
                            </m:e>
                            <m:sub>
                              <m:sSub>
                                <m:sSubPr>
                                  <m:ctrlPr>
                                    <w:rPr>
                                      <w:rFonts w:ascii="Cambria Math" w:hAnsi="Cambria Math" w:cs="Arial"/>
                                      <w:i/>
                                      <w:color w:val="000000" w:themeColor="text1"/>
                                      <w:sz w:val="20"/>
                                    </w:rPr>
                                  </m:ctrlPr>
                                </m:sSubPr>
                                <m:e>
                                  <m:r>
                                    <w:rPr>
                                      <w:rFonts w:ascii="Cambria Math" w:hAnsi="Cambria Math" w:cs="Arial"/>
                                      <w:color w:val="000000" w:themeColor="text1"/>
                                      <w:sz w:val="20"/>
                                    </w:rPr>
                                    <m:t>m</m:t>
                                  </m:r>
                                </m:e>
                                <m:sub>
                                  <m:r>
                                    <w:rPr>
                                      <w:rFonts w:ascii="Cambria Math" w:hAnsi="Cambria Math" w:cs="Arial"/>
                                      <w:color w:val="000000" w:themeColor="text1"/>
                                      <w:sz w:val="20"/>
                                    </w:rPr>
                                    <m:t>i</m:t>
                                  </m:r>
                                </m:sub>
                              </m:sSub>
                            </m:sub>
                          </m:sSub>
                        </m:e>
                      </m:d>
                    </m:e>
                    <m:sup>
                      <m:r>
                        <w:rPr>
                          <w:rFonts w:ascii="Cambria Math" w:hAnsi="Cambria Math" w:cs="Arial"/>
                          <w:color w:val="000000" w:themeColor="text1"/>
                          <w:sz w:val="20"/>
                        </w:rPr>
                        <m:t>2</m:t>
                      </m:r>
                    </m:sup>
                  </m:sSup>
                </m:e>
              </m:nary>
            </m:den>
          </m:f>
        </m:oMath>
      </m:oMathPara>
    </w:p>
    <w:p w14:paraId="3C89156B" w14:textId="77777777" w:rsidR="00CE1E67" w:rsidRPr="003707B2" w:rsidRDefault="00CE1E67">
      <w:pPr>
        <w:pBdr>
          <w:top w:val="nil"/>
          <w:left w:val="nil"/>
          <w:bottom w:val="nil"/>
          <w:right w:val="nil"/>
          <w:between w:val="nil"/>
        </w:pBdr>
        <w:spacing w:line="480" w:lineRule="auto"/>
        <w:rPr>
          <w:rFonts w:ascii="Arial" w:eastAsia="Arial" w:hAnsi="Arial" w:cs="Arial"/>
          <w:i/>
          <w:color w:val="212121"/>
          <w:sz w:val="20"/>
          <w:szCs w:val="20"/>
        </w:rPr>
      </w:pPr>
    </w:p>
    <w:p w14:paraId="72078535" w14:textId="77777777" w:rsidR="00CE1E67" w:rsidRPr="003707B2" w:rsidRDefault="00BD41CE">
      <w:pPr>
        <w:pBdr>
          <w:top w:val="nil"/>
          <w:left w:val="nil"/>
          <w:bottom w:val="nil"/>
          <w:right w:val="nil"/>
          <w:between w:val="nil"/>
        </w:pBdr>
        <w:spacing w:line="480" w:lineRule="auto"/>
        <w:rPr>
          <w:rFonts w:ascii="Arial" w:eastAsia="Arial" w:hAnsi="Arial" w:cs="Arial"/>
          <w:color w:val="212121"/>
          <w:sz w:val="20"/>
          <w:szCs w:val="20"/>
        </w:rPr>
      </w:pPr>
      <w:r w:rsidRPr="003707B2">
        <w:rPr>
          <w:rFonts w:ascii="Arial" w:eastAsia="Arial" w:hAnsi="Arial" w:cs="Arial"/>
          <w:color w:val="000000"/>
          <w:sz w:val="20"/>
          <w:szCs w:val="20"/>
        </w:rPr>
        <w:t>The variance of lactate and pyruvate were then summed and examined as a metric of fit uncertainty (</w:t>
      </w:r>
      <w:r w:rsidRPr="003707B2">
        <w:rPr>
          <w:rFonts w:ascii="Arial" w:eastAsia="Arial" w:hAnsi="Arial" w:cs="Arial"/>
          <w:b/>
          <w:color w:val="000000"/>
          <w:sz w:val="20"/>
          <w:szCs w:val="20"/>
        </w:rPr>
        <w:t>Supporting Figure S2B</w:t>
      </w:r>
      <w:r w:rsidRPr="003707B2">
        <w:rPr>
          <w:rFonts w:ascii="Arial" w:eastAsia="Arial" w:hAnsi="Arial" w:cs="Arial"/>
          <w:color w:val="000000"/>
          <w:sz w:val="20"/>
          <w:szCs w:val="20"/>
        </w:rPr>
        <w:t>).</w:t>
      </w:r>
    </w:p>
    <w:p w14:paraId="258E2C34" w14:textId="77777777" w:rsidR="00CE1E67" w:rsidRPr="003707B2" w:rsidRDefault="00CE1E67">
      <w:pPr>
        <w:spacing w:line="480" w:lineRule="auto"/>
        <w:rPr>
          <w:rFonts w:ascii="Arial" w:eastAsia="Arial" w:hAnsi="Arial" w:cs="Arial"/>
          <w:sz w:val="20"/>
          <w:szCs w:val="20"/>
        </w:rPr>
      </w:pPr>
    </w:p>
    <w:p w14:paraId="5A429ABC" w14:textId="22110530" w:rsidR="00CE1E67" w:rsidRPr="003707B2" w:rsidRDefault="00BD41CE">
      <w:pPr>
        <w:pStyle w:val="Heading3"/>
        <w:rPr>
          <w:rFonts w:ascii="Arial" w:eastAsia="Arial" w:hAnsi="Arial" w:cs="Arial"/>
          <w:b w:val="0"/>
          <w:sz w:val="20"/>
          <w:szCs w:val="20"/>
        </w:rPr>
      </w:pPr>
      <w:r w:rsidRPr="003707B2">
        <w:rPr>
          <w:rFonts w:ascii="Arial" w:eastAsia="Arial" w:hAnsi="Arial" w:cs="Arial"/>
          <w:sz w:val="20"/>
          <w:szCs w:val="20"/>
        </w:rPr>
        <w:t>Immunohistochemis</w:t>
      </w:r>
      <w:r w:rsidR="00921CA2" w:rsidRPr="003707B2">
        <w:rPr>
          <w:rFonts w:ascii="Arial" w:eastAsia="Arial" w:hAnsi="Arial" w:cs="Arial"/>
          <w:sz w:val="20"/>
          <w:szCs w:val="20"/>
        </w:rPr>
        <w:t>try and quantification for MCT1</w:t>
      </w:r>
      <w:r w:rsidR="00921CA2" w:rsidRPr="003707B2">
        <w:rPr>
          <w:rFonts w:ascii="Arial" w:eastAsia="Arial" w:hAnsi="Arial" w:cs="Arial"/>
          <w:sz w:val="20"/>
          <w:szCs w:val="20"/>
        </w:rPr>
        <w:t xml:space="preserve"> and</w:t>
      </w:r>
      <w:r w:rsidRPr="003707B2">
        <w:rPr>
          <w:rFonts w:ascii="Arial" w:eastAsia="Arial" w:hAnsi="Arial" w:cs="Arial"/>
          <w:sz w:val="20"/>
          <w:szCs w:val="20"/>
        </w:rPr>
        <w:t xml:space="preserve"> MCT4. </w:t>
      </w:r>
      <w:r w:rsidRPr="003707B2">
        <w:rPr>
          <w:rFonts w:ascii="Arial" w:eastAsia="Arial" w:hAnsi="Arial" w:cs="Arial"/>
          <w:b w:val="0"/>
          <w:sz w:val="20"/>
          <w:szCs w:val="20"/>
        </w:rPr>
        <w:t xml:space="preserve">For antigen retrieval, sections were incubated with Tris EDTA (for MCT1 and MCT4)for 20 minutes or with the Leica enzyme pretreatment solution (Leica enzyme pretreatment kit, Germany). Endogenous </w:t>
      </w:r>
      <w:r w:rsidRPr="003707B2">
        <w:rPr>
          <w:rFonts w:ascii="Arial" w:eastAsia="Arial" w:hAnsi="Arial" w:cs="Arial"/>
          <w:b w:val="0"/>
          <w:sz w:val="20"/>
          <w:szCs w:val="20"/>
        </w:rPr>
        <w:lastRenderedPageBreak/>
        <w:t>peroxidase activity was quenched using 3-4% (v/v) hydrogen peroxide. The primary antibodies used were HPA003324 (Atlas Antibodies, Bromma, Sweden) at a dilution of 1:500 for MCT1</w:t>
      </w:r>
      <w:r w:rsidR="00921CA2" w:rsidRPr="003707B2">
        <w:rPr>
          <w:rFonts w:ascii="Arial" w:eastAsia="Arial" w:hAnsi="Arial" w:cs="Arial"/>
          <w:b w:val="0"/>
          <w:sz w:val="20"/>
          <w:szCs w:val="20"/>
        </w:rPr>
        <w:t xml:space="preserve"> and</w:t>
      </w:r>
      <w:r w:rsidRPr="003707B2">
        <w:rPr>
          <w:rFonts w:ascii="Arial" w:eastAsia="Arial" w:hAnsi="Arial" w:cs="Arial"/>
          <w:b w:val="0"/>
          <w:sz w:val="20"/>
          <w:szCs w:val="20"/>
        </w:rPr>
        <w:t xml:space="preserve"> HPA021451 (Atlas Antibodies, Bromma, Sweden) at a dilution of 1:500 for MCT4</w:t>
      </w:r>
      <w:r w:rsidR="00921CA2" w:rsidRPr="003707B2">
        <w:rPr>
          <w:rFonts w:ascii="Arial" w:eastAsia="Arial" w:hAnsi="Arial" w:cs="Arial"/>
          <w:b w:val="0"/>
          <w:sz w:val="20"/>
          <w:szCs w:val="20"/>
        </w:rPr>
        <w:t>.The</w:t>
      </w:r>
      <w:r w:rsidRPr="003707B2">
        <w:rPr>
          <w:rFonts w:ascii="Arial" w:eastAsia="Arial" w:hAnsi="Arial" w:cs="Arial"/>
          <w:b w:val="0"/>
          <w:sz w:val="20"/>
          <w:szCs w:val="20"/>
        </w:rPr>
        <w:t xml:space="preserve"> sections were then incubated with Anti-rabbit Poly-HRP-IgG polymer (&lt;25 </w:t>
      </w:r>
      <w:r w:rsidRPr="003707B2">
        <w:rPr>
          <w:rFonts w:ascii="Arial" w:eastAsia="Symbol" w:hAnsi="Arial" w:cs="Arial"/>
          <w:b w:val="0"/>
          <w:sz w:val="20"/>
          <w:szCs w:val="20"/>
        </w:rPr>
        <w:t>μ</w:t>
      </w:r>
      <w:r w:rsidRPr="003707B2">
        <w:rPr>
          <w:rFonts w:ascii="Arial" w:eastAsia="Arial" w:hAnsi="Arial" w:cs="Arial"/>
          <w:b w:val="0"/>
          <w:sz w:val="20"/>
          <w:szCs w:val="20"/>
        </w:rPr>
        <w:t>g/mL) containing 10% (v/v) animal serum in tris buffered saline /0.09% ProClin</w:t>
      </w:r>
      <w:r w:rsidRPr="003707B2">
        <w:rPr>
          <w:rFonts w:ascii="Arial" w:eastAsia="Arial" w:hAnsi="Arial" w:cs="Arial"/>
          <w:b w:val="0"/>
          <w:sz w:val="20"/>
          <w:szCs w:val="20"/>
          <w:vertAlign w:val="superscript"/>
        </w:rPr>
        <w:t>TM</w:t>
      </w:r>
      <w:r w:rsidRPr="003707B2">
        <w:rPr>
          <w:rFonts w:ascii="Arial" w:eastAsia="Arial Unicode MS" w:hAnsi="Arial" w:cs="Arial"/>
          <w:b w:val="0"/>
          <w:sz w:val="20"/>
          <w:szCs w:val="20"/>
        </w:rPr>
        <w:t xml:space="preserve"> 950 again to localize mouse antigen. The complex was then visualized using 66 mM 3,3’-Diaminobenzidine tetrahydrochloride hydrate in a stabilizer solution and ≤0.1% (v/v) Hydrogen Peroxide. Leica DAB Enhancer was added to enhance staining. Cell nuclei were counterstained with &lt;0.1% hematoxylin.</w:t>
      </w:r>
    </w:p>
    <w:p w14:paraId="483701F4" w14:textId="71CAE4C6"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Optical densities for weak, moderate and strong stains used for the automated quantitative analysis of scanned sections were: MCT1, 0.576, 0.593, 0.674; MCT4, 0.722, 0.819, 0.909.</w:t>
      </w:r>
    </w:p>
    <w:p w14:paraId="0152B773" w14:textId="77777777" w:rsidR="00CE1E67" w:rsidRPr="003707B2" w:rsidRDefault="00CE1E67">
      <w:pPr>
        <w:spacing w:line="480" w:lineRule="auto"/>
        <w:rPr>
          <w:rFonts w:ascii="Arial" w:eastAsia="Arial" w:hAnsi="Arial" w:cs="Arial"/>
          <w:sz w:val="20"/>
          <w:szCs w:val="20"/>
        </w:rPr>
      </w:pPr>
    </w:p>
    <w:p w14:paraId="5D546708" w14:textId="77777777" w:rsidR="00CE1E67" w:rsidRPr="003707B2" w:rsidRDefault="00BD41CE">
      <w:pPr>
        <w:pStyle w:val="Heading3"/>
        <w:rPr>
          <w:rFonts w:ascii="Arial" w:eastAsia="Arial" w:hAnsi="Arial" w:cs="Arial"/>
          <w:b w:val="0"/>
          <w:sz w:val="20"/>
          <w:szCs w:val="20"/>
        </w:rPr>
      </w:pPr>
      <w:r w:rsidRPr="003707B2">
        <w:rPr>
          <w:rFonts w:ascii="Arial" w:eastAsia="Arial" w:hAnsi="Arial" w:cs="Arial"/>
          <w:sz w:val="20"/>
          <w:szCs w:val="20"/>
        </w:rPr>
        <w:t xml:space="preserve">RNA sequencing. </w:t>
      </w:r>
      <w:r w:rsidRPr="003707B2">
        <w:rPr>
          <w:rFonts w:ascii="Arial" w:eastAsia="Arial" w:hAnsi="Arial" w:cs="Arial"/>
          <w:b w:val="0"/>
          <w:sz w:val="20"/>
          <w:szCs w:val="20"/>
        </w:rPr>
        <w:t xml:space="preserve">RNA from frozen tumor tissue sections of six patients was extracted using the QIAGEN miRNeasy Mini Kit (QIAGEN, Venlo, Netherlands; Cat No: 217004). Briefly, tissue sections were lysed in 700 μL of QIAzol and 140 μL of chloroform was added to each sample before being transferred to a heavy phase lock tube (QIAGEN MaXtract, Venlo, Netherlands; Cat no: 129056). The samples were centrifuged at 12,000 g for 15 min at 4°C, following which the upper aquaous phase was added to a fresh tube and x1.5 volume of 100% ethanol was added. The mixture was transferred to a miRNeasy column and centrifuged at 8,000 g for 1 min. The column was washed once with 700 </w:t>
      </w:r>
      <w:r w:rsidRPr="003707B2">
        <w:rPr>
          <w:rFonts w:ascii="Arial" w:eastAsia="Symbol" w:hAnsi="Arial" w:cs="Arial"/>
          <w:b w:val="0"/>
          <w:sz w:val="20"/>
          <w:szCs w:val="20"/>
        </w:rPr>
        <w:t>μ</w:t>
      </w:r>
      <w:r w:rsidRPr="003707B2">
        <w:rPr>
          <w:rFonts w:ascii="Arial" w:eastAsia="Arial" w:hAnsi="Arial" w:cs="Arial"/>
          <w:b w:val="0"/>
          <w:sz w:val="20"/>
          <w:szCs w:val="20"/>
        </w:rPr>
        <w:t xml:space="preserve">l RWT buffer followed by two 500 </w:t>
      </w:r>
      <w:r w:rsidRPr="003707B2">
        <w:rPr>
          <w:rFonts w:ascii="Arial" w:eastAsia="Symbol" w:hAnsi="Arial" w:cs="Arial"/>
          <w:b w:val="0"/>
          <w:sz w:val="20"/>
          <w:szCs w:val="20"/>
        </w:rPr>
        <w:t>μ</w:t>
      </w:r>
      <w:r w:rsidRPr="003707B2">
        <w:rPr>
          <w:rFonts w:ascii="Arial" w:eastAsia="Arial" w:hAnsi="Arial" w:cs="Arial"/>
          <w:b w:val="0"/>
          <w:sz w:val="20"/>
          <w:szCs w:val="20"/>
        </w:rPr>
        <w:t xml:space="preserve">l washes with RPE buffer. RNA was eluted into a clean tube with 50 </w:t>
      </w:r>
      <w:r w:rsidRPr="003707B2">
        <w:rPr>
          <w:rFonts w:ascii="Arial" w:eastAsia="Symbol" w:hAnsi="Arial" w:cs="Arial"/>
          <w:b w:val="0"/>
          <w:sz w:val="20"/>
          <w:szCs w:val="20"/>
        </w:rPr>
        <w:t>μ</w:t>
      </w:r>
      <w:r w:rsidRPr="003707B2">
        <w:rPr>
          <w:rFonts w:ascii="Arial" w:eastAsia="Arial" w:hAnsi="Arial" w:cs="Arial"/>
          <w:b w:val="0"/>
          <w:sz w:val="20"/>
          <w:szCs w:val="20"/>
        </w:rPr>
        <w:t>l RNAse free water.</w:t>
      </w:r>
    </w:p>
    <w:p w14:paraId="0A0176DA" w14:textId="77777777" w:rsidR="00CE1E67" w:rsidRPr="003707B2" w:rsidRDefault="00CE1E67">
      <w:pPr>
        <w:pBdr>
          <w:top w:val="nil"/>
          <w:left w:val="nil"/>
          <w:bottom w:val="nil"/>
          <w:right w:val="nil"/>
          <w:between w:val="nil"/>
        </w:pBdr>
        <w:spacing w:line="480" w:lineRule="auto"/>
        <w:rPr>
          <w:rFonts w:ascii="Arial" w:eastAsia="Arial" w:hAnsi="Arial" w:cs="Arial"/>
          <w:color w:val="000000"/>
          <w:sz w:val="20"/>
          <w:szCs w:val="20"/>
        </w:rPr>
      </w:pPr>
    </w:p>
    <w:p w14:paraId="75393912" w14:textId="059FA15D" w:rsidR="00CE1E67" w:rsidRPr="003707B2" w:rsidRDefault="00BD41CE">
      <w:pPr>
        <w:pBdr>
          <w:top w:val="nil"/>
          <w:left w:val="nil"/>
          <w:bottom w:val="nil"/>
          <w:right w:val="nil"/>
          <w:between w:val="nil"/>
        </w:pBdr>
        <w:spacing w:line="480" w:lineRule="auto"/>
        <w:rPr>
          <w:rFonts w:ascii="Arial" w:eastAsia="Arial" w:hAnsi="Arial" w:cs="Arial"/>
          <w:color w:val="000000"/>
          <w:sz w:val="20"/>
          <w:szCs w:val="20"/>
        </w:rPr>
      </w:pPr>
      <w:r w:rsidRPr="003707B2">
        <w:rPr>
          <w:rFonts w:ascii="Arial" w:eastAsia="Arial" w:hAnsi="Arial" w:cs="Arial"/>
          <w:b/>
          <w:color w:val="000000"/>
          <w:sz w:val="20"/>
          <w:szCs w:val="20"/>
        </w:rPr>
        <w:t xml:space="preserve">Postprocessing of RNA sequencing data. </w:t>
      </w:r>
      <w:r w:rsidRPr="003707B2">
        <w:rPr>
          <w:rFonts w:ascii="Arial" w:eastAsia="Arial" w:hAnsi="Arial" w:cs="Arial"/>
          <w:color w:val="000000"/>
          <w:sz w:val="20"/>
          <w:szCs w:val="20"/>
        </w:rPr>
        <w:t xml:space="preserve">To estimate gene counts we employed Salmon version 0.11.3 on read-based mode </w:t>
      </w:r>
      <w:r w:rsidR="00312009" w:rsidRPr="003707B2">
        <w:rPr>
          <w:rFonts w:ascii="Arial" w:eastAsia="Arial" w:hAnsi="Arial" w:cs="Arial"/>
          <w:color w:val="000000"/>
          <w:sz w:val="20"/>
          <w:szCs w:val="20"/>
        </w:rPr>
        <w:fldChar w:fldCharType="begin" w:fldLock="1"/>
      </w:r>
      <w:r w:rsidR="00312009" w:rsidRPr="003707B2">
        <w:rPr>
          <w:rFonts w:ascii="Arial" w:eastAsia="Arial" w:hAnsi="Arial" w:cs="Arial"/>
          <w:color w:val="000000"/>
          <w:sz w:val="20"/>
          <w:szCs w:val="20"/>
        </w:rPr>
        <w:instrText>ADDIN CSL_CITATION {"citationItems":[{"id":"ITEM-1","itemData":{"DOI":"10.1038/nmeth.4197","ISSN":"1548-7091","PMID":"28263959","abstract":"We introduce Salmon, a lightweight method for quantifying transcript abundance from RNA-seq reads. Salmon combines a new dual-phase parallel inference algorithm and feature-rich bias models with an ultra-fast read mapping procedure. It is the first transcriptome-wide quantifier to correct for fragment GC-content bias, which, as we demonstrate here, substantially improves the accuracy of abundance estimates and the sensitivity of subsequent differential expression analysis.","author":[{"dropping-particle":"","family":"Patro","given":"Rob","non-dropping-particle":"","parse-names":false,"suffix":""},{"dropping-particle":"","family":"Duggal","given":"Geet","non-dropping-particle":"","parse-names":false,"suffix":""},{"dropping-particle":"","family":"Love","given":"Michael I","non-dropping-particle":"","parse-names":false,"suffix":""},{"dropping-particle":"","family":"Irizarry","given":"Rafael A","non-dropping-particle":"","parse-names":false,"suffix":""},{"dropping-particle":"","family":"Kingsford","given":"Carl","non-dropping-particle":"","parse-names":false,"suffix":""}],"container-title":"Nature Methods","id":"ITEM-1","issue":"4","issued":{"date-parts":[["2017","4","6"]]},"page":"417-419","title":"Salmon provides fast and bias-aware quantification of transcript expression","type":"article-journal","volume":"14"},"uris":["http://www.mendeley.com/documents/?uuid=2ef94789-fe02-3e81-a7ad-dce57e947527"]}],"mendeley":{"formattedCitation":"(6)","plainTextFormattedCitation":"(6)","previouslyFormattedCitation":"(6)"},"properties":{"noteIndex":0},"schema":"https://github.com/citation-style-language/schema/raw/master/csl-citation.json"}</w:instrText>
      </w:r>
      <w:r w:rsidR="00312009" w:rsidRPr="003707B2">
        <w:rPr>
          <w:rFonts w:ascii="Arial" w:eastAsia="Arial" w:hAnsi="Arial" w:cs="Arial"/>
          <w:color w:val="000000"/>
          <w:sz w:val="20"/>
          <w:szCs w:val="20"/>
        </w:rPr>
        <w:fldChar w:fldCharType="separate"/>
      </w:r>
      <w:r w:rsidR="00312009" w:rsidRPr="003707B2">
        <w:rPr>
          <w:rFonts w:ascii="Arial" w:eastAsia="Arial" w:hAnsi="Arial" w:cs="Arial"/>
          <w:noProof/>
          <w:color w:val="000000"/>
          <w:sz w:val="20"/>
          <w:szCs w:val="20"/>
        </w:rPr>
        <w:t>(6)</w:t>
      </w:r>
      <w:r w:rsidR="00312009" w:rsidRPr="003707B2">
        <w:rPr>
          <w:rFonts w:ascii="Arial" w:eastAsia="Arial" w:hAnsi="Arial" w:cs="Arial"/>
          <w:color w:val="000000"/>
          <w:sz w:val="20"/>
          <w:szCs w:val="20"/>
        </w:rPr>
        <w:fldChar w:fldCharType="end"/>
      </w:r>
      <w:r w:rsidRPr="003707B2">
        <w:rPr>
          <w:rFonts w:ascii="Arial" w:eastAsia="Arial" w:hAnsi="Arial" w:cs="Arial"/>
          <w:color w:val="000000"/>
          <w:sz w:val="20"/>
          <w:szCs w:val="20"/>
        </w:rPr>
        <w:t xml:space="preserve">. The final estimated number of reads mapping to each gene was then normalized in three post-processing steps. First, we applied the edgeR package to estimate effective library sizes that account for sequencing depth and RNA composition </w:t>
      </w:r>
      <w:r w:rsidR="00312009" w:rsidRPr="003707B2">
        <w:rPr>
          <w:rFonts w:ascii="Arial" w:eastAsia="Arial" w:hAnsi="Arial" w:cs="Arial"/>
          <w:color w:val="000000"/>
          <w:sz w:val="20"/>
          <w:szCs w:val="20"/>
        </w:rPr>
        <w:fldChar w:fldCharType="begin" w:fldLock="1"/>
      </w:r>
      <w:r w:rsidR="00312009" w:rsidRPr="003707B2">
        <w:rPr>
          <w:rFonts w:ascii="Arial" w:eastAsia="Arial" w:hAnsi="Arial" w:cs="Arial"/>
          <w:color w:val="000000"/>
          <w:sz w:val="20"/>
          <w:szCs w:val="20"/>
        </w:rPr>
        <w:instrText>ADDIN CSL_CITATION {"citationItems":[{"id":"ITEM-1","itemData":{"DOI":"10.1093/bioinformatics/btp616","ISSN":"1367-4811","PMID":"19910308","abstract":"SUMMARY It is expected that emerging digital gene expression (DGE) technologies will overtake microarray technologies in the near future for many functional genomics applications. One of the fundamental data analysis tasks, especially for gene expression studies, involves determining whether there is evidence that counts for a transcript or exon are significantly different across experimental conditions. edgeR is a Bioconductor software package for examining differential expression of replicated count data. An overdispersed Poisson model is used to account for both biological and technical variability. Empirical Bayes methods are used to moderate the degree of overdispersion across transcripts, improving the reliability of inference. The methodology can be used even with the most minimal levels of replication, provided at least one phenotype or experimental condition is replicated. The software may have other applications beyond sequencing data, such as proteome peptide count data. AVAILABILITY The package is freely available under the LGPL licence from the Bioconductor web site (http://bioconductor.org).","author":[{"dropping-particle":"","family":"Robinson","given":"Mark D","non-dropping-particle":"","parse-names":false,"suffix":""},{"dropping-particle":"","family":"McCarthy","given":"Davis J","non-dropping-particle":"","parse-names":false,"suffix":""},{"dropping-particle":"","family":"Smyth","given":"Gordon K","non-dropping-particle":"","parse-names":false,"suffix":""}],"container-title":"Bioinformatics (Oxford, England)","id":"ITEM-1","issue":"1","issued":{"date-parts":[["2010","1","1"]]},"page":"139-40","title":"edgeR: a Bioconductor package for differential expression analysis of digital gene expression data.","type":"article-journal","volume":"26"},"uris":["http://www.mendeley.com/documents/?uuid=d34f3183-3270-3922-964e-5cffc3e699b7"]}],"mendeley":{"formattedCitation":"(7)","plainTextFormattedCitation":"(7)","previouslyFormattedCitation":"(7)"},"properties":{"noteIndex":0},"schema":"https://github.com/citation-style-language/schema/raw/master/csl-citation.json"}</w:instrText>
      </w:r>
      <w:r w:rsidR="00312009" w:rsidRPr="003707B2">
        <w:rPr>
          <w:rFonts w:ascii="Arial" w:eastAsia="Arial" w:hAnsi="Arial" w:cs="Arial"/>
          <w:color w:val="000000"/>
          <w:sz w:val="20"/>
          <w:szCs w:val="20"/>
        </w:rPr>
        <w:fldChar w:fldCharType="separate"/>
      </w:r>
      <w:r w:rsidR="00312009" w:rsidRPr="003707B2">
        <w:rPr>
          <w:rFonts w:ascii="Arial" w:eastAsia="Arial" w:hAnsi="Arial" w:cs="Arial"/>
          <w:noProof/>
          <w:color w:val="000000"/>
          <w:sz w:val="20"/>
          <w:szCs w:val="20"/>
        </w:rPr>
        <w:t>(7)</w:t>
      </w:r>
      <w:r w:rsidR="00312009" w:rsidRPr="003707B2">
        <w:rPr>
          <w:rFonts w:ascii="Arial" w:eastAsia="Arial" w:hAnsi="Arial" w:cs="Arial"/>
          <w:color w:val="000000"/>
          <w:sz w:val="20"/>
          <w:szCs w:val="20"/>
        </w:rPr>
        <w:fldChar w:fldCharType="end"/>
      </w:r>
      <w:r w:rsidRPr="003707B2">
        <w:rPr>
          <w:rFonts w:ascii="Arial" w:eastAsia="Arial" w:hAnsi="Arial" w:cs="Arial"/>
          <w:color w:val="000000"/>
          <w:sz w:val="20"/>
          <w:szCs w:val="20"/>
        </w:rPr>
        <w:t xml:space="preserve">. Second, to scale the normalized count data for linear modelling, the counts were transformed into log2 counts per million and assigned proper weights using the voom method in the limma </w:t>
      </w:r>
      <w:r w:rsidRPr="003707B2">
        <w:rPr>
          <w:rFonts w:ascii="Arial" w:eastAsia="Arial" w:hAnsi="Arial" w:cs="Arial"/>
          <w:color w:val="000000"/>
          <w:sz w:val="20"/>
          <w:szCs w:val="20"/>
        </w:rPr>
        <w:lastRenderedPageBreak/>
        <w:t xml:space="preserve">package </w:t>
      </w:r>
      <w:r w:rsidR="00312009" w:rsidRPr="003707B2">
        <w:rPr>
          <w:rFonts w:ascii="Arial" w:eastAsia="Arial" w:hAnsi="Arial" w:cs="Arial"/>
          <w:color w:val="000000"/>
          <w:sz w:val="20"/>
          <w:szCs w:val="20"/>
        </w:rPr>
        <w:fldChar w:fldCharType="begin" w:fldLock="1"/>
      </w:r>
      <w:r w:rsidR="00312009" w:rsidRPr="003707B2">
        <w:rPr>
          <w:rFonts w:ascii="Arial" w:eastAsia="Arial" w:hAnsi="Arial" w:cs="Arial"/>
          <w:color w:val="000000"/>
          <w:sz w:val="20"/>
          <w:szCs w:val="20"/>
        </w:rPr>
        <w:instrText>ADDIN CSL_CITATION {"citationItems":[{"id":"ITEM-1","itemData":{"DOI":"10.1093/nar/gkv007","ISSN":"1362-4962","PMID":"25605792","abstract":"limma is an R/Bioconductor software package that provides an integrated solution for analysing data from gene expression experiments. It contains rich features for handling complex experimental designs and for information borrowing to overcome the problem of small sample sizes. Over the past decade, limma has been a popular choice for gene discovery through differential expression analyses of microarray and high-throughput PCR data. The package contains particularly strong facilities for reading, normalizing and exploring such data. Recently, the capabilities of limma have been significantly expanded in two important directions. First, the package can now perform both differential expression and differential splicing analyses of RNA sequencing (RNA-seq) data. All the downstream analysis tools previously restricted to microarray data are now available for RNA-seq as well. These capabilities allow users to analyse both RNA-seq and microarray data with very similar pipelines. Second, the package is now able to go past the traditional gene-wise expression analyses in a variety of ways, analysing expression profiles in terms of co-regulated sets of genes or in terms of higher-order expression signatures. This provides enhanced possibilities for biological interpretation of gene expression differences. This article reviews the philosophy and design of the limma package, summarizing both new and historical features, with an emphasis on recent enhancements and features that have not been previously described.","author":[{"dropping-particle":"","family":"Ritchie","given":"Matthew E","non-dropping-particle":"","parse-names":false,"suffix":""},{"dropping-particle":"","family":"Phipson","given":"Belinda","non-dropping-particle":"","parse-names":false,"suffix":""},{"dropping-particle":"","family":"Wu","given":"Di","non-dropping-particle":"","parse-names":false,"suffix":""},{"dropping-particle":"","family":"Hu","given":"Yifang","non-dropping-particle":"","parse-names":false,"suffix":""},{"dropping-particle":"","family":"Law","given":"Charity W","non-dropping-particle":"","parse-names":false,"suffix":""},{"dropping-particle":"","family":"Shi","given":"Wei","non-dropping-particle":"","parse-names":false,"suffix":""},{"dropping-particle":"","family":"Smyth","given":"Gordon K","non-dropping-particle":"","parse-names":false,"suffix":""}],"container-title":"Nucleic acids research","id":"ITEM-1","issue":"7","issued":{"date-parts":[["2015","4","20"]]},"page":"e47","title":"limma powers differential expression analyses for RNA-sequencing and microarray studies.","type":"article-journal","volume":"43"},"uris":["http://www.mendeley.com/documents/?uuid=144ed672-fe21-3916-82f0-ff439aed46ca"]}],"mendeley":{"formattedCitation":"(8)","plainTextFormattedCitation":"(8)","previouslyFormattedCitation":"(8)"},"properties":{"noteIndex":0},"schema":"https://github.com/citation-style-language/schema/raw/master/csl-citation.json"}</w:instrText>
      </w:r>
      <w:r w:rsidR="00312009" w:rsidRPr="003707B2">
        <w:rPr>
          <w:rFonts w:ascii="Arial" w:eastAsia="Arial" w:hAnsi="Arial" w:cs="Arial"/>
          <w:color w:val="000000"/>
          <w:sz w:val="20"/>
          <w:szCs w:val="20"/>
        </w:rPr>
        <w:fldChar w:fldCharType="separate"/>
      </w:r>
      <w:r w:rsidR="00312009" w:rsidRPr="003707B2">
        <w:rPr>
          <w:rFonts w:ascii="Arial" w:eastAsia="Arial" w:hAnsi="Arial" w:cs="Arial"/>
          <w:noProof/>
          <w:color w:val="000000"/>
          <w:sz w:val="20"/>
          <w:szCs w:val="20"/>
        </w:rPr>
        <w:t>(8)</w:t>
      </w:r>
      <w:r w:rsidR="00312009" w:rsidRPr="003707B2">
        <w:rPr>
          <w:rFonts w:ascii="Arial" w:eastAsia="Arial" w:hAnsi="Arial" w:cs="Arial"/>
          <w:color w:val="000000"/>
          <w:sz w:val="20"/>
          <w:szCs w:val="20"/>
        </w:rPr>
        <w:fldChar w:fldCharType="end"/>
      </w:r>
      <w:r w:rsidRPr="003707B2">
        <w:rPr>
          <w:rFonts w:ascii="Arial" w:eastAsia="Arial" w:hAnsi="Arial" w:cs="Arial"/>
          <w:color w:val="000000"/>
          <w:sz w:val="20"/>
          <w:szCs w:val="20"/>
        </w:rPr>
        <w:t xml:space="preserve">. Third, technical effects related to differences in library preparation were removed using ComBat from the sva package </w:t>
      </w:r>
      <w:r w:rsidR="00312009" w:rsidRPr="003707B2">
        <w:rPr>
          <w:rFonts w:ascii="Arial" w:eastAsia="Arial" w:hAnsi="Arial" w:cs="Arial"/>
          <w:color w:val="000000"/>
          <w:sz w:val="20"/>
          <w:szCs w:val="20"/>
        </w:rPr>
        <w:fldChar w:fldCharType="begin" w:fldLock="1"/>
      </w:r>
      <w:r w:rsidR="00312009" w:rsidRPr="003707B2">
        <w:rPr>
          <w:rFonts w:ascii="Arial" w:eastAsia="Arial" w:hAnsi="Arial" w:cs="Arial"/>
          <w:color w:val="000000"/>
          <w:sz w:val="20"/>
          <w:szCs w:val="20"/>
        </w:rPr>
        <w:instrText>ADDIN CSL_CITATION {"citationItems":[{"id":"ITEM-1","itemData":{"DOI":"10.1093/nar/gku864","ISSN":"1362-4962","PMID":"25294822","abstract":"It is now known that unwanted noise and unmodeled artifacts such as batch effects can dramatically reduce the accuracy of statistical inference in genomic experiments. These sources of noise must be modeled and removed to accurately measure biological variability and to obtain correct statistical inference when performing high-throughput genomic analysis. We introduced surrogate variable analysis (sva) for estimating these artifacts by (i) identifying the part of the genomic data only affected by artifacts and (ii) estimating the artifacts with principal components or singular vectors of the subset of the data matrix. The resulting estimates of artifacts can be used in subsequent analyses as adjustment factors to correct analyses. Here I describe a version of the sva approach specifically created for count data or FPKMs from sequencing experiments based on appropriate data transformation. I also describe the addition of supervised sva (ssva) for using control probes to identify the part of the genomic data only affected by artifacts. I present a comparison between these versions of sva and other methods for batch effect estimation on simulated data, real count-based data and FPKM-based data. These updates are available through the sva Bioconductor package and I have made fully reproducible analysis using these methods available from: https://github.com/jtleek/svaseq.","author":[{"dropping-particle":"","family":"Leek","given":"Jeffrey T","non-dropping-particle":"","parse-names":false,"suffix":""}],"container-title":"Nucleic acids research","id":"ITEM-1","issue":"21","issued":{"date-parts":[["2014","12","1"]]},"page":"e161-e161","title":"svaseq: removing batch effects and other unwanted noise from sequencing data.","type":"article-journal","volume":"42"},"uris":["http://www.mendeley.com/documents/?uuid=081b9771-1e69-3030-b1da-9321ceaf5660"]}],"mendeley":{"formattedCitation":"(9)","plainTextFormattedCitation":"(9)","previouslyFormattedCitation":"(9)"},"properties":{"noteIndex":0},"schema":"https://github.com/citation-style-language/schema/raw/master/csl-citation.json"}</w:instrText>
      </w:r>
      <w:r w:rsidR="00312009" w:rsidRPr="003707B2">
        <w:rPr>
          <w:rFonts w:ascii="Arial" w:eastAsia="Arial" w:hAnsi="Arial" w:cs="Arial"/>
          <w:color w:val="000000"/>
          <w:sz w:val="20"/>
          <w:szCs w:val="20"/>
        </w:rPr>
        <w:fldChar w:fldCharType="separate"/>
      </w:r>
      <w:r w:rsidR="00312009" w:rsidRPr="003707B2">
        <w:rPr>
          <w:rFonts w:ascii="Arial" w:eastAsia="Arial" w:hAnsi="Arial" w:cs="Arial"/>
          <w:noProof/>
          <w:color w:val="000000"/>
          <w:sz w:val="20"/>
          <w:szCs w:val="20"/>
        </w:rPr>
        <w:t>(9)</w:t>
      </w:r>
      <w:r w:rsidR="00312009" w:rsidRPr="003707B2">
        <w:rPr>
          <w:rFonts w:ascii="Arial" w:eastAsia="Arial" w:hAnsi="Arial" w:cs="Arial"/>
          <w:color w:val="000000"/>
          <w:sz w:val="20"/>
          <w:szCs w:val="20"/>
        </w:rPr>
        <w:fldChar w:fldCharType="end"/>
      </w:r>
      <w:r w:rsidRPr="003707B2">
        <w:rPr>
          <w:rFonts w:ascii="Arial" w:eastAsia="Arial" w:hAnsi="Arial" w:cs="Arial"/>
          <w:color w:val="000000"/>
          <w:sz w:val="20"/>
          <w:szCs w:val="20"/>
        </w:rPr>
        <w:t>.</w:t>
      </w:r>
    </w:p>
    <w:p w14:paraId="642ED76E" w14:textId="77777777" w:rsidR="000C40DC" w:rsidRPr="003707B2" w:rsidRDefault="000C40DC">
      <w:pPr>
        <w:pBdr>
          <w:top w:val="nil"/>
          <w:left w:val="nil"/>
          <w:bottom w:val="nil"/>
          <w:right w:val="nil"/>
          <w:between w:val="nil"/>
        </w:pBdr>
        <w:spacing w:line="480" w:lineRule="auto"/>
        <w:rPr>
          <w:rFonts w:ascii="Arial" w:eastAsia="Arial" w:hAnsi="Arial" w:cs="Arial"/>
          <w:color w:val="000000"/>
          <w:sz w:val="20"/>
          <w:szCs w:val="20"/>
        </w:rPr>
      </w:pPr>
    </w:p>
    <w:p w14:paraId="44F71556" w14:textId="0EE285BD" w:rsidR="00D46022" w:rsidRPr="003707B2" w:rsidRDefault="00D46022">
      <w:pPr>
        <w:pBdr>
          <w:top w:val="nil"/>
          <w:left w:val="nil"/>
          <w:bottom w:val="nil"/>
          <w:right w:val="nil"/>
          <w:between w:val="nil"/>
        </w:pBdr>
        <w:spacing w:line="480" w:lineRule="auto"/>
        <w:rPr>
          <w:rFonts w:ascii="Arial" w:eastAsia="Arial" w:hAnsi="Arial" w:cs="Arial"/>
          <w:color w:val="000000"/>
          <w:sz w:val="20"/>
          <w:szCs w:val="20"/>
        </w:rPr>
      </w:pPr>
      <w:r w:rsidRPr="003707B2">
        <w:rPr>
          <w:rFonts w:ascii="Arial" w:hAnsi="Arial" w:cs="Arial"/>
          <w:color w:val="000000"/>
          <w:sz w:val="20"/>
          <w:szCs w:val="20"/>
          <w:shd w:val="clear" w:color="auto" w:fill="FFFFFF"/>
        </w:rPr>
        <w:t xml:space="preserve">A hypoxia signature was computed with a Gene Set Enrichment Analysis </w:t>
      </w:r>
      <w:r w:rsidR="00213C13" w:rsidRPr="003707B2">
        <w:rPr>
          <w:rFonts w:ascii="Arial" w:hAnsi="Arial" w:cs="Arial"/>
          <w:color w:val="000000"/>
          <w:sz w:val="20"/>
          <w:szCs w:val="20"/>
          <w:shd w:val="clear" w:color="auto" w:fill="FFFFFF"/>
        </w:rPr>
        <w:fldChar w:fldCharType="begin" w:fldLock="1"/>
      </w:r>
      <w:r w:rsidR="00312009" w:rsidRPr="003707B2">
        <w:rPr>
          <w:rFonts w:ascii="Arial" w:hAnsi="Arial" w:cs="Arial"/>
          <w:color w:val="000000"/>
          <w:sz w:val="20"/>
          <w:szCs w:val="20"/>
          <w:shd w:val="clear" w:color="auto" w:fill="FFFFFF"/>
        </w:rPr>
        <w:instrText>ADDIN CSL_CITATION {"citationItems":[{"id":"ITEM-1","itemData":{"DOI":"10.1073/pnas.0506580102","ISSN":"0027-8424","PMID":"16199517","abstract":"Although genomewide RNA expression analysis has become a routine tool in biomedical research, extracting biological insight from such information remains a major challenge. Here, we describe a powerful analytical method called Gene Set Enrichment Analysis (GSEA) for interpreting gene expression data. The method derives its power by focusing on gene sets, that is, groups of genes that share common biological function, chromosomal location, or regulation. We demonstrate how GSEA yields insights into several cancer-related data sets, including leukemia and lung cancer. Notably, where single-gene analysis finds little similarity between two independent studies of patient survival in lung cancer, GSEA reveals many biological pathways in common. The GSEA method is embodied in a freely available software package, together with an initial database of 1,325 biologically defined gene sets.","author":[{"dropping-particle":"","family":"Subramanian","given":"Aravind","non-dropping-particle":"","parse-names":false,"suffix":""},{"dropping-particle":"","family":"Tamayo","given":"Pablo","non-dropping-particle":"","parse-names":false,"suffix":""},{"dropping-particle":"","family":"Mootha","given":"Vamsi K","non-dropping-particle":"","parse-names":false,"suffix":""},{"dropping-particle":"","family":"Mukherjee","given":"Sayan","non-dropping-particle":"","parse-names":false,"suffix":""},{"dropping-particle":"","family":"Ebert","given":"Benjamin L","non-dropping-particle":"","parse-names":false,"suffix":""},{"dropping-particle":"","family":"Gillette","given":"Michael A","non-dropping-particle":"","parse-names":false,"suffix":""},{"dropping-particle":"","family":"Paulovich","given":"Amanda","non-dropping-particle":"","parse-names":false,"suffix":""},{"dropping-particle":"","family":"Pomeroy","given":"Scott L","non-dropping-particle":"","parse-names":false,"suffix":""},{"dropping-particle":"","family":"Golub","given":"Todd R","non-dropping-particle":"","parse-names":false,"suffix":""},{"dropping-particle":"","family":"Lander","given":"Eric S","non-dropping-particle":"","parse-names":false,"suffix":""},{"dropping-particle":"","family":"Mesirov","given":"Jill P","non-dropping-particle":"","parse-names":false,"suffix":""}],"container-title":"Proceedings of the National Academy of Sciences of the United States of America","id":"ITEM-1","issue":"43","issued":{"date-parts":[["2005","10","25"]]},"page":"15545-50","publisher":"National Academy of Sciences","title":"Gene set enrichment analysis: a knowledge-based approach for interpreting genome-wide expression profiles.","type":"article-journal","volume":"102"},"uris":["http://www.mendeley.com/documents/?uuid=bed83722-7748-372b-a6c9-ad583e2f8e3f"]}],"mendeley":{"formattedCitation":"(10)","plainTextFormattedCitation":"(10)","previouslyFormattedCitation":"(10)"},"properties":{"noteIndex":0},"schema":"https://github.com/citation-style-language/schema/raw/master/csl-citation.json"}</w:instrText>
      </w:r>
      <w:r w:rsidR="00213C13" w:rsidRPr="003707B2">
        <w:rPr>
          <w:rFonts w:ascii="Arial" w:hAnsi="Arial" w:cs="Arial"/>
          <w:color w:val="000000"/>
          <w:sz w:val="20"/>
          <w:szCs w:val="20"/>
          <w:shd w:val="clear" w:color="auto" w:fill="FFFFFF"/>
        </w:rPr>
        <w:fldChar w:fldCharType="separate"/>
      </w:r>
      <w:r w:rsidR="00312009" w:rsidRPr="003707B2">
        <w:rPr>
          <w:rFonts w:ascii="Arial" w:hAnsi="Arial" w:cs="Arial"/>
          <w:noProof/>
          <w:color w:val="000000"/>
          <w:sz w:val="20"/>
          <w:szCs w:val="20"/>
          <w:shd w:val="clear" w:color="auto" w:fill="FFFFFF"/>
        </w:rPr>
        <w:t>(10)</w:t>
      </w:r>
      <w:r w:rsidR="00213C13" w:rsidRPr="003707B2">
        <w:rPr>
          <w:rFonts w:ascii="Arial" w:hAnsi="Arial" w:cs="Arial"/>
          <w:color w:val="000000"/>
          <w:sz w:val="20"/>
          <w:szCs w:val="20"/>
          <w:shd w:val="clear" w:color="auto" w:fill="FFFFFF"/>
        </w:rPr>
        <w:fldChar w:fldCharType="end"/>
      </w:r>
      <w:r w:rsidR="00213C13" w:rsidRPr="003707B2">
        <w:rPr>
          <w:rFonts w:ascii="Arial" w:hAnsi="Arial" w:cs="Arial"/>
          <w:color w:val="000000"/>
          <w:sz w:val="20"/>
          <w:szCs w:val="20"/>
          <w:shd w:val="clear" w:color="auto" w:fill="FFFFFF"/>
        </w:rPr>
        <w:t xml:space="preserve"> </w:t>
      </w:r>
      <w:r w:rsidRPr="003707B2">
        <w:rPr>
          <w:rFonts w:ascii="Arial" w:hAnsi="Arial" w:cs="Arial"/>
          <w:color w:val="000000"/>
          <w:sz w:val="20"/>
          <w:szCs w:val="20"/>
          <w:shd w:val="clear" w:color="auto" w:fill="FFFFFF"/>
        </w:rPr>
        <w:t xml:space="preserve">using the expression of 42 hypoxia-related genes as reported by </w:t>
      </w:r>
      <w:r w:rsidR="008D77AF" w:rsidRPr="003707B2">
        <w:rPr>
          <w:rFonts w:ascii="Arial" w:hAnsi="Arial" w:cs="Arial"/>
          <w:color w:val="000000"/>
          <w:sz w:val="20"/>
          <w:szCs w:val="20"/>
          <w:shd w:val="clear" w:color="auto" w:fill="FFFFFF"/>
        </w:rPr>
        <w:t>Ye et al.</w:t>
      </w:r>
      <w:r w:rsidR="00213C13" w:rsidRPr="003707B2">
        <w:rPr>
          <w:rFonts w:ascii="Arial" w:hAnsi="Arial" w:cs="Arial"/>
          <w:color w:val="000000"/>
          <w:sz w:val="20"/>
          <w:szCs w:val="20"/>
          <w:shd w:val="clear" w:color="auto" w:fill="FFFFFF"/>
        </w:rPr>
        <w:t xml:space="preserve"> </w:t>
      </w:r>
      <w:r w:rsidR="00213C13" w:rsidRPr="003707B2">
        <w:rPr>
          <w:rFonts w:ascii="Arial" w:hAnsi="Arial" w:cs="Arial"/>
          <w:color w:val="000000"/>
          <w:sz w:val="20"/>
          <w:szCs w:val="20"/>
          <w:shd w:val="clear" w:color="auto" w:fill="FFFFFF"/>
        </w:rPr>
        <w:fldChar w:fldCharType="begin" w:fldLock="1"/>
      </w:r>
      <w:r w:rsidR="00312009" w:rsidRPr="003707B2">
        <w:rPr>
          <w:rFonts w:ascii="Arial" w:hAnsi="Arial" w:cs="Arial"/>
          <w:color w:val="000000"/>
          <w:sz w:val="20"/>
          <w:szCs w:val="20"/>
          <w:shd w:val="clear" w:color="auto" w:fill="FFFFFF"/>
        </w:rPr>
        <w:instrText>ADDIN CSL_CITATION {"citationItems":[{"id":"ITEM-1","itemData":{"DOI":"10.1158/1541-7786.MCR-18-0345","ISSN":"1541-7786","PMID":"30037853","abstract":"Intratumoral hypoxia has been associated with invasion, metastasis, and treatment failure, prompting the need for a global characterization of the response to hypoxic conditions. The current study presents the results of a large-scale RNA sequencing (RNA-seq) effort, analyzing 31 breast cancer cell lines representative of breast cancer subtypes or normal mammary epithelial (NME) cells exposed to control tissue culture conditions (20% O2) or hypoxic conditions (1% O2). The results demonstrate that NME have a stronger response to hypoxia both in terms of number of genes induced by hypoxia as well as level of expression. A conserved 42-gene hypoxia signature shared across PAM50 subtypes and genes that are exclusively upregulated in Luminal A, Luminal B, and normal-like mammary epithelial cells is identified. The 42-gene expression signature is enriched in a subset of basal-like cell lines and tumors and differentiates survival among patients with basal-like tumors. Mechanistically, the hypoxia-inducible factors (HIF-1 and/or HIF-2) mediate the conserved hypoxic response. Also, four novel hypoxia-regulated and HIF-1-responsive genes were identified as part of the conserved signature. This dataset provides a novel resource to query transcriptional changes that occur in response to hypoxia and serves as a starting point for a clinical assay to aid in stratifying patients that would benefit from hypoxia-targeted therapies, some of which are currently in clinical trials. IMPLICATIONS: RNA-seq of 31 breast cancer cells exposed to control or hypoxic conditions reveals a conserved genomic signature that contains novel HIF-regulated genes and is prognostic for the survival of patients with triple-negative breast cancer.","author":[{"dropping-particle":"","family":"Ye","given":"I. Chae","non-dropping-particle":"","parse-names":false,"suffix":""},{"dropping-particle":"","family":"Fertig","given":"Elana J.","non-dropping-particle":"","parse-names":false,"suffix":""},{"dropping-particle":"","family":"DiGiacomo","given":"Josh W.","non-dropping-particle":"","parse-names":false,"suffix":""},{"dropping-particle":"","family":"Considine","given":"Michael","non-dropping-particle":"","parse-names":false,"suffix":""},{"dropping-particle":"","family":"Godet","given":"Inês","non-dropping-particle":"","parse-names":false,"suffix":""},{"dropping-particle":"","family":"Gilkes","given":"Daniele M.","non-dropping-particle":"","parse-names":false,"suffix":""}],"container-title":"Molecular Cancer Research","id":"ITEM-1","issue":"12","issued":{"date-parts":[["2018","12"]]},"page":"1889-1901","title":"Molecular Portrait of Hypoxia in Breast Cancer: A Prognostic Signature and Novel HIF-Regulated Genes","type":"article-journal","volume":"16"},"uris":["http://www.mendeley.com/documents/?uuid=56f7e04e-166c-353f-b683-29a10e24be50"]}],"mendeley":{"formattedCitation":"(11)","plainTextFormattedCitation":"(11)","previouslyFormattedCitation":"(11)"},"properties":{"noteIndex":0},"schema":"https://github.com/citation-style-language/schema/raw/master/csl-citation.json"}</w:instrText>
      </w:r>
      <w:r w:rsidR="00213C13" w:rsidRPr="003707B2">
        <w:rPr>
          <w:rFonts w:ascii="Arial" w:hAnsi="Arial" w:cs="Arial"/>
          <w:color w:val="000000"/>
          <w:sz w:val="20"/>
          <w:szCs w:val="20"/>
          <w:shd w:val="clear" w:color="auto" w:fill="FFFFFF"/>
        </w:rPr>
        <w:fldChar w:fldCharType="separate"/>
      </w:r>
      <w:r w:rsidR="00312009" w:rsidRPr="003707B2">
        <w:rPr>
          <w:rFonts w:ascii="Arial" w:hAnsi="Arial" w:cs="Arial"/>
          <w:noProof/>
          <w:color w:val="000000"/>
          <w:sz w:val="20"/>
          <w:szCs w:val="20"/>
          <w:shd w:val="clear" w:color="auto" w:fill="FFFFFF"/>
        </w:rPr>
        <w:t>(11)</w:t>
      </w:r>
      <w:r w:rsidR="00213C13" w:rsidRPr="003707B2">
        <w:rPr>
          <w:rFonts w:ascii="Arial" w:hAnsi="Arial" w:cs="Arial"/>
          <w:color w:val="000000"/>
          <w:sz w:val="20"/>
          <w:szCs w:val="20"/>
          <w:shd w:val="clear" w:color="auto" w:fill="FFFFFF"/>
        </w:rPr>
        <w:fldChar w:fldCharType="end"/>
      </w:r>
      <w:r w:rsidRPr="003707B2">
        <w:rPr>
          <w:rFonts w:ascii="Arial" w:hAnsi="Arial" w:cs="Arial"/>
          <w:color w:val="000000"/>
          <w:sz w:val="20"/>
          <w:szCs w:val="20"/>
          <w:shd w:val="clear" w:color="auto" w:fill="FFFFFF"/>
        </w:rPr>
        <w:t>.</w:t>
      </w:r>
    </w:p>
    <w:p w14:paraId="2F4F6A5D" w14:textId="77777777" w:rsidR="00CE1E67" w:rsidRPr="003707B2" w:rsidRDefault="00CE1E67">
      <w:pPr>
        <w:pBdr>
          <w:top w:val="nil"/>
          <w:left w:val="nil"/>
          <w:bottom w:val="nil"/>
          <w:right w:val="nil"/>
          <w:between w:val="nil"/>
        </w:pBdr>
        <w:spacing w:line="480" w:lineRule="auto"/>
        <w:rPr>
          <w:rFonts w:ascii="Arial" w:eastAsia="Arial" w:hAnsi="Arial" w:cs="Arial"/>
          <w:color w:val="000000"/>
          <w:sz w:val="20"/>
          <w:szCs w:val="20"/>
        </w:rPr>
      </w:pPr>
    </w:p>
    <w:p w14:paraId="14B05152" w14:textId="0177A6E2" w:rsidR="00CE1E67" w:rsidRPr="003707B2" w:rsidRDefault="00BD41CE">
      <w:pPr>
        <w:pBdr>
          <w:top w:val="nil"/>
          <w:left w:val="nil"/>
          <w:bottom w:val="nil"/>
          <w:right w:val="nil"/>
          <w:between w:val="nil"/>
        </w:pBdr>
        <w:spacing w:line="480" w:lineRule="auto"/>
        <w:rPr>
          <w:rFonts w:ascii="Arial" w:eastAsia="Arial" w:hAnsi="Arial" w:cs="Arial"/>
          <w:color w:val="000000"/>
          <w:sz w:val="20"/>
          <w:szCs w:val="20"/>
        </w:rPr>
      </w:pPr>
      <w:r w:rsidRPr="003707B2">
        <w:rPr>
          <w:rFonts w:ascii="Arial" w:eastAsia="Arial" w:hAnsi="Arial" w:cs="Arial"/>
          <w:b/>
          <w:sz w:val="20"/>
          <w:szCs w:val="20"/>
        </w:rPr>
        <w:t xml:space="preserve">Breast parenchymal density. </w:t>
      </w:r>
      <w:r w:rsidRPr="003707B2">
        <w:rPr>
          <w:rFonts w:ascii="Arial" w:eastAsia="Arial" w:hAnsi="Arial" w:cs="Arial"/>
          <w:color w:val="000000"/>
          <w:sz w:val="20"/>
          <w:szCs w:val="20"/>
        </w:rPr>
        <w:t xml:space="preserve">Breast parenchymal density was assessed </w:t>
      </w:r>
      <w:r w:rsidRPr="003707B2">
        <w:rPr>
          <w:rFonts w:ascii="Arial" w:eastAsia="Arial" w:hAnsi="Arial" w:cs="Arial"/>
          <w:sz w:val="20"/>
          <w:szCs w:val="20"/>
        </w:rPr>
        <w:t xml:space="preserve">according to the ACR BI-RADS Atlas </w:t>
      </w:r>
      <w:r w:rsidRPr="003707B2">
        <w:rPr>
          <w:rFonts w:ascii="Arial" w:eastAsia="Arial" w:hAnsi="Arial" w:cs="Arial"/>
          <w:color w:val="000000"/>
          <w:sz w:val="20"/>
          <w:szCs w:val="20"/>
        </w:rPr>
        <w:t xml:space="preserve">on mammograms acquired at the time of assessment </w:t>
      </w:r>
      <w:r w:rsidR="00213C13" w:rsidRPr="003707B2">
        <w:rPr>
          <w:rFonts w:ascii="Arial" w:eastAsia="Arial" w:hAnsi="Arial" w:cs="Arial"/>
          <w:color w:val="000000"/>
          <w:sz w:val="20"/>
          <w:szCs w:val="20"/>
        </w:rPr>
        <w:fldChar w:fldCharType="begin" w:fldLock="1"/>
      </w:r>
      <w:r w:rsidR="00312009" w:rsidRPr="003707B2">
        <w:rPr>
          <w:rFonts w:ascii="Arial" w:eastAsia="Arial" w:hAnsi="Arial" w:cs="Arial"/>
          <w:color w:val="000000"/>
          <w:sz w:val="20"/>
          <w:szCs w:val="20"/>
        </w:rPr>
        <w:instrText>ADDIN CSL_CITATION {"citationItems":[{"id":"ITEM-1","itemData":{"author":[{"dropping-particle":"","family":"Reston","given":"V A","non-dropping-particle":"","parse-names":false,"suffix":""}],"id":"ITEM-1","issued":{"date-parts":[["2013"]]},"title":"The American College of Radiology (ACR) (2013) Breast Imaging Reporting and Data System Atlas (BI-RADS® Atlas)","type":"book"},"uris":["http://www.mendeley.com/documents/?uuid=76b20707-1037-4058-b8cf-3d04fdad6cab"]}],"mendeley":{"formattedCitation":"(12)","plainTextFormattedCitation":"(12)","previouslyFormattedCitation":"(12)"},"properties":{"noteIndex":0},"schema":"https://github.com/citation-style-language/schema/raw/master/csl-citation.json"}</w:instrText>
      </w:r>
      <w:r w:rsidR="00213C13" w:rsidRPr="003707B2">
        <w:rPr>
          <w:rFonts w:ascii="Arial" w:eastAsia="Arial" w:hAnsi="Arial" w:cs="Arial"/>
          <w:color w:val="000000"/>
          <w:sz w:val="20"/>
          <w:szCs w:val="20"/>
        </w:rPr>
        <w:fldChar w:fldCharType="separate"/>
      </w:r>
      <w:r w:rsidR="00312009" w:rsidRPr="003707B2">
        <w:rPr>
          <w:rFonts w:ascii="Arial" w:eastAsia="Arial" w:hAnsi="Arial" w:cs="Arial"/>
          <w:noProof/>
          <w:color w:val="000000"/>
          <w:sz w:val="20"/>
          <w:szCs w:val="20"/>
        </w:rPr>
        <w:t>(12)</w:t>
      </w:r>
      <w:r w:rsidR="00213C13" w:rsidRPr="003707B2">
        <w:rPr>
          <w:rFonts w:ascii="Arial" w:eastAsia="Arial" w:hAnsi="Arial" w:cs="Arial"/>
          <w:color w:val="000000"/>
          <w:sz w:val="20"/>
          <w:szCs w:val="20"/>
        </w:rPr>
        <w:fldChar w:fldCharType="end"/>
      </w:r>
      <w:r w:rsidRPr="003707B2">
        <w:rPr>
          <w:rFonts w:ascii="Arial" w:eastAsia="Arial" w:hAnsi="Arial" w:cs="Arial"/>
          <w:color w:val="000000"/>
          <w:sz w:val="20"/>
          <w:szCs w:val="20"/>
        </w:rPr>
        <w:t>.</w:t>
      </w:r>
    </w:p>
    <w:p w14:paraId="4B2C80F8" w14:textId="77777777" w:rsidR="00CE1E67" w:rsidRPr="003707B2" w:rsidRDefault="00CE1E67">
      <w:pPr>
        <w:pBdr>
          <w:top w:val="nil"/>
          <w:left w:val="nil"/>
          <w:bottom w:val="nil"/>
          <w:right w:val="nil"/>
          <w:between w:val="nil"/>
        </w:pBdr>
        <w:rPr>
          <w:rFonts w:ascii="Arial" w:eastAsia="Arial" w:hAnsi="Arial" w:cs="Arial"/>
          <w:color w:val="000000"/>
          <w:sz w:val="20"/>
          <w:szCs w:val="20"/>
        </w:rPr>
      </w:pPr>
    </w:p>
    <w:p w14:paraId="055C7D31" w14:textId="77777777" w:rsidR="00CE1E67" w:rsidRPr="003707B2" w:rsidRDefault="00BD41CE">
      <w:pPr>
        <w:rPr>
          <w:rFonts w:ascii="Arial" w:eastAsia="Arial" w:hAnsi="Arial" w:cs="Arial"/>
          <w:sz w:val="20"/>
          <w:szCs w:val="20"/>
        </w:rPr>
      </w:pPr>
      <w:r w:rsidRPr="003707B2">
        <w:rPr>
          <w:rFonts w:ascii="Arial" w:hAnsi="Arial" w:cs="Arial"/>
        </w:rPr>
        <w:br w:type="page"/>
      </w:r>
    </w:p>
    <w:p w14:paraId="483B8523" w14:textId="77777777" w:rsidR="00CE1E67" w:rsidRPr="003707B2" w:rsidRDefault="00BD41CE">
      <w:pPr>
        <w:keepNext/>
        <w:pBdr>
          <w:top w:val="nil"/>
          <w:left w:val="nil"/>
          <w:bottom w:val="nil"/>
          <w:right w:val="nil"/>
          <w:between w:val="nil"/>
        </w:pBdr>
        <w:spacing w:before="240" w:after="60"/>
        <w:jc w:val="center"/>
        <w:rPr>
          <w:rFonts w:ascii="Arial" w:eastAsia="Arial" w:hAnsi="Arial" w:cs="Arial"/>
          <w:b/>
          <w:color w:val="000000"/>
          <w:sz w:val="20"/>
          <w:szCs w:val="20"/>
        </w:rPr>
      </w:pPr>
      <w:r w:rsidRPr="003707B2">
        <w:rPr>
          <w:rFonts w:ascii="Arial" w:hAnsi="Arial" w:cs="Arial"/>
          <w:noProof/>
          <w:color w:val="000000"/>
          <w:lang w:val="en-GB" w:eastAsia="en-GB"/>
        </w:rPr>
        <w:lastRenderedPageBreak/>
        <w:drawing>
          <wp:inline distT="0" distB="0" distL="0" distR="0" wp14:anchorId="0C8F3E09" wp14:editId="6E4B9165">
            <wp:extent cx="2833548" cy="5656619"/>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
                    <a:srcRect/>
                    <a:stretch>
                      <a:fillRect/>
                    </a:stretch>
                  </pic:blipFill>
                  <pic:spPr>
                    <a:xfrm>
                      <a:off x="0" y="0"/>
                      <a:ext cx="2833548" cy="5656619"/>
                    </a:xfrm>
                    <a:prstGeom prst="rect">
                      <a:avLst/>
                    </a:prstGeom>
                    <a:ln/>
                  </pic:spPr>
                </pic:pic>
              </a:graphicData>
            </a:graphic>
          </wp:inline>
        </w:drawing>
      </w:r>
    </w:p>
    <w:p w14:paraId="2E6F5C5E" w14:textId="77777777" w:rsidR="00CE1E67" w:rsidRPr="003707B2" w:rsidRDefault="00BD41CE">
      <w:pPr>
        <w:keepNext/>
        <w:pBdr>
          <w:top w:val="nil"/>
          <w:left w:val="nil"/>
          <w:bottom w:val="nil"/>
          <w:right w:val="nil"/>
          <w:between w:val="nil"/>
        </w:pBdr>
        <w:spacing w:before="240" w:after="60"/>
        <w:rPr>
          <w:rFonts w:ascii="Arial" w:eastAsia="Arial" w:hAnsi="Arial" w:cs="Arial"/>
          <w:color w:val="000000"/>
          <w:sz w:val="20"/>
          <w:szCs w:val="20"/>
        </w:rPr>
      </w:pPr>
      <w:r w:rsidRPr="003707B2">
        <w:rPr>
          <w:rFonts w:ascii="Arial" w:eastAsia="Arial" w:hAnsi="Arial" w:cs="Arial"/>
          <w:b/>
          <w:color w:val="000000"/>
          <w:sz w:val="20"/>
          <w:szCs w:val="20"/>
        </w:rPr>
        <w:t xml:space="preserve">Fig. S1. Relationship between LAC/PYR ratios based on manually drawn versus thresholded ROIs. </w:t>
      </w:r>
      <w:r w:rsidRPr="003707B2">
        <w:rPr>
          <w:rFonts w:ascii="Arial" w:eastAsia="Arial" w:hAnsi="Arial" w:cs="Arial"/>
          <w:color w:val="000000"/>
          <w:sz w:val="20"/>
          <w:szCs w:val="20"/>
        </w:rPr>
        <w:t>No significant differences between ROIs drawn in a semi-automated fashion and those drawn manually were found for LAC/PYR (p = 0.711), summed SNR</w:t>
      </w:r>
      <w:r w:rsidRPr="003707B2">
        <w:rPr>
          <w:rFonts w:ascii="Arial" w:eastAsia="Arial" w:hAnsi="Arial" w:cs="Arial"/>
          <w:color w:val="000000"/>
          <w:sz w:val="20"/>
          <w:szCs w:val="20"/>
          <w:vertAlign w:val="subscript"/>
        </w:rPr>
        <w:t>LAC</w:t>
      </w:r>
      <w:r w:rsidRPr="003707B2">
        <w:rPr>
          <w:rFonts w:ascii="Arial" w:eastAsia="Arial" w:hAnsi="Arial" w:cs="Arial"/>
          <w:color w:val="000000"/>
          <w:sz w:val="20"/>
          <w:szCs w:val="20"/>
        </w:rPr>
        <w:t xml:space="preserve"> (p = 0.107) and summed SNR</w:t>
      </w:r>
      <w:r w:rsidRPr="003707B2">
        <w:rPr>
          <w:rFonts w:ascii="Arial" w:eastAsia="Arial" w:hAnsi="Arial" w:cs="Arial"/>
          <w:color w:val="000000"/>
          <w:sz w:val="20"/>
          <w:szCs w:val="20"/>
          <w:vertAlign w:val="subscript"/>
        </w:rPr>
        <w:t>PYR</w:t>
      </w:r>
      <w:r w:rsidRPr="003707B2">
        <w:rPr>
          <w:rFonts w:ascii="Arial" w:eastAsia="Arial" w:hAnsi="Arial" w:cs="Arial"/>
          <w:color w:val="000000"/>
          <w:sz w:val="20"/>
          <w:szCs w:val="20"/>
        </w:rPr>
        <w:t xml:space="preserve"> (p = 0.097). Center line, median; box limits, upper and lower quartiles; whiskers, 1.5x interquartile range; points, outliers.</w:t>
      </w:r>
    </w:p>
    <w:p w14:paraId="01375506" w14:textId="77777777" w:rsidR="00CE1E67" w:rsidRPr="003707B2" w:rsidRDefault="00BD41CE">
      <w:pPr>
        <w:rPr>
          <w:rFonts w:ascii="Arial" w:eastAsia="Arial" w:hAnsi="Arial" w:cs="Arial"/>
          <w:sz w:val="20"/>
          <w:szCs w:val="20"/>
        </w:rPr>
      </w:pPr>
      <w:r w:rsidRPr="003707B2">
        <w:rPr>
          <w:rFonts w:ascii="Arial" w:hAnsi="Arial" w:cs="Arial"/>
        </w:rPr>
        <w:br w:type="page"/>
      </w:r>
    </w:p>
    <w:p w14:paraId="42C5769C" w14:textId="77777777" w:rsidR="00CE1E67" w:rsidRPr="003707B2" w:rsidRDefault="00BD41CE">
      <w:pPr>
        <w:keepNext/>
        <w:pBdr>
          <w:top w:val="nil"/>
          <w:left w:val="nil"/>
          <w:bottom w:val="nil"/>
          <w:right w:val="nil"/>
          <w:between w:val="nil"/>
        </w:pBdr>
        <w:spacing w:before="240" w:after="60"/>
        <w:rPr>
          <w:rFonts w:ascii="Arial" w:eastAsia="Arial" w:hAnsi="Arial" w:cs="Arial"/>
          <w:color w:val="000000"/>
          <w:sz w:val="20"/>
          <w:szCs w:val="20"/>
        </w:rPr>
      </w:pPr>
      <w:r w:rsidRPr="003707B2">
        <w:rPr>
          <w:rFonts w:ascii="Arial" w:hAnsi="Arial" w:cs="Arial"/>
          <w:noProof/>
          <w:color w:val="000000"/>
          <w:lang w:val="en-GB" w:eastAsia="en-GB"/>
        </w:rPr>
        <w:lastRenderedPageBreak/>
        <w:drawing>
          <wp:inline distT="0" distB="0" distL="0" distR="0" wp14:anchorId="6415BD62" wp14:editId="310F55CF">
            <wp:extent cx="5760720" cy="2400300"/>
            <wp:effectExtent l="0" t="0" r="0" b="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5760720" cy="2400300"/>
                    </a:xfrm>
                    <a:prstGeom prst="rect">
                      <a:avLst/>
                    </a:prstGeom>
                    <a:ln/>
                  </pic:spPr>
                </pic:pic>
              </a:graphicData>
            </a:graphic>
          </wp:inline>
        </w:drawing>
      </w:r>
      <w:r w:rsidRPr="003707B2">
        <w:rPr>
          <w:rFonts w:ascii="Arial" w:eastAsia="Arial" w:hAnsi="Arial" w:cs="Arial"/>
          <w:b/>
          <w:color w:val="000000"/>
          <w:sz w:val="20"/>
          <w:szCs w:val="20"/>
        </w:rPr>
        <w:t xml:space="preserve"> Fig. S2. Relationship between</w:t>
      </w:r>
      <w:r w:rsidRPr="003707B2">
        <w:rPr>
          <w:rFonts w:ascii="Arial" w:eastAsia="Arial" w:hAnsi="Arial" w:cs="Arial"/>
          <w:b/>
          <w:i/>
          <w:color w:val="000000"/>
          <w:sz w:val="20"/>
          <w:szCs w:val="20"/>
        </w:rPr>
        <w:t xml:space="preserve"> k</w:t>
      </w:r>
      <w:r w:rsidRPr="003707B2">
        <w:rPr>
          <w:rFonts w:ascii="Arial" w:eastAsia="Arial" w:hAnsi="Arial" w:cs="Arial"/>
          <w:b/>
          <w:color w:val="000000"/>
          <w:sz w:val="20"/>
          <w:szCs w:val="20"/>
          <w:vertAlign w:val="subscript"/>
        </w:rPr>
        <w:t>PL</w:t>
      </w:r>
      <w:r w:rsidRPr="003707B2">
        <w:rPr>
          <w:rFonts w:ascii="Arial" w:eastAsia="Arial" w:hAnsi="Arial" w:cs="Arial"/>
          <w:b/>
          <w:color w:val="000000"/>
          <w:sz w:val="20"/>
          <w:szCs w:val="20"/>
        </w:rPr>
        <w:t>, the LAC/PYR ratio and summed SNR</w:t>
      </w:r>
      <w:r w:rsidRPr="003707B2">
        <w:rPr>
          <w:rFonts w:ascii="Arial" w:eastAsia="Arial" w:hAnsi="Arial" w:cs="Arial"/>
          <w:b/>
          <w:color w:val="000000"/>
          <w:sz w:val="20"/>
          <w:szCs w:val="20"/>
          <w:vertAlign w:val="subscript"/>
        </w:rPr>
        <w:t>LAC</w:t>
      </w:r>
      <w:r w:rsidRPr="003707B2">
        <w:rPr>
          <w:rFonts w:ascii="Arial" w:eastAsia="Arial" w:hAnsi="Arial" w:cs="Arial"/>
          <w:color w:val="000000"/>
          <w:sz w:val="20"/>
          <w:szCs w:val="20"/>
        </w:rPr>
        <w:t xml:space="preserve">. (A) </w:t>
      </w:r>
      <w:r w:rsidRPr="003707B2">
        <w:rPr>
          <w:rFonts w:ascii="Arial" w:eastAsia="Arial" w:hAnsi="Arial" w:cs="Arial"/>
          <w:i/>
          <w:color w:val="000000"/>
          <w:sz w:val="20"/>
          <w:szCs w:val="20"/>
        </w:rPr>
        <w:t>k</w:t>
      </w:r>
      <w:r w:rsidRPr="003707B2">
        <w:rPr>
          <w:rFonts w:ascii="Arial" w:eastAsia="Arial" w:hAnsi="Arial" w:cs="Arial"/>
          <w:color w:val="000000"/>
          <w:sz w:val="20"/>
          <w:szCs w:val="20"/>
          <w:vertAlign w:val="subscript"/>
        </w:rPr>
        <w:t>PL</w:t>
      </w:r>
      <w:r w:rsidRPr="003707B2">
        <w:rPr>
          <w:rFonts w:ascii="Arial" w:eastAsia="Arial" w:hAnsi="Arial" w:cs="Arial"/>
          <w:color w:val="000000"/>
          <w:sz w:val="20"/>
          <w:szCs w:val="20"/>
        </w:rPr>
        <w:t xml:space="preserve"> is significantly correlated with the LAC/PYR ratio. The size of the dot in (B) represents the variance between the measured and fitted time courses for pyruvate and lactate used to estimate</w:t>
      </w:r>
      <w:r w:rsidRPr="003707B2">
        <w:rPr>
          <w:rFonts w:ascii="Arial" w:eastAsia="Arial" w:hAnsi="Arial" w:cs="Arial"/>
          <w:i/>
          <w:color w:val="000000"/>
          <w:sz w:val="20"/>
          <w:szCs w:val="20"/>
        </w:rPr>
        <w:t xml:space="preserve"> k</w:t>
      </w:r>
      <w:r w:rsidRPr="003707B2">
        <w:rPr>
          <w:rFonts w:ascii="Arial" w:eastAsia="Arial" w:hAnsi="Arial" w:cs="Arial"/>
          <w:color w:val="000000"/>
          <w:sz w:val="20"/>
          <w:szCs w:val="20"/>
          <w:vertAlign w:val="subscript"/>
        </w:rPr>
        <w:t>PL</w:t>
      </w:r>
      <w:r w:rsidRPr="003707B2">
        <w:rPr>
          <w:rFonts w:ascii="Arial" w:eastAsia="Arial" w:hAnsi="Arial" w:cs="Arial"/>
          <w:color w:val="000000"/>
          <w:sz w:val="20"/>
          <w:szCs w:val="20"/>
        </w:rPr>
        <w:t xml:space="preserve"> (range: 0.012 - 0.66). Tumors with low summed SNR</w:t>
      </w:r>
      <w:r w:rsidRPr="003707B2">
        <w:rPr>
          <w:rFonts w:ascii="Arial" w:eastAsia="Arial" w:hAnsi="Arial" w:cs="Arial"/>
          <w:color w:val="000000"/>
          <w:sz w:val="20"/>
          <w:szCs w:val="20"/>
          <w:vertAlign w:val="subscript"/>
        </w:rPr>
        <w:t>LAC</w:t>
      </w:r>
      <w:r w:rsidRPr="003707B2">
        <w:rPr>
          <w:rFonts w:ascii="Arial" w:eastAsia="Arial" w:hAnsi="Arial" w:cs="Arial"/>
          <w:color w:val="000000"/>
          <w:sz w:val="20"/>
          <w:szCs w:val="20"/>
        </w:rPr>
        <w:t xml:space="preserve"> showed the highest variance in </w:t>
      </w:r>
      <w:r w:rsidRPr="003707B2">
        <w:rPr>
          <w:rFonts w:ascii="Arial" w:eastAsia="Arial" w:hAnsi="Arial" w:cs="Arial"/>
          <w:i/>
          <w:color w:val="000000"/>
          <w:sz w:val="20"/>
          <w:szCs w:val="20"/>
        </w:rPr>
        <w:t>k</w:t>
      </w:r>
      <w:r w:rsidRPr="003707B2">
        <w:rPr>
          <w:rFonts w:ascii="Arial" w:eastAsia="Arial" w:hAnsi="Arial" w:cs="Arial"/>
          <w:color w:val="000000"/>
          <w:sz w:val="20"/>
          <w:szCs w:val="20"/>
          <w:vertAlign w:val="subscript"/>
        </w:rPr>
        <w:t>PL</w:t>
      </w:r>
      <w:r w:rsidRPr="003707B2">
        <w:rPr>
          <w:rFonts w:ascii="Arial" w:eastAsia="Arial" w:hAnsi="Arial" w:cs="Arial"/>
          <w:color w:val="000000"/>
          <w:sz w:val="20"/>
          <w:szCs w:val="20"/>
        </w:rPr>
        <w:t>.</w:t>
      </w:r>
    </w:p>
    <w:p w14:paraId="2C6417B0" w14:textId="77777777" w:rsidR="00CE1E67" w:rsidRPr="003707B2" w:rsidRDefault="00BD41CE">
      <w:pPr>
        <w:rPr>
          <w:rFonts w:ascii="Arial" w:eastAsia="Arial" w:hAnsi="Arial" w:cs="Arial"/>
          <w:sz w:val="20"/>
          <w:szCs w:val="20"/>
        </w:rPr>
      </w:pPr>
      <w:r w:rsidRPr="003707B2">
        <w:rPr>
          <w:rFonts w:ascii="Arial" w:hAnsi="Arial" w:cs="Arial"/>
        </w:rPr>
        <w:br w:type="page"/>
      </w:r>
    </w:p>
    <w:p w14:paraId="16ED9827" w14:textId="77777777" w:rsidR="00CE1E67" w:rsidRPr="003707B2" w:rsidRDefault="00BD41CE">
      <w:pPr>
        <w:pStyle w:val="Heading2"/>
        <w:spacing w:line="480" w:lineRule="auto"/>
        <w:jc w:val="center"/>
        <w:rPr>
          <w:rFonts w:ascii="Arial" w:eastAsia="Times New Roman" w:hAnsi="Arial" w:cs="Arial"/>
          <w:b w:val="0"/>
          <w:sz w:val="22"/>
          <w:szCs w:val="22"/>
          <w:u w:val="single"/>
        </w:rPr>
      </w:pPr>
      <w:r w:rsidRPr="003707B2">
        <w:rPr>
          <w:rFonts w:ascii="Arial" w:eastAsia="Times New Roman" w:hAnsi="Arial" w:cs="Arial"/>
          <w:noProof/>
          <w:sz w:val="22"/>
          <w:szCs w:val="22"/>
          <w:lang w:val="en-GB" w:eastAsia="en-GB"/>
        </w:rPr>
        <w:lastRenderedPageBreak/>
        <w:drawing>
          <wp:inline distT="0" distB="0" distL="0" distR="0" wp14:anchorId="345BADAF" wp14:editId="3C22D0FD">
            <wp:extent cx="2758440" cy="2758440"/>
            <wp:effectExtent l="0" t="0" r="0" b="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2758440" cy="2758440"/>
                    </a:xfrm>
                    <a:prstGeom prst="rect">
                      <a:avLst/>
                    </a:prstGeom>
                    <a:ln/>
                  </pic:spPr>
                </pic:pic>
              </a:graphicData>
            </a:graphic>
          </wp:inline>
        </w:drawing>
      </w:r>
    </w:p>
    <w:p w14:paraId="33F2C225" w14:textId="77777777" w:rsidR="00CE1E67" w:rsidRPr="003707B2" w:rsidRDefault="00BD41CE">
      <w:pPr>
        <w:pBdr>
          <w:top w:val="nil"/>
          <w:left w:val="nil"/>
          <w:bottom w:val="nil"/>
          <w:right w:val="nil"/>
          <w:between w:val="nil"/>
        </w:pBdr>
        <w:spacing w:after="160" w:line="480" w:lineRule="auto"/>
        <w:rPr>
          <w:rFonts w:ascii="Arial" w:eastAsia="Arial" w:hAnsi="Arial" w:cs="Arial"/>
          <w:color w:val="000000"/>
          <w:sz w:val="20"/>
          <w:szCs w:val="20"/>
        </w:rPr>
      </w:pPr>
      <w:r w:rsidRPr="003707B2">
        <w:rPr>
          <w:rFonts w:ascii="Arial" w:eastAsia="Arial" w:hAnsi="Arial" w:cs="Arial"/>
          <w:b/>
          <w:color w:val="000000"/>
          <w:sz w:val="20"/>
          <w:szCs w:val="20"/>
        </w:rPr>
        <w:t>Fig. S3</w:t>
      </w:r>
      <w:r w:rsidRPr="003707B2">
        <w:rPr>
          <w:rFonts w:ascii="Arial" w:eastAsia="Arial" w:hAnsi="Arial" w:cs="Arial"/>
          <w:color w:val="000000"/>
          <w:sz w:val="20"/>
          <w:szCs w:val="20"/>
        </w:rPr>
        <w:t xml:space="preserve"> Relationship between v</w:t>
      </w:r>
      <w:r w:rsidRPr="003707B2">
        <w:rPr>
          <w:rFonts w:ascii="Arial" w:eastAsia="Arial" w:hAnsi="Arial" w:cs="Arial"/>
          <w:i/>
          <w:color w:val="000000"/>
          <w:sz w:val="20"/>
          <w:szCs w:val="20"/>
          <w:vertAlign w:val="subscript"/>
        </w:rPr>
        <w:t>e</w:t>
      </w:r>
      <w:r w:rsidRPr="003707B2">
        <w:rPr>
          <w:rFonts w:ascii="Arial" w:eastAsia="Arial" w:hAnsi="Arial" w:cs="Arial"/>
          <w:i/>
          <w:color w:val="000000"/>
          <w:sz w:val="20"/>
          <w:szCs w:val="20"/>
        </w:rPr>
        <w:t xml:space="preserve"> </w:t>
      </w:r>
      <w:r w:rsidRPr="003707B2">
        <w:rPr>
          <w:rFonts w:ascii="Arial" w:eastAsia="Arial" w:hAnsi="Arial" w:cs="Arial"/>
          <w:color w:val="000000"/>
          <w:sz w:val="20"/>
          <w:szCs w:val="20"/>
        </w:rPr>
        <w:t>and LAC/PYR. v</w:t>
      </w:r>
      <w:r w:rsidRPr="003707B2">
        <w:rPr>
          <w:rFonts w:ascii="Arial" w:eastAsia="Arial" w:hAnsi="Arial" w:cs="Arial"/>
          <w:i/>
          <w:color w:val="000000"/>
          <w:sz w:val="20"/>
          <w:szCs w:val="20"/>
          <w:vertAlign w:val="subscript"/>
        </w:rPr>
        <w:t>e</w:t>
      </w:r>
      <w:r w:rsidRPr="003707B2">
        <w:rPr>
          <w:rFonts w:ascii="Arial" w:eastAsia="Arial" w:hAnsi="Arial" w:cs="Arial"/>
          <w:i/>
          <w:color w:val="000000"/>
          <w:sz w:val="20"/>
          <w:szCs w:val="20"/>
        </w:rPr>
        <w:t xml:space="preserve"> </w:t>
      </w:r>
      <w:r w:rsidRPr="003707B2">
        <w:rPr>
          <w:rFonts w:ascii="Arial" w:eastAsia="Arial" w:hAnsi="Arial" w:cs="Arial"/>
          <w:color w:val="000000"/>
          <w:sz w:val="20"/>
          <w:szCs w:val="20"/>
        </w:rPr>
        <w:t>correlated significantly with LAC/PYR but relied heavily on a single outlier.</w:t>
      </w:r>
    </w:p>
    <w:p w14:paraId="030EE534" w14:textId="77777777" w:rsidR="00CE1E67" w:rsidRPr="003707B2" w:rsidRDefault="00BD41CE">
      <w:pPr>
        <w:rPr>
          <w:rFonts w:ascii="Arial" w:eastAsia="Arial" w:hAnsi="Arial" w:cs="Arial"/>
          <w:sz w:val="20"/>
          <w:szCs w:val="20"/>
        </w:rPr>
      </w:pPr>
      <w:r w:rsidRPr="003707B2">
        <w:rPr>
          <w:rFonts w:ascii="Arial" w:hAnsi="Arial" w:cs="Arial"/>
        </w:rPr>
        <w:br w:type="page"/>
      </w:r>
    </w:p>
    <w:p w14:paraId="4C103352" w14:textId="68DABF8A" w:rsidR="001E47E5" w:rsidRPr="003707B2" w:rsidRDefault="001E47E5">
      <w:pPr>
        <w:keepNext/>
        <w:spacing w:line="480" w:lineRule="auto"/>
        <w:rPr>
          <w:rFonts w:ascii="Arial" w:hAnsi="Arial" w:cs="Arial"/>
        </w:rPr>
      </w:pPr>
      <w:r w:rsidRPr="003707B2">
        <w:rPr>
          <w:rFonts w:ascii="Arial" w:hAnsi="Arial" w:cs="Arial"/>
          <w:noProof/>
          <w:lang w:val="en-GB" w:eastAsia="en-GB"/>
        </w:rPr>
        <w:lastRenderedPageBreak/>
        <w:drawing>
          <wp:inline distT="0" distB="0" distL="0" distR="0" wp14:anchorId="2AF2FBE8" wp14:editId="3518284A">
            <wp:extent cx="5486400" cy="5226685"/>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S4_20191106.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486400" cy="5226685"/>
                    </a:xfrm>
                    <a:prstGeom prst="rect">
                      <a:avLst/>
                    </a:prstGeom>
                  </pic:spPr>
                </pic:pic>
              </a:graphicData>
            </a:graphic>
          </wp:inline>
        </w:drawing>
      </w:r>
    </w:p>
    <w:p w14:paraId="4D7AF6F5" w14:textId="48470EE1" w:rsidR="00FF0064" w:rsidRPr="003707B2" w:rsidRDefault="00BD41CE">
      <w:pPr>
        <w:keepNext/>
        <w:spacing w:line="480" w:lineRule="auto"/>
        <w:rPr>
          <w:rFonts w:ascii="Arial" w:eastAsia="Calibri" w:hAnsi="Arial" w:cs="Arial"/>
          <w:sz w:val="20"/>
          <w:szCs w:val="20"/>
        </w:rPr>
      </w:pPr>
      <w:r w:rsidRPr="003707B2">
        <w:rPr>
          <w:rFonts w:ascii="Arial" w:eastAsia="Calibri" w:hAnsi="Arial" w:cs="Arial"/>
          <w:b/>
          <w:sz w:val="20"/>
          <w:szCs w:val="20"/>
        </w:rPr>
        <w:t xml:space="preserve">Figure S4. Relationship between hyperpolarized </w:t>
      </w:r>
      <w:r w:rsidRPr="003707B2">
        <w:rPr>
          <w:rFonts w:ascii="Arial" w:eastAsia="Calibri" w:hAnsi="Arial" w:cs="Arial"/>
          <w:b/>
          <w:sz w:val="20"/>
          <w:szCs w:val="20"/>
          <w:vertAlign w:val="superscript"/>
        </w:rPr>
        <w:t>13</w:t>
      </w:r>
      <w:r w:rsidRPr="003707B2">
        <w:rPr>
          <w:rFonts w:ascii="Arial" w:eastAsia="Calibri" w:hAnsi="Arial" w:cs="Arial"/>
          <w:b/>
          <w:sz w:val="20"/>
          <w:szCs w:val="20"/>
        </w:rPr>
        <w:t>C-MRI data (LAC/PYR ratio and summed SNR</w:t>
      </w:r>
      <w:r w:rsidRPr="003707B2">
        <w:rPr>
          <w:rFonts w:ascii="Arial" w:eastAsia="Calibri" w:hAnsi="Arial" w:cs="Arial"/>
          <w:b/>
          <w:sz w:val="20"/>
          <w:szCs w:val="20"/>
          <w:vertAlign w:val="subscript"/>
        </w:rPr>
        <w:t>LAC</w:t>
      </w:r>
      <w:r w:rsidRPr="003707B2">
        <w:rPr>
          <w:rFonts w:ascii="Arial" w:eastAsia="Calibri" w:hAnsi="Arial" w:cs="Arial"/>
          <w:b/>
          <w:sz w:val="20"/>
          <w:szCs w:val="20"/>
        </w:rPr>
        <w:t xml:space="preserve">) and expression of </w:t>
      </w:r>
      <w:r w:rsidR="00FF1F72" w:rsidRPr="003707B2">
        <w:rPr>
          <w:rFonts w:ascii="Arial" w:eastAsia="Calibri" w:hAnsi="Arial" w:cs="Arial"/>
          <w:b/>
          <w:sz w:val="20"/>
          <w:szCs w:val="20"/>
        </w:rPr>
        <w:t xml:space="preserve">the </w:t>
      </w:r>
      <w:r w:rsidR="00FF1F72" w:rsidRPr="003707B2">
        <w:rPr>
          <w:rFonts w:ascii="Arial" w:hAnsi="Arial" w:cs="Arial"/>
          <w:b/>
          <w:sz w:val="20"/>
          <w:szCs w:val="20"/>
        </w:rPr>
        <w:t xml:space="preserve">monocarboxylate transporter4 (MCT4) and lactate dehydrogenase A (LDHA). </w:t>
      </w:r>
      <w:r w:rsidR="00FF0064" w:rsidRPr="003707B2">
        <w:rPr>
          <w:rFonts w:ascii="Arial" w:hAnsi="Arial" w:cs="Arial"/>
          <w:sz w:val="20"/>
          <w:szCs w:val="20"/>
        </w:rPr>
        <w:t xml:space="preserve">Correlation of </w:t>
      </w:r>
      <w:r w:rsidR="003748E9" w:rsidRPr="003707B2">
        <w:rPr>
          <w:rFonts w:ascii="Arial" w:hAnsi="Arial" w:cs="Arial"/>
          <w:sz w:val="20"/>
          <w:szCs w:val="20"/>
        </w:rPr>
        <w:t xml:space="preserve">the </w:t>
      </w:r>
      <w:r w:rsidR="00FF0064" w:rsidRPr="003707B2">
        <w:rPr>
          <w:rFonts w:ascii="Arial" w:hAnsi="Arial" w:cs="Arial"/>
          <w:sz w:val="20"/>
          <w:szCs w:val="20"/>
        </w:rPr>
        <w:t>LAC/PYR ratio and summed SNR</w:t>
      </w:r>
      <w:r w:rsidR="00FF0064" w:rsidRPr="003707B2">
        <w:rPr>
          <w:rFonts w:ascii="Arial" w:hAnsi="Arial" w:cs="Arial"/>
          <w:sz w:val="20"/>
          <w:szCs w:val="20"/>
          <w:vertAlign w:val="subscript"/>
        </w:rPr>
        <w:t>LAC</w:t>
      </w:r>
      <w:r w:rsidR="00FF0064" w:rsidRPr="003707B2">
        <w:rPr>
          <w:rFonts w:ascii="Arial" w:hAnsi="Arial" w:cs="Arial"/>
          <w:sz w:val="20"/>
          <w:szCs w:val="20"/>
        </w:rPr>
        <w:t xml:space="preserve"> with</w:t>
      </w:r>
      <w:r w:rsidR="00FF0064" w:rsidRPr="003707B2">
        <w:rPr>
          <w:rFonts w:ascii="Arial" w:eastAsia="Calibri" w:hAnsi="Arial" w:cs="Arial"/>
          <w:sz w:val="20"/>
          <w:szCs w:val="20"/>
        </w:rPr>
        <w:t xml:space="preserve"> expression of </w:t>
      </w:r>
      <w:r w:rsidR="003748E9" w:rsidRPr="003707B2">
        <w:rPr>
          <w:rFonts w:ascii="Arial" w:eastAsia="Calibri" w:hAnsi="Arial" w:cs="Arial"/>
          <w:sz w:val="20"/>
          <w:szCs w:val="20"/>
        </w:rPr>
        <w:t>MCT</w:t>
      </w:r>
      <w:r w:rsidR="004207F2" w:rsidRPr="003707B2">
        <w:rPr>
          <w:rFonts w:ascii="Arial" w:eastAsia="Calibri" w:hAnsi="Arial" w:cs="Arial"/>
          <w:sz w:val="20"/>
          <w:szCs w:val="20"/>
        </w:rPr>
        <w:t xml:space="preserve">4 </w:t>
      </w:r>
      <w:r w:rsidRPr="003707B2">
        <w:rPr>
          <w:rFonts w:ascii="Arial" w:eastAsia="Calibri" w:hAnsi="Arial" w:cs="Arial"/>
          <w:sz w:val="20"/>
          <w:szCs w:val="20"/>
        </w:rPr>
        <w:t>assessed by immunohistochemistry and RNA sequencing (A-D)</w:t>
      </w:r>
      <w:r w:rsidR="00FF0064" w:rsidRPr="003707B2">
        <w:rPr>
          <w:rFonts w:ascii="Arial" w:eastAsia="Calibri" w:hAnsi="Arial" w:cs="Arial"/>
          <w:sz w:val="20"/>
          <w:szCs w:val="20"/>
        </w:rPr>
        <w:t xml:space="preserve">. </w:t>
      </w:r>
      <w:r w:rsidR="00FF0064" w:rsidRPr="003707B2">
        <w:rPr>
          <w:rFonts w:ascii="Arial" w:hAnsi="Arial" w:cs="Arial"/>
          <w:sz w:val="20"/>
          <w:szCs w:val="20"/>
        </w:rPr>
        <w:t>Correlation of</w:t>
      </w:r>
      <w:r w:rsidR="003748E9" w:rsidRPr="003707B2">
        <w:rPr>
          <w:rFonts w:ascii="Arial" w:hAnsi="Arial" w:cs="Arial"/>
          <w:sz w:val="20"/>
          <w:szCs w:val="20"/>
        </w:rPr>
        <w:t xml:space="preserve"> the </w:t>
      </w:r>
      <w:r w:rsidR="00FF0064" w:rsidRPr="003707B2">
        <w:rPr>
          <w:rFonts w:ascii="Arial" w:hAnsi="Arial" w:cs="Arial"/>
          <w:sz w:val="20"/>
          <w:szCs w:val="20"/>
        </w:rPr>
        <w:t>LAC/PYR ratio and summed SNR</w:t>
      </w:r>
      <w:r w:rsidR="00FF0064" w:rsidRPr="003707B2">
        <w:rPr>
          <w:rFonts w:ascii="Arial" w:hAnsi="Arial" w:cs="Arial"/>
          <w:sz w:val="20"/>
          <w:szCs w:val="20"/>
          <w:vertAlign w:val="subscript"/>
        </w:rPr>
        <w:t>LAC</w:t>
      </w:r>
      <w:r w:rsidR="00FF0064" w:rsidRPr="003707B2">
        <w:rPr>
          <w:rFonts w:ascii="Arial" w:hAnsi="Arial" w:cs="Arial"/>
          <w:sz w:val="20"/>
          <w:szCs w:val="20"/>
        </w:rPr>
        <w:t xml:space="preserve"> with</w:t>
      </w:r>
      <w:r w:rsidR="00FF0064" w:rsidRPr="003707B2">
        <w:rPr>
          <w:rFonts w:ascii="Arial" w:eastAsia="Calibri" w:hAnsi="Arial" w:cs="Arial"/>
          <w:sz w:val="20"/>
          <w:szCs w:val="20"/>
        </w:rPr>
        <w:t xml:space="preserve"> expression of LDHA </w:t>
      </w:r>
      <w:r w:rsidR="00AA1094" w:rsidRPr="003707B2">
        <w:rPr>
          <w:rFonts w:ascii="Arial" w:eastAsia="Calibri" w:hAnsi="Arial" w:cs="Arial"/>
          <w:sz w:val="20"/>
          <w:szCs w:val="20"/>
        </w:rPr>
        <w:t xml:space="preserve">determined by RNA sequencing </w:t>
      </w:r>
      <w:r w:rsidR="00FF0064" w:rsidRPr="003707B2">
        <w:rPr>
          <w:rFonts w:ascii="Arial" w:eastAsia="Calibri" w:hAnsi="Arial" w:cs="Arial"/>
          <w:sz w:val="20"/>
          <w:szCs w:val="20"/>
        </w:rPr>
        <w:t>(E-F).</w:t>
      </w:r>
    </w:p>
    <w:p w14:paraId="70CCAF1A" w14:textId="77777777" w:rsidR="00CE1E67" w:rsidRPr="003707B2" w:rsidRDefault="00BD41CE">
      <w:pPr>
        <w:rPr>
          <w:rFonts w:ascii="Arial" w:eastAsia="Calibri" w:hAnsi="Arial" w:cs="Arial"/>
          <w:sz w:val="22"/>
          <w:szCs w:val="22"/>
        </w:rPr>
      </w:pPr>
      <w:r w:rsidRPr="003707B2">
        <w:rPr>
          <w:rFonts w:ascii="Arial" w:hAnsi="Arial" w:cs="Arial"/>
        </w:rPr>
        <w:br w:type="page"/>
      </w:r>
    </w:p>
    <w:p w14:paraId="77665ECB"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b/>
          <w:sz w:val="20"/>
          <w:szCs w:val="20"/>
        </w:rPr>
        <w:lastRenderedPageBreak/>
        <w:t>Table S1</w:t>
      </w:r>
      <w:r w:rsidRPr="003707B2">
        <w:rPr>
          <w:rFonts w:ascii="Arial" w:eastAsia="Arial" w:hAnsi="Arial" w:cs="Arial"/>
          <w:sz w:val="20"/>
          <w:szCs w:val="20"/>
        </w:rPr>
        <w:t xml:space="preserve"> Sequence parameters for IDEAL spiral CSI.</w:t>
      </w:r>
    </w:p>
    <w:tbl>
      <w:tblPr>
        <w:tblStyle w:val="a"/>
        <w:tblW w:w="6516" w:type="dxa"/>
        <w:tblLayout w:type="fixed"/>
        <w:tblLook w:val="0400" w:firstRow="0" w:lastRow="0" w:firstColumn="0" w:lastColumn="0" w:noHBand="0" w:noVBand="1"/>
      </w:tblPr>
      <w:tblGrid>
        <w:gridCol w:w="3256"/>
        <w:gridCol w:w="3260"/>
      </w:tblGrid>
      <w:tr w:rsidR="00CE1E67" w:rsidRPr="003707B2" w14:paraId="5CF8E48A" w14:textId="77777777">
        <w:trPr>
          <w:trHeight w:val="280"/>
        </w:trPr>
        <w:tc>
          <w:tcPr>
            <w:tcW w:w="3256" w:type="dxa"/>
            <w:tcBorders>
              <w:top w:val="single" w:sz="4" w:space="0" w:color="000000"/>
              <w:left w:val="single" w:sz="4" w:space="0" w:color="000000"/>
              <w:bottom w:val="nil"/>
              <w:right w:val="single" w:sz="4" w:space="0" w:color="000000"/>
            </w:tcBorders>
            <w:shd w:val="clear" w:color="auto" w:fill="auto"/>
          </w:tcPr>
          <w:p w14:paraId="2D4F96BF"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Temporal resolution</w:t>
            </w:r>
          </w:p>
        </w:tc>
        <w:tc>
          <w:tcPr>
            <w:tcW w:w="3260" w:type="dxa"/>
            <w:tcBorders>
              <w:top w:val="single" w:sz="4" w:space="0" w:color="000000"/>
              <w:left w:val="single" w:sz="4" w:space="0" w:color="000000"/>
              <w:bottom w:val="nil"/>
              <w:right w:val="single" w:sz="4" w:space="0" w:color="000000"/>
            </w:tcBorders>
            <w:shd w:val="clear" w:color="auto" w:fill="auto"/>
            <w:vAlign w:val="bottom"/>
          </w:tcPr>
          <w:p w14:paraId="6156E0BF"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2-4 s (2 s in one patient, 4 s in the remaining six patients)</w:t>
            </w:r>
          </w:p>
        </w:tc>
      </w:tr>
      <w:tr w:rsidR="00CE1E67" w:rsidRPr="003707B2" w14:paraId="4590185A" w14:textId="77777777">
        <w:trPr>
          <w:trHeight w:val="280"/>
        </w:trPr>
        <w:tc>
          <w:tcPr>
            <w:tcW w:w="3256" w:type="dxa"/>
            <w:tcBorders>
              <w:top w:val="nil"/>
              <w:left w:val="single" w:sz="4" w:space="0" w:color="000000"/>
              <w:bottom w:val="nil"/>
              <w:right w:val="single" w:sz="4" w:space="0" w:color="000000"/>
            </w:tcBorders>
            <w:shd w:val="clear" w:color="auto" w:fill="auto"/>
            <w:vAlign w:val="bottom"/>
          </w:tcPr>
          <w:p w14:paraId="53646437"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Repetition time (TR)</w:t>
            </w:r>
          </w:p>
        </w:tc>
        <w:tc>
          <w:tcPr>
            <w:tcW w:w="3260" w:type="dxa"/>
            <w:tcBorders>
              <w:top w:val="nil"/>
              <w:left w:val="single" w:sz="4" w:space="0" w:color="000000"/>
              <w:bottom w:val="nil"/>
              <w:right w:val="single" w:sz="4" w:space="0" w:color="000000"/>
            </w:tcBorders>
            <w:shd w:val="clear" w:color="auto" w:fill="auto"/>
            <w:vAlign w:val="bottom"/>
          </w:tcPr>
          <w:p w14:paraId="4D6562E7"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0.26-0.5 s</w:t>
            </w:r>
          </w:p>
        </w:tc>
      </w:tr>
      <w:tr w:rsidR="00CE1E67" w:rsidRPr="003707B2" w14:paraId="1CFEB63C" w14:textId="77777777">
        <w:trPr>
          <w:trHeight w:val="280"/>
        </w:trPr>
        <w:tc>
          <w:tcPr>
            <w:tcW w:w="3256" w:type="dxa"/>
            <w:tcBorders>
              <w:top w:val="nil"/>
              <w:left w:val="single" w:sz="4" w:space="0" w:color="000000"/>
              <w:bottom w:val="nil"/>
              <w:right w:val="single" w:sz="4" w:space="0" w:color="000000"/>
            </w:tcBorders>
            <w:shd w:val="clear" w:color="auto" w:fill="auto"/>
            <w:vAlign w:val="bottom"/>
          </w:tcPr>
          <w:p w14:paraId="440305C5"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Nominal flip angle (FA)</w:t>
            </w:r>
          </w:p>
        </w:tc>
        <w:tc>
          <w:tcPr>
            <w:tcW w:w="3260" w:type="dxa"/>
            <w:tcBorders>
              <w:top w:val="nil"/>
              <w:left w:val="single" w:sz="4" w:space="0" w:color="000000"/>
              <w:bottom w:val="nil"/>
              <w:right w:val="single" w:sz="4" w:space="0" w:color="000000"/>
            </w:tcBorders>
            <w:shd w:val="clear" w:color="auto" w:fill="auto"/>
            <w:vAlign w:val="bottom"/>
          </w:tcPr>
          <w:p w14:paraId="43011E93"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10-15°</w:t>
            </w:r>
          </w:p>
        </w:tc>
      </w:tr>
      <w:tr w:rsidR="00CE1E67" w:rsidRPr="003707B2" w14:paraId="263E71EF" w14:textId="77777777">
        <w:trPr>
          <w:trHeight w:val="280"/>
        </w:trPr>
        <w:tc>
          <w:tcPr>
            <w:tcW w:w="3256" w:type="dxa"/>
            <w:tcBorders>
              <w:top w:val="nil"/>
              <w:left w:val="single" w:sz="4" w:space="0" w:color="000000"/>
              <w:bottom w:val="nil"/>
              <w:right w:val="single" w:sz="4" w:space="0" w:color="000000"/>
            </w:tcBorders>
            <w:shd w:val="clear" w:color="auto" w:fill="auto"/>
            <w:vAlign w:val="bottom"/>
          </w:tcPr>
          <w:p w14:paraId="72A1E48D"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Acquisition matrix</w:t>
            </w:r>
          </w:p>
        </w:tc>
        <w:tc>
          <w:tcPr>
            <w:tcW w:w="3260" w:type="dxa"/>
            <w:tcBorders>
              <w:top w:val="nil"/>
              <w:left w:val="single" w:sz="4" w:space="0" w:color="000000"/>
              <w:bottom w:val="nil"/>
              <w:right w:val="single" w:sz="4" w:space="0" w:color="000000"/>
            </w:tcBorders>
            <w:shd w:val="clear" w:color="auto" w:fill="auto"/>
            <w:vAlign w:val="bottom"/>
          </w:tcPr>
          <w:p w14:paraId="47C9DD5F"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40x40</w:t>
            </w:r>
          </w:p>
        </w:tc>
      </w:tr>
      <w:tr w:rsidR="00CE1E67" w:rsidRPr="003707B2" w14:paraId="50FF1AA5" w14:textId="77777777">
        <w:trPr>
          <w:trHeight w:val="280"/>
        </w:trPr>
        <w:tc>
          <w:tcPr>
            <w:tcW w:w="3256" w:type="dxa"/>
            <w:tcBorders>
              <w:top w:val="nil"/>
              <w:left w:val="single" w:sz="4" w:space="0" w:color="000000"/>
              <w:bottom w:val="nil"/>
              <w:right w:val="single" w:sz="4" w:space="0" w:color="000000"/>
            </w:tcBorders>
            <w:shd w:val="clear" w:color="auto" w:fill="auto"/>
            <w:vAlign w:val="bottom"/>
          </w:tcPr>
          <w:p w14:paraId="44A5B14B"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Field of view (FOV)</w:t>
            </w:r>
          </w:p>
        </w:tc>
        <w:tc>
          <w:tcPr>
            <w:tcW w:w="3260" w:type="dxa"/>
            <w:tcBorders>
              <w:top w:val="nil"/>
              <w:left w:val="single" w:sz="4" w:space="0" w:color="000000"/>
              <w:bottom w:val="nil"/>
              <w:right w:val="single" w:sz="4" w:space="0" w:color="000000"/>
            </w:tcBorders>
            <w:shd w:val="clear" w:color="auto" w:fill="auto"/>
            <w:vAlign w:val="bottom"/>
          </w:tcPr>
          <w:p w14:paraId="238F716D"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200-240 mm</w:t>
            </w:r>
          </w:p>
        </w:tc>
      </w:tr>
      <w:tr w:rsidR="00CE1E67" w:rsidRPr="003707B2" w14:paraId="133F9E58" w14:textId="77777777">
        <w:trPr>
          <w:trHeight w:val="280"/>
        </w:trPr>
        <w:tc>
          <w:tcPr>
            <w:tcW w:w="3256" w:type="dxa"/>
            <w:tcBorders>
              <w:top w:val="nil"/>
              <w:left w:val="single" w:sz="4" w:space="0" w:color="000000"/>
              <w:bottom w:val="nil"/>
              <w:right w:val="single" w:sz="4" w:space="0" w:color="000000"/>
            </w:tcBorders>
            <w:shd w:val="clear" w:color="auto" w:fill="auto"/>
            <w:vAlign w:val="bottom"/>
          </w:tcPr>
          <w:p w14:paraId="65AE00AF"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Nominal in-plane voxel size</w:t>
            </w:r>
          </w:p>
        </w:tc>
        <w:tc>
          <w:tcPr>
            <w:tcW w:w="3260" w:type="dxa"/>
            <w:tcBorders>
              <w:top w:val="nil"/>
              <w:left w:val="single" w:sz="4" w:space="0" w:color="000000"/>
              <w:bottom w:val="nil"/>
              <w:right w:val="single" w:sz="4" w:space="0" w:color="000000"/>
            </w:tcBorders>
            <w:shd w:val="clear" w:color="auto" w:fill="auto"/>
            <w:vAlign w:val="bottom"/>
          </w:tcPr>
          <w:p w14:paraId="5F5D241F"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5 x 5 – 6 x 6 mm²</w:t>
            </w:r>
          </w:p>
        </w:tc>
      </w:tr>
      <w:tr w:rsidR="00CE1E67" w:rsidRPr="003707B2" w14:paraId="467C6986" w14:textId="77777777">
        <w:trPr>
          <w:trHeight w:val="280"/>
        </w:trPr>
        <w:tc>
          <w:tcPr>
            <w:tcW w:w="3256" w:type="dxa"/>
            <w:tcBorders>
              <w:top w:val="nil"/>
              <w:left w:val="single" w:sz="4" w:space="0" w:color="000000"/>
              <w:bottom w:val="nil"/>
              <w:right w:val="single" w:sz="4" w:space="0" w:color="000000"/>
            </w:tcBorders>
            <w:shd w:val="clear" w:color="auto" w:fill="auto"/>
            <w:vAlign w:val="bottom"/>
          </w:tcPr>
          <w:p w14:paraId="0AAA4AB9"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Reconstructed in-plane voxel size</w:t>
            </w:r>
          </w:p>
        </w:tc>
        <w:tc>
          <w:tcPr>
            <w:tcW w:w="3260" w:type="dxa"/>
            <w:tcBorders>
              <w:top w:val="nil"/>
              <w:left w:val="single" w:sz="4" w:space="0" w:color="000000"/>
              <w:bottom w:val="nil"/>
              <w:right w:val="single" w:sz="4" w:space="0" w:color="000000"/>
            </w:tcBorders>
            <w:shd w:val="clear" w:color="auto" w:fill="auto"/>
            <w:vAlign w:val="bottom"/>
          </w:tcPr>
          <w:p w14:paraId="420149E3"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1.563 x 1.563 -1.875 x 1.875 mm²</w:t>
            </w:r>
          </w:p>
        </w:tc>
      </w:tr>
      <w:tr w:rsidR="00CE1E67" w:rsidRPr="003707B2" w14:paraId="77381CF3" w14:textId="77777777">
        <w:trPr>
          <w:trHeight w:val="280"/>
        </w:trPr>
        <w:tc>
          <w:tcPr>
            <w:tcW w:w="3256" w:type="dxa"/>
            <w:tcBorders>
              <w:top w:val="nil"/>
              <w:left w:val="single" w:sz="4" w:space="0" w:color="000000"/>
              <w:bottom w:val="nil"/>
              <w:right w:val="single" w:sz="4" w:space="0" w:color="000000"/>
            </w:tcBorders>
            <w:shd w:val="clear" w:color="auto" w:fill="auto"/>
            <w:vAlign w:val="bottom"/>
          </w:tcPr>
          <w:p w14:paraId="2DE90E46"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Slice thickness</w:t>
            </w:r>
          </w:p>
        </w:tc>
        <w:tc>
          <w:tcPr>
            <w:tcW w:w="3260" w:type="dxa"/>
            <w:tcBorders>
              <w:top w:val="nil"/>
              <w:left w:val="single" w:sz="4" w:space="0" w:color="000000"/>
              <w:bottom w:val="nil"/>
              <w:right w:val="single" w:sz="4" w:space="0" w:color="000000"/>
            </w:tcBorders>
            <w:shd w:val="clear" w:color="auto" w:fill="auto"/>
            <w:vAlign w:val="bottom"/>
          </w:tcPr>
          <w:p w14:paraId="60D5700A"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30 mm</w:t>
            </w:r>
          </w:p>
        </w:tc>
      </w:tr>
      <w:tr w:rsidR="00CE1E67" w:rsidRPr="003707B2" w14:paraId="45EE276D" w14:textId="77777777">
        <w:trPr>
          <w:trHeight w:val="280"/>
        </w:trPr>
        <w:tc>
          <w:tcPr>
            <w:tcW w:w="3256" w:type="dxa"/>
            <w:tcBorders>
              <w:top w:val="nil"/>
              <w:left w:val="single" w:sz="4" w:space="0" w:color="000000"/>
              <w:bottom w:val="nil"/>
              <w:right w:val="single" w:sz="4" w:space="0" w:color="000000"/>
            </w:tcBorders>
            <w:shd w:val="clear" w:color="auto" w:fill="auto"/>
            <w:vAlign w:val="bottom"/>
          </w:tcPr>
          <w:p w14:paraId="3EBB9701"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Echo Times (TE)</w:t>
            </w:r>
          </w:p>
        </w:tc>
        <w:tc>
          <w:tcPr>
            <w:tcW w:w="3260" w:type="dxa"/>
            <w:tcBorders>
              <w:top w:val="nil"/>
              <w:left w:val="single" w:sz="4" w:space="0" w:color="000000"/>
              <w:bottom w:val="nil"/>
              <w:right w:val="single" w:sz="4" w:space="0" w:color="000000"/>
            </w:tcBorders>
            <w:shd w:val="clear" w:color="auto" w:fill="auto"/>
            <w:vAlign w:val="bottom"/>
          </w:tcPr>
          <w:p w14:paraId="3D9CDD9A"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1.5, 2.7, 3.8, 4.9, 6.0, 7.2, 8.3 ms</w:t>
            </w:r>
          </w:p>
        </w:tc>
      </w:tr>
      <w:tr w:rsidR="00CE1E67" w:rsidRPr="003707B2" w14:paraId="3E301BF6" w14:textId="77777777">
        <w:trPr>
          <w:trHeight w:val="280"/>
        </w:trPr>
        <w:tc>
          <w:tcPr>
            <w:tcW w:w="3256" w:type="dxa"/>
            <w:tcBorders>
              <w:top w:val="nil"/>
              <w:left w:val="single" w:sz="4" w:space="0" w:color="000000"/>
              <w:right w:val="single" w:sz="4" w:space="0" w:color="000000"/>
            </w:tcBorders>
            <w:shd w:val="clear" w:color="auto" w:fill="auto"/>
            <w:vAlign w:val="bottom"/>
          </w:tcPr>
          <w:p w14:paraId="5C6B4934"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RF pulse bandwidth</w:t>
            </w:r>
          </w:p>
        </w:tc>
        <w:tc>
          <w:tcPr>
            <w:tcW w:w="3260" w:type="dxa"/>
            <w:tcBorders>
              <w:top w:val="nil"/>
              <w:left w:val="single" w:sz="4" w:space="0" w:color="000000"/>
              <w:right w:val="single" w:sz="4" w:space="0" w:color="000000"/>
            </w:tcBorders>
            <w:shd w:val="clear" w:color="auto" w:fill="auto"/>
            <w:vAlign w:val="bottom"/>
          </w:tcPr>
          <w:p w14:paraId="1AE42A1B"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2289 Hz</w:t>
            </w:r>
          </w:p>
        </w:tc>
      </w:tr>
      <w:tr w:rsidR="00CE1E67" w:rsidRPr="003707B2" w14:paraId="4791CC48" w14:textId="77777777">
        <w:trPr>
          <w:trHeight w:val="280"/>
        </w:trPr>
        <w:tc>
          <w:tcPr>
            <w:tcW w:w="3256" w:type="dxa"/>
            <w:tcBorders>
              <w:top w:val="nil"/>
              <w:left w:val="single" w:sz="4" w:space="0" w:color="000000"/>
              <w:bottom w:val="single" w:sz="4" w:space="0" w:color="000000"/>
              <w:right w:val="single" w:sz="4" w:space="0" w:color="000000"/>
            </w:tcBorders>
            <w:shd w:val="clear" w:color="auto" w:fill="auto"/>
          </w:tcPr>
          <w:p w14:paraId="56AD7126"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Acquisition bandwidth</w:t>
            </w:r>
          </w:p>
          <w:p w14:paraId="56DAB544"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Total imaging time</w:t>
            </w:r>
          </w:p>
        </w:tc>
        <w:tc>
          <w:tcPr>
            <w:tcW w:w="3260" w:type="dxa"/>
            <w:tcBorders>
              <w:top w:val="nil"/>
              <w:left w:val="single" w:sz="4" w:space="0" w:color="000000"/>
              <w:bottom w:val="single" w:sz="4" w:space="0" w:color="000000"/>
              <w:right w:val="single" w:sz="4" w:space="0" w:color="000000"/>
            </w:tcBorders>
            <w:shd w:val="clear" w:color="auto" w:fill="auto"/>
          </w:tcPr>
          <w:p w14:paraId="1F68D237"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62500 Hz</w:t>
            </w:r>
          </w:p>
          <w:p w14:paraId="135539A9" w14:textId="77777777" w:rsidR="00CE1E67" w:rsidRPr="003707B2" w:rsidRDefault="00BD41CE">
            <w:pPr>
              <w:spacing w:line="480" w:lineRule="auto"/>
              <w:rPr>
                <w:rFonts w:ascii="Arial" w:eastAsia="Arial" w:hAnsi="Arial" w:cs="Arial"/>
                <w:sz w:val="20"/>
                <w:szCs w:val="20"/>
              </w:rPr>
            </w:pPr>
            <w:r w:rsidRPr="003707B2">
              <w:rPr>
                <w:rFonts w:ascii="Arial" w:eastAsia="Arial" w:hAnsi="Arial" w:cs="Arial"/>
                <w:sz w:val="20"/>
                <w:szCs w:val="20"/>
              </w:rPr>
              <w:t>60 s</w:t>
            </w:r>
          </w:p>
        </w:tc>
      </w:tr>
    </w:tbl>
    <w:p w14:paraId="3F56AF5D" w14:textId="77777777" w:rsidR="00CE1E67" w:rsidRPr="003707B2" w:rsidRDefault="00CE1E67">
      <w:pPr>
        <w:pBdr>
          <w:top w:val="nil"/>
          <w:left w:val="nil"/>
          <w:bottom w:val="nil"/>
          <w:right w:val="nil"/>
          <w:between w:val="nil"/>
        </w:pBdr>
        <w:rPr>
          <w:rFonts w:ascii="Arial" w:eastAsia="Arial" w:hAnsi="Arial" w:cs="Arial"/>
          <w:color w:val="000000"/>
          <w:sz w:val="20"/>
          <w:szCs w:val="20"/>
        </w:rPr>
      </w:pPr>
    </w:p>
    <w:p w14:paraId="7B924804" w14:textId="77777777" w:rsidR="00CE1E67" w:rsidRPr="003707B2" w:rsidRDefault="00BD41CE">
      <w:pPr>
        <w:rPr>
          <w:rFonts w:ascii="Arial" w:eastAsia="Arial" w:hAnsi="Arial" w:cs="Arial"/>
          <w:sz w:val="20"/>
          <w:szCs w:val="20"/>
        </w:rPr>
      </w:pPr>
      <w:r w:rsidRPr="003707B2">
        <w:rPr>
          <w:rFonts w:ascii="Arial" w:hAnsi="Arial" w:cs="Arial"/>
        </w:rPr>
        <w:br w:type="page"/>
      </w:r>
    </w:p>
    <w:p w14:paraId="35E1BB5D" w14:textId="77777777" w:rsidR="00CE1E67" w:rsidRPr="003707B2" w:rsidRDefault="00BD41CE">
      <w:pPr>
        <w:rPr>
          <w:rFonts w:ascii="Arial" w:eastAsia="Calibri" w:hAnsi="Arial" w:cs="Arial"/>
          <w:b/>
          <w:sz w:val="22"/>
          <w:szCs w:val="22"/>
        </w:rPr>
      </w:pPr>
      <w:r w:rsidRPr="003707B2">
        <w:rPr>
          <w:rFonts w:ascii="Arial" w:eastAsia="Calibri" w:hAnsi="Arial" w:cs="Arial"/>
          <w:b/>
          <w:sz w:val="22"/>
          <w:szCs w:val="22"/>
        </w:rPr>
        <w:lastRenderedPageBreak/>
        <w:t>Table S2 Patient characteristics</w:t>
      </w:r>
    </w:p>
    <w:p w14:paraId="2FDDA6A5" w14:textId="77777777" w:rsidR="00CE1E67" w:rsidRPr="003707B2" w:rsidRDefault="00CE1E67">
      <w:pPr>
        <w:rPr>
          <w:rFonts w:ascii="Arial" w:eastAsia="Calibri" w:hAnsi="Arial" w:cs="Arial"/>
          <w:sz w:val="22"/>
          <w:szCs w:val="22"/>
        </w:rPr>
      </w:pPr>
    </w:p>
    <w:tbl>
      <w:tblPr>
        <w:tblStyle w:val="a0"/>
        <w:tblW w:w="9746" w:type="dxa"/>
        <w:tblBorders>
          <w:top w:val="single" w:sz="4" w:space="0" w:color="000000"/>
          <w:left w:val="single" w:sz="4" w:space="0" w:color="000000"/>
          <w:bottom w:val="single" w:sz="4" w:space="0" w:color="000000"/>
          <w:right w:val="single" w:sz="4" w:space="0" w:color="000000"/>
        </w:tblBorders>
        <w:tblLayout w:type="fixed"/>
        <w:tblLook w:val="0400" w:firstRow="0" w:lastRow="0" w:firstColumn="0" w:lastColumn="0" w:noHBand="0" w:noVBand="1"/>
      </w:tblPr>
      <w:tblGrid>
        <w:gridCol w:w="2694"/>
        <w:gridCol w:w="562"/>
        <w:gridCol w:w="708"/>
        <w:gridCol w:w="2096"/>
        <w:gridCol w:w="1981"/>
        <w:gridCol w:w="1705"/>
      </w:tblGrid>
      <w:tr w:rsidR="00CE1E67" w:rsidRPr="003707B2" w14:paraId="446794FC" w14:textId="77777777" w:rsidTr="001C72FB">
        <w:trPr>
          <w:trHeight w:val="560"/>
        </w:trPr>
        <w:tc>
          <w:tcPr>
            <w:tcW w:w="2694" w:type="dxa"/>
            <w:shd w:val="clear" w:color="auto" w:fill="auto"/>
          </w:tcPr>
          <w:p w14:paraId="654EC2D5" w14:textId="77777777" w:rsidR="00CE1E67" w:rsidRPr="003707B2" w:rsidRDefault="00BD41CE">
            <w:pPr>
              <w:rPr>
                <w:rFonts w:ascii="Arial" w:eastAsia="Calibri" w:hAnsi="Arial" w:cs="Arial"/>
                <w:b/>
                <w:color w:val="000000"/>
                <w:sz w:val="22"/>
                <w:szCs w:val="22"/>
              </w:rPr>
            </w:pPr>
            <w:r w:rsidRPr="003707B2">
              <w:rPr>
                <w:rFonts w:ascii="Arial" w:eastAsia="Calibri" w:hAnsi="Arial" w:cs="Arial"/>
                <w:b/>
                <w:color w:val="000000"/>
                <w:sz w:val="22"/>
                <w:szCs w:val="22"/>
              </w:rPr>
              <w:t>Tumor type</w:t>
            </w:r>
          </w:p>
        </w:tc>
        <w:tc>
          <w:tcPr>
            <w:tcW w:w="562" w:type="dxa"/>
            <w:shd w:val="clear" w:color="auto" w:fill="auto"/>
          </w:tcPr>
          <w:p w14:paraId="19955CBE" w14:textId="77777777" w:rsidR="00CE1E67" w:rsidRPr="003707B2" w:rsidRDefault="00BD41CE">
            <w:pPr>
              <w:rPr>
                <w:rFonts w:ascii="Arial" w:eastAsia="Calibri" w:hAnsi="Arial" w:cs="Arial"/>
                <w:b/>
                <w:color w:val="000000"/>
                <w:sz w:val="22"/>
                <w:szCs w:val="22"/>
              </w:rPr>
            </w:pPr>
            <w:r w:rsidRPr="003707B2">
              <w:rPr>
                <w:rFonts w:ascii="Arial" w:eastAsia="Calibri" w:hAnsi="Arial" w:cs="Arial"/>
                <w:b/>
                <w:color w:val="000000"/>
                <w:sz w:val="22"/>
                <w:szCs w:val="22"/>
              </w:rPr>
              <w:t>Age</w:t>
            </w:r>
          </w:p>
        </w:tc>
        <w:tc>
          <w:tcPr>
            <w:tcW w:w="708" w:type="dxa"/>
            <w:shd w:val="clear" w:color="auto" w:fill="auto"/>
          </w:tcPr>
          <w:p w14:paraId="1213A610" w14:textId="77777777" w:rsidR="00CE1E67" w:rsidRPr="003707B2" w:rsidRDefault="00BD41CE">
            <w:pPr>
              <w:rPr>
                <w:rFonts w:ascii="Arial" w:eastAsia="Calibri" w:hAnsi="Arial" w:cs="Arial"/>
                <w:b/>
                <w:color w:val="000000"/>
                <w:sz w:val="22"/>
                <w:szCs w:val="22"/>
              </w:rPr>
            </w:pPr>
            <w:r w:rsidRPr="003707B2">
              <w:rPr>
                <w:rFonts w:ascii="Arial" w:eastAsia="Calibri" w:hAnsi="Arial" w:cs="Arial"/>
                <w:b/>
                <w:color w:val="000000"/>
                <w:sz w:val="22"/>
                <w:szCs w:val="22"/>
              </w:rPr>
              <w:t>BMI</w:t>
            </w:r>
          </w:p>
        </w:tc>
        <w:tc>
          <w:tcPr>
            <w:tcW w:w="2096" w:type="dxa"/>
            <w:shd w:val="clear" w:color="auto" w:fill="auto"/>
          </w:tcPr>
          <w:p w14:paraId="16D680C4" w14:textId="77777777" w:rsidR="00CE1E67" w:rsidRPr="003707B2" w:rsidRDefault="00BD41CE">
            <w:pPr>
              <w:rPr>
                <w:rFonts w:ascii="Arial" w:eastAsia="Calibri" w:hAnsi="Arial" w:cs="Arial"/>
                <w:b/>
                <w:color w:val="000000"/>
                <w:sz w:val="22"/>
                <w:szCs w:val="22"/>
              </w:rPr>
            </w:pPr>
            <w:r w:rsidRPr="003707B2">
              <w:rPr>
                <w:rFonts w:ascii="Arial" w:eastAsia="Calibri" w:hAnsi="Arial" w:cs="Arial"/>
                <w:b/>
                <w:color w:val="000000"/>
                <w:sz w:val="22"/>
                <w:szCs w:val="22"/>
              </w:rPr>
              <w:t>Breast density</w:t>
            </w:r>
          </w:p>
        </w:tc>
        <w:tc>
          <w:tcPr>
            <w:tcW w:w="1981" w:type="dxa"/>
            <w:shd w:val="clear" w:color="auto" w:fill="auto"/>
          </w:tcPr>
          <w:p w14:paraId="3E16A796" w14:textId="77777777" w:rsidR="00CE1E67" w:rsidRPr="003707B2" w:rsidRDefault="00BD41CE">
            <w:pPr>
              <w:rPr>
                <w:rFonts w:ascii="Arial" w:eastAsia="Calibri" w:hAnsi="Arial" w:cs="Arial"/>
                <w:b/>
                <w:color w:val="000000"/>
                <w:sz w:val="22"/>
                <w:szCs w:val="22"/>
              </w:rPr>
            </w:pPr>
            <w:r w:rsidRPr="003707B2">
              <w:rPr>
                <w:rFonts w:ascii="Arial" w:eastAsia="Calibri" w:hAnsi="Arial" w:cs="Arial"/>
                <w:b/>
                <w:color w:val="000000"/>
                <w:sz w:val="22"/>
                <w:szCs w:val="22"/>
              </w:rPr>
              <w:t>Menopausal status</w:t>
            </w:r>
          </w:p>
        </w:tc>
        <w:tc>
          <w:tcPr>
            <w:tcW w:w="1705" w:type="dxa"/>
            <w:shd w:val="clear" w:color="auto" w:fill="auto"/>
          </w:tcPr>
          <w:p w14:paraId="0627EACE" w14:textId="77777777" w:rsidR="00CE1E67" w:rsidRPr="003707B2" w:rsidRDefault="00BD41CE">
            <w:pPr>
              <w:rPr>
                <w:rFonts w:ascii="Arial" w:eastAsia="Calibri" w:hAnsi="Arial" w:cs="Arial"/>
                <w:b/>
                <w:color w:val="000000"/>
                <w:sz w:val="22"/>
                <w:szCs w:val="22"/>
              </w:rPr>
            </w:pPr>
            <w:r w:rsidRPr="003707B2">
              <w:rPr>
                <w:rFonts w:ascii="Arial" w:eastAsia="Calibri" w:hAnsi="Arial" w:cs="Arial"/>
                <w:b/>
                <w:color w:val="000000"/>
                <w:sz w:val="22"/>
                <w:szCs w:val="22"/>
              </w:rPr>
              <w:t>Day of menstrual cycle</w:t>
            </w:r>
          </w:p>
        </w:tc>
      </w:tr>
      <w:tr w:rsidR="00CE1E67" w:rsidRPr="003707B2" w14:paraId="08C11C6E" w14:textId="77777777" w:rsidTr="00AA1094">
        <w:trPr>
          <w:trHeight w:val="280"/>
        </w:trPr>
        <w:tc>
          <w:tcPr>
            <w:tcW w:w="2694" w:type="dxa"/>
            <w:shd w:val="clear" w:color="auto" w:fill="auto"/>
          </w:tcPr>
          <w:p w14:paraId="54CB7192"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IC NST G3 TNBC</w:t>
            </w:r>
          </w:p>
        </w:tc>
        <w:tc>
          <w:tcPr>
            <w:tcW w:w="562" w:type="dxa"/>
            <w:shd w:val="clear" w:color="auto" w:fill="auto"/>
          </w:tcPr>
          <w:p w14:paraId="1BD0C8B4"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62</w:t>
            </w:r>
          </w:p>
        </w:tc>
        <w:tc>
          <w:tcPr>
            <w:tcW w:w="708" w:type="dxa"/>
            <w:shd w:val="clear" w:color="auto" w:fill="auto"/>
          </w:tcPr>
          <w:p w14:paraId="33B072FD"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40.0</w:t>
            </w:r>
          </w:p>
        </w:tc>
        <w:tc>
          <w:tcPr>
            <w:tcW w:w="2096" w:type="dxa"/>
            <w:shd w:val="clear" w:color="auto" w:fill="auto"/>
          </w:tcPr>
          <w:p w14:paraId="13382656"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scattered FGT</w:t>
            </w:r>
          </w:p>
        </w:tc>
        <w:tc>
          <w:tcPr>
            <w:tcW w:w="1981" w:type="dxa"/>
            <w:shd w:val="clear" w:color="auto" w:fill="auto"/>
          </w:tcPr>
          <w:p w14:paraId="6C235D39"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postmenopausal</w:t>
            </w:r>
          </w:p>
        </w:tc>
        <w:tc>
          <w:tcPr>
            <w:tcW w:w="1705" w:type="dxa"/>
            <w:shd w:val="clear" w:color="auto" w:fill="auto"/>
          </w:tcPr>
          <w:p w14:paraId="23BC4573"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w:t>
            </w:r>
          </w:p>
        </w:tc>
      </w:tr>
      <w:tr w:rsidR="00CE1E67" w:rsidRPr="003707B2" w14:paraId="70001431" w14:textId="77777777" w:rsidTr="00AA1094">
        <w:trPr>
          <w:trHeight w:val="280"/>
        </w:trPr>
        <w:tc>
          <w:tcPr>
            <w:tcW w:w="2694" w:type="dxa"/>
            <w:shd w:val="clear" w:color="auto" w:fill="auto"/>
          </w:tcPr>
          <w:p w14:paraId="736C5EA8" w14:textId="77777777" w:rsidR="00CE1E67" w:rsidRPr="003707B2" w:rsidRDefault="00BD41CE" w:rsidP="00AA1094">
            <w:pPr>
              <w:rPr>
                <w:rFonts w:ascii="Arial" w:eastAsia="Calibri" w:hAnsi="Arial" w:cs="Arial"/>
                <w:color w:val="000000"/>
                <w:sz w:val="22"/>
                <w:szCs w:val="22"/>
                <w:lang w:val="de-AT"/>
              </w:rPr>
            </w:pPr>
            <w:r w:rsidRPr="003707B2">
              <w:rPr>
                <w:rFonts w:ascii="Arial" w:eastAsia="Calibri" w:hAnsi="Arial" w:cs="Arial"/>
                <w:color w:val="000000"/>
                <w:sz w:val="22"/>
                <w:szCs w:val="22"/>
                <w:lang w:val="de-AT"/>
              </w:rPr>
              <w:t>IC NST G3 ER+/PR+/HER2-</w:t>
            </w:r>
          </w:p>
        </w:tc>
        <w:tc>
          <w:tcPr>
            <w:tcW w:w="562" w:type="dxa"/>
            <w:shd w:val="clear" w:color="auto" w:fill="auto"/>
          </w:tcPr>
          <w:p w14:paraId="1F7843CD"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76</w:t>
            </w:r>
          </w:p>
        </w:tc>
        <w:tc>
          <w:tcPr>
            <w:tcW w:w="708" w:type="dxa"/>
            <w:shd w:val="clear" w:color="auto" w:fill="auto"/>
          </w:tcPr>
          <w:p w14:paraId="63CDD12F"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30.7</w:t>
            </w:r>
          </w:p>
        </w:tc>
        <w:tc>
          <w:tcPr>
            <w:tcW w:w="2096" w:type="dxa"/>
            <w:shd w:val="clear" w:color="auto" w:fill="auto"/>
          </w:tcPr>
          <w:p w14:paraId="69DEDD60"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heterogeneously dense</w:t>
            </w:r>
          </w:p>
        </w:tc>
        <w:tc>
          <w:tcPr>
            <w:tcW w:w="1981" w:type="dxa"/>
            <w:shd w:val="clear" w:color="auto" w:fill="auto"/>
          </w:tcPr>
          <w:p w14:paraId="25DF9BE5"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postmenopausal</w:t>
            </w:r>
          </w:p>
        </w:tc>
        <w:tc>
          <w:tcPr>
            <w:tcW w:w="1705" w:type="dxa"/>
            <w:shd w:val="clear" w:color="auto" w:fill="auto"/>
          </w:tcPr>
          <w:p w14:paraId="0E6C68E0"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w:t>
            </w:r>
          </w:p>
        </w:tc>
      </w:tr>
      <w:tr w:rsidR="00CE1E67" w:rsidRPr="003707B2" w14:paraId="20E8B3C1" w14:textId="77777777" w:rsidTr="00AA1094">
        <w:trPr>
          <w:trHeight w:val="280"/>
        </w:trPr>
        <w:tc>
          <w:tcPr>
            <w:tcW w:w="2694" w:type="dxa"/>
            <w:shd w:val="clear" w:color="auto" w:fill="auto"/>
          </w:tcPr>
          <w:p w14:paraId="4E138C31" w14:textId="77777777" w:rsidR="00CE1E67" w:rsidRPr="003707B2" w:rsidRDefault="00BD41CE" w:rsidP="00AA1094">
            <w:pPr>
              <w:rPr>
                <w:rFonts w:ascii="Arial" w:eastAsia="Calibri" w:hAnsi="Arial" w:cs="Arial"/>
                <w:color w:val="000000"/>
                <w:sz w:val="22"/>
                <w:szCs w:val="22"/>
                <w:lang w:val="de-AT"/>
              </w:rPr>
            </w:pPr>
            <w:r w:rsidRPr="003707B2">
              <w:rPr>
                <w:rFonts w:ascii="Arial" w:eastAsia="Calibri" w:hAnsi="Arial" w:cs="Arial"/>
                <w:color w:val="000000"/>
                <w:sz w:val="22"/>
                <w:szCs w:val="22"/>
                <w:lang w:val="de-AT"/>
              </w:rPr>
              <w:t>ILC G2 ER+/PR+/HER2-</w:t>
            </w:r>
          </w:p>
        </w:tc>
        <w:tc>
          <w:tcPr>
            <w:tcW w:w="562" w:type="dxa"/>
            <w:shd w:val="clear" w:color="auto" w:fill="auto"/>
          </w:tcPr>
          <w:p w14:paraId="5EF61F52"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62</w:t>
            </w:r>
          </w:p>
        </w:tc>
        <w:tc>
          <w:tcPr>
            <w:tcW w:w="708" w:type="dxa"/>
            <w:shd w:val="clear" w:color="auto" w:fill="auto"/>
          </w:tcPr>
          <w:p w14:paraId="231C7FBB"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32.8</w:t>
            </w:r>
          </w:p>
        </w:tc>
        <w:tc>
          <w:tcPr>
            <w:tcW w:w="2096" w:type="dxa"/>
            <w:shd w:val="clear" w:color="auto" w:fill="auto"/>
          </w:tcPr>
          <w:p w14:paraId="175CF4D7"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scattered FGT</w:t>
            </w:r>
          </w:p>
        </w:tc>
        <w:tc>
          <w:tcPr>
            <w:tcW w:w="1981" w:type="dxa"/>
            <w:shd w:val="clear" w:color="auto" w:fill="auto"/>
          </w:tcPr>
          <w:p w14:paraId="64298FA7"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postmenopausal</w:t>
            </w:r>
          </w:p>
        </w:tc>
        <w:tc>
          <w:tcPr>
            <w:tcW w:w="1705" w:type="dxa"/>
            <w:shd w:val="clear" w:color="auto" w:fill="auto"/>
          </w:tcPr>
          <w:p w14:paraId="2978F8AC"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w:t>
            </w:r>
          </w:p>
        </w:tc>
      </w:tr>
      <w:tr w:rsidR="00CE1E67" w:rsidRPr="003707B2" w14:paraId="6FACB4E7" w14:textId="77777777" w:rsidTr="00AA1094">
        <w:trPr>
          <w:trHeight w:val="280"/>
        </w:trPr>
        <w:tc>
          <w:tcPr>
            <w:tcW w:w="2694" w:type="dxa"/>
            <w:shd w:val="clear" w:color="auto" w:fill="auto"/>
          </w:tcPr>
          <w:p w14:paraId="1A44C1B7"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IC NST G3 TNBC</w:t>
            </w:r>
          </w:p>
        </w:tc>
        <w:tc>
          <w:tcPr>
            <w:tcW w:w="562" w:type="dxa"/>
            <w:shd w:val="clear" w:color="auto" w:fill="auto"/>
          </w:tcPr>
          <w:p w14:paraId="5AC851B6"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49</w:t>
            </w:r>
          </w:p>
        </w:tc>
        <w:tc>
          <w:tcPr>
            <w:tcW w:w="708" w:type="dxa"/>
            <w:shd w:val="clear" w:color="auto" w:fill="auto"/>
          </w:tcPr>
          <w:p w14:paraId="51F390DA"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31.1</w:t>
            </w:r>
          </w:p>
        </w:tc>
        <w:tc>
          <w:tcPr>
            <w:tcW w:w="2096" w:type="dxa"/>
            <w:shd w:val="clear" w:color="auto" w:fill="auto"/>
          </w:tcPr>
          <w:p w14:paraId="0808DDF4"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heterogeneously dense</w:t>
            </w:r>
          </w:p>
        </w:tc>
        <w:tc>
          <w:tcPr>
            <w:tcW w:w="1981" w:type="dxa"/>
            <w:shd w:val="clear" w:color="auto" w:fill="auto"/>
          </w:tcPr>
          <w:p w14:paraId="57379C8D"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premenopausal</w:t>
            </w:r>
          </w:p>
        </w:tc>
        <w:tc>
          <w:tcPr>
            <w:tcW w:w="1705" w:type="dxa"/>
            <w:shd w:val="clear" w:color="auto" w:fill="auto"/>
          </w:tcPr>
          <w:p w14:paraId="0B7DAEEF"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19</w:t>
            </w:r>
          </w:p>
        </w:tc>
      </w:tr>
      <w:tr w:rsidR="00CE1E67" w:rsidRPr="003707B2" w14:paraId="407D1C26" w14:textId="77777777" w:rsidTr="00AA1094">
        <w:trPr>
          <w:trHeight w:val="280"/>
        </w:trPr>
        <w:tc>
          <w:tcPr>
            <w:tcW w:w="2694" w:type="dxa"/>
            <w:shd w:val="clear" w:color="auto" w:fill="auto"/>
          </w:tcPr>
          <w:p w14:paraId="4FA4F6F5"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IC NST G3 TNBC</w:t>
            </w:r>
          </w:p>
        </w:tc>
        <w:tc>
          <w:tcPr>
            <w:tcW w:w="562" w:type="dxa"/>
            <w:shd w:val="clear" w:color="auto" w:fill="auto"/>
          </w:tcPr>
          <w:p w14:paraId="06A2E45B"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69</w:t>
            </w:r>
          </w:p>
        </w:tc>
        <w:tc>
          <w:tcPr>
            <w:tcW w:w="708" w:type="dxa"/>
            <w:shd w:val="clear" w:color="auto" w:fill="auto"/>
          </w:tcPr>
          <w:p w14:paraId="321F383F"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21.1</w:t>
            </w:r>
          </w:p>
        </w:tc>
        <w:tc>
          <w:tcPr>
            <w:tcW w:w="2096" w:type="dxa"/>
            <w:shd w:val="clear" w:color="auto" w:fill="auto"/>
          </w:tcPr>
          <w:p w14:paraId="72BDA3C6"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heterogeneously dense</w:t>
            </w:r>
          </w:p>
        </w:tc>
        <w:tc>
          <w:tcPr>
            <w:tcW w:w="1981" w:type="dxa"/>
            <w:shd w:val="clear" w:color="auto" w:fill="auto"/>
          </w:tcPr>
          <w:p w14:paraId="7040C96E"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postmenopausal</w:t>
            </w:r>
          </w:p>
        </w:tc>
        <w:tc>
          <w:tcPr>
            <w:tcW w:w="1705" w:type="dxa"/>
            <w:shd w:val="clear" w:color="auto" w:fill="auto"/>
          </w:tcPr>
          <w:p w14:paraId="007C6D63"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w:t>
            </w:r>
          </w:p>
        </w:tc>
      </w:tr>
      <w:tr w:rsidR="00CE1E67" w:rsidRPr="003707B2" w14:paraId="3750FEB1" w14:textId="77777777" w:rsidTr="00AA1094">
        <w:trPr>
          <w:trHeight w:val="280"/>
        </w:trPr>
        <w:tc>
          <w:tcPr>
            <w:tcW w:w="2694" w:type="dxa"/>
            <w:shd w:val="clear" w:color="auto" w:fill="auto"/>
          </w:tcPr>
          <w:p w14:paraId="1AADA597"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IC NST G3 TNBC</w:t>
            </w:r>
          </w:p>
        </w:tc>
        <w:tc>
          <w:tcPr>
            <w:tcW w:w="562" w:type="dxa"/>
            <w:shd w:val="clear" w:color="auto" w:fill="auto"/>
          </w:tcPr>
          <w:p w14:paraId="12B6513F"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63</w:t>
            </w:r>
          </w:p>
        </w:tc>
        <w:tc>
          <w:tcPr>
            <w:tcW w:w="708" w:type="dxa"/>
            <w:shd w:val="clear" w:color="auto" w:fill="auto"/>
          </w:tcPr>
          <w:p w14:paraId="7757AAFC"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30.2</w:t>
            </w:r>
          </w:p>
        </w:tc>
        <w:tc>
          <w:tcPr>
            <w:tcW w:w="2096" w:type="dxa"/>
            <w:shd w:val="clear" w:color="auto" w:fill="auto"/>
          </w:tcPr>
          <w:p w14:paraId="79478239"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scattered FGT</w:t>
            </w:r>
          </w:p>
        </w:tc>
        <w:tc>
          <w:tcPr>
            <w:tcW w:w="1981" w:type="dxa"/>
            <w:shd w:val="clear" w:color="auto" w:fill="auto"/>
          </w:tcPr>
          <w:p w14:paraId="475BCE80"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postmenopausal</w:t>
            </w:r>
          </w:p>
        </w:tc>
        <w:tc>
          <w:tcPr>
            <w:tcW w:w="1705" w:type="dxa"/>
            <w:shd w:val="clear" w:color="auto" w:fill="auto"/>
          </w:tcPr>
          <w:p w14:paraId="280DDFD7"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w:t>
            </w:r>
          </w:p>
        </w:tc>
      </w:tr>
      <w:tr w:rsidR="00CE1E67" w:rsidRPr="003707B2" w14:paraId="0EE0D4F8" w14:textId="77777777" w:rsidTr="00AA1094">
        <w:trPr>
          <w:trHeight w:val="280"/>
        </w:trPr>
        <w:tc>
          <w:tcPr>
            <w:tcW w:w="2694" w:type="dxa"/>
            <w:shd w:val="clear" w:color="auto" w:fill="auto"/>
          </w:tcPr>
          <w:p w14:paraId="39479FFF" w14:textId="77777777" w:rsidR="00CE1E67" w:rsidRPr="003707B2" w:rsidRDefault="00BD41CE" w:rsidP="00AA1094">
            <w:pPr>
              <w:rPr>
                <w:rFonts w:ascii="Arial" w:eastAsia="Calibri" w:hAnsi="Arial" w:cs="Arial"/>
                <w:color w:val="000000"/>
                <w:sz w:val="22"/>
                <w:szCs w:val="22"/>
                <w:lang w:val="de-AT"/>
              </w:rPr>
            </w:pPr>
            <w:r w:rsidRPr="003707B2">
              <w:rPr>
                <w:rFonts w:ascii="Arial" w:eastAsia="Calibri" w:hAnsi="Arial" w:cs="Arial"/>
                <w:color w:val="000000"/>
                <w:sz w:val="22"/>
                <w:szCs w:val="22"/>
                <w:lang w:val="de-AT"/>
              </w:rPr>
              <w:t>IC NST G2 ER+/PR+/HER2-</w:t>
            </w:r>
          </w:p>
        </w:tc>
        <w:tc>
          <w:tcPr>
            <w:tcW w:w="562" w:type="dxa"/>
            <w:shd w:val="clear" w:color="auto" w:fill="auto"/>
          </w:tcPr>
          <w:p w14:paraId="0BD1CF5C"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72</w:t>
            </w:r>
          </w:p>
        </w:tc>
        <w:tc>
          <w:tcPr>
            <w:tcW w:w="708" w:type="dxa"/>
            <w:shd w:val="clear" w:color="auto" w:fill="auto"/>
          </w:tcPr>
          <w:p w14:paraId="0B0CA81C"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28.4</w:t>
            </w:r>
          </w:p>
        </w:tc>
        <w:tc>
          <w:tcPr>
            <w:tcW w:w="2096" w:type="dxa"/>
            <w:shd w:val="clear" w:color="auto" w:fill="auto"/>
          </w:tcPr>
          <w:p w14:paraId="7F99E9AC"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heterogeneously dense</w:t>
            </w:r>
          </w:p>
        </w:tc>
        <w:tc>
          <w:tcPr>
            <w:tcW w:w="1981" w:type="dxa"/>
            <w:shd w:val="clear" w:color="auto" w:fill="auto"/>
          </w:tcPr>
          <w:p w14:paraId="4EA671D5"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postmenopausal</w:t>
            </w:r>
          </w:p>
        </w:tc>
        <w:tc>
          <w:tcPr>
            <w:tcW w:w="1705" w:type="dxa"/>
            <w:shd w:val="clear" w:color="auto" w:fill="auto"/>
          </w:tcPr>
          <w:p w14:paraId="6269C614" w14:textId="77777777" w:rsidR="00CE1E67" w:rsidRPr="003707B2" w:rsidRDefault="00BD41CE" w:rsidP="00AA1094">
            <w:pPr>
              <w:rPr>
                <w:rFonts w:ascii="Arial" w:eastAsia="Calibri" w:hAnsi="Arial" w:cs="Arial"/>
                <w:color w:val="000000"/>
                <w:sz w:val="22"/>
                <w:szCs w:val="22"/>
              </w:rPr>
            </w:pPr>
            <w:r w:rsidRPr="003707B2">
              <w:rPr>
                <w:rFonts w:ascii="Arial" w:eastAsia="Calibri" w:hAnsi="Arial" w:cs="Arial"/>
                <w:color w:val="000000"/>
                <w:sz w:val="22"/>
                <w:szCs w:val="22"/>
              </w:rPr>
              <w:t>-</w:t>
            </w:r>
          </w:p>
        </w:tc>
      </w:tr>
    </w:tbl>
    <w:p w14:paraId="6256F08E" w14:textId="77777777" w:rsidR="00CE1E67" w:rsidRPr="003707B2" w:rsidRDefault="00CE1E67">
      <w:pPr>
        <w:rPr>
          <w:rFonts w:ascii="Arial" w:eastAsia="Calibri" w:hAnsi="Arial" w:cs="Arial"/>
          <w:sz w:val="22"/>
          <w:szCs w:val="22"/>
        </w:rPr>
      </w:pPr>
    </w:p>
    <w:p w14:paraId="3C5755D9" w14:textId="77777777" w:rsidR="00CE1E67" w:rsidRPr="003707B2" w:rsidRDefault="001C72FB">
      <w:pPr>
        <w:rPr>
          <w:rFonts w:ascii="Arial" w:eastAsia="Calibri" w:hAnsi="Arial" w:cs="Arial"/>
          <w:sz w:val="22"/>
          <w:szCs w:val="22"/>
        </w:rPr>
      </w:pPr>
      <w:bookmarkStart w:id="0" w:name="_gjdgxs" w:colFirst="0" w:colLast="0"/>
      <w:bookmarkEnd w:id="0"/>
      <w:r w:rsidRPr="003707B2">
        <w:rPr>
          <w:rFonts w:ascii="Arial" w:eastAsia="Calibri" w:hAnsi="Arial" w:cs="Arial"/>
          <w:sz w:val="22"/>
          <w:szCs w:val="22"/>
        </w:rPr>
        <w:t xml:space="preserve">Abbreviations: </w:t>
      </w:r>
      <w:r w:rsidR="00BD41CE" w:rsidRPr="003707B2">
        <w:rPr>
          <w:rFonts w:ascii="Arial" w:eastAsia="Calibri" w:hAnsi="Arial" w:cs="Arial"/>
          <w:sz w:val="22"/>
          <w:szCs w:val="22"/>
        </w:rPr>
        <w:t>IC NST, invasive carcinoma no specific type; ILC, invasive lobular carcinoma; G3, grade 3; G2, grade 2; TNBC, triple negative breast cancer; ER, estrogen receptor; PR, progesterone receptor; HER2, HER2/neu; FGT, fibroglandular tissue</w:t>
      </w:r>
      <w:r w:rsidRPr="003707B2">
        <w:rPr>
          <w:rFonts w:ascii="Arial" w:eastAsia="Calibri" w:hAnsi="Arial" w:cs="Arial"/>
          <w:sz w:val="22"/>
          <w:szCs w:val="22"/>
        </w:rPr>
        <w:t>.</w:t>
      </w:r>
    </w:p>
    <w:p w14:paraId="7D852CA3" w14:textId="77777777" w:rsidR="00CE1E67" w:rsidRPr="003707B2" w:rsidRDefault="00BD41CE">
      <w:pPr>
        <w:rPr>
          <w:rFonts w:ascii="Arial" w:eastAsia="Arial" w:hAnsi="Arial" w:cs="Arial"/>
          <w:sz w:val="20"/>
          <w:szCs w:val="20"/>
        </w:rPr>
      </w:pPr>
      <w:r w:rsidRPr="003707B2">
        <w:rPr>
          <w:rFonts w:ascii="Arial" w:hAnsi="Arial" w:cs="Arial"/>
        </w:rPr>
        <w:br w:type="page"/>
      </w:r>
    </w:p>
    <w:p w14:paraId="790E5C00" w14:textId="77777777" w:rsidR="00CE1E67" w:rsidRPr="003707B2" w:rsidRDefault="00BD41CE">
      <w:pPr>
        <w:pBdr>
          <w:top w:val="nil"/>
          <w:left w:val="nil"/>
          <w:bottom w:val="nil"/>
          <w:right w:val="nil"/>
          <w:between w:val="nil"/>
        </w:pBdr>
        <w:rPr>
          <w:rFonts w:ascii="Arial" w:eastAsia="Arial" w:hAnsi="Arial" w:cs="Arial"/>
          <w:b/>
          <w:color w:val="000000"/>
          <w:sz w:val="22"/>
          <w:szCs w:val="22"/>
        </w:rPr>
      </w:pPr>
      <w:r w:rsidRPr="003707B2">
        <w:rPr>
          <w:rFonts w:ascii="Arial" w:eastAsia="Arial" w:hAnsi="Arial" w:cs="Arial"/>
          <w:b/>
          <w:color w:val="000000"/>
          <w:sz w:val="22"/>
          <w:szCs w:val="22"/>
        </w:rPr>
        <w:lastRenderedPageBreak/>
        <w:t>References</w:t>
      </w:r>
    </w:p>
    <w:p w14:paraId="711E971C" w14:textId="5C9E2B9A" w:rsidR="00312009" w:rsidRPr="003707B2" w:rsidRDefault="00312009" w:rsidP="00312009">
      <w:pPr>
        <w:widowControl w:val="0"/>
        <w:autoSpaceDE w:val="0"/>
        <w:autoSpaceDN w:val="0"/>
        <w:adjustRightInd w:val="0"/>
        <w:ind w:left="640" w:hanging="640"/>
        <w:rPr>
          <w:rFonts w:ascii="Arial" w:hAnsi="Arial" w:cs="Arial"/>
          <w:noProof/>
          <w:sz w:val="20"/>
        </w:rPr>
      </w:pPr>
      <w:r w:rsidRPr="003707B2">
        <w:rPr>
          <w:rFonts w:ascii="Arial" w:eastAsia="Arial" w:hAnsi="Arial" w:cs="Arial"/>
          <w:b/>
          <w:color w:val="000000"/>
          <w:sz w:val="20"/>
          <w:szCs w:val="20"/>
        </w:rPr>
        <w:fldChar w:fldCharType="begin" w:fldLock="1"/>
      </w:r>
      <w:r w:rsidRPr="003707B2">
        <w:rPr>
          <w:rFonts w:ascii="Arial" w:eastAsia="Arial" w:hAnsi="Arial" w:cs="Arial"/>
          <w:b/>
          <w:color w:val="000000"/>
          <w:sz w:val="20"/>
          <w:szCs w:val="20"/>
        </w:rPr>
        <w:instrText xml:space="preserve">ADDIN Mendeley Bibliography CSL_BIBLIOGRAPHY </w:instrText>
      </w:r>
      <w:r w:rsidRPr="003707B2">
        <w:rPr>
          <w:rFonts w:ascii="Arial" w:eastAsia="Arial" w:hAnsi="Arial" w:cs="Arial"/>
          <w:b/>
          <w:color w:val="000000"/>
          <w:sz w:val="20"/>
          <w:szCs w:val="20"/>
        </w:rPr>
        <w:fldChar w:fldCharType="separate"/>
      </w:r>
      <w:r w:rsidRPr="003707B2">
        <w:rPr>
          <w:rFonts w:ascii="Arial" w:hAnsi="Arial" w:cs="Arial"/>
          <w:noProof/>
          <w:sz w:val="20"/>
        </w:rPr>
        <w:t xml:space="preserve">1. </w:t>
      </w:r>
      <w:r w:rsidRPr="003707B2">
        <w:rPr>
          <w:rFonts w:ascii="Arial" w:hAnsi="Arial" w:cs="Arial"/>
          <w:noProof/>
          <w:sz w:val="20"/>
        </w:rPr>
        <w:tab/>
        <w:t xml:space="preserve">Bedair R, et al. (2015) Effect of Radiofrequency Transmit Field Correction on Quantitative Dynamic Contrast-enhanced MR Imaging of the Breast at 3.0 T. </w:t>
      </w:r>
      <w:r w:rsidRPr="003707B2">
        <w:rPr>
          <w:rFonts w:ascii="Arial" w:hAnsi="Arial" w:cs="Arial"/>
          <w:i/>
          <w:iCs/>
          <w:noProof/>
          <w:sz w:val="20"/>
        </w:rPr>
        <w:t>Radiology</w:t>
      </w:r>
      <w:r w:rsidRPr="003707B2">
        <w:rPr>
          <w:rFonts w:ascii="Arial" w:hAnsi="Arial" w:cs="Arial"/>
          <w:noProof/>
          <w:sz w:val="20"/>
        </w:rPr>
        <w:t>:150920.</w:t>
      </w:r>
    </w:p>
    <w:p w14:paraId="3D97FED7" w14:textId="77777777" w:rsidR="00312009" w:rsidRPr="003707B2" w:rsidRDefault="00312009" w:rsidP="00312009">
      <w:pPr>
        <w:widowControl w:val="0"/>
        <w:autoSpaceDE w:val="0"/>
        <w:autoSpaceDN w:val="0"/>
        <w:adjustRightInd w:val="0"/>
        <w:ind w:left="640" w:hanging="640"/>
        <w:rPr>
          <w:rFonts w:ascii="Arial" w:hAnsi="Arial" w:cs="Arial"/>
          <w:noProof/>
          <w:sz w:val="20"/>
        </w:rPr>
      </w:pPr>
      <w:r w:rsidRPr="003707B2">
        <w:rPr>
          <w:rFonts w:ascii="Arial" w:hAnsi="Arial" w:cs="Arial"/>
          <w:noProof/>
          <w:sz w:val="20"/>
        </w:rPr>
        <w:t xml:space="preserve">2. </w:t>
      </w:r>
      <w:r w:rsidRPr="003707B2">
        <w:rPr>
          <w:rFonts w:ascii="Arial" w:hAnsi="Arial" w:cs="Arial"/>
          <w:noProof/>
          <w:sz w:val="20"/>
        </w:rPr>
        <w:tab/>
        <w:t xml:space="preserve">Sacolick LI, Wiesinger F, Hancu I, Vogel MW (2010) B1 mapping by Bloch-Siegert shift. </w:t>
      </w:r>
      <w:r w:rsidRPr="003707B2">
        <w:rPr>
          <w:rFonts w:ascii="Arial" w:hAnsi="Arial" w:cs="Arial"/>
          <w:i/>
          <w:iCs/>
          <w:noProof/>
          <w:sz w:val="20"/>
        </w:rPr>
        <w:t>Magn Reson Med</w:t>
      </w:r>
      <w:r w:rsidRPr="003707B2">
        <w:rPr>
          <w:rFonts w:ascii="Arial" w:hAnsi="Arial" w:cs="Arial"/>
          <w:noProof/>
          <w:sz w:val="20"/>
        </w:rPr>
        <w:t xml:space="preserve"> 63(5 SRC-GoogleScholar FG-0):1315–1322.</w:t>
      </w:r>
    </w:p>
    <w:p w14:paraId="0B1846B7" w14:textId="77777777" w:rsidR="00312009" w:rsidRPr="003707B2" w:rsidRDefault="00312009" w:rsidP="00312009">
      <w:pPr>
        <w:widowControl w:val="0"/>
        <w:autoSpaceDE w:val="0"/>
        <w:autoSpaceDN w:val="0"/>
        <w:adjustRightInd w:val="0"/>
        <w:ind w:left="640" w:hanging="640"/>
        <w:rPr>
          <w:rFonts w:ascii="Arial" w:hAnsi="Arial" w:cs="Arial"/>
          <w:noProof/>
          <w:sz w:val="20"/>
        </w:rPr>
      </w:pPr>
      <w:r w:rsidRPr="003707B2">
        <w:rPr>
          <w:rFonts w:ascii="Arial" w:hAnsi="Arial" w:cs="Arial"/>
          <w:noProof/>
          <w:sz w:val="20"/>
        </w:rPr>
        <w:t xml:space="preserve">3. </w:t>
      </w:r>
      <w:r w:rsidRPr="003707B2">
        <w:rPr>
          <w:rFonts w:ascii="Arial" w:hAnsi="Arial" w:cs="Arial"/>
          <w:noProof/>
          <w:sz w:val="20"/>
        </w:rPr>
        <w:tab/>
        <w:t xml:space="preserve">Zaccagna F, et al. (2018) Hyperpolarized carbon-13 magnetic resonance spectroscopic imaging: A clinical tool for studying tumour metabolism. </w:t>
      </w:r>
      <w:r w:rsidRPr="003707B2">
        <w:rPr>
          <w:rFonts w:ascii="Arial" w:hAnsi="Arial" w:cs="Arial"/>
          <w:i/>
          <w:iCs/>
          <w:noProof/>
          <w:sz w:val="20"/>
        </w:rPr>
        <w:t>Br J Radiol</w:t>
      </w:r>
      <w:r w:rsidRPr="003707B2">
        <w:rPr>
          <w:rFonts w:ascii="Arial" w:hAnsi="Arial" w:cs="Arial"/>
          <w:noProof/>
          <w:sz w:val="20"/>
        </w:rPr>
        <w:t xml:space="preserve"> 91(1085). doi:10.1259/bjr.20170688.</w:t>
      </w:r>
    </w:p>
    <w:p w14:paraId="3D5D8E55" w14:textId="77777777" w:rsidR="00312009" w:rsidRPr="003707B2" w:rsidRDefault="00312009" w:rsidP="00312009">
      <w:pPr>
        <w:widowControl w:val="0"/>
        <w:autoSpaceDE w:val="0"/>
        <w:autoSpaceDN w:val="0"/>
        <w:adjustRightInd w:val="0"/>
        <w:ind w:left="640" w:hanging="640"/>
        <w:rPr>
          <w:rFonts w:ascii="Arial" w:hAnsi="Arial" w:cs="Arial"/>
          <w:noProof/>
          <w:sz w:val="20"/>
        </w:rPr>
      </w:pPr>
      <w:r w:rsidRPr="003707B2">
        <w:rPr>
          <w:rFonts w:ascii="Arial" w:hAnsi="Arial" w:cs="Arial"/>
          <w:noProof/>
          <w:sz w:val="20"/>
        </w:rPr>
        <w:t xml:space="preserve">4. </w:t>
      </w:r>
      <w:r w:rsidRPr="003707B2">
        <w:rPr>
          <w:rFonts w:ascii="Arial" w:hAnsi="Arial" w:cs="Arial"/>
          <w:noProof/>
          <w:sz w:val="20"/>
        </w:rPr>
        <w:tab/>
        <w:t>Grist JT, et al. (2019) Quantifying normal human brain metabolism using hyperpolarized [1–</w:t>
      </w:r>
      <w:r w:rsidRPr="003707B2">
        <w:rPr>
          <w:rFonts w:ascii="Arial" w:hAnsi="Arial" w:cs="Arial"/>
          <w:noProof/>
          <w:sz w:val="20"/>
          <w:vertAlign w:val="superscript"/>
        </w:rPr>
        <w:t>13</w:t>
      </w:r>
      <w:r w:rsidRPr="003707B2">
        <w:rPr>
          <w:rFonts w:ascii="Arial" w:hAnsi="Arial" w:cs="Arial"/>
          <w:noProof/>
          <w:sz w:val="20"/>
        </w:rPr>
        <w:t xml:space="preserve">C]pyruvate and magnetic resonance imaging. </w:t>
      </w:r>
      <w:r w:rsidRPr="003707B2">
        <w:rPr>
          <w:rFonts w:ascii="Arial" w:hAnsi="Arial" w:cs="Arial"/>
          <w:i/>
          <w:iCs/>
          <w:noProof/>
          <w:sz w:val="20"/>
        </w:rPr>
        <w:t>Neuroimage</w:t>
      </w:r>
      <w:r w:rsidRPr="003707B2">
        <w:rPr>
          <w:rFonts w:ascii="Arial" w:hAnsi="Arial" w:cs="Arial"/>
          <w:noProof/>
          <w:sz w:val="20"/>
        </w:rPr>
        <w:t xml:space="preserve"> 189:171–179.</w:t>
      </w:r>
    </w:p>
    <w:p w14:paraId="492A2107" w14:textId="77777777" w:rsidR="00312009" w:rsidRPr="003707B2" w:rsidRDefault="00312009" w:rsidP="00312009">
      <w:pPr>
        <w:widowControl w:val="0"/>
        <w:autoSpaceDE w:val="0"/>
        <w:autoSpaceDN w:val="0"/>
        <w:adjustRightInd w:val="0"/>
        <w:ind w:left="640" w:hanging="640"/>
        <w:rPr>
          <w:rFonts w:ascii="Arial" w:hAnsi="Arial" w:cs="Arial"/>
          <w:noProof/>
          <w:sz w:val="20"/>
        </w:rPr>
      </w:pPr>
      <w:r w:rsidRPr="003707B2">
        <w:rPr>
          <w:rFonts w:ascii="Arial" w:hAnsi="Arial" w:cs="Arial"/>
          <w:noProof/>
          <w:sz w:val="20"/>
        </w:rPr>
        <w:t xml:space="preserve">5. </w:t>
      </w:r>
      <w:r w:rsidRPr="003707B2">
        <w:rPr>
          <w:rFonts w:ascii="Arial" w:hAnsi="Arial" w:cs="Arial"/>
          <w:noProof/>
          <w:sz w:val="20"/>
        </w:rPr>
        <w:tab/>
        <w:t xml:space="preserve">Daniels CJ, et al. (2016) A comparison of quantitative methods for clinical imaging with hyperpolarized </w:t>
      </w:r>
      <w:r w:rsidRPr="003707B2">
        <w:rPr>
          <w:rFonts w:ascii="Arial" w:hAnsi="Arial" w:cs="Arial"/>
          <w:noProof/>
          <w:sz w:val="20"/>
          <w:vertAlign w:val="superscript"/>
        </w:rPr>
        <w:t>13</w:t>
      </w:r>
      <w:r w:rsidRPr="003707B2">
        <w:rPr>
          <w:rFonts w:ascii="Arial" w:hAnsi="Arial" w:cs="Arial"/>
          <w:noProof/>
          <w:sz w:val="20"/>
        </w:rPr>
        <w:t xml:space="preserve">C-pyruvate. </w:t>
      </w:r>
      <w:r w:rsidRPr="003707B2">
        <w:rPr>
          <w:rFonts w:ascii="Arial" w:hAnsi="Arial" w:cs="Arial"/>
          <w:i/>
          <w:iCs/>
          <w:noProof/>
          <w:sz w:val="20"/>
        </w:rPr>
        <w:t>NMR Biomed</w:t>
      </w:r>
      <w:r w:rsidRPr="003707B2">
        <w:rPr>
          <w:rFonts w:ascii="Arial" w:hAnsi="Arial" w:cs="Arial"/>
          <w:noProof/>
          <w:sz w:val="20"/>
        </w:rPr>
        <w:t xml:space="preserve"> 29(4):387–399.</w:t>
      </w:r>
    </w:p>
    <w:p w14:paraId="7041F4B0" w14:textId="77777777" w:rsidR="00312009" w:rsidRPr="003707B2" w:rsidRDefault="00312009" w:rsidP="00312009">
      <w:pPr>
        <w:widowControl w:val="0"/>
        <w:autoSpaceDE w:val="0"/>
        <w:autoSpaceDN w:val="0"/>
        <w:adjustRightInd w:val="0"/>
        <w:ind w:left="640" w:hanging="640"/>
        <w:rPr>
          <w:rFonts w:ascii="Arial" w:hAnsi="Arial" w:cs="Arial"/>
          <w:noProof/>
          <w:sz w:val="20"/>
        </w:rPr>
      </w:pPr>
      <w:r w:rsidRPr="003707B2">
        <w:rPr>
          <w:rFonts w:ascii="Arial" w:hAnsi="Arial" w:cs="Arial"/>
          <w:noProof/>
          <w:sz w:val="20"/>
        </w:rPr>
        <w:t xml:space="preserve">6. </w:t>
      </w:r>
      <w:r w:rsidRPr="003707B2">
        <w:rPr>
          <w:rFonts w:ascii="Arial" w:hAnsi="Arial" w:cs="Arial"/>
          <w:noProof/>
          <w:sz w:val="20"/>
        </w:rPr>
        <w:tab/>
        <w:t xml:space="preserve">Patro R, Duggal G, Love MI, Irizarry RA, Kingsford C (2017) Salmon provides fast and bias-aware quantification of transcript expression. </w:t>
      </w:r>
      <w:r w:rsidRPr="003707B2">
        <w:rPr>
          <w:rFonts w:ascii="Arial" w:hAnsi="Arial" w:cs="Arial"/>
          <w:i/>
          <w:iCs/>
          <w:noProof/>
          <w:sz w:val="20"/>
        </w:rPr>
        <w:t>Nat Methods</w:t>
      </w:r>
      <w:r w:rsidRPr="003707B2">
        <w:rPr>
          <w:rFonts w:ascii="Arial" w:hAnsi="Arial" w:cs="Arial"/>
          <w:noProof/>
          <w:sz w:val="20"/>
        </w:rPr>
        <w:t xml:space="preserve"> 14(4):417–419.</w:t>
      </w:r>
    </w:p>
    <w:p w14:paraId="2D54FA67" w14:textId="77777777" w:rsidR="00312009" w:rsidRPr="003707B2" w:rsidRDefault="00312009" w:rsidP="00312009">
      <w:pPr>
        <w:widowControl w:val="0"/>
        <w:autoSpaceDE w:val="0"/>
        <w:autoSpaceDN w:val="0"/>
        <w:adjustRightInd w:val="0"/>
        <w:ind w:left="640" w:hanging="640"/>
        <w:rPr>
          <w:rFonts w:ascii="Arial" w:hAnsi="Arial" w:cs="Arial"/>
          <w:noProof/>
          <w:sz w:val="20"/>
        </w:rPr>
      </w:pPr>
      <w:r w:rsidRPr="003707B2">
        <w:rPr>
          <w:rFonts w:ascii="Arial" w:hAnsi="Arial" w:cs="Arial"/>
          <w:noProof/>
          <w:sz w:val="20"/>
        </w:rPr>
        <w:t xml:space="preserve">7. </w:t>
      </w:r>
      <w:r w:rsidRPr="003707B2">
        <w:rPr>
          <w:rFonts w:ascii="Arial" w:hAnsi="Arial" w:cs="Arial"/>
          <w:noProof/>
          <w:sz w:val="20"/>
        </w:rPr>
        <w:tab/>
        <w:t xml:space="preserve">Robinson MD, McCarthy DJ, Smyth GK (2010) edgeR: a Bioconductor package for differential expression analysis of digital gene expression data. </w:t>
      </w:r>
      <w:r w:rsidRPr="003707B2">
        <w:rPr>
          <w:rFonts w:ascii="Arial" w:hAnsi="Arial" w:cs="Arial"/>
          <w:i/>
          <w:iCs/>
          <w:noProof/>
          <w:sz w:val="20"/>
        </w:rPr>
        <w:t>Bioinformatics</w:t>
      </w:r>
      <w:r w:rsidRPr="003707B2">
        <w:rPr>
          <w:rFonts w:ascii="Arial" w:hAnsi="Arial" w:cs="Arial"/>
          <w:noProof/>
          <w:sz w:val="20"/>
        </w:rPr>
        <w:t xml:space="preserve"> 26(1):139–40.</w:t>
      </w:r>
    </w:p>
    <w:p w14:paraId="3016FBA3" w14:textId="77777777" w:rsidR="00312009" w:rsidRPr="003707B2" w:rsidRDefault="00312009" w:rsidP="00312009">
      <w:pPr>
        <w:widowControl w:val="0"/>
        <w:autoSpaceDE w:val="0"/>
        <w:autoSpaceDN w:val="0"/>
        <w:adjustRightInd w:val="0"/>
        <w:ind w:left="640" w:hanging="640"/>
        <w:rPr>
          <w:rFonts w:ascii="Arial" w:hAnsi="Arial" w:cs="Arial"/>
          <w:noProof/>
          <w:sz w:val="20"/>
        </w:rPr>
      </w:pPr>
      <w:r w:rsidRPr="003707B2">
        <w:rPr>
          <w:rFonts w:ascii="Arial" w:hAnsi="Arial" w:cs="Arial"/>
          <w:noProof/>
          <w:sz w:val="20"/>
        </w:rPr>
        <w:t xml:space="preserve">8. </w:t>
      </w:r>
      <w:r w:rsidRPr="003707B2">
        <w:rPr>
          <w:rFonts w:ascii="Arial" w:hAnsi="Arial" w:cs="Arial"/>
          <w:noProof/>
          <w:sz w:val="20"/>
        </w:rPr>
        <w:tab/>
        <w:t xml:space="preserve">Ritchie ME, et al. (2015) limma powers differential expression analyses for RNA-sequencing and microarray studies. </w:t>
      </w:r>
      <w:r w:rsidRPr="003707B2">
        <w:rPr>
          <w:rFonts w:ascii="Arial" w:hAnsi="Arial" w:cs="Arial"/>
          <w:i/>
          <w:iCs/>
          <w:noProof/>
          <w:sz w:val="20"/>
        </w:rPr>
        <w:t>Nucleic Acids Res</w:t>
      </w:r>
      <w:r w:rsidRPr="003707B2">
        <w:rPr>
          <w:rFonts w:ascii="Arial" w:hAnsi="Arial" w:cs="Arial"/>
          <w:noProof/>
          <w:sz w:val="20"/>
        </w:rPr>
        <w:t xml:space="preserve"> 43(7):e47.</w:t>
      </w:r>
    </w:p>
    <w:p w14:paraId="7CC07B38" w14:textId="77777777" w:rsidR="00312009" w:rsidRPr="003707B2" w:rsidRDefault="00312009" w:rsidP="00312009">
      <w:pPr>
        <w:widowControl w:val="0"/>
        <w:autoSpaceDE w:val="0"/>
        <w:autoSpaceDN w:val="0"/>
        <w:adjustRightInd w:val="0"/>
        <w:ind w:left="640" w:hanging="640"/>
        <w:rPr>
          <w:rFonts w:ascii="Arial" w:hAnsi="Arial" w:cs="Arial"/>
          <w:noProof/>
          <w:sz w:val="20"/>
        </w:rPr>
      </w:pPr>
      <w:r w:rsidRPr="003707B2">
        <w:rPr>
          <w:rFonts w:ascii="Arial" w:hAnsi="Arial" w:cs="Arial"/>
          <w:noProof/>
          <w:sz w:val="20"/>
        </w:rPr>
        <w:t xml:space="preserve">9. </w:t>
      </w:r>
      <w:r w:rsidRPr="003707B2">
        <w:rPr>
          <w:rFonts w:ascii="Arial" w:hAnsi="Arial" w:cs="Arial"/>
          <w:noProof/>
          <w:sz w:val="20"/>
        </w:rPr>
        <w:tab/>
        <w:t xml:space="preserve">Leek JT (2014) svaseq: removing batch effects and other unwanted noise from sequencing data. </w:t>
      </w:r>
      <w:r w:rsidRPr="003707B2">
        <w:rPr>
          <w:rFonts w:ascii="Arial" w:hAnsi="Arial" w:cs="Arial"/>
          <w:i/>
          <w:iCs/>
          <w:noProof/>
          <w:sz w:val="20"/>
        </w:rPr>
        <w:t>Nucleic Acids Res</w:t>
      </w:r>
      <w:r w:rsidRPr="003707B2">
        <w:rPr>
          <w:rFonts w:ascii="Arial" w:hAnsi="Arial" w:cs="Arial"/>
          <w:noProof/>
          <w:sz w:val="20"/>
        </w:rPr>
        <w:t xml:space="preserve"> 42(21):e161–e161.</w:t>
      </w:r>
    </w:p>
    <w:p w14:paraId="7F441FD5" w14:textId="77777777" w:rsidR="00312009" w:rsidRPr="003707B2" w:rsidRDefault="00312009" w:rsidP="00312009">
      <w:pPr>
        <w:widowControl w:val="0"/>
        <w:autoSpaceDE w:val="0"/>
        <w:autoSpaceDN w:val="0"/>
        <w:adjustRightInd w:val="0"/>
        <w:ind w:left="640" w:hanging="640"/>
        <w:rPr>
          <w:rFonts w:ascii="Arial" w:hAnsi="Arial" w:cs="Arial"/>
          <w:noProof/>
          <w:sz w:val="20"/>
        </w:rPr>
      </w:pPr>
      <w:r w:rsidRPr="003707B2">
        <w:rPr>
          <w:rFonts w:ascii="Arial" w:hAnsi="Arial" w:cs="Arial"/>
          <w:noProof/>
          <w:sz w:val="20"/>
        </w:rPr>
        <w:t xml:space="preserve">10. </w:t>
      </w:r>
      <w:r w:rsidRPr="003707B2">
        <w:rPr>
          <w:rFonts w:ascii="Arial" w:hAnsi="Arial" w:cs="Arial"/>
          <w:noProof/>
          <w:sz w:val="20"/>
        </w:rPr>
        <w:tab/>
        <w:t xml:space="preserve">Subramanian A, et al. (2005) Gene set enrichment analysis: a knowledge-based approach for interpreting genome-wide expression profiles. </w:t>
      </w:r>
      <w:r w:rsidRPr="003707B2">
        <w:rPr>
          <w:rFonts w:ascii="Arial" w:hAnsi="Arial" w:cs="Arial"/>
          <w:i/>
          <w:iCs/>
          <w:noProof/>
          <w:sz w:val="20"/>
        </w:rPr>
        <w:t>Proc Natl Acad Sci U S A</w:t>
      </w:r>
      <w:r w:rsidRPr="003707B2">
        <w:rPr>
          <w:rFonts w:ascii="Arial" w:hAnsi="Arial" w:cs="Arial"/>
          <w:noProof/>
          <w:sz w:val="20"/>
        </w:rPr>
        <w:t xml:space="preserve"> 102(43):15545–50.</w:t>
      </w:r>
    </w:p>
    <w:p w14:paraId="73861E65" w14:textId="77777777" w:rsidR="00312009" w:rsidRPr="003707B2" w:rsidRDefault="00312009" w:rsidP="00312009">
      <w:pPr>
        <w:widowControl w:val="0"/>
        <w:autoSpaceDE w:val="0"/>
        <w:autoSpaceDN w:val="0"/>
        <w:adjustRightInd w:val="0"/>
        <w:ind w:left="640" w:hanging="640"/>
        <w:rPr>
          <w:rFonts w:ascii="Arial" w:hAnsi="Arial" w:cs="Arial"/>
          <w:noProof/>
          <w:sz w:val="20"/>
        </w:rPr>
      </w:pPr>
      <w:r w:rsidRPr="003707B2">
        <w:rPr>
          <w:rFonts w:ascii="Arial" w:hAnsi="Arial" w:cs="Arial"/>
          <w:noProof/>
          <w:sz w:val="20"/>
        </w:rPr>
        <w:t xml:space="preserve">11. </w:t>
      </w:r>
      <w:r w:rsidRPr="003707B2">
        <w:rPr>
          <w:rFonts w:ascii="Arial" w:hAnsi="Arial" w:cs="Arial"/>
          <w:noProof/>
          <w:sz w:val="20"/>
        </w:rPr>
        <w:tab/>
        <w:t xml:space="preserve">Ye IC, et al. (2018) Molecular Portrait of Hypoxia in Breast Cancer: A Prognostic Signature and Novel HIF-Regulated Genes. </w:t>
      </w:r>
      <w:r w:rsidRPr="003707B2">
        <w:rPr>
          <w:rFonts w:ascii="Arial" w:hAnsi="Arial" w:cs="Arial"/>
          <w:i/>
          <w:iCs/>
          <w:noProof/>
          <w:sz w:val="20"/>
        </w:rPr>
        <w:t>Mol Cancer Res</w:t>
      </w:r>
      <w:r w:rsidRPr="003707B2">
        <w:rPr>
          <w:rFonts w:ascii="Arial" w:hAnsi="Arial" w:cs="Arial"/>
          <w:noProof/>
          <w:sz w:val="20"/>
        </w:rPr>
        <w:t xml:space="preserve"> 16(12):1889–1901.</w:t>
      </w:r>
    </w:p>
    <w:p w14:paraId="7B48F7CF" w14:textId="77777777" w:rsidR="00312009" w:rsidRPr="003707B2" w:rsidRDefault="00312009" w:rsidP="00312009">
      <w:pPr>
        <w:widowControl w:val="0"/>
        <w:autoSpaceDE w:val="0"/>
        <w:autoSpaceDN w:val="0"/>
        <w:adjustRightInd w:val="0"/>
        <w:ind w:left="640" w:hanging="640"/>
        <w:rPr>
          <w:rFonts w:ascii="Arial" w:hAnsi="Arial" w:cs="Arial"/>
          <w:noProof/>
          <w:sz w:val="20"/>
        </w:rPr>
      </w:pPr>
      <w:r w:rsidRPr="003707B2">
        <w:rPr>
          <w:rFonts w:ascii="Arial" w:hAnsi="Arial" w:cs="Arial"/>
          <w:noProof/>
          <w:sz w:val="20"/>
        </w:rPr>
        <w:t xml:space="preserve">12. </w:t>
      </w:r>
      <w:r w:rsidRPr="003707B2">
        <w:rPr>
          <w:rFonts w:ascii="Arial" w:hAnsi="Arial" w:cs="Arial"/>
          <w:noProof/>
          <w:sz w:val="20"/>
        </w:rPr>
        <w:tab/>
        <w:t xml:space="preserve">Reston VA (2013) </w:t>
      </w:r>
      <w:r w:rsidRPr="003707B2">
        <w:rPr>
          <w:rFonts w:ascii="Arial" w:hAnsi="Arial" w:cs="Arial"/>
          <w:i/>
          <w:iCs/>
          <w:noProof/>
          <w:sz w:val="20"/>
        </w:rPr>
        <w:t>The American College of Radiology (ACR) (2013) Breast Imaging Reporting and Data System Atlas (BI-RADS® Atlas)</w:t>
      </w:r>
      <w:r w:rsidRPr="003707B2">
        <w:rPr>
          <w:rFonts w:ascii="Arial" w:hAnsi="Arial" w:cs="Arial"/>
          <w:noProof/>
          <w:sz w:val="20"/>
        </w:rPr>
        <w:t>.</w:t>
      </w:r>
    </w:p>
    <w:p w14:paraId="1974C43D" w14:textId="3AFB9EC5" w:rsidR="00CE1E67" w:rsidRPr="001C72FB" w:rsidRDefault="00312009" w:rsidP="00312009">
      <w:pPr>
        <w:pBdr>
          <w:top w:val="nil"/>
          <w:left w:val="nil"/>
          <w:bottom w:val="nil"/>
          <w:right w:val="nil"/>
          <w:between w:val="nil"/>
        </w:pBdr>
        <w:rPr>
          <w:rFonts w:ascii="Arial" w:eastAsia="Arial" w:hAnsi="Arial" w:cs="Arial"/>
          <w:color w:val="333333"/>
          <w:sz w:val="20"/>
          <w:szCs w:val="20"/>
        </w:rPr>
      </w:pPr>
      <w:r w:rsidRPr="003707B2">
        <w:rPr>
          <w:rFonts w:ascii="Arial" w:eastAsia="Arial" w:hAnsi="Arial" w:cs="Arial"/>
          <w:b/>
          <w:color w:val="000000"/>
          <w:sz w:val="20"/>
          <w:szCs w:val="20"/>
        </w:rPr>
        <w:fldChar w:fldCharType="end"/>
      </w:r>
      <w:bookmarkStart w:id="1" w:name="_GoBack"/>
      <w:bookmarkEnd w:id="1"/>
    </w:p>
    <w:sectPr w:rsidR="00CE1E67" w:rsidRPr="001C72FB">
      <w:headerReference w:type="default" r:id="rId11"/>
      <w:footerReference w:type="default" r:id="rId12"/>
      <w:pgSz w:w="12240" w:h="15840"/>
      <w:pgMar w:top="1440" w:right="1800" w:bottom="1440" w:left="1800" w:header="720" w:footer="720" w:gutter="0"/>
      <w:pgNumType w:start="1"/>
      <w:cols w:space="72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7D1FF75" w16cid:durableId="2162D8C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FC3891" w14:textId="77777777" w:rsidR="00D71A5A" w:rsidRDefault="00D71A5A">
      <w:pPr>
        <w:spacing w:line="240" w:lineRule="auto"/>
      </w:pPr>
      <w:r>
        <w:separator/>
      </w:r>
    </w:p>
  </w:endnote>
  <w:endnote w:type="continuationSeparator" w:id="0">
    <w:p w14:paraId="4F4D7E08" w14:textId="77777777" w:rsidR="00D71A5A" w:rsidRDefault="00D71A5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9EA6F2" w14:textId="0199B3B3" w:rsidR="00CE1E67" w:rsidRDefault="00BD41CE">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sidR="003707B2">
      <w:rPr>
        <w:noProof/>
        <w:color w:val="000000"/>
      </w:rPr>
      <w:t>12</w:t>
    </w:r>
    <w:r>
      <w:rPr>
        <w:color w:val="000000"/>
      </w:rPr>
      <w:fldChar w:fldCharType="end"/>
    </w:r>
  </w:p>
  <w:p w14:paraId="39776CCE" w14:textId="77777777" w:rsidR="00CE1E67" w:rsidRDefault="00CE1E67">
    <w:pPr>
      <w:pBdr>
        <w:top w:val="nil"/>
        <w:left w:val="nil"/>
        <w:bottom w:val="nil"/>
        <w:right w:val="nil"/>
        <w:between w:val="nil"/>
      </w:pBdr>
      <w:tabs>
        <w:tab w:val="center" w:pos="4680"/>
        <w:tab w:val="right" w:pos="9360"/>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1D86C1" w14:textId="77777777" w:rsidR="00D71A5A" w:rsidRDefault="00D71A5A">
      <w:pPr>
        <w:spacing w:line="240" w:lineRule="auto"/>
      </w:pPr>
      <w:r>
        <w:separator/>
      </w:r>
    </w:p>
  </w:footnote>
  <w:footnote w:type="continuationSeparator" w:id="0">
    <w:p w14:paraId="7FAD2C5B" w14:textId="77777777" w:rsidR="00D71A5A" w:rsidRDefault="00D71A5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0481C" w14:textId="77777777" w:rsidR="00CE1E67" w:rsidRDefault="00CE1E67">
    <w:pPr>
      <w:jc w:val="right"/>
      <w:rPr>
        <w:sz w:val="20"/>
        <w:szCs w:val="20"/>
      </w:rPr>
    </w:pPr>
  </w:p>
  <w:p w14:paraId="3F1B4D90" w14:textId="77777777" w:rsidR="00CE1E67" w:rsidRDefault="00CE1E67"/>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1E67"/>
    <w:rsid w:val="000C40DC"/>
    <w:rsid w:val="00156CFB"/>
    <w:rsid w:val="001C62A3"/>
    <w:rsid w:val="001C72FB"/>
    <w:rsid w:val="001D04EC"/>
    <w:rsid w:val="001E47E5"/>
    <w:rsid w:val="00213C13"/>
    <w:rsid w:val="00312009"/>
    <w:rsid w:val="00333371"/>
    <w:rsid w:val="003707B2"/>
    <w:rsid w:val="003748E9"/>
    <w:rsid w:val="004207F2"/>
    <w:rsid w:val="005B0A08"/>
    <w:rsid w:val="00623237"/>
    <w:rsid w:val="00682268"/>
    <w:rsid w:val="007C4C44"/>
    <w:rsid w:val="007D4086"/>
    <w:rsid w:val="008221E6"/>
    <w:rsid w:val="008D77AF"/>
    <w:rsid w:val="00921CA2"/>
    <w:rsid w:val="00A14091"/>
    <w:rsid w:val="00AA1094"/>
    <w:rsid w:val="00AE2C96"/>
    <w:rsid w:val="00BD41CE"/>
    <w:rsid w:val="00CD6B2B"/>
    <w:rsid w:val="00CE1E67"/>
    <w:rsid w:val="00D46022"/>
    <w:rsid w:val="00D47A29"/>
    <w:rsid w:val="00D71A5A"/>
    <w:rsid w:val="00D755A8"/>
    <w:rsid w:val="00FF0064"/>
    <w:rsid w:val="00FF1F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BEFEEF"/>
  <w15:docId w15:val="{FBF09E5A-50D4-B246-861A-4E406A0EC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spacing w:before="240" w:after="60"/>
      <w:outlineLvl w:val="0"/>
    </w:pPr>
    <w:rPr>
      <w:b/>
    </w:rPr>
  </w:style>
  <w:style w:type="paragraph" w:styleId="Heading2">
    <w:name w:val="heading 2"/>
    <w:basedOn w:val="Normal"/>
    <w:next w:val="Normal"/>
    <w:uiPriority w:val="9"/>
    <w:unhideWhenUsed/>
    <w:qFormat/>
    <w:pPr>
      <w:keepNext/>
      <w:spacing w:before="240" w:after="60"/>
      <w:outlineLvl w:val="1"/>
    </w:pPr>
    <w:rPr>
      <w:rFonts w:ascii="Cambria" w:eastAsia="Cambria" w:hAnsi="Cambria" w:cs="Cambria"/>
      <w:b/>
      <w:i/>
      <w:sz w:val="28"/>
      <w:szCs w:val="28"/>
    </w:rPr>
  </w:style>
  <w:style w:type="paragraph" w:styleId="Heading3">
    <w:name w:val="heading 3"/>
    <w:basedOn w:val="Normal"/>
    <w:next w:val="Normal"/>
    <w:uiPriority w:val="9"/>
    <w:unhideWhenUsed/>
    <w:qFormat/>
    <w:pPr>
      <w:keepNext/>
      <w:spacing w:line="480" w:lineRule="auto"/>
      <w:outlineLvl w:val="2"/>
    </w:pPr>
    <w:rPr>
      <w:rFonts w:ascii="Times" w:eastAsia="Times" w:hAnsi="Times" w:cs="Times"/>
      <w:b/>
    </w:rPr>
  </w:style>
  <w:style w:type="paragraph" w:styleId="Heading4">
    <w:name w:val="heading 4"/>
    <w:basedOn w:val="Normal"/>
    <w:next w:val="Normal"/>
    <w:uiPriority w:val="9"/>
    <w:semiHidden/>
    <w:unhideWhenUsed/>
    <w:qFormat/>
    <w:pPr>
      <w:keepNext/>
      <w:spacing w:line="480" w:lineRule="auto"/>
      <w:outlineLvl w:val="3"/>
    </w:pPr>
    <w:rPr>
      <w:rFonts w:ascii="Times" w:eastAsia="Times" w:hAnsi="Times" w:cs="Times"/>
      <w:b/>
      <w:color w:val="0000FF"/>
      <w:sz w:val="44"/>
      <w:szCs w:val="44"/>
    </w:rPr>
  </w:style>
  <w:style w:type="paragraph" w:styleId="Heading5">
    <w:name w:val="heading 5"/>
    <w:basedOn w:val="Normal"/>
    <w:next w:val="Normal"/>
    <w:uiPriority w:val="9"/>
    <w:semiHidden/>
    <w:unhideWhenUsed/>
    <w:qFormat/>
    <w:pPr>
      <w:spacing w:before="240" w:after="60"/>
      <w:outlineLvl w:val="4"/>
    </w:pPr>
    <w:rPr>
      <w:rFonts w:ascii="Calibri" w:eastAsia="Calibri" w:hAnsi="Calibri" w:cs="Calibri"/>
      <w:b/>
      <w:i/>
      <w:sz w:val="26"/>
      <w:szCs w:val="26"/>
    </w:rPr>
  </w:style>
  <w:style w:type="paragraph" w:styleId="Heading6">
    <w:name w:val="heading 6"/>
    <w:basedOn w:val="Normal"/>
    <w:next w:val="Normal"/>
    <w:uiPriority w:val="9"/>
    <w:semiHidden/>
    <w:unhideWhenUsed/>
    <w:qFormat/>
    <w:pPr>
      <w:spacing w:before="240" w:after="60"/>
      <w:outlineLvl w:val="5"/>
    </w:pPr>
    <w:rPr>
      <w:rFonts w:ascii="Calibri" w:eastAsia="Calibri" w:hAnsi="Calibri" w:cs="Calibri"/>
      <w:b/>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spacing w:before="240" w:after="60"/>
      <w:jc w:val="center"/>
    </w:pPr>
    <w:rPr>
      <w:rFonts w:ascii="Cambria" w:eastAsia="Cambria" w:hAnsi="Cambria" w:cs="Cambria"/>
      <w:b/>
      <w:sz w:val="32"/>
      <w:szCs w:val="32"/>
    </w:rPr>
  </w:style>
  <w:style w:type="paragraph" w:styleId="Subtitle">
    <w:name w:val="Subtitle"/>
    <w:basedOn w:val="Normal"/>
    <w:next w:val="Normal"/>
    <w:uiPriority w:val="11"/>
    <w:qFormat/>
    <w:pPr>
      <w:spacing w:after="60"/>
      <w:jc w:val="center"/>
    </w:pPr>
    <w:rPr>
      <w:rFonts w:ascii="Cambria" w:eastAsia="Cambria" w:hAnsi="Cambria" w:cs="Cambria"/>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paragraph" w:styleId="BalloonText">
    <w:name w:val="Balloon Text"/>
    <w:basedOn w:val="Normal"/>
    <w:link w:val="BalloonTextChar"/>
    <w:uiPriority w:val="99"/>
    <w:semiHidden/>
    <w:unhideWhenUsed/>
    <w:rsid w:val="00333371"/>
    <w:pPr>
      <w:spacing w:line="240" w:lineRule="auto"/>
    </w:pPr>
    <w:rPr>
      <w:sz w:val="18"/>
      <w:szCs w:val="18"/>
    </w:rPr>
  </w:style>
  <w:style w:type="character" w:customStyle="1" w:styleId="BalloonTextChar">
    <w:name w:val="Balloon Text Char"/>
    <w:basedOn w:val="DefaultParagraphFont"/>
    <w:link w:val="BalloonText"/>
    <w:uiPriority w:val="99"/>
    <w:semiHidden/>
    <w:rsid w:val="00333371"/>
    <w:rPr>
      <w:sz w:val="18"/>
      <w:szCs w:val="18"/>
    </w:rPr>
  </w:style>
  <w:style w:type="character" w:styleId="CommentReference">
    <w:name w:val="annotation reference"/>
    <w:basedOn w:val="DefaultParagraphFont"/>
    <w:uiPriority w:val="99"/>
    <w:semiHidden/>
    <w:unhideWhenUsed/>
    <w:rsid w:val="001C72FB"/>
    <w:rPr>
      <w:sz w:val="16"/>
      <w:szCs w:val="16"/>
    </w:rPr>
  </w:style>
  <w:style w:type="paragraph" w:styleId="CommentText">
    <w:name w:val="annotation text"/>
    <w:basedOn w:val="Normal"/>
    <w:link w:val="CommentTextChar"/>
    <w:uiPriority w:val="99"/>
    <w:semiHidden/>
    <w:unhideWhenUsed/>
    <w:rsid w:val="001C72FB"/>
    <w:pPr>
      <w:spacing w:line="240" w:lineRule="auto"/>
    </w:pPr>
    <w:rPr>
      <w:sz w:val="20"/>
      <w:szCs w:val="20"/>
    </w:rPr>
  </w:style>
  <w:style w:type="character" w:customStyle="1" w:styleId="CommentTextChar">
    <w:name w:val="Comment Text Char"/>
    <w:basedOn w:val="DefaultParagraphFont"/>
    <w:link w:val="CommentText"/>
    <w:uiPriority w:val="99"/>
    <w:semiHidden/>
    <w:rsid w:val="001C72FB"/>
    <w:rPr>
      <w:sz w:val="20"/>
      <w:szCs w:val="20"/>
    </w:rPr>
  </w:style>
  <w:style w:type="paragraph" w:styleId="CommentSubject">
    <w:name w:val="annotation subject"/>
    <w:basedOn w:val="CommentText"/>
    <w:next w:val="CommentText"/>
    <w:link w:val="CommentSubjectChar"/>
    <w:uiPriority w:val="99"/>
    <w:semiHidden/>
    <w:unhideWhenUsed/>
    <w:rsid w:val="001C72FB"/>
    <w:rPr>
      <w:b/>
      <w:bCs/>
    </w:rPr>
  </w:style>
  <w:style w:type="character" w:customStyle="1" w:styleId="CommentSubjectChar">
    <w:name w:val="Comment Subject Char"/>
    <w:basedOn w:val="CommentTextChar"/>
    <w:link w:val="CommentSubject"/>
    <w:uiPriority w:val="99"/>
    <w:semiHidden/>
    <w:rsid w:val="001C72F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72901F-6C5E-4743-AA94-74CECA8011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6510</Words>
  <Characters>37113</Characters>
  <Application>Microsoft Office Word</Application>
  <DocSecurity>0</DocSecurity>
  <Lines>309</Lines>
  <Paragraphs>87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43536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Ramona</dc:creator>
  <cp:lastModifiedBy>Ramona Woitek</cp:lastModifiedBy>
  <cp:revision>2</cp:revision>
  <dcterms:created xsi:type="dcterms:W3CDTF">2020-01-20T09:43:00Z</dcterms:created>
  <dcterms:modified xsi:type="dcterms:W3CDTF">2020-01-20T09:43:00Z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http://www.zotero.org/styles/american-sociological-association</vt:lpwstr>
  </property>
  <property fmtid="{D5CDD505-2E9C-101B-9397-08002B2CF9AE}" pid="3" name="Mendeley Recent Style Name 0_1">
    <vt:lpwstr>American Sociological Association</vt:lpwstr>
  </property>
  <property fmtid="{D5CDD505-2E9C-101B-9397-08002B2CF9AE}" pid="4" name="Mendeley Recent Style Id 1_1">
    <vt:lpwstr>http://csl.mendeley.com/styles/445172951/biomed-central-2</vt:lpwstr>
  </property>
  <property fmtid="{D5CDD505-2E9C-101B-9397-08002B2CF9AE}" pid="5" name="Mendeley Recent Style Name 1_1">
    <vt:lpwstr>BioMed Central - Ramona Woitek</vt:lpwstr>
  </property>
  <property fmtid="{D5CDD505-2E9C-101B-9397-08002B2CF9AE}" pid="6" name="Mendeley Recent Style Id 2_1">
    <vt:lpwstr>http://www.zotero.org/styles/breast-cancer-research-and-treatment</vt:lpwstr>
  </property>
  <property fmtid="{D5CDD505-2E9C-101B-9397-08002B2CF9AE}" pid="7" name="Mendeley Recent Style Name 2_1">
    <vt:lpwstr>Breast Cancer Research and Treatment</vt:lpwstr>
  </property>
  <property fmtid="{D5CDD505-2E9C-101B-9397-08002B2CF9AE}" pid="8" name="Mendeley Recent Style Id 3_1">
    <vt:lpwstr>http://www.zotero.org/styles/british-journal-of-cancer</vt:lpwstr>
  </property>
  <property fmtid="{D5CDD505-2E9C-101B-9397-08002B2CF9AE}" pid="9" name="Mendeley Recent Style Name 3_1">
    <vt:lpwstr>British Journal of Cancer</vt:lpwstr>
  </property>
  <property fmtid="{D5CDD505-2E9C-101B-9397-08002B2CF9AE}" pid="10" name="Mendeley Recent Style Id 4_1">
    <vt:lpwstr>http://www.zotero.org/styles/european-journal-of-radiology</vt:lpwstr>
  </property>
  <property fmtid="{D5CDD505-2E9C-101B-9397-08002B2CF9AE}" pid="11" name="Mendeley Recent Style Name 4_1">
    <vt:lpwstr>European Journal of Radiology</vt:lpwstr>
  </property>
  <property fmtid="{D5CDD505-2E9C-101B-9397-08002B2CF9AE}" pid="12" name="Mendeley Recent Style Id 5_1">
    <vt:lpwstr>http://www.zotero.org/styles/european-radiology</vt:lpwstr>
  </property>
  <property fmtid="{D5CDD505-2E9C-101B-9397-08002B2CF9AE}" pid="13" name="Mendeley Recent Style Name 5_1">
    <vt:lpwstr>European Radiology</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http://www.zotero.org/styles/neuroradiology</vt:lpwstr>
  </property>
  <property fmtid="{D5CDD505-2E9C-101B-9397-08002B2CF9AE}" pid="17" name="Mendeley Recent Style Name 7_1">
    <vt:lpwstr>Neuroradiology</vt:lpwstr>
  </property>
  <property fmtid="{D5CDD505-2E9C-101B-9397-08002B2CF9AE}" pid="18" name="Mendeley Recent Style Id 8_1">
    <vt:lpwstr>http://www.zotero.org/styles/pnas</vt:lpwstr>
  </property>
  <property fmtid="{D5CDD505-2E9C-101B-9397-08002B2CF9AE}" pid="19" name="Mendeley Recent Style Name 8_1">
    <vt:lpwstr>Proceedings of the National Academy of Sciences of the United States of America</vt:lpwstr>
  </property>
  <property fmtid="{D5CDD505-2E9C-101B-9397-08002B2CF9AE}" pid="20" name="Mendeley Recent Style Id 9_1">
    <vt:lpwstr>http://csl.mendeley.com/styles/445172951/FWF</vt:lpwstr>
  </property>
  <property fmtid="{D5CDD505-2E9C-101B-9397-08002B2CF9AE}" pid="21" name="Mendeley Recent Style Name 9_1">
    <vt:lpwstr>Vancouver - Ramona Woitek</vt:lpwstr>
  </property>
  <property fmtid="{D5CDD505-2E9C-101B-9397-08002B2CF9AE}" pid="22" name="Mendeley Citation Style_1">
    <vt:lpwstr>http://www.zotero.org/styles/pnas</vt:lpwstr>
  </property>
  <property fmtid="{D5CDD505-2E9C-101B-9397-08002B2CF9AE}" pid="23" name="Mendeley Document_1">
    <vt:lpwstr>True</vt:lpwstr>
  </property>
  <property fmtid="{D5CDD505-2E9C-101B-9397-08002B2CF9AE}" pid="24" name="Mendeley Unique User Id_1">
    <vt:lpwstr>a72fda4a-485c-3da9-a37b-4b140109f423</vt:lpwstr>
  </property>
</Properties>
</file>