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5726" w:rsidRPr="00FF5726" w:rsidRDefault="00FF5726" w:rsidP="00FF5726">
      <w:pPr>
        <w:rPr>
          <w:lang w:val="it-IT"/>
        </w:rPr>
      </w:pPr>
      <w:r w:rsidRPr="00FF5726">
        <w:rPr>
          <w:lang w:val="it-IT"/>
        </w:rPr>
        <w:t xml:space="preserve">Lombardist Glosses on Feudal Custom: Text, Gloss and </w:t>
      </w:r>
      <w:r w:rsidRPr="00FF5726">
        <w:rPr>
          <w:i/>
          <w:lang w:val="it-IT"/>
        </w:rPr>
        <w:t>Usus Feudi</w:t>
      </w:r>
      <w:r w:rsidRPr="00FF5726">
        <w:rPr>
          <w:lang w:val="it-IT"/>
        </w:rPr>
        <w:t>*</w:t>
      </w:r>
    </w:p>
    <w:p w:rsidR="00FF5726" w:rsidRPr="00FF5726" w:rsidRDefault="00FF5726" w:rsidP="00FF5726">
      <w:pPr>
        <w:rPr>
          <w:lang w:val="it-IT"/>
        </w:rPr>
      </w:pPr>
      <w:r w:rsidRPr="00FF5726">
        <w:rPr>
          <w:lang w:val="it-IT"/>
        </w:rPr>
        <w:t>by Magnus Ryan, Cambridge</w:t>
      </w:r>
    </w:p>
    <w:p w:rsidR="00FF5726" w:rsidRPr="00FF5726" w:rsidRDefault="00FF5726" w:rsidP="00FF5726">
      <w:pPr>
        <w:rPr>
          <w:lang w:val="it-IT"/>
        </w:rPr>
      </w:pPr>
    </w:p>
    <w:p w:rsidR="00FF5726" w:rsidRPr="00FF5726" w:rsidRDefault="00FF5726" w:rsidP="00FF5726">
      <w:pPr>
        <w:rPr>
          <w:lang w:val="it-IT"/>
        </w:rPr>
      </w:pPr>
      <w:r w:rsidRPr="00FF5726">
        <w:rPr>
          <w:lang w:val="it-IT"/>
        </w:rPr>
        <w:t xml:space="preserve">The first substantial text to survive about fiefs and vassals is called by modern convention the </w:t>
      </w:r>
      <w:r w:rsidRPr="00FF5726">
        <w:rPr>
          <w:i/>
          <w:lang w:val="it-IT"/>
        </w:rPr>
        <w:t>Libri</w:t>
      </w:r>
      <w:r w:rsidRPr="00FF5726">
        <w:rPr>
          <w:lang w:val="it-IT"/>
        </w:rPr>
        <w:t xml:space="preserve"> </w:t>
      </w:r>
      <w:r w:rsidRPr="00FF5726">
        <w:rPr>
          <w:i/>
          <w:lang w:val="it-IT"/>
        </w:rPr>
        <w:t>feudorum</w:t>
      </w:r>
      <w:r w:rsidRPr="00FF5726">
        <w:rPr>
          <w:lang w:val="it-IT"/>
        </w:rPr>
        <w:t>.</w:t>
      </w:r>
      <w:r w:rsidRPr="00FF5726">
        <w:rPr>
          <w:vertAlign w:val="superscript"/>
          <w:lang w:val="it-IT"/>
        </w:rPr>
        <w:footnoteReference w:id="1"/>
      </w:r>
      <w:r w:rsidRPr="00FF5726">
        <w:rPr>
          <w:lang w:val="it-IT"/>
        </w:rPr>
        <w:t xml:space="preserve"> Every legal historian knows at least something about the </w:t>
      </w:r>
      <w:r w:rsidRPr="00FF5726">
        <w:rPr>
          <w:i/>
          <w:lang w:val="it-IT"/>
        </w:rPr>
        <w:t>Libri</w:t>
      </w:r>
      <w:r w:rsidRPr="00FF5726">
        <w:rPr>
          <w:lang w:val="it-IT"/>
        </w:rPr>
        <w:t xml:space="preserve"> </w:t>
      </w:r>
      <w:r w:rsidRPr="00FF5726">
        <w:rPr>
          <w:i/>
          <w:lang w:val="it-IT"/>
        </w:rPr>
        <w:t>feudorum</w:t>
      </w:r>
      <w:r w:rsidRPr="00FF5726">
        <w:rPr>
          <w:lang w:val="it-IT"/>
        </w:rPr>
        <w:t>: that the text is a collection of short treatises composed by different people, probably in Pavia and certainly Milan, spanning most of the twelfth century;</w:t>
      </w:r>
      <w:r w:rsidRPr="00FF5726">
        <w:rPr>
          <w:vertAlign w:val="superscript"/>
          <w:lang w:val="it-IT"/>
        </w:rPr>
        <w:footnoteReference w:id="2"/>
      </w:r>
      <w:r w:rsidRPr="00FF5726">
        <w:rPr>
          <w:lang w:val="it-IT"/>
        </w:rPr>
        <w:t xml:space="preserve"> that the text eventually joined the </w:t>
      </w:r>
      <w:r w:rsidRPr="00FF5726">
        <w:rPr>
          <w:i/>
          <w:lang w:val="it-IT"/>
        </w:rPr>
        <w:t>Corpus Iuris Civilis</w:t>
      </w:r>
      <w:r w:rsidRPr="00FF5726">
        <w:rPr>
          <w:lang w:val="it-IT"/>
        </w:rPr>
        <w:t xml:space="preserve"> as the final section of the Novels or </w:t>
      </w:r>
      <w:r w:rsidRPr="00FF5726">
        <w:rPr>
          <w:i/>
          <w:lang w:val="it-IT"/>
        </w:rPr>
        <w:t>Decima collatio de feudis</w:t>
      </w:r>
      <w:r w:rsidRPr="00FF5726">
        <w:rPr>
          <w:lang w:val="it-IT"/>
        </w:rPr>
        <w:t xml:space="preserve"> where, glossed by Accursius, it served as the foundation for what would become the later medieval </w:t>
      </w:r>
      <w:r w:rsidRPr="00FF5726">
        <w:rPr>
          <w:i/>
          <w:lang w:val="it-IT"/>
        </w:rPr>
        <w:t>ius commune feudorum</w:t>
      </w:r>
      <w:r w:rsidRPr="00FF5726">
        <w:rPr>
          <w:lang w:val="it-IT"/>
        </w:rPr>
        <w:t xml:space="preserve">. The text is an intriguing combination of different genres. The earliest identifiable version, known as the </w:t>
      </w:r>
      <w:r w:rsidRPr="00FF5726">
        <w:rPr>
          <w:i/>
          <w:lang w:val="it-IT"/>
        </w:rPr>
        <w:t>recensio antiqua</w:t>
      </w:r>
      <w:r w:rsidRPr="00FF5726">
        <w:rPr>
          <w:lang w:val="it-IT"/>
        </w:rPr>
        <w:t xml:space="preserve">, clearly consists in part of commentaries on the constitution issued by Conrad II at the siege of Milan in the year 1037 (the so called </w:t>
      </w:r>
      <w:r w:rsidRPr="00FF5726">
        <w:rPr>
          <w:i/>
          <w:lang w:val="it-IT"/>
        </w:rPr>
        <w:t>Edictum de feudis</w:t>
      </w:r>
      <w:r w:rsidRPr="00FF5726">
        <w:rPr>
          <w:lang w:val="it-IT"/>
        </w:rPr>
        <w:t>).</w:t>
      </w:r>
      <w:r w:rsidRPr="00FF5726">
        <w:rPr>
          <w:vertAlign w:val="superscript"/>
          <w:lang w:val="it-IT"/>
        </w:rPr>
        <w:footnoteReference w:id="3"/>
      </w:r>
      <w:r w:rsidRPr="00FF5726">
        <w:rPr>
          <w:lang w:val="it-IT"/>
        </w:rPr>
        <w:t xml:space="preserve"> It also contains descriptions of custom according to various courts in the kingdom of Lombardy, in the second half of the text specifically that of Milan but Pavia, Verona, Parma, Lucca, Pisa, and Mantua amongst other places are also mentioned</w:t>
      </w:r>
      <w:commentRangeStart w:id="0"/>
      <w:r w:rsidRPr="00FF5726">
        <w:rPr>
          <w:lang w:val="it-IT"/>
        </w:rPr>
        <w:t>.</w:t>
      </w:r>
      <w:r w:rsidRPr="00FF5726">
        <w:rPr>
          <w:vertAlign w:val="superscript"/>
          <w:lang w:val="it-IT"/>
        </w:rPr>
        <w:footnoteReference w:id="4"/>
      </w:r>
      <w:commentRangeEnd w:id="0"/>
      <w:r w:rsidRPr="00FF5726">
        <w:commentReference w:id="0"/>
      </w:r>
      <w:r w:rsidRPr="00FF5726">
        <w:rPr>
          <w:lang w:val="it-IT"/>
        </w:rPr>
        <w:t xml:space="preserve"> The later versions of the text also contain authentic legislation from the emperors Lothar III and Frederick Barbarossa, as well as a scattering of texts </w:t>
      </w:r>
      <w:r w:rsidRPr="00FF5726">
        <w:rPr>
          <w:lang w:val="it-IT"/>
        </w:rPr>
        <w:lastRenderedPageBreak/>
        <w:t>implausibly attributed to an emperor Henry (presumably Henry III was intended) and which are probably writing-exercises or a capricious form of private treatise.</w:t>
      </w:r>
      <w:r w:rsidRPr="00FF5726">
        <w:rPr>
          <w:vertAlign w:val="superscript"/>
          <w:lang w:val="it-IT"/>
        </w:rPr>
        <w:footnoteReference w:id="5"/>
      </w:r>
      <w:r w:rsidRPr="00FF5726">
        <w:rPr>
          <w:lang w:val="it-IT"/>
        </w:rPr>
        <w:t xml:space="preserve"> </w:t>
      </w:r>
    </w:p>
    <w:p w:rsidR="00FF5726" w:rsidRPr="00FF5726" w:rsidRDefault="00FF5726" w:rsidP="00FF5726">
      <w:pPr>
        <w:rPr>
          <w:lang w:val="it-IT"/>
        </w:rPr>
      </w:pPr>
      <w:r w:rsidRPr="00FF5726">
        <w:rPr>
          <w:lang w:val="it-IT"/>
        </w:rPr>
        <w:t xml:space="preserve">The purpose of the following discussion is not to give a resumé of the textual and exegetical history of the </w:t>
      </w:r>
      <w:r w:rsidRPr="00FF5726">
        <w:rPr>
          <w:i/>
          <w:lang w:val="it-IT"/>
        </w:rPr>
        <w:t>Libri feudorum</w:t>
      </w:r>
      <w:r w:rsidRPr="00FF5726">
        <w:rPr>
          <w:lang w:val="it-IT"/>
        </w:rPr>
        <w:t>, but</w:t>
      </w:r>
      <w:r w:rsidRPr="00FF5726">
        <w:rPr>
          <w:i/>
          <w:lang w:val="it-IT"/>
        </w:rPr>
        <w:t xml:space="preserve"> </w:t>
      </w:r>
      <w:r w:rsidRPr="00FF5726">
        <w:rPr>
          <w:lang w:val="it-IT"/>
        </w:rPr>
        <w:t xml:space="preserve">to introduce some fresh information about what Lombardist legal scholarship on lords, vassals and fiefs looked like at the time the first recension of the </w:t>
      </w:r>
      <w:r w:rsidRPr="00FF5726">
        <w:rPr>
          <w:i/>
          <w:lang w:val="it-IT"/>
        </w:rPr>
        <w:t>Libri feudorum</w:t>
      </w:r>
      <w:r w:rsidRPr="00FF5726">
        <w:rPr>
          <w:lang w:val="it-IT"/>
        </w:rPr>
        <w:t xml:space="preserve"> was first reaching circulation.</w:t>
      </w:r>
      <w:r w:rsidRPr="00FF5726">
        <w:rPr>
          <w:vertAlign w:val="superscript"/>
          <w:lang w:val="it-IT"/>
        </w:rPr>
        <w:footnoteReference w:id="6"/>
      </w:r>
      <w:r w:rsidRPr="00FF5726">
        <w:rPr>
          <w:lang w:val="it-IT"/>
        </w:rPr>
        <w:t xml:space="preserve"> In substance, the object is to introduce a number of mid-twelfth-century glosses in manuscripts of the </w:t>
      </w:r>
      <w:r w:rsidRPr="00FF5726">
        <w:rPr>
          <w:i/>
          <w:lang w:val="it-IT"/>
        </w:rPr>
        <w:t>Lombarda</w:t>
      </w:r>
      <w:r w:rsidRPr="00FF5726">
        <w:rPr>
          <w:lang w:val="it-IT"/>
        </w:rPr>
        <w:t xml:space="preserve"> and to offer a preliminary evaluation of them with an eye to what they might tell us about the </w:t>
      </w:r>
      <w:r w:rsidRPr="00FF5726">
        <w:rPr>
          <w:i/>
          <w:lang w:val="it-IT"/>
        </w:rPr>
        <w:t>Libri feudorum</w:t>
      </w:r>
      <w:r w:rsidRPr="00FF5726">
        <w:rPr>
          <w:lang w:val="it-IT"/>
        </w:rPr>
        <w:t xml:space="preserve"> as a new literary venture. Principally although not exclusively on account of the early, commentary-like </w:t>
      </w:r>
      <w:commentRangeStart w:id="1"/>
      <w:r w:rsidRPr="00FF5726">
        <w:rPr>
          <w:lang w:val="it-IT"/>
        </w:rPr>
        <w:t>materials</w:t>
      </w:r>
      <w:commentRangeEnd w:id="1"/>
      <w:r w:rsidRPr="00FF5726">
        <w:commentReference w:id="1"/>
      </w:r>
      <w:r w:rsidRPr="00FF5726">
        <w:rPr>
          <w:lang w:val="it-IT"/>
        </w:rPr>
        <w:t xml:space="preserve">, the </w:t>
      </w:r>
      <w:r w:rsidRPr="00FF5726">
        <w:rPr>
          <w:i/>
          <w:lang w:val="it-IT"/>
        </w:rPr>
        <w:t>Libri</w:t>
      </w:r>
      <w:r w:rsidRPr="00FF5726">
        <w:rPr>
          <w:lang w:val="it-IT"/>
        </w:rPr>
        <w:t xml:space="preserve"> </w:t>
      </w:r>
      <w:r w:rsidRPr="00FF5726">
        <w:rPr>
          <w:i/>
          <w:lang w:val="it-IT"/>
        </w:rPr>
        <w:t>feudorum</w:t>
      </w:r>
      <w:r w:rsidRPr="00FF5726">
        <w:rPr>
          <w:lang w:val="it-IT"/>
        </w:rPr>
        <w:t xml:space="preserve"> are commonly thought to represent a degree of scholarly endeavour, of apparently bookish if not actually academic discussion. It is that last characteristic which is of interest here. Much has been written about the surviving Lombardist commentaries or </w:t>
      </w:r>
      <w:r w:rsidRPr="00FF5726">
        <w:rPr>
          <w:i/>
          <w:lang w:val="it-IT"/>
        </w:rPr>
        <w:t xml:space="preserve">summae </w:t>
      </w:r>
      <w:r w:rsidRPr="00FF5726">
        <w:rPr>
          <w:lang w:val="it-IT"/>
        </w:rPr>
        <w:t xml:space="preserve">on the </w:t>
      </w:r>
      <w:r w:rsidRPr="00FF5726">
        <w:rPr>
          <w:i/>
          <w:lang w:val="it-IT"/>
        </w:rPr>
        <w:t>Lombarda</w:t>
      </w:r>
      <w:r w:rsidRPr="00FF5726">
        <w:rPr>
          <w:lang w:val="it-IT"/>
        </w:rPr>
        <w:t xml:space="preserve"> and some attention has been paid to the relationship between this literature and the early history of the </w:t>
      </w:r>
      <w:r w:rsidRPr="00FF5726">
        <w:rPr>
          <w:i/>
          <w:lang w:val="it-IT"/>
        </w:rPr>
        <w:t>Libri feudorum</w:t>
      </w:r>
      <w:r w:rsidRPr="00FF5726">
        <w:rPr>
          <w:lang w:val="it-IT"/>
        </w:rPr>
        <w:t>.</w:t>
      </w:r>
      <w:r w:rsidRPr="00FF5726">
        <w:rPr>
          <w:vertAlign w:val="superscript"/>
          <w:lang w:val="it-IT"/>
        </w:rPr>
        <w:footnoteReference w:id="7"/>
      </w:r>
      <w:r w:rsidRPr="00FF5726">
        <w:rPr>
          <w:lang w:val="it-IT"/>
        </w:rPr>
        <w:t xml:space="preserve"> The glosses about to be discussed add a further level of detail to the mid-twelfth-century landscape and allow us to address with greater precision the questions of how scholarly a source the </w:t>
      </w:r>
      <w:r w:rsidRPr="00FF5726">
        <w:rPr>
          <w:i/>
          <w:lang w:val="it-IT"/>
        </w:rPr>
        <w:t>Libri</w:t>
      </w:r>
      <w:r w:rsidRPr="00FF5726">
        <w:rPr>
          <w:lang w:val="it-IT"/>
        </w:rPr>
        <w:t xml:space="preserve"> </w:t>
      </w:r>
      <w:r w:rsidRPr="00FF5726">
        <w:rPr>
          <w:i/>
          <w:lang w:val="it-IT"/>
        </w:rPr>
        <w:t>feudorum</w:t>
      </w:r>
      <w:r w:rsidRPr="00FF5726">
        <w:rPr>
          <w:lang w:val="it-IT"/>
        </w:rPr>
        <w:t xml:space="preserve"> are and how useful the description of important parts of the text as academic is. </w:t>
      </w:r>
    </w:p>
    <w:p w:rsidR="00FF5726" w:rsidRPr="00FF5726" w:rsidRDefault="00FF5726" w:rsidP="00FF5726">
      <w:pPr>
        <w:rPr>
          <w:lang w:val="it-IT"/>
        </w:rPr>
      </w:pPr>
      <w:r w:rsidRPr="00FF5726">
        <w:rPr>
          <w:lang w:val="it-IT"/>
        </w:rPr>
        <w:t xml:space="preserve">It should be repeated that even the first recension of the </w:t>
      </w:r>
      <w:r w:rsidRPr="00FF5726">
        <w:rPr>
          <w:i/>
          <w:lang w:val="it-IT"/>
        </w:rPr>
        <w:t>Libri feudorum</w:t>
      </w:r>
      <w:r w:rsidRPr="00FF5726">
        <w:rPr>
          <w:lang w:val="it-IT"/>
        </w:rPr>
        <w:t xml:space="preserve"> is heterogeneous in character and changes as the text proceeds, because several of the authors – and, it may be mentioned in passing, </w:t>
      </w:r>
      <w:r w:rsidRPr="00FF5726">
        <w:rPr>
          <w:i/>
          <w:lang w:val="it-IT"/>
        </w:rPr>
        <w:t>a fortiori</w:t>
      </w:r>
      <w:r w:rsidRPr="00FF5726">
        <w:rPr>
          <w:lang w:val="it-IT"/>
        </w:rPr>
        <w:t xml:space="preserve"> those responsible for many of the texts which were added to form the second recension – were highly attentive to and formed by court practice. Professor Padoa Schioppa, after analysing the </w:t>
      </w:r>
      <w:r w:rsidRPr="00FF5726">
        <w:rPr>
          <w:i/>
          <w:lang w:val="it-IT"/>
        </w:rPr>
        <w:t>acta publica</w:t>
      </w:r>
      <w:r w:rsidRPr="00FF5726">
        <w:rPr>
          <w:lang w:val="it-IT"/>
        </w:rPr>
        <w:t xml:space="preserve"> of the commune of Milan, concluded that a great deal of what is described in </w:t>
      </w:r>
      <w:r w:rsidRPr="00FF5726">
        <w:rPr>
          <w:lang w:val="it-IT"/>
        </w:rPr>
        <w:lastRenderedPageBreak/>
        <w:t xml:space="preserve">the </w:t>
      </w:r>
      <w:r w:rsidRPr="00FF5726">
        <w:rPr>
          <w:i/>
          <w:lang w:val="it-IT"/>
        </w:rPr>
        <w:t>Libri</w:t>
      </w:r>
      <w:r w:rsidRPr="00FF5726">
        <w:rPr>
          <w:lang w:val="it-IT"/>
        </w:rPr>
        <w:t xml:space="preserve"> </w:t>
      </w:r>
      <w:r w:rsidRPr="00FF5726">
        <w:rPr>
          <w:i/>
          <w:lang w:val="it-IT"/>
        </w:rPr>
        <w:t>feudorum</w:t>
      </w:r>
      <w:r w:rsidRPr="00FF5726">
        <w:rPr>
          <w:lang w:val="it-IT"/>
        </w:rPr>
        <w:t xml:space="preserve"> had been taken, as it were, from life.</w:t>
      </w:r>
      <w:r w:rsidRPr="00FF5726">
        <w:rPr>
          <w:vertAlign w:val="superscript"/>
          <w:lang w:val="it-IT"/>
        </w:rPr>
        <w:footnoteReference w:id="8"/>
      </w:r>
      <w:r w:rsidRPr="00FF5726">
        <w:rPr>
          <w:lang w:val="it-IT"/>
        </w:rPr>
        <w:t xml:space="preserve"> At least some of the authors of the </w:t>
      </w:r>
      <w:r w:rsidRPr="00FF5726">
        <w:rPr>
          <w:i/>
          <w:lang w:val="it-IT"/>
        </w:rPr>
        <w:t>Libri</w:t>
      </w:r>
      <w:r w:rsidRPr="00FF5726">
        <w:rPr>
          <w:lang w:val="it-IT"/>
        </w:rPr>
        <w:t>, as well as a number of other people mentioned in the text, were active as judges, arbiters and consultants, sometimes over a wide area of Lombardy, Emilia and the Veneto.</w:t>
      </w:r>
      <w:r w:rsidRPr="00FF5726">
        <w:rPr>
          <w:vertAlign w:val="superscript"/>
          <w:lang w:val="it-IT"/>
        </w:rPr>
        <w:footnoteReference w:id="9"/>
      </w:r>
      <w:r w:rsidRPr="00FF5726">
        <w:rPr>
          <w:lang w:val="it-IT"/>
        </w:rPr>
        <w:t xml:space="preserve"> Padoa Schioppa’s results have more recently been summarised by Professor Di Renzo Villata who concurred that many of the paragraphs of the </w:t>
      </w:r>
      <w:r w:rsidRPr="00FF5726">
        <w:rPr>
          <w:i/>
          <w:lang w:val="it-IT"/>
        </w:rPr>
        <w:t>Libri</w:t>
      </w:r>
      <w:r w:rsidRPr="00FF5726">
        <w:rPr>
          <w:lang w:val="it-IT"/>
        </w:rPr>
        <w:t xml:space="preserve"> </w:t>
      </w:r>
      <w:r w:rsidRPr="00FF5726">
        <w:rPr>
          <w:i/>
          <w:lang w:val="it-IT"/>
        </w:rPr>
        <w:t>feudorum</w:t>
      </w:r>
      <w:r w:rsidRPr="00FF5726">
        <w:rPr>
          <w:lang w:val="it-IT"/>
        </w:rPr>
        <w:t xml:space="preserve"> reflect the experience of their authors in court.</w:t>
      </w:r>
      <w:r w:rsidRPr="00FF5726">
        <w:rPr>
          <w:vertAlign w:val="superscript"/>
          <w:lang w:val="it-IT"/>
        </w:rPr>
        <w:footnoteReference w:id="10"/>
      </w:r>
      <w:r w:rsidRPr="00FF5726">
        <w:rPr>
          <w:lang w:val="it-IT"/>
        </w:rPr>
        <w:t xml:space="preserve"> The second half of the first recension or </w:t>
      </w:r>
      <w:r w:rsidRPr="00FF5726">
        <w:rPr>
          <w:i/>
          <w:lang w:val="it-IT"/>
        </w:rPr>
        <w:t xml:space="preserve">Antiqua </w:t>
      </w:r>
      <w:r w:rsidRPr="00FF5726">
        <w:rPr>
          <w:lang w:val="it-IT"/>
        </w:rPr>
        <w:t xml:space="preserve">was written by Oberto dall’Orto and written very well indeed. With his contribution, the </w:t>
      </w:r>
      <w:r w:rsidRPr="00FF5726">
        <w:rPr>
          <w:i/>
          <w:lang w:val="it-IT"/>
        </w:rPr>
        <w:t>Libri</w:t>
      </w:r>
      <w:r w:rsidRPr="00FF5726">
        <w:rPr>
          <w:lang w:val="it-IT"/>
        </w:rPr>
        <w:t xml:space="preserve"> become something like an articulated exposition of feudal custom. As a result, the </w:t>
      </w:r>
      <w:r w:rsidRPr="00FF5726">
        <w:rPr>
          <w:i/>
          <w:lang w:val="it-IT"/>
        </w:rPr>
        <w:t>Libri</w:t>
      </w:r>
      <w:r w:rsidRPr="00FF5726">
        <w:rPr>
          <w:lang w:val="it-IT"/>
        </w:rPr>
        <w:t xml:space="preserve"> </w:t>
      </w:r>
      <w:r w:rsidRPr="00FF5726">
        <w:rPr>
          <w:i/>
          <w:lang w:val="it-IT"/>
        </w:rPr>
        <w:t>feudorum</w:t>
      </w:r>
      <w:r w:rsidRPr="00FF5726">
        <w:rPr>
          <w:lang w:val="it-IT"/>
        </w:rPr>
        <w:t xml:space="preserve"> are in part the record of learned reflection, partly a description of custom, and partly a very intelligent reaction to custom and the gaps in custom. One of the more striking qualities of this text is that  it represents the confluence </w:t>
      </w:r>
      <w:commentRangeStart w:id="2"/>
      <w:commentRangeStart w:id="3"/>
      <w:r w:rsidRPr="00FF5726">
        <w:rPr>
          <w:lang w:val="it-IT"/>
        </w:rPr>
        <w:t>of</w:t>
      </w:r>
      <w:commentRangeEnd w:id="2"/>
      <w:r w:rsidRPr="00FF5726">
        <w:commentReference w:id="2"/>
      </w:r>
      <w:commentRangeEnd w:id="3"/>
      <w:r w:rsidRPr="00FF5726">
        <w:commentReference w:id="3"/>
      </w:r>
      <w:r w:rsidRPr="00FF5726">
        <w:rPr>
          <w:lang w:val="it-IT"/>
        </w:rPr>
        <w:t xml:space="preserve"> science and practice. It was for this reason that Kantorowicz called the </w:t>
      </w:r>
      <w:r w:rsidRPr="00FF5726">
        <w:rPr>
          <w:i/>
          <w:lang w:val="it-IT"/>
        </w:rPr>
        <w:t>Libri</w:t>
      </w:r>
      <w:r w:rsidRPr="00FF5726">
        <w:rPr>
          <w:lang w:val="it-IT"/>
        </w:rPr>
        <w:t xml:space="preserve"> one of the most impressive juristic achievements of the twelfth century.</w:t>
      </w:r>
      <w:r w:rsidRPr="00FF5726">
        <w:rPr>
          <w:vertAlign w:val="superscript"/>
          <w:lang w:val="it-IT"/>
        </w:rPr>
        <w:footnoteReference w:id="11"/>
      </w:r>
      <w:r w:rsidRPr="00FF5726">
        <w:rPr>
          <w:lang w:val="it-IT"/>
        </w:rPr>
        <w:t xml:space="preserve"> The importance of expert training and erudition in the genesis of the feudal law was later emphasized by Professor Weimar, who characterized the early parts of the </w:t>
      </w:r>
      <w:r w:rsidRPr="00FF5726">
        <w:rPr>
          <w:i/>
          <w:lang w:val="it-IT"/>
        </w:rPr>
        <w:t>Libri</w:t>
      </w:r>
      <w:r w:rsidRPr="00FF5726">
        <w:rPr>
          <w:lang w:val="it-IT"/>
        </w:rPr>
        <w:t xml:space="preserve"> as ‘gelehrte Abhandlungen’.</w:t>
      </w:r>
      <w:r w:rsidRPr="00FF5726">
        <w:rPr>
          <w:vertAlign w:val="superscript"/>
          <w:lang w:val="it-IT"/>
        </w:rPr>
        <w:footnoteReference w:id="12"/>
      </w:r>
      <w:r w:rsidRPr="00FF5726">
        <w:rPr>
          <w:lang w:val="it-IT"/>
        </w:rPr>
        <w:t xml:space="preserve"> </w:t>
      </w:r>
    </w:p>
    <w:p w:rsidR="00FF5726" w:rsidRPr="00FF5726" w:rsidRDefault="00FF5726" w:rsidP="00FF5726">
      <w:pPr>
        <w:rPr>
          <w:lang w:val="it-IT"/>
        </w:rPr>
      </w:pPr>
      <w:r w:rsidRPr="00FF5726">
        <w:rPr>
          <w:lang w:val="it-IT"/>
        </w:rPr>
        <w:t xml:space="preserve">It is now time to enquire a little more deeply into the state of Lombardist learning on the kind of material which filled the </w:t>
      </w:r>
      <w:r w:rsidRPr="00FF5726">
        <w:rPr>
          <w:i/>
          <w:lang w:val="it-IT"/>
        </w:rPr>
        <w:t>Libri feudorum</w:t>
      </w:r>
      <w:r w:rsidRPr="00FF5726">
        <w:rPr>
          <w:lang w:val="it-IT"/>
        </w:rPr>
        <w:t>.</w:t>
      </w:r>
      <w:r w:rsidRPr="00FF5726">
        <w:rPr>
          <w:i/>
          <w:lang w:val="it-IT"/>
        </w:rPr>
        <w:t xml:space="preserve"> </w:t>
      </w:r>
      <w:r w:rsidRPr="00FF5726">
        <w:rPr>
          <w:lang w:val="it-IT"/>
        </w:rPr>
        <w:t xml:space="preserve">A scrutiny of eighteen glossed manuscripts of Lombard law arranged in the </w:t>
      </w:r>
      <w:r w:rsidRPr="00FF5726">
        <w:rPr>
          <w:i/>
          <w:lang w:val="it-IT"/>
        </w:rPr>
        <w:t>Lombarda</w:t>
      </w:r>
      <w:r w:rsidRPr="00FF5726">
        <w:rPr>
          <w:lang w:val="it-IT"/>
        </w:rPr>
        <w:t xml:space="preserve"> form which have been available for the present study reveals that Lombardists had only just become interested in fiefs and vassals by the mid-twelfth century. In the one </w:t>
      </w:r>
      <w:r w:rsidRPr="00FF5726">
        <w:rPr>
          <w:i/>
          <w:lang w:val="it-IT"/>
        </w:rPr>
        <w:t>Lombarda</w:t>
      </w:r>
      <w:r w:rsidRPr="00FF5726">
        <w:rPr>
          <w:lang w:val="it-IT"/>
        </w:rPr>
        <w:t xml:space="preserve"> manuscript to contain the complete first recension of the </w:t>
      </w:r>
      <w:r w:rsidRPr="00FF5726">
        <w:rPr>
          <w:i/>
          <w:lang w:val="it-IT"/>
        </w:rPr>
        <w:t>Libri</w:t>
      </w:r>
      <w:r w:rsidRPr="00FF5726">
        <w:rPr>
          <w:lang w:val="it-IT"/>
        </w:rPr>
        <w:t xml:space="preserve"> </w:t>
      </w:r>
      <w:r w:rsidRPr="00FF5726">
        <w:rPr>
          <w:i/>
          <w:lang w:val="it-IT"/>
        </w:rPr>
        <w:t>feudorum</w:t>
      </w:r>
      <w:r w:rsidRPr="00FF5726">
        <w:rPr>
          <w:lang w:val="it-IT"/>
        </w:rPr>
        <w:t xml:space="preserve"> (Berlin SBPK lat. fol. 462), the </w:t>
      </w:r>
      <w:r w:rsidRPr="00FF5726">
        <w:rPr>
          <w:i/>
          <w:lang w:val="it-IT"/>
        </w:rPr>
        <w:t>Lombarda</w:t>
      </w:r>
      <w:r w:rsidRPr="00FF5726">
        <w:rPr>
          <w:lang w:val="it-IT"/>
        </w:rPr>
        <w:t xml:space="preserve"> is heavily glossed but the </w:t>
      </w:r>
      <w:r w:rsidRPr="00FF5726">
        <w:rPr>
          <w:i/>
          <w:lang w:val="it-IT"/>
        </w:rPr>
        <w:t>Libri</w:t>
      </w:r>
      <w:r w:rsidRPr="00FF5726">
        <w:rPr>
          <w:lang w:val="it-IT"/>
        </w:rPr>
        <w:t xml:space="preserve"> are not and the sparse glosses to the </w:t>
      </w:r>
      <w:r w:rsidRPr="00FF5726">
        <w:rPr>
          <w:i/>
          <w:lang w:val="it-IT"/>
        </w:rPr>
        <w:t>Libri feudorum</w:t>
      </w:r>
      <w:r w:rsidRPr="00FF5726">
        <w:rPr>
          <w:lang w:val="it-IT"/>
        </w:rPr>
        <w:t xml:space="preserve"> are also not in the same hand as those to the </w:t>
      </w:r>
      <w:r w:rsidRPr="00FF5726">
        <w:rPr>
          <w:i/>
          <w:lang w:val="it-IT"/>
        </w:rPr>
        <w:t>Lombarda</w:t>
      </w:r>
      <w:r w:rsidRPr="00FF5726">
        <w:rPr>
          <w:vertAlign w:val="superscript"/>
          <w:lang w:val="it-IT"/>
        </w:rPr>
        <w:footnoteReference w:id="13"/>
      </w:r>
      <w:r w:rsidRPr="00FF5726">
        <w:rPr>
          <w:lang w:val="it-IT"/>
        </w:rPr>
        <w:t xml:space="preserve"> More importantly, this is also true of Conrad II's constitution of 1037, actually a part of the </w:t>
      </w:r>
      <w:r w:rsidRPr="00FF5726">
        <w:rPr>
          <w:i/>
          <w:lang w:val="it-IT"/>
        </w:rPr>
        <w:t>Lombarda</w:t>
      </w:r>
      <w:r w:rsidRPr="00FF5726">
        <w:rPr>
          <w:lang w:val="it-IT"/>
        </w:rPr>
        <w:t xml:space="preserve">: none of the manuscripts of the </w:t>
      </w:r>
      <w:r w:rsidRPr="00FF5726">
        <w:rPr>
          <w:i/>
          <w:lang w:val="it-IT"/>
        </w:rPr>
        <w:t>Lombarda</w:t>
      </w:r>
      <w:r w:rsidRPr="00FF5726">
        <w:rPr>
          <w:lang w:val="it-IT"/>
        </w:rPr>
        <w:t xml:space="preserve"> contain </w:t>
      </w:r>
      <w:r w:rsidRPr="00FF5726">
        <w:rPr>
          <w:lang w:val="it-IT"/>
        </w:rPr>
        <w:lastRenderedPageBreak/>
        <w:t>more than occasional glosses to this text. In some, the 1037 constitution is misattributed: three manuscripts ascribe it to Charlemagne,</w:t>
      </w:r>
      <w:r w:rsidRPr="00FF5726">
        <w:rPr>
          <w:vertAlign w:val="superscript"/>
          <w:lang w:val="it-IT"/>
        </w:rPr>
        <w:footnoteReference w:id="14"/>
      </w:r>
      <w:r w:rsidRPr="00FF5726">
        <w:rPr>
          <w:lang w:val="it-IT"/>
        </w:rPr>
        <w:t xml:space="preserve"> another one to an Otto.</w:t>
      </w:r>
      <w:r w:rsidRPr="00FF5726">
        <w:rPr>
          <w:vertAlign w:val="superscript"/>
          <w:lang w:val="it-IT"/>
        </w:rPr>
        <w:footnoteReference w:id="15"/>
      </w:r>
      <w:r w:rsidRPr="00FF5726">
        <w:rPr>
          <w:lang w:val="it-IT"/>
        </w:rPr>
        <w:t xml:space="preserve"> Such vagueness over the pedigree of  the 1037 constitution indicates something less than the reverence towards their texts – at least towards this particular text – which has been attributed to the lawyers responsible for the first detailed writings on fiefs and vassals, but that is a detail.</w:t>
      </w:r>
      <w:commentRangeStart w:id="4"/>
      <w:r w:rsidRPr="00FF5726">
        <w:rPr>
          <w:lang w:val="it-IT"/>
        </w:rPr>
        <w:t>.</w:t>
      </w:r>
      <w:r w:rsidRPr="00FF5726">
        <w:rPr>
          <w:vertAlign w:val="superscript"/>
          <w:lang w:val="it-IT"/>
        </w:rPr>
        <w:footnoteReference w:id="16"/>
      </w:r>
      <w:commentRangeEnd w:id="4"/>
      <w:r w:rsidRPr="00FF5726">
        <w:commentReference w:id="4"/>
      </w:r>
      <w:r w:rsidRPr="00FF5726">
        <w:rPr>
          <w:lang w:val="it-IT"/>
        </w:rPr>
        <w:t xml:space="preserve"> The far more important finding to emerge from an examination of these manuscripts is that the older, denser, mainstream glossing of the Lombard law runs out when we reach the 1037 constitution, and, conversely, cross-references to the 1037 constitution in the glosses to other titles in the </w:t>
      </w:r>
      <w:r w:rsidRPr="00FF5726">
        <w:rPr>
          <w:i/>
          <w:lang w:val="it-IT"/>
        </w:rPr>
        <w:t>Lombarda</w:t>
      </w:r>
      <w:r w:rsidRPr="00FF5726">
        <w:rPr>
          <w:lang w:val="it-IT"/>
        </w:rPr>
        <w:t xml:space="preserve"> are extremely rare.</w:t>
      </w:r>
      <w:r w:rsidRPr="00FF5726">
        <w:rPr>
          <w:vertAlign w:val="superscript"/>
          <w:lang w:val="it-IT"/>
        </w:rPr>
        <w:footnoteReference w:id="17"/>
      </w:r>
      <w:r w:rsidRPr="00FF5726">
        <w:rPr>
          <w:lang w:val="it-IT"/>
        </w:rPr>
        <w:t xml:space="preserve"> Famously, only one free-standing commentary by Ariprand survives on the </w:t>
      </w:r>
      <w:r w:rsidRPr="00FF5726">
        <w:rPr>
          <w:i/>
          <w:lang w:val="it-IT"/>
        </w:rPr>
        <w:t xml:space="preserve">Lombarda </w:t>
      </w:r>
      <w:r w:rsidRPr="00FF5726">
        <w:rPr>
          <w:lang w:val="it-IT"/>
        </w:rPr>
        <w:t xml:space="preserve">title 3.8, </w:t>
      </w:r>
      <w:r w:rsidRPr="00FF5726">
        <w:rPr>
          <w:i/>
          <w:lang w:val="it-IT"/>
        </w:rPr>
        <w:t>De beneficiis et terris tributariis</w:t>
      </w:r>
      <w:r w:rsidRPr="00FF5726">
        <w:rPr>
          <w:lang w:val="it-IT"/>
        </w:rPr>
        <w:t>, where the constitution was located, together with a brief re-working of it apparently by Aliprand</w:t>
      </w:r>
      <w:commentRangeStart w:id="5"/>
      <w:r w:rsidRPr="00FF5726">
        <w:rPr>
          <w:lang w:val="it-IT"/>
        </w:rPr>
        <w:t>.</w:t>
      </w:r>
      <w:r w:rsidRPr="00FF5726">
        <w:rPr>
          <w:vertAlign w:val="superscript"/>
          <w:lang w:val="it-IT"/>
        </w:rPr>
        <w:footnoteReference w:id="18"/>
      </w:r>
      <w:commentRangeEnd w:id="5"/>
      <w:r w:rsidRPr="00FF5726">
        <w:commentReference w:id="5"/>
      </w:r>
    </w:p>
    <w:p w:rsidR="00FF5726" w:rsidRPr="00FF5726" w:rsidRDefault="00FF5726" w:rsidP="00FF5726">
      <w:pPr>
        <w:rPr>
          <w:lang w:val="it-IT"/>
        </w:rPr>
      </w:pPr>
      <w:r w:rsidRPr="00FF5726">
        <w:rPr>
          <w:lang w:val="it-IT"/>
        </w:rPr>
        <w:t xml:space="preserve">It has hitherto been overlooked that fiefs and vassals are occasionally mentioned in glosses to other texts in the </w:t>
      </w:r>
      <w:r w:rsidRPr="00FF5726">
        <w:rPr>
          <w:i/>
          <w:lang w:val="it-IT"/>
        </w:rPr>
        <w:t>Lombarda</w:t>
      </w:r>
      <w:r w:rsidRPr="00FF5726">
        <w:rPr>
          <w:lang w:val="it-IT"/>
        </w:rPr>
        <w:t xml:space="preserve">. There is a comparatively rich vein of such </w:t>
      </w:r>
      <w:r w:rsidRPr="00FF5726">
        <w:rPr>
          <w:lang w:val="it-IT"/>
        </w:rPr>
        <w:lastRenderedPageBreak/>
        <w:t>glosses in the manuscript Paris BN Lat. 8944.</w:t>
      </w:r>
      <w:r w:rsidRPr="00FF5726">
        <w:rPr>
          <w:vertAlign w:val="superscript"/>
          <w:lang w:val="it-IT"/>
        </w:rPr>
        <w:footnoteReference w:id="19"/>
      </w:r>
      <w:r w:rsidRPr="00FF5726">
        <w:rPr>
          <w:lang w:val="it-IT"/>
        </w:rPr>
        <w:t xml:space="preserve"> At </w:t>
      </w:r>
      <w:r w:rsidRPr="00FF5726">
        <w:rPr>
          <w:i/>
          <w:lang w:val="it-IT"/>
        </w:rPr>
        <w:t>Lombarda</w:t>
      </w:r>
      <w:r w:rsidRPr="00FF5726">
        <w:rPr>
          <w:lang w:val="it-IT"/>
        </w:rPr>
        <w:t xml:space="preserve"> 2.14.1 (</w:t>
      </w:r>
      <w:r w:rsidRPr="00FF5726">
        <w:rPr>
          <w:i/>
          <w:lang w:val="it-IT"/>
        </w:rPr>
        <w:t>De successionibus l. Omnis parentela</w:t>
      </w:r>
      <w:r w:rsidRPr="00FF5726">
        <w:rPr>
          <w:lang w:val="it-IT"/>
        </w:rPr>
        <w:t xml:space="preserve">, = Roth. 153), Rothari establishes amongst other things that a claimant to a succession must be able to name the dead members of his </w:t>
      </w:r>
      <w:r w:rsidRPr="00FF5726">
        <w:rPr>
          <w:i/>
          <w:lang w:val="it-IT"/>
        </w:rPr>
        <w:t>parentela</w:t>
      </w:r>
      <w:r w:rsidRPr="00FF5726">
        <w:rPr>
          <w:lang w:val="it-IT"/>
        </w:rPr>
        <w:t>. A gloss at this point reads:</w:t>
      </w:r>
    </w:p>
    <w:p w:rsidR="00FF5726" w:rsidRPr="00FF5726" w:rsidRDefault="00FF5726" w:rsidP="00FF5726">
      <w:pPr>
        <w:rPr>
          <w:lang w:val="it-IT"/>
        </w:rPr>
      </w:pPr>
      <w:r w:rsidRPr="00FF5726">
        <w:rPr>
          <w:lang w:val="it-IT"/>
        </w:rPr>
        <w:t>Hinc usus feudi habetur, quod si vasalli parentes petant a domino feudum, dominus autem dicat eos non esse vasalli parentes, tunc prebeant cum sacramentalibus suis sacramentum quod eorum parentela sic fuit et illi sic fuerint ei parentes quomodo nos dicimus. A.</w:t>
      </w:r>
      <w:r w:rsidRPr="00FF5726">
        <w:rPr>
          <w:vertAlign w:val="superscript"/>
          <w:lang w:val="it-IT"/>
        </w:rPr>
        <w:footnoteReference w:id="20"/>
      </w:r>
      <w:r w:rsidRPr="00FF5726">
        <w:rPr>
          <w:lang w:val="it-IT"/>
        </w:rPr>
        <w:t xml:space="preserve"> </w:t>
      </w:r>
    </w:p>
    <w:p w:rsidR="00FF5726" w:rsidRPr="00FF5726" w:rsidRDefault="00FF5726" w:rsidP="00FF5726">
      <w:r w:rsidRPr="00FF5726">
        <w:t xml:space="preserve">The ancient procedure of the king's court as set down in Rothari's </w:t>
      </w:r>
      <w:r w:rsidRPr="00FF5726">
        <w:rPr>
          <w:i/>
        </w:rPr>
        <w:t>Edictum</w:t>
      </w:r>
      <w:r w:rsidRPr="00FF5726">
        <w:t xml:space="preserve"> is being presented here as the background, the normal state of affairs from which is derived the modern procedure nowadays employed to determine a disputed succession to a fief in a lord's court.</w:t>
      </w:r>
      <w:r w:rsidRPr="00FF5726">
        <w:rPr>
          <w:vertAlign w:val="superscript"/>
        </w:rPr>
        <w:footnoteReference w:id="21"/>
      </w:r>
      <w:r w:rsidRPr="00FF5726">
        <w:t xml:space="preserve">  </w:t>
      </w:r>
    </w:p>
    <w:p w:rsidR="00FF5726" w:rsidRPr="00FF5726" w:rsidRDefault="00FF5726" w:rsidP="00FF5726">
      <w:r w:rsidRPr="00FF5726">
        <w:t xml:space="preserve">A further example relating to another text in the same title of the </w:t>
      </w:r>
      <w:r w:rsidRPr="00FF5726">
        <w:rPr>
          <w:i/>
        </w:rPr>
        <w:t xml:space="preserve">Lombarda </w:t>
      </w:r>
      <w:r w:rsidRPr="00FF5726">
        <w:t xml:space="preserve">brings us a little closer to the </w:t>
      </w:r>
      <w:r w:rsidRPr="00FF5726">
        <w:rPr>
          <w:i/>
        </w:rPr>
        <w:t>Libri feudorum</w:t>
      </w:r>
      <w:r w:rsidRPr="00FF5726">
        <w:t xml:space="preserve">. </w:t>
      </w:r>
      <w:r w:rsidRPr="00FF5726">
        <w:rPr>
          <w:i/>
        </w:rPr>
        <w:t>Lombarda</w:t>
      </w:r>
      <w:r w:rsidRPr="00FF5726">
        <w:t xml:space="preserve"> 2.14.17 (</w:t>
      </w:r>
      <w:r w:rsidRPr="00FF5726">
        <w:rPr>
          <w:i/>
        </w:rPr>
        <w:t>Si pater filiam</w:t>
      </w:r>
      <w:r w:rsidRPr="00FF5726">
        <w:t>, = Roth. 199) regulates inheritance claims of unmarried as well as widowed daughters and sisters living under the roof of their dead father or brother respectively. Here, the same ‘A’ or someone quoting him notes:</w:t>
      </w:r>
    </w:p>
    <w:p w:rsidR="00FF5726" w:rsidRPr="00FF5726" w:rsidRDefault="00FF5726" w:rsidP="00FF5726">
      <w:pPr>
        <w:rPr>
          <w:lang w:val="it-IT"/>
        </w:rPr>
      </w:pPr>
      <w:r w:rsidRPr="00FF5726">
        <w:rPr>
          <w:lang w:val="it-IT"/>
        </w:rPr>
        <w:t xml:space="preserve">Hinc etiam usus feudi habetur si vasallus rem habuerit cum filia domini sui in casa existente amittere potest </w:t>
      </w:r>
      <w:commentRangeStart w:id="6"/>
      <w:r w:rsidRPr="00FF5726">
        <w:rPr>
          <w:lang w:val="it-IT"/>
        </w:rPr>
        <w:t>feudum</w:t>
      </w:r>
      <w:commentRangeEnd w:id="6"/>
      <w:r w:rsidRPr="00FF5726">
        <w:commentReference w:id="6"/>
      </w:r>
      <w:r w:rsidRPr="00FF5726">
        <w:rPr>
          <w:lang w:val="it-IT"/>
        </w:rPr>
        <w:t>. Sin autem in casa non existat filia vasallus feudum non amittat. A.</w:t>
      </w:r>
      <w:r w:rsidRPr="00FF5726">
        <w:rPr>
          <w:vertAlign w:val="superscript"/>
          <w:lang w:val="it-IT"/>
        </w:rPr>
        <w:footnoteReference w:id="22"/>
      </w:r>
      <w:r w:rsidRPr="00FF5726">
        <w:rPr>
          <w:lang w:val="it-IT"/>
        </w:rPr>
        <w:t xml:space="preserve"> </w:t>
      </w:r>
    </w:p>
    <w:p w:rsidR="00FF5726" w:rsidRPr="00FF5726" w:rsidRDefault="00FF5726" w:rsidP="00FF5726">
      <w:r w:rsidRPr="00FF5726">
        <w:t xml:space="preserve">Now, there is of course no such statement in the Lombard law itself at this point. As said, </w:t>
      </w:r>
      <w:r w:rsidRPr="00FF5726">
        <w:rPr>
          <w:i/>
        </w:rPr>
        <w:t xml:space="preserve">Edictus Rothari </w:t>
      </w:r>
      <w:r w:rsidRPr="00FF5726">
        <w:t xml:space="preserve">199 regulates inheritance claims.. Our glossator has noted the crucial  distinction mentioned in the law to the effect that widowed sisters and unmarried sisters who are still or once again </w:t>
      </w:r>
      <w:r w:rsidRPr="00FF5726">
        <w:rPr>
          <w:i/>
        </w:rPr>
        <w:t>in domo</w:t>
      </w:r>
      <w:r w:rsidRPr="00FF5726">
        <w:t xml:space="preserve"> or </w:t>
      </w:r>
      <w:r w:rsidRPr="00FF5726">
        <w:rPr>
          <w:i/>
        </w:rPr>
        <w:t>in casa</w:t>
      </w:r>
      <w:r w:rsidRPr="00FF5726">
        <w:t xml:space="preserve"> are treated differently for inheritance purposes to other sisters who are married and not </w:t>
      </w:r>
      <w:r w:rsidRPr="00FF5726">
        <w:rPr>
          <w:i/>
        </w:rPr>
        <w:t>in casa</w:t>
      </w:r>
      <w:r w:rsidRPr="00FF5726">
        <w:t>. He then relates this to  an analogous distinction concerning the daughters of a vassal’s lord. This gloss should be compared with another more technically expansive oneto the same law, this time in the Vatican manuscript Reg. Lat. 1060, reading:</w:t>
      </w:r>
    </w:p>
    <w:p w:rsidR="00FF5726" w:rsidRPr="00FF5726" w:rsidRDefault="00FF5726" w:rsidP="00FF5726">
      <w:pPr>
        <w:rPr>
          <w:lang w:val="it-IT"/>
        </w:rPr>
      </w:pPr>
      <w:r w:rsidRPr="00FF5726">
        <w:rPr>
          <w:lang w:val="it-IT"/>
        </w:rPr>
        <w:t xml:space="preserve">Unde dicatur si vassus filiam domini nuptam </w:t>
      </w:r>
      <w:commentRangeStart w:id="7"/>
      <w:r w:rsidRPr="00FF5726">
        <w:rPr>
          <w:lang w:val="it-IT"/>
        </w:rPr>
        <w:t>futuerit</w:t>
      </w:r>
      <w:commentRangeEnd w:id="7"/>
      <w:r w:rsidRPr="00FF5726">
        <w:commentReference w:id="7"/>
      </w:r>
      <w:r w:rsidRPr="00FF5726">
        <w:rPr>
          <w:lang w:val="it-IT"/>
        </w:rPr>
        <w:t xml:space="preserve"> q[uia] iustam c[ausam] offense non contraxit ut feudum amittere debeat. Sed si dominus mundium eius liberabit [et] in domum redierit et vassus eam futuerit feudum amittere debet. Al.</w:t>
      </w:r>
      <w:r w:rsidRPr="00FF5726">
        <w:rPr>
          <w:vertAlign w:val="superscript"/>
          <w:lang w:val="it-IT"/>
        </w:rPr>
        <w:footnoteReference w:id="23"/>
      </w:r>
      <w:r w:rsidRPr="00FF5726">
        <w:rPr>
          <w:lang w:val="it-IT"/>
        </w:rPr>
        <w:t xml:space="preserve"> </w:t>
      </w:r>
    </w:p>
    <w:p w:rsidR="00FF5726" w:rsidRPr="00FF5726" w:rsidRDefault="00FF5726" w:rsidP="00FF5726"/>
    <w:p w:rsidR="00FF5726" w:rsidRPr="00FF5726" w:rsidRDefault="00FF5726" w:rsidP="00FF5726">
      <w:r w:rsidRPr="00FF5726">
        <w:t xml:space="preserve">The second gloss makes a more precise point than the first one, to which it is clearly related. The disposition in the </w:t>
      </w:r>
      <w:r w:rsidRPr="00FF5726">
        <w:rPr>
          <w:i/>
        </w:rPr>
        <w:t>Lombarda</w:t>
      </w:r>
      <w:r w:rsidRPr="00FF5726">
        <w:t xml:space="preserve"> explicitly mentions the payment by the father of his widowed daughter’s </w:t>
      </w:r>
      <w:r w:rsidRPr="00FF5726">
        <w:rPr>
          <w:i/>
        </w:rPr>
        <w:t>mundium</w:t>
      </w:r>
      <w:r w:rsidRPr="00FF5726">
        <w:t xml:space="preserve">, or by the brother of his widowed sister’s, thanks to which the daughter or sister returns to the protection of her father or brother. The glossator’s line of thought is clear enough: the primary distinction operative in </w:t>
      </w:r>
      <w:r w:rsidRPr="00FF5726">
        <w:rPr>
          <w:i/>
        </w:rPr>
        <w:t xml:space="preserve">Edictus Rothari </w:t>
      </w:r>
      <w:r w:rsidRPr="00FF5726">
        <w:t xml:space="preserve">199’s careful acknowledgement and differentiation of various inheritance claims is the repayment of the </w:t>
      </w:r>
      <w:r w:rsidRPr="00FF5726">
        <w:rPr>
          <w:i/>
        </w:rPr>
        <w:t xml:space="preserve">munidium </w:t>
      </w:r>
      <w:r w:rsidRPr="00FF5726">
        <w:t>and this is also operative as a rule of custom in the entirely different situation in which a vassal has had sexual intercourse with his lord’s or his lady’s daughter (or sister, or daughter in law).</w:t>
      </w:r>
      <w:r w:rsidRPr="00FF5726">
        <w:rPr>
          <w:vertAlign w:val="superscript"/>
        </w:rPr>
        <w:footnoteReference w:id="24"/>
      </w:r>
      <w:r w:rsidRPr="00FF5726">
        <w:t xml:space="preserve"> A passage in the </w:t>
      </w:r>
      <w:r w:rsidRPr="00FF5726">
        <w:rPr>
          <w:i/>
        </w:rPr>
        <w:t xml:space="preserve">Libri </w:t>
      </w:r>
      <w:r w:rsidRPr="00FF5726">
        <w:t xml:space="preserve">establishes that a vassal may lose his fief if he has sexual relations with his lord's or lady’s daughter in law, daughter or sister when these are </w:t>
      </w:r>
      <w:r w:rsidRPr="00FF5726">
        <w:rPr>
          <w:i/>
        </w:rPr>
        <w:t>in domo</w:t>
      </w:r>
      <w:r w:rsidRPr="00FF5726">
        <w:t xml:space="preserve"> or </w:t>
      </w:r>
      <w:r w:rsidRPr="00FF5726">
        <w:rPr>
          <w:i/>
        </w:rPr>
        <w:t>in capillo.</w:t>
      </w:r>
      <w:r w:rsidRPr="00FF5726">
        <w:rPr>
          <w:vertAlign w:val="superscript"/>
        </w:rPr>
        <w:footnoteReference w:id="25"/>
      </w:r>
      <w:r w:rsidRPr="00FF5726">
        <w:t xml:space="preserve"> There is no verbal parallel between the gloss and the terminology of the relevant passage in the </w:t>
      </w:r>
      <w:r w:rsidRPr="00FF5726">
        <w:rPr>
          <w:i/>
        </w:rPr>
        <w:t>Libri feudorum</w:t>
      </w:r>
      <w:r w:rsidRPr="00FF5726">
        <w:t xml:space="preserve">, where Oberto dall’Orto does not go into such detail, and where the point is simply that  a vassal who commits a sexual indiscretion with a woman in any one of several different categories of relationship with the vassal’s lord or lady will only lose his fief if that woman is still </w:t>
      </w:r>
      <w:r w:rsidRPr="00FF5726">
        <w:rPr>
          <w:i/>
        </w:rPr>
        <w:t>in domo</w:t>
      </w:r>
      <w:r w:rsidRPr="00FF5726">
        <w:t xml:space="preserve"> or </w:t>
      </w:r>
      <w:r w:rsidRPr="00FF5726">
        <w:rPr>
          <w:i/>
        </w:rPr>
        <w:t>in capillo</w:t>
      </w:r>
      <w:r w:rsidRPr="00FF5726">
        <w:t xml:space="preserve">. Yet it is plain that the glossators and Oberto were all describing the same thing, something external to the </w:t>
      </w:r>
      <w:r w:rsidRPr="00FF5726">
        <w:rPr>
          <w:i/>
        </w:rPr>
        <w:t>Lombarda</w:t>
      </w:r>
      <w:r w:rsidRPr="00FF5726">
        <w:t xml:space="preserve">, a thing which the Paris gloss terms </w:t>
      </w:r>
      <w:r w:rsidRPr="00FF5726">
        <w:rPr>
          <w:i/>
        </w:rPr>
        <w:t>usus feudi</w:t>
      </w:r>
      <w:r w:rsidRPr="00FF5726">
        <w:t xml:space="preserve">. The passage in the </w:t>
      </w:r>
      <w:r w:rsidRPr="00FF5726">
        <w:rPr>
          <w:i/>
        </w:rPr>
        <w:t>Libri</w:t>
      </w:r>
      <w:r w:rsidRPr="00FF5726">
        <w:t xml:space="preserve">, in fact, confirms that the glossators were right. Moreover, Oberto’s phraseology at LF 2.24 differs from that of both glosses, a fact which surely puts some distance between him and these glosses. Put simply, the glosses were not Oberto’s </w:t>
      </w:r>
      <w:r w:rsidRPr="00FF5726">
        <w:rPr>
          <w:i/>
        </w:rPr>
        <w:t>source</w:t>
      </w:r>
      <w:r w:rsidRPr="00FF5726">
        <w:t xml:space="preserve"> – custom was, the same custom as was known to the authors of these glosses. </w:t>
      </w:r>
    </w:p>
    <w:p w:rsidR="00FF5726" w:rsidRPr="00FF5726" w:rsidRDefault="00FF5726" w:rsidP="00FF5726">
      <w:r w:rsidRPr="00FF5726">
        <w:t xml:space="preserve">In a further case, fiefs provide a straight example to illustrate a text of law. At </w:t>
      </w:r>
      <w:r w:rsidRPr="00FF5726">
        <w:rPr>
          <w:i/>
        </w:rPr>
        <w:t>Lombarda</w:t>
      </w:r>
      <w:r w:rsidRPr="00FF5726">
        <w:t xml:space="preserve"> 3.8.1 Charlemagne establishes that whoever neglects a benefice for the sake of his own property will lose the benefice if he does not rectify the situation within a year of being notified by the local count. The gloss here reads:</w:t>
      </w:r>
    </w:p>
    <w:p w:rsidR="00FF5726" w:rsidRPr="00FF5726" w:rsidRDefault="00FF5726" w:rsidP="00FF5726">
      <w:r w:rsidRPr="00FF5726">
        <w:t xml:space="preserve">Annalem prescriptionem. Cuius exemplo. Qui per annum non servit feudum vel per annum non accepit a novo domino amittat et etiam ex al(ia?) lege indutie dantur unius </w:t>
      </w:r>
      <w:r w:rsidRPr="00FF5726">
        <w:lastRenderedPageBreak/>
        <w:t>anni vasallo ut feudum implicatum explicet</w:t>
      </w:r>
      <w:r w:rsidRPr="00FF5726">
        <w:rPr>
          <w:vertAlign w:val="superscript"/>
        </w:rPr>
        <w:footnoteReference w:id="26"/>
      </w:r>
      <w:r w:rsidRPr="00FF5726">
        <w:t xml:space="preserve"> infra annum ex quali notificatum fuerit a paribus curtis, quod si non fecerit feudum amittat.</w:t>
      </w:r>
    </w:p>
    <w:p w:rsidR="00FF5726" w:rsidRPr="00FF5726" w:rsidRDefault="00FF5726" w:rsidP="00FF5726">
      <w:r w:rsidRPr="00FF5726">
        <w:t>This gloss is of some importance.</w:t>
      </w:r>
      <w:r w:rsidRPr="00FF5726">
        <w:rPr>
          <w:vertAlign w:val="superscript"/>
        </w:rPr>
        <w:footnoteReference w:id="27"/>
      </w:r>
      <w:r w:rsidRPr="00FF5726">
        <w:t xml:space="preserve"> Clearly, the glossator has noticed a parallel between this passage in the </w:t>
      </w:r>
      <w:r w:rsidRPr="00FF5726">
        <w:rPr>
          <w:i/>
        </w:rPr>
        <w:t>Lombarda</w:t>
      </w:r>
      <w:r w:rsidRPr="00FF5726">
        <w:t xml:space="preserve"> and feudal custom and further notes that one year's period of grace is also given according to or on the basis of ‘another law’, possibly ‘the other law’. There is no such disposition in Conrad II's constitution of 1037. The glossator might be using the </w:t>
      </w:r>
      <w:r w:rsidRPr="00FF5726">
        <w:rPr>
          <w:i/>
        </w:rPr>
        <w:t>Libri feudorum</w:t>
      </w:r>
      <w:r w:rsidRPr="00FF5726">
        <w:t xml:space="preserve">, which allow a vassal both a year and a day and a year and a month, but the </w:t>
      </w:r>
      <w:r w:rsidRPr="00FF5726">
        <w:rPr>
          <w:i/>
        </w:rPr>
        <w:t>Libri</w:t>
      </w:r>
      <w:r w:rsidRPr="00FF5726">
        <w:t xml:space="preserve"> do not contain the word </w:t>
      </w:r>
      <w:r w:rsidRPr="00FF5726">
        <w:rPr>
          <w:i/>
        </w:rPr>
        <w:t>indutiae</w:t>
      </w:r>
      <w:r w:rsidRPr="00FF5726">
        <w:t xml:space="preserve"> and would not be the first choice as the referent of </w:t>
      </w:r>
      <w:r w:rsidRPr="00FF5726">
        <w:rPr>
          <w:i/>
        </w:rPr>
        <w:t xml:space="preserve">lex </w:t>
      </w:r>
      <w:r w:rsidRPr="00FF5726">
        <w:t>anyway.</w:t>
      </w:r>
      <w:r w:rsidRPr="00FF5726">
        <w:rPr>
          <w:vertAlign w:val="superscript"/>
        </w:rPr>
        <w:footnoteReference w:id="28"/>
      </w:r>
      <w:r w:rsidRPr="00FF5726">
        <w:t xml:space="preserve"> The first putative </w:t>
      </w:r>
      <w:r w:rsidRPr="00FF5726">
        <w:rPr>
          <w:i/>
        </w:rPr>
        <w:t>lex</w:t>
      </w:r>
      <w:r w:rsidRPr="00FF5726">
        <w:t xml:space="preserve"> to contain any information on the matter at issue is probably a forgery, purporting to be a constitution promulgated by Lothar III in 1127, which specifies a year and a day; it is possible our glossator had this text in mind although it should be noted that this consitution attracted no glossatorial attention in the margins of the </w:t>
      </w:r>
      <w:r w:rsidRPr="00FF5726">
        <w:rPr>
          <w:i/>
        </w:rPr>
        <w:t>Lombarda</w:t>
      </w:r>
      <w:r w:rsidRPr="00FF5726">
        <w:t xml:space="preserve"> and  does not appear to have entered independent circulation among lawyers until it was scooped up in the second recension of the </w:t>
      </w:r>
      <w:r w:rsidRPr="00FF5726">
        <w:rPr>
          <w:i/>
        </w:rPr>
        <w:t>Libri feudorum</w:t>
      </w:r>
      <w:r w:rsidRPr="00FF5726">
        <w:t>.</w:t>
      </w:r>
      <w:r w:rsidRPr="00FF5726">
        <w:rPr>
          <w:vertAlign w:val="superscript"/>
        </w:rPr>
        <w:footnoteReference w:id="29"/>
      </w:r>
      <w:r w:rsidRPr="00FF5726">
        <w:t xml:space="preserve"> Then there is Barbarossa's constitution of 1158 from Roncaglia, but here again the precise time allowed is a year and a day</w:t>
      </w:r>
      <w:commentRangeStart w:id="8"/>
      <w:r w:rsidRPr="00FF5726">
        <w:t>.</w:t>
      </w:r>
      <w:r w:rsidRPr="00FF5726">
        <w:rPr>
          <w:vertAlign w:val="superscript"/>
        </w:rPr>
        <w:footnoteReference w:id="30"/>
      </w:r>
      <w:commentRangeEnd w:id="8"/>
      <w:r w:rsidRPr="00FF5726">
        <w:commentReference w:id="8"/>
      </w:r>
      <w:r w:rsidRPr="00FF5726">
        <w:t xml:space="preserve"> The real significance of the gloss lies in  its thematic linkage with a better-known piece of Lombard jurisprudence, namely the commentary by Albertus on the </w:t>
      </w:r>
      <w:r w:rsidRPr="00FF5726">
        <w:rPr>
          <w:i/>
        </w:rPr>
        <w:t>Lombarda</w:t>
      </w:r>
      <w:r w:rsidRPr="00FF5726">
        <w:t>.</w:t>
      </w:r>
      <w:r w:rsidRPr="00FF5726">
        <w:rPr>
          <w:vertAlign w:val="superscript"/>
        </w:rPr>
        <w:footnoteReference w:id="31"/>
      </w:r>
      <w:r w:rsidRPr="00FF5726">
        <w:t xml:space="preserve"> Here, as the sixth and last example of cases where </w:t>
      </w:r>
      <w:commentRangeStart w:id="9"/>
      <w:r w:rsidRPr="00FF5726">
        <w:t>prescription</w:t>
      </w:r>
      <w:commentRangeEnd w:id="9"/>
      <w:r w:rsidRPr="00FF5726">
        <w:commentReference w:id="9"/>
      </w:r>
      <w:r w:rsidRPr="00FF5726">
        <w:t xml:space="preserve"> is complete after one year, a lord of a vassal who does not seek investiture within a year of his father’s death or who, having acquired his benefice by investiture then does no service for it for a year, acquires the fief by prescription.</w:t>
      </w:r>
    </w:p>
    <w:p w:rsidR="00FF5726" w:rsidRPr="00FF5726" w:rsidRDefault="00FF5726" w:rsidP="00FF5726">
      <w:r w:rsidRPr="00FF5726">
        <w:t xml:space="preserve">Details aside, this gloss demonstrates something simple and important. It refers to feudal custom as something independent of the Lombard law, in order to illustrate a text within that law. Feudal custom is external to the </w:t>
      </w:r>
      <w:r w:rsidRPr="00FF5726">
        <w:rPr>
          <w:i/>
        </w:rPr>
        <w:t>Lombarda</w:t>
      </w:r>
      <w:r w:rsidRPr="00FF5726">
        <w:t xml:space="preserve"> but occasional dispositions within the </w:t>
      </w:r>
      <w:r w:rsidRPr="00FF5726">
        <w:rPr>
          <w:i/>
        </w:rPr>
        <w:t xml:space="preserve">Lombarda </w:t>
      </w:r>
      <w:r w:rsidRPr="00FF5726">
        <w:t xml:space="preserve">put one in mind of it. All the glosses we have seen so far imply a similar relationship between the various aspects of </w:t>
      </w:r>
      <w:r w:rsidRPr="00FF5726">
        <w:rPr>
          <w:i/>
        </w:rPr>
        <w:t>usus feudi</w:t>
      </w:r>
      <w:r w:rsidRPr="00FF5726">
        <w:t xml:space="preserve"> and </w:t>
      </w:r>
      <w:r w:rsidRPr="00FF5726">
        <w:lastRenderedPageBreak/>
        <w:t xml:space="preserve">Lombard law. The Lombardists saw feudal custom as something different, not simply as a category of Lombard law. The relationship seems to go both ways: </w:t>
      </w:r>
      <w:r w:rsidRPr="00FF5726">
        <w:rPr>
          <w:i/>
        </w:rPr>
        <w:t>usus feudi</w:t>
      </w:r>
      <w:r w:rsidRPr="00FF5726">
        <w:t xml:space="preserve"> exemplifies Lombard law in a distant way as in the case of the last gloss, Lombard law exemplifies </w:t>
      </w:r>
      <w:r w:rsidRPr="00FF5726">
        <w:rPr>
          <w:i/>
        </w:rPr>
        <w:t>usus feudi</w:t>
      </w:r>
      <w:r w:rsidRPr="00FF5726">
        <w:t xml:space="preserve">. The latter relationship is most clearly brought out by another gloss to </w:t>
      </w:r>
      <w:r w:rsidRPr="00FF5726">
        <w:rPr>
          <w:i/>
        </w:rPr>
        <w:t>Lombarda</w:t>
      </w:r>
      <w:r w:rsidRPr="00FF5726">
        <w:t xml:space="preserve"> 3.8.1 in the Vatican manuscript Vat. Lat. 8782:</w:t>
      </w:r>
    </w:p>
    <w:p w:rsidR="00FF5726" w:rsidRPr="00FF5726" w:rsidRDefault="00FF5726" w:rsidP="00FF5726">
      <w:pPr>
        <w:rPr>
          <w:lang w:val="it-IT"/>
        </w:rPr>
      </w:pPr>
      <w:r w:rsidRPr="00FF5726">
        <w:rPr>
          <w:lang w:val="it-IT"/>
        </w:rPr>
        <w:t>Usu et exemplo huius legis dicimus si quis annum et diem feudum non servierit quod beneficium amittere debet.</w:t>
      </w:r>
      <w:r w:rsidRPr="00FF5726">
        <w:rPr>
          <w:vertAlign w:val="superscript"/>
          <w:lang w:val="it-IT"/>
        </w:rPr>
        <w:footnoteReference w:id="32"/>
      </w:r>
    </w:p>
    <w:p w:rsidR="00FF5726" w:rsidRPr="00FF5726" w:rsidRDefault="00FF5726" w:rsidP="00FF5726">
      <w:r w:rsidRPr="00FF5726">
        <w:t xml:space="preserve">As we have seen, Kar. 117 only allows a year, so the sense of the phrase </w:t>
      </w:r>
      <w:r w:rsidRPr="00FF5726">
        <w:rPr>
          <w:i/>
        </w:rPr>
        <w:t xml:space="preserve">usu et exemplo </w:t>
      </w:r>
      <w:r w:rsidRPr="00FF5726">
        <w:t xml:space="preserve">must here be elastic. A year and a day is also the period allowed by Louis the Pious for a man whose property has been impounded to answer criminal charges, after which the fisc acquires it at </w:t>
      </w:r>
      <w:r w:rsidRPr="00FF5726">
        <w:rPr>
          <w:i/>
        </w:rPr>
        <w:t>Lombarda</w:t>
      </w:r>
      <w:r w:rsidRPr="00FF5726">
        <w:t xml:space="preserve"> 2.43.3.</w:t>
      </w:r>
      <w:r w:rsidRPr="00FF5726">
        <w:rPr>
          <w:vertAlign w:val="superscript"/>
        </w:rPr>
        <w:t xml:space="preserve"> </w:t>
      </w:r>
      <w:r w:rsidRPr="00FF5726">
        <w:t>One other glossator, possibly two, thought this was the source of the custom.</w:t>
      </w:r>
      <w:r w:rsidRPr="00FF5726">
        <w:rPr>
          <w:vertAlign w:val="superscript"/>
        </w:rPr>
        <w:footnoteReference w:id="33"/>
      </w:r>
      <w:r w:rsidRPr="00FF5726">
        <w:t xml:space="preserve">. </w:t>
      </w:r>
    </w:p>
    <w:p w:rsidR="00FF5726" w:rsidRPr="00FF5726" w:rsidRDefault="00FF5726" w:rsidP="00FF5726">
      <w:r w:rsidRPr="00FF5726">
        <w:t xml:space="preserve">These glosses cannot, for a variety of reasons, be far removed in time from the first recension of the </w:t>
      </w:r>
      <w:r w:rsidRPr="00FF5726">
        <w:rPr>
          <w:i/>
        </w:rPr>
        <w:t>Libri</w:t>
      </w:r>
      <w:r w:rsidRPr="00FF5726">
        <w:t xml:space="preserve">. In the case of the last three, we may probably infer from the absence of any reference to Frederick I's Roncaglian decree of 1158 – which establishes a year and a day as the period of grace allowed the vassal - that they were written prior to that date. Otherwise it would be unnecessary to explain that it is by custom and the example of this law in the </w:t>
      </w:r>
      <w:r w:rsidRPr="00FF5726">
        <w:rPr>
          <w:i/>
        </w:rPr>
        <w:t>Lombarda</w:t>
      </w:r>
      <w:r w:rsidRPr="00FF5726">
        <w:t xml:space="preserve"> that a vassal has a year and a day; one would simply have cited the law of 1158.</w:t>
      </w:r>
    </w:p>
    <w:p w:rsidR="00FF5726" w:rsidRPr="00FF5726" w:rsidRDefault="00FF5726" w:rsidP="00FF5726">
      <w:r w:rsidRPr="00FF5726">
        <w:t xml:space="preserve">Those responsible for some of the annotations in the five oldest manuscripts of the </w:t>
      </w:r>
      <w:r w:rsidRPr="00FF5726">
        <w:rPr>
          <w:i/>
        </w:rPr>
        <w:t>Libri</w:t>
      </w:r>
      <w:r w:rsidRPr="00FF5726">
        <w:t xml:space="preserve"> belonged to the same environment as the authors of these glosses to the </w:t>
      </w:r>
      <w:r w:rsidRPr="00FF5726">
        <w:rPr>
          <w:i/>
        </w:rPr>
        <w:t>Lombarda</w:t>
      </w:r>
      <w:r w:rsidRPr="00FF5726">
        <w:t xml:space="preserve">. The glosses to the </w:t>
      </w:r>
      <w:r w:rsidRPr="00FF5726">
        <w:rPr>
          <w:i/>
        </w:rPr>
        <w:t>Libri</w:t>
      </w:r>
      <w:r w:rsidRPr="00FF5726">
        <w:t xml:space="preserve"> can all be dated to after 1136, and with a high degree of probability to after 1158. The strong likelihood is that the glosses to the </w:t>
      </w:r>
      <w:r w:rsidRPr="00FF5726">
        <w:rPr>
          <w:i/>
        </w:rPr>
        <w:t>Lombarda</w:t>
      </w:r>
      <w:r w:rsidRPr="00FF5726">
        <w:t>, and the commentary on Conrad II’s constitution by Ariprand/Albertus are roughly coeval.</w:t>
      </w:r>
      <w:r w:rsidRPr="00FF5726">
        <w:rPr>
          <w:vertAlign w:val="superscript"/>
        </w:rPr>
        <w:footnoteReference w:id="34"/>
      </w:r>
      <w:r w:rsidRPr="00FF5726">
        <w:t xml:space="preserve"> </w:t>
      </w:r>
    </w:p>
    <w:p w:rsidR="00FF5726" w:rsidRPr="00FF5726" w:rsidRDefault="00FF5726" w:rsidP="00FF5726">
      <w:r w:rsidRPr="00FF5726">
        <w:t xml:space="preserve">What may usefully be said about these glosses? First, it is almost beyond doubt that they are close to the beginnings of expert Lombard reflection on feudal custom. This is because they mention no arguments between different teachers, whereas the more traditional themes of interest to the expositors of the </w:t>
      </w:r>
      <w:r w:rsidRPr="00FF5726">
        <w:rPr>
          <w:i/>
        </w:rPr>
        <w:t>Lombarda</w:t>
      </w:r>
      <w:r w:rsidRPr="00FF5726">
        <w:t xml:space="preserve"> had all generated a mass of opinions </w:t>
      </w:r>
      <w:r w:rsidRPr="00FF5726">
        <w:rPr>
          <w:i/>
        </w:rPr>
        <w:t>pro</w:t>
      </w:r>
      <w:r w:rsidRPr="00FF5726">
        <w:t xml:space="preserve"> and </w:t>
      </w:r>
      <w:r w:rsidRPr="00FF5726">
        <w:rPr>
          <w:i/>
        </w:rPr>
        <w:t>contra</w:t>
      </w:r>
      <w:r w:rsidRPr="00FF5726">
        <w:t xml:space="preserve">. Secondly, in their form and manner of exposition as well as their contents which, as we have seen, are fairly consistent as well as limited </w:t>
      </w:r>
      <w:r w:rsidRPr="00FF5726">
        <w:lastRenderedPageBreak/>
        <w:t xml:space="preserve">in scope, these glosses do seem to share a common source: not in the formal sense of a master’s text or some presumptively original set of glosses as one might expect in a twelfth-century civilian environment, but in the sense of a common and quite tight body of ideas. The </w:t>
      </w:r>
      <w:r w:rsidRPr="00FF5726">
        <w:rPr>
          <w:i/>
        </w:rPr>
        <w:t>sigla</w:t>
      </w:r>
      <w:r w:rsidRPr="00FF5726">
        <w:t xml:space="preserve"> attributing some of them to ‘A.’ and ‘Alb.’ should probably not be taken to indicate that the entire body of glosses we have been examining is derived from these two experts, suppositively Ariprand and Albertus, although these two figures were certainly important.</w:t>
      </w:r>
      <w:r w:rsidRPr="00FF5726">
        <w:rPr>
          <w:vertAlign w:val="superscript"/>
        </w:rPr>
        <w:footnoteReference w:id="35"/>
      </w:r>
      <w:r w:rsidRPr="00FF5726">
        <w:t xml:space="preserve"> </w:t>
      </w:r>
      <w:commentRangeStart w:id="10"/>
      <w:r w:rsidRPr="00FF5726">
        <w:t>The</w:t>
      </w:r>
      <w:commentRangeEnd w:id="10"/>
      <w:r w:rsidRPr="00FF5726">
        <w:commentReference w:id="10"/>
      </w:r>
      <w:r w:rsidRPr="00FF5726">
        <w:t xml:space="preserve"> numerical paucity of glosses on these themes is also noteworthy. Speculative and consequently hazardous though it may be, one might be forgiven for risking the assertion that not many people were involved; the discussion of such matters was not by this time, and had certainly never before been, a subject for the mainstream of Lombard jurisprudence.</w:t>
      </w:r>
      <w:r w:rsidRPr="00FF5726">
        <w:rPr>
          <w:vertAlign w:val="superscript"/>
        </w:rPr>
        <w:footnoteReference w:id="36"/>
      </w:r>
      <w:r w:rsidRPr="00FF5726">
        <w:t xml:space="preserve"> It bears repeating that had feudal custom been a traditional interest of the Lombardists at the time Ariprandand Albertus wrote, they would have written at greater length, probably with greater divergence between their opinions, and they surely would have covered more themes than the very restricted matters they do discuss.</w:t>
      </w:r>
      <w:r w:rsidRPr="00FF5726">
        <w:rPr>
          <w:vertAlign w:val="superscript"/>
        </w:rPr>
        <w:footnoteReference w:id="37"/>
      </w:r>
      <w:r w:rsidRPr="00FF5726">
        <w:t xml:space="preserve"> It should also be noted that these glosses differ somewhat in structure and scope from the normal, older glossing to the </w:t>
      </w:r>
      <w:r w:rsidRPr="00FF5726">
        <w:rPr>
          <w:i/>
        </w:rPr>
        <w:t>Lombarda</w:t>
      </w:r>
      <w:r w:rsidRPr="00FF5726">
        <w:t xml:space="preserve">. They do not refer to other texts in the </w:t>
      </w:r>
      <w:r w:rsidRPr="00FF5726">
        <w:rPr>
          <w:i/>
        </w:rPr>
        <w:t>Lombarda</w:t>
      </w:r>
      <w:r w:rsidRPr="00FF5726">
        <w:t xml:space="preserve"> and, most importantly, they describe custom. Neither the surviving commentary on the </w:t>
      </w:r>
      <w:r w:rsidRPr="00FF5726">
        <w:rPr>
          <w:i/>
        </w:rPr>
        <w:t>Lombarda</w:t>
      </w:r>
      <w:r w:rsidRPr="00FF5726">
        <w:t xml:space="preserve"> title containing Conrad II’s 1037 constitution by Albertus nor the re-working of it by Aliprand mention custom at all, let alone as the principal regulator of feudal property and relationships.</w:t>
      </w:r>
      <w:r w:rsidRPr="00FF5726">
        <w:rPr>
          <w:vertAlign w:val="superscript"/>
        </w:rPr>
        <w:footnoteReference w:id="38"/>
      </w:r>
      <w:r w:rsidRPr="00FF5726">
        <w:t xml:space="preserve"> In this regard it is worth pausing to consider the significance of the formula “usu et exemplo huius legis dicimus…”. In the first place, it is not a common one. It does occur in other contexts in the </w:t>
      </w:r>
      <w:r w:rsidRPr="00FF5726">
        <w:rPr>
          <w:i/>
        </w:rPr>
        <w:t>Lombarda</w:t>
      </w:r>
      <w:r w:rsidRPr="00FF5726">
        <w:t xml:space="preserve"> manuscripts, but not often enough to be dismissed as an empty literary convention.</w:t>
      </w:r>
      <w:r w:rsidRPr="00FF5726">
        <w:rPr>
          <w:vertAlign w:val="superscript"/>
        </w:rPr>
        <w:footnoteReference w:id="39"/>
      </w:r>
      <w:r w:rsidRPr="00FF5726">
        <w:t xml:space="preserve"> We should take it seriously, especially in the light of the close exegetical character of the oldest stratum of the first recension of the </w:t>
      </w:r>
      <w:r w:rsidRPr="00FF5726">
        <w:rPr>
          <w:i/>
        </w:rPr>
        <w:t>Libri feudorum</w:t>
      </w:r>
      <w:r w:rsidRPr="00FF5726">
        <w:t xml:space="preserve">. Certainly, there is a whiff of textual </w:t>
      </w:r>
      <w:commentRangeStart w:id="11"/>
      <w:r w:rsidRPr="00FF5726">
        <w:t>archaeology</w:t>
      </w:r>
      <w:commentRangeEnd w:id="11"/>
      <w:r w:rsidRPr="00FF5726">
        <w:commentReference w:id="11"/>
      </w:r>
      <w:r w:rsidRPr="00FF5726">
        <w:t xml:space="preserve"> about the method espoused in the glosses because the texts in the Lombard law which prompted them were certainly not the the most modern by the mid-twelfth century. It is nevertheless important not to lose sight of the obvious: these glosses are about </w:t>
      </w:r>
      <w:r w:rsidRPr="00FF5726">
        <w:rPr>
          <w:i/>
        </w:rPr>
        <w:t xml:space="preserve">custom </w:t>
      </w:r>
      <w:r w:rsidRPr="00FF5726">
        <w:t xml:space="preserve">not texts, a truth which emerges all the more clearly when it </w:t>
      </w:r>
      <w:r w:rsidRPr="00FF5726">
        <w:lastRenderedPageBreak/>
        <w:t xml:space="preserve">is further noted that none of the glosses discussed here refers to any other law elsewhere in the </w:t>
      </w:r>
      <w:r w:rsidRPr="00FF5726">
        <w:rPr>
          <w:i/>
        </w:rPr>
        <w:t>Lombarda</w:t>
      </w:r>
      <w:r w:rsidRPr="00FF5726">
        <w:t xml:space="preserve">. In their actual content they maintain rather modestly, that certain, very specific and rare, parts of Lombard law are relevant to fiefs and vassals. These include but are not limited to laws regulating benefices, now taken to be fiefs, and laws about Carolingian </w:t>
      </w:r>
      <w:r w:rsidRPr="00FF5726">
        <w:rPr>
          <w:i/>
        </w:rPr>
        <w:t>vassi</w:t>
      </w:r>
      <w:r w:rsidRPr="00FF5726">
        <w:t>, now taken to be vassals.</w:t>
      </w:r>
      <w:r w:rsidRPr="00FF5726">
        <w:rPr>
          <w:vertAlign w:val="superscript"/>
        </w:rPr>
        <w:footnoteReference w:id="40"/>
      </w:r>
      <w:r w:rsidRPr="00FF5726">
        <w:t xml:space="preserve"> Secondly, they do not say very much. The aspects of feudal custom which are selected for discussion are strikingly restricted: sexual indiscretion, investiture within a certain time-limit, one rule of proof, the occasional explication of vocabulary. By contrast, the texts which went into even the earliest known version of the </w:t>
      </w:r>
      <w:r w:rsidRPr="00FF5726">
        <w:rPr>
          <w:i/>
        </w:rPr>
        <w:t>Libri feudorum</w:t>
      </w:r>
      <w:r w:rsidRPr="00FF5726">
        <w:t xml:space="preserve"> cover a great deal more ground. What these </w:t>
      </w:r>
      <w:r w:rsidRPr="00FF5726">
        <w:rPr>
          <w:i/>
        </w:rPr>
        <w:t xml:space="preserve">Lombarda </w:t>
      </w:r>
      <w:r w:rsidRPr="00FF5726">
        <w:t xml:space="preserve">glosses show when set alongside the </w:t>
      </w:r>
      <w:r w:rsidRPr="00FF5726">
        <w:rPr>
          <w:i/>
        </w:rPr>
        <w:t xml:space="preserve">Libri feudorum </w:t>
      </w:r>
      <w:r w:rsidRPr="00FF5726">
        <w:t xml:space="preserve">is that the latter represent a departure not merely from the method of expounding or enlarging upon legal materials by means of marginal glosses but also a movement away from text-based exposition </w:t>
      </w:r>
      <w:r w:rsidRPr="00FF5726">
        <w:rPr>
          <w:i/>
        </w:rPr>
        <w:t>tout court</w:t>
      </w:r>
      <w:r w:rsidRPr="00FF5726">
        <w:t xml:space="preserve">. A considerable advantage of the treatise form emerges, when one surveys the glosses to the </w:t>
      </w:r>
      <w:r w:rsidRPr="00FF5726">
        <w:rPr>
          <w:i/>
        </w:rPr>
        <w:t xml:space="preserve">Lombarda </w:t>
      </w:r>
      <w:r w:rsidRPr="00FF5726">
        <w:t xml:space="preserve">side by side with the </w:t>
      </w:r>
      <w:r w:rsidRPr="00FF5726">
        <w:rPr>
          <w:i/>
        </w:rPr>
        <w:t>Libri feudorum</w:t>
      </w:r>
      <w:r w:rsidRPr="00FF5726">
        <w:t xml:space="preserve">, as a liberation from the precise textual-legal context, be it adultery, prescription or inheritance. </w:t>
      </w:r>
    </w:p>
    <w:p w:rsidR="00FF5726" w:rsidRPr="00FF5726" w:rsidRDefault="00FF5726" w:rsidP="00FF5726">
      <w:pPr>
        <w:rPr>
          <w:lang w:val="it-IT"/>
        </w:rPr>
      </w:pPr>
      <w:r w:rsidRPr="00FF5726">
        <w:rPr>
          <w:lang w:val="it-IT"/>
        </w:rPr>
        <w:t xml:space="preserve">We can repeat with certainty what has been known ever since the work of the pioneering nineteenth-century scholars: that the </w:t>
      </w:r>
      <w:r w:rsidRPr="00FF5726">
        <w:rPr>
          <w:i/>
          <w:lang w:val="it-IT"/>
        </w:rPr>
        <w:t>Libri feudorum</w:t>
      </w:r>
      <w:r w:rsidRPr="00FF5726">
        <w:rPr>
          <w:lang w:val="it-IT"/>
        </w:rPr>
        <w:t xml:space="preserve"> were used from a very early stage in a Lombardist milieu. After all, the people who had read or heard the opinions of ‘A.’, ‘Ali’, and ‘Alb.’ about fiefs and vassals and who wrote these glosses also wrote similar glosses in the earliest manuscript of the </w:t>
      </w:r>
      <w:r w:rsidRPr="00FF5726">
        <w:rPr>
          <w:i/>
          <w:lang w:val="it-IT"/>
        </w:rPr>
        <w:t xml:space="preserve">Libri feudorum </w:t>
      </w:r>
      <w:r w:rsidRPr="00FF5726">
        <w:rPr>
          <w:lang w:val="it-IT"/>
        </w:rPr>
        <w:t>in which they also name Ariprand</w:t>
      </w:r>
      <w:commentRangeStart w:id="12"/>
      <w:r w:rsidRPr="00FF5726">
        <w:rPr>
          <w:lang w:val="it-IT"/>
        </w:rPr>
        <w:t>.</w:t>
      </w:r>
      <w:r w:rsidRPr="00FF5726">
        <w:rPr>
          <w:vertAlign w:val="superscript"/>
          <w:lang w:val="it-IT"/>
        </w:rPr>
        <w:footnoteReference w:id="41"/>
      </w:r>
      <w:commentRangeEnd w:id="12"/>
      <w:r w:rsidRPr="00FF5726">
        <w:commentReference w:id="12"/>
      </w:r>
      <w:r w:rsidRPr="00FF5726">
        <w:rPr>
          <w:lang w:val="it-IT"/>
        </w:rPr>
        <w:t xml:space="preserve"> For this reason, and also because of the occasional references to Lombard law in the </w:t>
      </w:r>
      <w:r w:rsidRPr="00FF5726">
        <w:rPr>
          <w:i/>
          <w:lang w:val="it-IT"/>
        </w:rPr>
        <w:t xml:space="preserve">Libri feudorum </w:t>
      </w:r>
      <w:r w:rsidRPr="00FF5726">
        <w:rPr>
          <w:lang w:val="it-IT"/>
        </w:rPr>
        <w:t xml:space="preserve">themselves, historians have been correct in identifying signs of erudition, of learning, in the </w:t>
      </w:r>
      <w:r w:rsidRPr="00FF5726">
        <w:rPr>
          <w:i/>
          <w:lang w:val="it-IT"/>
        </w:rPr>
        <w:t xml:space="preserve">Libri feudorum. </w:t>
      </w:r>
      <w:r w:rsidRPr="00FF5726">
        <w:rPr>
          <w:lang w:val="it-IT"/>
        </w:rPr>
        <w:t xml:space="preserve">Yet it should be clear by now that some considerable circumspection and further precision are necessary before one describes a twelfth-century legal text as learned or academic and these glosses permit some important nuances in this respect. There is a subtle but all-important difference between what the Lombard lawyers meant in writing  ‘Usu et exemplo huius legis dicimus...’ and what a contemporary Romanist meant </w:t>
      </w:r>
      <w:commentRangeStart w:id="13"/>
      <w:r w:rsidRPr="00FF5726">
        <w:rPr>
          <w:lang w:val="it-IT"/>
        </w:rPr>
        <w:t>who</w:t>
      </w:r>
      <w:commentRangeEnd w:id="13"/>
      <w:r w:rsidRPr="00FF5726">
        <w:commentReference w:id="13"/>
      </w:r>
      <w:r w:rsidRPr="00FF5726">
        <w:rPr>
          <w:lang w:val="it-IT"/>
        </w:rPr>
        <w:t xml:space="preserve"> wrote ‘Argumentum quod...’ For the former, there could be similarity and analogy with no assumption or implication that the usage was usage </w:t>
      </w:r>
      <w:r w:rsidRPr="00FF5726">
        <w:rPr>
          <w:i/>
          <w:lang w:val="it-IT"/>
        </w:rPr>
        <w:t>because of</w:t>
      </w:r>
      <w:r w:rsidRPr="00FF5726">
        <w:rPr>
          <w:lang w:val="it-IT"/>
        </w:rPr>
        <w:t xml:space="preserve"> the legal similarity. These glosses give information about the outside world which was not derived from written authorities; old textual authority did not determine contemporary reality for these people. A further reason these glosses are so revealing is that they allow us to read the </w:t>
      </w:r>
      <w:r w:rsidRPr="00FF5726">
        <w:rPr>
          <w:i/>
          <w:lang w:val="it-IT"/>
        </w:rPr>
        <w:t>Libri feudorum</w:t>
      </w:r>
      <w:r w:rsidRPr="00FF5726">
        <w:rPr>
          <w:lang w:val="it-IT"/>
        </w:rPr>
        <w:t xml:space="preserve"> in the right way because they indicate the level and interests of legal exegetes at the time the </w:t>
      </w:r>
      <w:r w:rsidRPr="00FF5726">
        <w:rPr>
          <w:i/>
          <w:lang w:val="it-IT"/>
        </w:rPr>
        <w:t>Libri</w:t>
      </w:r>
      <w:r w:rsidRPr="00FF5726">
        <w:rPr>
          <w:lang w:val="it-IT"/>
        </w:rPr>
        <w:t xml:space="preserve"> were first used. The </w:t>
      </w:r>
      <w:r w:rsidRPr="00FF5726">
        <w:rPr>
          <w:i/>
          <w:lang w:val="it-IT"/>
        </w:rPr>
        <w:t>Libri</w:t>
      </w:r>
      <w:r w:rsidRPr="00FF5726">
        <w:rPr>
          <w:lang w:val="it-IT"/>
        </w:rPr>
        <w:t xml:space="preserve"> </w:t>
      </w:r>
      <w:r w:rsidRPr="00FF5726">
        <w:rPr>
          <w:i/>
          <w:lang w:val="it-IT"/>
        </w:rPr>
        <w:t xml:space="preserve">feudorum </w:t>
      </w:r>
      <w:r w:rsidRPr="00FF5726">
        <w:rPr>
          <w:lang w:val="it-IT"/>
        </w:rPr>
        <w:t xml:space="preserve">contain a </w:t>
      </w:r>
      <w:r w:rsidRPr="00FF5726">
        <w:rPr>
          <w:lang w:val="it-IT"/>
        </w:rPr>
        <w:lastRenderedPageBreak/>
        <w:t xml:space="preserve">lot more information than the glosses, and also more information than any traditional, legal or scholastic source. The </w:t>
      </w:r>
      <w:r w:rsidRPr="00FF5726">
        <w:rPr>
          <w:i/>
          <w:lang w:val="it-IT"/>
        </w:rPr>
        <w:t xml:space="preserve">Libri </w:t>
      </w:r>
      <w:r w:rsidRPr="00FF5726">
        <w:rPr>
          <w:lang w:val="it-IT"/>
        </w:rPr>
        <w:t xml:space="preserve">really are a very special text </w:t>
      </w:r>
      <w:commentRangeStart w:id="14"/>
      <w:r w:rsidRPr="00FF5726">
        <w:rPr>
          <w:lang w:val="it-IT"/>
        </w:rPr>
        <w:t>indeed</w:t>
      </w:r>
      <w:commentRangeEnd w:id="14"/>
      <w:r w:rsidRPr="00FF5726">
        <w:commentReference w:id="14"/>
      </w:r>
      <w:r w:rsidRPr="00FF5726">
        <w:rPr>
          <w:lang w:val="it-IT"/>
        </w:rPr>
        <w:t>, just as Kantorowicz said.</w:t>
      </w:r>
      <w:r w:rsidRPr="00FF5726">
        <w:rPr>
          <w:vertAlign w:val="superscript"/>
          <w:lang w:val="it-IT"/>
        </w:rPr>
        <w:footnoteReference w:id="42"/>
      </w:r>
      <w:r w:rsidRPr="00FF5726">
        <w:rPr>
          <w:lang w:val="it-IT"/>
        </w:rPr>
        <w:t xml:space="preserve"> They are special not just because they represent a meeting between scholarship and practice, but also because they entirely transcend the standard of scholarship which prevailed at the time. </w:t>
      </w:r>
    </w:p>
    <w:p w:rsidR="00FF5726" w:rsidRPr="00FF5726" w:rsidRDefault="00FF5726" w:rsidP="00FF5726">
      <w:r w:rsidRPr="00FF5726">
        <w:t xml:space="preserve">For the seemingly few and late glossators of the </w:t>
      </w:r>
      <w:r w:rsidRPr="00FF5726">
        <w:rPr>
          <w:i/>
        </w:rPr>
        <w:t>Lombarda</w:t>
      </w:r>
      <w:r w:rsidRPr="00FF5726">
        <w:t xml:space="preserve"> who were interested in fiefs and vassals custom spoke just as loudly as texts, but they were still glossators who by genre and habit could not capture the realities of the twelfth century in such breadth or depth as the authors of the </w:t>
      </w:r>
      <w:r w:rsidRPr="00FF5726">
        <w:rPr>
          <w:i/>
        </w:rPr>
        <w:t>Libri feudorum</w:t>
      </w:r>
      <w:r w:rsidRPr="00FF5726">
        <w:t xml:space="preserve"> managed to do. This becomes instantly clear if one imagines several hundred glosses of the kind we have been examining, rather than a dozen or so: one could amalgamate them all yet still not come close to creating even one of the component parts of the first recension of the </w:t>
      </w:r>
      <w:r w:rsidRPr="00FF5726">
        <w:rPr>
          <w:i/>
        </w:rPr>
        <w:t xml:space="preserve">Libri </w:t>
      </w:r>
      <w:commentRangeStart w:id="15"/>
      <w:r w:rsidRPr="00FF5726">
        <w:rPr>
          <w:i/>
        </w:rPr>
        <w:t>feudorum</w:t>
      </w:r>
      <w:commentRangeEnd w:id="15"/>
      <w:r w:rsidRPr="00FF5726">
        <w:commentReference w:id="15"/>
      </w:r>
      <w:r w:rsidRPr="00FF5726">
        <w:t xml:space="preserve">. </w:t>
      </w:r>
    </w:p>
    <w:p w:rsidR="00FF5726" w:rsidRPr="00FF5726" w:rsidRDefault="00FF5726" w:rsidP="00FF5726">
      <w:r w:rsidRPr="00FF5726">
        <w:t xml:space="preserve">As we have seen, </w:t>
      </w:r>
      <w:r w:rsidRPr="00FF5726">
        <w:rPr>
          <w:i/>
        </w:rPr>
        <w:t>usus feudi</w:t>
      </w:r>
      <w:r w:rsidRPr="00FF5726">
        <w:t xml:space="preserve"> emerges from these glosses as something external to the world of written authorities. The evidence considered so far has all been amassed from a comparatively tight circle of legal texts, however. A cursory glance at the documents emerging from practice around the mid-twelfth century reveals much the same distinction at work between law and custom, and proves that the term </w:t>
      </w:r>
      <w:r w:rsidRPr="00FF5726">
        <w:rPr>
          <w:i/>
        </w:rPr>
        <w:t>usus feudi</w:t>
      </w:r>
      <w:r w:rsidRPr="00FF5726">
        <w:t xml:space="preserve"> had considerable forensic weight. </w:t>
      </w:r>
    </w:p>
    <w:p w:rsidR="00FF5726" w:rsidRPr="00FF5726" w:rsidRDefault="00FF5726" w:rsidP="00FF5726">
      <w:r w:rsidRPr="00FF5726">
        <w:t>A dispute involving the canons of the church of S. Maria in Padua brings this out. It is recorded at a late stage, in a judgement given on 13</w:t>
      </w:r>
      <w:r w:rsidRPr="00FF5726">
        <w:rPr>
          <w:vertAlign w:val="superscript"/>
        </w:rPr>
        <w:t>th</w:t>
      </w:r>
      <w:r w:rsidRPr="00FF5726">
        <w:t xml:space="preserve">  May 1138 by  the consuls of Padua, to whom both parties had submitted after an earlier  judgement given by the court of vassals of the church of S. Maria in Padua had failed to settle the problem. The opponent of the  canons was one Uchezo (Uguccione) de Baone,</w:t>
      </w:r>
      <w:commentRangeStart w:id="16"/>
      <w:r w:rsidRPr="00FF5726">
        <w:rPr>
          <w:vertAlign w:val="superscript"/>
        </w:rPr>
        <w:footnoteReference w:id="43"/>
      </w:r>
      <w:commentRangeEnd w:id="16"/>
      <w:r w:rsidRPr="00FF5726">
        <w:commentReference w:id="16"/>
      </w:r>
      <w:r w:rsidRPr="00FF5726">
        <w:t xml:space="preserve"> who claimed to hold a paternal fief from the church. The canons denied this. In fact, they denied that he was a vassal of the church at all. With the advice of their vassals (</w:t>
      </w:r>
      <w:r w:rsidRPr="00FF5726">
        <w:rPr>
          <w:i/>
        </w:rPr>
        <w:t>consilio suorum vassallorum</w:t>
      </w:r>
      <w:r w:rsidRPr="00FF5726">
        <w:t>), the canons appointed a time for Uchezo to state his case as if he were a vassal (</w:t>
      </w:r>
      <w:r w:rsidRPr="00FF5726">
        <w:rPr>
          <w:i/>
        </w:rPr>
        <w:t>ac si esset vassallus</w:t>
      </w:r>
      <w:r w:rsidRPr="00FF5726">
        <w:t>), without prejudice to the rights of the church should their own case prove well-founded (</w:t>
      </w:r>
      <w:r w:rsidRPr="00FF5726">
        <w:rPr>
          <w:i/>
        </w:rPr>
        <w:t>salvo tamen omni iure ecclesie</w:t>
      </w:r>
      <w:r w:rsidRPr="00FF5726">
        <w:t xml:space="preserve">). Uchezo claimed that his father Albertus de Baone had been invested with the fief by the archpresbyter of S. Maria, acting with the consent of the bishop and the canons. The canons contested this on the grounds that Uchezo’s father had been invested by a schismatic, since condemned and stripped of all his benefices by papal legates, a rebel against the true bishop of Padua and supporter of a deposed and heretical bishop. </w:t>
      </w:r>
      <w:r w:rsidRPr="00FF5726">
        <w:lastRenderedPageBreak/>
        <w:t>Uchezo, however, refused to answer before the court of vassals until he had been invested with the fief:</w:t>
      </w:r>
    </w:p>
    <w:p w:rsidR="00FF5726" w:rsidRPr="00FF5726" w:rsidRDefault="00FF5726" w:rsidP="00FF5726">
      <w:r w:rsidRPr="00FF5726">
        <w:t>At ille perseverans in peticione investiture dicebat, se iudicio clientum ecclesie nullatenus stare debere, nisi prius investiretur.</w:t>
      </w:r>
    </w:p>
    <w:p w:rsidR="00FF5726" w:rsidRPr="00FF5726" w:rsidRDefault="00FF5726" w:rsidP="00FF5726">
      <w:r w:rsidRPr="00FF5726">
        <w:t xml:space="preserve">At this point the canons submitted to the </w:t>
      </w:r>
      <w:commentRangeStart w:id="17"/>
      <w:r w:rsidRPr="00FF5726">
        <w:t>judgement</w:t>
      </w:r>
      <w:commentRangeEnd w:id="17"/>
      <w:r w:rsidRPr="00FF5726">
        <w:commentReference w:id="17"/>
      </w:r>
      <w:r w:rsidRPr="00FF5726">
        <w:t xml:space="preserve"> of the vassals of the church. Uchezo continued to ignore summons to court until well beyond all the limits allowed by </w:t>
      </w:r>
      <w:r w:rsidRPr="00FF5726">
        <w:rPr>
          <w:i/>
        </w:rPr>
        <w:t>usus feudi</w:t>
      </w:r>
      <w:r w:rsidRPr="00FF5726">
        <w:t xml:space="preserve">, with the result that the court of vassals put the church into possession: </w:t>
      </w:r>
    </w:p>
    <w:p w:rsidR="00FF5726" w:rsidRPr="00FF5726" w:rsidRDefault="00FF5726" w:rsidP="00FF5726">
      <w:r w:rsidRPr="00FF5726">
        <w:t>…Illo vero semper reluctante, quousque omnes termini et plures etiam, quam usus feudi habeat, iam transacti essent, demum clientes ecclesie possessionem dederunt.</w:t>
      </w:r>
    </w:p>
    <w:p w:rsidR="00FF5726" w:rsidRPr="00FF5726" w:rsidRDefault="00FF5726" w:rsidP="00FF5726">
      <w:r w:rsidRPr="00FF5726">
        <w:t xml:space="preserve"> Despite this judgement, the canons were unable to establish peaceful </w:t>
      </w:r>
      <w:commentRangeStart w:id="18"/>
      <w:r w:rsidRPr="00FF5726">
        <w:t>possession</w:t>
      </w:r>
      <w:commentRangeEnd w:id="18"/>
      <w:r w:rsidRPr="00FF5726">
        <w:commentReference w:id="18"/>
      </w:r>
      <w:r w:rsidRPr="00FF5726">
        <w:t>, so both parties to the dispute, after giving pledges, submitted to arbitration by the consuls of Padua.</w:t>
      </w:r>
      <w:r w:rsidRPr="00FF5726">
        <w:rPr>
          <w:vertAlign w:val="superscript"/>
        </w:rPr>
        <w:footnoteReference w:id="44"/>
      </w:r>
    </w:p>
    <w:p w:rsidR="00FF5726" w:rsidRPr="00FF5726" w:rsidRDefault="00FF5726" w:rsidP="00FF5726">
      <w:r w:rsidRPr="00FF5726">
        <w:t xml:space="preserve">The term </w:t>
      </w:r>
      <w:r w:rsidRPr="00FF5726">
        <w:rPr>
          <w:i/>
        </w:rPr>
        <w:t>usus feudi</w:t>
      </w:r>
      <w:r w:rsidRPr="00FF5726">
        <w:t xml:space="preserve"> is employed here in the context of a time-limit, just as we have seen it employed in a number of the glosses to the </w:t>
      </w:r>
      <w:r w:rsidRPr="00FF5726">
        <w:rPr>
          <w:i/>
        </w:rPr>
        <w:t>Lombarda</w:t>
      </w:r>
      <w:r w:rsidRPr="00FF5726">
        <w:t xml:space="preserve">. In addition, the vocabulary of the various arguments between Uchezo and the canons clearly belongs to the same world as that of the </w:t>
      </w:r>
      <w:r w:rsidRPr="00FF5726">
        <w:rPr>
          <w:i/>
        </w:rPr>
        <w:t>Antiqua</w:t>
      </w:r>
      <w:r w:rsidRPr="00FF5726">
        <w:t xml:space="preserve">. Vassals become </w:t>
      </w:r>
      <w:r w:rsidRPr="00FF5726">
        <w:rPr>
          <w:i/>
        </w:rPr>
        <w:t>clientes</w:t>
      </w:r>
      <w:r w:rsidRPr="00FF5726">
        <w:t xml:space="preserve">, considerable importance is attached to the claim that this is a paternal investiture, not an investiture </w:t>
      </w:r>
      <w:r w:rsidRPr="00FF5726">
        <w:rPr>
          <w:i/>
        </w:rPr>
        <w:t>de novo</w:t>
      </w:r>
      <w:r w:rsidRPr="00FF5726">
        <w:rPr>
          <w:vertAlign w:val="superscript"/>
        </w:rPr>
        <w:footnoteReference w:id="45"/>
      </w:r>
      <w:r w:rsidRPr="00FF5726">
        <w:t xml:space="preserve">. The appropriate forum for the resolution of the difficulty is the court of vassals or </w:t>
      </w:r>
      <w:r w:rsidRPr="00FF5726">
        <w:rPr>
          <w:i/>
        </w:rPr>
        <w:t>clientes</w:t>
      </w:r>
      <w:r w:rsidRPr="00FF5726">
        <w:t xml:space="preserve">, which brings a problem for the canons, who do not wish to be bound by all the implications of trial before peers; their claim is, after all, that Uchezo does not hold in fief and is therefore no vassal of the church, so strictly speaking, he </w:t>
      </w:r>
      <w:r w:rsidRPr="00FF5726">
        <w:rPr>
          <w:i/>
        </w:rPr>
        <w:t>has</w:t>
      </w:r>
      <w:r w:rsidRPr="00FF5726">
        <w:t xml:space="preserve"> no peers. For both parties, words have a clear legal import in the sense that they translate instantly into procedural advantages and disadvantages. It is because he is to stand before a court of peers that Uchezo can insist on investiture prior to the </w:t>
      </w:r>
      <w:commentRangeStart w:id="19"/>
      <w:r w:rsidRPr="00FF5726">
        <w:t>proceedings</w:t>
      </w:r>
      <w:commentRangeEnd w:id="19"/>
      <w:r w:rsidRPr="00FF5726">
        <w:commentReference w:id="19"/>
      </w:r>
      <w:r w:rsidRPr="00FF5726">
        <w:t xml:space="preserve">, and precisely for that reason that the canons reserve the rights of their church even as they agree to put the matter to the peers. This exact procedural fiction – that Uchezo will be treated as a vassal so as to test whether he is a vassal in a court which only has jurisdiction if he </w:t>
      </w:r>
      <w:r w:rsidRPr="00FF5726">
        <w:rPr>
          <w:i/>
        </w:rPr>
        <w:t>is</w:t>
      </w:r>
      <w:r w:rsidRPr="00FF5726">
        <w:t xml:space="preserve"> a vassal – is described by Oberto dall’Orto in the </w:t>
      </w:r>
      <w:r w:rsidRPr="00FF5726">
        <w:rPr>
          <w:i/>
        </w:rPr>
        <w:t>Antiqua</w:t>
      </w:r>
      <w:r w:rsidRPr="00FF5726">
        <w:t xml:space="preserve">in terms which closely correspond to those of this case, although had his recommendation been followed by the canons the latter would have invested Uchezo as he requested, as a preliminary to the principal question at issue </w:t>
      </w:r>
      <w:commentRangeStart w:id="20"/>
      <w:r w:rsidRPr="00FF5726">
        <w:t>.</w:t>
      </w:r>
      <w:r w:rsidRPr="00FF5726">
        <w:rPr>
          <w:vertAlign w:val="superscript"/>
        </w:rPr>
        <w:footnoteReference w:id="46"/>
      </w:r>
      <w:commentRangeEnd w:id="20"/>
      <w:r w:rsidRPr="00FF5726">
        <w:commentReference w:id="20"/>
      </w:r>
      <w:r w:rsidRPr="00FF5726">
        <w:t xml:space="preserve"> </w:t>
      </w:r>
    </w:p>
    <w:p w:rsidR="00FF5726" w:rsidRPr="00FF5726" w:rsidRDefault="00FF5726" w:rsidP="00FF5726">
      <w:r w:rsidRPr="00FF5726">
        <w:lastRenderedPageBreak/>
        <w:t>This episode has much in common with another which has become famous amongst legal historians, at one stage of which Oberto dall’Orto was again active as a consultant. This is the litigation between the cathedral chapter of Verona and the counts of Sambonifacio over Cerea.</w:t>
      </w:r>
      <w:r w:rsidRPr="00FF5726">
        <w:rPr>
          <w:vertAlign w:val="superscript"/>
        </w:rPr>
        <w:footnoteReference w:id="47"/>
      </w:r>
      <w:r w:rsidRPr="00FF5726">
        <w:t xml:space="preserve"> The case, which we join in 1147, has attracted such attention because both sides were obviously represented by advocates with a thorough training in Roman law. It has therefore become a showpiece example of the influence of the new learning around mid-century. The church of Verona is in possession of the </w:t>
      </w:r>
      <w:r w:rsidRPr="00FF5726">
        <w:rPr>
          <w:i/>
        </w:rPr>
        <w:t>castrum</w:t>
      </w:r>
      <w:r w:rsidRPr="00FF5726">
        <w:t xml:space="preserve">, </w:t>
      </w:r>
      <w:r w:rsidRPr="00FF5726">
        <w:rPr>
          <w:i/>
        </w:rPr>
        <w:t>curtis</w:t>
      </w:r>
      <w:r w:rsidRPr="00FF5726">
        <w:t xml:space="preserve">, </w:t>
      </w:r>
      <w:r w:rsidRPr="00FF5726">
        <w:rPr>
          <w:i/>
        </w:rPr>
        <w:t>jurisdictio</w:t>
      </w:r>
      <w:r w:rsidRPr="00FF5726">
        <w:t xml:space="preserve"> and </w:t>
      </w:r>
      <w:r w:rsidRPr="00FF5726">
        <w:rPr>
          <w:i/>
        </w:rPr>
        <w:t>districtus</w:t>
      </w:r>
      <w:r w:rsidRPr="00FF5726">
        <w:t xml:space="preserve"> of Cerea. The counts of Sambonifacio claim this possession as a fief, for they are </w:t>
      </w:r>
      <w:r w:rsidRPr="00FF5726">
        <w:rPr>
          <w:i/>
        </w:rPr>
        <w:t>sobrini</w:t>
      </w:r>
      <w:r w:rsidRPr="00FF5726">
        <w:t xml:space="preserve"> of margrave Albert, who died without heir, and who in turn had it from his mother Richildis, the wife of the count of Sambonifacio. Richildis had been enfeoffed with Cerea by countess Mathilda of Tuscany. Mathilda’s father, margrave Boniface, had received Cerea as a lease - </w:t>
      </w:r>
      <w:r w:rsidRPr="00FF5726">
        <w:rPr>
          <w:i/>
        </w:rPr>
        <w:t>libellus</w:t>
      </w:r>
      <w:r w:rsidRPr="00FF5726">
        <w:t xml:space="preserve"> - from one Isnardus, who himself had it as a lease for 29 years from the cathedral chapter in return for 100 shillings of Verona. </w:t>
      </w:r>
    </w:p>
    <w:p w:rsidR="00FF5726" w:rsidRPr="00FF5726" w:rsidRDefault="00FF5726" w:rsidP="00FF5726">
      <w:r w:rsidRPr="00FF5726">
        <w:t xml:space="preserve">This is a simplified rendering of one strand of a notoriously complex saga, a </w:t>
      </w:r>
      <w:r w:rsidRPr="00FF5726">
        <w:rPr>
          <w:i/>
        </w:rPr>
        <w:t>précis</w:t>
      </w:r>
      <w:r w:rsidRPr="00FF5726">
        <w:t xml:space="preserve"> of only one of the many documents, some edited, others not, surviving from the case.</w:t>
      </w:r>
      <w:r w:rsidRPr="00FF5726">
        <w:rPr>
          <w:vertAlign w:val="superscript"/>
        </w:rPr>
        <w:footnoteReference w:id="48"/>
      </w:r>
      <w:r w:rsidRPr="00FF5726">
        <w:t xml:space="preserve"> Not all the arguments advanced by the chapter are comprehensible solely in the light of these sparse details, but the point of crucial importance for us emerges in all clarity. It is the head-on collision of custom and law. Specifically, the counts of Sambonifacio, claiming as they do that Cerea is owed to them by hereditary right as a fief, say they should be given possession </w:t>
      </w:r>
      <w:r w:rsidRPr="00FF5726">
        <w:rPr>
          <w:i/>
        </w:rPr>
        <w:t>iure consuetudinario</w:t>
      </w:r>
      <w:r w:rsidRPr="00FF5726">
        <w:t xml:space="preserve">. More generally, they say the entire controversy should be resolved and examined according to </w:t>
      </w:r>
      <w:r w:rsidRPr="00FF5726">
        <w:rPr>
          <w:i/>
        </w:rPr>
        <w:t>usus feudi</w:t>
      </w:r>
      <w:r w:rsidRPr="00FF5726">
        <w:t>. The canons respond that this is untrue because the counts are not vassals of the church, so the entire case should be resolved according to reason and the laws, as between persons not bound by any such tie as vassallage.</w:t>
      </w:r>
      <w:r w:rsidRPr="00FF5726">
        <w:rPr>
          <w:vertAlign w:val="superscript"/>
        </w:rPr>
        <w:footnoteReference w:id="49"/>
      </w:r>
      <w:r w:rsidRPr="00FF5726">
        <w:t xml:space="preserve"> The text which is controlling the pleading at this point is a constitution in Justinian’s Code by Constantine the Great (C. 8.52(53).2) to the effect that although the authority of long </w:t>
      </w:r>
      <w:r w:rsidRPr="00FF5726">
        <w:lastRenderedPageBreak/>
        <w:t>established custom and usage is not negligible, it can never overcome reason or law, the same text which Oberto dall’Orto so mischievously subverted in his own portrayal of Milanese custom relating to the resolution of disputes arising from fiefs.</w:t>
      </w:r>
      <w:r w:rsidRPr="00FF5726">
        <w:rPr>
          <w:vertAlign w:val="superscript"/>
        </w:rPr>
        <w:footnoteReference w:id="50"/>
      </w:r>
      <w:r w:rsidRPr="00FF5726">
        <w:t xml:space="preserve"> This is not to imply, however, that the advocates of the counts of Sambonifacio were mired in the rural ignorance of customary law and consequently delivered bound and gagged to the new professional legalism of their opponents: both sides in the dispute were represented by paragons of Roman law learning. Only this can explain the high level of abstraction in the pleading about who actually enjoys possession. The fact of possession is discussed according to the legality of prior transactions, not simply by evidence of occupancy or physical control</w:t>
      </w:r>
      <w:commentRangeStart w:id="21"/>
      <w:r w:rsidRPr="00FF5726">
        <w:t>.</w:t>
      </w:r>
      <w:r w:rsidRPr="00FF5726">
        <w:rPr>
          <w:vertAlign w:val="superscript"/>
        </w:rPr>
        <w:footnoteReference w:id="51"/>
      </w:r>
      <w:commentRangeEnd w:id="21"/>
      <w:r w:rsidRPr="00FF5726">
        <w:commentReference w:id="21"/>
      </w:r>
      <w:r w:rsidRPr="00FF5726">
        <w:t xml:space="preserve"> The advocates of the counts attempt to reclaim possession by means of Roman law’s </w:t>
      </w:r>
      <w:r w:rsidRPr="00FF5726">
        <w:rPr>
          <w:i/>
        </w:rPr>
        <w:t>actio Publiciana</w:t>
      </w:r>
      <w:r w:rsidRPr="00FF5726">
        <w:t xml:space="preserve">. In like manner, the church’s advocates deflect the </w:t>
      </w:r>
      <w:r w:rsidRPr="00FF5726">
        <w:rPr>
          <w:i/>
        </w:rPr>
        <w:t>Publiciana</w:t>
      </w:r>
      <w:r w:rsidRPr="00FF5726">
        <w:t xml:space="preserve"> by denying that any forebear mentioned by the counts had actually enjoyed </w:t>
      </w:r>
      <w:r w:rsidRPr="00FF5726">
        <w:rPr>
          <w:i/>
        </w:rPr>
        <w:t>possessio</w:t>
      </w:r>
      <w:r w:rsidRPr="00FF5726">
        <w:t>.</w:t>
      </w:r>
      <w:r w:rsidRPr="00FF5726">
        <w:rPr>
          <w:vertAlign w:val="superscript"/>
        </w:rPr>
        <w:footnoteReference w:id="52"/>
      </w:r>
      <w:r w:rsidRPr="00FF5726">
        <w:t xml:space="preserve">  Margrave Albert died without heir, so that the church took up this ‘corporal detention’ (the expression was carefully chosen as a legally neutral alternative to  </w:t>
      </w:r>
      <w:r w:rsidRPr="00FF5726">
        <w:rPr>
          <w:i/>
        </w:rPr>
        <w:t>possessio</w:t>
      </w:r>
      <w:r w:rsidRPr="00FF5726">
        <w:t xml:space="preserve">) as if vacant and held it in the full knowledge of the counts in peace for ten years and more. Furthermore, if Countess </w:t>
      </w:r>
      <w:commentRangeStart w:id="22"/>
      <w:r w:rsidRPr="00FF5726">
        <w:t>Mathilda</w:t>
      </w:r>
      <w:commentRangeEnd w:id="22"/>
      <w:r w:rsidRPr="00FF5726">
        <w:commentReference w:id="22"/>
      </w:r>
      <w:r w:rsidRPr="00FF5726">
        <w:t xml:space="preserve"> had held Cerea as a rental tenant (</w:t>
      </w:r>
      <w:r w:rsidRPr="00FF5726">
        <w:rPr>
          <w:i/>
        </w:rPr>
        <w:t>iure conductionis</w:t>
      </w:r>
      <w:r w:rsidRPr="00FF5726">
        <w:t xml:space="preserve">), then she could hardly have passed on to a vassal a stronger right </w:t>
      </w:r>
      <w:r w:rsidRPr="00FF5726">
        <w:rPr>
          <w:i/>
        </w:rPr>
        <w:t>nomine feudi</w:t>
      </w:r>
      <w:r w:rsidRPr="00FF5726">
        <w:t xml:space="preserve"> than she herself possessed.</w:t>
      </w:r>
      <w:r w:rsidRPr="00FF5726">
        <w:rPr>
          <w:vertAlign w:val="superscript"/>
        </w:rPr>
        <w:footnoteReference w:id="53"/>
      </w:r>
    </w:p>
    <w:p w:rsidR="00FF5726" w:rsidRPr="00FF5726" w:rsidRDefault="00FF5726" w:rsidP="00FF5726">
      <w:r w:rsidRPr="00FF5726">
        <w:t xml:space="preserve">The advocates at this stage of the Cerea proceedings were as sophisticated as any, able to exchange well-aimed salvoes on one of the most forbidding complexes of interrelated themes: what constitutes possession in the situation where physical control, or as we might say, intuitive rather than legal possession, has been lost but is yet being claimed as possession? It is instructive, then, that argument about fiefs was entirely a customary issue for both sides. Litigation arising from fiefs was thought to take a different course from other litigation, a course defined and actually constituted by </w:t>
      </w:r>
      <w:r w:rsidRPr="00FF5726">
        <w:rPr>
          <w:i/>
        </w:rPr>
        <w:t>usus feudi</w:t>
      </w:r>
      <w:r w:rsidRPr="00FF5726">
        <w:t>.</w:t>
      </w:r>
      <w:r w:rsidRPr="00FF5726">
        <w:rPr>
          <w:vertAlign w:val="superscript"/>
        </w:rPr>
        <w:footnoteReference w:id="54"/>
      </w:r>
      <w:r w:rsidRPr="00FF5726">
        <w:t xml:space="preserve"> This is why it was important for the church of Verona to deny that Cerea could ever have descended to the counts of Sambonifacio as a fief. With that denied once and for all, the case could be run according to reason and law, not custom. It is inconceivable that men such as these were unaware of scholarly </w:t>
      </w:r>
      <w:r w:rsidRPr="00FF5726">
        <w:lastRenderedPageBreak/>
        <w:t xml:space="preserve">discussion about fiefs and vassals. So when fiefs and vassals were the issue, it was not out of ignorance, nor in any other sense </w:t>
      </w:r>
      <w:r w:rsidRPr="00FF5726">
        <w:rPr>
          <w:i/>
        </w:rPr>
        <w:t>faute de mieux</w:t>
      </w:r>
      <w:r w:rsidRPr="00FF5726">
        <w:t xml:space="preserve">, that they immediately thought of custom, either in order to apply it or to prevent its application by denying that the rights and persons concerned were fiefs and vassals at all. </w:t>
      </w:r>
    </w:p>
    <w:p w:rsidR="00FF5726" w:rsidRPr="00FF5726" w:rsidRDefault="00FF5726" w:rsidP="00FF5726">
      <w:r w:rsidRPr="00FF5726">
        <w:t xml:space="preserve">This lesson might be amplified to cover other issues handled at length in the </w:t>
      </w:r>
      <w:r w:rsidRPr="00FF5726">
        <w:rPr>
          <w:i/>
        </w:rPr>
        <w:t>Libri feudorum</w:t>
      </w:r>
      <w:r w:rsidRPr="00FF5726">
        <w:t>, not merely court procedure. For example, a number of documents make it clear that custom – in some cases, the custom of specific cities or counties such as Milan – regulated inheritance claims to fiefs as well as feudal service.</w:t>
      </w:r>
      <w:r w:rsidRPr="00FF5726">
        <w:rPr>
          <w:vertAlign w:val="superscript"/>
        </w:rPr>
        <w:footnoteReference w:id="55"/>
      </w:r>
      <w:r w:rsidRPr="00FF5726">
        <w:t xml:space="preserve"> The age of these testimonies makes it unlikely that advocates and notaries trained in Roman law were inventing custom by a process of elimination from written texts, as if anything not covered by Roman or Lombard law must </w:t>
      </w:r>
      <w:r w:rsidRPr="00FF5726">
        <w:rPr>
          <w:i/>
        </w:rPr>
        <w:t>ipso facto</w:t>
      </w:r>
      <w:r w:rsidRPr="00FF5726">
        <w:t xml:space="preserve"> be custom, it being assumed that law was the starting point for all factual as well as legal enquiry. Such a mentality did not set in for several decades after the period under discussion here. If eleventh-century notaries and parties to contracts wrote or stipulated that a certain matter was to be regulated by custom, and then specified for the sake of clarity that it should be Milanese custom, it is not surprising that twelfth-century advocates did the same, nor that certain experienced functionaries of the courts of Milan and perhaps Pavia thought it useful to commit some of those customs and arguments they had encountered, and quite possibly helped formulate in actual litigation, to writing.</w:t>
      </w:r>
      <w:r w:rsidRPr="00FF5726">
        <w:rPr>
          <w:vertAlign w:val="superscript"/>
        </w:rPr>
        <w:footnoteReference w:id="56"/>
      </w:r>
      <w:r w:rsidRPr="00FF5726">
        <w:t xml:space="preserve"> The result was the </w:t>
      </w:r>
      <w:r w:rsidRPr="00FF5726">
        <w:rPr>
          <w:i/>
        </w:rPr>
        <w:t>Libri feudorum</w:t>
      </w:r>
      <w:r w:rsidRPr="00FF5726">
        <w:t xml:space="preserve">. The glosses to the </w:t>
      </w:r>
      <w:r w:rsidRPr="00FF5726">
        <w:rPr>
          <w:i/>
        </w:rPr>
        <w:t>Lombarda</w:t>
      </w:r>
      <w:r w:rsidRPr="00FF5726">
        <w:t xml:space="preserve"> which broach such themes differ from the early contributions to what would become the </w:t>
      </w:r>
      <w:r w:rsidRPr="00FF5726">
        <w:rPr>
          <w:i/>
        </w:rPr>
        <w:t xml:space="preserve">Libri feudorum </w:t>
      </w:r>
      <w:r w:rsidRPr="00FF5726">
        <w:t xml:space="preserve">in more than just length yet they are plainly reactions to the same world of customary usage, and accurate reactions at that. Most obviously, in neither case does the evidence of gloss or treatise suggest that book-based, literary, legal expertise, or antiquarian reverence, held any kind of priority in relation to the formation and interpretation of </w:t>
      </w:r>
      <w:r w:rsidRPr="00FF5726">
        <w:rPr>
          <w:i/>
        </w:rPr>
        <w:t xml:space="preserve">usus feudi </w:t>
      </w:r>
      <w:r w:rsidRPr="00FF5726">
        <w:t xml:space="preserve">in twelfth-century Lombardy. </w:t>
      </w:r>
    </w:p>
    <w:p w:rsidR="00FF5726" w:rsidRPr="00FF5726" w:rsidRDefault="00FF5726" w:rsidP="00FF5726"/>
    <w:p w:rsidR="00380D9C" w:rsidRDefault="00380D9C">
      <w:bookmarkStart w:id="23" w:name="_GoBack"/>
      <w:bookmarkEnd w:id="23"/>
    </w:p>
    <w:sectPr w:rsidR="00380D9C">
      <w:headerReference w:type="even" r:id="rId8"/>
      <w:headerReference w:type="default" r:id="rId9"/>
      <w:pgSz w:w="11906" w:h="16838"/>
      <w:pgMar w:top="1440" w:right="1800" w:bottom="1440" w:left="1800"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Susanne Lepsius" w:date="2020-12-29T09:09:00Z" w:initials="SL">
    <w:p w:rsidR="00FF5726" w:rsidRDefault="00FF5726" w:rsidP="00FF5726">
      <w:pPr>
        <w:pStyle w:val="CommentText"/>
      </w:pPr>
      <w:r>
        <w:rPr>
          <w:rStyle w:val="CommentReference"/>
        </w:rPr>
        <w:annotationRef/>
      </w:r>
      <w:r>
        <w:t>Could the custom of the kingdom mentioned in n. 4 be the adjudication of the court in Pavia unlike that of the other courts? What should we assume to be the authority defining what a custom actually is? Most likely courts?! ANSWER: It will certainly have been courts which defined this, but the court of Pavia had ceased to function as any kind of central court long before the Libri were written. The contrast you have in mind here is not mentioned anywhere else in the text and other passages stress that feudal custom differs from court to court without framing that contrast in terms of a royal court.</w:t>
      </w:r>
    </w:p>
  </w:comment>
  <w:comment w:id="1" w:author="Susanne Lepsius" w:date="2020-12-29T09:09:00Z" w:initials="SL">
    <w:p w:rsidR="00FF5726" w:rsidRDefault="00FF5726" w:rsidP="00FF5726">
      <w:pPr>
        <w:pStyle w:val="CommentText"/>
      </w:pPr>
      <w:r>
        <w:rPr>
          <w:rStyle w:val="CommentReference"/>
        </w:rPr>
        <w:annotationRef/>
      </w:r>
      <w:r>
        <w:t>Hinweis auf Literatur in fides-Band?! ANSWER: as far as I can tell, there is nothing precisely about this in Carsten Fischer’s or Knut Görich’s contributions to that excellent volume.</w:t>
      </w:r>
    </w:p>
  </w:comment>
  <w:comment w:id="2" w:author="Susanne Lepsius" w:date="2020-12-29T09:09:00Z" w:initials="SL">
    <w:p w:rsidR="00FF5726" w:rsidRDefault="00FF5726" w:rsidP="00FF5726">
      <w:pPr>
        <w:pStyle w:val="CommentText"/>
      </w:pPr>
      <w:r>
        <w:rPr>
          <w:rStyle w:val="CommentReference"/>
        </w:rPr>
        <w:annotationRef/>
      </w:r>
      <w:r>
        <w:t>Is this an English word or a Übernahme from Padoa Schioppa whom you cite in your footnote? ANSWER: an English word</w:t>
      </w:r>
    </w:p>
  </w:comment>
  <w:comment w:id="3" w:author="Susanne Lepsius" w:date="2020-12-29T09:09:00Z" w:initials="SL">
    <w:p w:rsidR="00FF5726" w:rsidRDefault="00FF5726" w:rsidP="00FF5726">
      <w:pPr>
        <w:pStyle w:val="CommentText"/>
      </w:pPr>
      <w:r>
        <w:rPr>
          <w:rStyle w:val="CommentReference"/>
        </w:rPr>
        <w:annotationRef/>
      </w:r>
    </w:p>
  </w:comment>
  <w:comment w:id="4" w:author="Susanne Lepsius" w:date="2020-12-29T09:09:00Z" w:initials="SL">
    <w:p w:rsidR="00FF5726" w:rsidRDefault="00FF5726" w:rsidP="00FF5726">
      <w:pPr>
        <w:pStyle w:val="CommentText"/>
      </w:pPr>
      <w:r>
        <w:rPr>
          <w:rStyle w:val="CommentReference"/>
        </w:rPr>
        <w:annotationRef/>
      </w:r>
      <w:r>
        <w:t>Since this is an important argument of yours against Reynolds, perhaps you could elaborate a little more in detail in your n. 16, on what evidence she based her (wrong) conclusions and what you think of her evidence?!</w:t>
      </w:r>
    </w:p>
  </w:comment>
  <w:comment w:id="5" w:author="Susanne Lepsius" w:date="2020-12-29T09:09:00Z" w:initials="SL">
    <w:p w:rsidR="00FF5726" w:rsidRDefault="00FF5726" w:rsidP="00FF5726">
      <w:pPr>
        <w:pStyle w:val="CommentText"/>
      </w:pPr>
      <w:r>
        <w:rPr>
          <w:rStyle w:val="CommentReference"/>
        </w:rPr>
        <w:annotationRef/>
      </w:r>
      <w:r>
        <w:t xml:space="preserve">Did Loschiavo in his “De pugna” write on the point of attributions too? ANSWER: Do you mean Hermann Kantorowicz’s essay ‘De Pugna’ (etc.)? I’m not aware of an article by Luca on this. Kantorowicz does advance a hypothesis on the relationship between Albertus, Ariprand and Aliprand, and I refer to this in footnote 18 of this page. </w:t>
      </w:r>
    </w:p>
  </w:comment>
  <w:comment w:id="6" w:author="Susanne Lepsius" w:date="2020-12-29T09:09:00Z" w:initials="SL">
    <w:p w:rsidR="00FF5726" w:rsidRDefault="00FF5726" w:rsidP="00FF5726">
      <w:pPr>
        <w:pStyle w:val="CommentText"/>
      </w:pPr>
      <w:r>
        <w:rPr>
          <w:rStyle w:val="CommentReference"/>
        </w:rPr>
        <w:annotationRef/>
      </w:r>
      <w:r>
        <w:t xml:space="preserve">Please explain a little further: when exactly does the text prseume that a vasall would lose his feudum, in case of the death of the  former dominus (and father of the filia)?or is it the problem you refer to on the next page, i.e. the vasall having sex with the daughter? Then perhaps it would be easier to understand if you first explain the text and then the content of the gloss on this passage. ANSWER: the problem is about sexual indiscretions. The text in the Lombarda does not mention fiefs or vassals at all. It is summarized immediately above  this indented quotation: it is about the way an inheritance is divided between  widowed daughters or sisters of a dead Lombard male when they are living under his roof (i.e. ‘in casa’). </w:t>
      </w:r>
    </w:p>
  </w:comment>
  <w:comment w:id="7" w:author="Susanne Lepsius" w:date="2020-12-29T09:09:00Z" w:initials="SL">
    <w:p w:rsidR="00FF5726" w:rsidRDefault="00FF5726" w:rsidP="00FF5726">
      <w:pPr>
        <w:pStyle w:val="CommentText"/>
      </w:pPr>
      <w:r>
        <w:rPr>
          <w:rStyle w:val="CommentReference"/>
        </w:rPr>
        <w:annotationRef/>
      </w:r>
      <w:r>
        <w:t>was für ein lat. Wort ist das? ANSWER: Ein sehr grobes, wenn auch bei Catullus und Martialis belegt!</w:t>
      </w:r>
    </w:p>
  </w:comment>
  <w:comment w:id="8" w:author="Susanne Lepsius" w:date="2020-12-29T09:09:00Z" w:initials="SL">
    <w:p w:rsidR="00FF5726" w:rsidRDefault="00FF5726" w:rsidP="00FF5726">
      <w:pPr>
        <w:pStyle w:val="CommentText"/>
      </w:pPr>
      <w:r>
        <w:rPr>
          <w:rStyle w:val="CommentReference"/>
        </w:rPr>
        <w:annotationRef/>
      </w:r>
      <w:r>
        <w:t>You should keep in mind, that for the germanic custom and German-Roman emperors “a year and a day” does not mean a calender year plus one day (= 366 days), but the next court session “tag”, thus it might be a flexible date. Cf. Art. “Jahr und Tag” in Handwörterbuch zur deutschen Rechtsgeschichte ##. So from an Italian, more “precise” perspective “a year and a month” might come closer to what court practice cf. C. Fischer…. article. So maybe there was also a clash of cultures in understanding the different customs for times of leniency. ANSWER: thank you: very interesting. The gloss itself does not note any time difference, however, so I had better not include this discussion.</w:t>
      </w:r>
    </w:p>
  </w:comment>
  <w:comment w:id="9" w:author="Susanne Lepsius" w:date="2020-12-29T09:09:00Z" w:initials="SL">
    <w:p w:rsidR="00FF5726" w:rsidRDefault="00FF5726" w:rsidP="00FF5726">
      <w:pPr>
        <w:pStyle w:val="CommentText"/>
      </w:pPr>
      <w:r>
        <w:rPr>
          <w:rStyle w:val="CommentReference"/>
        </w:rPr>
        <w:annotationRef/>
      </w:r>
      <w:r>
        <w:t>From a juristic perspective presciption is quite the adequate term, in German it would be rather a Verfallsfrist. Prescription/Verjährung ususally has as a legal consequence of making the juridical position of a party better because of the time elapsed. Here, the son of the dead vasall would lose his dominium utile/possession if did not become active asking for new investiture by the lord. ANSWER: agreed. English only permits ‘prescription’ but the problem is perhaps more apparent than real: see the gloss quoted in footnote 32. The person doing the prescribing here is the lord.I have re-written the passage in the main text to make this clearer.</w:t>
      </w:r>
    </w:p>
  </w:comment>
  <w:comment w:id="10" w:author="Susanne Lepsius" w:date="2020-12-29T09:09:00Z" w:initials="SL">
    <w:p w:rsidR="00FF5726" w:rsidRDefault="00FF5726" w:rsidP="00FF5726">
      <w:pPr>
        <w:pStyle w:val="CommentText"/>
      </w:pPr>
      <w:r>
        <w:rPr>
          <w:rStyle w:val="CommentReference"/>
        </w:rPr>
        <w:annotationRef/>
      </w:r>
      <w:r>
        <w:t>Are there A. glosses which seem more “modern” in your sense, that they abund with real legal argumentation and different masters’ voices? ANSWER: not specifically ‘A.’ glosses, no. A whole apparatus or what looks like an apparatus to me, of ‘Alb.’ glosses in Vat. Reg. Lat. 1060, which include references to Aliprand in the shape of glosses concluding ‘secundum ali.’also refer to modern usage. So between the various ‘A’ possibilities (A., Alb., Ali.) there is no obvious difference in emphasis or focus.</w:t>
      </w:r>
    </w:p>
  </w:comment>
  <w:comment w:id="11" w:author="Susanne Lepsius" w:date="2020-12-29T09:09:00Z" w:initials="SL">
    <w:p w:rsidR="00FF5726" w:rsidRDefault="00FF5726" w:rsidP="00FF5726">
      <w:pPr>
        <w:pStyle w:val="CommentText"/>
      </w:pPr>
      <w:r>
        <w:rPr>
          <w:rStyle w:val="CommentReference"/>
        </w:rPr>
        <w:annotationRef/>
      </w:r>
      <w:r>
        <w:t>footnote with some relevant publications on the method? ANSWER: I can’t actually find anything in print relevant to this precise point, except for the general and rather chaotic comments about the authors of the Libri feudorum in Susan Reynolds’ book, pp. 218-219, which I have already cited towards the beginning of this article. I would rather not cite her again…</w:t>
      </w:r>
    </w:p>
  </w:comment>
  <w:comment w:id="12" w:author="Susanne Lepsius" w:date="2020-12-29T09:09:00Z" w:initials="SL">
    <w:p w:rsidR="00FF5726" w:rsidRDefault="00FF5726" w:rsidP="00FF5726">
      <w:pPr>
        <w:pStyle w:val="CommentText"/>
      </w:pPr>
      <w:r>
        <w:rPr>
          <w:rStyle w:val="CommentReference"/>
        </w:rPr>
        <w:annotationRef/>
      </w:r>
      <w:r>
        <w:t>Do they use the full name Ariprand in the libri feud orum or do they also use the siglum A.? ANSWER: Lehmann’s edition and the manuscript, which I have checked, use his full name: secundum Ariprandum.</w:t>
      </w:r>
    </w:p>
  </w:comment>
  <w:comment w:id="13" w:author="Susanne Lepsius" w:date="2020-12-29T09:09:00Z" w:initials="SL">
    <w:p w:rsidR="00FF5726" w:rsidRDefault="00FF5726" w:rsidP="00FF5726">
      <w:pPr>
        <w:pStyle w:val="CommentText"/>
      </w:pPr>
      <w:r>
        <w:rPr>
          <w:rStyle w:val="CommentReference"/>
        </w:rPr>
        <w:annotationRef/>
      </w:r>
      <w:r>
        <w:t>How about direct references to Roman-canon law and allegations in your Lombardist glosses? Are there any? Yours is an argument from method. My question refers rather to the legal autorities referred to. ANSWER: there are, famously, lots of Roman law citations in the more modern Lombardist glosses, but none of the glosses I discuss contain such references to Roman law (or, as you can see from those I quote, to any laws at all). There is, of course, a major set of questions to be re-opened about Lombardist and Romanist method in the citation of the Corpus iuris civilis, but that takes us back to the entire, gigantic, mess of the debate between Conrat, Fitting, Ficker, Siegel, and – in my opinion definitively – Hermann Kantorowicz. There was a brief relapse into all this occasioned by Joseph Radding’s book, which was reviewed by Gouron and torn to pieces. The question is a very large and complicated one; my comment here relates only to these particular glosses and is not a general statement about mid-twelfth-century Lombardist method.</w:t>
      </w:r>
    </w:p>
  </w:comment>
  <w:comment w:id="14" w:author="Susanne Lepsius" w:date="2020-12-29T09:09:00Z" w:initials="SL">
    <w:p w:rsidR="00FF5726" w:rsidRDefault="00FF5726" w:rsidP="00FF5726">
      <w:pPr>
        <w:pStyle w:val="CommentText"/>
      </w:pPr>
      <w:r>
        <w:rPr>
          <w:rStyle w:val="CommentReference"/>
        </w:rPr>
        <w:annotationRef/>
      </w:r>
      <w:r>
        <w:t xml:space="preserve">In your oldest mss. in which the glossed Lombarda and the libri feudorum are in the same codex/ms.: are they written in the same hand or bound together by later users in the middle ages? ANSWER: In short, no. The oldest ms of the Libri feudorum in any case contains Roman law materials. In Paris BN Lat. 4615 the fragments of the Libri are added to a miscellaneous and rather messy compendium of Lombardist materials. In Bamberg Iur. 3 the fragment of the Libri  follows on immediately and without interruption from the Lombardist treatise ‘De pugna’. </w:t>
      </w:r>
    </w:p>
  </w:comment>
  <w:comment w:id="15" w:author="Susanne Lepsius" w:date="2020-12-29T09:09:00Z" w:initials="SL">
    <w:p w:rsidR="00FF5726" w:rsidRDefault="00FF5726" w:rsidP="00FF5726">
      <w:pPr>
        <w:pStyle w:val="CommentText"/>
      </w:pPr>
      <w:r>
        <w:rPr>
          <w:rStyle w:val="CommentReference"/>
        </w:rPr>
        <w:annotationRef/>
      </w:r>
      <w:r>
        <w:t>could you give some indication/hypotheses how many Lombardist glosses there are, apart from the ones you cited, apart from Anschütz-edition of the summae and the printed “glossa ordinaria” to the Lombarda? The last point of course is interesting for us, because we also try to find out, how many of our oldest glosses went over into the glossa ordinaria of the Liber Augustalis! ANSWER: I’m afraid I can’t. I used 18 manuscripts for my initial research on this; in these, there are thousands of glosses, some duplicating others, virtually none of them edited. Nobody has done a proper job on all this. I should explain that these glosses have nothing to do with the Glossa Ordinaria to the Lombarda by Carolus de Tocco, who worked in a Roman law tradition, not a strictly Lombard one, and certainly not in contact with the materials I am discussing here.</w:t>
      </w:r>
    </w:p>
  </w:comment>
  <w:comment w:id="16" w:author="Susanne Lepsius" w:date="2020-12-29T09:09:00Z" w:initials="SL">
    <w:p w:rsidR="00FF5726" w:rsidRDefault="00FF5726" w:rsidP="00FF5726">
      <w:pPr>
        <w:pStyle w:val="CommentText"/>
      </w:pPr>
      <w:r>
        <w:rPr>
          <w:rStyle w:val="CommentReference"/>
        </w:rPr>
        <w:annotationRef/>
      </w:r>
      <w:r>
        <w:t>What exactyl did the consuls confirm? Maybe it wold be better to start with this result and then explain the line of argument in the first instance?! why would the case before the consuls of Padua? Who brought it there? ANSWER: see text,</w:t>
      </w:r>
    </w:p>
  </w:comment>
  <w:comment w:id="17" w:author="Susanne Lepsius" w:date="2020-12-29T09:09:00Z" w:initials="SL">
    <w:p w:rsidR="00FF5726" w:rsidRDefault="00FF5726" w:rsidP="00FF5726">
      <w:pPr>
        <w:pStyle w:val="CommentText"/>
      </w:pPr>
      <w:r>
        <w:rPr>
          <w:rStyle w:val="CommentReference"/>
        </w:rPr>
        <w:annotationRef/>
      </w:r>
      <w:r>
        <w:t>What do you mean by submitted to the judgment – a litis contestatio? In front of which court had the debate and petitio been raised hitherto? Do you recount the case according to the first instance or according to the documentation in front of the consuls of Padua? ANSWER: ‘Submitted’ is the normal English expression for the context and reflects the original ‘se…</w:t>
      </w:r>
      <w:r w:rsidRPr="001458F6">
        <w:rPr>
          <w:rFonts w:ascii="Courier" w:hAnsi="Courier"/>
          <w:snapToGrid w:val="0"/>
          <w:sz w:val="24"/>
        </w:rPr>
        <w:t xml:space="preserve"> </w:t>
      </w:r>
      <w:r w:rsidRPr="001458F6">
        <w:t>iudicio fi</w:t>
      </w:r>
      <w:r>
        <w:t xml:space="preserve">delium ecclesie se supponentibu’. There are no records of ‘first instance’, only of the consular judgement. Not </w:t>
      </w:r>
      <w:r>
        <w:rPr>
          <w:i/>
        </w:rPr>
        <w:t xml:space="preserve">litis contestatio; </w:t>
      </w:r>
      <w:r>
        <w:t xml:space="preserve">the language of the Roman law ‘ordo iudiciarius’ is out of place here and not mentioned in the document. The word here is simply ‘iudicium’. </w:t>
      </w:r>
    </w:p>
  </w:comment>
  <w:comment w:id="18" w:author="Susanne Lepsius" w:date="2020-12-29T09:09:00Z" w:initials="SL">
    <w:p w:rsidR="00FF5726" w:rsidRDefault="00FF5726" w:rsidP="00FF5726">
      <w:pPr>
        <w:pStyle w:val="CommentText"/>
      </w:pPr>
      <w:r>
        <w:rPr>
          <w:rStyle w:val="CommentReference"/>
        </w:rPr>
        <w:annotationRef/>
      </w:r>
      <w:r>
        <w:t>Isn’t this a too peaceful description of what happened? The court of the vassals was not accepted from the beginning by Uchezo. Do we have any indication, who the vassals in the court of vasalls were? ANSWER: Uchezo DID accept the jurisdiction of the court of vassals, but insisted on being invested first.</w:t>
      </w:r>
    </w:p>
  </w:comment>
  <w:comment w:id="19" w:author="Susanne Lepsius" w:date="2020-12-29T09:09:00Z" w:initials="SL">
    <w:p w:rsidR="00FF5726" w:rsidRDefault="00FF5726" w:rsidP="00FF5726">
      <w:pPr>
        <w:pStyle w:val="CommentText"/>
      </w:pPr>
      <w:r>
        <w:rPr>
          <w:rStyle w:val="CommentReference"/>
        </w:rPr>
        <w:annotationRef/>
      </w:r>
      <w:r>
        <w:t>But of course his point to be invested first before showing up in court is quite abstruse. Had the church accepted this, then the canon could be hold to their prior action. after all it what be going contra factum proprium if they first had invested him and would have claimed later, that he is no vasall! ANSWER:  exactly.</w:t>
      </w:r>
    </w:p>
  </w:comment>
  <w:comment w:id="20" w:author="Susanne Lepsius" w:date="2020-12-29T09:09:00Z" w:initials="SL">
    <w:p w:rsidR="00FF5726" w:rsidRDefault="00FF5726" w:rsidP="00FF5726">
      <w:pPr>
        <w:pStyle w:val="CommentText"/>
      </w:pPr>
      <w:r>
        <w:rPr>
          <w:rStyle w:val="CommentReference"/>
        </w:rPr>
        <w:annotationRef/>
      </w:r>
      <w:r>
        <w:t>This of course is an old legal benefit: in all questions of status you treat a person as if she has a certain position in order to hear her case in court. Otherwise you would entirely deny acess to court. This idea could also be proved by Roman law, where for the question whether a slave is a slave or free, he is treated for the sake and the duration of the trial as if he were a free person. ANSWER. That’s very interesting. The argumentation in this document and, most importantly, the passage by Oberto dall’Orto in the Libri feudorum, does not quote any legal source except the frequent judgement of feudal courts in such matters: see addition to footnote.</w:t>
      </w:r>
    </w:p>
  </w:comment>
  <w:comment w:id="21" w:author="Susanne Lepsius" w:date="2020-12-29T09:09:00Z" w:initials="SL">
    <w:p w:rsidR="00FF5726" w:rsidRDefault="00FF5726" w:rsidP="00FF5726">
      <w:pPr>
        <w:pStyle w:val="CommentText"/>
      </w:pPr>
      <w:r>
        <w:rPr>
          <w:rStyle w:val="CommentReference"/>
        </w:rPr>
        <w:annotationRef/>
      </w:r>
      <w:r>
        <w:t>This of course is due to the Roman law distinction between possessio de facto and de jure and the two different procedural types: for the summary procedure factual possession is sufficient to be proved. for the main case ensuing you need to prove the titles for possession. Romanists make a distinction between possessorischer und petitorischer Besitzschutz!</w:t>
      </w:r>
    </w:p>
  </w:comment>
  <w:comment w:id="22" w:author="Susanne Lepsius" w:date="2020-12-29T09:09:00Z" w:initials="SL">
    <w:p w:rsidR="00FF5726" w:rsidRDefault="00FF5726" w:rsidP="00FF5726">
      <w:pPr>
        <w:pStyle w:val="CommentText"/>
      </w:pPr>
      <w:r>
        <w:rPr>
          <w:rStyle w:val="CommentReference"/>
        </w:rPr>
        <w:annotationRef/>
      </w:r>
      <w:r>
        <w:t xml:space="preserve">Might be useful to explain the relationship between margrave Albert and countess Mathilde for everyone not so well informed!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8A2" w:rsidRDefault="000108A2" w:rsidP="00FF5726">
      <w:pPr>
        <w:spacing w:after="0" w:line="240" w:lineRule="auto"/>
      </w:pPr>
      <w:r>
        <w:separator/>
      </w:r>
    </w:p>
  </w:endnote>
  <w:endnote w:type="continuationSeparator" w:id="0">
    <w:p w:rsidR="000108A2" w:rsidRDefault="000108A2" w:rsidP="00FF5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8A2" w:rsidRDefault="000108A2" w:rsidP="00FF5726">
      <w:pPr>
        <w:spacing w:after="0" w:line="240" w:lineRule="auto"/>
      </w:pPr>
      <w:r>
        <w:separator/>
      </w:r>
    </w:p>
  </w:footnote>
  <w:footnote w:type="continuationSeparator" w:id="0">
    <w:p w:rsidR="000108A2" w:rsidRDefault="000108A2" w:rsidP="00FF5726">
      <w:pPr>
        <w:spacing w:after="0" w:line="240" w:lineRule="auto"/>
      </w:pPr>
      <w:r>
        <w:continuationSeparator/>
      </w:r>
    </w:p>
  </w:footnote>
  <w:footnote w:id="1">
    <w:p w:rsidR="00FF5726" w:rsidRDefault="00FF5726" w:rsidP="00FF5726">
      <w:pPr>
        <w:pStyle w:val="FootnoteText"/>
      </w:pPr>
      <w:r>
        <w:t>*I am deeply grateful to Antonio Ciaralli who commented upon an early draft of this paper and made numerous helpful suggestions Several passages in what follows are also clearer than they would have been thanks to Susanne Lepsius’ editorial queries.</w:t>
      </w:r>
    </w:p>
    <w:p w:rsidR="00FF5726" w:rsidRPr="002B5B47" w:rsidRDefault="00FF5726" w:rsidP="00FF5726">
      <w:pPr>
        <w:pStyle w:val="FootnoteText"/>
        <w:rPr>
          <w:lang w:val="en-US"/>
        </w:rPr>
      </w:pPr>
      <w:r>
        <w:rPr>
          <w:rStyle w:val="FootnoteReference"/>
        </w:rPr>
        <w:footnoteRef/>
      </w:r>
      <w:r>
        <w:t xml:space="preserve"> </w:t>
      </w:r>
      <w:r>
        <w:rPr>
          <w:lang w:val="en-US"/>
        </w:rPr>
        <w:t xml:space="preserve">Strictly </w:t>
      </w:r>
      <w:r>
        <w:rPr>
          <w:i/>
          <w:lang w:val="en-US"/>
        </w:rPr>
        <w:t>Liber</w:t>
      </w:r>
      <w:r>
        <w:rPr>
          <w:lang w:val="en-US"/>
        </w:rPr>
        <w:t xml:space="preserve"> according to P. Weimar, </w:t>
      </w:r>
      <w:r>
        <w:t>‘</w:t>
      </w:r>
      <w:r w:rsidRPr="00DF6998">
        <w:t>Die Handschriften des Li</w:t>
      </w:r>
      <w:r>
        <w:t>ber Feudorum und seiner Glosse,’</w:t>
      </w:r>
      <w:r w:rsidRPr="00DF6998">
        <w:t xml:space="preserve"> in </w:t>
      </w:r>
      <w:r w:rsidRPr="00DF6998">
        <w:rPr>
          <w:i/>
        </w:rPr>
        <w:t xml:space="preserve">Rivista Internazionale di Diritto Comune </w:t>
      </w:r>
      <w:r w:rsidRPr="00DF6998">
        <w:t>1, 1990, 31-98.</w:t>
      </w:r>
    </w:p>
  </w:footnote>
  <w:footnote w:id="2">
    <w:p w:rsidR="00FF5726" w:rsidRPr="00912717" w:rsidRDefault="00FF5726" w:rsidP="00FF5726">
      <w:pPr>
        <w:pStyle w:val="FootnoteText"/>
        <w:rPr>
          <w:lang w:val="en-US"/>
        </w:rPr>
      </w:pPr>
      <w:r>
        <w:rPr>
          <w:rStyle w:val="FootnoteReference"/>
        </w:rPr>
        <w:footnoteRef/>
      </w:r>
      <w:r>
        <w:t xml:space="preserve"> </w:t>
      </w:r>
      <w:r>
        <w:rPr>
          <w:lang w:val="en-US"/>
        </w:rPr>
        <w:t xml:space="preserve">For the architecture of the first recension, see E.A.Th. Laspeyres, </w:t>
      </w:r>
      <w:r w:rsidRPr="00753ACB">
        <w:rPr>
          <w:i/>
          <w:lang w:val="en-US"/>
        </w:rPr>
        <w:t>Ueber die Entstehung und älteste Bearbeitung der Libri Feudorum</w:t>
      </w:r>
      <w:r>
        <w:rPr>
          <w:lang w:val="en-US"/>
        </w:rPr>
        <w:t xml:space="preserve"> (Berlin 1830), 137-202; K. Lehmann, </w:t>
      </w:r>
      <w:r w:rsidRPr="00753ACB">
        <w:rPr>
          <w:i/>
          <w:lang w:val="en-US"/>
        </w:rPr>
        <w:t>Consuetudines Feudorum (Libri Feudorum, Jus Feudale Langobardorum) I. Compilatio Antiqua</w:t>
      </w:r>
      <w:r>
        <w:rPr>
          <w:lang w:val="en-US"/>
        </w:rPr>
        <w:t xml:space="preserve"> (Göttingen 1892; hereafter: Lehmann, </w:t>
      </w:r>
      <w:r w:rsidRPr="00346A20">
        <w:rPr>
          <w:i/>
          <w:lang w:val="en-US"/>
        </w:rPr>
        <w:t>Consuetudines</w:t>
      </w:r>
      <w:r>
        <w:rPr>
          <w:lang w:val="en-US"/>
        </w:rPr>
        <w:t>), 1-4.</w:t>
      </w:r>
    </w:p>
  </w:footnote>
  <w:footnote w:id="3">
    <w:p w:rsidR="00FF5726" w:rsidRPr="00581BD5" w:rsidRDefault="00FF5726" w:rsidP="00FF5726">
      <w:pPr>
        <w:pStyle w:val="FootnoteText"/>
        <w:rPr>
          <w:lang w:val="en-US"/>
        </w:rPr>
      </w:pPr>
      <w:r>
        <w:rPr>
          <w:rStyle w:val="FootnoteReference"/>
        </w:rPr>
        <w:footnoteRef/>
      </w:r>
      <w:r>
        <w:t xml:space="preserve"> </w:t>
      </w:r>
      <w:r w:rsidRPr="0051338F">
        <w:rPr>
          <w:i/>
        </w:rPr>
        <w:t>Conradi II Diplomata</w:t>
      </w:r>
      <w:r>
        <w:t xml:space="preserve">, ed. H. Bresslau (MGH, </w:t>
      </w:r>
      <w:r w:rsidRPr="0051338F">
        <w:rPr>
          <w:i/>
        </w:rPr>
        <w:t>Die Urkunden der deutschen Könige und Kaiser</w:t>
      </w:r>
      <w:r>
        <w:t xml:space="preserve">, 4), Hannover – Leipzig 1909), no. 244; for discussion and thorough literary overview see A. Karg, ‘Die kaiserliche “Lehnsgesetzgebung” für Italien bis Roncaglia (1158)’ in G. Dilcher and D. Quaglioni (eds), </w:t>
      </w:r>
      <w:r w:rsidRPr="00CE7D50">
        <w:rPr>
          <w:i/>
        </w:rPr>
        <w:t xml:space="preserve">Gli inizi del diritto pubblico. L’età di Federico Barbarossa: legislazione e scienza del diritto/Die Anfänge des öffentlichen Rechts. Gesetzgebung im Zeitalter Friedrich Barbarossas und das Gelehrte Recht </w:t>
      </w:r>
      <w:r>
        <w:t xml:space="preserve">(Bologna – Berlin 2007), 199-228. The most detailed analyses are those of H. Keller, </w:t>
      </w:r>
      <w:r w:rsidRPr="00CE7D50">
        <w:rPr>
          <w:i/>
        </w:rPr>
        <w:t>Adelsherrschaft und städtische Gesellschaft in Oberitalien. 9.-12.J</w:t>
      </w:r>
      <w:r>
        <w:rPr>
          <w:i/>
        </w:rPr>
        <w:t>a</w:t>
      </w:r>
      <w:r w:rsidRPr="00CE7D50">
        <w:rPr>
          <w:i/>
        </w:rPr>
        <w:t>h</w:t>
      </w:r>
      <w:r>
        <w:rPr>
          <w:i/>
        </w:rPr>
        <w:t>rhundert</w:t>
      </w:r>
      <w:r>
        <w:t xml:space="preserve"> (Bibliothek des Deutschen Historischen Instituts in Rom, 52; Tübingen 1979), 286ff, 356ff, the same author’s ‘Das ‘Edictum de beneficiis’ Konrads II. und die Entwicklung des Lehnswesens in der ersten Häfte des 11. Jahrhunderts’, in </w:t>
      </w:r>
      <w:r w:rsidRPr="00C330EF">
        <w:rPr>
          <w:i/>
          <w:lang w:val="it-IT"/>
        </w:rPr>
        <w:t>Il feudalesimo nell’alto medioevo</w:t>
      </w:r>
      <w:r w:rsidRPr="00C330EF">
        <w:rPr>
          <w:lang w:val="it-IT"/>
        </w:rPr>
        <w:t xml:space="preserve"> (</w:t>
      </w:r>
      <w:r w:rsidRPr="00C330EF">
        <w:t>Settimane di studio del Centro italiano di studi sull'alto Medioevo</w:t>
      </w:r>
      <w:r w:rsidRPr="00C330EF">
        <w:rPr>
          <w:lang w:val="it-IT"/>
        </w:rPr>
        <w:t>, 47, Spoleto 2000),</w:t>
      </w:r>
      <w:r>
        <w:rPr>
          <w:lang w:val="it-IT"/>
        </w:rPr>
        <w:t xml:space="preserve"> </w:t>
      </w:r>
      <w:r>
        <w:t xml:space="preserve">and P. Brancoli Busdraghi, </w:t>
      </w:r>
      <w:r>
        <w:rPr>
          <w:i/>
        </w:rPr>
        <w:t xml:space="preserve">La formazione storica del feudo lombardo come diritto reale </w:t>
      </w:r>
      <w:r>
        <w:t>(2</w:t>
      </w:r>
      <w:r w:rsidRPr="00581BD5">
        <w:rPr>
          <w:vertAlign w:val="superscript"/>
        </w:rPr>
        <w:t>nd</w:t>
      </w:r>
      <w:r>
        <w:t xml:space="preserve"> ed., Spoleto 1999), 76-103. K. Lehmann,</w:t>
      </w:r>
      <w:r>
        <w:rPr>
          <w:i/>
        </w:rPr>
        <w:t xml:space="preserve"> Das langobardische Lehnrecht. Handschriften, Textentwicklung, ältester Text und Vulgattext nebst den capitula extraordinaria </w:t>
      </w:r>
      <w:r>
        <w:t xml:space="preserve">(Göttingen 1896, repr. in K. Lehmann, </w:t>
      </w:r>
      <w:r w:rsidRPr="00CE7D50">
        <w:rPr>
          <w:i/>
        </w:rPr>
        <w:t>Consuetudines feudorum, editio altera</w:t>
      </w:r>
      <w:r>
        <w:t xml:space="preserve">, Biblioteca Rerum Historicarum I, ed. K.A. Eckhard, Aalen 1971; hereafter: Lehmann, </w:t>
      </w:r>
      <w:r>
        <w:rPr>
          <w:i/>
        </w:rPr>
        <w:t>Lehnrecht</w:t>
      </w:r>
      <w:r>
        <w:t>), 77.</w:t>
      </w:r>
    </w:p>
  </w:footnote>
  <w:footnote w:id="4">
    <w:p w:rsidR="00FF5726" w:rsidRPr="00A5721E" w:rsidRDefault="00FF5726" w:rsidP="00FF5726">
      <w:pPr>
        <w:pStyle w:val="FootnoteText"/>
        <w:rPr>
          <w:i/>
        </w:rPr>
      </w:pPr>
      <w:r>
        <w:rPr>
          <w:rStyle w:val="FootnoteReference"/>
        </w:rPr>
        <w:footnoteRef/>
      </w:r>
      <w:r>
        <w:t xml:space="preserve"> Lehmann, </w:t>
      </w:r>
      <w:r>
        <w:rPr>
          <w:i/>
        </w:rPr>
        <w:t>Lehnrecht</w:t>
      </w:r>
      <w:r>
        <w:t>,</w:t>
      </w:r>
      <w:r>
        <w:rPr>
          <w:i/>
        </w:rPr>
        <w:t xml:space="preserve"> </w:t>
      </w:r>
      <w:r>
        <w:t xml:space="preserve">103 (Ant. VI c. 7, Vulg. 1.18). The custom of the region according to Ant. VIII c. 1 (‘secundum regionis consuetudinem’) but of the kingdom according to the Vulgate (LF 2.1: ‘secundum regni consuetudinem’). The custom of the kingdom is probably to be preferred in view of Ant. IX 4 (Lehmann, </w:t>
      </w:r>
      <w:r w:rsidRPr="00C54D8F">
        <w:rPr>
          <w:i/>
        </w:rPr>
        <w:t>Lehnrecht</w:t>
      </w:r>
      <w:r>
        <w:t xml:space="preserve">, 141) but see Lehmann, </w:t>
      </w:r>
      <w:r w:rsidRPr="006F45AE">
        <w:rPr>
          <w:i/>
        </w:rPr>
        <w:t>Lehnrecht</w:t>
      </w:r>
      <w:r>
        <w:t xml:space="preserve">, 115 and note 1 which implies that this may have been a distinction without a difference for some. </w:t>
      </w:r>
    </w:p>
  </w:footnote>
  <w:footnote w:id="5">
    <w:p w:rsidR="00FF5726" w:rsidRPr="00E5684D" w:rsidRDefault="00FF5726" w:rsidP="00FF5726">
      <w:pPr>
        <w:pStyle w:val="FootnoteText"/>
        <w:rPr>
          <w:lang w:val="en-US"/>
        </w:rPr>
      </w:pPr>
      <w:r>
        <w:rPr>
          <w:rStyle w:val="FootnoteReference"/>
        </w:rPr>
        <w:footnoteRef/>
      </w:r>
      <w:r>
        <w:t xml:space="preserve"> Lothar III: LF 2.52 (Lehmann, </w:t>
      </w:r>
      <w:r>
        <w:rPr>
          <w:i/>
        </w:rPr>
        <w:t>Lehnrecht</w:t>
      </w:r>
      <w:r>
        <w:t xml:space="preserve"> 175-6) and </w:t>
      </w:r>
      <w:r w:rsidRPr="007B24D4">
        <w:rPr>
          <w:i/>
        </w:rPr>
        <w:t>Lotharii III. Diplomata nec non Richenzae imperatricis Placita</w:t>
      </w:r>
      <w:r>
        <w:t xml:space="preserve">, eds. E. von Ottenthal and H. Hirsch (MGH, </w:t>
      </w:r>
      <w:r w:rsidRPr="007B24D4">
        <w:rPr>
          <w:i/>
        </w:rPr>
        <w:t>Die Urkunden der deutschen Könige und Kaiser</w:t>
      </w:r>
      <w:r>
        <w:t xml:space="preserve">, 8, Berlin 1927), no. 105; texts attributed to Lothar: LF 2.52.II and 2.52.III (Lehmann, </w:t>
      </w:r>
      <w:r w:rsidRPr="003A0B56">
        <w:rPr>
          <w:i/>
        </w:rPr>
        <w:t>Lehnrecht</w:t>
      </w:r>
      <w:r>
        <w:t xml:space="preserve"> 176-7) and </w:t>
      </w:r>
      <w:r w:rsidRPr="001A1296">
        <w:rPr>
          <w:i/>
        </w:rPr>
        <w:t>Constitutiones et acta publica imperatorum et regum</w:t>
      </w:r>
      <w:r>
        <w:t xml:space="preserve"> I, ed. L. Weiland (MGH, Berlin 1893), nos 453-4. For Frederick Barbarossa, see LF 2.27, LF 2.53 and LF 2.54 (Lehmann, </w:t>
      </w:r>
      <w:r w:rsidRPr="0077778C">
        <w:rPr>
          <w:i/>
        </w:rPr>
        <w:t>Lehnrecht</w:t>
      </w:r>
      <w:r>
        <w:rPr>
          <w:i/>
        </w:rPr>
        <w:t xml:space="preserve">, </w:t>
      </w:r>
      <w:r>
        <w:t xml:space="preserve">154-8, 177-182). For Henry III, see LF 2.56 and Cap. Extraord. 27, 37 (Lehmann, </w:t>
      </w:r>
      <w:r>
        <w:rPr>
          <w:i/>
        </w:rPr>
        <w:t>Lehnrecht</w:t>
      </w:r>
      <w:r>
        <w:t>, 183, 192, 195) and MGH Const. I, nos 55-7.</w:t>
      </w:r>
    </w:p>
  </w:footnote>
  <w:footnote w:id="6">
    <w:p w:rsidR="00FF5726" w:rsidRPr="007E001D" w:rsidRDefault="00FF5726" w:rsidP="00FF5726">
      <w:pPr>
        <w:pStyle w:val="FootnoteText"/>
        <w:rPr>
          <w:lang w:val="en-US"/>
        </w:rPr>
      </w:pPr>
      <w:r>
        <w:rPr>
          <w:rStyle w:val="FootnoteReference"/>
        </w:rPr>
        <w:footnoteRef/>
      </w:r>
      <w:r>
        <w:t xml:space="preserve"> </w:t>
      </w:r>
      <w:r>
        <w:rPr>
          <w:lang w:val="en-US"/>
        </w:rPr>
        <w:t xml:space="preserve">I reserve a full treatment of these and other aspects of the </w:t>
      </w:r>
      <w:r>
        <w:rPr>
          <w:i/>
          <w:lang w:val="en-US"/>
        </w:rPr>
        <w:t>Libri feudorum</w:t>
      </w:r>
      <w:r>
        <w:rPr>
          <w:lang w:val="en-US"/>
        </w:rPr>
        <w:t xml:space="preserve"> for another occasion; it should be added that these comments are merely a first response to the</w:t>
      </w:r>
      <w:r>
        <w:rPr>
          <w:i/>
          <w:lang w:val="en-US"/>
        </w:rPr>
        <w:t xml:space="preserve"> Lombarda </w:t>
      </w:r>
      <w:r>
        <w:rPr>
          <w:lang w:val="en-US"/>
        </w:rPr>
        <w:t>glosses under discussion and should be taken as provisional rather than definitive in intention.</w:t>
      </w:r>
    </w:p>
  </w:footnote>
  <w:footnote w:id="7">
    <w:p w:rsidR="00FF5726" w:rsidRPr="00430B7D" w:rsidRDefault="00FF5726" w:rsidP="00FF5726">
      <w:pPr>
        <w:pStyle w:val="FootnoteText"/>
        <w:rPr>
          <w:lang w:val="en-US"/>
        </w:rPr>
      </w:pPr>
      <w:r>
        <w:rPr>
          <w:rStyle w:val="FootnoteReference"/>
        </w:rPr>
        <w:footnoteRef/>
      </w:r>
      <w:r>
        <w:t xml:space="preserve"> Representatively: </w:t>
      </w:r>
      <w:r w:rsidRPr="00430B7D">
        <w:t xml:space="preserve">A. Anschütz, </w:t>
      </w:r>
      <w:r w:rsidRPr="00430B7D">
        <w:rPr>
          <w:i/>
          <w:lang w:val="en-US"/>
        </w:rPr>
        <w:t>Die Lombarda-Commentare des Ariprand und Albertus. En Beitrag zur Geschichte des germanischen Rechts im zwölften Jahrhundert</w:t>
      </w:r>
      <w:r w:rsidRPr="00430B7D">
        <w:rPr>
          <w:lang w:val="en-US"/>
        </w:rPr>
        <w:t xml:space="preserve"> (Heidelberg 1855)</w:t>
      </w:r>
      <w:r>
        <w:rPr>
          <w:lang w:val="en-US"/>
        </w:rPr>
        <w:t xml:space="preserve">; Idem, </w:t>
      </w:r>
      <w:r w:rsidRPr="008079F0">
        <w:rPr>
          <w:i/>
          <w:lang w:val="en-US"/>
        </w:rPr>
        <w:t>Summa Legis Longobardorum. Longobardisches Rechtsbuch aus dem XII. Jahrjundert</w:t>
      </w:r>
      <w:r>
        <w:rPr>
          <w:lang w:val="en-US"/>
        </w:rPr>
        <w:t xml:space="preserve"> (Halle 1870); most importantly, and summatively of the preceding literature, H. Kantorowicz, ‘</w:t>
      </w:r>
      <w:r w:rsidRPr="00254C65">
        <w:rPr>
          <w:i/>
          <w:lang w:val="en-US"/>
        </w:rPr>
        <w:t>De Pugna</w:t>
      </w:r>
      <w:r w:rsidRPr="0084582E">
        <w:rPr>
          <w:lang w:val="en-US"/>
        </w:rPr>
        <w:t>. La letteratura longobardistica sul duello</w:t>
      </w:r>
      <w:r>
        <w:rPr>
          <w:lang w:val="en-US"/>
        </w:rPr>
        <w:t xml:space="preserve">’, in  </w:t>
      </w:r>
      <w:r>
        <w:rPr>
          <w:i/>
          <w:lang w:val="en-US"/>
        </w:rPr>
        <w:t>Studi di storia e diritto in onore di Enrico Besta</w:t>
      </w:r>
      <w:r>
        <w:rPr>
          <w:lang w:val="en-US"/>
        </w:rPr>
        <w:t xml:space="preserve"> (4 vols, vol. 2, Milan, 1939, 1-26);</w:t>
      </w:r>
      <w:r>
        <w:rPr>
          <w:i/>
          <w:lang w:val="en-US"/>
        </w:rPr>
        <w:t xml:space="preserve">  </w:t>
      </w:r>
      <w:r>
        <w:rPr>
          <w:lang w:val="en-US"/>
        </w:rPr>
        <w:t xml:space="preserve">for extensive bibliography see </w:t>
      </w:r>
      <w:r w:rsidRPr="00430B7D">
        <w:rPr>
          <w:lang w:val="en-US"/>
        </w:rPr>
        <w:t xml:space="preserve">P. Weimar, ‘Die legistische Literatur der Glossatorenzeit’, in H. Coing (ed.), </w:t>
      </w:r>
      <w:r w:rsidRPr="00430B7D">
        <w:rPr>
          <w:i/>
          <w:lang w:val="en-US"/>
        </w:rPr>
        <w:t>Handbuch der Quellen und Literature der neueren europäischen Privatrechtsgeschichte</w:t>
      </w:r>
      <w:r w:rsidRPr="00430B7D">
        <w:rPr>
          <w:lang w:val="en-US"/>
        </w:rPr>
        <w:t xml:space="preserve">, vol. </w:t>
      </w:r>
      <w:r>
        <w:rPr>
          <w:lang w:val="en-US"/>
        </w:rPr>
        <w:t xml:space="preserve">I (Munich 1973), 129-260 at 209; </w:t>
      </w:r>
      <w:r w:rsidRPr="00430B7D">
        <w:rPr>
          <w:lang w:val="en-US"/>
        </w:rPr>
        <w:t xml:space="preserve">E. Cortese, </w:t>
      </w:r>
      <w:r w:rsidRPr="00430B7D">
        <w:rPr>
          <w:i/>
          <w:lang w:val="en-US"/>
        </w:rPr>
        <w:t>Il diritto nella storia medievale</w:t>
      </w:r>
      <w:r w:rsidRPr="00430B7D">
        <w:rPr>
          <w:lang w:val="en-US"/>
        </w:rPr>
        <w:t xml:space="preserve"> (2 </w:t>
      </w:r>
      <w:r>
        <w:rPr>
          <w:lang w:val="en-US"/>
        </w:rPr>
        <w:t xml:space="preserve">vols, Rome 1995), vol. 2, 125-7; S. Reynolds, </w:t>
      </w:r>
      <w:r w:rsidRPr="00412C40">
        <w:rPr>
          <w:i/>
        </w:rPr>
        <w:t>Fiefs and Vassals. The medieval evidence reinterpreted</w:t>
      </w:r>
      <w:r w:rsidRPr="00412C40">
        <w:t xml:space="preserve"> (Oxford 1994),</w:t>
      </w:r>
      <w:r>
        <w:t xml:space="preserve"> 215-225.</w:t>
      </w:r>
    </w:p>
  </w:footnote>
  <w:footnote w:id="8">
    <w:p w:rsidR="00FF5726" w:rsidRPr="008A518D" w:rsidRDefault="00FF5726" w:rsidP="00FF5726">
      <w:pPr>
        <w:pStyle w:val="FootnoteText"/>
      </w:pPr>
      <w:r>
        <w:rPr>
          <w:rStyle w:val="FootnoteReference"/>
        </w:rPr>
        <w:footnoteRef/>
      </w:r>
      <w:r>
        <w:t xml:space="preserve"> </w:t>
      </w:r>
      <w:r w:rsidRPr="008A518D">
        <w:t xml:space="preserve">A. Padoa-Schioppa, “Le rôle du droit savant dans quelques actes judiciaires italiens des xiè et xiiè siècles,” in </w:t>
      </w:r>
      <w:r w:rsidRPr="008A518D">
        <w:rPr>
          <w:i/>
        </w:rPr>
        <w:t>Confluence des droits savants et des pratiques juridiques.</w:t>
      </w:r>
      <w:r>
        <w:rPr>
          <w:i/>
        </w:rPr>
        <w:t xml:space="preserve"> </w:t>
      </w:r>
      <w:r w:rsidRPr="008A518D">
        <w:rPr>
          <w:i/>
        </w:rPr>
        <w:t>Actes du colloque de Montpellier</w:t>
      </w:r>
      <w:r w:rsidRPr="008A518D">
        <w:t xml:space="preserve"> (Milan 1979), 343-371.</w:t>
      </w:r>
    </w:p>
  </w:footnote>
  <w:footnote w:id="9">
    <w:p w:rsidR="00FF5726" w:rsidRPr="0077778C" w:rsidRDefault="00FF5726" w:rsidP="00FF5726">
      <w:pPr>
        <w:pStyle w:val="FootnoteText"/>
        <w:rPr>
          <w:lang w:val="en-US"/>
        </w:rPr>
      </w:pPr>
      <w:r>
        <w:rPr>
          <w:rStyle w:val="FootnoteReference"/>
        </w:rPr>
        <w:footnoteRef/>
      </w:r>
      <w:r>
        <w:t xml:space="preserve"> </w:t>
      </w:r>
      <w:r>
        <w:rPr>
          <w:lang w:val="en-US"/>
        </w:rPr>
        <w:t xml:space="preserve">For the most famous and for us relevant example, see the most useful account by </w:t>
      </w:r>
      <w:r>
        <w:rPr>
          <w:lang w:val="it-IT"/>
        </w:rPr>
        <w:t>G. Rossi,</w:t>
      </w:r>
      <w:r w:rsidRPr="0077778C">
        <w:rPr>
          <w:lang w:val="it-IT"/>
        </w:rPr>
        <w:t xml:space="preserve"> </w:t>
      </w:r>
      <w:r>
        <w:rPr>
          <w:lang w:val="it-IT"/>
        </w:rPr>
        <w:t>‘</w:t>
      </w:r>
      <w:r w:rsidRPr="0077778C">
        <w:rPr>
          <w:lang w:val="it-IT"/>
        </w:rPr>
        <w:t>Oberto Dall’Orto ‘multarum legum doctus auctoritate’ e le origini della feudistica</w:t>
      </w:r>
      <w:r>
        <w:rPr>
          <w:lang w:val="it-IT"/>
        </w:rPr>
        <w:t>’</w:t>
      </w:r>
      <w:r w:rsidRPr="0077778C">
        <w:rPr>
          <w:lang w:val="it-IT"/>
        </w:rPr>
        <w:t xml:space="preserve">, in G. Constable, G. Cracco, H. Keller, D. Quaglioni </w:t>
      </w:r>
      <w:r>
        <w:rPr>
          <w:lang w:val="it-IT"/>
        </w:rPr>
        <w:t xml:space="preserve">(eds), </w:t>
      </w:r>
      <w:r>
        <w:rPr>
          <w:i/>
          <w:lang w:val="it-IT"/>
        </w:rPr>
        <w:t>Il secolo XII</w:t>
      </w:r>
      <w:r w:rsidRPr="0077778C">
        <w:rPr>
          <w:i/>
          <w:lang w:val="it-IT"/>
        </w:rPr>
        <w:t>. La ‘Renovatio dell’Europa cristiana</w:t>
      </w:r>
      <w:r>
        <w:rPr>
          <w:lang w:val="it-IT"/>
        </w:rPr>
        <w:t xml:space="preserve"> (</w:t>
      </w:r>
      <w:r w:rsidRPr="0077778C">
        <w:rPr>
          <w:lang w:val="it-IT"/>
        </w:rPr>
        <w:t>Bologna 2003</w:t>
      </w:r>
      <w:r>
        <w:rPr>
          <w:lang w:val="it-IT"/>
        </w:rPr>
        <w:t xml:space="preserve">), 329-365 </w:t>
      </w:r>
      <w:r>
        <w:rPr>
          <w:i/>
          <w:lang w:val="it-IT"/>
        </w:rPr>
        <w:t xml:space="preserve">passim </w:t>
      </w:r>
      <w:r>
        <w:rPr>
          <w:lang w:val="it-IT"/>
        </w:rPr>
        <w:t xml:space="preserve">and at 344-7. A. Castagnetti’s </w:t>
      </w:r>
      <w:r w:rsidRPr="00B109D2">
        <w:rPr>
          <w:i/>
          <w:lang w:val="it-IT"/>
        </w:rPr>
        <w:t>Il processo per Ostiglia. L’arbitrato di Oberto dall’Orto tra Ferrara e Verona (1151)</w:t>
      </w:r>
      <w:r w:rsidRPr="00B109D2">
        <w:rPr>
          <w:lang w:val="it-IT"/>
        </w:rPr>
        <w:t xml:space="preserve">, </w:t>
      </w:r>
      <w:r>
        <w:rPr>
          <w:lang w:val="it-IT"/>
        </w:rPr>
        <w:t>(</w:t>
      </w:r>
      <w:r w:rsidRPr="00B109D2">
        <w:rPr>
          <w:lang w:val="it-IT"/>
        </w:rPr>
        <w:t>Verona 2016</w:t>
      </w:r>
      <w:r>
        <w:rPr>
          <w:lang w:val="it-IT"/>
        </w:rPr>
        <w:t>), was not available to me.</w:t>
      </w:r>
    </w:p>
  </w:footnote>
  <w:footnote w:id="10">
    <w:p w:rsidR="00FF5726" w:rsidRPr="009B4E5F" w:rsidRDefault="00FF5726" w:rsidP="00FF5726">
      <w:pPr>
        <w:pStyle w:val="FootnoteText"/>
        <w:rPr>
          <w:lang w:val="en-US"/>
        </w:rPr>
      </w:pPr>
      <w:r>
        <w:rPr>
          <w:rStyle w:val="FootnoteReference"/>
        </w:rPr>
        <w:footnoteRef/>
      </w:r>
      <w:r>
        <w:t xml:space="preserve"> </w:t>
      </w:r>
      <w:r>
        <w:rPr>
          <w:lang w:val="en-US"/>
        </w:rPr>
        <w:t xml:space="preserve">M. G. di Renzo Villata, ‘La Formazione dei “Libri Feudorum” (tra pratica di giudici e scienza di dottori…)’ in </w:t>
      </w:r>
      <w:r w:rsidRPr="008A518D">
        <w:rPr>
          <w:i/>
          <w:lang w:val="it-IT"/>
        </w:rPr>
        <w:t>Il feudalesimo nell’alto medioevo</w:t>
      </w:r>
      <w:r>
        <w:rPr>
          <w:lang w:val="it-IT"/>
        </w:rPr>
        <w:t xml:space="preserve"> (see above, note 3), vol. 2, 651-721. See also Rossi, </w:t>
      </w:r>
      <w:r>
        <w:rPr>
          <w:i/>
          <w:lang w:val="it-IT"/>
        </w:rPr>
        <w:t xml:space="preserve">Oberto dall’Orto </w:t>
      </w:r>
      <w:r>
        <w:rPr>
          <w:lang w:val="it-IT"/>
        </w:rPr>
        <w:t xml:space="preserve">(above fn. 9), </w:t>
      </w:r>
      <w:r>
        <w:rPr>
          <w:i/>
          <w:lang w:val="it-IT"/>
        </w:rPr>
        <w:t>passim</w:t>
      </w:r>
      <w:r>
        <w:rPr>
          <w:lang w:val="it-IT"/>
        </w:rPr>
        <w:t>.</w:t>
      </w:r>
    </w:p>
  </w:footnote>
  <w:footnote w:id="11">
    <w:p w:rsidR="00FF5726" w:rsidRPr="0047034E" w:rsidRDefault="00FF5726" w:rsidP="00FF5726">
      <w:pPr>
        <w:pStyle w:val="FootnoteText"/>
        <w:rPr>
          <w:lang w:val="en-US"/>
        </w:rPr>
      </w:pPr>
      <w:r>
        <w:rPr>
          <w:rStyle w:val="FootnoteReference"/>
        </w:rPr>
        <w:footnoteRef/>
      </w:r>
      <w:r>
        <w:t xml:space="preserve"> H. Kantorowicz, </w:t>
      </w:r>
      <w:r w:rsidRPr="005A60AF">
        <w:rPr>
          <w:i/>
        </w:rPr>
        <w:t>Studies in the Glossators of the Roman Law. Newly discovered writings of the twelfth century</w:t>
      </w:r>
      <w:r>
        <w:t xml:space="preserve"> (Cambridge 1938; revised P. Weimar, Aalen 1969), 194-5.</w:t>
      </w:r>
    </w:p>
  </w:footnote>
  <w:footnote w:id="12">
    <w:p w:rsidR="00FF5726" w:rsidRPr="005C202D" w:rsidRDefault="00FF5726" w:rsidP="00FF5726">
      <w:pPr>
        <w:pStyle w:val="FootnoteText"/>
        <w:rPr>
          <w:lang w:val="en-US"/>
        </w:rPr>
      </w:pPr>
      <w:r>
        <w:rPr>
          <w:rStyle w:val="FootnoteReference"/>
        </w:rPr>
        <w:footnoteRef/>
      </w:r>
      <w:r>
        <w:t xml:space="preserve"> Weimar, </w:t>
      </w:r>
      <w:r w:rsidRPr="005A60AF">
        <w:rPr>
          <w:i/>
        </w:rPr>
        <w:t>Handschriften</w:t>
      </w:r>
      <w:r>
        <w:t xml:space="preserve">, 33. More emphatic on the academic character of both the earlier and later material in the first recension: S. Reynolds, </w:t>
      </w:r>
      <w:r w:rsidRPr="00A5721E">
        <w:rPr>
          <w:i/>
        </w:rPr>
        <w:t>Fiefs and Vassals. The medieval evidence reinterpreted</w:t>
      </w:r>
      <w:r>
        <w:t xml:space="preserve"> (Oxford 1994), 216-17 and, on the early contributors (‘academic lawyers’), 218-219. </w:t>
      </w:r>
    </w:p>
  </w:footnote>
  <w:footnote w:id="13">
    <w:p w:rsidR="00FF5726" w:rsidRPr="009B4E5F" w:rsidRDefault="00FF5726" w:rsidP="00FF5726">
      <w:pPr>
        <w:pStyle w:val="FootnoteText"/>
        <w:rPr>
          <w:b/>
          <w:bCs/>
        </w:rPr>
      </w:pPr>
      <w:r>
        <w:rPr>
          <w:rStyle w:val="FootnoteReference"/>
        </w:rPr>
        <w:footnoteRef/>
      </w:r>
      <w:r>
        <w:t xml:space="preserve"> Fols 83r-87v. See Lehmann, </w:t>
      </w:r>
      <w:r>
        <w:rPr>
          <w:i/>
        </w:rPr>
        <w:t>Lehnrecht</w:t>
      </w:r>
      <w:r>
        <w:t xml:space="preserve">, 2 (no. 5); Lehmann, </w:t>
      </w:r>
      <w:r w:rsidRPr="009B4E5F">
        <w:rPr>
          <w:i/>
        </w:rPr>
        <w:t>Consuetudines</w:t>
      </w:r>
      <w:r>
        <w:t>, 5 and K. Lehmann and H. Sachsse, ‘</w:t>
      </w:r>
      <w:r w:rsidRPr="009B4E5F">
        <w:rPr>
          <w:bCs/>
        </w:rPr>
        <w:t>Der Codex des Dominus Passaguerra von Mailand: </w:t>
      </w:r>
      <w:r w:rsidRPr="009B4E5F">
        <w:t xml:space="preserve">(Codex Berol. Ms. Lat. </w:t>
      </w:r>
      <w:r>
        <w:t>Fol. </w:t>
      </w:r>
      <w:r w:rsidRPr="009B4E5F">
        <w:t>462)</w:t>
      </w:r>
      <w:r>
        <w:t xml:space="preserve">’, in </w:t>
      </w:r>
      <w:r w:rsidRPr="00CB76E1">
        <w:rPr>
          <w:i/>
        </w:rPr>
        <w:t>Juristische Festgaben für Rudolf von Jhering zum fünfzigjährigen Doktorjubiläum ihres früheren Mitgliedes gewidmet von der Rostocker Juristenfakultät am 6. August 1892</w:t>
      </w:r>
      <w:r>
        <w:rPr>
          <w:i/>
        </w:rPr>
        <w:t xml:space="preserve"> </w:t>
      </w:r>
      <w:r>
        <w:t>(Stuttgart 1892, repr. Aalen 1979)</w:t>
      </w:r>
      <w:r w:rsidRPr="009B4E5F">
        <w:t>, S. 59-84</w:t>
      </w:r>
      <w:r>
        <w:t>.</w:t>
      </w:r>
    </w:p>
    <w:p w:rsidR="00FF5726" w:rsidRPr="00A85D1F" w:rsidRDefault="00FF5726" w:rsidP="00FF5726">
      <w:pPr>
        <w:pStyle w:val="FootnoteText"/>
        <w:rPr>
          <w:lang w:val="en-US"/>
        </w:rPr>
      </w:pPr>
      <w:r>
        <w:t xml:space="preserve"> </w:t>
      </w:r>
    </w:p>
  </w:footnote>
  <w:footnote w:id="14">
    <w:p w:rsidR="00FF5726" w:rsidRDefault="00FF5726" w:rsidP="00FF5726">
      <w:pPr>
        <w:pStyle w:val="FootnoteText"/>
        <w:rPr>
          <w:snapToGrid w:val="0"/>
          <w:lang w:eastAsia="en-US"/>
        </w:rPr>
      </w:pPr>
      <w:r>
        <w:rPr>
          <w:rStyle w:val="FootnoteReference"/>
        </w:rPr>
        <w:footnoteRef/>
      </w:r>
      <w:r>
        <w:rPr>
          <w:snapToGrid w:val="0"/>
          <w:lang w:eastAsia="en-US"/>
        </w:rPr>
        <w:t xml:space="preserve"> Augsburg, Bibliothek des bischöflichen Ordinariats 12, fol. 118r; Berlin SB Lat. fol. 578, fol. 84v; Vatican Pal. Lat. 772 fol. 80r.</w:t>
      </w:r>
    </w:p>
  </w:footnote>
  <w:footnote w:id="15">
    <w:p w:rsidR="00FF5726" w:rsidRDefault="00FF5726" w:rsidP="00FF5726">
      <w:pPr>
        <w:pStyle w:val="FootnoteText"/>
        <w:rPr>
          <w:snapToGrid w:val="0"/>
          <w:lang w:eastAsia="en-US"/>
        </w:rPr>
      </w:pPr>
      <w:r>
        <w:rPr>
          <w:rStyle w:val="FootnoteReference"/>
        </w:rPr>
        <w:footnoteRef/>
      </w:r>
      <w:r>
        <w:rPr>
          <w:snapToGrid w:val="0"/>
          <w:lang w:eastAsia="en-US"/>
        </w:rPr>
        <w:t xml:space="preserve"> Wrocław, Biblioteka Uniwersytecka [Biblioteka Glόwna], Rehd. 293 fol. 81r. </w:t>
      </w:r>
    </w:p>
  </w:footnote>
  <w:footnote w:id="16">
    <w:p w:rsidR="00FF5726" w:rsidRPr="00661026" w:rsidRDefault="00FF5726" w:rsidP="00FF5726">
      <w:pPr>
        <w:pStyle w:val="FootnoteText"/>
        <w:rPr>
          <w:lang w:val="en-US"/>
        </w:rPr>
      </w:pPr>
      <w:r>
        <w:rPr>
          <w:rStyle w:val="FootnoteReference"/>
        </w:rPr>
        <w:footnoteRef/>
      </w:r>
      <w:r>
        <w:t xml:space="preserve"> </w:t>
      </w:r>
      <w:r>
        <w:rPr>
          <w:lang w:val="en-US"/>
        </w:rPr>
        <w:t xml:space="preserve">For ‘reverence’, see Reynolds, </w:t>
      </w:r>
      <w:r w:rsidRPr="00661026">
        <w:rPr>
          <w:i/>
          <w:lang w:val="en-US"/>
        </w:rPr>
        <w:t>Fiefs and Vassals</w:t>
      </w:r>
      <w:r>
        <w:rPr>
          <w:lang w:val="en-US"/>
        </w:rPr>
        <w:t>, 219; this presumed attitude on the part of the relevant lawyers seems to be part and parcel of Reynolds’ more general characterization of them as ‘academic’, the utility of which is open to some doubt. See below, p. 10.</w:t>
      </w:r>
    </w:p>
  </w:footnote>
  <w:footnote w:id="17">
    <w:p w:rsidR="00FF5726" w:rsidRPr="0003746E" w:rsidRDefault="00FF5726" w:rsidP="00FF5726">
      <w:pPr>
        <w:pStyle w:val="FootnoteText"/>
      </w:pPr>
      <w:r>
        <w:rPr>
          <w:rStyle w:val="FootnoteReference"/>
        </w:rPr>
        <w:footnoteRef/>
      </w:r>
      <w:r>
        <w:t xml:space="preserve"> I have only found one such cross-reference: see Wrocław BU Rehd. 293 fol. 50v, at </w:t>
      </w:r>
      <w:r>
        <w:rPr>
          <w:i/>
        </w:rPr>
        <w:t>Lombarda</w:t>
      </w:r>
      <w:r>
        <w:t xml:space="preserve"> 2.21.8 (</w:t>
      </w:r>
      <w:r>
        <w:rPr>
          <w:i/>
        </w:rPr>
        <w:t>De debitis l. Nulli</w:t>
      </w:r>
      <w:r>
        <w:t xml:space="preserve"> = Roth. 252). This is incidentally one of the rare manuscripts to contain any significant glossing of Conrad II’s constitution, misattributed here to an Otto and provided with its own rubric ‘De usu feudorum’ , at fol. 81r. Without a lemma, but adjacent to the words </w:t>
      </w:r>
      <w:r>
        <w:rPr>
          <w:i/>
          <w:snapToGrid w:val="0"/>
          <w:lang w:eastAsia="en-US"/>
        </w:rPr>
        <w:t>pari modo beneficium habeat</w:t>
      </w:r>
      <w:r>
        <w:rPr>
          <w:snapToGrid w:val="0"/>
          <w:lang w:eastAsia="en-US"/>
        </w:rPr>
        <w:t xml:space="preserve">: “Quia si patris communis primum non fuisset sed iste frater per se acquisivisset, nulla distinctione offensionis habita alter frater in feudo non succedit seu succedere non poterit. a.” </w:t>
      </w:r>
      <w:r w:rsidRPr="0003746E">
        <w:rPr>
          <w:snapToGrid w:val="0"/>
          <w:lang w:eastAsia="en-US"/>
        </w:rPr>
        <w:t xml:space="preserve">The question might arise here over the precise mechanisms at work in the capture of teaching opinion in these particular glosses, particularly whether glosses were routinely marked with sigla by their author or only by a later glossator. On the basis of these manuscripts I do not think it possible to give a general answer. However, it is very obvious that the opinions of Aliprand preserved in the numerous glosses in BAV Reg. lat. 1060 are cited at second hand, because they are always quoted ‘secundum Ali’ and very often followed by the siglum ‘Alber.’ or just ‘Alb.’ However, this does not mean that Albertus himself was responsible for </w:t>
      </w:r>
      <w:r w:rsidRPr="0003746E">
        <w:rPr>
          <w:i/>
          <w:snapToGrid w:val="0"/>
          <w:lang w:eastAsia="en-US"/>
        </w:rPr>
        <w:t>writing</w:t>
      </w:r>
      <w:r w:rsidRPr="0003746E">
        <w:rPr>
          <w:snapToGrid w:val="0"/>
          <w:lang w:eastAsia="en-US"/>
        </w:rPr>
        <w:t xml:space="preserve"> them. My impression is that the means by which opinion was captured and transmitted  which we know so well from twelfth-century Roman law manuscripts were not at work in the case of these Lombard ist comments. More study will doubtless nuance and perhaps even contradict this impression, but for the moment it remains a strong one: there seems not to have been the same continuity of teaching , nor the use of </w:t>
      </w:r>
      <w:r w:rsidRPr="0003746E">
        <w:rPr>
          <w:i/>
          <w:snapToGrid w:val="0"/>
          <w:lang w:eastAsia="en-US"/>
        </w:rPr>
        <w:t>libri magistrorum</w:t>
      </w:r>
      <w:r w:rsidRPr="0003746E">
        <w:rPr>
          <w:snapToGrid w:val="0"/>
          <w:lang w:eastAsia="en-US"/>
        </w:rPr>
        <w:t>,</w:t>
      </w:r>
      <w:r w:rsidRPr="0003746E">
        <w:rPr>
          <w:i/>
          <w:snapToGrid w:val="0"/>
          <w:lang w:eastAsia="en-US"/>
        </w:rPr>
        <w:t xml:space="preserve"> </w:t>
      </w:r>
      <w:r w:rsidRPr="0003746E">
        <w:rPr>
          <w:snapToGrid w:val="0"/>
          <w:lang w:eastAsia="en-US"/>
        </w:rPr>
        <w:t xml:space="preserve">nor anything like such robust scholarly institutions, in this Lombardist context as was the case in Bologna among the civilian glossators. It is also noteworthy that the handwriting in most of the relevant cases in BAV Reg. lat. 1060 shows that both the Aliprand and the Albertus opinion were written at the same time – so the disjunctively incremental process by which glosses relating the opinions of two or more teachers accumulated in Bologna </w:t>
      </w:r>
      <w:r w:rsidRPr="0003746E">
        <w:rPr>
          <w:i/>
          <w:snapToGrid w:val="0"/>
          <w:lang w:eastAsia="en-US"/>
        </w:rPr>
        <w:t>et alibi</w:t>
      </w:r>
      <w:r w:rsidRPr="0003746E">
        <w:rPr>
          <w:snapToGrid w:val="0"/>
          <w:lang w:eastAsia="en-US"/>
        </w:rPr>
        <w:t xml:space="preserve"> was not operative here. </w:t>
      </w:r>
    </w:p>
  </w:footnote>
  <w:footnote w:id="18">
    <w:p w:rsidR="00FF5726" w:rsidRPr="001B0DC6" w:rsidRDefault="00FF5726" w:rsidP="00FF5726">
      <w:pPr>
        <w:pStyle w:val="FootnoteText"/>
        <w:rPr>
          <w:lang w:val="en-US"/>
        </w:rPr>
      </w:pPr>
      <w:r>
        <w:rPr>
          <w:rStyle w:val="FootnoteReference"/>
        </w:rPr>
        <w:footnoteRef/>
      </w:r>
      <w:r>
        <w:t xml:space="preserve"> That is, </w:t>
      </w:r>
      <w:r>
        <w:rPr>
          <w:i/>
        </w:rPr>
        <w:t xml:space="preserve">Lombarda </w:t>
      </w:r>
      <w:r>
        <w:t xml:space="preserve">3.8. All references to the </w:t>
      </w:r>
      <w:r>
        <w:rPr>
          <w:i/>
        </w:rPr>
        <w:t xml:space="preserve">Lombarda </w:t>
      </w:r>
      <w:r>
        <w:t xml:space="preserve">follow the book- and rubric schema of the vulgata by F. Blume in G.H. Pertz (ed.), </w:t>
      </w:r>
      <w:r>
        <w:rPr>
          <w:i/>
        </w:rPr>
        <w:t xml:space="preserve">Leges Langobardorum ( </w:t>
      </w:r>
      <w:r>
        <w:t xml:space="preserve">MGH Legum IV, Hannover 1868), 623-638 Anschütz, </w:t>
      </w:r>
      <w:r w:rsidRPr="007E28A8">
        <w:rPr>
          <w:i/>
          <w:lang w:val="en-US"/>
        </w:rPr>
        <w:t>Lombarda-Commentare</w:t>
      </w:r>
      <w:r>
        <w:rPr>
          <w:lang w:val="en-US"/>
        </w:rPr>
        <w:t xml:space="preserve">, XXIV-XXVI; 194-7. Weimar, ‘Legistische Literatur’, 209. For a summary of the </w:t>
      </w:r>
      <w:r>
        <w:rPr>
          <w:i/>
          <w:lang w:val="en-US"/>
        </w:rPr>
        <w:t>status quaestionis</w:t>
      </w:r>
      <w:r>
        <w:rPr>
          <w:lang w:val="en-US"/>
        </w:rPr>
        <w:t xml:space="preserve"> on these figures see Cortese, </w:t>
      </w:r>
      <w:r w:rsidRPr="00430B7D">
        <w:rPr>
          <w:i/>
          <w:lang w:val="en-US"/>
        </w:rPr>
        <w:t>Il diritto</w:t>
      </w:r>
      <w:r>
        <w:rPr>
          <w:lang w:val="en-US"/>
        </w:rPr>
        <w:t>, vol. 2, 125-7. To be accurate, one should refer to Pseudo-Ariprand and, as will become relevant shortly, Pseudo-Albertus according to the commonly accepted hypothesis advanced by H. Kantorowicz,‘De pugna’, 4-12. I follow common usage in recognizing Kantorowicz’ point whilst continuing to refer to Ariprand and Albertus.</w:t>
      </w:r>
    </w:p>
  </w:footnote>
  <w:footnote w:id="19">
    <w:p w:rsidR="00FF5726" w:rsidRDefault="00FF5726" w:rsidP="00FF5726">
      <w:pPr>
        <w:pStyle w:val="FootnoteText"/>
      </w:pPr>
      <w:r>
        <w:rPr>
          <w:rStyle w:val="FootnoteReference"/>
        </w:rPr>
        <w:footnoteRef/>
      </w:r>
      <w:r>
        <w:t xml:space="preserve"> </w:t>
      </w:r>
      <w:r>
        <w:rPr>
          <w:snapToGrid w:val="0"/>
          <w:lang w:eastAsia="en-US"/>
        </w:rPr>
        <w:t xml:space="preserve">The text of the </w:t>
      </w:r>
      <w:r>
        <w:rPr>
          <w:i/>
          <w:snapToGrid w:val="0"/>
          <w:lang w:eastAsia="en-US"/>
        </w:rPr>
        <w:t>Lombarda</w:t>
      </w:r>
      <w:r>
        <w:rPr>
          <w:snapToGrid w:val="0"/>
          <w:lang w:eastAsia="en-US"/>
        </w:rPr>
        <w:t xml:space="preserve"> is in two columns, the glossing is of sparse density in at least two hands. </w:t>
      </w:r>
      <w:r>
        <w:rPr>
          <w:i/>
          <w:snapToGrid w:val="0"/>
          <w:lang w:eastAsia="en-US"/>
        </w:rPr>
        <w:t>Notabilia</w:t>
      </w:r>
      <w:r>
        <w:rPr>
          <w:snapToGrid w:val="0"/>
          <w:lang w:eastAsia="en-US"/>
        </w:rPr>
        <w:t xml:space="preserve"> on the outer edge of the page form the eldest stratum. The majority of the glosses under discussion here are anonymous and clearly younger than the </w:t>
      </w:r>
      <w:r>
        <w:rPr>
          <w:i/>
          <w:snapToGrid w:val="0"/>
          <w:lang w:eastAsia="en-US"/>
        </w:rPr>
        <w:t>notabilia</w:t>
      </w:r>
      <w:r>
        <w:rPr>
          <w:snapToGrid w:val="0"/>
          <w:lang w:eastAsia="en-US"/>
        </w:rPr>
        <w:t xml:space="preserve">. About thirty of these younger glosses all appear to be in the same hand and terminate in the  </w:t>
      </w:r>
      <w:r>
        <w:rPr>
          <w:i/>
          <w:snapToGrid w:val="0"/>
          <w:lang w:eastAsia="en-US"/>
        </w:rPr>
        <w:t>siglum</w:t>
      </w:r>
      <w:r>
        <w:rPr>
          <w:snapToGrid w:val="0"/>
          <w:lang w:eastAsia="en-US"/>
        </w:rPr>
        <w:t xml:space="preserve"> A.</w:t>
      </w:r>
    </w:p>
  </w:footnote>
  <w:footnote w:id="20">
    <w:p w:rsidR="00FF5726" w:rsidRPr="003C48AE" w:rsidRDefault="00FF5726" w:rsidP="00FF5726">
      <w:pPr>
        <w:pStyle w:val="FootnoteText"/>
        <w:rPr>
          <w:lang w:val="en-US"/>
        </w:rPr>
      </w:pPr>
      <w:r>
        <w:rPr>
          <w:rStyle w:val="FootnoteReference"/>
        </w:rPr>
        <w:footnoteRef/>
      </w:r>
      <w:r>
        <w:t xml:space="preserve"> </w:t>
      </w:r>
      <w:r>
        <w:rPr>
          <w:lang w:val="en-US"/>
        </w:rPr>
        <w:t>Paris BN lat. 8944 fol. 26ra.</w:t>
      </w:r>
    </w:p>
  </w:footnote>
  <w:footnote w:id="21">
    <w:p w:rsidR="00FF5726" w:rsidRPr="00404CBF" w:rsidRDefault="00FF5726" w:rsidP="00FF5726">
      <w:pPr>
        <w:pStyle w:val="FootnoteText"/>
      </w:pPr>
      <w:r>
        <w:rPr>
          <w:rStyle w:val="FootnoteReference"/>
        </w:rPr>
        <w:footnoteRef/>
      </w:r>
      <w:r>
        <w:t xml:space="preserve"> The final words of this gloss repeat the end of Rothar 153. </w:t>
      </w:r>
      <w:r w:rsidRPr="00404CBF">
        <w:t xml:space="preserve">There is no passage corresponding to this in the </w:t>
      </w:r>
      <w:r w:rsidRPr="00404CBF">
        <w:rPr>
          <w:i/>
        </w:rPr>
        <w:t>Libri feudorum</w:t>
      </w:r>
      <w:r>
        <w:t xml:space="preserve">, but compare Ant. I c. 3, Vulg. 1.1,3 (and Lehmann’s notes 3 and 4 at </w:t>
      </w:r>
      <w:r>
        <w:rPr>
          <w:i/>
        </w:rPr>
        <w:t>Lehnrecht</w:t>
      </w:r>
      <w:r>
        <w:t>, 85).</w:t>
      </w:r>
    </w:p>
  </w:footnote>
  <w:footnote w:id="22">
    <w:p w:rsidR="00FF5726" w:rsidRPr="003C48AE" w:rsidRDefault="00FF5726" w:rsidP="00FF5726">
      <w:pPr>
        <w:pStyle w:val="FootnoteText"/>
        <w:rPr>
          <w:lang w:val="en-US"/>
        </w:rPr>
      </w:pPr>
      <w:r>
        <w:rPr>
          <w:rStyle w:val="FootnoteReference"/>
        </w:rPr>
        <w:footnoteRef/>
      </w:r>
      <w:r>
        <w:t xml:space="preserve"> </w:t>
      </w:r>
      <w:r>
        <w:rPr>
          <w:lang w:val="en-US"/>
        </w:rPr>
        <w:t>Ibid., fol. 27ra.</w:t>
      </w:r>
    </w:p>
  </w:footnote>
  <w:footnote w:id="23">
    <w:p w:rsidR="00FF5726" w:rsidRPr="0084582E" w:rsidRDefault="00FF5726" w:rsidP="00FF5726">
      <w:pPr>
        <w:pStyle w:val="FootnoteText"/>
        <w:rPr>
          <w:i/>
          <w:lang w:val="en-US"/>
        </w:rPr>
      </w:pPr>
      <w:r>
        <w:rPr>
          <w:rStyle w:val="FootnoteReference"/>
        </w:rPr>
        <w:footnoteRef/>
      </w:r>
      <w:r>
        <w:t xml:space="preserve"> </w:t>
      </w:r>
      <w:r>
        <w:rPr>
          <w:lang w:val="en-US"/>
        </w:rPr>
        <w:t xml:space="preserve">Vatican Reg. lat. 1060 fol. 30ra (Lomb. 2.14.7, </w:t>
      </w:r>
      <w:r w:rsidRPr="002A144D">
        <w:rPr>
          <w:i/>
          <w:lang w:val="en-US"/>
        </w:rPr>
        <w:t>De successionibus l. Si pater filiam suam</w:t>
      </w:r>
      <w:r>
        <w:rPr>
          <w:lang w:val="en-US"/>
        </w:rPr>
        <w:t xml:space="preserve"> = Roth. 199), without lemma. The first sentence of this gloss is eliptical and only comprehensible syntactically in the immediate context of the repayment or otherwise of the </w:t>
      </w:r>
      <w:r>
        <w:rPr>
          <w:i/>
          <w:lang w:val="en-US"/>
        </w:rPr>
        <w:t xml:space="preserve">mundium </w:t>
      </w:r>
      <w:r>
        <w:rPr>
          <w:lang w:val="en-US"/>
        </w:rPr>
        <w:t xml:space="preserve">in Rothar  199. It means ‘Hence it [= the same thing as in Rothar 199] is said if a vassal has sex with his lord’s married daughter because he has not contracted a just cause of offense such that he ought to lose his fief.’ The second sentence, beginning ‘Sed’, introduces an important contrast to the rule set out in the first, so what is this contrast? Reasoning backwards from the second sentence, which describes the circumstances in which a vassal clearly </w:t>
      </w:r>
      <w:r>
        <w:rPr>
          <w:i/>
          <w:lang w:val="en-US"/>
        </w:rPr>
        <w:t xml:space="preserve">would </w:t>
      </w:r>
      <w:r>
        <w:rPr>
          <w:lang w:val="en-US"/>
        </w:rPr>
        <w:t xml:space="preserve"> lose his fief, we should infer that in the first case, he would not. This reading gains added support from the gloss just discussed in Paris, BN Lat. 8944: both note a contrast between the circumstances in which a fief is and is not forfeit.</w:t>
      </w:r>
    </w:p>
  </w:footnote>
  <w:footnote w:id="24">
    <w:p w:rsidR="00FF5726" w:rsidRDefault="00FF5726" w:rsidP="00FF5726">
      <w:pPr>
        <w:pStyle w:val="FootnoteText"/>
      </w:pPr>
      <w:r>
        <w:rPr>
          <w:rStyle w:val="FootnoteReference"/>
        </w:rPr>
        <w:footnoteRef/>
      </w:r>
      <w:r>
        <w:t xml:space="preserve"> </w:t>
      </w:r>
      <w:r w:rsidRPr="004A50B2">
        <w:t xml:space="preserve">The variation in vocabulary between the two glosses </w:t>
      </w:r>
      <w:r>
        <w:t xml:space="preserve">makes it likely that the different </w:t>
      </w:r>
      <w:r w:rsidRPr="004A50B2">
        <w:rPr>
          <w:i/>
        </w:rPr>
        <w:t>sigla</w:t>
      </w:r>
      <w:r w:rsidRPr="004A50B2">
        <w:t xml:space="preserve"> – the one ‘A’. the other ‘Al.’</w:t>
      </w:r>
      <w:r>
        <w:t xml:space="preserve"> – really do relate to different glossators.</w:t>
      </w:r>
    </w:p>
  </w:footnote>
  <w:footnote w:id="25">
    <w:p w:rsidR="00FF5726" w:rsidRPr="00C406F5" w:rsidRDefault="00FF5726" w:rsidP="00FF5726">
      <w:pPr>
        <w:pStyle w:val="FootnoteText"/>
        <w:rPr>
          <w:lang w:val="en-US"/>
        </w:rPr>
      </w:pPr>
      <w:r>
        <w:rPr>
          <w:rStyle w:val="FootnoteReference"/>
        </w:rPr>
        <w:footnoteRef/>
      </w:r>
      <w:r>
        <w:t xml:space="preserve"> </w:t>
      </w:r>
      <w:r>
        <w:rPr>
          <w:lang w:val="en-US"/>
        </w:rPr>
        <w:t xml:space="preserve">Ant. X c. 2, Vulg. 2.24 (Lehmann, </w:t>
      </w:r>
      <w:r w:rsidRPr="00F54816">
        <w:rPr>
          <w:i/>
          <w:lang w:val="en-US"/>
        </w:rPr>
        <w:t>Lehnrecht</w:t>
      </w:r>
      <w:r>
        <w:rPr>
          <w:lang w:val="en-US"/>
        </w:rPr>
        <w:t>, 145-6): ‘Rursus si dominae vel domini nurui aut filiae vel sorori in domo adhuc manenti, quae in capillo dicitur, se immiscuerit, feudo, quo se monstravit indignum, carere debet.’ This passage is from the pen of Oberto dall’Orto.</w:t>
      </w:r>
    </w:p>
  </w:footnote>
  <w:footnote w:id="26">
    <w:p w:rsidR="00FF5726" w:rsidRPr="0086418F" w:rsidRDefault="00FF5726" w:rsidP="00FF5726">
      <w:pPr>
        <w:pStyle w:val="FootnoteText"/>
        <w:rPr>
          <w:lang w:val="en-US"/>
        </w:rPr>
      </w:pPr>
      <w:r>
        <w:rPr>
          <w:rStyle w:val="FootnoteReference"/>
        </w:rPr>
        <w:footnoteRef/>
      </w:r>
      <w:r>
        <w:t xml:space="preserve"> </w:t>
      </w:r>
      <w:r>
        <w:rPr>
          <w:lang w:val="en-US"/>
        </w:rPr>
        <w:t>Ms: explicit. I am grateful to Antonio Ciaralli for this suggested emendation which renders the gloss far clearer: a fief is ‘implicit’ in the sense of being not openly and obviously a fief until the vassal makes it ‘explicit’ by obeying the summons issued by the peers of his court to receive it from the lord.</w:t>
      </w:r>
    </w:p>
  </w:footnote>
  <w:footnote w:id="27">
    <w:p w:rsidR="00FF5726" w:rsidRDefault="00FF5726" w:rsidP="00FF5726">
      <w:pPr>
        <w:pStyle w:val="FootnoteText"/>
        <w:rPr>
          <w:snapToGrid w:val="0"/>
          <w:lang w:eastAsia="en-US"/>
        </w:rPr>
      </w:pPr>
      <w:r>
        <w:rPr>
          <w:rStyle w:val="FootnoteReference"/>
        </w:rPr>
        <w:footnoteRef/>
      </w:r>
      <w:r>
        <w:rPr>
          <w:snapToGrid w:val="0"/>
          <w:lang w:eastAsia="en-US"/>
        </w:rPr>
        <w:t xml:space="preserve"> Paris BN Lat. 8944 fol. 51vb (Lomb. 3.8.1, </w:t>
      </w:r>
      <w:r w:rsidRPr="003C48AE">
        <w:rPr>
          <w:i/>
          <w:snapToGrid w:val="0"/>
          <w:lang w:eastAsia="en-US"/>
        </w:rPr>
        <w:t>De beneficiis et terris tributariis l. Quicumque beneficium</w:t>
      </w:r>
      <w:r>
        <w:rPr>
          <w:snapToGrid w:val="0"/>
          <w:lang w:eastAsia="en-US"/>
        </w:rPr>
        <w:t xml:space="preserve"> = Kar. 117). Several passages prior to this one have been noted ‘Annalem prescriptionem’ with no further comments. One gloss at fol. 5vb, </w:t>
      </w:r>
      <w:r>
        <w:rPr>
          <w:i/>
          <w:snapToGrid w:val="0"/>
          <w:lang w:eastAsia="en-US"/>
        </w:rPr>
        <w:t>De homicidiis liberorum hominum l. Si quis ex levi causa</w:t>
      </w:r>
      <w:r>
        <w:rPr>
          <w:snapToGrid w:val="0"/>
          <w:lang w:eastAsia="en-US"/>
        </w:rPr>
        <w:t xml:space="preserve"> (1.9.30, Lod. 6), ad verb. </w:t>
      </w:r>
      <w:r w:rsidRPr="00BC3492">
        <w:rPr>
          <w:i/>
          <w:snapToGrid w:val="0"/>
          <w:lang w:eastAsia="en-US"/>
        </w:rPr>
        <w:t>Si proprius servus</w:t>
      </w:r>
      <w:r>
        <w:rPr>
          <w:snapToGrid w:val="0"/>
          <w:lang w:eastAsia="en-US"/>
        </w:rPr>
        <w:t xml:space="preserve">, is datable to after 1222 thanks to its citation of Honorius III's decretal </w:t>
      </w:r>
      <w:r>
        <w:rPr>
          <w:i/>
          <w:snapToGrid w:val="0"/>
          <w:lang w:eastAsia="en-US"/>
        </w:rPr>
        <w:t>Dilecti filii</w:t>
      </w:r>
      <w:r>
        <w:rPr>
          <w:snapToGrid w:val="0"/>
          <w:lang w:eastAsia="en-US"/>
        </w:rPr>
        <w:t xml:space="preserve"> of that year (</w:t>
      </w:r>
      <w:r>
        <w:rPr>
          <w:i/>
          <w:snapToGrid w:val="0"/>
          <w:lang w:eastAsia="en-US"/>
        </w:rPr>
        <w:t>Compilatio Quinta</w:t>
      </w:r>
      <w:r>
        <w:rPr>
          <w:snapToGrid w:val="0"/>
          <w:lang w:eastAsia="en-US"/>
        </w:rPr>
        <w:t xml:space="preserve"> 5.13.1; </w:t>
      </w:r>
      <w:r>
        <w:rPr>
          <w:i/>
          <w:snapToGrid w:val="0"/>
          <w:lang w:eastAsia="en-US"/>
        </w:rPr>
        <w:t>Extra</w:t>
      </w:r>
      <w:r>
        <w:rPr>
          <w:snapToGrid w:val="0"/>
          <w:lang w:eastAsia="en-US"/>
        </w:rPr>
        <w:t xml:space="preserve"> 5.35.3), but this is of course not in the same hand as the stratum containing the ‘A’ glosses or any of the others under discussion here. </w:t>
      </w:r>
    </w:p>
  </w:footnote>
  <w:footnote w:id="28">
    <w:p w:rsidR="00FF5726" w:rsidRPr="002A6660" w:rsidRDefault="00FF5726" w:rsidP="00FF5726">
      <w:pPr>
        <w:pStyle w:val="FootnoteText"/>
        <w:rPr>
          <w:lang w:val="en-US"/>
        </w:rPr>
      </w:pPr>
      <w:r>
        <w:rPr>
          <w:rStyle w:val="FootnoteReference"/>
        </w:rPr>
        <w:footnoteRef/>
      </w:r>
      <w:r>
        <w:t xml:space="preserve"> </w:t>
      </w:r>
      <w:r>
        <w:rPr>
          <w:lang w:val="en-US"/>
        </w:rPr>
        <w:t xml:space="preserve">Ant. VI c. 12, Vulg. 1.21 (Lehmann, </w:t>
      </w:r>
      <w:r w:rsidRPr="002A6660">
        <w:rPr>
          <w:i/>
          <w:lang w:val="en-US"/>
        </w:rPr>
        <w:t>Lehnrecht</w:t>
      </w:r>
      <w:r>
        <w:rPr>
          <w:lang w:val="en-US"/>
        </w:rPr>
        <w:t xml:space="preserve">, 106): a year and a month; Ant. X c. 2, Vulg. 2.24 (Lehmann, </w:t>
      </w:r>
      <w:r w:rsidRPr="002A6660">
        <w:rPr>
          <w:i/>
          <w:lang w:val="en-US"/>
        </w:rPr>
        <w:t>Lehnrecht</w:t>
      </w:r>
      <w:r>
        <w:rPr>
          <w:lang w:val="en-US"/>
        </w:rPr>
        <w:t xml:space="preserve">, 144: a year and a day. See Lehmann’s note 3, loc. cit., with reference to the </w:t>
      </w:r>
      <w:r>
        <w:rPr>
          <w:i/>
          <w:lang w:val="en-US"/>
        </w:rPr>
        <w:t xml:space="preserve">summula </w:t>
      </w:r>
      <w:r>
        <w:rPr>
          <w:lang w:val="en-US"/>
        </w:rPr>
        <w:t>of Aliprand.</w:t>
      </w:r>
    </w:p>
  </w:footnote>
  <w:footnote w:id="29">
    <w:p w:rsidR="00FF5726" w:rsidRPr="00C406F5" w:rsidRDefault="00FF5726" w:rsidP="00FF5726">
      <w:pPr>
        <w:pStyle w:val="FootnoteText"/>
        <w:rPr>
          <w:lang w:val="en-US"/>
        </w:rPr>
      </w:pPr>
      <w:r>
        <w:rPr>
          <w:rStyle w:val="FootnoteReference"/>
        </w:rPr>
        <w:footnoteRef/>
      </w:r>
      <w:r>
        <w:t xml:space="preserve"> </w:t>
      </w:r>
      <w:r>
        <w:rPr>
          <w:lang w:val="en-US"/>
        </w:rPr>
        <w:t xml:space="preserve">LF 2.52.III; Lehmann, </w:t>
      </w:r>
      <w:r w:rsidRPr="00F97A39">
        <w:rPr>
          <w:i/>
          <w:lang w:val="en-US"/>
        </w:rPr>
        <w:t>Lehnrecht</w:t>
      </w:r>
      <w:r>
        <w:rPr>
          <w:lang w:val="en-US"/>
        </w:rPr>
        <w:t>, 177.</w:t>
      </w:r>
    </w:p>
  </w:footnote>
  <w:footnote w:id="30">
    <w:p w:rsidR="00FF5726" w:rsidRDefault="00FF5726" w:rsidP="00FF5726">
      <w:pPr>
        <w:pStyle w:val="FootnoteText"/>
      </w:pPr>
      <w:r>
        <w:rPr>
          <w:rStyle w:val="FootnoteReference"/>
        </w:rPr>
        <w:footnoteRef/>
      </w:r>
      <w:r>
        <w:t xml:space="preserve"> The Pisan </w:t>
      </w:r>
      <w:r>
        <w:rPr>
          <w:i/>
        </w:rPr>
        <w:t>Constitutum Usus</w:t>
      </w:r>
      <w:r>
        <w:t xml:space="preserve"> allows a period of a year and a month. See F. Bonaini (ed.), </w:t>
      </w:r>
      <w:r>
        <w:rPr>
          <w:i/>
        </w:rPr>
        <w:t>Constituta Legis et Usus Pisanae Civitatis</w:t>
      </w:r>
      <w:r>
        <w:t xml:space="preserve"> (Florence 1870), 321-322. </w:t>
      </w:r>
    </w:p>
  </w:footnote>
  <w:footnote w:id="31">
    <w:p w:rsidR="00FF5726" w:rsidRPr="00B76F2C" w:rsidRDefault="00FF5726" w:rsidP="00FF5726">
      <w:pPr>
        <w:pStyle w:val="FootnoteText"/>
        <w:rPr>
          <w:lang w:val="en-US"/>
        </w:rPr>
      </w:pPr>
      <w:r>
        <w:rPr>
          <w:rStyle w:val="FootnoteReference"/>
        </w:rPr>
        <w:footnoteRef/>
      </w:r>
      <w:r>
        <w:t xml:space="preserve"> Albertus, at Lomb. II 35, </w:t>
      </w:r>
      <w:r w:rsidRPr="00BC3492">
        <w:rPr>
          <w:i/>
        </w:rPr>
        <w:t>De successionibus</w:t>
      </w:r>
      <w:r>
        <w:t xml:space="preserve">: ‘In VI. casu tenet in vasallo, cuius patre mortuo a domino infra annum investituram feudi non adquisivit vel etiam adquisitam per annum contumacia servire dimisit beneficium, dominus hac prescriptione se defendit et vasallus beneficium amittit.’ See Anschütz, </w:t>
      </w:r>
      <w:r>
        <w:rPr>
          <w:i/>
        </w:rPr>
        <w:t>Lombarda Commentare</w:t>
      </w:r>
      <w:r>
        <w:t xml:space="preserve">, 140. </w:t>
      </w:r>
    </w:p>
  </w:footnote>
  <w:footnote w:id="32">
    <w:p w:rsidR="00FF5726" w:rsidRPr="000511B2" w:rsidRDefault="00FF5726" w:rsidP="00FF5726">
      <w:pPr>
        <w:pStyle w:val="FootnoteText"/>
        <w:rPr>
          <w:lang w:val="en-US"/>
        </w:rPr>
      </w:pPr>
      <w:r>
        <w:rPr>
          <w:rStyle w:val="FootnoteReference"/>
        </w:rPr>
        <w:footnoteRef/>
      </w:r>
      <w:r>
        <w:t xml:space="preserve"> </w:t>
      </w:r>
      <w:r>
        <w:rPr>
          <w:lang w:val="en-US"/>
        </w:rPr>
        <w:t>Vatican Vat. lat. 8782 fol. 44r.</w:t>
      </w:r>
    </w:p>
  </w:footnote>
  <w:footnote w:id="33">
    <w:p w:rsidR="00FF5726" w:rsidRPr="0003746E" w:rsidRDefault="00FF5726" w:rsidP="00FF5726">
      <w:pPr>
        <w:pStyle w:val="FootnoteText"/>
      </w:pPr>
      <w:r>
        <w:rPr>
          <w:rStyle w:val="FootnoteReference"/>
        </w:rPr>
        <w:footnoteRef/>
      </w:r>
      <w:r w:rsidRPr="004E70A5">
        <w:t>Berlin SB</w:t>
      </w:r>
      <w:r>
        <w:t xml:space="preserve">PK </w:t>
      </w:r>
      <w:r w:rsidRPr="004E70A5">
        <w:t xml:space="preserve">Lat. </w:t>
      </w:r>
      <w:r>
        <w:t>fol. </w:t>
      </w:r>
      <w:r w:rsidRPr="004E70A5">
        <w:t>462</w:t>
      </w:r>
      <w:r>
        <w:t xml:space="preserve">, fol. 55r, </w:t>
      </w:r>
      <w:r>
        <w:rPr>
          <w:i/>
        </w:rPr>
        <w:t>De his qui ad placitum venire contempserint l. Si cuiuscunque hominis proprietas</w:t>
      </w:r>
      <w:r>
        <w:t xml:space="preserve"> = Lod. 16, without lemma: ‘Hinc inde usus processit ut si vasallus investituram feudi per annum et diem querere contempserit vel non servierit ut ipsum feudum amittat, nisi sit Longobardus habens feudum a principe. Privilegium enim Longoardorum est ut nec propter investituram feudi nec propter hostem debeant ire trans alpes. a.’ See also Florence B</w:t>
      </w:r>
      <w:r w:rsidRPr="004E70A5">
        <w:t>ML Plut. LXXVII</w:t>
      </w:r>
      <w:r>
        <w:t>.</w:t>
      </w:r>
      <w:r w:rsidRPr="004E70A5">
        <w:t xml:space="preserve"> 1</w:t>
      </w:r>
      <w:r>
        <w:t xml:space="preserve">, fol. 42vb: ‘Hinc trahitur usus feudi. </w:t>
      </w:r>
      <w:r w:rsidRPr="004E70A5">
        <w:t>Ex hoc colligitur quod si vassallus steterit per annum et diem quod investituram non accepit a domino quod feudum amittat.</w:t>
      </w:r>
      <w:r>
        <w:t xml:space="preserve">’ </w:t>
      </w:r>
      <w:r w:rsidRPr="0003746E">
        <w:t xml:space="preserve">For the sake of clarity, the first of these comments  does not mean  that all </w:t>
      </w:r>
      <w:r>
        <w:t>Lombards</w:t>
      </w:r>
      <w:r w:rsidRPr="0003746E">
        <w:t xml:space="preserve"> hold their fiefs directly from the emperor, merely that if a Lombard </w:t>
      </w:r>
      <w:r w:rsidRPr="0003746E">
        <w:rPr>
          <w:i/>
        </w:rPr>
        <w:t>does</w:t>
      </w:r>
      <w:r>
        <w:t xml:space="preserve">, his fief is not forfeit if </w:t>
      </w:r>
      <w:r w:rsidRPr="0003746E">
        <w:t>he fails to seek investiture within a year and day from the emperor.</w:t>
      </w:r>
    </w:p>
  </w:footnote>
  <w:footnote w:id="34">
    <w:p w:rsidR="00FF5726" w:rsidRPr="000511B2" w:rsidRDefault="00FF5726" w:rsidP="00FF5726">
      <w:pPr>
        <w:pStyle w:val="FootnoteText"/>
        <w:rPr>
          <w:lang w:val="en-US"/>
        </w:rPr>
      </w:pPr>
      <w:r>
        <w:rPr>
          <w:rStyle w:val="FootnoteReference"/>
        </w:rPr>
        <w:footnoteRef/>
      </w:r>
      <w:r>
        <w:t xml:space="preserve"> A more detailed study of the manuscripts will allow a</w:t>
      </w:r>
      <w:r>
        <w:rPr>
          <w:lang w:val="en-US"/>
        </w:rPr>
        <w:t xml:space="preserve"> more precise triangulation exercise. </w:t>
      </w:r>
    </w:p>
  </w:footnote>
  <w:footnote w:id="35">
    <w:p w:rsidR="00FF5726" w:rsidRPr="00284713" w:rsidRDefault="00FF5726" w:rsidP="00FF5726">
      <w:pPr>
        <w:pStyle w:val="FootnoteText"/>
        <w:rPr>
          <w:lang w:val="en-US"/>
        </w:rPr>
      </w:pPr>
      <w:r>
        <w:rPr>
          <w:rStyle w:val="FootnoteReference"/>
        </w:rPr>
        <w:footnoteRef/>
      </w:r>
      <w:r>
        <w:t xml:space="preserve"> See above, note 18.</w:t>
      </w:r>
    </w:p>
  </w:footnote>
  <w:footnote w:id="36">
    <w:p w:rsidR="00FF5726" w:rsidRPr="002E4DF5" w:rsidRDefault="00FF5726" w:rsidP="00FF5726">
      <w:pPr>
        <w:pStyle w:val="FootnoteText"/>
        <w:rPr>
          <w:lang w:val="en-US"/>
        </w:rPr>
      </w:pPr>
      <w:r>
        <w:rPr>
          <w:rStyle w:val="FootnoteReference"/>
        </w:rPr>
        <w:footnoteRef/>
      </w:r>
      <w:r>
        <w:t xml:space="preserve"> </w:t>
      </w:r>
      <w:r>
        <w:rPr>
          <w:lang w:val="en-US"/>
        </w:rPr>
        <w:t xml:space="preserve">The haphazard manner in which the later constitutions issued by Lothar III and Frederick I were included in or appended to </w:t>
      </w:r>
      <w:r>
        <w:rPr>
          <w:i/>
          <w:lang w:val="en-US"/>
        </w:rPr>
        <w:t xml:space="preserve">Lombarda </w:t>
      </w:r>
      <w:r>
        <w:rPr>
          <w:lang w:val="en-US"/>
        </w:rPr>
        <w:t xml:space="preserve">manuscripts argues in the same direction, as does the inaccurate attributions of Conrad II’s 1037 constitution mentioned above. See M.J. Ryan, ‘Zur Tradition des langobardischen Lehnrechts’, in G. Dilcher and G. Quaglioni (eds), </w:t>
      </w:r>
      <w:r w:rsidRPr="00562612">
        <w:rPr>
          <w:i/>
          <w:lang w:val="en-US"/>
        </w:rPr>
        <w:t>Gli inizi del diritto pubblico, 2. Da Federico I a Federico II/Die Anfänge des öffentlichen Rechts, 2. Von Friedrich Barbarossa zu Friedrich II.</w:t>
      </w:r>
      <w:r>
        <w:rPr>
          <w:lang w:val="en-US"/>
        </w:rPr>
        <w:t xml:space="preserve"> (Bologna/Berlin 2008), 225-244.</w:t>
      </w:r>
    </w:p>
  </w:footnote>
  <w:footnote w:id="37">
    <w:p w:rsidR="00FF5726" w:rsidRPr="001261DA" w:rsidRDefault="00FF5726" w:rsidP="00FF5726">
      <w:pPr>
        <w:pStyle w:val="FootnoteText"/>
        <w:rPr>
          <w:lang w:val="en-US"/>
        </w:rPr>
      </w:pPr>
      <w:r>
        <w:rPr>
          <w:rStyle w:val="FootnoteReference"/>
        </w:rPr>
        <w:footnoteRef/>
      </w:r>
      <w:r>
        <w:t xml:space="preserve"> </w:t>
      </w:r>
      <w:r>
        <w:rPr>
          <w:lang w:val="en-US"/>
        </w:rPr>
        <w:t xml:space="preserve">The text published by Anschütz, </w:t>
      </w:r>
      <w:r w:rsidRPr="001261DA">
        <w:rPr>
          <w:i/>
          <w:lang w:val="en-US"/>
        </w:rPr>
        <w:t>Summa Legis Longobardorum</w:t>
      </w:r>
      <w:r>
        <w:t xml:space="preserve">, </w:t>
      </w:r>
      <w:r>
        <w:rPr>
          <w:lang w:val="en-US"/>
        </w:rPr>
        <w:t xml:space="preserve">contains nothing of relevance. </w:t>
      </w:r>
    </w:p>
  </w:footnote>
  <w:footnote w:id="38">
    <w:p w:rsidR="00FF5726" w:rsidRPr="00374F01" w:rsidRDefault="00FF5726" w:rsidP="00FF5726">
      <w:pPr>
        <w:pStyle w:val="FootnoteText"/>
        <w:rPr>
          <w:lang w:val="en-US"/>
        </w:rPr>
      </w:pPr>
      <w:r>
        <w:rPr>
          <w:rStyle w:val="FootnoteReference"/>
        </w:rPr>
        <w:footnoteRef/>
      </w:r>
      <w:r>
        <w:t xml:space="preserve"> </w:t>
      </w:r>
      <w:r>
        <w:rPr>
          <w:lang w:val="en-US"/>
        </w:rPr>
        <w:t xml:space="preserve">The phrase in the Aliprand </w:t>
      </w:r>
      <w:r w:rsidRPr="00374F01">
        <w:rPr>
          <w:i/>
          <w:lang w:val="en-US"/>
        </w:rPr>
        <w:t>summula</w:t>
      </w:r>
      <w:r>
        <w:rPr>
          <w:lang w:val="en-US"/>
        </w:rPr>
        <w:t xml:space="preserve"> apparently referring to the </w:t>
      </w:r>
      <w:r>
        <w:rPr>
          <w:i/>
          <w:lang w:val="en-US"/>
        </w:rPr>
        <w:t>Libri feudorum</w:t>
      </w:r>
      <w:r>
        <w:rPr>
          <w:lang w:val="en-US"/>
        </w:rPr>
        <w:t xml:space="preserve"> is clearly an interpolation in the only surviving, manuscript (now Parma, Biblioteca Palatina 1227, known to Anschütz as H.H.I, 25) of the text and was rightly placed in parenthesis by Anschütz in his edition (</w:t>
      </w:r>
      <w:r>
        <w:rPr>
          <w:i/>
          <w:lang w:val="en-US"/>
        </w:rPr>
        <w:t>Lombarda-Commentare</w:t>
      </w:r>
      <w:r>
        <w:rPr>
          <w:lang w:val="en-US"/>
        </w:rPr>
        <w:t xml:space="preserve"> 195): ‘…Amittitur feudum [multis] ex causis [que in feudorum Consuetudinibus specialiter numerantur]’.</w:t>
      </w:r>
    </w:p>
  </w:footnote>
  <w:footnote w:id="39">
    <w:p w:rsidR="00FF5726" w:rsidRPr="00A40846" w:rsidRDefault="00FF5726" w:rsidP="00FF5726">
      <w:pPr>
        <w:pStyle w:val="FootnoteText"/>
      </w:pPr>
      <w:r>
        <w:rPr>
          <w:rStyle w:val="FootnoteReference"/>
        </w:rPr>
        <w:footnoteRef/>
      </w:r>
      <w:r>
        <w:t xml:space="preserve"> For example, BAV Reg. lat. 1060, fo. 39ra at Lomb. 2.33.11 (</w:t>
      </w:r>
      <w:r>
        <w:rPr>
          <w:i/>
        </w:rPr>
        <w:t>De manumissionibus l. Si quis per cartam</w:t>
      </w:r>
      <w:r>
        <w:t xml:space="preserve"> = Kar. 106): ‘Usu et exemplo huius legis dicimus, si de aliqua re conteptio [sic; </w:t>
      </w:r>
      <w:r>
        <w:rPr>
          <w:i/>
        </w:rPr>
        <w:t>recte</w:t>
      </w:r>
      <w:r>
        <w:t xml:space="preserve"> ‘contentio’] fuerit et adversarius cartam destruxerit et probatum fuerit, quod extimationem rei de qua agitur componere debet.</w:t>
      </w:r>
    </w:p>
  </w:footnote>
  <w:footnote w:id="40">
    <w:p w:rsidR="00FF5726" w:rsidRPr="00AC583B" w:rsidRDefault="00FF5726" w:rsidP="00FF5726">
      <w:pPr>
        <w:pStyle w:val="FootnoteText"/>
        <w:rPr>
          <w:lang w:val="en-US"/>
        </w:rPr>
      </w:pPr>
      <w:r>
        <w:rPr>
          <w:rStyle w:val="FootnoteReference"/>
        </w:rPr>
        <w:footnoteRef/>
      </w:r>
      <w:r>
        <w:t xml:space="preserve"> </w:t>
      </w:r>
      <w:r>
        <w:rPr>
          <w:lang w:val="en-US"/>
        </w:rPr>
        <w:t>See, for example, Vat. lat. 3845, fol. 89va at Lomb. 2.41.7 (</w:t>
      </w:r>
      <w:r>
        <w:rPr>
          <w:i/>
          <w:lang w:val="en-US"/>
        </w:rPr>
        <w:t>Qualiter iudices iudicare debent l. Si quis in aliena</w:t>
      </w:r>
      <w:r>
        <w:rPr>
          <w:lang w:val="en-US"/>
        </w:rPr>
        <w:t xml:space="preserve"> =</w:t>
      </w:r>
      <w:r>
        <w:rPr>
          <w:i/>
          <w:lang w:val="en-US"/>
        </w:rPr>
        <w:t xml:space="preserve"> </w:t>
      </w:r>
      <w:r>
        <w:rPr>
          <w:lang w:val="en-US"/>
        </w:rPr>
        <w:t xml:space="preserve">Lod. 1), ad verb. </w:t>
      </w:r>
      <w:r w:rsidRPr="00AC583B">
        <w:rPr>
          <w:i/>
          <w:lang w:val="en-US"/>
        </w:rPr>
        <w:t>beneficium</w:t>
      </w:r>
      <w:r>
        <w:rPr>
          <w:lang w:val="en-US"/>
        </w:rPr>
        <w:t>: ‘idest feudum’; see also fol. 90ra, Lomb. 2.42.2 (</w:t>
      </w:r>
      <w:r>
        <w:rPr>
          <w:i/>
          <w:lang w:val="en-US"/>
        </w:rPr>
        <w:t>De his qui ad placitum venire contempserint l. Si quis ad mallum</w:t>
      </w:r>
      <w:r>
        <w:rPr>
          <w:lang w:val="en-US"/>
        </w:rPr>
        <w:t xml:space="preserve"> = Kar. 27, ad verb.</w:t>
      </w:r>
      <w:r>
        <w:rPr>
          <w:i/>
          <w:lang w:val="en-US"/>
        </w:rPr>
        <w:t xml:space="preserve"> </w:t>
      </w:r>
      <w:r w:rsidRPr="00AC583B">
        <w:rPr>
          <w:i/>
          <w:lang w:val="en-US"/>
        </w:rPr>
        <w:t>similiter de beneficio hominis</w:t>
      </w:r>
      <w:r>
        <w:rPr>
          <w:lang w:val="en-US"/>
        </w:rPr>
        <w:t xml:space="preserve">: ‘idest feudum’ and fol. 116r, Lomb. 3.8 rubr., ad verb. </w:t>
      </w:r>
      <w:r>
        <w:rPr>
          <w:i/>
          <w:lang w:val="en-US"/>
        </w:rPr>
        <w:t>beneficiis</w:t>
      </w:r>
      <w:r>
        <w:rPr>
          <w:lang w:val="en-US"/>
        </w:rPr>
        <w:t>: ‘id est feudis’. Further examples in ms Vat. lat. 8782, fol. 44r (‘</w:t>
      </w:r>
      <w:r>
        <w:rPr>
          <w:i/>
          <w:lang w:val="en-US"/>
        </w:rPr>
        <w:t>beneficium</w:t>
      </w:r>
      <w:r>
        <w:rPr>
          <w:lang w:val="en-US"/>
        </w:rPr>
        <w:t>: id est feudum; Lomb. 3.8.1).</w:t>
      </w:r>
    </w:p>
  </w:footnote>
  <w:footnote w:id="41">
    <w:p w:rsidR="00FF5726" w:rsidRPr="000547AA" w:rsidRDefault="00FF5726" w:rsidP="00FF5726">
      <w:pPr>
        <w:pStyle w:val="FootnoteText"/>
        <w:rPr>
          <w:lang w:val="en-US"/>
        </w:rPr>
      </w:pPr>
      <w:r>
        <w:rPr>
          <w:rStyle w:val="FootnoteReference"/>
        </w:rPr>
        <w:footnoteRef/>
      </w:r>
      <w:r>
        <w:t xml:space="preserve"> Among other things a</w:t>
      </w:r>
      <w:r>
        <w:rPr>
          <w:lang w:val="en-US"/>
        </w:rPr>
        <w:t xml:space="preserve">s hailing from Piacenza: see K. Lehmann, </w:t>
      </w:r>
      <w:r w:rsidRPr="00844EAD">
        <w:rPr>
          <w:i/>
          <w:lang w:val="en-US"/>
        </w:rPr>
        <w:t>Consuetudines</w:t>
      </w:r>
      <w:r>
        <w:rPr>
          <w:lang w:val="en-US"/>
        </w:rPr>
        <w:t xml:space="preserve">, 23. The manuscript is Tübingen, UB, Mc. 14, fol. 80rb-84va, for which see Laspeyres, </w:t>
      </w:r>
      <w:r>
        <w:rPr>
          <w:i/>
          <w:lang w:val="en-US"/>
        </w:rPr>
        <w:t>Libri Feudorum</w:t>
      </w:r>
      <w:r>
        <w:rPr>
          <w:lang w:val="en-US"/>
        </w:rPr>
        <w:t>, 439-444;</w:t>
      </w:r>
      <w:r>
        <w:rPr>
          <w:i/>
          <w:lang w:val="en-US"/>
        </w:rPr>
        <w:t xml:space="preserve"> </w:t>
      </w:r>
      <w:r>
        <w:rPr>
          <w:lang w:val="en-US"/>
        </w:rPr>
        <w:t xml:space="preserve">Lehmann, </w:t>
      </w:r>
      <w:r>
        <w:rPr>
          <w:i/>
          <w:lang w:val="en-US"/>
        </w:rPr>
        <w:t>Consuetudines</w:t>
      </w:r>
      <w:r>
        <w:rPr>
          <w:lang w:val="en-US"/>
        </w:rPr>
        <w:t xml:space="preserve">, 5 and </w:t>
      </w:r>
      <w:r w:rsidRPr="000547AA">
        <w:rPr>
          <w:i/>
          <w:lang w:val="en-US"/>
        </w:rPr>
        <w:t>Lehnrecht</w:t>
      </w:r>
      <w:r>
        <w:rPr>
          <w:lang w:val="en-US"/>
        </w:rPr>
        <w:t xml:space="preserve">, 13 (no. 38); for discussion of the glosses see Laspeyres, </w:t>
      </w:r>
      <w:r>
        <w:rPr>
          <w:i/>
          <w:lang w:val="en-US"/>
        </w:rPr>
        <w:t>Libri Feudorum</w:t>
      </w:r>
      <w:r>
        <w:rPr>
          <w:lang w:val="en-US"/>
        </w:rPr>
        <w:t>, 254ff.</w:t>
      </w:r>
    </w:p>
  </w:footnote>
  <w:footnote w:id="42">
    <w:p w:rsidR="00FF5726" w:rsidRDefault="00FF5726" w:rsidP="00FF5726">
      <w:pPr>
        <w:pStyle w:val="FootnoteText"/>
      </w:pPr>
      <w:r>
        <w:rPr>
          <w:rStyle w:val="FootnoteReference"/>
        </w:rPr>
        <w:footnoteRef/>
      </w:r>
      <w:r>
        <w:t xml:space="preserve"> See above, p. 3.</w:t>
      </w:r>
    </w:p>
  </w:footnote>
  <w:footnote w:id="43">
    <w:p w:rsidR="00FF5726" w:rsidRDefault="00FF5726" w:rsidP="00FF5726">
      <w:pPr>
        <w:pStyle w:val="FootnoteText"/>
      </w:pPr>
      <w:r>
        <w:rPr>
          <w:rStyle w:val="FootnoteReference"/>
        </w:rPr>
        <w:footnoteRef/>
      </w:r>
      <w:r>
        <w:t xml:space="preserve"> J. von Ficker, </w:t>
      </w:r>
      <w:r w:rsidRPr="005C202D">
        <w:rPr>
          <w:i/>
        </w:rPr>
        <w:t>Forschungen zur Reichs- und Rechtsgeschichte Italiens</w:t>
      </w:r>
      <w:r w:rsidRPr="005C202D">
        <w:t xml:space="preserve"> </w:t>
      </w:r>
      <w:r>
        <w:t xml:space="preserve">IV (Innsbruck 1868-1874; repr. Aalen 1961), 108 and A. Gloria (ed.), </w:t>
      </w:r>
      <w:r w:rsidRPr="0084582E">
        <w:rPr>
          <w:i/>
        </w:rPr>
        <w:t>Codice diplomatico padovano dall’anno 1101 alla pace di Costanza (25 giugno 1183)</w:t>
      </w:r>
      <w:r>
        <w:t xml:space="preserve">, (Venice 1879), no. 260. I assume this is a relative of Ugo de Baone, mentioned in a plea of 1088 discussed by Keller, </w:t>
      </w:r>
      <w:r w:rsidRPr="005C202D">
        <w:rPr>
          <w:i/>
        </w:rPr>
        <w:t>Adelsherrschaft</w:t>
      </w:r>
      <w:r>
        <w:t>, 57. The most recent discussion of this case is by M. Vallerani,</w:t>
      </w:r>
      <w:r w:rsidRPr="00BC4109">
        <w:rPr>
          <w:i/>
          <w:snapToGrid w:val="0"/>
          <w:color w:val="F79646" w:themeColor="accent6"/>
          <w:sz w:val="24"/>
          <w:lang w:val="it-IT" w:eastAsia="en-US"/>
        </w:rPr>
        <w:t xml:space="preserve"> </w:t>
      </w:r>
      <w:r>
        <w:rPr>
          <w:snapToGrid w:val="0"/>
          <w:color w:val="F79646" w:themeColor="accent6"/>
          <w:sz w:val="24"/>
          <w:lang w:val="it-IT" w:eastAsia="en-US"/>
        </w:rPr>
        <w:t>‘</w:t>
      </w:r>
      <w:r w:rsidRPr="00BC4109">
        <w:rPr>
          <w:lang w:val="it-IT"/>
        </w:rPr>
        <w:t>Tra astrazione e prassi. Le forme del processo nelle città dell’Italia settentrionale nel secolo XII</w:t>
      </w:r>
      <w:r>
        <w:rPr>
          <w:lang w:val="it-IT"/>
        </w:rPr>
        <w:t>’</w:t>
      </w:r>
      <w:r w:rsidRPr="00BC4109">
        <w:rPr>
          <w:lang w:val="it-IT"/>
        </w:rPr>
        <w:t>, in F.J. Arlinghaus, I. Baumgärtner, V. Colli, S. Lepsius, T. Wetzstein</w:t>
      </w:r>
      <w:r w:rsidRPr="00BC4109">
        <w:rPr>
          <w:i/>
          <w:lang w:val="it-IT"/>
        </w:rPr>
        <w:t xml:space="preserve"> </w:t>
      </w:r>
      <w:r>
        <w:rPr>
          <w:lang w:val="it-IT"/>
        </w:rPr>
        <w:t xml:space="preserve">(eds), </w:t>
      </w:r>
      <w:r w:rsidRPr="00BC4109">
        <w:rPr>
          <w:i/>
          <w:lang w:val="it-IT"/>
        </w:rPr>
        <w:t>Praxis und Gerichtsbarkeit in europäisch</w:t>
      </w:r>
      <w:r>
        <w:rPr>
          <w:i/>
          <w:lang w:val="it-IT"/>
        </w:rPr>
        <w:t>en Städten des Spätmittelaters (</w:t>
      </w:r>
      <w:r w:rsidRPr="00BC4109">
        <w:rPr>
          <w:lang w:val="it-IT"/>
        </w:rPr>
        <w:t>Frankfurt a</w:t>
      </w:r>
      <w:r>
        <w:rPr>
          <w:lang w:val="it-IT"/>
        </w:rPr>
        <w:t>m Main</w:t>
      </w:r>
      <w:r w:rsidRPr="00BC4109">
        <w:rPr>
          <w:lang w:val="it-IT"/>
        </w:rPr>
        <w:t xml:space="preserve"> 2006</w:t>
      </w:r>
      <w:r>
        <w:rPr>
          <w:lang w:val="it-IT"/>
        </w:rPr>
        <w:t>), 135-153 at 139-140.</w:t>
      </w:r>
    </w:p>
  </w:footnote>
  <w:footnote w:id="44">
    <w:p w:rsidR="00FF5726" w:rsidRDefault="00FF5726" w:rsidP="00FF5726">
      <w:pPr>
        <w:pStyle w:val="FootnoteText"/>
      </w:pPr>
      <w:r>
        <w:rPr>
          <w:rStyle w:val="FootnoteReference"/>
        </w:rPr>
        <w:footnoteRef/>
      </w:r>
      <w:r>
        <w:t xml:space="preserve"> For arbitration by consuls in matters not strictly subject to their cognisance, see G. Dilcher, </w:t>
      </w:r>
      <w:r>
        <w:rPr>
          <w:i/>
        </w:rPr>
        <w:t xml:space="preserve">Die </w:t>
      </w:r>
      <w:r w:rsidRPr="00CE3A34">
        <w:rPr>
          <w:i/>
        </w:rPr>
        <w:t>Entstehung</w:t>
      </w:r>
      <w:r>
        <w:rPr>
          <w:i/>
        </w:rPr>
        <w:t xml:space="preserve"> der lombardischen Stadtkommune. Eine rechtsgeschichtliche Untersuchung</w:t>
      </w:r>
      <w:r>
        <w:t xml:space="preserve">, Untersuchungen zur deutschen Staats- und Rechtsgeschichte, new series, 7 (Aalen 1967), 174 with specific reference to this case amongst others. </w:t>
      </w:r>
    </w:p>
  </w:footnote>
  <w:footnote w:id="45">
    <w:p w:rsidR="00FF5726" w:rsidRPr="00EB6AB5" w:rsidRDefault="00FF5726" w:rsidP="00FF5726">
      <w:pPr>
        <w:pStyle w:val="FootnoteText"/>
        <w:rPr>
          <w:lang w:val="en-US"/>
        </w:rPr>
      </w:pPr>
      <w:r>
        <w:rPr>
          <w:rStyle w:val="FootnoteReference"/>
        </w:rPr>
        <w:footnoteRef/>
      </w:r>
      <w:r>
        <w:t xml:space="preserve"> </w:t>
      </w:r>
      <w:r>
        <w:rPr>
          <w:lang w:val="en-US"/>
        </w:rPr>
        <w:t xml:space="preserve">Ant. V c. 3, Vulg. 1.12 (Lehmann, </w:t>
      </w:r>
      <w:r w:rsidRPr="00EB6AB5">
        <w:rPr>
          <w:i/>
          <w:lang w:val="en-US"/>
        </w:rPr>
        <w:t>Lehnrecht</w:t>
      </w:r>
      <w:r>
        <w:rPr>
          <w:lang w:val="en-US"/>
        </w:rPr>
        <w:t xml:space="preserve">, 97): clientulus. The distinction between a paternal fief and one granted </w:t>
      </w:r>
      <w:r w:rsidRPr="00EB6AB5">
        <w:rPr>
          <w:i/>
          <w:lang w:val="en-US"/>
        </w:rPr>
        <w:t>de novo</w:t>
      </w:r>
      <w:r>
        <w:rPr>
          <w:lang w:val="en-US"/>
        </w:rPr>
        <w:t xml:space="preserve"> is basic throughout the </w:t>
      </w:r>
      <w:r>
        <w:rPr>
          <w:i/>
          <w:lang w:val="en-US"/>
        </w:rPr>
        <w:t>Libri feudorum</w:t>
      </w:r>
      <w:r>
        <w:rPr>
          <w:lang w:val="en-US"/>
        </w:rPr>
        <w:t>.</w:t>
      </w:r>
    </w:p>
  </w:footnote>
  <w:footnote w:id="46">
    <w:p w:rsidR="00FF5726" w:rsidRDefault="00FF5726" w:rsidP="00FF5726">
      <w:pPr>
        <w:pStyle w:val="FootnoteText"/>
      </w:pPr>
      <w:r>
        <w:rPr>
          <w:rStyle w:val="FootnoteReference"/>
        </w:rPr>
        <w:footnoteRef/>
      </w:r>
      <w:r>
        <w:t xml:space="preserve"> </w:t>
      </w:r>
      <w:r w:rsidRPr="00DA45E3">
        <w:t>Ant</w:t>
      </w:r>
      <w:r>
        <w:rPr>
          <w:i/>
        </w:rPr>
        <w:t>.</w:t>
      </w:r>
      <w:r>
        <w:t xml:space="preserve"> VIII c. 27, Vulg. 2.20 (Lehmann, </w:t>
      </w:r>
      <w:r w:rsidRPr="001D3B3E">
        <w:rPr>
          <w:i/>
        </w:rPr>
        <w:t>Lehnrecht</w:t>
      </w:r>
      <w:r>
        <w:t xml:space="preserve">, 137): ‘Sed laudatum scio saepe, pares illius curiae […] eligendos, ad quorum spectat officium, ut prius illum de suo recto feudo investiri faciant…’ Oberto’s authority is, therefore, court practice: ‘laudatio’ in the </w:t>
      </w:r>
      <w:r>
        <w:rPr>
          <w:i/>
        </w:rPr>
        <w:t xml:space="preserve">Libri feudorum </w:t>
      </w:r>
      <w:r>
        <w:t xml:space="preserve">is the judgement of a court of </w:t>
      </w:r>
      <w:r>
        <w:rPr>
          <w:i/>
        </w:rPr>
        <w:t>pares</w:t>
      </w:r>
      <w:r>
        <w:t xml:space="preserve">: see Lehmann, </w:t>
      </w:r>
      <w:r>
        <w:rPr>
          <w:i/>
        </w:rPr>
        <w:t>Lehnrecht</w:t>
      </w:r>
      <w:r>
        <w:t>, 186, 187, 192, 200..</w:t>
      </w:r>
    </w:p>
  </w:footnote>
  <w:footnote w:id="47">
    <w:p w:rsidR="00FF5726" w:rsidRDefault="00FF5726" w:rsidP="00FF5726">
      <w:pPr>
        <w:pStyle w:val="FootnoteText"/>
      </w:pPr>
      <w:r>
        <w:rPr>
          <w:rStyle w:val="FootnoteReference"/>
        </w:rPr>
        <w:footnoteRef/>
      </w:r>
      <w:r>
        <w:t xml:space="preserve"> Ficker, </w:t>
      </w:r>
      <w:r w:rsidRPr="00C168FA">
        <w:rPr>
          <w:i/>
        </w:rPr>
        <w:t>Forschungen</w:t>
      </w:r>
      <w:r>
        <w:t xml:space="preserve"> (above fn. 39) IV, no. 116. See P. Classen, </w:t>
      </w:r>
      <w:r w:rsidRPr="001D3B3E">
        <w:rPr>
          <w:i/>
        </w:rPr>
        <w:t>Studium und Gesellschaft</w:t>
      </w:r>
      <w:r>
        <w:rPr>
          <w:i/>
        </w:rPr>
        <w:t xml:space="preserve"> im Mittelalter</w:t>
      </w:r>
      <w:r>
        <w:t xml:space="preserve"> (MGH Schriften 29, Stuttgart 1983, ed. J. Fried), 55 ff; Reynolds</w:t>
      </w:r>
      <w:r w:rsidRPr="00151568">
        <w:rPr>
          <w:i/>
        </w:rPr>
        <w:t>, Fiefs and</w:t>
      </w:r>
      <w:r w:rsidRPr="001D3B3E">
        <w:rPr>
          <w:i/>
          <w:u w:val="single"/>
        </w:rPr>
        <w:t xml:space="preserve"> </w:t>
      </w:r>
      <w:r w:rsidRPr="00151568">
        <w:rPr>
          <w:i/>
        </w:rPr>
        <w:t>Vassals</w:t>
      </w:r>
      <w:r>
        <w:t xml:space="preserve">, 197-8; Padoa-Schioppa, </w:t>
      </w:r>
      <w:r w:rsidRPr="00F54816">
        <w:rPr>
          <w:i/>
        </w:rPr>
        <w:t>Le rôle du droit savant</w:t>
      </w:r>
      <w:r>
        <w:t xml:space="preserve">,(above fn. 8), 343-371 and the same author’s ‘Il ruolo della cultura giuridica in alcuni atti giudiziari del secolo XI’, in </w:t>
      </w:r>
      <w:r w:rsidRPr="00496B2B">
        <w:rPr>
          <w:i/>
        </w:rPr>
        <w:t>Nuova Rivista Storica</w:t>
      </w:r>
      <w:r>
        <w:t xml:space="preserve"> 64 (1980), 265-289; Vallerani, </w:t>
      </w:r>
      <w:r w:rsidRPr="00BC4109">
        <w:rPr>
          <w:i/>
        </w:rPr>
        <w:t>Tra astrazione e prassi</w:t>
      </w:r>
      <w:r>
        <w:t xml:space="preserve"> (above fn. 39)140-143 and the same author’s ‘La riscrittura dei diritti nel secolo XII: Astrazione e fizione nelle sentenze consolari’ in </w:t>
      </w:r>
      <w:r w:rsidRPr="00CD198D">
        <w:rPr>
          <w:lang w:val="it-IT"/>
        </w:rPr>
        <w:t>C. Dartmann, T. Scharf, C.F. Weber</w:t>
      </w:r>
      <w:r>
        <w:rPr>
          <w:lang w:val="it-IT"/>
        </w:rPr>
        <w:t xml:space="preserve"> (eds), </w:t>
      </w:r>
      <w:r w:rsidRPr="00CD198D">
        <w:rPr>
          <w:i/>
          <w:lang w:val="it-IT"/>
        </w:rPr>
        <w:t>Zwischen Pragmatik und Performanz. Dimensionen mittelalterlicher Schriftkultur</w:t>
      </w:r>
      <w:r>
        <w:rPr>
          <w:lang w:val="it-IT"/>
        </w:rPr>
        <w:t xml:space="preserve"> (Turnhout 2011), 133-164 at 151-3</w:t>
      </w:r>
      <w:r>
        <w:t xml:space="preserve"> . A useful resumé in Rossi, </w:t>
      </w:r>
      <w:r>
        <w:rPr>
          <w:i/>
        </w:rPr>
        <w:t xml:space="preserve">Oberto dall’Orto </w:t>
      </w:r>
      <w:r>
        <w:t xml:space="preserve">(above fn. 9), 348-351. B. Chiappa, A. Sandrini (eds), </w:t>
      </w:r>
      <w:r w:rsidRPr="00753831">
        <w:rPr>
          <w:i/>
        </w:rPr>
        <w:t>Cerea. Storia de una comunità attraverso i secoli</w:t>
      </w:r>
      <w:r>
        <w:t xml:space="preserve"> (Cerea 1991) was unavailable to me.</w:t>
      </w:r>
    </w:p>
  </w:footnote>
  <w:footnote w:id="48">
    <w:p w:rsidR="00FF5726" w:rsidRPr="00DC4D84" w:rsidRDefault="00FF5726" w:rsidP="00FF5726">
      <w:pPr>
        <w:pStyle w:val="FootnoteText"/>
      </w:pPr>
      <w:r>
        <w:rPr>
          <w:rStyle w:val="FootnoteReference"/>
        </w:rPr>
        <w:footnoteRef/>
      </w:r>
      <w:r>
        <w:t xml:space="preserve"> For a conspectus of the surviving documentation including unpublished archival holdings, see Padoa-Schioppa, </w:t>
      </w:r>
      <w:r>
        <w:rPr>
          <w:i/>
        </w:rPr>
        <w:t xml:space="preserve">Rôle du droit savant </w:t>
      </w:r>
      <w:r>
        <w:t>(above fn. 8)</w:t>
      </w:r>
      <w:r>
        <w:rPr>
          <w:i/>
        </w:rPr>
        <w:t xml:space="preserve">, </w:t>
      </w:r>
      <w:r>
        <w:t xml:space="preserve">359 n. 65. See also E. Lanza (ed.), </w:t>
      </w:r>
      <w:r w:rsidRPr="00DC4D84">
        <w:rPr>
          <w:i/>
          <w:lang w:val="it-IT"/>
        </w:rPr>
        <w:t>Le carte del capitolo della Ca</w:t>
      </w:r>
      <w:r>
        <w:rPr>
          <w:i/>
          <w:lang w:val="it-IT"/>
        </w:rPr>
        <w:t>ttedrale di Verona, I (1101-115)</w:t>
      </w:r>
      <w:r>
        <w:rPr>
          <w:lang w:val="it-IT"/>
        </w:rPr>
        <w:t xml:space="preserve"> (Rome 1998), nos 120, 121, 126, 130, 131, 133.</w:t>
      </w:r>
    </w:p>
  </w:footnote>
  <w:footnote w:id="49">
    <w:p w:rsidR="00FF5726" w:rsidRDefault="00FF5726" w:rsidP="00FF5726">
      <w:pPr>
        <w:pStyle w:val="FootnoteText"/>
      </w:pPr>
      <w:r>
        <w:rPr>
          <w:rStyle w:val="FootnoteReference"/>
        </w:rPr>
        <w:footnoteRef/>
      </w:r>
      <w:r>
        <w:t xml:space="preserve"> Ficker, </w:t>
      </w:r>
      <w:r w:rsidRPr="00151568">
        <w:rPr>
          <w:i/>
        </w:rPr>
        <w:t>Forschungen</w:t>
      </w:r>
      <w:r>
        <w:t xml:space="preserve"> (above fn 39). IV, 161: ‘Item quod comites dicunt hunc litem et hanc controversiam debere finiri et examinari secundum usum feudi, dicit ecclesia, non esse verum, quoniam non sunt vassalli huius ecclesie, nec dicunt se habere hoc castrum pro feudo ab hac ecclesia; immo dicit ecclesia, hoc placitum debere finiri secundum rationem et secundum leges, sicut inter extraneas personas.’ For a similar contrast in another (unedited) memorial of the case, between </w:t>
      </w:r>
      <w:r>
        <w:rPr>
          <w:i/>
        </w:rPr>
        <w:t>usus regni</w:t>
      </w:r>
      <w:r>
        <w:t xml:space="preserve"> and </w:t>
      </w:r>
      <w:r>
        <w:rPr>
          <w:i/>
        </w:rPr>
        <w:t>ratio et leges</w:t>
      </w:r>
      <w:r>
        <w:t xml:space="preserve">, see Padoa-Schioppa, </w:t>
      </w:r>
      <w:r>
        <w:rPr>
          <w:i/>
        </w:rPr>
        <w:t xml:space="preserve">Rôle du droit savant </w:t>
      </w:r>
      <w:r>
        <w:t>(above fn. 8), 363 n. 76, where the opinion of Oberto dall’Orto and his fellow consultants from Milan is also given, expressed in like manner (‘non secundum leges sed secundum feudi usum’).</w:t>
      </w:r>
    </w:p>
  </w:footnote>
  <w:footnote w:id="50">
    <w:p w:rsidR="00FF5726" w:rsidRPr="005923DE" w:rsidRDefault="00FF5726" w:rsidP="00FF5726">
      <w:pPr>
        <w:pStyle w:val="FootnoteText"/>
        <w:rPr>
          <w:lang w:val="en-US"/>
        </w:rPr>
      </w:pPr>
      <w:r>
        <w:rPr>
          <w:rStyle w:val="FootnoteReference"/>
        </w:rPr>
        <w:footnoteRef/>
      </w:r>
      <w:r>
        <w:t xml:space="preserve"> A famous passage: Ant. VIII c. 1, Vulg. 2.1 (Lehmann, </w:t>
      </w:r>
      <w:r w:rsidRPr="005923DE">
        <w:rPr>
          <w:i/>
        </w:rPr>
        <w:t>Lehnrecht</w:t>
      </w:r>
      <w:r>
        <w:t xml:space="preserve">, 115). </w:t>
      </w:r>
    </w:p>
  </w:footnote>
  <w:footnote w:id="51">
    <w:p w:rsidR="00FF5726" w:rsidRDefault="00FF5726" w:rsidP="00FF5726">
      <w:pPr>
        <w:pStyle w:val="FootnoteText"/>
      </w:pPr>
      <w:r>
        <w:rPr>
          <w:rStyle w:val="FootnoteReference"/>
        </w:rPr>
        <w:footnoteRef/>
      </w:r>
      <w:r>
        <w:t xml:space="preserve"> Such evidence is advanced by the counts, as it must be, but chiefly as a means of grounding their own recourse to the Roman (i.e. non – customary) </w:t>
      </w:r>
      <w:r>
        <w:rPr>
          <w:i/>
        </w:rPr>
        <w:t>actio Publiciana</w:t>
      </w:r>
      <w:r>
        <w:t xml:space="preserve">. </w:t>
      </w:r>
    </w:p>
  </w:footnote>
  <w:footnote w:id="52">
    <w:p w:rsidR="00FF5726" w:rsidRDefault="00FF5726" w:rsidP="00FF5726">
      <w:pPr>
        <w:pStyle w:val="FootnoteText"/>
      </w:pPr>
      <w:r>
        <w:rPr>
          <w:rStyle w:val="FootnoteReference"/>
        </w:rPr>
        <w:footnoteRef/>
      </w:r>
      <w:r>
        <w:t xml:space="preserve"> The case at hand provides some indirect support for the idea first set out by R. Feenstra, ‘Action Publicienne et preuve de la propriété, principalement d’après quelques romanistes du moyen age’, in </w:t>
      </w:r>
      <w:r w:rsidRPr="00AE5B83">
        <w:rPr>
          <w:i/>
        </w:rPr>
        <w:t>Mélanges Philippe Meylan</w:t>
      </w:r>
      <w:r>
        <w:t xml:space="preserve">, vol. 1 (Lausanne 1963), 91-110 (repr. R. Feenstra, </w:t>
      </w:r>
      <w:r w:rsidRPr="00941197">
        <w:rPr>
          <w:i/>
        </w:rPr>
        <w:t>Fata iuris romani. Etudes d’Histoire du Droit</w:t>
      </w:r>
      <w:r>
        <w:t xml:space="preserve">, Leyden 1974, 119-138), but later rejected, at least implicitly, in the same author’s ‘Les origines du dominium utile chez les glossateurs (avec un appendice concernant l’opinion des ultramontani)’, in </w:t>
      </w:r>
      <w:r>
        <w:rPr>
          <w:i/>
        </w:rPr>
        <w:t>Flores legum H.J. Scheltema, Antecessori Groningano oblati</w:t>
      </w:r>
      <w:r>
        <w:t xml:space="preserve"> (Groningen 1971), 49-93 (</w:t>
      </w:r>
      <w:r>
        <w:rPr>
          <w:i/>
        </w:rPr>
        <w:t>Fata iuris romani</w:t>
      </w:r>
      <w:r>
        <w:t xml:space="preserve">, 215-259). True, it is not obvious from their appeal to the  </w:t>
      </w:r>
      <w:r>
        <w:rPr>
          <w:i/>
        </w:rPr>
        <w:t>Publiciana</w:t>
      </w:r>
      <w:r>
        <w:t xml:space="preserve"> that the advocates for the counts of Sambonifacio were claiming </w:t>
      </w:r>
      <w:r>
        <w:rPr>
          <w:i/>
        </w:rPr>
        <w:t>dominium utile</w:t>
      </w:r>
      <w:r>
        <w:t xml:space="preserve"> on behalf of their clients. However, the fact that they resorted to this remedy precisely to reclaim lost possession on behalf of a vassal is at the very least striking.</w:t>
      </w:r>
    </w:p>
  </w:footnote>
  <w:footnote w:id="53">
    <w:p w:rsidR="00FF5726" w:rsidRDefault="00FF5726" w:rsidP="00FF5726">
      <w:pPr>
        <w:pStyle w:val="FootnoteText"/>
      </w:pPr>
      <w:r>
        <w:rPr>
          <w:rStyle w:val="FootnoteReference"/>
        </w:rPr>
        <w:footnoteRef/>
      </w:r>
      <w:r>
        <w:t xml:space="preserve"> For the relationship between Mathilda of Canossa and Margrave Albert, see above, page 19. Note the assumption that a fief </w:t>
      </w:r>
      <w:r w:rsidRPr="0003746E">
        <w:t xml:space="preserve">is presumed to be heritable </w:t>
      </w:r>
      <w:r>
        <w:t xml:space="preserve">and thus a more secure right than a </w:t>
      </w:r>
      <w:r>
        <w:rPr>
          <w:i/>
        </w:rPr>
        <w:t>libellus</w:t>
      </w:r>
      <w:r>
        <w:t xml:space="preserve"> or </w:t>
      </w:r>
      <w:r>
        <w:rPr>
          <w:i/>
        </w:rPr>
        <w:t>conductio</w:t>
      </w:r>
      <w:r>
        <w:t xml:space="preserve">. A similar point was made by Oberto and colleagues at another stage of proceedings; see Padoa-Schioppa, </w:t>
      </w:r>
      <w:r>
        <w:rPr>
          <w:i/>
        </w:rPr>
        <w:t>Rôle du droit savant</w:t>
      </w:r>
      <w:r>
        <w:t xml:space="preserve"> (above fn. 8) 363 n. 76.</w:t>
      </w:r>
    </w:p>
  </w:footnote>
  <w:footnote w:id="54">
    <w:p w:rsidR="00FF5726" w:rsidRPr="00F770A6" w:rsidRDefault="00FF5726" w:rsidP="00FF5726">
      <w:pPr>
        <w:pStyle w:val="FootnoteText"/>
        <w:rPr>
          <w:lang w:val="en-US"/>
        </w:rPr>
      </w:pPr>
      <w:r>
        <w:rPr>
          <w:rStyle w:val="FootnoteReference"/>
        </w:rPr>
        <w:footnoteRef/>
      </w:r>
      <w:r>
        <w:t xml:space="preserve"> </w:t>
      </w:r>
      <w:r>
        <w:rPr>
          <w:lang w:val="en-US"/>
        </w:rPr>
        <w:t xml:space="preserve">Oberto said as much: Ant. VIII c. 1, Vulg. 2.1 (Lehmann, </w:t>
      </w:r>
      <w:r w:rsidRPr="005923DE">
        <w:rPr>
          <w:i/>
          <w:lang w:val="en-US"/>
        </w:rPr>
        <w:t>Lehnrecht</w:t>
      </w:r>
      <w:r>
        <w:rPr>
          <w:lang w:val="en-US"/>
        </w:rPr>
        <w:t>, 114-115).</w:t>
      </w:r>
    </w:p>
  </w:footnote>
  <w:footnote w:id="55">
    <w:p w:rsidR="00FF5726" w:rsidRDefault="00FF5726" w:rsidP="00FF5726">
      <w:pPr>
        <w:pStyle w:val="FootnoteText"/>
      </w:pPr>
      <w:r>
        <w:rPr>
          <w:rStyle w:val="FootnoteReference"/>
        </w:rPr>
        <w:footnoteRef/>
      </w:r>
      <w:r>
        <w:t xml:space="preserve"> For Milan, see G. Vittani and C. Manaresi (eds.), </w:t>
      </w:r>
      <w:r w:rsidRPr="005C09F2">
        <w:rPr>
          <w:i/>
        </w:rPr>
        <w:t>Gli Atti Privati Milanesi e Comaschi del Secolo XI</w:t>
      </w:r>
      <w:r>
        <w:t xml:space="preserve"> (4 volumes, Milan 1933-1969, vols. 2-4 ed. C. Manaresi and C. Santoro), nos. 546 (August 1074: ‘aut suis heredibus qui per consuetudinem benefitium succedere debent…’); 592 (February 1079: ‘Et hoc stetit et convenit inter eos ut quamdiu heredes eorum legiptimi masculini fuerint fatiant unus ex ipsis fidelitatem atque seniorata lex et serviat ei sicut vasallus debeat servire suo seniori secundum usum Mediolani et si masculus legiptimus heredes [deficit?], tunc legiptima eorum filia vel habeatica sive aliqua descendens habere et tenere debeant ipsum beneficium cum suis heredibus legiptimis et fatiant de ipsis rebus benefitiario nomine quod voluerint’); 740 (September 1089: an arrangement protecting the vassal against complications arising from his lord’s enforced absence ‘secundum usum comitatus Mediolanensium…’). The charter printed in P. Torelli, </w:t>
      </w:r>
      <w:r w:rsidRPr="00EF015E">
        <w:rPr>
          <w:i/>
        </w:rPr>
        <w:t>Regesto Mantovano. Le carte degli archivi Gonzaga e di Stato in Mantova e dei monasteri Mantovani soppressi - Archivio di Stato in Milano</w:t>
      </w:r>
      <w:r>
        <w:t xml:space="preserve"> (Rome 1914), no. 80, recording an investiture ‘in feudum honorificum et antiqum secundum bonum usum regni…’ and purporting to be a mid-thirteenth-century copy of a charter issued in October 1056 is couched in terms far too reminiscent of the later twelfth century to be taken at face value.</w:t>
      </w:r>
    </w:p>
  </w:footnote>
  <w:footnote w:id="56">
    <w:p w:rsidR="00FF5726" w:rsidRPr="004B3A90" w:rsidRDefault="00FF5726" w:rsidP="00FF5726">
      <w:pPr>
        <w:pStyle w:val="FootnoteText"/>
        <w:rPr>
          <w:lang w:val="en-US"/>
        </w:rPr>
      </w:pPr>
      <w:r>
        <w:rPr>
          <w:rStyle w:val="FootnoteReference"/>
        </w:rPr>
        <w:footnoteRef/>
      </w:r>
      <w:r>
        <w:t xml:space="preserve"> </w:t>
      </w:r>
      <w:r>
        <w:rPr>
          <w:lang w:val="en-US"/>
        </w:rPr>
        <w:t xml:space="preserve">Ugo de Gambolò or Gambolado wrote Ant. IX (Lehmann, </w:t>
      </w:r>
      <w:r w:rsidRPr="004B3A90">
        <w:rPr>
          <w:i/>
          <w:lang w:val="en-US"/>
        </w:rPr>
        <w:t>Lehnrecht</w:t>
      </w:r>
      <w:r>
        <w:rPr>
          <w:lang w:val="en-US"/>
        </w:rPr>
        <w:t xml:space="preserve">, 139-142) and might have been a consul of Pavia in 1122: see Ficker, </w:t>
      </w:r>
      <w:r w:rsidRPr="004B3A90">
        <w:rPr>
          <w:i/>
          <w:lang w:val="en-US"/>
        </w:rPr>
        <w:t>Forschungen</w:t>
      </w:r>
      <w:r>
        <w:rPr>
          <w:lang w:val="en-US"/>
        </w:rPr>
        <w:t xml:space="preserve"> II, 273.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74" w:rsidRDefault="000108A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w:t>
    </w:r>
    <w:r>
      <w:rPr>
        <w:rStyle w:val="PageNumber"/>
      </w:rPr>
      <w:fldChar w:fldCharType="end"/>
    </w:r>
  </w:p>
  <w:p w:rsidR="00CB2C74" w:rsidRDefault="000108A2">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C74" w:rsidRDefault="000108A2">
    <w:pPr>
      <w:pStyle w:val="Header"/>
      <w:framePr w:wrap="around" w:vAnchor="text" w:hAnchor="margin" w:xAlign="right" w:y="1"/>
      <w:rPr>
        <w:rStyle w:val="PageNumber"/>
      </w:rPr>
    </w:pPr>
    <w:r>
      <w:rPr>
        <w:rStyle w:val="PageNumber"/>
      </w:rPr>
      <w:fldChar w:fldCharType="begin"/>
    </w:r>
    <w:r>
      <w:rPr>
        <w:rStyle w:val="PageNumber"/>
      </w:rPr>
      <w:instrText>PAGE</w:instrText>
    </w:r>
    <w:r>
      <w:rPr>
        <w:rStyle w:val="PageNumber"/>
      </w:rPr>
      <w:instrText xml:space="preserve">  </w:instrText>
    </w:r>
    <w:r>
      <w:rPr>
        <w:rStyle w:val="PageNumber"/>
      </w:rPr>
      <w:fldChar w:fldCharType="separate"/>
    </w:r>
    <w:r w:rsidR="00FF5726">
      <w:rPr>
        <w:rStyle w:val="PageNumber"/>
        <w:noProof/>
      </w:rPr>
      <w:t>15</w:t>
    </w:r>
    <w:r>
      <w:rPr>
        <w:rStyle w:val="PageNumber"/>
      </w:rPr>
      <w:fldChar w:fldCharType="end"/>
    </w:r>
  </w:p>
  <w:p w:rsidR="00CB2C74" w:rsidRDefault="000108A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726"/>
    <w:rsid w:val="000108A2"/>
    <w:rsid w:val="00380D9C"/>
    <w:rsid w:val="00FF57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color w:val="auto"/>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FF5726"/>
    <w:pPr>
      <w:spacing w:line="240" w:lineRule="auto"/>
    </w:pPr>
    <w:rPr>
      <w:sz w:val="20"/>
      <w:szCs w:val="20"/>
    </w:rPr>
  </w:style>
  <w:style w:type="character" w:customStyle="1" w:styleId="CommentTextChar">
    <w:name w:val="Comment Text Char"/>
    <w:basedOn w:val="DefaultParagraphFont"/>
    <w:link w:val="CommentText"/>
    <w:uiPriority w:val="99"/>
    <w:semiHidden/>
    <w:rsid w:val="00FF5726"/>
    <w:rPr>
      <w:color w:val="auto"/>
    </w:rPr>
  </w:style>
  <w:style w:type="paragraph" w:styleId="Header">
    <w:name w:val="header"/>
    <w:basedOn w:val="Normal"/>
    <w:link w:val="HeaderChar"/>
    <w:uiPriority w:val="99"/>
    <w:semiHidden/>
    <w:unhideWhenUsed/>
    <w:rsid w:val="00FF572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F5726"/>
    <w:rPr>
      <w:color w:val="auto"/>
      <w:sz w:val="24"/>
      <w:szCs w:val="24"/>
    </w:rPr>
  </w:style>
  <w:style w:type="character" w:styleId="PageNumber">
    <w:name w:val="page number"/>
    <w:basedOn w:val="DefaultParagraphFont"/>
    <w:semiHidden/>
    <w:rsid w:val="00FF5726"/>
  </w:style>
  <w:style w:type="character" w:styleId="FootnoteReference">
    <w:name w:val="footnote reference"/>
    <w:basedOn w:val="DefaultParagraphFont"/>
    <w:semiHidden/>
    <w:rsid w:val="00FF5726"/>
    <w:rPr>
      <w:vertAlign w:val="superscript"/>
    </w:rPr>
  </w:style>
  <w:style w:type="paragraph" w:styleId="FootnoteText">
    <w:name w:val="footnote text"/>
    <w:basedOn w:val="Normal"/>
    <w:link w:val="FootnoteTextChar"/>
    <w:semiHidden/>
    <w:rsid w:val="00FF5726"/>
    <w:pPr>
      <w:spacing w:after="0" w:line="240" w:lineRule="auto"/>
    </w:pPr>
    <w:rPr>
      <w:rFonts w:eastAsia="Times New Roman"/>
      <w:sz w:val="20"/>
      <w:szCs w:val="20"/>
      <w:lang w:eastAsia="en-GB"/>
    </w:rPr>
  </w:style>
  <w:style w:type="character" w:customStyle="1" w:styleId="FootnoteTextChar">
    <w:name w:val="Footnote Text Char"/>
    <w:basedOn w:val="DefaultParagraphFont"/>
    <w:link w:val="FootnoteText"/>
    <w:semiHidden/>
    <w:rsid w:val="00FF5726"/>
    <w:rPr>
      <w:rFonts w:eastAsia="Times New Roman"/>
      <w:color w:val="auto"/>
      <w:lang w:eastAsia="en-GB"/>
    </w:rPr>
  </w:style>
  <w:style w:type="character" w:styleId="CommentReference">
    <w:name w:val="annotation reference"/>
    <w:basedOn w:val="DefaultParagraphFont"/>
    <w:uiPriority w:val="99"/>
    <w:semiHidden/>
    <w:unhideWhenUsed/>
    <w:rsid w:val="00FF5726"/>
    <w:rPr>
      <w:sz w:val="16"/>
      <w:szCs w:val="16"/>
    </w:rPr>
  </w:style>
  <w:style w:type="paragraph" w:styleId="BalloonText">
    <w:name w:val="Balloon Text"/>
    <w:basedOn w:val="Normal"/>
    <w:link w:val="BalloonTextChar"/>
    <w:uiPriority w:val="99"/>
    <w:semiHidden/>
    <w:unhideWhenUsed/>
    <w:rsid w:val="00FF57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5726"/>
    <w:rPr>
      <w:rFonts w:ascii="Tahoma" w:hAnsi="Tahoma" w:cs="Tahoma"/>
      <w:color w:val="auto"/>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color w:val="auto"/>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FF5726"/>
    <w:pPr>
      <w:spacing w:line="240" w:lineRule="auto"/>
    </w:pPr>
    <w:rPr>
      <w:sz w:val="20"/>
      <w:szCs w:val="20"/>
    </w:rPr>
  </w:style>
  <w:style w:type="character" w:customStyle="1" w:styleId="CommentTextChar">
    <w:name w:val="Comment Text Char"/>
    <w:basedOn w:val="DefaultParagraphFont"/>
    <w:link w:val="CommentText"/>
    <w:uiPriority w:val="99"/>
    <w:semiHidden/>
    <w:rsid w:val="00FF5726"/>
    <w:rPr>
      <w:color w:val="auto"/>
    </w:rPr>
  </w:style>
  <w:style w:type="paragraph" w:styleId="Header">
    <w:name w:val="header"/>
    <w:basedOn w:val="Normal"/>
    <w:link w:val="HeaderChar"/>
    <w:uiPriority w:val="99"/>
    <w:semiHidden/>
    <w:unhideWhenUsed/>
    <w:rsid w:val="00FF572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F5726"/>
    <w:rPr>
      <w:color w:val="auto"/>
      <w:sz w:val="24"/>
      <w:szCs w:val="24"/>
    </w:rPr>
  </w:style>
  <w:style w:type="character" w:styleId="PageNumber">
    <w:name w:val="page number"/>
    <w:basedOn w:val="DefaultParagraphFont"/>
    <w:semiHidden/>
    <w:rsid w:val="00FF5726"/>
  </w:style>
  <w:style w:type="character" w:styleId="FootnoteReference">
    <w:name w:val="footnote reference"/>
    <w:basedOn w:val="DefaultParagraphFont"/>
    <w:semiHidden/>
    <w:rsid w:val="00FF5726"/>
    <w:rPr>
      <w:vertAlign w:val="superscript"/>
    </w:rPr>
  </w:style>
  <w:style w:type="paragraph" w:styleId="FootnoteText">
    <w:name w:val="footnote text"/>
    <w:basedOn w:val="Normal"/>
    <w:link w:val="FootnoteTextChar"/>
    <w:semiHidden/>
    <w:rsid w:val="00FF5726"/>
    <w:pPr>
      <w:spacing w:after="0" w:line="240" w:lineRule="auto"/>
    </w:pPr>
    <w:rPr>
      <w:rFonts w:eastAsia="Times New Roman"/>
      <w:sz w:val="20"/>
      <w:szCs w:val="20"/>
      <w:lang w:eastAsia="en-GB"/>
    </w:rPr>
  </w:style>
  <w:style w:type="character" w:customStyle="1" w:styleId="FootnoteTextChar">
    <w:name w:val="Footnote Text Char"/>
    <w:basedOn w:val="DefaultParagraphFont"/>
    <w:link w:val="FootnoteText"/>
    <w:semiHidden/>
    <w:rsid w:val="00FF5726"/>
    <w:rPr>
      <w:rFonts w:eastAsia="Times New Roman"/>
      <w:color w:val="auto"/>
      <w:lang w:eastAsia="en-GB"/>
    </w:rPr>
  </w:style>
  <w:style w:type="character" w:styleId="CommentReference">
    <w:name w:val="annotation reference"/>
    <w:basedOn w:val="DefaultParagraphFont"/>
    <w:uiPriority w:val="99"/>
    <w:semiHidden/>
    <w:unhideWhenUsed/>
    <w:rsid w:val="00FF5726"/>
    <w:rPr>
      <w:sz w:val="16"/>
      <w:szCs w:val="16"/>
    </w:rPr>
  </w:style>
  <w:style w:type="paragraph" w:styleId="BalloonText">
    <w:name w:val="Balloon Text"/>
    <w:basedOn w:val="Normal"/>
    <w:link w:val="BalloonTextChar"/>
    <w:uiPriority w:val="99"/>
    <w:semiHidden/>
    <w:unhideWhenUsed/>
    <w:rsid w:val="00FF57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5726"/>
    <w:rPr>
      <w:rFonts w:ascii="Tahoma" w:hAnsi="Tahoma" w:cs="Tahoma"/>
      <w:color w:val="auto"/>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omments" Target="comment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4993</Words>
  <Characters>28463</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Magnus Ryan</dc:creator>
  <cp:lastModifiedBy>Magnus Ryan</cp:lastModifiedBy>
  <cp:revision>1</cp:revision>
  <dcterms:created xsi:type="dcterms:W3CDTF">2020-12-29T09:09:00Z</dcterms:created>
  <dcterms:modified xsi:type="dcterms:W3CDTF">2020-12-29T09:10:00Z</dcterms:modified>
</cp:coreProperties>
</file>