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C99FC" w14:textId="1F055AB9" w:rsidR="00145F3E" w:rsidRDefault="00B56D10">
      <w:pPr>
        <w:rPr>
          <w:b/>
          <w:bCs/>
          <w:sz w:val="24"/>
          <w:szCs w:val="24"/>
          <w:lang w:val="en-US"/>
        </w:rPr>
      </w:pPr>
      <w:bookmarkStart w:id="0" w:name="_Hlk76045788"/>
      <w:r>
        <w:rPr>
          <w:b/>
          <w:bCs/>
          <w:sz w:val="24"/>
          <w:szCs w:val="24"/>
          <w:lang w:val="en-US"/>
        </w:rPr>
        <w:t xml:space="preserve">Full title: </w:t>
      </w:r>
      <w:bookmarkStart w:id="1" w:name="_Hlk76047837"/>
      <w:r w:rsidR="00145F3E" w:rsidRPr="00B86923">
        <w:rPr>
          <w:b/>
          <w:bCs/>
          <w:sz w:val="24"/>
          <w:szCs w:val="24"/>
          <w:lang w:val="en-US"/>
        </w:rPr>
        <w:t xml:space="preserve">Serial changes in tumour measurements and apparent diffusion coefficients in prostate cancer patients </w:t>
      </w:r>
      <w:r w:rsidR="00213F60" w:rsidRPr="00B86923">
        <w:rPr>
          <w:b/>
          <w:bCs/>
          <w:sz w:val="24"/>
          <w:szCs w:val="24"/>
          <w:lang w:val="en-US"/>
        </w:rPr>
        <w:t xml:space="preserve">on active surveillance </w:t>
      </w:r>
      <w:r w:rsidR="00145F3E" w:rsidRPr="00B86923">
        <w:rPr>
          <w:b/>
          <w:bCs/>
          <w:sz w:val="24"/>
          <w:szCs w:val="24"/>
          <w:lang w:val="en-US"/>
        </w:rPr>
        <w:t>with and without histopathological progression</w:t>
      </w:r>
      <w:r w:rsidR="00145F3E" w:rsidRPr="00145F3E">
        <w:rPr>
          <w:b/>
          <w:bCs/>
          <w:sz w:val="24"/>
          <w:szCs w:val="24"/>
          <w:lang w:val="en-US"/>
        </w:rPr>
        <w:t xml:space="preserve"> </w:t>
      </w:r>
      <w:r w:rsidR="00213F60">
        <w:rPr>
          <w:b/>
          <w:bCs/>
          <w:sz w:val="24"/>
          <w:szCs w:val="24"/>
          <w:lang w:val="en-US"/>
        </w:rPr>
        <w:t xml:space="preserve"> </w:t>
      </w:r>
      <w:bookmarkEnd w:id="1"/>
    </w:p>
    <w:p w14:paraId="507391EA" w14:textId="2F6A7A0E" w:rsidR="00AE3712" w:rsidRPr="00B56D10" w:rsidRDefault="00B56D10">
      <w:pPr>
        <w:rPr>
          <w:b/>
          <w:bCs/>
          <w:sz w:val="24"/>
          <w:szCs w:val="24"/>
          <w:lang w:val="en-US"/>
        </w:rPr>
      </w:pPr>
      <w:r>
        <w:rPr>
          <w:b/>
          <w:bCs/>
          <w:sz w:val="24"/>
          <w:szCs w:val="24"/>
          <w:lang w:val="en-US"/>
        </w:rPr>
        <w:t xml:space="preserve">Running head: </w:t>
      </w:r>
      <w:r w:rsidRPr="00B86923">
        <w:rPr>
          <w:b/>
          <w:bCs/>
          <w:sz w:val="24"/>
          <w:szCs w:val="24"/>
          <w:lang w:val="en-US"/>
        </w:rPr>
        <w:t>Serial MRI changes in prostate cancer patients on active surveillance</w:t>
      </w:r>
    </w:p>
    <w:p w14:paraId="21D7FD11" w14:textId="2A256560" w:rsidR="00145F3E" w:rsidRDefault="00DD4E3A">
      <w:pPr>
        <w:rPr>
          <w:b/>
          <w:bCs/>
          <w:sz w:val="24"/>
          <w:szCs w:val="24"/>
          <w:lang w:val="en-US"/>
        </w:rPr>
      </w:pPr>
      <w:bookmarkStart w:id="2" w:name="_Hlk76046407"/>
      <w:bookmarkEnd w:id="0"/>
      <w:r>
        <w:rPr>
          <w:b/>
          <w:bCs/>
          <w:sz w:val="24"/>
          <w:szCs w:val="24"/>
          <w:lang w:val="en-US"/>
        </w:rPr>
        <w:t>Abstract</w:t>
      </w:r>
    </w:p>
    <w:p w14:paraId="77AED416" w14:textId="18B8C2D0" w:rsidR="00324325" w:rsidRDefault="004971A4">
      <w:pPr>
        <w:rPr>
          <w:sz w:val="24"/>
          <w:szCs w:val="24"/>
          <w:lang w:val="en-US"/>
        </w:rPr>
      </w:pPr>
      <w:r>
        <w:rPr>
          <w:b/>
          <w:bCs/>
          <w:sz w:val="24"/>
          <w:szCs w:val="24"/>
          <w:lang w:val="en-US"/>
        </w:rPr>
        <w:t>Objectives</w:t>
      </w:r>
      <w:r w:rsidR="00C669DE">
        <w:rPr>
          <w:b/>
          <w:bCs/>
          <w:sz w:val="24"/>
          <w:szCs w:val="24"/>
          <w:lang w:val="en-US"/>
        </w:rPr>
        <w:t>.</w:t>
      </w:r>
      <w:r>
        <w:rPr>
          <w:b/>
          <w:bCs/>
          <w:sz w:val="24"/>
          <w:szCs w:val="24"/>
          <w:lang w:val="en-US"/>
        </w:rPr>
        <w:t xml:space="preserve"> </w:t>
      </w:r>
      <w:r>
        <w:rPr>
          <w:sz w:val="24"/>
          <w:szCs w:val="24"/>
          <w:lang w:val="en-US"/>
        </w:rPr>
        <w:t xml:space="preserve">To </w:t>
      </w:r>
      <w:proofErr w:type="spellStart"/>
      <w:r>
        <w:rPr>
          <w:sz w:val="24"/>
          <w:szCs w:val="24"/>
          <w:lang w:val="en-US"/>
        </w:rPr>
        <w:t>analyse</w:t>
      </w:r>
      <w:proofErr w:type="spellEnd"/>
      <w:r>
        <w:rPr>
          <w:sz w:val="24"/>
          <w:szCs w:val="24"/>
          <w:lang w:val="en-US"/>
        </w:rPr>
        <w:t xml:space="preserve"> serial changes in MRI-derived tumour measurements and apparent diffusion coefficient (ADC) values in prostate cancer (PCa) patients on active surveillance (AS) with and without histopathological disease progression. </w:t>
      </w:r>
    </w:p>
    <w:p w14:paraId="374116E4" w14:textId="3CCD4B54" w:rsidR="004971A4" w:rsidRDefault="004971A4">
      <w:pPr>
        <w:rPr>
          <w:sz w:val="24"/>
          <w:szCs w:val="24"/>
          <w:lang w:val="en-US"/>
        </w:rPr>
      </w:pPr>
      <w:r>
        <w:rPr>
          <w:b/>
          <w:bCs/>
          <w:sz w:val="24"/>
          <w:szCs w:val="24"/>
          <w:lang w:val="en-US"/>
        </w:rPr>
        <w:t>Methods</w:t>
      </w:r>
      <w:r w:rsidR="00C669DE">
        <w:rPr>
          <w:b/>
          <w:bCs/>
          <w:sz w:val="24"/>
          <w:szCs w:val="24"/>
          <w:lang w:val="en-US"/>
        </w:rPr>
        <w:t>.</w:t>
      </w:r>
      <w:r>
        <w:rPr>
          <w:b/>
          <w:bCs/>
          <w:sz w:val="24"/>
          <w:szCs w:val="24"/>
          <w:lang w:val="en-US"/>
        </w:rPr>
        <w:t xml:space="preserve"> </w:t>
      </w:r>
      <w:r w:rsidR="001935A4">
        <w:rPr>
          <w:sz w:val="24"/>
          <w:szCs w:val="24"/>
          <w:lang w:val="en-US"/>
        </w:rPr>
        <w:t xml:space="preserve">This study </w:t>
      </w:r>
      <w:r w:rsidR="00606449">
        <w:rPr>
          <w:sz w:val="24"/>
          <w:szCs w:val="24"/>
          <w:lang w:val="en-US"/>
        </w:rPr>
        <w:t xml:space="preserve">included </w:t>
      </w:r>
      <w:r w:rsidR="001935A4">
        <w:rPr>
          <w:sz w:val="24"/>
          <w:szCs w:val="24"/>
          <w:lang w:val="en-US"/>
        </w:rPr>
        <w:t>AS patients with biopsy-proven PCa with a minimum of two consecutive MR</w:t>
      </w:r>
      <w:r w:rsidR="00606449">
        <w:rPr>
          <w:sz w:val="24"/>
          <w:szCs w:val="24"/>
          <w:lang w:val="en-US"/>
        </w:rPr>
        <w:t xml:space="preserve"> examinations</w:t>
      </w:r>
      <w:r w:rsidR="001935A4">
        <w:rPr>
          <w:sz w:val="24"/>
          <w:szCs w:val="24"/>
          <w:lang w:val="en-US"/>
        </w:rPr>
        <w:t xml:space="preserve"> and at least one repeat targeted biopsy. Tumour volumes, </w:t>
      </w:r>
      <w:r w:rsidR="002E32C1">
        <w:rPr>
          <w:sz w:val="24"/>
          <w:szCs w:val="24"/>
          <w:lang w:val="en-US"/>
        </w:rPr>
        <w:t xml:space="preserve">largest axial </w:t>
      </w:r>
      <w:r w:rsidR="001935A4">
        <w:rPr>
          <w:sz w:val="24"/>
          <w:szCs w:val="24"/>
          <w:lang w:val="en-US"/>
        </w:rPr>
        <w:t>2D surface areas, and maximum diameters were measured on T</w:t>
      </w:r>
      <w:r w:rsidR="001935A4" w:rsidRPr="001935A4">
        <w:rPr>
          <w:sz w:val="24"/>
          <w:szCs w:val="24"/>
          <w:vertAlign w:val="subscript"/>
          <w:lang w:val="en-US"/>
        </w:rPr>
        <w:t>2</w:t>
      </w:r>
      <w:r w:rsidR="001935A4">
        <w:rPr>
          <w:sz w:val="24"/>
          <w:szCs w:val="24"/>
          <w:lang w:val="en-US"/>
        </w:rPr>
        <w:t>-weighted images</w:t>
      </w:r>
      <w:r w:rsidR="00D0547C">
        <w:rPr>
          <w:sz w:val="24"/>
          <w:szCs w:val="24"/>
          <w:lang w:val="en-US"/>
        </w:rPr>
        <w:t xml:space="preserve"> (T2WI)</w:t>
      </w:r>
      <w:r w:rsidR="001935A4">
        <w:rPr>
          <w:sz w:val="24"/>
          <w:szCs w:val="24"/>
          <w:lang w:val="en-US"/>
        </w:rPr>
        <w:t>. ADC values were derived from</w:t>
      </w:r>
      <w:r w:rsidR="009A6561">
        <w:rPr>
          <w:sz w:val="24"/>
          <w:szCs w:val="24"/>
          <w:lang w:val="en-US"/>
        </w:rPr>
        <w:t xml:space="preserve"> the whole lesions</w:t>
      </w:r>
      <w:r w:rsidR="001935A4">
        <w:rPr>
          <w:sz w:val="24"/>
          <w:szCs w:val="24"/>
          <w:lang w:val="en-US"/>
        </w:rPr>
        <w:t xml:space="preserve">, </w:t>
      </w:r>
      <w:r w:rsidR="009A6561">
        <w:rPr>
          <w:sz w:val="24"/>
          <w:szCs w:val="24"/>
          <w:lang w:val="en-US"/>
        </w:rPr>
        <w:t>2D areas</w:t>
      </w:r>
      <w:r w:rsidR="009513A2">
        <w:rPr>
          <w:sz w:val="24"/>
          <w:szCs w:val="24"/>
          <w:lang w:val="en-US"/>
        </w:rPr>
        <w:t>,</w:t>
      </w:r>
      <w:r w:rsidR="001935A4">
        <w:rPr>
          <w:sz w:val="24"/>
          <w:szCs w:val="24"/>
          <w:lang w:val="en-US"/>
        </w:rPr>
        <w:t xml:space="preserve"> and </w:t>
      </w:r>
      <w:r w:rsidR="009A6561">
        <w:rPr>
          <w:sz w:val="24"/>
          <w:szCs w:val="24"/>
          <w:lang w:val="en-US"/>
        </w:rPr>
        <w:t xml:space="preserve">small-volume </w:t>
      </w:r>
      <w:r w:rsidR="002E32C1">
        <w:rPr>
          <w:sz w:val="24"/>
          <w:szCs w:val="24"/>
          <w:lang w:val="en-US"/>
        </w:rPr>
        <w:t>regions-of-interest</w:t>
      </w:r>
      <w:r w:rsidR="00ED0D24">
        <w:rPr>
          <w:sz w:val="24"/>
          <w:szCs w:val="24"/>
          <w:lang w:val="en-US"/>
        </w:rPr>
        <w:t xml:space="preserve"> (ROIs)</w:t>
      </w:r>
      <w:r w:rsidR="001935A4">
        <w:rPr>
          <w:sz w:val="24"/>
          <w:szCs w:val="24"/>
          <w:lang w:val="en-US"/>
        </w:rPr>
        <w:t xml:space="preserve"> where tumour</w:t>
      </w:r>
      <w:r w:rsidR="00D0547C">
        <w:rPr>
          <w:sz w:val="24"/>
          <w:szCs w:val="24"/>
          <w:lang w:val="en-US"/>
        </w:rPr>
        <w:t>s</w:t>
      </w:r>
      <w:r w:rsidR="001935A4">
        <w:rPr>
          <w:sz w:val="24"/>
          <w:szCs w:val="24"/>
          <w:lang w:val="en-US"/>
        </w:rPr>
        <w:t xml:space="preserve"> were most conspicuous. </w:t>
      </w:r>
      <w:r w:rsidR="009513A2">
        <w:rPr>
          <w:sz w:val="24"/>
          <w:szCs w:val="24"/>
          <w:lang w:val="en-US"/>
        </w:rPr>
        <w:t>Areas</w:t>
      </w:r>
      <w:r w:rsidR="00D0547C">
        <w:rPr>
          <w:sz w:val="24"/>
          <w:szCs w:val="24"/>
          <w:lang w:val="en-US"/>
        </w:rPr>
        <w:t xml:space="preserve"> under the ROC curve (AUCs) </w:t>
      </w:r>
      <w:r w:rsidR="009513A2">
        <w:rPr>
          <w:sz w:val="24"/>
          <w:szCs w:val="24"/>
          <w:lang w:val="en-US"/>
        </w:rPr>
        <w:t xml:space="preserve">were </w:t>
      </w:r>
      <w:r w:rsidR="00D0547C">
        <w:rPr>
          <w:sz w:val="24"/>
          <w:szCs w:val="24"/>
          <w:lang w:val="en-US"/>
        </w:rPr>
        <w:t>calculated for combination</w:t>
      </w:r>
      <w:r w:rsidR="009513A2">
        <w:rPr>
          <w:sz w:val="24"/>
          <w:szCs w:val="24"/>
          <w:lang w:val="en-US"/>
        </w:rPr>
        <w:t>s</w:t>
      </w:r>
      <w:r w:rsidR="00D0547C">
        <w:rPr>
          <w:sz w:val="24"/>
          <w:szCs w:val="24"/>
          <w:lang w:val="en-US"/>
        </w:rPr>
        <w:t xml:space="preserve"> of </w:t>
      </w:r>
      <w:r w:rsidR="009513A2">
        <w:rPr>
          <w:sz w:val="24"/>
          <w:szCs w:val="24"/>
          <w:lang w:val="en-US"/>
        </w:rPr>
        <w:t>T2WI and ADC parameters</w:t>
      </w:r>
      <w:r w:rsidR="00D0547C">
        <w:rPr>
          <w:sz w:val="24"/>
          <w:szCs w:val="24"/>
          <w:lang w:val="en-US"/>
        </w:rPr>
        <w:t xml:space="preserve"> with optimal specificity and sensitivity</w:t>
      </w:r>
      <w:r w:rsidR="001935A4">
        <w:rPr>
          <w:sz w:val="24"/>
          <w:szCs w:val="24"/>
          <w:lang w:val="en-US"/>
        </w:rPr>
        <w:t xml:space="preserve">. </w:t>
      </w:r>
    </w:p>
    <w:p w14:paraId="0FED9EBE" w14:textId="2195E49F" w:rsidR="001935A4" w:rsidRDefault="001935A4">
      <w:pPr>
        <w:rPr>
          <w:sz w:val="24"/>
          <w:szCs w:val="24"/>
        </w:rPr>
      </w:pPr>
      <w:r>
        <w:rPr>
          <w:b/>
          <w:bCs/>
          <w:sz w:val="24"/>
          <w:szCs w:val="24"/>
          <w:lang w:val="en-US"/>
        </w:rPr>
        <w:t>Results</w:t>
      </w:r>
      <w:r w:rsidR="00C669DE">
        <w:rPr>
          <w:b/>
          <w:bCs/>
          <w:sz w:val="24"/>
          <w:szCs w:val="24"/>
          <w:lang w:val="en-US"/>
        </w:rPr>
        <w:t>.</w:t>
      </w:r>
      <w:r>
        <w:rPr>
          <w:b/>
          <w:bCs/>
          <w:sz w:val="24"/>
          <w:szCs w:val="24"/>
          <w:lang w:val="en-US"/>
        </w:rPr>
        <w:t xml:space="preserve"> </w:t>
      </w:r>
      <w:r>
        <w:rPr>
          <w:sz w:val="24"/>
          <w:szCs w:val="24"/>
          <w:lang w:val="en-US"/>
        </w:rPr>
        <w:t xml:space="preserve">60 patients (30 progressors and 30 non-progressors) were </w:t>
      </w:r>
      <w:r w:rsidR="00606449">
        <w:rPr>
          <w:sz w:val="24"/>
          <w:szCs w:val="24"/>
          <w:lang w:val="en-US"/>
        </w:rPr>
        <w:t>included</w:t>
      </w:r>
      <w:r>
        <w:rPr>
          <w:sz w:val="24"/>
          <w:szCs w:val="24"/>
          <w:lang w:val="en-US"/>
        </w:rPr>
        <w:t xml:space="preserve">. </w:t>
      </w:r>
      <w:r w:rsidR="00D0547C">
        <w:rPr>
          <w:sz w:val="24"/>
          <w:szCs w:val="24"/>
        </w:rPr>
        <w:t>In progressors, T2WI-derived tumour volume, 2D surface area, and maximum tumour diameter had a median increase of +99.5%, +55.3%, and +21.7% compared to +29.2%, +8.1%, and +6.9% in non-progressors (p&lt;0.005 for all). Follow-up whole-</w:t>
      </w:r>
      <w:r w:rsidR="00ED0D24">
        <w:rPr>
          <w:sz w:val="24"/>
          <w:szCs w:val="24"/>
        </w:rPr>
        <w:t>volume</w:t>
      </w:r>
      <w:r w:rsidR="00D0547C">
        <w:rPr>
          <w:sz w:val="24"/>
          <w:szCs w:val="24"/>
        </w:rPr>
        <w:t xml:space="preserve"> and small-volume</w:t>
      </w:r>
      <w:r w:rsidR="00ED0D24">
        <w:rPr>
          <w:sz w:val="24"/>
          <w:szCs w:val="24"/>
        </w:rPr>
        <w:t xml:space="preserve"> ROIs</w:t>
      </w:r>
      <w:r w:rsidR="00D0547C">
        <w:rPr>
          <w:sz w:val="24"/>
          <w:szCs w:val="24"/>
        </w:rPr>
        <w:t xml:space="preserve"> ADC values were significantly reduced in progressors </w:t>
      </w:r>
      <w:r w:rsidR="001C70D4">
        <w:rPr>
          <w:sz w:val="24"/>
          <w:szCs w:val="24"/>
        </w:rPr>
        <w:t>(</w:t>
      </w:r>
      <w:r w:rsidR="00D0547C">
        <w:rPr>
          <w:sz w:val="24"/>
          <w:szCs w:val="24"/>
        </w:rPr>
        <w:t>-11.7% and -9.5%</w:t>
      </w:r>
      <w:r w:rsidR="001C70D4">
        <w:rPr>
          <w:sz w:val="24"/>
          <w:szCs w:val="24"/>
        </w:rPr>
        <w:t>)</w:t>
      </w:r>
      <w:r w:rsidR="00D0547C">
        <w:rPr>
          <w:sz w:val="24"/>
          <w:szCs w:val="24"/>
        </w:rPr>
        <w:t xml:space="preserve"> </w:t>
      </w:r>
      <w:r w:rsidR="001C70D4">
        <w:rPr>
          <w:sz w:val="24"/>
          <w:szCs w:val="24"/>
        </w:rPr>
        <w:t>compared to non-progressors</w:t>
      </w:r>
      <w:r w:rsidR="00D0547C">
        <w:rPr>
          <w:sz w:val="24"/>
          <w:szCs w:val="24"/>
        </w:rPr>
        <w:t xml:space="preserve"> </w:t>
      </w:r>
      <w:r w:rsidR="001C70D4">
        <w:rPr>
          <w:sz w:val="24"/>
          <w:szCs w:val="24"/>
        </w:rPr>
        <w:t>(</w:t>
      </w:r>
      <w:r w:rsidR="00D0547C">
        <w:rPr>
          <w:sz w:val="24"/>
          <w:szCs w:val="24"/>
        </w:rPr>
        <w:t>-6.1% and -1.6%</w:t>
      </w:r>
      <w:r w:rsidR="001C70D4">
        <w:rPr>
          <w:sz w:val="24"/>
          <w:szCs w:val="24"/>
        </w:rPr>
        <w:t>)</w:t>
      </w:r>
      <w:r w:rsidR="00D0547C">
        <w:rPr>
          <w:sz w:val="24"/>
          <w:szCs w:val="24"/>
        </w:rPr>
        <w:t xml:space="preserve"> </w:t>
      </w:r>
      <w:r w:rsidR="001C70D4">
        <w:rPr>
          <w:sz w:val="24"/>
          <w:szCs w:val="24"/>
        </w:rPr>
        <w:t>(</w:t>
      </w:r>
      <w:r w:rsidR="00D0547C">
        <w:rPr>
          <w:sz w:val="24"/>
          <w:szCs w:val="24"/>
        </w:rPr>
        <w:t>p</w:t>
      </w:r>
      <w:r w:rsidR="009513A2">
        <w:rPr>
          <w:sz w:val="24"/>
          <w:szCs w:val="24"/>
        </w:rPr>
        <w:t>&lt;</w:t>
      </w:r>
      <w:r w:rsidR="001C70D4">
        <w:rPr>
          <w:sz w:val="24"/>
          <w:szCs w:val="24"/>
        </w:rPr>
        <w:t>0.05 for both</w:t>
      </w:r>
      <w:r w:rsidR="00D0547C">
        <w:rPr>
          <w:sz w:val="24"/>
          <w:szCs w:val="24"/>
        </w:rPr>
        <w:t>)</w:t>
      </w:r>
      <w:r w:rsidR="001C70D4">
        <w:rPr>
          <w:sz w:val="24"/>
          <w:szCs w:val="24"/>
        </w:rPr>
        <w:t xml:space="preserve">. The combined AUC of </w:t>
      </w:r>
      <w:r w:rsidR="00CE5194">
        <w:rPr>
          <w:sz w:val="24"/>
          <w:szCs w:val="24"/>
        </w:rPr>
        <w:t xml:space="preserve">a relative increase in </w:t>
      </w:r>
      <w:r w:rsidR="001C70D4">
        <w:rPr>
          <w:sz w:val="24"/>
          <w:szCs w:val="24"/>
        </w:rPr>
        <w:t xml:space="preserve">maximum tumour diameter by </w:t>
      </w:r>
      <w:r w:rsidR="00FA7148">
        <w:rPr>
          <w:sz w:val="24"/>
          <w:szCs w:val="24"/>
        </w:rPr>
        <w:t>20</w:t>
      </w:r>
      <w:r w:rsidR="001C70D4">
        <w:rPr>
          <w:sz w:val="24"/>
          <w:szCs w:val="24"/>
        </w:rPr>
        <w:t xml:space="preserve">% and </w:t>
      </w:r>
      <w:r w:rsidR="00CE5194">
        <w:rPr>
          <w:sz w:val="24"/>
          <w:szCs w:val="24"/>
        </w:rPr>
        <w:t>reduction in</w:t>
      </w:r>
      <w:r w:rsidR="001C70D4">
        <w:rPr>
          <w:sz w:val="24"/>
          <w:szCs w:val="24"/>
        </w:rPr>
        <w:t xml:space="preserve"> small-volume ADC by </w:t>
      </w:r>
      <w:r w:rsidR="00FA7148">
        <w:rPr>
          <w:sz w:val="24"/>
          <w:szCs w:val="24"/>
        </w:rPr>
        <w:t>10</w:t>
      </w:r>
      <w:r w:rsidR="001C70D4">
        <w:rPr>
          <w:sz w:val="24"/>
          <w:szCs w:val="24"/>
        </w:rPr>
        <w:t>% was 0.</w:t>
      </w:r>
      <w:r w:rsidR="00FA7148">
        <w:rPr>
          <w:sz w:val="24"/>
          <w:szCs w:val="24"/>
        </w:rPr>
        <w:t>6</w:t>
      </w:r>
      <w:r w:rsidR="00AE3712">
        <w:rPr>
          <w:sz w:val="24"/>
          <w:szCs w:val="24"/>
        </w:rPr>
        <w:t>7</w:t>
      </w:r>
      <w:r w:rsidR="001C70D4">
        <w:rPr>
          <w:sz w:val="24"/>
          <w:szCs w:val="24"/>
        </w:rPr>
        <w:t xml:space="preserve">. </w:t>
      </w:r>
      <w:r w:rsidR="00D0547C">
        <w:rPr>
          <w:sz w:val="24"/>
          <w:szCs w:val="24"/>
        </w:rPr>
        <w:t xml:space="preserve"> </w:t>
      </w:r>
    </w:p>
    <w:p w14:paraId="3AB93E66" w14:textId="3D0CFD7A" w:rsidR="001C70D4" w:rsidRDefault="001C70D4">
      <w:pPr>
        <w:rPr>
          <w:sz w:val="24"/>
          <w:szCs w:val="24"/>
        </w:rPr>
      </w:pPr>
      <w:r>
        <w:rPr>
          <w:b/>
          <w:bCs/>
          <w:sz w:val="24"/>
          <w:szCs w:val="24"/>
        </w:rPr>
        <w:t>Conclusions.</w:t>
      </w:r>
      <w:r w:rsidR="00CE5194">
        <w:rPr>
          <w:b/>
          <w:bCs/>
          <w:sz w:val="24"/>
          <w:szCs w:val="24"/>
        </w:rPr>
        <w:t xml:space="preserve"> </w:t>
      </w:r>
      <w:r w:rsidR="00606449">
        <w:rPr>
          <w:sz w:val="24"/>
          <w:szCs w:val="24"/>
        </w:rPr>
        <w:t>AS patients show significant differences in tumour measurements and ADC values between those with and without histopathological disease progression.</w:t>
      </w:r>
    </w:p>
    <w:p w14:paraId="7C0A777D" w14:textId="73D0D35C" w:rsidR="00CE5194" w:rsidRPr="00CE5194" w:rsidRDefault="00CE5194">
      <w:pPr>
        <w:rPr>
          <w:sz w:val="24"/>
          <w:szCs w:val="24"/>
        </w:rPr>
      </w:pPr>
      <w:r>
        <w:rPr>
          <w:b/>
          <w:bCs/>
          <w:sz w:val="24"/>
          <w:szCs w:val="24"/>
        </w:rPr>
        <w:t xml:space="preserve">Advances in knowledge. </w:t>
      </w:r>
      <w:r>
        <w:rPr>
          <w:sz w:val="24"/>
          <w:szCs w:val="24"/>
        </w:rPr>
        <w:t xml:space="preserve">This paper proposes </w:t>
      </w:r>
      <w:r w:rsidR="00A95BA9">
        <w:rPr>
          <w:sz w:val="24"/>
          <w:szCs w:val="24"/>
        </w:rPr>
        <w:t xml:space="preserve">potential </w:t>
      </w:r>
      <w:r w:rsidR="00ED0D24">
        <w:rPr>
          <w:sz w:val="24"/>
          <w:szCs w:val="24"/>
        </w:rPr>
        <w:t xml:space="preserve">clinical </w:t>
      </w:r>
      <w:r>
        <w:rPr>
          <w:sz w:val="24"/>
          <w:szCs w:val="24"/>
        </w:rPr>
        <w:t>cut-offs for T2WI-derived maximum tumour diameter (+20%) and small-volume ADC (-</w:t>
      </w:r>
      <w:r w:rsidR="00AE3712">
        <w:rPr>
          <w:sz w:val="24"/>
          <w:szCs w:val="24"/>
        </w:rPr>
        <w:t>10</w:t>
      </w:r>
      <w:r>
        <w:rPr>
          <w:sz w:val="24"/>
          <w:szCs w:val="24"/>
        </w:rPr>
        <w:t>%)</w:t>
      </w:r>
      <w:r w:rsidR="009A6561">
        <w:rPr>
          <w:sz w:val="24"/>
          <w:szCs w:val="24"/>
        </w:rPr>
        <w:t xml:space="preserve"> </w:t>
      </w:r>
      <w:r w:rsidR="009513A2">
        <w:rPr>
          <w:sz w:val="24"/>
          <w:szCs w:val="24"/>
        </w:rPr>
        <w:t xml:space="preserve">to </w:t>
      </w:r>
      <w:r w:rsidR="009A6561">
        <w:rPr>
          <w:sz w:val="24"/>
          <w:szCs w:val="24"/>
        </w:rPr>
        <w:t>predict histopathological PCa progression on AS</w:t>
      </w:r>
      <w:r>
        <w:rPr>
          <w:sz w:val="24"/>
          <w:szCs w:val="24"/>
        </w:rPr>
        <w:t xml:space="preserve"> </w:t>
      </w:r>
      <w:r w:rsidR="009513A2">
        <w:rPr>
          <w:sz w:val="24"/>
          <w:szCs w:val="24"/>
        </w:rPr>
        <w:t>and</w:t>
      </w:r>
      <w:r>
        <w:rPr>
          <w:sz w:val="24"/>
          <w:szCs w:val="24"/>
        </w:rPr>
        <w:t xml:space="preserve"> supplement subjective serial MRI assessment. </w:t>
      </w:r>
    </w:p>
    <w:bookmarkEnd w:id="2"/>
    <w:p w14:paraId="05AC7DF2" w14:textId="1CCEB7A6" w:rsidR="00CE5194" w:rsidRDefault="00CE5194">
      <w:pPr>
        <w:rPr>
          <w:sz w:val="24"/>
          <w:szCs w:val="24"/>
        </w:rPr>
      </w:pPr>
      <w:r>
        <w:rPr>
          <w:sz w:val="24"/>
          <w:szCs w:val="24"/>
        </w:rPr>
        <w:br w:type="page"/>
      </w:r>
    </w:p>
    <w:p w14:paraId="1AA5E372" w14:textId="1F2D2458" w:rsidR="00C50051" w:rsidRPr="00145F3E" w:rsidRDefault="00C50051">
      <w:pPr>
        <w:rPr>
          <w:b/>
          <w:bCs/>
          <w:sz w:val="24"/>
          <w:szCs w:val="24"/>
          <w:lang w:val="en-US"/>
        </w:rPr>
      </w:pPr>
      <w:r>
        <w:rPr>
          <w:b/>
          <w:bCs/>
          <w:sz w:val="24"/>
          <w:szCs w:val="24"/>
          <w:lang w:val="en-US"/>
        </w:rPr>
        <w:lastRenderedPageBreak/>
        <w:t>Introduction</w:t>
      </w:r>
    </w:p>
    <w:p w14:paraId="51EE9FB9" w14:textId="391D5F1C" w:rsidR="0002441D" w:rsidRDefault="002055C7">
      <w:pPr>
        <w:rPr>
          <w:sz w:val="24"/>
          <w:szCs w:val="24"/>
          <w:lang w:val="en-US"/>
        </w:rPr>
      </w:pPr>
      <w:r>
        <w:rPr>
          <w:sz w:val="24"/>
          <w:szCs w:val="24"/>
          <w:lang w:val="en-US"/>
        </w:rPr>
        <w:t>Active surveillance (AS) is the recommended management option for patients with low- and intermediate-</w:t>
      </w:r>
      <w:proofErr w:type="spellStart"/>
      <w:r>
        <w:rPr>
          <w:sz w:val="24"/>
          <w:szCs w:val="24"/>
          <w:lang w:val="en-US"/>
        </w:rPr>
        <w:t>favourable</w:t>
      </w:r>
      <w:proofErr w:type="spellEnd"/>
      <w:r>
        <w:rPr>
          <w:sz w:val="24"/>
          <w:szCs w:val="24"/>
          <w:lang w:val="en-US"/>
        </w:rPr>
        <w:t xml:space="preserve"> </w:t>
      </w:r>
      <w:r w:rsidR="000C2C12">
        <w:rPr>
          <w:sz w:val="24"/>
          <w:szCs w:val="24"/>
          <w:lang w:val="en-US"/>
        </w:rPr>
        <w:t xml:space="preserve">risk prostate cancer (PCa), </w:t>
      </w:r>
      <w:r w:rsidR="00650B29">
        <w:rPr>
          <w:sz w:val="24"/>
          <w:szCs w:val="24"/>
          <w:lang w:val="en-US"/>
        </w:rPr>
        <w:t>who</w:t>
      </w:r>
      <w:r w:rsidR="000C2C12">
        <w:rPr>
          <w:sz w:val="24"/>
          <w:szCs w:val="24"/>
          <w:lang w:val="en-US"/>
        </w:rPr>
        <w:t xml:space="preserve"> account for nearly half of the newly </w:t>
      </w:r>
      <w:r w:rsidR="00650B29">
        <w:rPr>
          <w:sz w:val="24"/>
          <w:szCs w:val="24"/>
          <w:lang w:val="en-US"/>
        </w:rPr>
        <w:t>diagnosed</w:t>
      </w:r>
      <w:r w:rsidR="000C2C12">
        <w:rPr>
          <w:sz w:val="24"/>
          <w:szCs w:val="24"/>
          <w:lang w:val="en-US"/>
        </w:rPr>
        <w:t xml:space="preserve"> cases in the US and the UK </w:t>
      </w:r>
      <w:r w:rsidR="000C2C12">
        <w:rPr>
          <w:sz w:val="24"/>
          <w:szCs w:val="24"/>
          <w:lang w:val="en-US"/>
        </w:rPr>
        <w:fldChar w:fldCharType="begin" w:fldLock="1"/>
      </w:r>
      <w:r w:rsidR="00FD38B9">
        <w:rPr>
          <w:sz w:val="24"/>
          <w:szCs w:val="24"/>
          <w:lang w:val="en-US"/>
        </w:rPr>
        <w:instrText>ADDIN CSL_CITATION {"citationItems":[{"id":"ITEM-1","itemData":{"DOI":"10.1016/j.eururo.2010.10.039","ISSN":"03022838","PMID":"21056534","abstract":"Objective: Our aim was to present a summary of the 2010 version of the European Association of Urology (EAU) guidelines on the screening, diagnosis, and treatment of clinically localised cancer of the prostate (PCa). Methods: The working panel performed a literature review of the new data emerging from 2007 to 2010. The guidelines were updated, and level of evidence and grade of recommendation were added to the text based on a systematic review of the literature, which included a search of online databases and bibliographic reviews. Results: A full version is available at the EAU office or Web site (www.uroweb.org). Current evidence is insufficient to warrant widespread population-based screening by prostate-specific antigen (PSA) for PCa. A systematic prostate biopsy under ultrasound guidance and local anaesthesia is the preferred diagnostic method. Active surveillance represents a viable option in men with low-risk PCa and a long life expectancy. PSA doubling time in &lt;3 yr or a biopsy progression indicates the need for active intervention. In men with locally advanced PCa in whom local therapy is not mandatory, watchful waiting (WW) is a treatment alternative to androgen-deprivation therapy (ADT) with equivalent oncologic efficacy. Active treatment is mostly recommended for patients with localised disease and a long life expectancy with radical prostatectomy (RP) shown to be superior to WW in a prospective randomised trial. Nerve-sparing RP represents the approach of choice in organ-confined disease; neoadjuvant androgen deprivation demonstrates no improvement of outcome variables. Radiation therapy should be performed with at least 74 Gy and 78 Gy in low-risk and intermediate/high-risk PCa, respectively. For locally advanced disease, adjuvant ADT for 3 yr results in superior disease-specific and overall survival rates and represents the treatment of choice. Follow-up after local therapy is largely based on PSA, and a disease-specific history with imaging is indicated only when symptoms occur. Conclusions: The knowledge in the field of PCa is rapidly changing. These EAU guidelines on PCa summarise the most recent findings and put them into clinical practice. © 2010 European Association of Urology.","author":[{"dropping-particle":"","family":"Heidenreich","given":"Axel","non-dropping-particle":"","parse-names":false,"suffix":""},{"dropping-particle":"","family":"Bellmunt","given":"Joaquim","non-dropping-particle":"","parse-names":false,"suffix":""},{"dropping-particle":"","family":"Bolla","given":"Michel","non-dropping-particle":"","parse-names":false,"suffix":""},{"dropping-particle":"","family":"Joniau","given":"Steven","non-dropping-particle":"","parse-names":false,"suffix":""},{"dropping-particle":"","family":"Mason","given":"Malcolm","non-dropping-particle":"","parse-names":false,"suffix":""},{"dropping-particle":"","family":"Matveev","given":"Vsevolod","non-dropping-particle":"","parse-names":false,"suffix":""},{"dropping-particle":"","family":"Mottet","given":"Nicolas","non-dropping-particle":"","parse-names":false,"suffix":""},{"dropping-particle":"","family":"Schmid","given":"Hans Peter","non-dropping-particle":"","parse-names":false,"suffix":""},{"dropping-particle":"","family":"Kwast","given":"Theo","non-dropping-particle":"Van Der","parse-names":false,"suffix":""},{"dropping-particle":"","family":"Wiegel","given":"Thomas","non-dropping-particle":"","parse-names":false,"suffix":""},{"dropping-particle":"","family":"Zattoni","given":"Filliberto","non-dropping-particle":"","parse-names":false,"suffix":""}],"container-title":"European Urology","id":"ITEM-1","issue":"1","issued":{"date-parts":[["2011"]]},"page":"61-71","publisher":"Elsevier B.V.","title":"EAU guidelines on prostate cancer. Part 1: Screening, diagnosis, and treatment of clinically localised disease","type":"article-journal","volume":"59"},"uris":["http://www.mendeley.com/documents/?uuid=39a56854-bd91-3d0b-8f31-ff6968eee8cf"]},{"id":"ITEM-2","itemData":{"DOI":"10.1016/j.eururo.2016.08.003","ISSN":"18737560","PMID":"27568654","abstract":"Objective To present a summary of the 2016 version of the European Association of Urology (EAU) - European Society for Radiotherapy &amp; Oncology (ESTRO) - International Society of Geriatric Oncology (SIOG) Guidelines on screening, diagnosis, and local treatment with curative intent of clinically localised prostate cancer (PCa). Evidence acquisition The working panel performed a literature review of the new data (2013–2015). The guidelines were updated and the levels of evidence and/or grades of recommendation were added based on a systematic review of the evidence. Evidence synthesis BRCA2 mutations have been added as risk factors for early and aggressive disease. In addition to the Gleason score, the five-tier 2014 International Society of Urological Pathology grading system should now be provided. Systematic screening is still not recommended. Instead, an individual risk-adapted strategy following a detailed discussion and taking into account the patient's wishes and life expectancy must be considered. An early prostate-specific antigen test, the use of a risk calculator, or one of the promising biomarker tools are being investigated and might be able to limit the overdetection of insignificant PCa. Breaking the link between diagnosis and treatment may lower the overtreatment risk. Multiparametric magnetic resonance imaging using standardised reporting cannot replace systematic biopsy, but robustly nested within the diagnostic work-up, it has a key role in local staging. Active surveillance always needs to be discussed with very low-risk patients. The place of surgery in high-risk disease and the role of lymph node dissection have been clarified, as well as the management of node-positive patients. Radiation therapy using dose-escalated intensity-modulated technology is a key treatment modality with recent improvement in the outcome based on increased doses as well as combination with hormonal treatment. Moderate hypofractionation is safe and effective, but longer-term data are still lacking. Brachytherapy represents an effective way to increase the delivered dose. Focal therapy remains experimental while cryosurgery and HIFU are still lacking long-term convincing results. Conclusions The knowledge in the field of diagnosis, staging, and treatment of localised PCa is evolving rapidly. The 2016 EAU-ESTRO-SIOG Guidelines on PCa summarise the most recent findings and advice for the use in clinical practice. These are the first PCa guidelines endorsed by th…","author":[{"dropping-particle":"","family":"Mottet","given":"Nicolas","non-dropping-particle":"","parse-names":false,"suffix":""},{"dropping-particle":"","family":"Bellmunt","given":"Joaquim","non-dropping-particle":"","parse-names":false,"suffix":""},{"dropping-particle":"","family":"Bolla","given":"Michel","non-dropping-particle":"","parse-names":false,"suffix":""},{"dropping-particle":"","family":"Briers","given":"Erik","non-dropping-particle":"","parse-names":false,"suffix":""},{"dropping-particle":"","family":"Cumberbatch","given":"Marcus G.","non-dropping-particle":"","parse-names":false,"suffix":""},{"dropping-particle":"","family":"Santis","given":"Maria","non-dropping-particle":"De","parse-names":false,"suffix":""},{"dropping-particle":"","family":"Fossati","given":"Nicola","non-dropping-particle":"","parse-names":false,"suffix":""},{"dropping-particle":"","family":"Gross","given":"Tobias","non-dropping-particle":"","parse-names":false,"suffix":""},{"dropping-particle":"","family":"Henry","given":"Ann M.","non-dropping-particle":"","parse-names":false,"suffix":""},{"dropping-particle":"","family":"Joniau","given":"Steven","non-dropping-particle":"","parse-names":false,"suffix":""},{"dropping-particle":"","family":"Lam","given":"Thomas B.","non-dropping-particle":"","parse-names":false,"suffix":""},{"dropping-particle":"","family":"Mason","given":"Malcolm D.","non-dropping-particle":"","parse-names":false,"suffix":""},{"dropping-particle":"","family":"Matveev","given":"Vsevolod B.","non-dropping-particle":"","parse-names":false,"suffix":""},{"dropping-particle":"","family":"Moldovan","given":"Paul C.","non-dropping-particle":"","parse-names":false,"suffix":""},{"dropping-particle":"","family":"Bergh","given":"Roderick C.N.","non-dropping-particle":"van den","parse-names":false,"suffix":""},{"dropping-particle":"","family":"Broeck","given":"Thomas","non-dropping-particle":"Van den","parse-names":false,"suffix":""},{"dropping-particle":"","family":"Poel","given":"Henk G.","non-dropping-particle":"van der","parse-names":false,"suffix":""},{"dropping-particle":"","family":"Kwast","given":"Theo H.","non-dropping-particle":"van der","parse-names":false,"suffix":""},{"dropping-particle":"","family":"Rouvière","given":"Olivier","non-dropping-particle":"","parse-names":false,"suffix":""},{"dropping-particle":"","family":"Schoots","given":"Ivo G.","non-dropping-particle":"","parse-names":false,"suffix":""},{"dropping-particle":"","family":"Wiegel","given":"Thomas","non-dropping-particle":"","parse-names":false,"suffix":""},{"dropping-particle":"","family":"Cornford","given":"Philip","non-dropping-particle":"","parse-names":false,"suffix":""}],"container-title":"European Urology","id":"ITEM-2","issue":"4","issued":{"date-parts":[["2017","4","1"]]},"page":"618-629","publisher":"Elsevier B.V.","title":"EAU-ESTRO-SIOG Guidelines on Prostate Cancer. Part 1: Screening, Diagnosis, and Local Treatment with Curative Intent","type":"article-journal","volume":"71"},"uris":["http://www.mendeley.com/documents/?uuid=ec5c40ad-2ddc-39f8-bb10-66bba60266a2"]},{"id":"ITEM-3","itemData":{"DOI":"10.1002/cncr.31549","ISSN":"10970142","PMID":"29786851","abstract":"BACKGROUND: Temporal trends in prostate cancer incidence and death rates have been attributed to changing patterns of screening and improved treatment (mortality only), among other factors. This study evaluated contemporary national-level trends and their relations with prostate-specific antigen (PSA) testing prevalence and explored trends in incidence according to disease characteristics with stage-specific, delay-adjusted rates. METHODS: Joinpoint regression was used to examine changes in delay-adjusted prostate cancer incidence rates from population-based US cancer registries from 2000 to 2014 by age categories, race, and disease characteristics, including stage, PSA, Gleason score, and clinical extension. In addition, the analysis included trends for prostate cancer mortality between 1975 and 2015 by race and the estimation of PSA testing prevalence between 1987 and 2005. The annual percent change was calculated for periods defined by significant trend change points. RESULTS: For all age groups, overall prostate cancer incidence rates declined approximately 6.5% per year from 2007. However, the incidence of distant-stage disease increased from 2010 to 2014. The incidence of disease according to higher PSA levels or Gleason scores at diagnosis did not increase. After years of significant decline (from 1993 to 2013), the overall prostate cancer mortality trend stabilized from 2013 to 2015. CONCLUSIONS: After a decline in PSA test usage, there has been an increased burden of late-stage disease, and the decline in prostate cancer mortality has leveled off. Cancer 2018;124:2801-2814. © 2018 American Cancer Society.","author":[{"dropping-particle":"","family":"Negoita","given":"Serban","non-dropping-particle":"","parse-names":false,"suffix":""},{"dropping-particle":"","family":"Feuer","given":"Eric J.","non-dropping-particle":"","parse-names":false,"suffix":""},{"dropping-particle":"","family":"Mariotto","given":"Angela","non-dropping-particle":"","parse-names":false,"suffix":""},{"dropping-particle":"","family":"Cronin","given":"Kathleen A.","non-dropping-particle":"","parse-names":false,"suffix":""},{"dropping-particle":"","family":"Petkov","given":"Valentina I.","non-dropping-particle":"","parse-names":false,"suffix":""},{"dropping-particle":"","family":"Hussey","given":"Sarah K.","non-dropping-particle":"","parse-names":false,"suffix":""},{"dropping-particle":"","family":"Benard","given":"Vicki","non-dropping-particle":"","parse-names":false,"suffix":""},{"dropping-particle":"","family":"Henley","given":"S. Jane","non-dropping-particle":"","parse-names":false,"suffix":""},{"dropping-particle":"","family":"Anderson","given":"Robert N.","non-dropping-particle":"","parse-names":false,"suffix":""},{"dropping-particle":"","family":"Fedewa","given":"Stacey","non-dropping-particle":"","parse-names":false,"suffix":""},{"dropping-particle":"","family":"Sherman","given":"Recinda L.","non-dropping-particle":"","parse-names":false,"suffix":""},{"dropping-particle":"","family":"Kohler","given":"Betsy A.","non-dropping-particle":"","parse-names":false,"suffix":""},{"dropping-particle":"","family":"Dearmon","given":"Barbara J.","non-dropping-particle":"","parse-names":false,"suffix":""},{"dropping-particle":"","family":"Lake","given":"Andrew J.","non-dropping-particle":"","parse-names":false,"suffix":""},{"dropping-particle":"","family":"Ma","given":"Jiemin","non-dropping-particle":"","parse-names":false,"suffix":""},{"dropping-particle":"","family":"Richardson","given":"Lisa C.","non-dropping-particle":"","parse-names":false,"suffix":""},{"dropping-particle":"","family":"Jemal","given":"Ahmedin","non-dropping-particle":"","parse-names":false,"suffix":""},{"dropping-particle":"","family":"Penberthy","given":"Lynne","non-dropping-particle":"","parse-names":false,"suffix":""}],"container-title":"Cancer","id":"ITEM-3","issue":"13","issued":{"date-parts":[["2018","7","1"]]},"page":"2801-2814","publisher":"John Wiley and Sons Inc.","title":"Annual Report to the Nation on the Status of Cancer, part II: Recent changes in prostate cancer trends and disease characteristics","type":"article-journal","volume":"124"},"uris":["http://www.mendeley.com/documents/?uuid=7ab78f9f-eac2-3c14-9f82-cd38ef0f51b2"]},{"id":"ITEM-4","itemData":{"abstract":"The Royal College of Surgeons of England (RCS) is an independent professional body committed to enabling surgeons to achieve and maintain the highest standards of surgical practice and patient care. As part of this it supports Audit and the evaluation of clinical effectiveness for surgery. The NPCA is based at the The Clinical Effectiveness Unit (CEU). The CEU is an academic collaboration between The Royal College of Surgeons of England and the London School of Hygiene and Tropical Medicine, and undertakes national clinical audits and research. Since its inception in 1998, the CEU has become a national centre of expertise in methods, organisation, and logistics of large-scale studies of the quality of surgical care. The CEU managed the publication of the NPCA Annual Report, 2020. In partnership with: Commissioned by: The British Association of Urological Surgeons (BAUS) was founded in 1945 and exists to promote the highest standards of practice in urology, for the benefit of patients, by fostering education, research and clinical excellence. BAUS is a registered charity and qualified medical practitioners practising in the field of urological surgery are eligible to apply for membership. It is intended that this website will be a resource for urologists, their patients, other members of the healthcare team and the wider public. The British Uro-oncology Group (BUG) was formed in 2004 to meet the needs of clinical and medical oncologists specialising in the field of urology. As the only dedicated professional association for uro-oncologists, its overriding aim is to provide a networking and support forum for discussion and exchange of research and policy ideas. The Healthcare Quality Improvement Partnership (HQIP) is led by a consortium of the Academy of Medical Royal Colleges, the Royal College of Nursing, and National Voices. Its aim is to promote quality improvement in patient outcomes, and in particular, to increase the impact that clinical audit, outcome review programmes and registries have on healthcare quality in England and Wales. HQIP holds the contract to commission, manage, and develop the National Clinical Audit and Patient Outcomes Programme (NCAPOP), comprising around 40 projects covering care provided to people with a wide range of medical, surgical and mental health conditions. The programme is funded by NHS England, the Welsh Government and, with some individual projects, other devolved administrations and crown dependencies www.hqip.org…","id":"ITEM-4","issued":{"date-parts":[["2020"]]},"title":"Results of the NPCA Prospective Audit in England and Wales for men diagnosed from 1 National Prostate Cancer Audit Seventh Year Annual Report-Results of the NPCA Prospective Audit in England and Wales for men diagnosed 1","type":"report"},"uris":["http://www.mendeley.com/documents/?uuid=7c1bfea0-d7e4-30f3-af92-161ae1fba93a"]}],"mendeley":{"formattedCitation":"[1–4]","plainTextFormattedCitation":"[1–4]","previouslyFormattedCitation":"[1–4]"},"properties":{"noteIndex":0},"schema":"https://github.com/citation-style-language/schema/raw/master/csl-citation.json"}</w:instrText>
      </w:r>
      <w:r w:rsidR="000C2C12">
        <w:rPr>
          <w:sz w:val="24"/>
          <w:szCs w:val="24"/>
          <w:lang w:val="en-US"/>
        </w:rPr>
        <w:fldChar w:fldCharType="separate"/>
      </w:r>
      <w:r w:rsidR="004A3F48" w:rsidRPr="004A3F48">
        <w:rPr>
          <w:noProof/>
          <w:sz w:val="24"/>
          <w:szCs w:val="24"/>
          <w:lang w:val="en-US"/>
        </w:rPr>
        <w:t>[1–4]</w:t>
      </w:r>
      <w:r w:rsidR="000C2C12">
        <w:rPr>
          <w:sz w:val="24"/>
          <w:szCs w:val="24"/>
          <w:lang w:val="en-US"/>
        </w:rPr>
        <w:fldChar w:fldCharType="end"/>
      </w:r>
      <w:r w:rsidR="000C2C12">
        <w:rPr>
          <w:sz w:val="24"/>
          <w:szCs w:val="24"/>
          <w:lang w:val="en-US"/>
        </w:rPr>
        <w:t xml:space="preserve">. </w:t>
      </w:r>
      <w:r w:rsidR="00606449">
        <w:rPr>
          <w:sz w:val="24"/>
          <w:szCs w:val="24"/>
          <w:lang w:val="en-US"/>
        </w:rPr>
        <w:t xml:space="preserve">During </w:t>
      </w:r>
      <w:r w:rsidR="001A037B">
        <w:rPr>
          <w:sz w:val="24"/>
          <w:szCs w:val="24"/>
          <w:lang w:val="en-US"/>
        </w:rPr>
        <w:t xml:space="preserve">the first five years on AS, 27.5% of patients </w:t>
      </w:r>
      <w:r w:rsidR="00300885">
        <w:rPr>
          <w:sz w:val="24"/>
          <w:szCs w:val="24"/>
          <w:lang w:val="en-US"/>
        </w:rPr>
        <w:t>switch to radical treatment</w:t>
      </w:r>
      <w:r w:rsidR="001A037B">
        <w:rPr>
          <w:sz w:val="24"/>
          <w:szCs w:val="24"/>
          <w:lang w:val="en-US"/>
        </w:rPr>
        <w:t xml:space="preserve"> due to disease progression, </w:t>
      </w:r>
      <w:r w:rsidR="00213F60">
        <w:rPr>
          <w:sz w:val="24"/>
          <w:szCs w:val="24"/>
          <w:lang w:val="en-US"/>
        </w:rPr>
        <w:t xml:space="preserve">with a further </w:t>
      </w:r>
      <w:r w:rsidR="001A037B">
        <w:rPr>
          <w:sz w:val="24"/>
          <w:szCs w:val="24"/>
          <w:lang w:val="en-US"/>
        </w:rPr>
        <w:t xml:space="preserve">12.8% </w:t>
      </w:r>
      <w:r w:rsidR="00213F60">
        <w:rPr>
          <w:sz w:val="24"/>
          <w:szCs w:val="24"/>
          <w:lang w:val="en-US"/>
        </w:rPr>
        <w:t>leaving</w:t>
      </w:r>
      <w:r w:rsidR="00300885">
        <w:rPr>
          <w:sz w:val="24"/>
          <w:szCs w:val="24"/>
          <w:lang w:val="en-US"/>
        </w:rPr>
        <w:t xml:space="preserve"> </w:t>
      </w:r>
      <w:r w:rsidR="00213F60">
        <w:rPr>
          <w:sz w:val="24"/>
          <w:szCs w:val="24"/>
          <w:lang w:val="en-US"/>
        </w:rPr>
        <w:t xml:space="preserve">AS </w:t>
      </w:r>
      <w:r w:rsidR="00300885">
        <w:rPr>
          <w:sz w:val="24"/>
          <w:szCs w:val="24"/>
          <w:lang w:val="en-US"/>
        </w:rPr>
        <w:t>programme</w:t>
      </w:r>
      <w:r w:rsidR="00213F60">
        <w:rPr>
          <w:sz w:val="24"/>
          <w:szCs w:val="24"/>
          <w:lang w:val="en-US"/>
        </w:rPr>
        <w:t>s</w:t>
      </w:r>
      <w:r w:rsidR="001A037B">
        <w:rPr>
          <w:sz w:val="24"/>
          <w:szCs w:val="24"/>
          <w:lang w:val="en-US"/>
        </w:rPr>
        <w:t xml:space="preserve"> for other reasons, including anxiety and </w:t>
      </w:r>
      <w:r w:rsidR="00802EF3">
        <w:rPr>
          <w:sz w:val="24"/>
          <w:szCs w:val="24"/>
          <w:lang w:val="en-US"/>
        </w:rPr>
        <w:t xml:space="preserve">concerns </w:t>
      </w:r>
      <w:r w:rsidR="00F93185">
        <w:rPr>
          <w:sz w:val="24"/>
          <w:szCs w:val="24"/>
          <w:lang w:val="en-US"/>
        </w:rPr>
        <w:t>related to</w:t>
      </w:r>
      <w:r w:rsidR="00802EF3">
        <w:rPr>
          <w:sz w:val="24"/>
          <w:szCs w:val="24"/>
          <w:lang w:val="en-US"/>
        </w:rPr>
        <w:t xml:space="preserve"> the invasive nature of</w:t>
      </w:r>
      <w:r w:rsidR="001A037B">
        <w:rPr>
          <w:sz w:val="24"/>
          <w:szCs w:val="24"/>
          <w:lang w:val="en-US"/>
        </w:rPr>
        <w:t xml:space="preserve"> repeat biopsies</w:t>
      </w:r>
      <w:r w:rsidR="00650B29">
        <w:rPr>
          <w:sz w:val="24"/>
          <w:szCs w:val="24"/>
          <w:lang w:val="en-US"/>
        </w:rPr>
        <w:t xml:space="preserve"> </w:t>
      </w:r>
      <w:r w:rsidR="00650B29">
        <w:rPr>
          <w:sz w:val="24"/>
          <w:szCs w:val="24"/>
          <w:lang w:val="en-US"/>
        </w:rPr>
        <w:fldChar w:fldCharType="begin" w:fldLock="1"/>
      </w:r>
      <w:r w:rsidR="00FD38B9">
        <w:rPr>
          <w:sz w:val="24"/>
          <w:szCs w:val="24"/>
          <w:lang w:val="en-US"/>
        </w:rPr>
        <w:instrText>ADDIN CSL_CITATION {"citationItems":[{"id":"ITEM-1","itemData":{"DOI":"https://doi.org/10.1016/j.eururo.2018.10.025","ISSN":"0302-2838","abstract":"Background Careful assessment of the reasons for discontinuation of active surveillance (AS) is required for men with prostate cancer (PCa). Objective Using Movember's Global Action Plan Prostate Cancer Active Surveillance initiative (GAP3) database, we report on reasons for AS discontinuation. Design, setting, and participants We compared data from 10296 men on AS from 21 centres across 12 countries. Outcome measurements and statistical analysis Cumulative incidence methods were used to estimate the cumulative incidence rates of AS discontinuation. Results and limitations During 5-yr follow-up, 27.5% (95% confidence interval [CI]: 26.4–28.6%) men showed signs of disease progression, 12.8% (95% CI: 12.0–13.6%) converted to active treatment without evidence of progression, 1.7% (95% CI: 1.5–2.0%) continued to watchful waiting, and 1.7% (95% CI: 1.4–2.1%) died from other causes. Of the 7049 men who remained on AS, 2339 had follow-up for &gt;5yr, 4561 had follow-up for &lt;5yr, and 149 were lost to follow-up. Cumulative incidence of progression was 27.5% (95% CI: 26.4–28.6%) at 5yr and 38.2% (95% CI: 36.7–39.9%) at 10yr. A limitation is that not all centres were included due to limited information on the reason for discontinuation and limited follow-up. Conclusions Our descriptive analyses of current AS practices worldwide showed that 43.6% of men drop out of AS during 5-yr follow-up, mainly due to signs of disease progression. Improvements in selection tools for AS are thus needed to correctly allocate men with PCa to AS, which will also reduce discontinuation due to conversion to active treatment without evidence of disease progression. Patient summary Our assessment of a worldwide database of men with prostate cancer (PCa) on active surveillance (AS) shows that 43.6% drop out of AS within 5yr, mainly due to signs of disease progression. Better tools are needed to select and monitor men with PCa as part of AS.","author":[{"dropping-particle":"","family":"Hemelrijck","given":"Mieke","non-dropping-particle":"Van","parse-names":false,"suffix":""},{"dropping-particle":"","family":"Ji","given":"Xi","non-dropping-particle":"","parse-names":false,"suffix":""},{"dropping-particle":"","family":"Helleman","given":"Jozien","non-dropping-particle":"","parse-names":false,"suffix":""},{"dropping-particle":"","family":"Roobol","given":"Monique J","non-dropping-particle":"","parse-names":false,"suffix":""},{"dropping-particle":"","family":"Linden","given":"Wim","non-dropping-particle":"van der","parse-names":false,"suffix":""},{"dropping-particle":"","family":"Nieboer","given":"Daan","non-dropping-particle":"","parse-names":false,"suffix":""},{"dropping-particle":"","family":"Bangma","given":"Chris H","non-dropping-particle":"","parse-names":false,"suffix":""},{"dropping-particle":"","family":"Frydenberg","given":"Mark","non-dropping-particle":"","parse-names":false,"suffix":""},{"dropping-particle":"","family":"Rannikko","given":"Antti","non-dropping-particle":"","parse-names":false,"suffix":""},{"dropping-particle":"","family":"Lee","given":"Lui S","non-dropping-particle":"","parse-names":false,"suffix":""},{"dropping-particle":"","family":"Gnanapragasam","given":"Vincent J","non-dropping-particle":"","parse-names":false,"suffix":""},{"dropping-particle":"","family":"Kattan","given":"Mike W","non-dropping-particle":"","parse-names":false,"suffix":""},{"dropping-particle":"","family":"Trock","given":"Bruce","non-dropping-particle":"","parse-names":false,"suffix":""},{"dropping-particle":"","family":"Ehdaie","given":"Behfar","non-dropping-particle":"","parse-names":false,"suffix":""},{"dropping-particle":"","family":"Carroll","given":"Peter","non-dropping-particle":"","parse-names":false,"suffix":""},{"dropping-particle":"","family":"Filson","given":"Christopher","non-dropping-particle":"","parse-names":false,"suffix":""},{"dropping-particle":"","family":"Kim","given":"Jeri","non-dropping-particle":"","parse-names":false,"suffix":""},{"dropping-particle":"","family":"Logothetis","given":"Christopher","non-dropping-particle":"","parse-names":false,"suffix":""},{"dropping-particle":"","family":"Morgan","given":"Todd","non-dropping-particle":"","parse-names":false,"suffix":""},{"dropping-particle":"","family":"Klotz","given":"Laurence","non-dropping-particle":"","parse-names":false,"suffix":""},{"dropping-particle":"","family":"Pickles","given":"Tom","non-dropping-particle":"","parse-names":false,"suffix":""},{"dropping-particle":"","family":"Hyndman","given":"Eric","non-dropping-particle":"","parse-names":false,"suffix":""},{"dropping-particle":"","family":"Moore","given":"Caroline M","non-dropping-particle":"","parse-names":false,"suffix":""},{"dropping-particle":"","family":"Gnanapragasam","given":"Vincent","non-dropping-particle":"","parse-names":false,"suffix":""},{"dropping-particle":"","family":"Hemelrijck","given":"Mieke","non-dropping-particle":"Van","parse-names":false,"suffix":""},{"dropping-particle":"","family":"Dasgupta","given":"Prokar","non-dropping-particle":"","parse-names":false,"suffix":""},{"dropping-particle":"","family":"Bangma","given":"Chris","non-dropping-particle":"","parse-names":false,"suffix":""},{"dropping-particle":"","family":"Roobol","given":"Monique","non-dropping-particle":"","parse-names":false,"suffix":""},{"dropping-particle":"","family":"Villers","given":"Arnauld","non-dropping-particle":"","parse-names":false,"suffix":""},{"dropping-particle":"","family":"Rannikko","given":"Antti","non-dropping-particle":"","parse-names":false,"suffix":""},{"dropping-particle":"","family":"Valdagni","given":"Riccardo","non-dropping-particle":"","parse-names":false,"suffix":""},{"dropping-particle":"","family":"Perry","given":"Antoinette","non-dropping-particle":"","parse-names":false,"suffix":""},{"dropping-particle":"","family":"Hugosson","given":"Jonas","non-dropping-particle":"","parse-names":false,"suffix":""},{"dropping-particle":"","family":"Rubio-Briones","given":"Jose","non-dropping-particle":"","parse-names":false,"suffix":""},{"dropping-particle":"","family":"Bjartell","given":"Anders","non-dropping-particle":"","parse-names":false,"suffix":""},{"dropping-particle":"","family":"Hefermehl","given":"Lukas","non-dropping-particle":"","parse-names":false,"suffix":""},{"dropping-particle":"","family":"Lui Shiong","given":"Lee","non-dropping-particle":"","parse-names":false,"suffix":""},{"dropping-particle":"","family":"Frydenberg","given":"Mark","non-dropping-particle":"","parse-names":false,"suffix":""},{"dropping-particle":"","family":"Kakehi","given":"Yoshiyuki","non-dropping-particle":"","parse-names":false,"suffix":""},{"dropping-particle":"","family":"Ha Chung","given":"Byung","non-dropping-particle":"","parse-names":false,"suffix":""},{"dropping-particle":"","family":"Kwast","given":"Theo","non-dropping-particle":"van der","parse-names":false,"suffix":""},{"dropping-particle":"","family":"Obbink","given":"Henk","non-dropping-particle":"","parse-names":false,"suffix":""},{"dropping-particle":"","family":"Linden","given":"Wim","non-dropping-particle":"van der","parse-names":false,"suffix":""},{"dropping-particle":"","family":"Hulsen","given":"Tim","non-dropping-particle":"","parse-names":false,"suffix":""},{"dropping-particle":"","family":"Jonge","given":"Cees","non-dropping-particle":"de","parse-names":false,"suffix":""},{"dropping-particle":"","family":"Kattan","given":"Mike","non-dropping-particle":"","parse-names":false,"suffix":""},{"dropping-particle":"","family":"Xinge","given":"Ji","non-dropping-particle":"","parse-names":false,"suffix":""},{"dropping-particle":"","family":"Muir","given":"Kenneth","non-dropping-particle":"","parse-names":false,"suffix":""},{"dropping-particle":"","family":"Lophatananon","given":"Artitaya","non-dropping-particle":"","parse-names":false,"suffix":""},{"dropping-particle":"","family":"Fahey","given":"Michael","non-dropping-particle":"","parse-names":false,"suffix":""},{"dropping-particle":"","family":"Steyerberg","given":"Ewout","non-dropping-particle":"","parse-names":false,"suffix":""},{"dropping-particle":"","family":"Nieboer","given":"Daan","non-dropping-particle":"","parse-names":false,"suffix":""},{"dropping-particle":"","family":"Zhang","given":"Liying","non-dropping-particle":"","parse-names":false,"suffix":""},{"dropping-particle":"","family":"Steyerberg","given":"Ewout","non-dropping-particle":"","parse-names":false,"suffix":""},{"dropping-particle":"","family":"Nieboer","given":"Daan","non-dropping-particle":"","parse-names":false,"suffix":""},{"dropping-particle":"","family":"Santa Olalla","given":"Aida","non-dropping-particle":"","parse-names":false,"suffix":""},{"dropping-particle":"","family":"Beckmann","given":"Kerri","non-dropping-particle":"","parse-names":false,"suffix":""},{"dropping-particle":"","family":"Denton","given":"Brian","non-dropping-particle":"","parse-names":false,"suffix":""},{"dropping-particle":"","family":"Hayen","given":"Andrew","non-dropping-particle":"","parse-names":false,"suffix":""},{"dropping-particle":"","family":"Boutros","given":"Paul","non-dropping-particle":"","parse-names":false,"suffix":""},{"dropping-particle":"","family":"Guo","given":"Wei","non-dropping-particle":"","parse-names":false,"suffix":""},{"dropping-particle":"","family":"Benfante","given":"Nicole","non-dropping-particle":"","parse-names":false,"suffix":""},{"dropping-particle":"","family":"Cowan","given":"Janet","non-dropping-particle":"","parse-names":false,"suffix":""},{"dropping-particle":"","family":"Patil","given":"Dattatraya","non-dropping-particle":"","parse-names":false,"suffix":""},{"dropping-particle":"","family":"Tolosa","given":"Emily","non-dropping-particle":"","parse-names":false,"suffix":""},{"dropping-particle":"","family":"Kim","given":"Tae-Kyung","non-dropping-particle":"","parse-names":false,"suffix":""},{"dropping-particle":"","family":"Mamedov","given":"Alexandre","non-dropping-particle":"","parse-names":false,"suffix":""},{"dropping-particle":"","family":"Pointe","given":"Vincent","non-dropping-particle":"La","parse-names":false,"suffix":""},{"dropping-particle":"","family":"Crump","given":"Trafford","non-dropping-particle":"","parse-names":false,"suffix":""},{"dropping-particle":"","family":"Kimberly-Duffell","given":"Jenna","non-dropping-particle":"","parse-names":false,"suffix":""},{"dropping-particle":"","family":"Santaolalla","given":"Aida","non-dropping-particle":"","parse-names":false,"suffix":""},{"dropping-particle":"","family":"Nieboer","given":"Daan","non-dropping-particle":"","parse-names":false,"suffix":""},{"dropping-particle":"","family":"Olivier","given":"Jonathan","non-dropping-particle":"","parse-names":false,"suffix":""},{"dropping-particle":"","family":"Rancati","given":"Tiziana","non-dropping-particle":"","parse-names":false,"suffix":""},{"dropping-particle":"","family":"Ahlgren","given":"Helén","non-dropping-particle":"","parse-names":false,"suffix":""},{"dropping-particle":"","family":"Mascarós","given":"Juanma","non-dropping-particle":"","parse-names":false,"suffix":""},{"dropping-particle":"","family":"Löfgren","given":"Annica","non-dropping-particle":"","parse-names":false,"suffix":""},{"dropping-particle":"","family":"Lehmann","given":"Kurt","non-dropping-particle":"","parse-names":false,"suffix":""},{"dropping-particle":"","family":"Han Lin","given":"Catherine","non-dropping-particle":"","parse-names":false,"suffix":""},{"dropping-particle":"","family":"Hirama","given":"Hiromi","non-dropping-particle":"","parse-names":false,"suffix":""},{"dropping-particle":"","family":"Suk Lee","given":"Kwang","non-dropping-particle":"","parse-names":false,"suffix":""},{"dropping-particle":"","family":"Jenster","given":"Guido","non-dropping-particle":"","parse-names":false,"suffix":""},{"dropping-particle":"","family":"Auvinen","given":"Anssi","non-dropping-particle":"","parse-names":false,"suffix":""},{"dropping-particle":"","family":"Bjartell","given":"Anders","non-dropping-particle":"","parse-names":false,"suffix":""},{"dropping-particle":"","family":"Haider","given":"Masoom","non-dropping-particle":"","parse-names":false,"suffix":""},{"dropping-particle":"","family":"Bochove","given":"Kees","non-dropping-particle":"van","parse-names":false,"suffix":""},{"dropping-particle":"","family":"Carter","given":"Ballentine","non-dropping-particle":"","parse-names":false,"suffix":""},{"dropping-particle":"","family":"Gledhill","given":"Sam","non-dropping-particle":"","parse-names":false,"suffix":""},{"dropping-particle":"","family":"Buzza","given":"Mark","non-dropping-particle":"","parse-names":false,"suffix":""},{"dropping-particle":"","family":"Bangma","given":"Chris","non-dropping-particle":"","parse-names":false,"suffix":""},{"dropping-particle":"","family":"Roobol","given":"Monique","non-dropping-particle":"","parse-names":false,"suffix":""},{"dropping-particle":"","family":"Bruinsma","given":"Sophie","non-dropping-particle":"","parse-names":false,"suffix":""},{"dropping-particle":"","family":"Helleman","given":"Jozien","non-dropping-particle":"","parse-names":false,"suffix":""}],"container-title":"European Urology","id":"ITEM-1","issue":"3","issued":{"date-parts":[["2019"]]},"page":"523-531","title":"Reasons for Discontinuing Active Surveillance: Assessment of 21 Centres in 12 Countries in the Movember GAP3 Consortium","type":"article-journal","volume":"75"},"uris":["http://www.mendeley.com/documents/?uuid=41149bb4-c508-4ce2-820a-1a1bed087d6f"]}],"mendeley":{"formattedCitation":"[5]","plainTextFormattedCitation":"[5]","previouslyFormattedCitation":"[5]"},"properties":{"noteIndex":0},"schema":"https://github.com/citation-style-language/schema/raw/master/csl-citation.json"}</w:instrText>
      </w:r>
      <w:r w:rsidR="00650B29">
        <w:rPr>
          <w:sz w:val="24"/>
          <w:szCs w:val="24"/>
          <w:lang w:val="en-US"/>
        </w:rPr>
        <w:fldChar w:fldCharType="separate"/>
      </w:r>
      <w:r w:rsidR="004A3F48" w:rsidRPr="004A3F48">
        <w:rPr>
          <w:noProof/>
          <w:sz w:val="24"/>
          <w:szCs w:val="24"/>
          <w:lang w:val="en-US"/>
        </w:rPr>
        <w:t>[5]</w:t>
      </w:r>
      <w:r w:rsidR="00650B29">
        <w:rPr>
          <w:sz w:val="24"/>
          <w:szCs w:val="24"/>
          <w:lang w:val="en-US"/>
        </w:rPr>
        <w:fldChar w:fldCharType="end"/>
      </w:r>
      <w:r w:rsidR="00650B29">
        <w:rPr>
          <w:sz w:val="24"/>
          <w:szCs w:val="24"/>
          <w:lang w:val="en-US"/>
        </w:rPr>
        <w:t xml:space="preserve">. </w:t>
      </w:r>
      <w:r w:rsidR="00606449">
        <w:rPr>
          <w:sz w:val="24"/>
          <w:szCs w:val="24"/>
          <w:lang w:val="en-US"/>
        </w:rPr>
        <w:t>R</w:t>
      </w:r>
      <w:r w:rsidR="00650B29">
        <w:rPr>
          <w:sz w:val="24"/>
          <w:szCs w:val="24"/>
          <w:lang w:val="en-US"/>
        </w:rPr>
        <w:t xml:space="preserve">epeat </w:t>
      </w:r>
      <w:r w:rsidR="00300885">
        <w:rPr>
          <w:sz w:val="24"/>
          <w:szCs w:val="24"/>
          <w:lang w:val="en-US"/>
        </w:rPr>
        <w:t>biopsies</w:t>
      </w:r>
      <w:r w:rsidR="00650B29">
        <w:rPr>
          <w:sz w:val="24"/>
          <w:szCs w:val="24"/>
          <w:lang w:val="en-US"/>
        </w:rPr>
        <w:t xml:space="preserve"> </w:t>
      </w:r>
      <w:r w:rsidR="00606449">
        <w:rPr>
          <w:sz w:val="24"/>
          <w:szCs w:val="24"/>
          <w:lang w:val="en-US"/>
        </w:rPr>
        <w:t xml:space="preserve">do </w:t>
      </w:r>
      <w:r w:rsidR="00650B29">
        <w:rPr>
          <w:sz w:val="24"/>
          <w:szCs w:val="24"/>
          <w:lang w:val="en-US"/>
        </w:rPr>
        <w:t xml:space="preserve">remain the cornerstone of clinical decision-making </w:t>
      </w:r>
      <w:r w:rsidR="00213F60">
        <w:rPr>
          <w:sz w:val="24"/>
          <w:szCs w:val="24"/>
          <w:lang w:val="en-US"/>
        </w:rPr>
        <w:t>and the</w:t>
      </w:r>
      <w:r w:rsidR="00650B29">
        <w:rPr>
          <w:sz w:val="24"/>
          <w:szCs w:val="24"/>
          <w:lang w:val="en-US"/>
        </w:rPr>
        <w:t xml:space="preserve"> switch to radical treatment</w:t>
      </w:r>
      <w:r w:rsidR="00FD3DB1">
        <w:rPr>
          <w:sz w:val="24"/>
          <w:szCs w:val="24"/>
          <w:lang w:val="en-US"/>
        </w:rPr>
        <w:t>;</w:t>
      </w:r>
      <w:r w:rsidR="00650B29">
        <w:rPr>
          <w:sz w:val="24"/>
          <w:szCs w:val="24"/>
          <w:lang w:val="en-US"/>
        </w:rPr>
        <w:t xml:space="preserve"> </w:t>
      </w:r>
      <w:r w:rsidR="00213F60">
        <w:rPr>
          <w:sz w:val="24"/>
          <w:szCs w:val="24"/>
          <w:lang w:val="en-US"/>
        </w:rPr>
        <w:t xml:space="preserve">however, </w:t>
      </w:r>
      <w:r w:rsidR="00650B29">
        <w:rPr>
          <w:sz w:val="24"/>
          <w:szCs w:val="24"/>
          <w:lang w:val="en-US"/>
        </w:rPr>
        <w:t xml:space="preserve">they also present </w:t>
      </w:r>
      <w:r w:rsidR="00213F60">
        <w:rPr>
          <w:sz w:val="24"/>
          <w:szCs w:val="24"/>
          <w:lang w:val="en-US"/>
        </w:rPr>
        <w:t>a</w:t>
      </w:r>
      <w:r w:rsidR="001A037B">
        <w:rPr>
          <w:sz w:val="24"/>
          <w:szCs w:val="24"/>
          <w:lang w:val="en-US"/>
        </w:rPr>
        <w:t xml:space="preserve"> key barrier to patient </w:t>
      </w:r>
      <w:r w:rsidR="00213F60">
        <w:rPr>
          <w:sz w:val="24"/>
          <w:szCs w:val="24"/>
          <w:lang w:val="en-US"/>
        </w:rPr>
        <w:t xml:space="preserve">uptake of and </w:t>
      </w:r>
      <w:r w:rsidR="001A037B">
        <w:rPr>
          <w:sz w:val="24"/>
          <w:szCs w:val="24"/>
          <w:lang w:val="en-US"/>
        </w:rPr>
        <w:t>adherence to AS</w:t>
      </w:r>
      <w:r w:rsidR="00650B29">
        <w:rPr>
          <w:sz w:val="24"/>
          <w:szCs w:val="24"/>
          <w:lang w:val="en-US"/>
        </w:rPr>
        <w:t xml:space="preserve"> </w:t>
      </w:r>
      <w:r w:rsidR="00650B29">
        <w:rPr>
          <w:sz w:val="24"/>
          <w:szCs w:val="24"/>
          <w:lang w:val="en-US"/>
        </w:rPr>
        <w:fldChar w:fldCharType="begin" w:fldLock="1"/>
      </w:r>
      <w:r w:rsidR="00FD38B9">
        <w:rPr>
          <w:sz w:val="24"/>
          <w:szCs w:val="24"/>
          <w:lang w:val="en-US"/>
        </w:rPr>
        <w:instrText>ADDIN CSL_CITATION {"citationItems":[{"id":"ITEM-1","itemData":{"DOI":"10.1016/j.eururo.2013.05.049","ISSN":"03022838","PMID":"23787356","abstract":"Context Prostate biopsy is commonly performed for cancer detection and management. The benefits and risks of prostate biopsy are germane to ongoing debates about prostate cancer screening and treatment. Objective To perform a systematic review of complications from prostate biopsy. Evidence acquisition A literature search was performed using PubMed and Embase, supplemented with additional references. Articles were reviewed for data on the following complications: hematuria, rectal bleeding, hematospermia, infection, pain, lower urinary tract symptoms (LUTS), urinary retention, erectile dysfunction, and mortality. Evidence synthesis After biopsy, hematuria and hematospermia are common but typically mild and self-limiting. Severe rectal bleeding is uncommon. Despite antimicrobial prophylaxis, infectious complications are increasing over time and are the most common reason for hospitalization after biopsy. Pain may occur at several stages of prostate biopsy and can be mitigated by anesthetic agents and anxiety-reduction techniques. Up to 25% of men have transient LUTS after biopsy, and &lt;2% have frank urinary retention, with slightly higher rates reported after transperineal template biopsy. Biopsy-related mortality is rare. Conclusions Preparation for biopsy should include antimicrobial prophylaxis and pain management. Prostate biopsy is frequently associated with minor bleeding and urinary symptoms that usually do not require intervention. Infectious complications can be serious, requiring prompt management and continued work into preventative strategies. © 2013 European Association of Urology.","author":[{"dropping-particle":"","family":"Loeb","given":"Stacy","non-dropping-particle":"","parse-names":false,"suffix":""},{"dropping-particle":"","family":"Vellekoop","given":"Annelies","non-dropping-particle":"","parse-names":false,"suffix":""},{"dropping-particle":"","family":"Ahmed","given":"Hashim U.","non-dropping-particle":"","parse-names":false,"suffix":""},{"dropping-particle":"","family":"Catto","given":"James","non-dropping-particle":"","parse-names":false,"suffix":""},{"dropping-particle":"","family":"Emberton","given":"Mark","non-dropping-particle":"","parse-names":false,"suffix":""},{"dropping-particle":"","family":"Nam","given":"Robert","non-dropping-particle":"","parse-names":false,"suffix":""},{"dropping-particle":"","family":"Rosario","given":"Derek J.","non-dropping-particle":"","parse-names":false,"suffix":""},{"dropping-particle":"","family":"Scattoni","given":"Vincenzo","non-dropping-particle":"","parse-names":false,"suffix":""},{"dropping-particle":"","family":"Lotan","given":"Yair","non-dropping-particle":"","parse-names":false,"suffix":""}],"container-title":"European Urology","id":"ITEM-1","issued":{"date-parts":[["2013"]]},"title":"Systematic review of complications of prostate biopsy","type":"article"},"uris":["http://www.mendeley.com/documents/?uuid=3679b25c-b633-48c3-bd8d-4d327876ecc6"]},{"id":"ITEM-2","itemData":{"DOI":"10.1016/j.eururo.2016.08.003","ISSN":"18737560","PMID":"27568654","abstract":"Objective To present a summary of the 2016 version of the European Association of Urology (EAU) - European Society for Radiotherapy &amp; Oncology (ESTRO) - International Society of Geriatric Oncology (SIOG) Guidelines on screening, diagnosis, and local treatment with curative intent of clinically localised prostate cancer (PCa). Evidence acquisition The working panel performed a literature review of the new data (2013–2015). The guidelines were updated and the levels of evidence and/or grades of recommendation were added based on a systematic review of the evidence. Evidence synthesis BRCA2 mutations have been added as risk factors for early and aggressive disease. In addition to the Gleason score, the five-tier 2014 International Society of Urological Pathology grading system should now be provided. Systematic screening is still not recommended. Instead, an individual risk-adapted strategy following a detailed discussion and taking into account the patient's wishes and life expectancy must be considered. An early prostate-specific antigen test, the use of a risk calculator, or one of the promising biomarker tools are being investigated and might be able to limit the overdetection of insignificant PCa. Breaking the link between diagnosis and treatment may lower the overtreatment risk. Multiparametric magnetic resonance imaging using standardised reporting cannot replace systematic biopsy, but robustly nested within the diagnostic work-up, it has a key role in local staging. Active surveillance always needs to be discussed with very low-risk patients. The place of surgery in high-risk disease and the role of lymph node dissection have been clarified, as well as the management of node-positive patients. Radiation therapy using dose-escalated intensity-modulated technology is a key treatment modality with recent improvement in the outcome based on increased doses as well as combination with hormonal treatment. Moderate hypofractionation is safe and effective, but longer-term data are still lacking. Brachytherapy represents an effective way to increase the delivered dose. Focal therapy remains experimental while cryosurgery and HIFU are still lacking long-term convincing results. Conclusions The knowledge in the field of diagnosis, staging, and treatment of localised PCa is evolving rapidly. The 2016 EAU-ESTRO-SIOG Guidelines on PCa summarise the most recent findings and advice for the use in clinical practice. These are the first PCa guidelines endorsed by th…","author":[{"dropping-particle":"","family":"Mottet","given":"Nicolas","non-dropping-particle":"","parse-names":false,"suffix":""},{"dropping-particle":"","family":"Bellmunt","given":"Joaquim","non-dropping-particle":"","parse-names":false,"suffix":""},{"dropping-particle":"","family":"Bolla","given":"Michel","non-dropping-particle":"","parse-names":false,"suffix":""},{"dropping-particle":"","family":"Briers","given":"Erik","non-dropping-particle":"","parse-names":false,"suffix":""},{"dropping-particle":"","family":"Cumberbatch","given":"Marcus G.","non-dropping-particle":"","parse-names":false,"suffix":""},{"dropping-particle":"","family":"Santis","given":"Maria","non-dropping-particle":"De","parse-names":false,"suffix":""},{"dropping-particle":"","family":"Fossati","given":"Nicola","non-dropping-particle":"","parse-names":false,"suffix":""},{"dropping-particle":"","family":"Gross","given":"Tobias","non-dropping-particle":"","parse-names":false,"suffix":""},{"dropping-particle":"","family":"Henry","given":"Ann M.","non-dropping-particle":"","parse-names":false,"suffix":""},{"dropping-particle":"","family":"Joniau","given":"Steven","non-dropping-particle":"","parse-names":false,"suffix":""},{"dropping-particle":"","family":"Lam","given":"Thomas B.","non-dropping-particle":"","parse-names":false,"suffix":""},{"dropping-particle":"","family":"Mason","given":"Malcolm D.","non-dropping-particle":"","parse-names":false,"suffix":""},{"dropping-particle":"","family":"Matveev","given":"Vsevolod B.","non-dropping-particle":"","parse-names":false,"suffix":""},{"dropping-particle":"","family":"Moldovan","given":"Paul C.","non-dropping-particle":"","parse-names":false,"suffix":""},{"dropping-particle":"","family":"Bergh","given":"Roderick C.N.","non-dropping-particle":"van den","parse-names":false,"suffix":""},{"dropping-particle":"","family":"Broeck","given":"Thomas","non-dropping-particle":"Van den","parse-names":false,"suffix":""},{"dropping-particle":"","family":"Poel","given":"Henk G.","non-dropping-particle":"van der","parse-names":false,"suffix":""},{"dropping-particle":"","family":"Kwast","given":"Theo H.","non-dropping-particle":"van der","parse-names":false,"suffix":""},{"dropping-particle":"","family":"Rouvière","given":"Olivier","non-dropping-particle":"","parse-names":false,"suffix":""},{"dropping-particle":"","family":"Schoots","given":"Ivo G.","non-dropping-particle":"","parse-names":false,"suffix":""},{"dropping-particle":"","family":"Wiegel","given":"Thomas","non-dropping-particle":"","parse-names":false,"suffix":""},{"dropping-particle":"","family":"Cornford","given":"Philip","non-dropping-particle":"","parse-names":false,"suffix":""}],"container-title":"European Urology","id":"ITEM-2","issue":"4","issued":{"date-parts":[["2017","4","1"]]},"page":"618-629","publisher":"Elsevier B.V.","title":"EAU-ESTRO-SIOG Guidelines on Prostate Cancer. Part 1: Screening, Diagnosis, and Local Treatment with Curative Intent","type":"article-journal","volume":"71"},"uris":["http://www.mendeley.com/documents/?uuid=ec5c40ad-2ddc-39f8-bb10-66bba60266a2"]},{"id":"ITEM-3","itemData":{"DOI":"10.1016/j.eururo.2015.06.012","ISSN":"18737560","PMID":"26138043","abstract":"Background Men with prostate cancer on active surveillance (AS) are advised to follow strict follow-up schedules and switch to definitive treatment on risk reclassification. However, some men might not adhere to these strict protocols. Objective To determine the number of noncompliers and disease reclassification rates in men not complying with the follow-up protocol of the Prostate Cancer Research International Active Surveillance (PRIAS) study. Design, setting, and participants A total of 4547 men with low-risk prostate cancer were included and prospectively followed on AS. Men were regularly examined using prostate-specific antigen (PSA), digital rectal examination, and repeat biopsies, and were advised to switch to definitive treatment on disease reclassification (&gt;cT2c, Gleason score &gt; 3 + 3, &gt;2 cores positive, or PSA doubling time [PSA-DT] 0-3 yr). Outcome measurements and statistical analysis Rates of men not complying with follow-up visits or a recommendation to discontinue AS are reported. Biopsy outcome (Gleason ≥7 or &gt;2 cores positive) was compared between compliers and noncompliers using Cox proportional hazards analysis. Results and limitations The compliance rate for PSA visits was 91%. By contrast, the compliance rate for standard repeat biopsies decreased over time (81%, 60%, 53%, and 33% at 1, 4, 7, and 10 yr after diagnosis, respectively). Yearly repeat biopsies in men with faster rising PSA (PSA-DT 3-10 yr) was low at &lt;30%, although these men had higher upgrading rates at repeat biopsy (25-30% vs 16%). PSA-DT of 0-3 yr was the most common recommendation for discontinuation, but 71% continued on AS. Men with PSA-DT of 0-3 yr were at higher risk of upgrading on repeat biopsy (hazard ratio 2.02, 95% confidence interval 1.36-3.00) compared to men without fast rising PSA. Conclusion Some men and their physicians do not comply with AS follow-up protocols. In particular, yearly repeat biopsies in men with fast rising PSA are often ignored, as is the recommendation to discontinue AS because of very fast rising PSA. Although these men are at greater risk of higher Gleason scores on repeat biopsy, the majority still exhibit favorable tumor characteristics. Fast rising PSA should therefore not trigger a recommendation to receive active treatment, but should rather serve as a criterion for stricter follow-up. In addition, we should aim to find ways of safely reducing the number of biopsies to increase adherence to AS protocols. Patient summary We…","author":[{"dropping-particle":"","family":"Bokhorst","given":"Leonard P.","non-dropping-particle":"","parse-names":false,"suffix":""},{"dropping-particle":"","family":"Alberts","given":"Arnout R.","non-dropping-particle":"","parse-names":false,"suffix":""},{"dropping-particle":"","family":"Rannikko","given":"Antti","non-dropping-particle":"","parse-names":false,"suffix":""},{"dropping-particle":"","family":"Valdagni","given":"Riccardo","non-dropping-particle":"","parse-names":false,"suffix":""},{"dropping-particle":"","family":"Pickles","given":"Tom","non-dropping-particle":"","parse-names":false,"suffix":""},{"dropping-particle":"","family":"Kakehi","given":"Yoshiyuki","non-dropping-particle":"","parse-names":false,"suffix":""},{"dropping-particle":"","family":"Bangma","given":"Chris H.","non-dropping-particle":"","parse-names":false,"suffix":""},{"dropping-particle":"","family":"Roobol","given":"Monique J.","non-dropping-particle":"","parse-names":false,"suffix":""}],"container-title":"European Urology","id":"ITEM-3","issue":"5","issued":{"date-parts":[["2015","11","1"]]},"page":"814-821","publisher":"Elsevier B.V.","title":"Compliance rates with the Prostate Cancer Research International Active Surveillance (PRIAS) protocol and disease reclassification in noncompliers","type":"article-journal","volume":"68"},"uris":["http://www.mendeley.com/documents/?uuid=4891ef34-c116-3371-857b-130621d1c2ee"]}],"mendeley":{"formattedCitation":"[2,6,7]","plainTextFormattedCitation":"[2,6,7]","previouslyFormattedCitation":"[2,6,7]"},"properties":{"noteIndex":0},"schema":"https://github.com/citation-style-language/schema/raw/master/csl-citation.json"}</w:instrText>
      </w:r>
      <w:r w:rsidR="00650B29">
        <w:rPr>
          <w:sz w:val="24"/>
          <w:szCs w:val="24"/>
          <w:lang w:val="en-US"/>
        </w:rPr>
        <w:fldChar w:fldCharType="separate"/>
      </w:r>
      <w:r w:rsidR="004A3F48" w:rsidRPr="004A3F48">
        <w:rPr>
          <w:noProof/>
          <w:sz w:val="24"/>
          <w:szCs w:val="24"/>
          <w:lang w:val="en-US"/>
        </w:rPr>
        <w:t>[2,6,7]</w:t>
      </w:r>
      <w:r w:rsidR="00650B29">
        <w:rPr>
          <w:sz w:val="24"/>
          <w:szCs w:val="24"/>
          <w:lang w:val="en-US"/>
        </w:rPr>
        <w:fldChar w:fldCharType="end"/>
      </w:r>
      <w:r w:rsidR="001A037B">
        <w:rPr>
          <w:sz w:val="24"/>
          <w:szCs w:val="24"/>
          <w:lang w:val="en-US"/>
        </w:rPr>
        <w:t xml:space="preserve">. </w:t>
      </w:r>
      <w:r w:rsidR="00606449">
        <w:rPr>
          <w:sz w:val="24"/>
          <w:szCs w:val="24"/>
          <w:lang w:val="en-US"/>
        </w:rPr>
        <w:t>Therefore, reducing the need for unnecessary biopsies during AS presents an important clinical challenge.</w:t>
      </w:r>
    </w:p>
    <w:p w14:paraId="61F1D431" w14:textId="142AB458" w:rsidR="00382478" w:rsidRDefault="0002441D" w:rsidP="00382478">
      <w:pPr>
        <w:rPr>
          <w:sz w:val="24"/>
          <w:szCs w:val="24"/>
          <w:lang w:val="en-US"/>
        </w:rPr>
      </w:pPr>
      <w:r>
        <w:rPr>
          <w:sz w:val="24"/>
          <w:szCs w:val="24"/>
          <w:lang w:val="en-US"/>
        </w:rPr>
        <w:t xml:space="preserve">To address this, many </w:t>
      </w:r>
      <w:proofErr w:type="spellStart"/>
      <w:r>
        <w:rPr>
          <w:sz w:val="24"/>
          <w:szCs w:val="24"/>
          <w:lang w:val="en-US"/>
        </w:rPr>
        <w:t>centres</w:t>
      </w:r>
      <w:proofErr w:type="spellEnd"/>
      <w:r>
        <w:rPr>
          <w:sz w:val="24"/>
          <w:szCs w:val="24"/>
          <w:lang w:val="en-US"/>
        </w:rPr>
        <w:t xml:space="preserve"> have increased their reliance on magnetic resonance imaging (MRI) </w:t>
      </w:r>
      <w:r w:rsidR="00955FFC">
        <w:rPr>
          <w:sz w:val="24"/>
          <w:szCs w:val="24"/>
          <w:lang w:val="en-US"/>
        </w:rPr>
        <w:t xml:space="preserve">to navigate treatment decisions without a mandatory follow-up histopathological assessment </w:t>
      </w:r>
      <w:r w:rsidR="00955FFC">
        <w:rPr>
          <w:sz w:val="24"/>
          <w:szCs w:val="24"/>
          <w:lang w:val="en-US"/>
        </w:rPr>
        <w:fldChar w:fldCharType="begin" w:fldLock="1"/>
      </w:r>
      <w:r w:rsidR="00FD38B9">
        <w:rPr>
          <w:sz w:val="24"/>
          <w:szCs w:val="24"/>
          <w:lang w:val="en-US"/>
        </w:rPr>
        <w:instrText>ADDIN CSL_CITATION {"citationItems":[{"id":"ITEM-1","itemData":{"DOI":"10.2214/AJR.20.23985","ISSN":"15463141","PMID":"32755219","abstract":"Active surveillance for low-to-intermediate risk prostate cancer is a conservative management approach that aims to avoid or delay active treatment until there is evidence of disease progression. In recent years, multiparametric MRI (mpMRI) has been increasingly used in active surveillance and has shown great promise in patient selection and monitoring. This has been corroborated by publication of the Prostate Cancer Radiologic Estimation of Change in Sequential Evaluation (PRECISE) recommendations, which define the ideal reporting standards for mpMRI during active surveillance. The PRECISE recommendations include a system that assigns a score from 1 to 5 (the PRECISE score) for the assessment of radiologic change on serial mpMRI scans. PRECISE scores are defined as follows: a score of 3 indicates radiologic stability, a score of 1 or 2 denotes radiologic regression, and a score of 4 or 5 indicates radiologic progression. In the present study, we discuss current and future trends in the use of mpMRI during active surveillance and illustrate the natural history of prostate cancer on serial scans according to the PRECISE recommendations. We highlight how the ability to classify radiologic change on mpMRI with use of the PRECISE recommendations helps clinical decision making.","author":[{"dropping-particle":"","family":"Giganti","given":"Francesco","non-dropping-particle":"","parse-names":false,"suffix":""},{"dropping-particle":"","family":"Kirkham","given":"Alex","non-dropping-particle":"","parse-names":false,"suffix":""},{"dropping-particle":"","family":"Allen","given":"Clare","non-dropping-particle":"","parse-names":false,"suffix":""},{"dropping-particle":"","family":"Punwani","given":"Shonit","non-dropping-particle":"","parse-names":false,"suffix":""},{"dropping-particle":"","family":"Orczyk","given":"Clément","non-dropping-particle":"","parse-names":false,"suffix":""},{"dropping-particle":"","family":"Emberton","given":"Mark","non-dropping-particle":"","parse-names":false,"suffix":""},{"dropping-particle":"","family":"Moore","given":"Caroline M.","non-dropping-particle":"","parse-names":false,"suffix":""}],"container-title":"American Journal of Roentgenology","id":"ITEM-1","issue":"4","issued":{"date-parts":[["2021","4","1"]]},"page":"943-951","publisher":"American Roentgen Ray Society","title":"Update on multiparametric prostate MRI during active surveillance: Current and future trends and role of the PRECISE recommendations","type":"article-journal","volume":"216"},"uris":["http://www.mendeley.com/documents/?uuid=4e8a373d-dfc8-3211-beda-723189e971d6"]}],"mendeley":{"formattedCitation":"[8]","plainTextFormattedCitation":"[8]","previouslyFormattedCitation":"[8]"},"properties":{"noteIndex":0},"schema":"https://github.com/citation-style-language/schema/raw/master/csl-citation.json"}</w:instrText>
      </w:r>
      <w:r w:rsidR="00955FFC">
        <w:rPr>
          <w:sz w:val="24"/>
          <w:szCs w:val="24"/>
          <w:lang w:val="en-US"/>
        </w:rPr>
        <w:fldChar w:fldCharType="separate"/>
      </w:r>
      <w:r w:rsidR="004A3F48" w:rsidRPr="004A3F48">
        <w:rPr>
          <w:noProof/>
          <w:sz w:val="24"/>
          <w:szCs w:val="24"/>
          <w:lang w:val="en-US"/>
        </w:rPr>
        <w:t>[8]</w:t>
      </w:r>
      <w:r w:rsidR="00955FFC">
        <w:rPr>
          <w:sz w:val="24"/>
          <w:szCs w:val="24"/>
          <w:lang w:val="en-US"/>
        </w:rPr>
        <w:fldChar w:fldCharType="end"/>
      </w:r>
      <w:r>
        <w:rPr>
          <w:sz w:val="24"/>
          <w:szCs w:val="24"/>
          <w:lang w:val="en-US"/>
        </w:rPr>
        <w:t xml:space="preserve">. </w:t>
      </w:r>
      <w:r w:rsidR="005001C5">
        <w:rPr>
          <w:sz w:val="24"/>
          <w:szCs w:val="24"/>
          <w:lang w:val="en-US"/>
        </w:rPr>
        <w:t xml:space="preserve">According to two recent meta-analyses </w:t>
      </w:r>
      <w:r w:rsidR="005001C5">
        <w:rPr>
          <w:sz w:val="24"/>
          <w:szCs w:val="24"/>
          <w:lang w:val="en-US"/>
        </w:rPr>
        <w:fldChar w:fldCharType="begin" w:fldLock="1"/>
      </w:r>
      <w:r w:rsidR="00FD38B9">
        <w:rPr>
          <w:sz w:val="24"/>
          <w:szCs w:val="24"/>
          <w:lang w:val="en-US"/>
        </w:rPr>
        <w:instrText>ADDIN CSL_CITATION {"citationItems":[{"id":"ITEM-1","itemData":{"DOI":"10.1016/j.eururo.2021.05.001","ISSN":"03022838","author":[{"dropping-particle":"","family":"Rajwa","given":"Pawel","non-dropping-particle":"","parse-names":false,"suffix":""},{"dropping-particle":"","family":"Pradere","given":"Benjamin","non-dropping-particle":"","parse-names":false,"suffix":""},{"dropping-particle":"","family":"Quhal","given":"Fahad","non-dropping-particle":"","parse-names":false,"suffix":""},{"dropping-particle":"","family":"Mori","given":"Keiichiro","non-dropping-particle":"","parse-names":false,"suffix":""},{"dropping-particle":"","family":"Laukhtina","given":"Ekaterina","non-dropping-particle":"","parse-names":false,"suffix":""},{"dropping-particle":"","family":"Huebner","given":"Nicolai A.","non-dropping-particle":"","parse-names":false,"suffix":""},{"dropping-particle":"","family":"D’Andrea","given":"David","non-dropping-particle":"","parse-names":false,"suffix":""},{"dropping-particle":"","family":"Krzywon","given":"Aleksandra","non-dropping-particle":"","parse-names":false,"suffix":""},{"dropping-particle":"","family":"Shim","given":"Sung Ryul","non-dropping-particle":"","parse-names":false,"suffix":""},{"dropping-particle":"","family":"Baltzer","given":"Pascal A.","non-dropping-particle":"","parse-names":false,"suffix":""},{"dropping-particle":"","family":"Renard-Penna","given":"Raphaële","non-dropping-particle":"","parse-names":false,"suffix":""},{"dropping-particle":"","family":"Leapman","given":"Michael S.","non-dropping-particle":"","parse-names":false,"suffix":""},{"dropping-particle":"","family":"Shariat","given":"Shahrokh F.","non-dropping-particle":"","parse-names":false,"suffix":""},{"dropping-particle":"","family":"Ploussard","given":"Guillaume","non-dropping-particle":"","parse-names":false,"suffix":""}],"container-title":"European Urology","id":"ITEM-1","issued":{"date-parts":[["2021","5"]]},"publisher":"Eur Urol","title":"Reliability of Serial Prostate Magnetic Resonance Imaging to Detect Prostate Cancer Progression During Active Surveillance: A Systematic Review and Meta-analysis","type":"article-journal"},"uris":["http://www.mendeley.com/documents/?uuid=0ffb9193-c0ad-3694-9782-4c3235d018c7"]},{"id":"ITEM-2","itemData":{"DOI":"10.1016/j.euo.2020.09.002","ISSN":"25889311","abstract":"CONTEXT The role of multiparametric magnetic resonance imaging (mp-MRI) during active surveillance (AS) of prostate cancer needs evaluation. It remains unclear whether mp-MRI can replace prostate biopsies completely during AS. OBJECTIVE To evaluate the diagnostic performance of mp-MRI for disease progression in men on AS for prostate cancer. EVIDENCE ACQUISITION This systematic review was performed in accordance with the Cochrane Handbook and the Preferred Reporting Items for Systematic Reviews and Meta-analyses (PRISMA). Cross-sectional studies that evaluate the diagnostic performance of mp-MRI (index test) for disease progression compared with systematic and targeted prostate/template biopsies or a composite of this (reference standard) were included. A meta-analysis was performed using STATA with \"metandi\" and \"midas\" commands. EVIDENCE SYNTHESIS Seven studies with 800 patients were included in this systematic review. The pooled pathological progression rate was 27%. The pooled sensitivity and specificity of mp-MRI for disease progression were 0.61 (95% confidence interval [CI]: 0.46-0.74) and 0.78 (95% CI: 0.54-0.91), respectively. Adjusting for a prevalence of disease progression of 30% results in a positive predictive value of 0.43 (95% CI: 0.39-0.46) and a negative predictive value of 0.81 (95% CI: 0.78-0.84). Significant heterogeneity was observed. The meta-regression analysis did not demonstrate any significant outliers. CONCLUSIONS It is not possible to supplant prostate biopsies with mp-MRI in AS protocols with the current level of evidence. There is significant institutional variation in the diagnostic performance of mp-MRI during AS. Institutions must internally audit the diagnostic performance of mp-MRI in the AS setting. AS protocols must be based on local diagnostic performance, rather than on international AS protocols that may have limited applicability at individual settings. PATIENT SUMMARY In this review, we explored the accuracy of multiparametric magnetic resonance imaging in diagnosing disease progression for patients who were enrolled in active surveillance programmes for prostate cancer.","author":[{"dropping-particle":"","family":"Hettiarachchi","given":"Dinul","non-dropping-particle":"","parse-names":false,"suffix":""},{"dropping-particle":"","family":"Geraghty","given":"Rob","non-dropping-particle":"","parse-names":false,"suffix":""},{"dropping-particle":"","family":"Rice","given":"Patrick","non-dropping-particle":"","parse-names":false,"suffix":""},{"dropping-particle":"","family":"Sachdeva","given":"Ashwin","non-dropping-particle":"","parse-names":false,"suffix":""},{"dropping-particle":"","family":"Nambiar","given":"Arjun","non-dropping-particle":"","parse-names":false,"suffix":""},{"dropping-particle":"","family":"Johnson","given":"Mark","non-dropping-particle":"","parse-names":false,"suffix":""},{"dropping-particle":"","family":"Gujadhur","given":"Rahul","non-dropping-particle":"","parse-names":false,"suffix":""},{"dropping-particle":"","family":"Mcneill","given":"Michael","non-dropping-particle":"","parse-names":false,"suffix":""},{"dropping-particle":"","family":"Haslam","given":"Phillip","non-dropping-particle":"","parse-names":false,"suffix":""},{"dropping-particle":"","family":"Soomro","given":"Naeem","non-dropping-particle":"","parse-names":false,"suffix":""},{"dropping-particle":"","family":"Zeeshan Hameed","given":"B.M.","non-dropping-particle":"","parse-names":false,"suffix":""},{"dropping-particle":"","family":"Somani","given":"Bhaskar","non-dropping-particle":"","parse-names":false,"suffix":""},{"dropping-particle":"","family":"Veeratterapillay","given":"Rajan","non-dropping-particle":"","parse-names":false,"suffix":""},{"dropping-particle":"","family":"Rai","given":"Bhavan Prasad","non-dropping-particle":"","parse-names":false,"suffix":""}],"container-title":"European Urology Oncology","id":"ITEM-2","issue":"3","issued":{"date-parts":[["2021","6","1"]]},"page":"426-436","publisher":"Elsevier BV","title":"Can the Use of Serial Multiparametric Magnetic Resonance Imaging During Active Surveillance of Prostate Cancer Avoid the Need for Prostate Biopsies?—A Systematic Diagnostic Test Accuracy Review","type":"article-journal","volume":"4"},"uris":["http://www.mendeley.com/documents/?uuid=e877a8ce-026f-3e6c-8848-90aae3a4db67"]}],"mendeley":{"formattedCitation":"[9,10]","plainTextFormattedCitation":"[9,10]","previouslyFormattedCitation":"[9,10]"},"properties":{"noteIndex":0},"schema":"https://github.com/citation-style-language/schema/raw/master/csl-citation.json"}</w:instrText>
      </w:r>
      <w:r w:rsidR="005001C5">
        <w:rPr>
          <w:sz w:val="24"/>
          <w:szCs w:val="24"/>
          <w:lang w:val="en-US"/>
        </w:rPr>
        <w:fldChar w:fldCharType="separate"/>
      </w:r>
      <w:r w:rsidR="004A3F48" w:rsidRPr="004A3F48">
        <w:rPr>
          <w:noProof/>
          <w:sz w:val="24"/>
          <w:szCs w:val="24"/>
          <w:lang w:val="en-US"/>
        </w:rPr>
        <w:t>[9,10]</w:t>
      </w:r>
      <w:r w:rsidR="005001C5">
        <w:rPr>
          <w:sz w:val="24"/>
          <w:szCs w:val="24"/>
          <w:lang w:val="en-US"/>
        </w:rPr>
        <w:fldChar w:fldCharType="end"/>
      </w:r>
      <w:r w:rsidR="005001C5">
        <w:rPr>
          <w:sz w:val="24"/>
          <w:szCs w:val="24"/>
          <w:lang w:val="en-US"/>
        </w:rPr>
        <w:t>, serial MRI has a reasonable pooled negative predictive value of up to 0.81</w:t>
      </w:r>
      <w:r w:rsidR="00FD3DB1">
        <w:rPr>
          <w:sz w:val="24"/>
          <w:szCs w:val="24"/>
          <w:lang w:val="en-US"/>
        </w:rPr>
        <w:t>;</w:t>
      </w:r>
      <w:r w:rsidR="005001C5">
        <w:rPr>
          <w:sz w:val="24"/>
          <w:szCs w:val="24"/>
          <w:lang w:val="en-US"/>
        </w:rPr>
        <w:t xml:space="preserve"> </w:t>
      </w:r>
      <w:r w:rsidR="002E32C1">
        <w:rPr>
          <w:sz w:val="24"/>
          <w:szCs w:val="24"/>
          <w:lang w:val="en-US"/>
        </w:rPr>
        <w:t>however,</w:t>
      </w:r>
      <w:r w:rsidR="005001C5">
        <w:rPr>
          <w:sz w:val="24"/>
          <w:szCs w:val="24"/>
          <w:lang w:val="en-US"/>
        </w:rPr>
        <w:t xml:space="preserve"> </w:t>
      </w:r>
      <w:r w:rsidR="002E32C1">
        <w:rPr>
          <w:sz w:val="24"/>
          <w:szCs w:val="24"/>
          <w:lang w:val="en-US"/>
        </w:rPr>
        <w:t xml:space="preserve">the </w:t>
      </w:r>
      <w:r w:rsidR="005001C5">
        <w:rPr>
          <w:sz w:val="24"/>
          <w:szCs w:val="24"/>
          <w:lang w:val="en-US"/>
        </w:rPr>
        <w:t>maximum pooled positive predictive value for detecting histopathological</w:t>
      </w:r>
      <w:r w:rsidR="00B4187A" w:rsidRPr="00B4187A">
        <w:rPr>
          <w:sz w:val="24"/>
          <w:szCs w:val="24"/>
        </w:rPr>
        <w:t xml:space="preserve"> </w:t>
      </w:r>
      <w:r w:rsidR="00B4187A">
        <w:rPr>
          <w:sz w:val="24"/>
          <w:szCs w:val="24"/>
          <w:lang w:val="en-US"/>
        </w:rPr>
        <w:t>disease</w:t>
      </w:r>
      <w:r w:rsidR="005001C5">
        <w:rPr>
          <w:sz w:val="24"/>
          <w:szCs w:val="24"/>
          <w:lang w:val="en-US"/>
        </w:rPr>
        <w:t xml:space="preserve"> progression</w:t>
      </w:r>
      <w:r w:rsidR="00357141">
        <w:rPr>
          <w:sz w:val="24"/>
          <w:szCs w:val="24"/>
          <w:lang w:val="en-US"/>
        </w:rPr>
        <w:t xml:space="preserve"> to</w:t>
      </w:r>
      <w:r w:rsidR="00525B7F">
        <w:rPr>
          <w:sz w:val="24"/>
          <w:szCs w:val="24"/>
          <w:lang w:val="en-US"/>
        </w:rPr>
        <w:t xml:space="preserve"> grade group </w:t>
      </w:r>
      <w:r w:rsidR="005769B5" w:rsidRPr="00324AEB">
        <w:rPr>
          <w:rFonts w:cstheme="minorHAnsi"/>
          <w:color w:val="0070C0"/>
          <w:sz w:val="24"/>
          <w:szCs w:val="24"/>
          <w:shd w:val="clear" w:color="auto" w:fill="FFFFFF"/>
        </w:rPr>
        <w:t>≥</w:t>
      </w:r>
      <w:r w:rsidR="008525FD">
        <w:rPr>
          <w:rFonts w:cstheme="minorHAnsi"/>
          <w:color w:val="0070C0"/>
          <w:sz w:val="24"/>
          <w:szCs w:val="24"/>
          <w:shd w:val="clear" w:color="auto" w:fill="FFFFFF"/>
        </w:rPr>
        <w:t xml:space="preserve"> </w:t>
      </w:r>
      <w:r w:rsidR="005769B5" w:rsidRPr="00324AEB">
        <w:rPr>
          <w:rFonts w:cstheme="minorHAnsi"/>
          <w:color w:val="0070C0"/>
          <w:sz w:val="24"/>
          <w:szCs w:val="24"/>
          <w:shd w:val="clear" w:color="auto" w:fill="FFFFFF"/>
        </w:rPr>
        <w:t>2</w:t>
      </w:r>
      <w:r w:rsidR="005001C5">
        <w:rPr>
          <w:sz w:val="24"/>
          <w:szCs w:val="24"/>
          <w:lang w:val="en-US"/>
        </w:rPr>
        <w:t xml:space="preserve"> is 0.52, highlighting the inability of serial MRI to completely replace repeat biopsies as part of AS follow-up </w:t>
      </w:r>
      <w:r w:rsidR="005001C5">
        <w:rPr>
          <w:sz w:val="24"/>
          <w:szCs w:val="24"/>
          <w:lang w:val="en-US"/>
        </w:rPr>
        <w:fldChar w:fldCharType="begin" w:fldLock="1"/>
      </w:r>
      <w:r w:rsidR="009F1A9C">
        <w:rPr>
          <w:sz w:val="24"/>
          <w:szCs w:val="24"/>
          <w:lang w:val="en-US"/>
        </w:rPr>
        <w:instrText>ADDIN CSL_CITATION {"citationItems":[{"id":"ITEM-1","itemData":{"DOI":"10.1038/s41585-020-00416-2","ISSN":"17594820","PMID":"33311651","abstract":"For more than one decade, active surveillance (AS) has been the recommended treatment option for low-risk prostate cancer. The primary concern regarding this strategy is the risk of missing clinically significant higher-risk cancer at diagnosis or during the surveillance phase owing to inadequate biopsy sampling. The risk of incorrectly classifying cancer is estimated to vary from 10% to 30%, and the risk of progression during follow-up monitoring can reach 50% 1. However, the advent of prostate imaging technologies and the widespread use of imaging-directed biopsy techniques offer the potential to reduce the risk of misclassification at diagnosis without drastically reducing the number of patients eligible for AS 2. Multiparametric MRI (mpMRI) prior to biopsy enables early identification of clinically significant foci undetected by systematic , blinded biopsy, and reassures patients and physicians of the safety of AS when imaging reveals no lesions in the prostate. Thus, pre-biopsy mpMRI and mpMRI-guided biopsy should be considered mandatory procedures before low-risk prostate cancer classification and AS, in addition to PSA level evaluation, clinical examination and systematic biopsy. The usefulness of prostate MRI as a follow-up tool in AS programmes, as assessed in a recent study from Fujihara et al. 3 , is not yet established. In their prospective study, Fujihara and colleagues monitored patients with low-risk prostate cancer (grade group 1 determine the likehood of radiological progression. However, in patients who received two or more serial mpMRI scans, the authors demonstrated a significant correlation between MRI progression and biopsy progression (and, therefore, active treatment initiation). In patients with no MRI progression , 2-year biopsy progression-free survival was 95% compared with 85% in patients with MRI progression (P = 0.02). Although this difference appears slight, it will certainly increase with a longer follow-up period. Indeed, a study using the PRECISE tool has demonstrated over a 76-month median follow-up period that 5% of patients who did not show radiological progression (PRECISE score 1-3) experienced clinical progression whereas 61% of patients with radiological progression (PRECISE score 4-5) experienced clinical progression 5. These outcomes highlight the importance of follow-up mpMRI with at least two aims. The first is early identification of cancer progression through guided biopsy: mpMRI can detect and guide targe…","author":[{"dropping-particle":"","family":"Ploussard","given":"Guillaume","non-dropping-particle":"","parse-names":false,"suffix":""},{"dropping-particle":"","family":"Renard-Penna","given":"Raphaële","non-dropping-particle":"","parse-names":false,"suffix":""}],"container-title":"Nature Reviews Urology","id":"ITEM-1","issue":"2","issued":{"date-parts":[["2021","2","1"]]},"page":"77-78","publisher":"Nature Research","title":"MRI-guided active surveillance in prostate cancer: not yet ready for practice","type":"article-journal","volume":"18"},"uris":["http://www.mendeley.com/documents/?uuid=4e80884e-fecd-31a4-ad76-2ae44e7eb679"]},{"id":"ITEM-2","itemData":{"DOI":"10.1111/bju.14166","ISSN":"1464-4096","author":[{"dropping-particle":"","family":"Thurtle","given":"David","non-dropping-particle":"","parse-names":false,"suffix":""},{"dropping-particle":"","family":"Barrett","given":"Tristan","non-dropping-particle":"","parse-names":false,"suffix":""},{"dropping-particle":"","family":"Thankappan-Nair","given":"Vineetha","non-dropping-particle":"","parse-names":false,"suffix":""},{"dropping-particle":"","family":"Koo","given":"Brendan","non-dropping-particle":"","parse-names":false,"suffix":""},{"dropping-particle":"","family":"Warren","given":"Anne","non-dropping-particle":"","parse-names":false,"suffix":""},{"dropping-particle":"","family":"Kastner","given":"Christof","non-dropping-particle":"","parse-names":false,"suffix":""},{"dropping-particle":"","family":"Saeb-Parsy","given":"Kasra","non-dropping-particle":"","parse-names":false,"suffix":""},{"dropping-particle":"","family":"Kimberley-Duffell","given":"Jenna","non-dropping-particle":"","parse-names":false,"suffix":""},{"dropping-particle":"","family":"Gnanapragasam","given":"Vincent J","non-dropping-particle":"","parse-names":false,"suffix":""}],"container-title":"BJU International","id":"ITEM-2","issue":"1","issued":{"date-parts":[["2018"]]},"page":"59-65","publisher":"Wiley","title":"Progression and treatment rates using an active surveillance protocol incorporating image-guided baseline biopsies and multiparametric magnetic resonance imaging monitoring for men with favourable-risk prostate cancer","type":"article-journal","volume":"122"},"uris":["http://www.mendeley.com/documents/?uuid=4d58cba9-ee6b-4aba-88c1-ee5194f34fb0"]}],"mendeley":{"formattedCitation":"[11,12]","plainTextFormattedCitation":"[11,12]","previouslyFormattedCitation":"[11,12]"},"properties":{"noteIndex":0},"schema":"https://github.com/citation-style-language/schema/raw/master/csl-citation.json"}</w:instrText>
      </w:r>
      <w:r w:rsidR="005001C5">
        <w:rPr>
          <w:sz w:val="24"/>
          <w:szCs w:val="24"/>
          <w:lang w:val="en-US"/>
        </w:rPr>
        <w:fldChar w:fldCharType="separate"/>
      </w:r>
      <w:r w:rsidR="009F1A9C" w:rsidRPr="009F1A9C">
        <w:rPr>
          <w:noProof/>
          <w:sz w:val="24"/>
          <w:szCs w:val="24"/>
          <w:lang w:val="en-US"/>
        </w:rPr>
        <w:t>[11,12]</w:t>
      </w:r>
      <w:r w:rsidR="005001C5">
        <w:rPr>
          <w:sz w:val="24"/>
          <w:szCs w:val="24"/>
          <w:lang w:val="en-US"/>
        </w:rPr>
        <w:fldChar w:fldCharType="end"/>
      </w:r>
      <w:r w:rsidR="005001C5">
        <w:rPr>
          <w:sz w:val="24"/>
          <w:szCs w:val="24"/>
          <w:lang w:val="en-US"/>
        </w:rPr>
        <w:t xml:space="preserve">. </w:t>
      </w:r>
    </w:p>
    <w:p w14:paraId="43DD2CC0" w14:textId="39E22FAB" w:rsidR="00382478" w:rsidRDefault="00382478" w:rsidP="00382478">
      <w:pPr>
        <w:rPr>
          <w:sz w:val="24"/>
          <w:szCs w:val="24"/>
          <w:lang w:val="en-US"/>
        </w:rPr>
      </w:pPr>
      <w:r>
        <w:rPr>
          <w:sz w:val="24"/>
          <w:szCs w:val="24"/>
          <w:lang w:val="en-US"/>
        </w:rPr>
        <w:t xml:space="preserve">There are several factors that may explain the limitations of MRI in the context of AS. These include considerable variability of MR imaging quality </w:t>
      </w:r>
      <w:r>
        <w:rPr>
          <w:sz w:val="24"/>
          <w:szCs w:val="24"/>
          <w:lang w:val="en-US"/>
        </w:rPr>
        <w:fldChar w:fldCharType="begin" w:fldLock="1"/>
      </w:r>
      <w:r w:rsidR="009F1A9C">
        <w:rPr>
          <w:sz w:val="24"/>
          <w:szCs w:val="24"/>
          <w:lang w:val="en-US"/>
        </w:rPr>
        <w:instrText>ADDIN CSL_CITATION {"citationItems":[{"id":"ITEM-1","itemData":{"DOI":"10.1007/s00330-020-06929-z","ISSN":"14321084","PMID":"32424596","abstract":"Objectives: This study aims to define consensus-based criteria for acquiring and reporting prostate MRI and establishing prerequisites for image quality. Methods: A total of 44 leading urologists and urogenital radiologists who are experts in prostate cancer imaging from the European Society of Urogenital Radiology (ESUR) and EAU Section of Urologic Imaging (ESUI) participated in a Delphi consensus process. Panellists completed two rounds of questionnaires with 55 items under three headings: image quality assessment, interpretation and reporting, and radiologists’ experience plus training centres. Of 55 questions, 31 were rated for agreement on a 9-point scale, and 24 were multiple-choice or open. For agreement items, there was consensus agreement with an agreement ≥ 70% (score 7–9) and disagreement of ≤ 15% of the panellists. For the other questions, a consensus was considered with ≥ 50% of votes. Results: Twenty-four out of 31 of agreement items and 11/16 of other questions reached consensus. Agreement statements were (1) reporting of image quality should be performed and implemented into clinical practice; (2) for interpretation performance, radiologists should use self-performance tests with histopathology feedback, compare their interpretation with expert-reading and use external performance assessments; and (3) radiologists must attend theoretical and hands-on courses before interpreting prostate MRI. Limitations are that the results are expert opinions and not based on systematic reviews or meta-analyses. There was no consensus on outcomes statements of prostate MRI assessment as quality marker. Conclusions: An ESUR and ESUI expert panel showed high agreement (74%) on issues improving prostate MRI quality. Checking and reporting of image quality are mandatory. Prostate radiologists should attend theoretical and hands-on courses, followed by supervised education, and must perform regular performance assessments. Key Points: • Multi-parametric MRI in the diagnostic pathway of prostate cancer has a well-established upfront role in the recently updated European Association of Urology guideline and American Urological Association recommendations. • Suboptimal image acquisition and reporting at an individual level will result in clinicians losing confidence in the technique and returning to the (non-MRI) systematic biopsy pathway. Therefore, it is crucial to establish quality criteria for the acquisition and reporting of mpMRI. • To ensure high-quality…","author":[{"dropping-particle":"","family":"Rooij","given":"Maarten","non-dropping-particle":"de","parse-names":false,"suffix":""},{"dropping-particle":"","family":"Israël","given":"Bas","non-dropping-particle":"","parse-names":false,"suffix":""},{"dropping-particle":"","family":"Tummers","given":"Marcia","non-dropping-particle":"","parse-names":false,"suffix":""},{"dropping-particle":"","family":"Ahmed","given":"Hashim U.","non-dropping-particle":"","parse-names":false,"suffix":""},{"dropping-particle":"","family":"Barrett","given":"Tristan","non-dropping-particle":"","parse-names":false,"suffix":""},{"dropping-particle":"","family":"Giganti","given":"Francesco","non-dropping-particle":"","parse-names":false,"suffix":""},{"dropping-particle":"","family":"Hamm","given":"Bernd","non-dropping-particle":"","parse-names":false,"suffix":""},{"dropping-particle":"","family":"Løgager","given":"Vibeke","non-dropping-particle":"","parse-names":false,"suffix":""},{"dropping-particle":"","family":"Padhani","given":"Anwar","non-dropping-particle":"","parse-names":false,"suffix":""},{"dropping-particle":"","family":"Panebianco","given":"Valeria","non-dropping-particle":"","parse-names":false,"suffix":""},{"dropping-particle":"","family":"Puech","given":"Philippe","non-dropping-particle":"","parse-names":false,"suffix":""},{"dropping-particle":"","family":"Richenberg","given":"Jonathan","non-dropping-particle":"","parse-names":false,"suffix":""},{"dropping-particle":"","family":"Rouvière","given":"Olivier","non-dropping-particle":"","parse-names":false,"suffix":""},{"dropping-particle":"","family":"Salomon","given":"Georg","non-dropping-particle":"","parse-names":false,"suffix":""},{"dropping-particle":"","family":"Schoots","given":"Ivo","non-dropping-particle":"","parse-names":false,"suffix":""},{"dropping-particle":"","family":"Veltman","given":"Jeroen","non-dropping-particle":"","parse-names":false,"suffix":""},{"dropping-particle":"","family":"Villeirs","given":"Geert","non-dropping-particle":"","parse-names":false,"suffix":""},{"dropping-particle":"","family":"Walz","given":"Jochen","non-dropping-particle":"","parse-names":false,"suffix":""},{"dropping-particle":"","family":"Barentsz","given":"Jelle O.","non-dropping-particle":"","parse-names":false,"suffix":""}],"container-title":"European Radiology","id":"ITEM-1","issued":{"date-parts":[["2020"]]},"publisher":"Springer","title":"ESUR/ESUI consensus statements on multi-parametric MRI for the detection of clinically significant prostate cancer: quality requirements for image acquisition, interpretation and radiologists’ training","type":"article-journal"},"uris":["http://www.mendeley.com/documents/?uuid=745427ad-aa0d-3897-9a5f-e87944ec0243"]},{"id":"ITEM-2","itemData":{"DOI":"10.1016/j.eururo.2020.06.023","ISSN":"18737560","PMID":"32591100","author":[{"dropping-particle":"","family":"Rooij","given":"Maarten","non-dropping-particle":"de","parse-names":false,"suffix":""},{"dropping-particle":"","family":"Israël","given":"Bas","non-dropping-particle":"","parse-names":false,"suffix":""},{"dropping-particle":"","family":"Barrett","given":"Tristan","non-dropping-particle":"","parse-names":false,"suffix":""},{"dropping-particle":"","family":"Giganti","given":"Francesco","non-dropping-particle":"","parse-names":false,"suffix":""},{"dropping-particle":"","family":"Padhani","given":"Anwar R.","non-dropping-particle":"","parse-names":false,"suffix":""},{"dropping-particle":"","family":"Panebianco","given":"Valeria","non-dropping-particle":"","parse-names":false,"suffix":""},{"dropping-particle":"","family":"Richenberg","given":"Jonathan","non-dropping-particle":"","parse-names":false,"suffix":""},{"dropping-particle":"","family":"Salomon","given":"Georg","non-dropping-particle":"","parse-names":false,"suffix":""},{"dropping-particle":"","family":"Schoots","given":"Ivo G.","non-dropping-particle":"","parse-names":false,"suffix":""},{"dropping-particle":"","family":"Villeirs","given":"Geert","non-dropping-particle":"","parse-names":false,"suffix":""},{"dropping-particle":"","family":"Walz","given":"Jochen","non-dropping-particle":"","parse-names":false,"suffix":""},{"dropping-particle":"","family":"Barentsz","given":"Jelle O.","non-dropping-particle":"","parse-names":false,"suffix":""}],"container-title":"European Urology","id":"ITEM-2","issue":"4","issued":{"date-parts":[["2020","10","1"]]},"page":"483-485","publisher":"Elsevier B.V.","title":"Focus on the Quality of Prostate Multiparametric Magnetic Resonance Imaging: Synopsis of the ESUR/ESUI Recommendations on Quality Assessment and Interpretation of Images and Radiologists’ Training","type":"article","volume":"78"},"uris":["http://www.mendeley.com/documents/?uuid=3a364644-9682-3901-82a5-d0461207a193"]}],"mendeley":{"formattedCitation":"[13,14]","plainTextFormattedCitation":"[13,14]","previouslyFormattedCitation":"[13,14]"},"properties":{"noteIndex":0},"schema":"https://github.com/citation-style-language/schema/raw/master/csl-citation.json"}</w:instrText>
      </w:r>
      <w:r>
        <w:rPr>
          <w:sz w:val="24"/>
          <w:szCs w:val="24"/>
          <w:lang w:val="en-US"/>
        </w:rPr>
        <w:fldChar w:fldCharType="separate"/>
      </w:r>
      <w:r w:rsidR="009F1A9C" w:rsidRPr="009F1A9C">
        <w:rPr>
          <w:noProof/>
          <w:sz w:val="24"/>
          <w:szCs w:val="24"/>
          <w:lang w:val="en-US"/>
        </w:rPr>
        <w:t>[13,14]</w:t>
      </w:r>
      <w:r>
        <w:rPr>
          <w:sz w:val="24"/>
          <w:szCs w:val="24"/>
          <w:lang w:val="en-US"/>
        </w:rPr>
        <w:fldChar w:fldCharType="end"/>
      </w:r>
      <w:r>
        <w:rPr>
          <w:sz w:val="24"/>
          <w:szCs w:val="24"/>
          <w:lang w:val="en-US"/>
        </w:rPr>
        <w:t xml:space="preserve"> and radiologists’ experience </w:t>
      </w:r>
      <w:r>
        <w:rPr>
          <w:sz w:val="24"/>
          <w:szCs w:val="24"/>
          <w:lang w:val="en-US"/>
        </w:rPr>
        <w:fldChar w:fldCharType="begin" w:fldLock="1"/>
      </w:r>
      <w:r w:rsidR="009F1A9C">
        <w:rPr>
          <w:sz w:val="24"/>
          <w:szCs w:val="24"/>
          <w:lang w:val="en-US"/>
        </w:rPr>
        <w:instrText>ADDIN CSL_CITATION {"citationItems":[{"id":"ITEM-1","itemData":{"DOI":"10.1111/bju.12892","author":[{"dropping-particle":"","family":"Gaziev","given":"Gabriele","non-dropping-particle":"","parse-names":false,"suffix":""},{"dropping-particle":"","family":"Wadhwa","given":"Karan","non-dropping-particle":"","parse-names":false,"suffix":""},{"dropping-particle":"","family":"Barrett","given":"Tristan","non-dropping-particle":"","parse-names":false,"suffix":""},{"dropping-particle":"","family":"Koo","given":"Brendan C","non-dropping-particle":"","parse-names":false,"suffix":""},{"dropping-particle":"","family":"Gallagher","given":"Ferdia A","non-dropping-particle":"","parse-names":false,"suffix":""},{"dropping-particle":"","family":"Serrao","given":"Eva","non-dropping-particle":"","parse-names":false,"suffix":""},{"dropping-particle":"","family":"Frey","given":"Julia","non-dropping-particle":"","parse-names":false,"suffix":""},{"dropping-particle":"","family":"Seidenader","given":"Jonas","non-dropping-particle":"","parse-names":false,"suffix":""},{"dropping-particle":"","family":"Carmona","given":"Lina","non-dropping-particle":"","parse-names":false,"suffix":""},{"dropping-particle":"","family":"Warren","given":"Anne","non-dropping-particle":"","parse-names":false,"suffix":""},{"dropping-particle":"","family":"Gnanapragasam","given":"Vincent","non-dropping-particle":"","parse-names":false,"suffix":""},{"dropping-particle":"","family":"Doble","given":"Andrew","non-dropping-particle":"","parse-names":false,"suffix":""},{"dropping-particle":"","family":"Kastner","given":"Christof","non-dropping-particle":"","parse-names":false,"suffix":""}],"container-title":"{BJU} International","id":"ITEM-1","issue":"1","issued":{"date-parts":[["2015","5"]]},"page":"80-86","publisher":"Wiley","title":"Defining the learning curve for multiparametric magnetic resonance imaging ({MRI}) of the prostate using {MRI}-transrectal ultrasonography ({TRUS}) fusion-guided transperineal prostate biopsies as a validation tool","type":"article-journal","volume":"117"},"uris":["http://www.mendeley.com/documents/?uuid=4661f8df-5c2a-49ca-8e39-389b7917531b"]},{"id":"ITEM-2","itemData":{"DOI":"10.2214/AJR.16.16876","ISSN":"15463141","PMID":"28026201","abstract":"OBJECTIVE. The purpose of this study is to evaluate the roles of self-directed learning and continual feedback in the learning curve for tumor detection by novice readers of prostate MRI. MATERIALS AND METHODS. A total of 124 prostate MRI examinations classified as positive (n = 52; single Prostate Imaging Reporting and Data System [PI-RADS] category 3 or higher lesion showing Gleason score ≥ 7 tumor at MRI-targeted biopsy) or negative (n = 72; PI-RADS category 2 or lower and negative biopsy) for detectable tumor were included. These were divided into four equal-sized batches, each with matching numbers of positive and negative examinations. Six second-year radiology residents reviewed examinations to localize tumors. Three of the six readers received feedback after each examination showing the preceding case's solution. The learning curve, plotting accuracy over time, was assessed by the Akaike information criterion (AIC). Logistic regression and mixed-model ANOVA were performed. RESULTS. For readers with and without feedback, the learning curve exhibited an initial rapid improvement that slowed after 40 examinations (change in AIC &gt; 0.2%). Accuracy improved from 58.1% (batch 1) to 71.0-75.3% (batches 2-4) without feedback and from 58.1% to 72.0-77.4% with feedback (p = 0.027-0.046), without a difference in the extent of improvement (p = 0.800). Specificity improved from 53.7% to 68.5-81.5% without feedback and from 55.6% to 74.1-81.5% with feedback (p = 0.006-0.010), without a difference in the extent of improvement (p = 0.891). Sensitivity improved from 59.0-61.5% (batches 1-2) to 71.8-76.9% (batches 3-4) with feedback (p = 0.052), though did not improve without feedback (p = 0.602). Sensitivity for transition zone tumors exhibited larger changes (p = 0.024) with feedback than without feedback. Sensitivity for peripheral zone tumors did not improve in either group (p &gt; 0.3). Reader confidence increased only with feedback (p &gt; 0.001). CONCLUSION. The learning curve in prostate tumor detection largely reflected selfdirected learning. Continual feedback had a lesser effect. Clinical prostate MRI interpretation by novice radiologists warrants caution.","author":[{"dropping-particle":"","family":"Rosenkrantz","given":"Andrew B.","non-dropping-particle":"","parse-names":false,"suffix":""},{"dropping-particle":"","family":"Ayoola","given":"Abimbola","non-dropping-particle":"","parse-names":false,"suffix":""},{"dropping-particle":"","family":"Hoffman","given":"David","non-dropping-particle":"","parse-names":false,"suffix":""},{"dropping-particle":"","family":"Khasgiwala","given":"Anunita","non-dropping-particle":"","parse-names":false,"suffix":""},{"dropping-particle":"","family":"Prabhu","given":"Vinay","non-dropping-particle":"","parse-names":false,"suffix":""},{"dropping-particle":"","family":"Smereka","given":"Paul","non-dropping-particle":"","parse-names":false,"suffix":""},{"dropping-particle":"","family":"Somberg","given":"Molly","non-dropping-particle":"","parse-names":false,"suffix":""},{"dropping-particle":"","family":"Taneja","given":"Samir S.","non-dropping-particle":"","parse-names":false,"suffix":""}],"container-title":"American Journal of Roentgenology","id":"ITEM-2","issue":"3","issued":{"date-parts":[["2017","3","1"]]},"page":"W92-W100","publisher":"American Roentgen Ray Society","title":"The learning curve in prostate MRI interpretation: Self-directed learning versus continual reader feedback","type":"paper-conference","volume":"208"},"uris":["http://www.mendeley.com/documents/?uuid=73852e3b-12e8-302e-9dfa-690f8b2bc0a6"]}],"mendeley":{"formattedCitation":"[15,16]","plainTextFormattedCitation":"[15,16]","previouslyFormattedCitation":"[15,16]"},"properties":{"noteIndex":0},"schema":"https://github.com/citation-style-language/schema/raw/master/csl-citation.json"}</w:instrText>
      </w:r>
      <w:r>
        <w:rPr>
          <w:sz w:val="24"/>
          <w:szCs w:val="24"/>
          <w:lang w:val="en-US"/>
        </w:rPr>
        <w:fldChar w:fldCharType="separate"/>
      </w:r>
      <w:r w:rsidR="009F1A9C" w:rsidRPr="009F1A9C">
        <w:rPr>
          <w:noProof/>
          <w:sz w:val="24"/>
          <w:szCs w:val="24"/>
          <w:lang w:val="en-US"/>
        </w:rPr>
        <w:t>[15,16]</w:t>
      </w:r>
      <w:r>
        <w:rPr>
          <w:sz w:val="24"/>
          <w:szCs w:val="24"/>
          <w:lang w:val="en-US"/>
        </w:rPr>
        <w:fldChar w:fldCharType="end"/>
      </w:r>
      <w:r w:rsidR="00CA678A">
        <w:rPr>
          <w:sz w:val="24"/>
          <w:szCs w:val="24"/>
          <w:lang w:val="en-US"/>
        </w:rPr>
        <w:t xml:space="preserve">, as well as the subjective nature of the </w:t>
      </w:r>
      <w:r w:rsidR="00F93185" w:rsidRPr="00382478">
        <w:rPr>
          <w:sz w:val="24"/>
          <w:szCs w:val="24"/>
          <w:lang w:val="en-US"/>
        </w:rPr>
        <w:t>Prostate</w:t>
      </w:r>
      <w:r w:rsidR="00F93185">
        <w:rPr>
          <w:sz w:val="24"/>
          <w:szCs w:val="24"/>
          <w:lang w:val="en-US"/>
        </w:rPr>
        <w:t xml:space="preserve"> </w:t>
      </w:r>
      <w:r w:rsidR="00F93185" w:rsidRPr="00382478">
        <w:rPr>
          <w:sz w:val="24"/>
          <w:szCs w:val="24"/>
          <w:lang w:val="en-US"/>
        </w:rPr>
        <w:t>Cancer Radiological Estimation of Change in Sequential</w:t>
      </w:r>
      <w:r w:rsidR="00F93185">
        <w:rPr>
          <w:sz w:val="24"/>
          <w:szCs w:val="24"/>
          <w:lang w:val="en-US"/>
        </w:rPr>
        <w:t xml:space="preserve"> </w:t>
      </w:r>
      <w:r w:rsidR="00F93185" w:rsidRPr="00382478">
        <w:rPr>
          <w:sz w:val="24"/>
          <w:szCs w:val="24"/>
          <w:lang w:val="en-US"/>
        </w:rPr>
        <w:t>Evaluation (PRECISE) recommendations</w:t>
      </w:r>
      <w:r w:rsidR="00F93185">
        <w:rPr>
          <w:sz w:val="24"/>
          <w:szCs w:val="24"/>
          <w:lang w:val="en-US"/>
        </w:rPr>
        <w:t xml:space="preserve"> </w:t>
      </w:r>
      <w:r w:rsidR="00F93185">
        <w:rPr>
          <w:sz w:val="24"/>
          <w:szCs w:val="24"/>
          <w:lang w:val="en-US"/>
        </w:rPr>
        <w:fldChar w:fldCharType="begin" w:fldLock="1"/>
      </w:r>
      <w:r w:rsidR="009F1A9C">
        <w:rPr>
          <w:sz w:val="24"/>
          <w:szCs w:val="24"/>
          <w:lang w:val="en-US"/>
        </w:rPr>
        <w:instrText>ADDIN CSL_CITATION {"citationItems":[{"id":"ITEM-1","itemData":{"DOI":"10.1016/j.eururo.2016.06.011","ISSN":"18737560","PMID":"27349615","abstract":"Background Published data on prostate magnetic resonance imaging (MRI) during follow-up of men on active surveillance are lacking. Current guidelines for prostate MRI reporting concentrate on prostate cancer (PCa) detection and staging. A standardised approach to prostate MRI reporting for active surveillance will facilitate the robust collection of evidence in this newly developing area. Objective To develop preliminary recommendations for reporting of individual MRI studies in men on active surveillance and for researchers reporting the outcomes of cohorts of men having MRI on active surveillance. Design, setting, and participants The RAND/UCLA Appropriateness Method was used. Experts in urology, radiology, and radiation oncology developed a set of 394 statements relevant to prostate MRI reporting in men on active surveillance for PCa. Each statement was scored for agreement on a 9-point scale by each panellist prior to a panel meeting. Each statement was discussed and rescored at the meeting. Outcome measurements and statistical analysis Measures of agreement and consensus were calculated for each statement. The most important statements, derived from both group discussion and scores of agreement and consensus, were used to create the Prostate Cancer Radiological Estimation of Change in Sequential Evaluation (PRECISE) checklist and case report form. Results and limitations Key recommendations include reporting the index lesion size using absolute values at baseline and at each subsequent MRI. Radiologists should assess the likelihood of true change over time (ie, change in size or change in lesion characteristics on one or more sequences) on a 1–5 scale. A checklist of items for reporting a cohort of men on active surveillance was developed. These items were developed based on expert consensus in many areas in which data are lacking, and they are expected to develop and change as evidence is accrued. Conclusions The PRECISE recommendations are designed to facilitate the development of a robust evidence database for documenting changes in prostate MRI findings over time of men on active surveillance. If used, they will facilitate data collection to distinguish measurement error and natural variability in MRI appearances from true radiologic progression. Patient summary Few published reports are available on how to use and interpret magnetic resonance imaging for men on active surveillance for prostate cancer. The PRECISE panel recommends that data sho…","author":[{"dropping-particle":"","family":"Moore","given":"Caroline M.","non-dropping-particle":"","parse-names":false,"suffix":""},{"dropping-particle":"","family":"Giganti","given":"Francesco","non-dropping-particle":"","parse-names":false,"suffix":""},{"dropping-particle":"","family":"Albertsen","given":"Peter","non-dropping-particle":"","parse-names":false,"suffix":""},{"dropping-particle":"","family":"Allen","given":"Clare","non-dropping-particle":"","parse-names":false,"suffix":""},{"dropping-particle":"","family":"Bangma","given":"Chris","non-dropping-particle":"","parse-names":false,"suffix":""},{"dropping-particle":"","family":"Briganti","given":"Alberto","non-dropping-particle":"","parse-names":false,"suffix":""},{"dropping-particle":"","family":"Carroll","given":"Peter","non-dropping-particle":"","parse-names":false,"suffix":""},{"dropping-particle":"","family":"Haider","given":"Masoom","non-dropping-particle":"","parse-names":false,"suffix":""},{"dropping-particle":"","family":"Kasivisvanathan","given":"Veeru","non-dropping-particle":"","parse-names":false,"suffix":""},{"dropping-particle":"","family":"Kirkham","given":"Alex","non-dropping-particle":"","parse-names":false,"suffix":""},{"dropping-particle":"","family":"Klotz","given":"Laurence","non-dropping-particle":"","parse-names":false,"suffix":""},{"dropping-particle":"","family":"Ouzzane","given":"Adil","non-dropping-particle":"","parse-names":false,"suffix":""},{"dropping-particle":"","family":"Padhani","given":"Anwar R.","non-dropping-particle":"","parse-names":false,"suffix":""},{"dropping-particle":"","family":"Panebianco","given":"Valeria","non-dropping-particle":"","parse-names":false,"suffix":""},{"dropping-particle":"","family":"Pinto","given":"Peter","non-dropping-particle":"","parse-names":false,"suffix":""},{"dropping-particle":"","family":"Puech","given":"Philippe","non-dropping-particle":"","parse-names":false,"suffix":""},{"dropping-particle":"","family":"Rannikko","given":"Antti","non-dropping-particle":"","parse-names":false,"suffix":""},{"dropping-particle":"","family":"Renard-Penna","given":"Raphaele","non-dropping-particle":"","parse-names":false,"suffix":""},{"dropping-particle":"","family":"Touijer","given":"Karim","non-dropping-particle":"","parse-names":false,"suffix":""},{"dropping-particle":"","family":"Turkbey","given":"Baris","non-dropping-particle":"","parse-names":false,"suffix":""},{"dropping-particle":"","family":"Poppel","given":"Heinrik","non-dropping-particle":"van","parse-names":false,"suffix":""},{"dropping-particle":"","family":"Valdagni","given":"Riccardo","non-dropping-particle":"","parse-names":false,"suffix":""},{"dropping-particle":"","family":"Walz","given":"Jochen","non-dropping-particle":"","parse-names":false,"suffix":""},{"dropping-particle":"","family":"Schoots","given":"Ivo","non-dropping-particle":"","parse-names":false,"suffix":""}],"container-title":"European Urology","id":"ITEM-1","issue":"4","issued":{"date-parts":[["2017","4","1"]]},"page":"648-655","publisher":"Elsevier B.V.","title":"Reporting Magnetic Resonance Imaging in Men on Active Surveillance for Prostate Cancer: The PRECISE Recommendations—A Report of a European School of Oncology Task Force","type":"article-journal","volume":"71"},"uris":["http://www.mendeley.com/documents/?uuid=b27d3b26-206c-3db7-883a-159f8f631f87"]}],"mendeley":{"formattedCitation":"[17]","plainTextFormattedCitation":"[17]","previouslyFormattedCitation":"[17]"},"properties":{"noteIndex":0},"schema":"https://github.com/citation-style-language/schema/raw/master/csl-citation.json"}</w:instrText>
      </w:r>
      <w:r w:rsidR="00F93185">
        <w:rPr>
          <w:sz w:val="24"/>
          <w:szCs w:val="24"/>
          <w:lang w:val="en-US"/>
        </w:rPr>
        <w:fldChar w:fldCharType="separate"/>
      </w:r>
      <w:r w:rsidR="009F1A9C" w:rsidRPr="009F1A9C">
        <w:rPr>
          <w:noProof/>
          <w:sz w:val="24"/>
          <w:szCs w:val="24"/>
          <w:lang w:val="en-US"/>
        </w:rPr>
        <w:t>[17]</w:t>
      </w:r>
      <w:r w:rsidR="00F93185">
        <w:rPr>
          <w:sz w:val="24"/>
          <w:szCs w:val="24"/>
          <w:lang w:val="en-US"/>
        </w:rPr>
        <w:fldChar w:fldCharType="end"/>
      </w:r>
      <w:r w:rsidR="00F93185">
        <w:rPr>
          <w:sz w:val="24"/>
          <w:szCs w:val="24"/>
          <w:lang w:val="en-US"/>
        </w:rPr>
        <w:t xml:space="preserve"> designed to </w:t>
      </w:r>
      <w:proofErr w:type="spellStart"/>
      <w:r w:rsidR="00F93185">
        <w:rPr>
          <w:sz w:val="24"/>
          <w:szCs w:val="24"/>
          <w:lang w:val="en-US"/>
        </w:rPr>
        <w:t>standardise</w:t>
      </w:r>
      <w:proofErr w:type="spellEnd"/>
      <w:r w:rsidR="00F93185">
        <w:rPr>
          <w:sz w:val="24"/>
          <w:szCs w:val="24"/>
          <w:lang w:val="en-US"/>
        </w:rPr>
        <w:t xml:space="preserve"> serial MRI reporting on AS. More specifically, PRECISE assessment criteria lack a clear definition of a “clinically significant” radiological progression, which is particularly critical for assigning a PRECISE category 4, defined as “</w:t>
      </w:r>
      <w:r w:rsidR="00A3200F">
        <w:rPr>
          <w:sz w:val="24"/>
          <w:szCs w:val="24"/>
          <w:lang w:val="en-US"/>
        </w:rPr>
        <w:t xml:space="preserve">significant </w:t>
      </w:r>
      <w:r w:rsidR="00F93185">
        <w:rPr>
          <w:sz w:val="24"/>
          <w:szCs w:val="24"/>
          <w:lang w:val="en-US"/>
        </w:rPr>
        <w:t>i</w:t>
      </w:r>
      <w:r w:rsidR="00F93185" w:rsidRPr="00F93185">
        <w:rPr>
          <w:sz w:val="24"/>
          <w:szCs w:val="24"/>
          <w:lang w:val="en-US"/>
        </w:rPr>
        <w:t>ncrease in size and/or conspicuity</w:t>
      </w:r>
      <w:r w:rsidR="00F93185">
        <w:rPr>
          <w:sz w:val="24"/>
          <w:szCs w:val="24"/>
          <w:lang w:val="en-US"/>
        </w:rPr>
        <w:t xml:space="preserve">”. </w:t>
      </w:r>
      <w:r w:rsidR="00521D76">
        <w:rPr>
          <w:sz w:val="24"/>
          <w:szCs w:val="24"/>
          <w:lang w:val="en-US"/>
        </w:rPr>
        <w:t>Consequently</w:t>
      </w:r>
      <w:r w:rsidR="00F93185">
        <w:rPr>
          <w:sz w:val="24"/>
          <w:szCs w:val="24"/>
          <w:lang w:val="en-US"/>
        </w:rPr>
        <w:t xml:space="preserve">, PRECISE </w:t>
      </w:r>
      <w:r w:rsidR="00D44FDF">
        <w:rPr>
          <w:sz w:val="24"/>
          <w:szCs w:val="24"/>
          <w:lang w:val="en-US"/>
        </w:rPr>
        <w:t xml:space="preserve">scoring </w:t>
      </w:r>
      <w:r w:rsidR="00F93185">
        <w:rPr>
          <w:sz w:val="24"/>
          <w:szCs w:val="24"/>
          <w:lang w:val="en-US"/>
        </w:rPr>
        <w:t>show</w:t>
      </w:r>
      <w:r w:rsidR="00D44FDF">
        <w:rPr>
          <w:sz w:val="24"/>
          <w:szCs w:val="24"/>
          <w:lang w:val="en-US"/>
        </w:rPr>
        <w:t>s</w:t>
      </w:r>
      <w:r w:rsidR="00F93185">
        <w:rPr>
          <w:sz w:val="24"/>
          <w:szCs w:val="24"/>
          <w:lang w:val="en-US"/>
        </w:rPr>
        <w:t xml:space="preserve"> no superiority </w:t>
      </w:r>
      <w:r w:rsidR="00D44FDF">
        <w:rPr>
          <w:sz w:val="24"/>
          <w:szCs w:val="24"/>
          <w:lang w:val="en-US"/>
        </w:rPr>
        <w:t>over</w:t>
      </w:r>
      <w:r w:rsidR="00F93185">
        <w:rPr>
          <w:sz w:val="24"/>
          <w:szCs w:val="24"/>
          <w:lang w:val="en-US"/>
        </w:rPr>
        <w:t xml:space="preserve"> </w:t>
      </w:r>
      <w:r w:rsidR="00D44FDF">
        <w:rPr>
          <w:sz w:val="24"/>
          <w:szCs w:val="24"/>
          <w:lang w:val="en-US"/>
        </w:rPr>
        <w:t xml:space="preserve">non-standardised </w:t>
      </w:r>
      <w:r w:rsidR="00F93185">
        <w:rPr>
          <w:sz w:val="24"/>
          <w:szCs w:val="24"/>
          <w:lang w:val="en-US"/>
        </w:rPr>
        <w:t>institutional criteria of disease progression</w:t>
      </w:r>
      <w:r w:rsidR="00D44FDF">
        <w:rPr>
          <w:sz w:val="24"/>
          <w:szCs w:val="24"/>
          <w:lang w:val="en-US"/>
        </w:rPr>
        <w:t xml:space="preserve"> </w:t>
      </w:r>
      <w:r w:rsidR="00D44FDF">
        <w:rPr>
          <w:sz w:val="24"/>
          <w:szCs w:val="24"/>
          <w:lang w:val="en-US"/>
        </w:rPr>
        <w:fldChar w:fldCharType="begin" w:fldLock="1"/>
      </w:r>
      <w:r w:rsidR="00D44FDF">
        <w:rPr>
          <w:sz w:val="24"/>
          <w:szCs w:val="24"/>
          <w:lang w:val="en-US"/>
        </w:rPr>
        <w:instrText>ADDIN CSL_CITATION {"citationItems":[{"id":"ITEM-1","itemData":{"DOI":"10.1016/j.eururo.2021.05.001","ISSN":"03022838","author":[{"dropping-particle":"","family":"Rajwa","given":"Pawel","non-dropping-particle":"","parse-names":false,"suffix":""},{"dropping-particle":"","family":"Pradere","given":"Benjamin","non-dropping-particle":"","parse-names":false,"suffix":""},{"dropping-particle":"","family":"Quhal","given":"Fahad","non-dropping-particle":"","parse-names":false,"suffix":""},{"dropping-particle":"","family":"Mori","given":"Keiichiro","non-dropping-particle":"","parse-names":false,"suffix":""},{"dropping-particle":"","family":"Laukhtina","given":"Ekaterina","non-dropping-particle":"","parse-names":false,"suffix":""},{"dropping-particle":"","family":"Huebner","given":"Nicolai A.","non-dropping-particle":"","parse-names":false,"suffix":""},{"dropping-particle":"","family":"D’Andrea","given":"David","non-dropping-particle":"","parse-names":false,"suffix":""},{"dropping-particle":"","family":"Krzywon","given":"Aleksandra","non-dropping-particle":"","parse-names":false,"suffix":""},{"dropping-particle":"","family":"Shim","given":"Sung Ryul","non-dropping-particle":"","parse-names":false,"suffix":""},{"dropping-particle":"","family":"Baltzer","given":"Pascal A.","non-dropping-particle":"","parse-names":false,"suffix":""},{"dropping-particle":"","family":"Renard-Penna","given":"Raphaële","non-dropping-particle":"","parse-names":false,"suffix":""},{"dropping-particle":"","family":"Leapman","given":"Michael S.","non-dropping-particle":"","parse-names":false,"suffix":""},{"dropping-particle":"","family":"Shariat","given":"Shahrokh F.","non-dropping-particle":"","parse-names":false,"suffix":""},{"dropping-particle":"","family":"Ploussard","given":"Guillaume","non-dropping-particle":"","parse-names":false,"suffix":""}],"container-title":"European Urology","id":"ITEM-1","issued":{"date-parts":[["2021","5"]]},"publisher":"Eur Urol","title":"Reliability of Serial Prostate Magnetic Resonance Imaging to Detect Prostate Cancer Progression During Active Surveillance: A Systematic Review and Meta-analysis","type":"article-journal"},"uris":["http://www.mendeley.com/documents/?uuid=0ffb9193-c0ad-3694-9782-4c3235d018c7"]},{"id":"ITEM-2","itemData":{"DOI":"10.1016/j.euo.2020.09.002","ISSN":"25889311","abstract":"CONTEXT The role of multiparametric magnetic resonance imaging (mp-MRI) during active surveillance (AS) of prostate cancer needs evaluation. It remains unclear whether mp-MRI can replace prostate biopsies completely during AS. OBJECTIVE To evaluate the diagnostic performance of mp-MRI for disease progression in men on AS for prostate cancer. EVIDENCE ACQUISITION This systematic review was performed in accordance with the Cochrane Handbook and the Preferred Reporting Items for Systematic Reviews and Meta-analyses (PRISMA). Cross-sectional studies that evaluate the diagnostic performance of mp-MRI (index test) for disease progression compared with systematic and targeted prostate/template biopsies or a composite of this (reference standard) were included. A meta-analysis was performed using STATA with \"metandi\" and \"midas\" commands. EVIDENCE SYNTHESIS Seven studies with 800 patients were included in this systematic review. The pooled pathological progression rate was 27%. The pooled sensitivity and specificity of mp-MRI for disease progression were 0.61 (95% confidence interval [CI]: 0.46-0.74) and 0.78 (95% CI: 0.54-0.91), respectively. Adjusting for a prevalence of disease progression of 30% results in a positive predictive value of 0.43 (95% CI: 0.39-0.46) and a negative predictive value of 0.81 (95% CI: 0.78-0.84). Significant heterogeneity was observed. The meta-regression analysis did not demonstrate any significant outliers. CONCLUSIONS It is not possible to supplant prostate biopsies with mp-MRI in AS protocols with the current level of evidence. There is significant institutional variation in the diagnostic performance of mp-MRI during AS. Institutions must internally audit the diagnostic performance of mp-MRI in the AS setting. AS protocols must be based on local diagnostic performance, rather than on international AS protocols that may have limited applicability at individual settings. PATIENT SUMMARY In this review, we explored the accuracy of multiparametric magnetic resonance imaging in diagnosing disease progression for patients who were enrolled in active surveillance programmes for prostate cancer.","author":[{"dropping-particle":"","family":"Hettiarachchi","given":"Dinul","non-dropping-particle":"","parse-names":false,"suffix":""},{"dropping-particle":"","family":"Geraghty","given":"Rob","non-dropping-particle":"","parse-names":false,"suffix":""},{"dropping-particle":"","family":"Rice","given":"Patrick","non-dropping-particle":"","parse-names":false,"suffix":""},{"dropping-particle":"","family":"Sachdeva","given":"Ashwin","non-dropping-particle":"","parse-names":false,"suffix":""},{"dropping-particle":"","family":"Nambiar","given":"Arjun","non-dropping-particle":"","parse-names":false,"suffix":""},{"dropping-particle":"","family":"Johnson","given":"Mark","non-dropping-particle":"","parse-names":false,"suffix":""},{"dropping-particle":"","family":"Gujadhur","given":"Rahul","non-dropping-particle":"","parse-names":false,"suffix":""},{"dropping-particle":"","family":"Mcneill","given":"Michael","non-dropping-particle":"","parse-names":false,"suffix":""},{"dropping-particle":"","family":"Haslam","given":"Phillip","non-dropping-particle":"","parse-names":false,"suffix":""},{"dropping-particle":"","family":"Soomro","given":"Naeem","non-dropping-particle":"","parse-names":false,"suffix":""},{"dropping-particle":"","family":"Zeeshan Hameed","given":"B.M.","non-dropping-particle":"","parse-names":false,"suffix":""},{"dropping-particle":"","family":"Somani","given":"Bhaskar","non-dropping-particle":"","parse-names":false,"suffix":""},{"dropping-particle":"","family":"Veeratterapillay","given":"Rajan","non-dropping-particle":"","parse-names":false,"suffix":""},{"dropping-particle":"","family":"Rai","given":"Bhavan Prasad","non-dropping-particle":"","parse-names":false,"suffix":""}],"container-title":"European Urology Oncology","id":"ITEM-2","issue":"3","issued":{"date-parts":[["2021","6","1"]]},"page":"426-436","publisher":"Elsevier BV","title":"Can the Use of Serial Multiparametric Magnetic Resonance Imaging During Active Surveillance of Prostate Cancer Avoid the Need for Prostate Biopsies?—A Systematic Diagnostic Test Accuracy Review","type":"article-journal","volume":"4"},"uris":["http://www.mendeley.com/documents/?uuid=e877a8ce-026f-3e6c-8848-90aae3a4db67"]}],"mendeley":{"formattedCitation":"[9,10]","plainTextFormattedCitation":"[9,10]","previouslyFormattedCitation":"[9,10]"},"properties":{"noteIndex":0},"schema":"https://github.com/citation-style-language/schema/raw/master/csl-citation.json"}</w:instrText>
      </w:r>
      <w:r w:rsidR="00D44FDF">
        <w:rPr>
          <w:sz w:val="24"/>
          <w:szCs w:val="24"/>
          <w:lang w:val="en-US"/>
        </w:rPr>
        <w:fldChar w:fldCharType="separate"/>
      </w:r>
      <w:r w:rsidR="00D44FDF" w:rsidRPr="004A3F48">
        <w:rPr>
          <w:noProof/>
          <w:sz w:val="24"/>
          <w:szCs w:val="24"/>
          <w:lang w:val="en-US"/>
        </w:rPr>
        <w:t>[9,10]</w:t>
      </w:r>
      <w:r w:rsidR="00D44FDF">
        <w:rPr>
          <w:sz w:val="24"/>
          <w:szCs w:val="24"/>
          <w:lang w:val="en-US"/>
        </w:rPr>
        <w:fldChar w:fldCharType="end"/>
      </w:r>
      <w:r w:rsidR="00F93185">
        <w:rPr>
          <w:sz w:val="24"/>
          <w:szCs w:val="24"/>
          <w:lang w:val="en-US"/>
        </w:rPr>
        <w:t xml:space="preserve">, </w:t>
      </w:r>
      <w:r w:rsidR="00D44FDF">
        <w:rPr>
          <w:sz w:val="24"/>
          <w:szCs w:val="24"/>
          <w:lang w:val="en-US"/>
        </w:rPr>
        <w:t>highlighting an</w:t>
      </w:r>
      <w:r w:rsidR="00F93185">
        <w:rPr>
          <w:sz w:val="24"/>
          <w:szCs w:val="24"/>
          <w:lang w:val="en-US"/>
        </w:rPr>
        <w:t xml:space="preserve"> unmet clinical need for </w:t>
      </w:r>
      <w:r w:rsidR="00D44FDF">
        <w:rPr>
          <w:sz w:val="24"/>
          <w:szCs w:val="24"/>
          <w:lang w:val="en-US"/>
        </w:rPr>
        <w:t>providing objective</w:t>
      </w:r>
      <w:r w:rsidR="003B1B89">
        <w:rPr>
          <w:sz w:val="24"/>
          <w:szCs w:val="24"/>
          <w:lang w:val="en-US"/>
        </w:rPr>
        <w:t xml:space="preserve"> MRI </w:t>
      </w:r>
      <w:r w:rsidR="00D44FDF">
        <w:rPr>
          <w:sz w:val="24"/>
          <w:szCs w:val="24"/>
          <w:lang w:val="en-US"/>
        </w:rPr>
        <w:t>biomarkers</w:t>
      </w:r>
      <w:r w:rsidR="003B1B89">
        <w:rPr>
          <w:sz w:val="24"/>
          <w:szCs w:val="24"/>
          <w:lang w:val="en-US"/>
        </w:rPr>
        <w:t xml:space="preserve"> in the AS setting</w:t>
      </w:r>
      <w:r w:rsidR="009F1A9C">
        <w:rPr>
          <w:sz w:val="24"/>
          <w:szCs w:val="24"/>
          <w:lang w:val="en-US"/>
        </w:rPr>
        <w:t xml:space="preserve"> </w:t>
      </w:r>
      <w:r w:rsidR="009F1A9C">
        <w:rPr>
          <w:sz w:val="24"/>
          <w:szCs w:val="24"/>
          <w:lang w:val="en-US"/>
        </w:rPr>
        <w:fldChar w:fldCharType="begin" w:fldLock="1"/>
      </w:r>
      <w:r w:rsidR="00DD4E3A">
        <w:rPr>
          <w:sz w:val="24"/>
          <w:szCs w:val="24"/>
          <w:lang w:val="en-US"/>
        </w:rPr>
        <w:instrText>ADDIN CSL_CITATION {"citationItems":[{"id":"ITEM-1","itemData":{"DOI":"10.1016/j.eururo.2021.05.024","ISSN":"03022838","author":[{"dropping-particle":"","family":"Padhani","given":"Anwar R.","non-dropping-particle":"","parse-names":false,"suffix":""},{"dropping-particle":"","family":"Rouvière","given":"Olivier","non-dropping-particle":"","parse-names":false,"suffix":""},{"dropping-particle":"","family":"Schoots","given":"Ivo G.","non-dropping-particle":"","parse-names":false,"suffix":""}],"container-title":"European Urology","id":"ITEM-1","issued":{"date-parts":[["2021","5"]]},"publisher":"Eur Urol","title":"Magnetic Resonance Imaging for Tailoring the Need to Biopsy During Follow-up for Men on Active Surveillance for Prostate Cancer","type":"article-journal"},"uris":["http://www.mendeley.com/documents/?uuid=9a206f5a-81f1-37d9-bc06-ced37b430293"]}],"mendeley":{"formattedCitation":"[18]","plainTextFormattedCitation":"[18]","previouslyFormattedCitation":"[18]"},"properties":{"noteIndex":0},"schema":"https://github.com/citation-style-language/schema/raw/master/csl-citation.json"}</w:instrText>
      </w:r>
      <w:r w:rsidR="009F1A9C">
        <w:rPr>
          <w:sz w:val="24"/>
          <w:szCs w:val="24"/>
          <w:lang w:val="en-US"/>
        </w:rPr>
        <w:fldChar w:fldCharType="separate"/>
      </w:r>
      <w:r w:rsidR="009F1A9C" w:rsidRPr="009F1A9C">
        <w:rPr>
          <w:noProof/>
          <w:sz w:val="24"/>
          <w:szCs w:val="24"/>
          <w:lang w:val="en-US"/>
        </w:rPr>
        <w:t>[18]</w:t>
      </w:r>
      <w:r w:rsidR="009F1A9C">
        <w:rPr>
          <w:sz w:val="24"/>
          <w:szCs w:val="24"/>
          <w:lang w:val="en-US"/>
        </w:rPr>
        <w:fldChar w:fldCharType="end"/>
      </w:r>
      <w:r w:rsidR="003B1B89">
        <w:rPr>
          <w:sz w:val="24"/>
          <w:szCs w:val="24"/>
          <w:lang w:val="en-US"/>
        </w:rPr>
        <w:t xml:space="preserve">. </w:t>
      </w:r>
      <w:r w:rsidR="00265374">
        <w:rPr>
          <w:sz w:val="24"/>
          <w:szCs w:val="24"/>
          <w:lang w:val="en-US"/>
        </w:rPr>
        <w:t xml:space="preserve">While several attempts have been made to identify </w:t>
      </w:r>
      <w:r w:rsidR="0077111A">
        <w:rPr>
          <w:sz w:val="24"/>
          <w:szCs w:val="24"/>
          <w:lang w:val="en-US"/>
        </w:rPr>
        <w:t xml:space="preserve">specific </w:t>
      </w:r>
      <w:r w:rsidR="00265374">
        <w:rPr>
          <w:sz w:val="24"/>
          <w:szCs w:val="24"/>
          <w:lang w:val="en-US"/>
        </w:rPr>
        <w:t xml:space="preserve">tumour </w:t>
      </w:r>
      <w:r w:rsidR="00F93185">
        <w:rPr>
          <w:sz w:val="24"/>
          <w:szCs w:val="24"/>
          <w:lang w:val="en-US"/>
        </w:rPr>
        <w:t>measurements</w:t>
      </w:r>
      <w:r w:rsidR="00265374">
        <w:rPr>
          <w:sz w:val="24"/>
          <w:szCs w:val="24"/>
          <w:lang w:val="en-US"/>
        </w:rPr>
        <w:t xml:space="preserve"> and apparent diffusion coefficient (ADC) </w:t>
      </w:r>
      <w:r w:rsidR="0077111A">
        <w:rPr>
          <w:sz w:val="24"/>
          <w:szCs w:val="24"/>
          <w:lang w:val="en-US"/>
        </w:rPr>
        <w:t xml:space="preserve">cut-offs </w:t>
      </w:r>
      <w:r w:rsidR="00802EF3">
        <w:rPr>
          <w:sz w:val="24"/>
          <w:szCs w:val="24"/>
          <w:lang w:val="en-US"/>
        </w:rPr>
        <w:t>that could offer quantitative surrogates of</w:t>
      </w:r>
      <w:r w:rsidR="00C76086">
        <w:rPr>
          <w:sz w:val="24"/>
          <w:szCs w:val="24"/>
          <w:lang w:val="en-US"/>
        </w:rPr>
        <w:t xml:space="preserve"> </w:t>
      </w:r>
      <w:r w:rsidR="003B1B89">
        <w:rPr>
          <w:sz w:val="24"/>
          <w:szCs w:val="24"/>
          <w:lang w:val="en-US"/>
        </w:rPr>
        <w:t xml:space="preserve">“clinically significant” radiological </w:t>
      </w:r>
      <w:r w:rsidR="00301E8A">
        <w:rPr>
          <w:sz w:val="24"/>
          <w:szCs w:val="24"/>
          <w:lang w:val="en-US"/>
        </w:rPr>
        <w:t xml:space="preserve">disease </w:t>
      </w:r>
      <w:r w:rsidR="003B1B89">
        <w:rPr>
          <w:sz w:val="24"/>
          <w:szCs w:val="24"/>
          <w:lang w:val="en-US"/>
        </w:rPr>
        <w:t xml:space="preserve">progression </w:t>
      </w:r>
      <w:r w:rsidR="00265374">
        <w:rPr>
          <w:sz w:val="24"/>
          <w:szCs w:val="24"/>
          <w:lang w:val="en-US"/>
        </w:rPr>
        <w:fldChar w:fldCharType="begin" w:fldLock="1"/>
      </w:r>
      <w:r w:rsidR="00DD4E3A">
        <w:rPr>
          <w:sz w:val="24"/>
          <w:szCs w:val="24"/>
          <w:lang w:val="en-US"/>
        </w:rPr>
        <w:instrText>ADDIN CSL_CITATION {"citationItems":[{"id":"ITEM-1","itemData":{"DOI":"10.1016/j.mri.2019.12.007","ISSN":"18735894","PMID":"31899283","abstract":"Purpose: The PRECISE score estimates the likelihood of radiological progression in patients on active surveillance (AS) for prostate cancer (PCa) with serial multiparametric magnetic resonance imaging (mpMRI). A PRECISE score of 1 or 2 denotes radiological regression, PRECISE 3 indicates stability and PRECISE 4 or 5 implies progression. We evaluated the inter-reader reproducibility of different apparent diffusion coefficient (ADC) calculations and their relationship to the PRECISE score. Material and methods: Baseline and follow-up scans (on the same MR systems) of 30 patients with visible lesions from two different institutions (University College London and Sapienza University of Rome) were analysed by two radiologists (one from each site). The PRECISE score was initially assessed in consensus. At least six weeks later, to reduce the likelihood of being influenced by the consensus PRECISE reading, each radiologist independently calculated ADC for the following: lesion, non-cancerous tissue and urine in the bladder. Normalised ADC ratios were calculated with respect to normal prostatic tissue (npADC) and urine. Spearman's correlation (ρ), intraclass correlation coefficients (ICC), differences in ADC and ROC curves were computed. Results: Interobserver reproducibility was very good (ρ &gt; 0.8; ICC &gt; 0.90). Lesion ADC (0.91 vs 0.73 × 10−3 mm2/s; p=0.025) and npADC ratio (0.68 vs 0.53; p=0.012) at follow-up mpMRI were different between patients with radiological regression or stability vs progression. Cut-offs of 0.77 × 10−3 mm2/s (lesion ADC) and 0.59 (npADC ratio) could differentiate the two groups (area under the curve: 0.74 and 0.77, respectively). Conclusion: The ADC, npADC ratio and the PRECISE score should be recorded for MRI-based AS.","author":[{"dropping-particle":"","family":"Giganti","given":"Francesco","non-dropping-particle":"","parse-names":false,"suffix":""},{"dropping-particle":"","family":"Pecoraro","given":"Martina","non-dropping-particle":"","parse-names":false,"suffix":""},{"dropping-particle":"","family":"Fierro","given":"Davide","non-dropping-particle":"","parse-names":false,"suffix":""},{"dropping-particle":"","family":"Campa","given":"Riccardo","non-dropping-particle":"","parse-names":false,"suffix":""},{"dropping-particle":"","family":"Giudice","given":"Francesco","non-dropping-particle":"Del","parse-names":false,"suffix":""},{"dropping-particle":"","family":"Punwani","given":"Shonit","non-dropping-particle":"","parse-names":false,"suffix":""},{"dropping-particle":"","family":"Kirkham","given":"Alex","non-dropping-particle":"","parse-names":false,"suffix":""},{"dropping-particle":"","family":"Allen","given":"Clare","non-dropping-particle":"","parse-names":false,"suffix":""},{"dropping-particle":"","family":"Emberton","given":"Mark","non-dropping-particle":"","parse-names":false,"suffix":""},{"dropping-particle":"","family":"Catalano","given":"Carlo","non-dropping-particle":"","parse-names":false,"suffix":""},{"dropping-particle":"","family":"Moore","given":"Caroline M.","non-dropping-particle":"","parse-names":false,"suffix":""},{"dropping-particle":"","family":"Panebianco","given":"Valeria","non-dropping-particle":"","parse-names":false,"suffix":""}],"container-title":"Magnetic Resonance Imaging","id":"ITEM-1","issued":{"date-parts":[["2020","4","1"]]},"page":"50-58","publisher":"Elsevier Inc.","title":"DWI and PRECISE criteria in men on active surveillance for prostate cancer: A multicentre preliminary experience of different ADC calculations","type":"article-journal","volume":"67"},"uris":["http://www.mendeley.com/documents/?uuid=bfe9d994-528d-3245-b1f7-71b8591be8b8"]},{"id":"ITEM-2","itemData":{"DOI":"10.1259/bjr.20200819","ISSN":"1748880X","PMID":"32955923","abstract":"OBJECTIVE: The PRECISE criteria for reporting multiparametric MRI in patients on active surveillance (AS) for prostate cancer (PCa) score the likelihood of clinically significant change over time using a 1-5 scale, where 4 or 5 indicates radiological progression. According to the PRECISE recommendations, the index lesion size can be reported using different definitions of volume (planimetry or ellipsoid formula) or by measuring one or two diameters. We compared different measurements using planimetry as the reference standard and stratified changes according to the PRECISE scores. METHODS: We retrospectively analysed 196 patients on AS with PCa confirmed by targeted biopsy who had two MR scans (baseline and follow-up). Lesions were measured on T2 weighted imaging (T2WI) according to all definitions. A PRECISE score was assessed for each patient. RESULTS: The ellipsoid formula exhibited the highest correlation with planimetry at baseline (ρ = 0.97) and follow-up (ρ = 0.98) imaging, compared to the biaxial measurement and single maximum diameter. There was a significant difference (p &lt; 0.001) in the yearly percentage volume change between radiological regression/stability (PRECISE 2-3) and progression (PRECISE 4-5) for planimetry (39.64%) and for the ellipsoid formula (46.78%). CONCLUSION: The ellipsoid formula could be used to monitor tumour growth during AS. Evidence of a significant yearly percentage volume change between radiological regression/stability (PRECISE 2-3) and progression (PRECISE 4-5) has been also observed. ADVANCES IN KNOWLEDGE: The ellipsoid formula is a reasonable surrogate for planimetry in capturing tumour volume changes on T2WI in patients on imaging-led AS. This is also associated with radiological changes using the PRECISE recommendations.","author":[{"dropping-particle":"","family":"Giganti","given":"Francesco","non-dropping-particle":"","parse-names":false,"suffix":""},{"dropping-particle":"","family":"Stavrinides","given":"Vasilis","non-dropping-particle":"","parse-names":false,"suffix":""},{"dropping-particle":"","family":"Stabile","given":"Armando","non-dropping-particle":"","parse-names":false,"suffix":""},{"dropping-particle":"","family":"Osinibi","given":"Elizabeth","non-dropping-particle":"","parse-names":false,"suffix":""},{"dropping-particle":"","family":"Orczyk","given":"Clement","non-dropping-particle":"","parse-names":false,"suffix":""},{"dropping-particle":"","family":"Radtke","given":"Jan Philipp","non-dropping-particle":"","parse-names":false,"suffix":""},{"dropping-particle":"","family":"Freeman","given":"Alex","non-dropping-particle":"","parse-names":false,"suffix":""},{"dropping-particle":"","family":"Haider","given":"Aiman","non-dropping-particle":"","parse-names":false,"suffix":""},{"dropping-particle":"","family":"Punwani","given":"Shonit","non-dropping-particle":"","parse-names":false,"suffix":""},{"dropping-particle":"","family":"Allen","given":"Clare","non-dropping-particle":"","parse-names":false,"suffix":""},{"dropping-particle":"","family":"Emberton","given":"Mark","non-dropping-particle":"","parse-names":false,"suffix":""},{"dropping-particle":"","family":"Kirkham","given":"Alex","non-dropping-particle":"","parse-names":false,"suffix":""},{"dropping-particle":"","family":"Moore","given":"Caroline M.","non-dropping-particle":"","parse-names":false,"suffix":""}],"container-title":"The British journal of radiology","id":"ITEM-2","issue":"1116","issued":{"date-parts":[["2020","12","1"]]},"page":"20200819","publisher":"NLM (Medline)","title":"Prostate cancer measurements on serial MRI during active surveillance: it's time to be PRECISE","type":"article-journal","volume":"93"},"uris":["http://www.mendeley.com/documents/?uuid=e2d223c8-c176-381f-a3db-95941fc67ad2"]},{"id":"ITEM-3","itemData":{"DOI":"10.1259/bjr/14556365","ISSN":"00071285","PMID":"21172965","abstract":"We studied patients managed by active surveillance to determine whether there was a difference over time in apparent diffusion coefficients (ADCs) derived from diffusion-weighted MRI in those who progressed to radical treatment (progressors, n517) compared with those who did not (non-progressors, n533). Methods: 50 consecutive patients (Stage T1/2a, Gleason grade # 3+4, prostate-specific antigen (PSA) ,15 ng ml-1, ,50% cores positive) were imaged endorectally (baseline and 1-3 years follow-up) with T2 weighted (T2W) and echo-planar diffusion-weighted MRI sequences. Regions of interest drawn on ADC maps with reference to the T2W images yielded ADCall (b50-800), ADCfast (b50-300) and ADCslow (b5300-800) for whole prostate (minus tumour) and tumour (low signal-intensity peripheral zone lesion in biopsy-positive octant). Results: Tumour and whole prostate ADCall and ADCfast were significantly reduced over time in progressors (p50.03 and 0.03 for tumours, respectively; p50.02 and 0.007 for the whole prostate, respectively). There were no significant changes in ADC over time in non-progressors. A 10% reduction in tumour ADCall indicated progression with a 93% sensitivity and 40% specificity (Az of receiver operating characteristic (ROC) curve 5 0.68). Percentage reductions in whole prostate ADCall, ADCfast and ADCslow were also significantly greater in progressors than in non-progressors (p50.01, 0.03 and 0.008, respectively). Conclusion: This pilot study shows that DW-MRI has potential for monitoring patients with early prostate cancer who opt for active surveillance. Copyright © 2011 2011 The British Institute of Radiology.","author":[{"dropping-particle":"","family":"Morgan","given":"V. A.","non-dropping-particle":"","parse-names":false,"suffix":""},{"dropping-particle":"","family":"Riches","given":"S. F.","non-dropping-particle":"","parse-names":false,"suffix":""},{"dropping-particle":"","family":"Thomas","given":"K.","non-dropping-particle":"","parse-names":false,"suffix":""},{"dropping-particle":"","family":"Vanas","given":"N.","non-dropping-particle":"","parse-names":false,"suffix":""},{"dropping-particle":"","family":"Parker","given":"C.","non-dropping-particle":"","parse-names":false,"suffix":""},{"dropping-particle":"","family":"Giles","given":"S.","non-dropping-particle":"","parse-names":false,"suffix":""},{"dropping-particle":"","family":"Desouza","given":"N. M.","non-dropping-particle":"","parse-names":false,"suffix":""}],"container-title":"British Journal of Radiology","id":"ITEM-3","issue":"997","issued":{"date-parts":[["2011","1","13"]]},"page":"31-37","publisher":" The British Institute of Radiology. 36 Portland Place, London, W1B 1AT","title":"Diffusion-weighted magnetic resonance imaging for monitoring prostate cancer progression in patients managed by active surveillance","type":"article-journal","volume":"84"},"uris":["http://www.mendeley.com/documents/?uuid=d5190840-41fe-3b97-9db2-31df8431f08d"]},{"id":"ITEM-4","itemData":{"DOI":"10.2214/AJR.17.17790","ISSN":"15463141","PMID":"28609110","abstract":"OBJECTIVE. The purpose of this study was to measure longitudinal change in tumor volume of the dominant intraprostatic lesion and determine whether baseline apparent diffusion coefficient (ADC) and change in ADC are indicative of tumor growth in patients with prostate cancer undergoing active surveillance. SUBJECTS AND METHODS. The study group included 151 men (mean age, 68.1 ± 7.4 [SD] years; range, 50-83 years) undergoing active surveillance with 3D whole prostate, zonal, and tumor volumetric findings documented at endorectal MRI examinations performed at two time points (median interval, 1.9 years). Tumor (location confirmed at transrectal ultrasound or template biopsy) ADC was measured on the slice with the largest lesion. Twenty randomly selected patients had the measurements repeated by the same observer after a greater than 4-month interval, and the limits of agreement of measurements were calculated. Tumor volume increases greater than the upper limit of agreement were designated measurable growth, and their baseline ADCs and change in ADC were compared with those of tumors without measurable growth (independent-samples t test). RESULTS. Fifty-two (34.4%) tumors increased measurably in volume. Baseline ADC and tumor volume were negatively correlated (r =-0.42, p = 0.001). Baseline ADC values did not differ between those with and those without measurable growth (p = 0.06), but change in ADC was significantly different (-6.8% ± 12.3% for those with measurable growth vs 0.23% ± 10.1% for those without, p = 0.0005). Percentage change in tumor volume and percentage change in ADC were negatively correlated (r =-0.31, p = 0.0001). A 5.8% reduction in ADC indicated a measurable increase in tumor volume with 54.9% sensitivity and 77.0% specificity (AUC, 0.67). CONCLUSION. Tumor volume increased measurably in 34.4% of men after 2 years of active surveillance. Change in ADC may be used to identify tumors with measurable growth.","author":[{"dropping-particle":"","family":"Morgan","given":"Veronica A.","non-dropping-particle":"","parse-names":false,"suffix":""},{"dropping-particle":"","family":"Parker","given":"Christopher","non-dropping-particle":"","parse-names":false,"suffix":""},{"dropping-particle":"","family":"MacDonald","given":"Alison","non-dropping-particle":"","parse-names":false,"suffix":""},{"dropping-particle":"","family":"Thomas","given":"Karen","non-dropping-particle":"","parse-names":false,"suffix":""},{"dropping-particle":"","family":"DeSouza","given":"Nandita M.","non-dropping-particle":"","parse-names":false,"suffix":""}],"container-title":"American Journal of Roentgenology","id":"ITEM-4","issue":"3","issued":{"date-parts":[["2017","9","1"]]},"page":"620-628","publisher":"American Roentgen Ray Society","title":"Monitoring tumor volume in patients with prostate cancer undergoing active surveillance: Is MRI apparent diffusion coefficient indicative of tumor growth?","type":"article-journal","volume":"209"},"uris":["http://www.mendeley.com/documents/?uuid=3182bc1b-a9eb-31a3-9e7f-994e3a3fdb9e"]}],"mendeley":{"formattedCitation":"[19–22]","plainTextFormattedCitation":"[19–22]","previouslyFormattedCitation":"[19–22]"},"properties":{"noteIndex":0},"schema":"https://github.com/citation-style-language/schema/raw/master/csl-citation.json"}</w:instrText>
      </w:r>
      <w:r w:rsidR="00265374">
        <w:rPr>
          <w:sz w:val="24"/>
          <w:szCs w:val="24"/>
          <w:lang w:val="en-US"/>
        </w:rPr>
        <w:fldChar w:fldCharType="separate"/>
      </w:r>
      <w:r w:rsidR="009F1A9C" w:rsidRPr="009F1A9C">
        <w:rPr>
          <w:noProof/>
          <w:sz w:val="24"/>
          <w:szCs w:val="24"/>
          <w:lang w:val="en-US"/>
        </w:rPr>
        <w:t>[19–22]</w:t>
      </w:r>
      <w:r w:rsidR="00265374">
        <w:rPr>
          <w:sz w:val="24"/>
          <w:szCs w:val="24"/>
          <w:lang w:val="en-US"/>
        </w:rPr>
        <w:fldChar w:fldCharType="end"/>
      </w:r>
      <w:r w:rsidR="0077111A">
        <w:rPr>
          <w:sz w:val="24"/>
          <w:szCs w:val="24"/>
          <w:lang w:val="en-US"/>
        </w:rPr>
        <w:t xml:space="preserve">, these studies lacked </w:t>
      </w:r>
      <w:r w:rsidR="00606449">
        <w:rPr>
          <w:sz w:val="24"/>
          <w:szCs w:val="24"/>
          <w:lang w:val="en-US"/>
        </w:rPr>
        <w:t xml:space="preserve">systematic </w:t>
      </w:r>
      <w:r w:rsidR="0077111A">
        <w:rPr>
          <w:sz w:val="24"/>
          <w:szCs w:val="24"/>
          <w:lang w:val="en-US"/>
        </w:rPr>
        <w:t xml:space="preserve">histopathological </w:t>
      </w:r>
      <w:r w:rsidR="00FD38B9">
        <w:rPr>
          <w:sz w:val="24"/>
          <w:szCs w:val="24"/>
          <w:lang w:val="en-US"/>
        </w:rPr>
        <w:t>assessment</w:t>
      </w:r>
      <w:r w:rsidR="0077111A">
        <w:rPr>
          <w:sz w:val="24"/>
          <w:szCs w:val="24"/>
          <w:lang w:val="en-US"/>
        </w:rPr>
        <w:t xml:space="preserve"> </w:t>
      </w:r>
      <w:r w:rsidR="00FD38B9">
        <w:rPr>
          <w:sz w:val="24"/>
          <w:szCs w:val="24"/>
          <w:lang w:val="en-US"/>
        </w:rPr>
        <w:t>at follow-up</w:t>
      </w:r>
      <w:r w:rsidR="0077111A">
        <w:rPr>
          <w:sz w:val="24"/>
          <w:szCs w:val="24"/>
          <w:lang w:val="en-US"/>
        </w:rPr>
        <w:t xml:space="preserve">, which limits </w:t>
      </w:r>
      <w:r w:rsidR="003B1B89">
        <w:rPr>
          <w:sz w:val="24"/>
          <w:szCs w:val="24"/>
          <w:lang w:val="en-US"/>
        </w:rPr>
        <w:t xml:space="preserve">the reliability of their findings </w:t>
      </w:r>
      <w:r w:rsidR="0077111A">
        <w:rPr>
          <w:sz w:val="24"/>
          <w:szCs w:val="24"/>
          <w:lang w:val="en-US"/>
        </w:rPr>
        <w:t>given the</w:t>
      </w:r>
      <w:r w:rsidR="002E32C1">
        <w:rPr>
          <w:sz w:val="24"/>
          <w:szCs w:val="24"/>
          <w:lang w:val="en-US"/>
        </w:rPr>
        <w:t xml:space="preserve"> potential</w:t>
      </w:r>
      <w:r w:rsidR="0077111A">
        <w:rPr>
          <w:sz w:val="24"/>
          <w:szCs w:val="24"/>
          <w:lang w:val="en-US"/>
        </w:rPr>
        <w:t xml:space="preserve"> limitations of MRI</w:t>
      </w:r>
      <w:r w:rsidR="003B1B89">
        <w:rPr>
          <w:sz w:val="24"/>
          <w:szCs w:val="24"/>
          <w:lang w:val="en-US"/>
        </w:rPr>
        <w:t xml:space="preserve"> </w:t>
      </w:r>
      <w:r w:rsidR="002E32C1">
        <w:rPr>
          <w:sz w:val="24"/>
          <w:szCs w:val="24"/>
          <w:lang w:val="en-US"/>
        </w:rPr>
        <w:t>changes versus</w:t>
      </w:r>
      <w:r w:rsidR="003B1B89">
        <w:rPr>
          <w:sz w:val="24"/>
          <w:szCs w:val="24"/>
          <w:lang w:val="en-US"/>
        </w:rPr>
        <w:t xml:space="preserve"> </w:t>
      </w:r>
      <w:r w:rsidR="00301E8A">
        <w:rPr>
          <w:sz w:val="24"/>
          <w:szCs w:val="24"/>
          <w:lang w:val="en-US"/>
        </w:rPr>
        <w:t xml:space="preserve">gold standard </w:t>
      </w:r>
      <w:r w:rsidR="003B1B89">
        <w:rPr>
          <w:sz w:val="24"/>
          <w:szCs w:val="24"/>
          <w:lang w:val="en-US"/>
        </w:rPr>
        <w:t>histopathology</w:t>
      </w:r>
      <w:r w:rsidR="0077111A">
        <w:rPr>
          <w:sz w:val="24"/>
          <w:szCs w:val="24"/>
          <w:lang w:val="en-US"/>
        </w:rPr>
        <w:t xml:space="preserve">. </w:t>
      </w:r>
    </w:p>
    <w:p w14:paraId="71DBAB59" w14:textId="4BE5F2A9" w:rsidR="00300885" w:rsidRDefault="00301E8A">
      <w:pPr>
        <w:rPr>
          <w:sz w:val="24"/>
          <w:szCs w:val="24"/>
          <w:lang w:val="en-US"/>
        </w:rPr>
      </w:pPr>
      <w:r>
        <w:rPr>
          <w:sz w:val="24"/>
          <w:szCs w:val="24"/>
          <w:lang w:val="en-US"/>
        </w:rPr>
        <w:t>In this study</w:t>
      </w:r>
      <w:r w:rsidR="0077111A">
        <w:rPr>
          <w:sz w:val="24"/>
          <w:szCs w:val="24"/>
          <w:lang w:val="en-US"/>
        </w:rPr>
        <w:t xml:space="preserve">, </w:t>
      </w:r>
      <w:r w:rsidR="00552B47">
        <w:rPr>
          <w:sz w:val="24"/>
          <w:szCs w:val="24"/>
          <w:lang w:val="en-US"/>
        </w:rPr>
        <w:t>we</w:t>
      </w:r>
      <w:r w:rsidR="0077111A">
        <w:rPr>
          <w:sz w:val="24"/>
          <w:szCs w:val="24"/>
          <w:lang w:val="en-US"/>
        </w:rPr>
        <w:t xml:space="preserve"> </w:t>
      </w:r>
      <w:r>
        <w:rPr>
          <w:sz w:val="24"/>
          <w:szCs w:val="24"/>
          <w:lang w:val="en-US"/>
        </w:rPr>
        <w:t>applied</w:t>
      </w:r>
      <w:r w:rsidR="00467F3A">
        <w:rPr>
          <w:sz w:val="24"/>
          <w:szCs w:val="24"/>
          <w:lang w:val="en-US"/>
        </w:rPr>
        <w:t xml:space="preserve"> several </w:t>
      </w:r>
      <w:r w:rsidR="00343C9D">
        <w:rPr>
          <w:sz w:val="24"/>
          <w:szCs w:val="24"/>
          <w:lang w:val="en-US"/>
        </w:rPr>
        <w:t xml:space="preserve">common </w:t>
      </w:r>
      <w:r w:rsidR="00467F3A">
        <w:rPr>
          <w:sz w:val="24"/>
          <w:szCs w:val="24"/>
          <w:lang w:val="en-US"/>
        </w:rPr>
        <w:t xml:space="preserve">segmentation approaches to </w:t>
      </w:r>
      <w:proofErr w:type="spellStart"/>
      <w:r w:rsidR="0077111A">
        <w:rPr>
          <w:sz w:val="24"/>
          <w:szCs w:val="24"/>
          <w:lang w:val="en-US"/>
        </w:rPr>
        <w:t>analyse</w:t>
      </w:r>
      <w:proofErr w:type="spellEnd"/>
      <w:r w:rsidR="0077111A">
        <w:rPr>
          <w:sz w:val="24"/>
          <w:szCs w:val="24"/>
          <w:lang w:val="en-US"/>
        </w:rPr>
        <w:t xml:space="preserve"> serial changes in MRI-derived tumour </w:t>
      </w:r>
      <w:r w:rsidR="00802EF3">
        <w:rPr>
          <w:sz w:val="24"/>
          <w:szCs w:val="24"/>
          <w:lang w:val="en-US"/>
        </w:rPr>
        <w:t>measurements</w:t>
      </w:r>
      <w:r w:rsidR="0077111A">
        <w:rPr>
          <w:sz w:val="24"/>
          <w:szCs w:val="24"/>
          <w:lang w:val="en-US"/>
        </w:rPr>
        <w:t xml:space="preserve"> and ADC values in </w:t>
      </w:r>
      <w:r w:rsidR="00552B47">
        <w:rPr>
          <w:sz w:val="24"/>
          <w:szCs w:val="24"/>
          <w:lang w:val="en-US"/>
        </w:rPr>
        <w:t xml:space="preserve">AS </w:t>
      </w:r>
      <w:r w:rsidR="0077111A">
        <w:rPr>
          <w:sz w:val="24"/>
          <w:szCs w:val="24"/>
          <w:lang w:val="en-US"/>
        </w:rPr>
        <w:t xml:space="preserve">patients with and without </w:t>
      </w:r>
      <w:r w:rsidR="007D0205">
        <w:rPr>
          <w:sz w:val="24"/>
          <w:szCs w:val="24"/>
          <w:lang w:val="en-US"/>
        </w:rPr>
        <w:t>histopathological</w:t>
      </w:r>
      <w:r w:rsidR="0077111A">
        <w:rPr>
          <w:sz w:val="24"/>
          <w:szCs w:val="24"/>
          <w:lang w:val="en-US"/>
        </w:rPr>
        <w:t xml:space="preserve"> PCa progression</w:t>
      </w:r>
      <w:r w:rsidR="00467F3A">
        <w:rPr>
          <w:sz w:val="24"/>
          <w:szCs w:val="24"/>
          <w:lang w:val="en-US"/>
        </w:rPr>
        <w:t xml:space="preserve">. </w:t>
      </w:r>
      <w:r w:rsidR="002E32C1">
        <w:rPr>
          <w:sz w:val="24"/>
          <w:szCs w:val="24"/>
          <w:lang w:val="en-US"/>
        </w:rPr>
        <w:t>Thus, we aimed</w:t>
      </w:r>
      <w:r w:rsidR="00467F3A">
        <w:rPr>
          <w:sz w:val="24"/>
          <w:szCs w:val="24"/>
          <w:lang w:val="en-US"/>
        </w:rPr>
        <w:t xml:space="preserve"> to identify</w:t>
      </w:r>
      <w:r w:rsidR="008D4BA5">
        <w:rPr>
          <w:sz w:val="24"/>
          <w:szCs w:val="24"/>
          <w:lang w:val="en-US"/>
        </w:rPr>
        <w:t xml:space="preserve"> </w:t>
      </w:r>
      <w:r>
        <w:rPr>
          <w:sz w:val="24"/>
          <w:szCs w:val="24"/>
          <w:lang w:val="en-US"/>
        </w:rPr>
        <w:t>objective</w:t>
      </w:r>
      <w:r w:rsidR="00467F3A">
        <w:rPr>
          <w:sz w:val="24"/>
          <w:szCs w:val="24"/>
          <w:lang w:val="en-US"/>
        </w:rPr>
        <w:t xml:space="preserve"> </w:t>
      </w:r>
      <w:r w:rsidR="007D0205">
        <w:rPr>
          <w:sz w:val="24"/>
          <w:szCs w:val="24"/>
          <w:lang w:val="en-US"/>
        </w:rPr>
        <w:t xml:space="preserve">clinically applicable </w:t>
      </w:r>
      <w:r w:rsidR="00467F3A">
        <w:rPr>
          <w:sz w:val="24"/>
          <w:szCs w:val="24"/>
          <w:lang w:val="en-US"/>
        </w:rPr>
        <w:t>cut-off</w:t>
      </w:r>
      <w:r>
        <w:rPr>
          <w:sz w:val="24"/>
          <w:szCs w:val="24"/>
          <w:lang w:val="en-US"/>
        </w:rPr>
        <w:t xml:space="preserve"> value</w:t>
      </w:r>
      <w:r w:rsidR="00467F3A">
        <w:rPr>
          <w:sz w:val="24"/>
          <w:szCs w:val="24"/>
          <w:lang w:val="en-US"/>
        </w:rPr>
        <w:t xml:space="preserve">s that could </w:t>
      </w:r>
      <w:r>
        <w:rPr>
          <w:sz w:val="24"/>
          <w:szCs w:val="24"/>
          <w:lang w:val="en-US"/>
        </w:rPr>
        <w:t xml:space="preserve">be used in </w:t>
      </w:r>
      <w:r w:rsidR="00467F3A">
        <w:rPr>
          <w:sz w:val="24"/>
          <w:szCs w:val="24"/>
          <w:lang w:val="en-US"/>
        </w:rPr>
        <w:t xml:space="preserve">the follow-up assessment of MR-visible lesions </w:t>
      </w:r>
      <w:r w:rsidR="009F1A9C">
        <w:rPr>
          <w:sz w:val="24"/>
          <w:szCs w:val="24"/>
          <w:lang w:val="en-US"/>
        </w:rPr>
        <w:t>i</w:t>
      </w:r>
      <w:r w:rsidR="00467F3A">
        <w:rPr>
          <w:sz w:val="24"/>
          <w:szCs w:val="24"/>
          <w:lang w:val="en-US"/>
        </w:rPr>
        <w:t xml:space="preserve">n </w:t>
      </w:r>
      <w:r>
        <w:rPr>
          <w:sz w:val="24"/>
          <w:szCs w:val="24"/>
          <w:lang w:val="en-US"/>
        </w:rPr>
        <w:t>patients</w:t>
      </w:r>
      <w:r w:rsidR="00606449">
        <w:rPr>
          <w:sz w:val="24"/>
          <w:szCs w:val="24"/>
          <w:lang w:val="en-US"/>
        </w:rPr>
        <w:t xml:space="preserve"> with PCa</w:t>
      </w:r>
      <w:r>
        <w:rPr>
          <w:sz w:val="24"/>
          <w:szCs w:val="24"/>
          <w:lang w:val="en-US"/>
        </w:rPr>
        <w:t xml:space="preserve"> on </w:t>
      </w:r>
      <w:r w:rsidR="00467F3A">
        <w:rPr>
          <w:sz w:val="24"/>
          <w:szCs w:val="24"/>
          <w:lang w:val="en-US"/>
        </w:rPr>
        <w:t>AS</w:t>
      </w:r>
      <w:r w:rsidR="008D4BA5">
        <w:rPr>
          <w:sz w:val="24"/>
          <w:szCs w:val="24"/>
          <w:lang w:val="en-US"/>
        </w:rPr>
        <w:t xml:space="preserve">. </w:t>
      </w:r>
      <w:r w:rsidR="00300885">
        <w:rPr>
          <w:sz w:val="24"/>
          <w:szCs w:val="24"/>
          <w:lang w:val="en-US"/>
        </w:rPr>
        <w:br w:type="page"/>
      </w:r>
    </w:p>
    <w:p w14:paraId="310BD8CF" w14:textId="37700715" w:rsidR="00B779DC" w:rsidRDefault="00300885" w:rsidP="00382478">
      <w:pPr>
        <w:rPr>
          <w:b/>
          <w:bCs/>
          <w:sz w:val="24"/>
          <w:szCs w:val="24"/>
          <w:lang w:val="en-US"/>
        </w:rPr>
      </w:pPr>
      <w:r>
        <w:rPr>
          <w:b/>
          <w:bCs/>
          <w:sz w:val="24"/>
          <w:szCs w:val="24"/>
          <w:lang w:val="en-US"/>
        </w:rPr>
        <w:lastRenderedPageBreak/>
        <w:t xml:space="preserve">Methods </w:t>
      </w:r>
    </w:p>
    <w:p w14:paraId="09EA7FE9" w14:textId="56154061" w:rsidR="009310FE" w:rsidRPr="003D5900" w:rsidRDefault="009310FE" w:rsidP="00382478">
      <w:pPr>
        <w:rPr>
          <w:i/>
          <w:iCs/>
          <w:sz w:val="24"/>
          <w:szCs w:val="24"/>
          <w:lang w:val="en-US"/>
        </w:rPr>
      </w:pPr>
      <w:r w:rsidRPr="003D5900">
        <w:rPr>
          <w:i/>
          <w:iCs/>
          <w:sz w:val="24"/>
          <w:szCs w:val="24"/>
          <w:lang w:val="en-US"/>
        </w:rPr>
        <w:t>Patient population</w:t>
      </w:r>
    </w:p>
    <w:p w14:paraId="54B3B058" w14:textId="10B46FD6" w:rsidR="004A3F48" w:rsidRDefault="009310FE" w:rsidP="00382478">
      <w:pPr>
        <w:rPr>
          <w:sz w:val="24"/>
          <w:szCs w:val="24"/>
          <w:lang w:val="en-US"/>
        </w:rPr>
      </w:pPr>
      <w:r>
        <w:rPr>
          <w:sz w:val="24"/>
          <w:szCs w:val="24"/>
          <w:lang w:val="en-US"/>
        </w:rPr>
        <w:t xml:space="preserve">This retrospective cohort study was approved by the local Institutional Review Board (reference number: </w:t>
      </w:r>
      <w:proofErr w:type="spellStart"/>
      <w:r w:rsidRPr="009310FE">
        <w:rPr>
          <w:b/>
          <w:bCs/>
          <w:sz w:val="24"/>
          <w:szCs w:val="24"/>
          <w:lang w:val="en-US"/>
        </w:rPr>
        <w:t>anonymised</w:t>
      </w:r>
      <w:proofErr w:type="spellEnd"/>
      <w:r>
        <w:rPr>
          <w:sz w:val="24"/>
          <w:szCs w:val="24"/>
          <w:lang w:val="en-US"/>
        </w:rPr>
        <w:t xml:space="preserve">). The study </w:t>
      </w:r>
      <w:r w:rsidR="00606449">
        <w:rPr>
          <w:sz w:val="24"/>
          <w:szCs w:val="24"/>
          <w:lang w:val="en-US"/>
        </w:rPr>
        <w:t xml:space="preserve">included </w:t>
      </w:r>
      <w:r>
        <w:rPr>
          <w:sz w:val="24"/>
          <w:szCs w:val="24"/>
          <w:lang w:val="en-US"/>
        </w:rPr>
        <w:t xml:space="preserve">consecutive patients with biopsy-proven PCa enrolled on the local AS </w:t>
      </w:r>
      <w:proofErr w:type="spellStart"/>
      <w:r>
        <w:rPr>
          <w:sz w:val="24"/>
          <w:szCs w:val="24"/>
          <w:lang w:val="en-US"/>
        </w:rPr>
        <w:t>programme</w:t>
      </w:r>
      <w:proofErr w:type="spellEnd"/>
      <w:r>
        <w:rPr>
          <w:sz w:val="24"/>
          <w:szCs w:val="24"/>
          <w:lang w:val="en-US"/>
        </w:rPr>
        <w:t xml:space="preserve"> according to the eligibility criteria reported previously (</w:t>
      </w:r>
      <w:r>
        <w:rPr>
          <w:b/>
          <w:bCs/>
          <w:sz w:val="24"/>
          <w:szCs w:val="24"/>
          <w:lang w:val="en-US"/>
        </w:rPr>
        <w:t xml:space="preserve">reference </w:t>
      </w:r>
      <w:proofErr w:type="spellStart"/>
      <w:r>
        <w:rPr>
          <w:b/>
          <w:bCs/>
          <w:sz w:val="24"/>
          <w:szCs w:val="24"/>
          <w:lang w:val="en-US"/>
        </w:rPr>
        <w:t>anonymised</w:t>
      </w:r>
      <w:proofErr w:type="spellEnd"/>
      <w:r>
        <w:rPr>
          <w:sz w:val="24"/>
          <w:szCs w:val="24"/>
          <w:lang w:val="en-US"/>
        </w:rPr>
        <w:t xml:space="preserve">). The inclusion criteria were the presence of </w:t>
      </w:r>
      <w:r w:rsidR="00632390">
        <w:rPr>
          <w:sz w:val="24"/>
          <w:szCs w:val="24"/>
          <w:lang w:val="en-US"/>
        </w:rPr>
        <w:t xml:space="preserve">an </w:t>
      </w:r>
      <w:r>
        <w:rPr>
          <w:sz w:val="24"/>
          <w:szCs w:val="24"/>
          <w:lang w:val="en-US"/>
        </w:rPr>
        <w:t xml:space="preserve">MR-visible lesion at baseline, AS follow-up length of at least two years with at least two MRI </w:t>
      </w:r>
      <w:r w:rsidR="00606449">
        <w:rPr>
          <w:sz w:val="24"/>
          <w:szCs w:val="24"/>
          <w:lang w:val="en-US"/>
        </w:rPr>
        <w:t xml:space="preserve">examinations </w:t>
      </w:r>
      <w:r>
        <w:rPr>
          <w:sz w:val="24"/>
          <w:szCs w:val="24"/>
          <w:lang w:val="en-US"/>
        </w:rPr>
        <w:t xml:space="preserve">performed on the same </w:t>
      </w:r>
      <w:r w:rsidR="00280707">
        <w:rPr>
          <w:sz w:val="24"/>
          <w:szCs w:val="24"/>
          <w:lang w:val="en-US"/>
        </w:rPr>
        <w:t xml:space="preserve">3T </w:t>
      </w:r>
      <w:r>
        <w:rPr>
          <w:sz w:val="24"/>
          <w:szCs w:val="24"/>
          <w:lang w:val="en-US"/>
        </w:rPr>
        <w:t xml:space="preserve">magnet, and at least one </w:t>
      </w:r>
      <w:r w:rsidR="004A3F48">
        <w:rPr>
          <w:sz w:val="24"/>
          <w:szCs w:val="24"/>
          <w:lang w:val="en-US"/>
        </w:rPr>
        <w:t xml:space="preserve">repeat targeted biopsy within </w:t>
      </w:r>
      <w:r w:rsidR="00632390">
        <w:rPr>
          <w:sz w:val="24"/>
          <w:szCs w:val="24"/>
          <w:lang w:val="en-US"/>
        </w:rPr>
        <w:t>12 months</w:t>
      </w:r>
      <w:r w:rsidR="004A3F48">
        <w:rPr>
          <w:sz w:val="24"/>
          <w:szCs w:val="24"/>
          <w:lang w:val="en-US"/>
        </w:rPr>
        <w:t xml:space="preserve"> of the </w:t>
      </w:r>
      <w:r w:rsidR="00632390">
        <w:rPr>
          <w:sz w:val="24"/>
          <w:szCs w:val="24"/>
          <w:lang w:val="en-US"/>
        </w:rPr>
        <w:t>most recent</w:t>
      </w:r>
      <w:r w:rsidR="004A3F48">
        <w:rPr>
          <w:sz w:val="24"/>
          <w:szCs w:val="24"/>
          <w:lang w:val="en-US"/>
        </w:rPr>
        <w:t xml:space="preserve"> MRI. The exclusion criteria were any prior or interim treatment for PCa or benign disease</w:t>
      </w:r>
      <w:r w:rsidR="00632390">
        <w:rPr>
          <w:sz w:val="24"/>
          <w:szCs w:val="24"/>
          <w:lang w:val="en-US"/>
        </w:rPr>
        <w:t>,</w:t>
      </w:r>
      <w:r w:rsidR="004A3F48">
        <w:rPr>
          <w:sz w:val="24"/>
          <w:szCs w:val="24"/>
          <w:lang w:val="en-US"/>
        </w:rPr>
        <w:t xml:space="preserve"> </w:t>
      </w:r>
      <w:r w:rsidR="00632390">
        <w:rPr>
          <w:sz w:val="24"/>
          <w:szCs w:val="24"/>
          <w:lang w:val="en-US"/>
        </w:rPr>
        <w:t xml:space="preserve">or </w:t>
      </w:r>
      <w:r w:rsidR="004A3F48">
        <w:rPr>
          <w:sz w:val="24"/>
          <w:szCs w:val="24"/>
          <w:lang w:val="en-US"/>
        </w:rPr>
        <w:t xml:space="preserve">the presence of </w:t>
      </w:r>
      <w:r w:rsidR="00632390">
        <w:rPr>
          <w:sz w:val="24"/>
          <w:szCs w:val="24"/>
          <w:lang w:val="en-US"/>
        </w:rPr>
        <w:t>any</w:t>
      </w:r>
      <w:r w:rsidR="004A3F48">
        <w:rPr>
          <w:sz w:val="24"/>
          <w:szCs w:val="24"/>
          <w:lang w:val="en-US"/>
        </w:rPr>
        <w:t xml:space="preserve"> pelvic metalwork. The study flowchart presented in </w:t>
      </w:r>
      <w:r w:rsidR="004A3F48">
        <w:rPr>
          <w:b/>
          <w:bCs/>
          <w:sz w:val="24"/>
          <w:szCs w:val="24"/>
          <w:lang w:val="en-US"/>
        </w:rPr>
        <w:t>Fig</w:t>
      </w:r>
      <w:r w:rsidR="00224808">
        <w:rPr>
          <w:b/>
          <w:bCs/>
          <w:sz w:val="24"/>
          <w:szCs w:val="24"/>
          <w:lang w:val="en-US"/>
        </w:rPr>
        <w:t>ure</w:t>
      </w:r>
      <w:r w:rsidR="004A3F48">
        <w:rPr>
          <w:sz w:val="24"/>
          <w:szCs w:val="24"/>
          <w:lang w:val="en-US"/>
        </w:rPr>
        <w:t xml:space="preserve"> </w:t>
      </w:r>
      <w:r w:rsidR="004A3F48">
        <w:rPr>
          <w:b/>
          <w:bCs/>
          <w:sz w:val="24"/>
          <w:szCs w:val="24"/>
          <w:lang w:val="en-US"/>
        </w:rPr>
        <w:t xml:space="preserve">1 </w:t>
      </w:r>
      <w:proofErr w:type="spellStart"/>
      <w:r w:rsidR="004A3F48">
        <w:rPr>
          <w:sz w:val="24"/>
          <w:szCs w:val="24"/>
          <w:lang w:val="en-US"/>
        </w:rPr>
        <w:t>summarises</w:t>
      </w:r>
      <w:proofErr w:type="spellEnd"/>
      <w:r w:rsidR="004A3F48">
        <w:rPr>
          <w:sz w:val="24"/>
          <w:szCs w:val="24"/>
          <w:lang w:val="en-US"/>
        </w:rPr>
        <w:t xml:space="preserve"> the patient selection process. </w:t>
      </w:r>
    </w:p>
    <w:p w14:paraId="6305AD06" w14:textId="142DEE7D" w:rsidR="00B779DC" w:rsidRDefault="004A3F48" w:rsidP="00382478">
      <w:pPr>
        <w:rPr>
          <w:sz w:val="24"/>
          <w:szCs w:val="24"/>
          <w:lang w:val="en-US"/>
        </w:rPr>
      </w:pPr>
      <w:r>
        <w:rPr>
          <w:sz w:val="24"/>
          <w:szCs w:val="24"/>
          <w:lang w:val="en-US"/>
        </w:rPr>
        <w:t>60</w:t>
      </w:r>
      <w:r w:rsidR="003331CB">
        <w:rPr>
          <w:sz w:val="24"/>
          <w:szCs w:val="24"/>
          <w:lang w:val="en-US"/>
        </w:rPr>
        <w:t xml:space="preserve"> </w:t>
      </w:r>
      <w:r w:rsidR="00632390">
        <w:rPr>
          <w:sz w:val="24"/>
          <w:szCs w:val="24"/>
          <w:lang w:val="en-US"/>
        </w:rPr>
        <w:t>patients</w:t>
      </w:r>
      <w:r w:rsidR="005F5688">
        <w:rPr>
          <w:sz w:val="24"/>
          <w:szCs w:val="24"/>
          <w:lang w:val="en-US"/>
        </w:rPr>
        <w:t xml:space="preserve"> </w:t>
      </w:r>
      <w:r w:rsidR="00343C9D">
        <w:rPr>
          <w:sz w:val="24"/>
          <w:szCs w:val="24"/>
          <w:lang w:val="en-US"/>
        </w:rPr>
        <w:t xml:space="preserve">meeting inclusion criteria and </w:t>
      </w:r>
      <w:r w:rsidR="005F5688">
        <w:rPr>
          <w:sz w:val="24"/>
          <w:szCs w:val="24"/>
          <w:lang w:val="en-US"/>
        </w:rPr>
        <w:t xml:space="preserve">enrolled on AS in our </w:t>
      </w:r>
      <w:proofErr w:type="spellStart"/>
      <w:r w:rsidR="005F5688">
        <w:rPr>
          <w:sz w:val="24"/>
          <w:szCs w:val="24"/>
          <w:lang w:val="en-US"/>
        </w:rPr>
        <w:t>centre</w:t>
      </w:r>
      <w:proofErr w:type="spellEnd"/>
      <w:r w:rsidR="005F5688">
        <w:rPr>
          <w:sz w:val="24"/>
          <w:szCs w:val="24"/>
          <w:lang w:val="en-US"/>
        </w:rPr>
        <w:t xml:space="preserve"> </w:t>
      </w:r>
      <w:r w:rsidR="005F5688" w:rsidRPr="005F5688">
        <w:rPr>
          <w:sz w:val="24"/>
          <w:szCs w:val="24"/>
          <w:lang w:val="en-US"/>
        </w:rPr>
        <w:t>between August 2013 and May 2018</w:t>
      </w:r>
      <w:r w:rsidR="00632390">
        <w:rPr>
          <w:sz w:val="24"/>
          <w:szCs w:val="24"/>
          <w:lang w:val="en-US"/>
        </w:rPr>
        <w:t xml:space="preserve"> </w:t>
      </w:r>
      <w:r w:rsidR="005F5688">
        <w:rPr>
          <w:sz w:val="24"/>
          <w:szCs w:val="24"/>
          <w:lang w:val="en-US"/>
        </w:rPr>
        <w:t>were</w:t>
      </w:r>
      <w:r>
        <w:rPr>
          <w:sz w:val="24"/>
          <w:szCs w:val="24"/>
          <w:lang w:val="en-US"/>
        </w:rPr>
        <w:t xml:space="preserve"> included in the final analys</w:t>
      </w:r>
      <w:r w:rsidR="005F5688">
        <w:rPr>
          <w:sz w:val="24"/>
          <w:szCs w:val="24"/>
          <w:lang w:val="en-US"/>
        </w:rPr>
        <w:t>i</w:t>
      </w:r>
      <w:r>
        <w:rPr>
          <w:sz w:val="24"/>
          <w:szCs w:val="24"/>
          <w:lang w:val="en-US"/>
        </w:rPr>
        <w:t xml:space="preserve">s </w:t>
      </w:r>
      <w:r w:rsidR="005F5688">
        <w:rPr>
          <w:sz w:val="24"/>
          <w:szCs w:val="24"/>
          <w:lang w:val="en-US"/>
        </w:rPr>
        <w:t>and</w:t>
      </w:r>
      <w:r>
        <w:rPr>
          <w:sz w:val="24"/>
          <w:szCs w:val="24"/>
          <w:lang w:val="en-US"/>
        </w:rPr>
        <w:t xml:space="preserve"> divided into two groups depending on their disease progression status. Histopathological AS progression (n = 30) was defined as grade group progression on repeat targeted biopsy. The control group (n = 30) </w:t>
      </w:r>
      <w:r w:rsidR="00452C04">
        <w:rPr>
          <w:sz w:val="24"/>
          <w:szCs w:val="24"/>
          <w:lang w:val="en-US"/>
        </w:rPr>
        <w:t xml:space="preserve">included </w:t>
      </w:r>
      <w:r>
        <w:rPr>
          <w:sz w:val="24"/>
          <w:szCs w:val="24"/>
          <w:lang w:val="en-US"/>
        </w:rPr>
        <w:t xml:space="preserve">patients </w:t>
      </w:r>
      <w:proofErr w:type="spellStart"/>
      <w:r>
        <w:rPr>
          <w:sz w:val="24"/>
          <w:szCs w:val="24"/>
          <w:lang w:val="en-US"/>
        </w:rPr>
        <w:t>harbouring</w:t>
      </w:r>
      <w:proofErr w:type="spellEnd"/>
      <w:r>
        <w:rPr>
          <w:sz w:val="24"/>
          <w:szCs w:val="24"/>
          <w:lang w:val="en-US"/>
        </w:rPr>
        <w:t xml:space="preserve"> both radiologically (</w:t>
      </w:r>
      <w:r w:rsidR="00762504">
        <w:rPr>
          <w:sz w:val="24"/>
          <w:szCs w:val="24"/>
          <w:lang w:val="en-US"/>
        </w:rPr>
        <w:t xml:space="preserve">highest </w:t>
      </w:r>
      <w:r>
        <w:rPr>
          <w:sz w:val="24"/>
          <w:szCs w:val="24"/>
          <w:lang w:val="en-US"/>
        </w:rPr>
        <w:t xml:space="preserve">PRECISE score </w:t>
      </w:r>
      <w:r w:rsidR="00762504">
        <w:rPr>
          <w:sz w:val="24"/>
          <w:szCs w:val="24"/>
          <w:lang w:val="en-US"/>
        </w:rPr>
        <w:t>1-</w:t>
      </w:r>
      <w:r>
        <w:rPr>
          <w:sz w:val="24"/>
          <w:szCs w:val="24"/>
          <w:lang w:val="en-US"/>
        </w:rPr>
        <w:t xml:space="preserve">3 </w:t>
      </w:r>
      <w:r>
        <w:rPr>
          <w:sz w:val="24"/>
          <w:szCs w:val="24"/>
          <w:lang w:val="en-US"/>
        </w:rPr>
        <w:fldChar w:fldCharType="begin" w:fldLock="1"/>
      </w:r>
      <w:r w:rsidR="00DD4E3A">
        <w:rPr>
          <w:sz w:val="24"/>
          <w:szCs w:val="24"/>
          <w:lang w:val="en-US"/>
        </w:rPr>
        <w:instrText>ADDIN CSL_CITATION {"citationItems":[{"id":"ITEM-1","itemData":{"DOI":"10.1007/s00330-019-06557-2","ISSN":"14321084","PMID":"31844959","abstract":"Objectives: We aimed to determine the interobserver reproducibility of the Prostate Cancer Radiological Estimation of Change in Sequential Evaluation (PRECISE) criteria for magnetic resonance imaging in patients on active surveillance (AS) for prostate cancer (PCa) at two different academic centres. Methods: The PRECISE criteria score the likelihood of clinically significant change over time. The system is a 1-to-5 scale, where 1 or 2 implies regression of a previously visible lesion, 3 denotes stability and 4 or 5 indicates radiological progression. A retrospective analysis of 80 patients (40 from each centre) on AS with a biopsy-confirmed low- or intermediate-risk PCa (i.e. ≤ Gleason 3 + 4 and prostate-specific antigen ≤ 20 ng/ml) and ≥ 2 prostate MR scans was performed. Two blinded radiologists reported all scans independently and scored the likelihood of radiological change (PRECISE score) from the second scan onwards. Cohen’s κ coefficients and percent agreement were computed. Results: Agreement was substantial both at a per-patient and a per-scan level (κ = 0.71 and 0.61; percent agreement = 79% and 81%, respectively) for each PRECISE score. The agreement was superior (κ = 0.83 and 0.67; percent agreement = 90% and 91%, respectively) when the PRECISE scores were grouped according to the absence/presence of radiological progression (PRECISE 1–3 vs 4–5). Higher inter-reader agreement was observed for the scans performed at University College London (UCL) (κ = 0.81 vs 0.55 on a per-patient level and κ = 0.70 vs 0.48 on a per-scan level, respectively). The discrepancies between institutions were less evident for percent agreement (80% vs 78% and 86% vs 75%, respectively). Conclusions: Expert radiologists achieved substantial reproducibility for the PRECISE scoring system, especially when data were pooled together according to the absence/presence of radiological progression (PRECISE 1–3 vs 4–5). Key Points: • Inter-reader agreement between two experienced prostate radiologists using the PRECISE criteria was substantial. • The agreement was higher when the PRECISE scores were grouped according to the absence/presence of radiological progression (i.e. PRECISE 1–3 vs PRECISE 4 and 5). • Higher inter-reader agreement was observed for the scans performed at UCL, but the discrepancies between institutions were less evident for percent agreement.","author":[{"dropping-particle":"","family":"Giganti","given":"Francesco","non-dropping-particle":"","parse-names":false,"suffix":""},{"dropping-particle":"","family":"Pecoraro","given":"Martina","non-dropping-particle":"","parse-names":false,"suffix":""},{"dropping-particle":"","family":"Stavrinides","given":"Vasilis","non-dropping-particle":"","parse-names":false,"suffix":""},{"dropping-particle":"","family":"Stabile","given":"Armando","non-dropping-particle":"","parse-names":false,"suffix":""},{"dropping-particle":"","family":"Cipollari","given":"Stefano","non-dropping-particle":"","parse-names":false,"suffix":""},{"dropping-particle":"","family":"Sciarra","given":"Alessandro","non-dropping-particle":"","parse-names":false,"suffix":""},{"dropping-particle":"","family":"Kirkham","given":"Alex","non-dropping-particle":"","parse-names":false,"suffix":""},{"dropping-particle":"","family":"Allen","given":"Clare","non-dropping-particle":"","parse-names":false,"suffix":""},{"dropping-particle":"","family":"Punwani","given":"Shonit","non-dropping-particle":"","parse-names":false,"suffix":""},{"dropping-particle":"","family":"Emberton","given":"Mark","non-dropping-particle":"","parse-names":false,"suffix":""},{"dropping-particle":"","family":"Catalano","given":"Carlo","non-dropping-particle":"","parse-names":false,"suffix":""},{"dropping-particle":"","family":"Moore","given":"Caroline M.","non-dropping-particle":"","parse-names":false,"suffix":""},{"dropping-particle":"","family":"Panebianco","given":"Valeria","non-dropping-particle":"","parse-names":false,"suffix":""}],"container-title":"European Radiology","id":"ITEM-1","issue":"4","issued":{"date-parts":[["2020","4","1"]]},"page":"2082-2090","publisher":"Springer","title":"Interobserver reproducibility of the PRECISE scoring system for prostate MRI on active surveillance: results from a two-centre pilot study","type":"article-journal","volume":"30"},"uris":["http://www.mendeley.com/documents/?uuid=f3c84e87-33c2-3390-a33e-d5582aa6bd2b"]}],"mendeley":{"formattedCitation":"[23]","plainTextFormattedCitation":"[23]","previouslyFormattedCitation":"[23]"},"properties":{"noteIndex":0},"schema":"https://github.com/citation-style-language/schema/raw/master/csl-citation.json"}</w:instrText>
      </w:r>
      <w:r>
        <w:rPr>
          <w:sz w:val="24"/>
          <w:szCs w:val="24"/>
          <w:lang w:val="en-US"/>
        </w:rPr>
        <w:fldChar w:fldCharType="separate"/>
      </w:r>
      <w:r w:rsidR="009F1A9C" w:rsidRPr="009F1A9C">
        <w:rPr>
          <w:noProof/>
          <w:sz w:val="24"/>
          <w:szCs w:val="24"/>
          <w:lang w:val="en-US"/>
        </w:rPr>
        <w:t>[23]</w:t>
      </w:r>
      <w:r>
        <w:rPr>
          <w:sz w:val="24"/>
          <w:szCs w:val="24"/>
          <w:lang w:val="en-US"/>
        </w:rPr>
        <w:fldChar w:fldCharType="end"/>
      </w:r>
      <w:r w:rsidR="00280707">
        <w:rPr>
          <w:sz w:val="24"/>
          <w:szCs w:val="24"/>
          <w:lang w:val="en-US"/>
        </w:rPr>
        <w:t xml:space="preserve"> over the course of AS</w:t>
      </w:r>
      <w:r>
        <w:rPr>
          <w:sz w:val="24"/>
          <w:szCs w:val="24"/>
          <w:lang w:val="en-US"/>
        </w:rPr>
        <w:t xml:space="preserve">) and </w:t>
      </w:r>
      <w:proofErr w:type="spellStart"/>
      <w:r>
        <w:rPr>
          <w:sz w:val="24"/>
          <w:szCs w:val="24"/>
          <w:lang w:val="en-US"/>
        </w:rPr>
        <w:t>histopathologically</w:t>
      </w:r>
      <w:proofErr w:type="spellEnd"/>
      <w:r>
        <w:rPr>
          <w:sz w:val="24"/>
          <w:szCs w:val="24"/>
          <w:lang w:val="en-US"/>
        </w:rPr>
        <w:t xml:space="preserve"> stable disease confirmed as part of </w:t>
      </w:r>
      <w:r w:rsidR="00FD38B9">
        <w:rPr>
          <w:sz w:val="24"/>
          <w:szCs w:val="24"/>
          <w:lang w:val="en-US"/>
        </w:rPr>
        <w:t xml:space="preserve">routine repeat biopsies mandated by the local AS protocol (see </w:t>
      </w:r>
      <w:r w:rsidR="00FD38B9">
        <w:rPr>
          <w:i/>
          <w:iCs/>
          <w:sz w:val="24"/>
          <w:szCs w:val="24"/>
          <w:lang w:val="en-US"/>
        </w:rPr>
        <w:t xml:space="preserve">Biopsy technique </w:t>
      </w:r>
      <w:r w:rsidR="00FD38B9">
        <w:rPr>
          <w:sz w:val="24"/>
          <w:szCs w:val="24"/>
          <w:lang w:val="en-US"/>
        </w:rPr>
        <w:t xml:space="preserve">section). </w:t>
      </w:r>
    </w:p>
    <w:p w14:paraId="444F40EF" w14:textId="25CF0EB8" w:rsidR="00FD38B9" w:rsidRPr="003D5900" w:rsidRDefault="00FD38B9" w:rsidP="00382478">
      <w:pPr>
        <w:rPr>
          <w:i/>
          <w:iCs/>
          <w:sz w:val="24"/>
          <w:szCs w:val="24"/>
          <w:lang w:val="en-US"/>
        </w:rPr>
      </w:pPr>
      <w:r w:rsidRPr="003D5900">
        <w:rPr>
          <w:i/>
          <w:iCs/>
          <w:sz w:val="24"/>
          <w:szCs w:val="24"/>
          <w:lang w:val="en-US"/>
        </w:rPr>
        <w:t>MRI technique</w:t>
      </w:r>
    </w:p>
    <w:p w14:paraId="7DAE7B7E" w14:textId="169D6797" w:rsidR="00B779DC" w:rsidRDefault="001D7AB1" w:rsidP="00382478">
      <w:pPr>
        <w:rPr>
          <w:sz w:val="24"/>
          <w:szCs w:val="24"/>
          <w:lang w:val="en-US"/>
        </w:rPr>
      </w:pPr>
      <w:r>
        <w:rPr>
          <w:sz w:val="24"/>
          <w:szCs w:val="24"/>
          <w:lang w:val="en-US"/>
        </w:rPr>
        <w:t xml:space="preserve">Patients underwent prostate MRI on a 3T MR750 system (GE Healthcare, Waukesha, WI, USA) using a 32-channel receiver coil. Intravenous injection of hyoscine </w:t>
      </w:r>
      <w:proofErr w:type="spellStart"/>
      <w:r>
        <w:rPr>
          <w:sz w:val="24"/>
          <w:szCs w:val="24"/>
          <w:lang w:val="en-US"/>
        </w:rPr>
        <w:t>butylbromide</w:t>
      </w:r>
      <w:proofErr w:type="spellEnd"/>
      <w:r>
        <w:rPr>
          <w:sz w:val="24"/>
          <w:szCs w:val="24"/>
          <w:lang w:val="en-US"/>
        </w:rPr>
        <w:t xml:space="preserve"> </w:t>
      </w:r>
      <w:r w:rsidRPr="001D7AB1">
        <w:rPr>
          <w:sz w:val="24"/>
          <w:szCs w:val="24"/>
          <w:lang w:val="en-US"/>
        </w:rPr>
        <w:t>(</w:t>
      </w:r>
      <w:proofErr w:type="spellStart"/>
      <w:r w:rsidRPr="001D7AB1">
        <w:rPr>
          <w:sz w:val="24"/>
          <w:szCs w:val="24"/>
          <w:lang w:val="en-US"/>
        </w:rPr>
        <w:t>Buscopan</w:t>
      </w:r>
      <w:proofErr w:type="spellEnd"/>
      <w:r w:rsidRPr="001D7AB1">
        <w:rPr>
          <w:sz w:val="24"/>
          <w:szCs w:val="24"/>
          <w:lang w:val="en-US"/>
        </w:rPr>
        <w:t>, 20 mg/mL; Boehringer</w:t>
      </w:r>
      <w:r>
        <w:rPr>
          <w:sz w:val="24"/>
          <w:szCs w:val="24"/>
          <w:lang w:val="en-US"/>
        </w:rPr>
        <w:t xml:space="preserve"> Ingelheim, </w:t>
      </w:r>
      <w:r w:rsidRPr="001D7AB1">
        <w:rPr>
          <w:sz w:val="24"/>
          <w:szCs w:val="24"/>
          <w:lang w:val="en-US"/>
        </w:rPr>
        <w:t>Ingelheim am Rhein, Germany)</w:t>
      </w:r>
      <w:r>
        <w:rPr>
          <w:sz w:val="24"/>
          <w:szCs w:val="24"/>
          <w:lang w:val="en-US"/>
        </w:rPr>
        <w:t xml:space="preserve"> was administered prior to imaging unless clinically contraindicated. Multiparametric MRI protocol included </w:t>
      </w:r>
      <w:r w:rsidR="00FD3DB1">
        <w:rPr>
          <w:sz w:val="24"/>
          <w:szCs w:val="24"/>
          <w:lang w:val="en-US"/>
        </w:rPr>
        <w:t>a</w:t>
      </w:r>
      <w:r>
        <w:rPr>
          <w:sz w:val="24"/>
          <w:szCs w:val="24"/>
          <w:lang w:val="en-US"/>
        </w:rPr>
        <w:t>xial T</w:t>
      </w:r>
      <w:r w:rsidRPr="00025939">
        <w:rPr>
          <w:sz w:val="24"/>
          <w:szCs w:val="24"/>
          <w:vertAlign w:val="subscript"/>
          <w:lang w:val="en-US"/>
        </w:rPr>
        <w:t>1</w:t>
      </w:r>
      <w:r w:rsidR="00025939">
        <w:rPr>
          <w:sz w:val="24"/>
          <w:szCs w:val="24"/>
          <w:lang w:val="en-US"/>
        </w:rPr>
        <w:t>-weighted imaging</w:t>
      </w:r>
      <w:r>
        <w:rPr>
          <w:sz w:val="24"/>
          <w:szCs w:val="24"/>
          <w:lang w:val="en-US"/>
        </w:rPr>
        <w:t xml:space="preserve">, multiplanar high-resolution T2-weighted 2D fast recovery FSE, spin-echo echo-planar imaging pulse </w:t>
      </w:r>
      <w:r w:rsidR="00025939">
        <w:rPr>
          <w:sz w:val="24"/>
          <w:szCs w:val="24"/>
          <w:lang w:val="en-US"/>
        </w:rPr>
        <w:t>diffusion</w:t>
      </w:r>
      <w:r w:rsidR="00FD3DB1">
        <w:rPr>
          <w:sz w:val="24"/>
          <w:szCs w:val="24"/>
          <w:lang w:val="en-US"/>
        </w:rPr>
        <w:t>-</w:t>
      </w:r>
      <w:r w:rsidR="00025939">
        <w:rPr>
          <w:sz w:val="24"/>
          <w:szCs w:val="24"/>
          <w:lang w:val="en-US"/>
        </w:rPr>
        <w:t>weighted imaging (DWI)</w:t>
      </w:r>
      <w:r>
        <w:rPr>
          <w:sz w:val="24"/>
          <w:szCs w:val="24"/>
          <w:lang w:val="en-US"/>
        </w:rPr>
        <w:t>, and dynamic contrast</w:t>
      </w:r>
      <w:r w:rsidR="00307371">
        <w:rPr>
          <w:sz w:val="24"/>
          <w:szCs w:val="24"/>
          <w:lang w:val="en-US"/>
        </w:rPr>
        <w:t>-</w:t>
      </w:r>
      <w:r>
        <w:rPr>
          <w:sz w:val="24"/>
          <w:szCs w:val="24"/>
          <w:lang w:val="en-US"/>
        </w:rPr>
        <w:t xml:space="preserve">enhanced </w:t>
      </w:r>
      <w:r w:rsidR="00307371">
        <w:rPr>
          <w:sz w:val="24"/>
          <w:szCs w:val="24"/>
          <w:lang w:val="en-US"/>
        </w:rPr>
        <w:t xml:space="preserve">(DCE) </w:t>
      </w:r>
      <w:r>
        <w:rPr>
          <w:sz w:val="24"/>
          <w:szCs w:val="24"/>
          <w:lang w:val="en-US"/>
        </w:rPr>
        <w:t xml:space="preserve">imaging, </w:t>
      </w:r>
      <w:r w:rsidR="00307371">
        <w:rPr>
          <w:sz w:val="24"/>
          <w:szCs w:val="24"/>
          <w:lang w:val="en-US"/>
        </w:rPr>
        <w:t>as described</w:t>
      </w:r>
      <w:r>
        <w:rPr>
          <w:sz w:val="24"/>
          <w:szCs w:val="24"/>
          <w:lang w:val="en-US"/>
        </w:rPr>
        <w:t xml:space="preserve"> previously </w:t>
      </w:r>
      <w:r>
        <w:rPr>
          <w:b/>
          <w:bCs/>
          <w:sz w:val="24"/>
          <w:szCs w:val="24"/>
          <w:lang w:val="en-US"/>
        </w:rPr>
        <w:t xml:space="preserve">(reference </w:t>
      </w:r>
      <w:proofErr w:type="spellStart"/>
      <w:r>
        <w:rPr>
          <w:b/>
          <w:bCs/>
          <w:sz w:val="24"/>
          <w:szCs w:val="24"/>
          <w:lang w:val="en-US"/>
        </w:rPr>
        <w:t>anonymised</w:t>
      </w:r>
      <w:proofErr w:type="spellEnd"/>
      <w:r>
        <w:rPr>
          <w:b/>
          <w:bCs/>
          <w:sz w:val="24"/>
          <w:szCs w:val="24"/>
          <w:lang w:val="en-US"/>
        </w:rPr>
        <w:t>)</w:t>
      </w:r>
      <w:r w:rsidRPr="00280707">
        <w:rPr>
          <w:sz w:val="24"/>
          <w:szCs w:val="24"/>
          <w:lang w:val="en-US"/>
        </w:rPr>
        <w:t>.</w:t>
      </w:r>
      <w:r w:rsidR="00233A83">
        <w:rPr>
          <w:sz w:val="24"/>
          <w:szCs w:val="24"/>
          <w:lang w:val="en-US"/>
        </w:rPr>
        <w:t xml:space="preserve"> DWI</w:t>
      </w:r>
      <w:r w:rsidR="00233A83" w:rsidRPr="00233A83">
        <w:rPr>
          <w:sz w:val="24"/>
          <w:szCs w:val="24"/>
          <w:lang w:val="en-US"/>
        </w:rPr>
        <w:t xml:space="preserve"> was performed with b-values: b-150, b-750, and b-1,000; with additional small </w:t>
      </w:r>
      <w:r w:rsidR="00C92578">
        <w:rPr>
          <w:sz w:val="24"/>
          <w:szCs w:val="24"/>
          <w:lang w:val="en-US"/>
        </w:rPr>
        <w:t>field-of-view</w:t>
      </w:r>
      <w:r w:rsidR="00233A83" w:rsidRPr="00233A83">
        <w:rPr>
          <w:sz w:val="24"/>
          <w:szCs w:val="24"/>
          <w:lang w:val="en-US"/>
        </w:rPr>
        <w:t xml:space="preserve"> DWI</w:t>
      </w:r>
      <w:r w:rsidR="00C92578">
        <w:rPr>
          <w:sz w:val="24"/>
          <w:szCs w:val="24"/>
          <w:lang w:val="en-US"/>
        </w:rPr>
        <w:t xml:space="preserve"> obtained</w:t>
      </w:r>
      <w:r w:rsidR="00233A83" w:rsidRPr="00233A83">
        <w:rPr>
          <w:sz w:val="24"/>
          <w:szCs w:val="24"/>
          <w:lang w:val="en-US"/>
        </w:rPr>
        <w:t xml:space="preserve"> using b-2,000s/mm</w:t>
      </w:r>
      <w:r w:rsidR="00233A83" w:rsidRPr="00A97726">
        <w:rPr>
          <w:sz w:val="24"/>
          <w:szCs w:val="24"/>
          <w:vertAlign w:val="superscript"/>
          <w:lang w:val="en-US"/>
        </w:rPr>
        <w:t>2</w:t>
      </w:r>
      <w:r w:rsidR="00233A83" w:rsidRPr="00233A83">
        <w:rPr>
          <w:sz w:val="24"/>
          <w:szCs w:val="24"/>
          <w:lang w:val="en-US"/>
        </w:rPr>
        <w:t xml:space="preserve">; </w:t>
      </w:r>
      <w:r w:rsidR="00C92578">
        <w:rPr>
          <w:sz w:val="24"/>
          <w:szCs w:val="24"/>
          <w:lang w:val="en-US"/>
        </w:rPr>
        <w:t>ADC</w:t>
      </w:r>
      <w:r w:rsidR="00233A83" w:rsidRPr="00233A83">
        <w:rPr>
          <w:sz w:val="24"/>
          <w:szCs w:val="24"/>
          <w:lang w:val="en-US"/>
        </w:rPr>
        <w:t xml:space="preserve"> maps were automatically calculated.</w:t>
      </w:r>
      <w:r>
        <w:rPr>
          <w:sz w:val="24"/>
          <w:szCs w:val="24"/>
          <w:lang w:val="en-US"/>
        </w:rPr>
        <w:t xml:space="preserve"> </w:t>
      </w:r>
      <w:r w:rsidR="00307371">
        <w:rPr>
          <w:sz w:val="24"/>
          <w:szCs w:val="24"/>
          <w:lang w:val="en-US"/>
        </w:rPr>
        <w:t>Follow-up studies did not include post-contrast DCE sequences, but</w:t>
      </w:r>
      <w:r w:rsidR="00280707">
        <w:rPr>
          <w:sz w:val="24"/>
          <w:szCs w:val="24"/>
          <w:lang w:val="en-US"/>
        </w:rPr>
        <w:t xml:space="preserve"> </w:t>
      </w:r>
      <w:r w:rsidR="00C30A79">
        <w:rPr>
          <w:sz w:val="24"/>
          <w:szCs w:val="24"/>
          <w:lang w:val="en-US"/>
        </w:rPr>
        <w:t>the protocol was</w:t>
      </w:r>
      <w:r w:rsidR="00280707">
        <w:rPr>
          <w:sz w:val="24"/>
          <w:szCs w:val="24"/>
          <w:lang w:val="en-US"/>
        </w:rPr>
        <w:t xml:space="preserve"> </w:t>
      </w:r>
      <w:r w:rsidR="00307371">
        <w:rPr>
          <w:sz w:val="24"/>
          <w:szCs w:val="24"/>
          <w:lang w:val="en-US"/>
        </w:rPr>
        <w:t xml:space="preserve">otherwise identical for all patients and </w:t>
      </w:r>
      <w:r w:rsidR="00280707">
        <w:rPr>
          <w:sz w:val="24"/>
          <w:szCs w:val="24"/>
          <w:lang w:val="en-US"/>
        </w:rPr>
        <w:t>all scans included in the analysis.</w:t>
      </w:r>
      <w:r>
        <w:rPr>
          <w:sz w:val="24"/>
          <w:szCs w:val="24"/>
          <w:lang w:val="en-US"/>
        </w:rPr>
        <w:t xml:space="preserve"> </w:t>
      </w:r>
    </w:p>
    <w:p w14:paraId="64F3F56C" w14:textId="348E98BB" w:rsidR="001D7AB1" w:rsidRPr="003D5900" w:rsidRDefault="001D7AB1" w:rsidP="00382478">
      <w:pPr>
        <w:rPr>
          <w:i/>
          <w:iCs/>
          <w:sz w:val="24"/>
          <w:szCs w:val="24"/>
          <w:lang w:val="en-US"/>
        </w:rPr>
      </w:pPr>
      <w:r w:rsidRPr="003D5900">
        <w:rPr>
          <w:i/>
          <w:iCs/>
          <w:sz w:val="24"/>
          <w:szCs w:val="24"/>
          <w:lang w:val="en-US"/>
        </w:rPr>
        <w:t>Biopsy technique</w:t>
      </w:r>
    </w:p>
    <w:p w14:paraId="742BA1E0" w14:textId="5DE21D01" w:rsidR="00B779DC" w:rsidRDefault="008A7936" w:rsidP="00382478">
      <w:pPr>
        <w:rPr>
          <w:sz w:val="24"/>
          <w:szCs w:val="24"/>
        </w:rPr>
      </w:pPr>
      <w:r>
        <w:rPr>
          <w:sz w:val="24"/>
          <w:szCs w:val="24"/>
        </w:rPr>
        <w:t xml:space="preserve">Targeted biopsy was performed using </w:t>
      </w:r>
      <w:r w:rsidRPr="001D7AB1">
        <w:rPr>
          <w:sz w:val="24"/>
          <w:szCs w:val="24"/>
        </w:rPr>
        <w:t>MRI/ultrasound fusion</w:t>
      </w:r>
      <w:r>
        <w:rPr>
          <w:sz w:val="24"/>
          <w:szCs w:val="24"/>
        </w:rPr>
        <w:t xml:space="preserve"> by either a</w:t>
      </w:r>
      <w:r w:rsidR="001D7AB1" w:rsidRPr="001D7AB1">
        <w:rPr>
          <w:sz w:val="24"/>
          <w:szCs w:val="24"/>
        </w:rPr>
        <w:t xml:space="preserve"> transrectal (</w:t>
      </w:r>
      <w:r>
        <w:rPr>
          <w:sz w:val="24"/>
          <w:szCs w:val="24"/>
        </w:rPr>
        <w:t xml:space="preserve">TR, </w:t>
      </w:r>
      <w:proofErr w:type="spellStart"/>
      <w:r w:rsidR="001D7AB1" w:rsidRPr="001D7AB1">
        <w:rPr>
          <w:sz w:val="24"/>
          <w:szCs w:val="24"/>
        </w:rPr>
        <w:t>DynaCAD</w:t>
      </w:r>
      <w:proofErr w:type="spellEnd"/>
      <w:r w:rsidR="001D7AB1" w:rsidRPr="001D7AB1">
        <w:rPr>
          <w:sz w:val="24"/>
          <w:szCs w:val="24"/>
        </w:rPr>
        <w:t xml:space="preserve">, </w:t>
      </w:r>
      <w:proofErr w:type="spellStart"/>
      <w:r w:rsidR="001D7AB1" w:rsidRPr="001D7AB1">
        <w:rPr>
          <w:sz w:val="24"/>
          <w:szCs w:val="24"/>
        </w:rPr>
        <w:t>InVivo</w:t>
      </w:r>
      <w:proofErr w:type="spellEnd"/>
      <w:r w:rsidR="001D7AB1" w:rsidRPr="001D7AB1">
        <w:rPr>
          <w:sz w:val="24"/>
          <w:szCs w:val="24"/>
        </w:rPr>
        <w:t xml:space="preserve"> Corp</w:t>
      </w:r>
      <w:r w:rsidR="001D7AB1">
        <w:rPr>
          <w:sz w:val="24"/>
          <w:szCs w:val="24"/>
        </w:rPr>
        <w:t>, Orland</w:t>
      </w:r>
      <w:r w:rsidR="00025939">
        <w:rPr>
          <w:sz w:val="24"/>
          <w:szCs w:val="24"/>
        </w:rPr>
        <w:t>o, FL, USA</w:t>
      </w:r>
      <w:r w:rsidR="001D7AB1" w:rsidRPr="001D7AB1">
        <w:rPr>
          <w:sz w:val="24"/>
          <w:szCs w:val="24"/>
        </w:rPr>
        <w:t xml:space="preserve">) or </w:t>
      </w:r>
      <w:proofErr w:type="spellStart"/>
      <w:r w:rsidR="001D7AB1" w:rsidRPr="001D7AB1">
        <w:rPr>
          <w:sz w:val="24"/>
          <w:szCs w:val="24"/>
        </w:rPr>
        <w:t>transperineal</w:t>
      </w:r>
      <w:proofErr w:type="spellEnd"/>
      <w:r w:rsidR="001D7AB1" w:rsidRPr="001D7AB1">
        <w:rPr>
          <w:sz w:val="24"/>
          <w:szCs w:val="24"/>
        </w:rPr>
        <w:t xml:space="preserve"> (</w:t>
      </w:r>
      <w:r>
        <w:rPr>
          <w:sz w:val="24"/>
          <w:szCs w:val="24"/>
        </w:rPr>
        <w:t xml:space="preserve">TP, </w:t>
      </w:r>
      <w:proofErr w:type="spellStart"/>
      <w:r w:rsidR="001D7AB1" w:rsidRPr="001D7AB1">
        <w:rPr>
          <w:sz w:val="24"/>
          <w:szCs w:val="24"/>
        </w:rPr>
        <w:t>Biopsee</w:t>
      </w:r>
      <w:proofErr w:type="spellEnd"/>
      <w:r w:rsidR="001D7AB1" w:rsidRPr="001D7AB1">
        <w:rPr>
          <w:sz w:val="24"/>
          <w:szCs w:val="24"/>
        </w:rPr>
        <w:t>, Oncology Systems Limited</w:t>
      </w:r>
      <w:r w:rsidR="00025939">
        <w:rPr>
          <w:sz w:val="24"/>
          <w:szCs w:val="24"/>
        </w:rPr>
        <w:t>, Shrewsbury, UK</w:t>
      </w:r>
      <w:r w:rsidR="001D7AB1" w:rsidRPr="001D7AB1">
        <w:rPr>
          <w:sz w:val="24"/>
          <w:szCs w:val="24"/>
        </w:rPr>
        <w:t>)</w:t>
      </w:r>
      <w:r>
        <w:rPr>
          <w:sz w:val="24"/>
          <w:szCs w:val="24"/>
        </w:rPr>
        <w:t>, with 2-4 target cores and</w:t>
      </w:r>
      <w:r w:rsidR="001D7AB1" w:rsidRPr="001D7AB1">
        <w:rPr>
          <w:sz w:val="24"/>
          <w:szCs w:val="24"/>
        </w:rPr>
        <w:t xml:space="preserve"> 12 </w:t>
      </w:r>
      <w:r>
        <w:rPr>
          <w:sz w:val="24"/>
          <w:szCs w:val="24"/>
        </w:rPr>
        <w:t xml:space="preserve">(TR) or 24 (TP) </w:t>
      </w:r>
      <w:r w:rsidR="001D7AB1" w:rsidRPr="001D7AB1">
        <w:rPr>
          <w:sz w:val="24"/>
          <w:szCs w:val="24"/>
        </w:rPr>
        <w:t xml:space="preserve">systematic cores </w:t>
      </w:r>
      <w:r>
        <w:rPr>
          <w:sz w:val="24"/>
          <w:szCs w:val="24"/>
        </w:rPr>
        <w:t>background cores,</w:t>
      </w:r>
      <w:r w:rsidR="001D7AB1" w:rsidRPr="001D7AB1">
        <w:rPr>
          <w:sz w:val="24"/>
          <w:szCs w:val="24"/>
        </w:rPr>
        <w:t xml:space="preserve"> as previously described</w:t>
      </w:r>
      <w:r w:rsidR="00025939">
        <w:rPr>
          <w:sz w:val="24"/>
          <w:szCs w:val="24"/>
        </w:rPr>
        <w:t xml:space="preserve"> </w:t>
      </w:r>
      <w:r w:rsidR="00025939">
        <w:rPr>
          <w:b/>
          <w:bCs/>
          <w:sz w:val="24"/>
          <w:szCs w:val="24"/>
        </w:rPr>
        <w:t>(reference anonymised)</w:t>
      </w:r>
      <w:r w:rsidR="001D7AB1" w:rsidRPr="001D7AB1">
        <w:rPr>
          <w:sz w:val="24"/>
          <w:szCs w:val="24"/>
        </w:rPr>
        <w:t xml:space="preserve">. Repeat targeted biopsies were </w:t>
      </w:r>
      <w:r w:rsidR="00AA61EE">
        <w:rPr>
          <w:sz w:val="24"/>
          <w:szCs w:val="24"/>
        </w:rPr>
        <w:t xml:space="preserve">either </w:t>
      </w:r>
      <w:r w:rsidR="001D7AB1" w:rsidRPr="001D7AB1">
        <w:rPr>
          <w:sz w:val="24"/>
          <w:szCs w:val="24"/>
        </w:rPr>
        <w:t>performed at time points specified by the local protocol (12 and 36 months)</w:t>
      </w:r>
      <w:r w:rsidR="00AA61EE">
        <w:rPr>
          <w:sz w:val="24"/>
          <w:szCs w:val="24"/>
        </w:rPr>
        <w:t>, or</w:t>
      </w:r>
      <w:r w:rsidR="001D7AB1" w:rsidRPr="001D7AB1">
        <w:rPr>
          <w:sz w:val="24"/>
          <w:szCs w:val="24"/>
        </w:rPr>
        <w:t xml:space="preserve"> triggered earlier by clinical suspicion of progression, </w:t>
      </w:r>
      <w:r w:rsidR="00025939">
        <w:rPr>
          <w:sz w:val="24"/>
          <w:szCs w:val="24"/>
        </w:rPr>
        <w:t>defined as</w:t>
      </w:r>
      <w:r w:rsidR="001D7AB1" w:rsidRPr="001D7AB1">
        <w:rPr>
          <w:sz w:val="24"/>
          <w:szCs w:val="24"/>
        </w:rPr>
        <w:t xml:space="preserve"> either three consecutive elevated PSA levels above the pre-defined threshold or suspected radiological progression (PRECISE scores 4-5). </w:t>
      </w:r>
    </w:p>
    <w:p w14:paraId="26CECDFF" w14:textId="64E9EDC7" w:rsidR="00025939" w:rsidRPr="003D5900" w:rsidRDefault="00025939" w:rsidP="00382478">
      <w:pPr>
        <w:rPr>
          <w:i/>
          <w:iCs/>
          <w:sz w:val="24"/>
          <w:szCs w:val="24"/>
        </w:rPr>
      </w:pPr>
      <w:r w:rsidRPr="003D5900">
        <w:rPr>
          <w:i/>
          <w:iCs/>
          <w:sz w:val="24"/>
          <w:szCs w:val="24"/>
        </w:rPr>
        <w:t>Image segmentation and analysis</w:t>
      </w:r>
    </w:p>
    <w:p w14:paraId="7D53E652" w14:textId="5B0CD016" w:rsidR="00025939" w:rsidRDefault="00025939" w:rsidP="00382478">
      <w:pPr>
        <w:rPr>
          <w:sz w:val="24"/>
          <w:szCs w:val="24"/>
        </w:rPr>
      </w:pPr>
      <w:r>
        <w:rPr>
          <w:sz w:val="24"/>
          <w:szCs w:val="24"/>
        </w:rPr>
        <w:lastRenderedPageBreak/>
        <w:t xml:space="preserve">Tumour regions-of-interest (ROIs) were drawn on anatomical </w:t>
      </w:r>
      <w:r w:rsidR="009F14B1">
        <w:rPr>
          <w:sz w:val="24"/>
          <w:szCs w:val="24"/>
        </w:rPr>
        <w:t xml:space="preserve">T2-weighted images </w:t>
      </w:r>
      <w:r>
        <w:rPr>
          <w:sz w:val="24"/>
          <w:szCs w:val="24"/>
        </w:rPr>
        <w:t>and</w:t>
      </w:r>
      <w:r w:rsidR="009F14B1">
        <w:rPr>
          <w:sz w:val="24"/>
          <w:szCs w:val="24"/>
        </w:rPr>
        <w:t xml:space="preserve"> on</w:t>
      </w:r>
      <w:r>
        <w:rPr>
          <w:sz w:val="24"/>
          <w:szCs w:val="24"/>
        </w:rPr>
        <w:t xml:space="preserve"> ADC maps </w:t>
      </w:r>
      <w:r>
        <w:rPr>
          <w:b/>
          <w:bCs/>
          <w:sz w:val="24"/>
          <w:szCs w:val="24"/>
        </w:rPr>
        <w:t>(Fig</w:t>
      </w:r>
      <w:r w:rsidR="00224808">
        <w:rPr>
          <w:b/>
          <w:bCs/>
          <w:sz w:val="24"/>
          <w:szCs w:val="24"/>
        </w:rPr>
        <w:t>ure</w:t>
      </w:r>
      <w:r>
        <w:rPr>
          <w:b/>
          <w:bCs/>
          <w:sz w:val="24"/>
          <w:szCs w:val="24"/>
        </w:rPr>
        <w:t xml:space="preserve"> 2) </w:t>
      </w:r>
      <w:r w:rsidR="009F14B1" w:rsidRPr="009F14B1">
        <w:rPr>
          <w:bCs/>
          <w:sz w:val="24"/>
          <w:szCs w:val="24"/>
        </w:rPr>
        <w:t>in consensus</w:t>
      </w:r>
      <w:r w:rsidR="009F14B1">
        <w:rPr>
          <w:b/>
          <w:bCs/>
          <w:sz w:val="24"/>
          <w:szCs w:val="24"/>
        </w:rPr>
        <w:t xml:space="preserve"> </w:t>
      </w:r>
      <w:r>
        <w:rPr>
          <w:sz w:val="24"/>
          <w:szCs w:val="24"/>
        </w:rPr>
        <w:t xml:space="preserve">by a fellowship-trained </w:t>
      </w:r>
      <w:proofErr w:type="spellStart"/>
      <w:r>
        <w:rPr>
          <w:sz w:val="24"/>
          <w:szCs w:val="24"/>
        </w:rPr>
        <w:t>uro</w:t>
      </w:r>
      <w:proofErr w:type="spellEnd"/>
      <w:r>
        <w:rPr>
          <w:sz w:val="24"/>
          <w:szCs w:val="24"/>
        </w:rPr>
        <w:t xml:space="preserve">-radiologist </w:t>
      </w:r>
      <w:r>
        <w:rPr>
          <w:b/>
          <w:bCs/>
          <w:sz w:val="24"/>
          <w:szCs w:val="24"/>
        </w:rPr>
        <w:t>(</w:t>
      </w:r>
      <w:r w:rsidR="003050AC">
        <w:rPr>
          <w:b/>
          <w:bCs/>
          <w:sz w:val="24"/>
          <w:szCs w:val="24"/>
        </w:rPr>
        <w:t>a</w:t>
      </w:r>
      <w:r>
        <w:rPr>
          <w:b/>
          <w:bCs/>
          <w:sz w:val="24"/>
          <w:szCs w:val="24"/>
        </w:rPr>
        <w:t>nonymised)</w:t>
      </w:r>
      <w:r>
        <w:rPr>
          <w:sz w:val="24"/>
          <w:szCs w:val="24"/>
        </w:rPr>
        <w:t xml:space="preserve"> with 13 years’ experience of reporting prostate MRI and an imaging research fellow </w:t>
      </w:r>
      <w:r>
        <w:rPr>
          <w:b/>
          <w:bCs/>
          <w:sz w:val="24"/>
          <w:szCs w:val="24"/>
        </w:rPr>
        <w:t>(</w:t>
      </w:r>
      <w:r w:rsidR="003050AC">
        <w:rPr>
          <w:b/>
          <w:bCs/>
          <w:sz w:val="24"/>
          <w:szCs w:val="24"/>
        </w:rPr>
        <w:t>a</w:t>
      </w:r>
      <w:r>
        <w:rPr>
          <w:b/>
          <w:bCs/>
          <w:sz w:val="24"/>
          <w:szCs w:val="24"/>
        </w:rPr>
        <w:t xml:space="preserve">nonymised) </w:t>
      </w:r>
      <w:r>
        <w:rPr>
          <w:sz w:val="24"/>
          <w:szCs w:val="24"/>
        </w:rPr>
        <w:t>with 4 years’ experience using</w:t>
      </w:r>
      <w:r w:rsidR="009F14B1">
        <w:rPr>
          <w:sz w:val="24"/>
          <w:szCs w:val="24"/>
        </w:rPr>
        <w:t xml:space="preserve"> </w:t>
      </w:r>
      <w:r>
        <w:rPr>
          <w:sz w:val="24"/>
          <w:szCs w:val="24"/>
        </w:rPr>
        <w:t xml:space="preserve"> </w:t>
      </w:r>
      <w:r w:rsidR="00B779DC">
        <w:rPr>
          <w:sz w:val="24"/>
          <w:szCs w:val="24"/>
        </w:rPr>
        <w:t xml:space="preserve">open-source software ITK-SNAP </w:t>
      </w:r>
      <w:r w:rsidR="00B779DC">
        <w:rPr>
          <w:sz w:val="24"/>
          <w:szCs w:val="24"/>
        </w:rPr>
        <w:fldChar w:fldCharType="begin" w:fldLock="1"/>
      </w:r>
      <w:r w:rsidR="00DD4E3A">
        <w:rPr>
          <w:sz w:val="24"/>
          <w:szCs w:val="24"/>
        </w:rPr>
        <w:instrText>ADDIN CSL_CITATION {"citationItems":[{"id":"ITEM-1","itemData":{"DOI":"10.1016/j.neuroimage.2006.01.015","ISSN":"10538119","abstract":"Active contour segmentation and its robust implementation using level set methods are well-established theoretical approaches that have been studied thoroughly in the image analysis literature. Despite the existence of these powerful segmentation methods, the needs of clinical research continue to be fulfilled, to a large extent, using slice-by-slice manual tracing. To bridge the gap between methodological advances and clinical routine, we developed an open source application called ITK-SNAP, which is intended to make level set segmentation easily accessible to a wide range of users, including those with little or no mathematical expertise. This paper describes the methods and software engineering philosophy behind this new tool and provides the results of validation experiments performed in the context of an ongoing child autism neuroimaging study. The validation establishes SNAP intrarater and interrater reliability and overlap error statistics for the caudate nucleus and finds that SNAP is a highly reliable and efficient alternative to manual tracing. Analogous results for lateral ventricle segmentation are provided. © 2006 Elsevier Inc. All rights reserved.","author":[{"dropping-particle":"","family":"Yushkevich","given":"Paul A.","non-dropping-particle":"","parse-names":false,"suffix":""},{"dropping-particle":"","family":"Piven","given":"Joseph","non-dropping-particle":"","parse-names":false,"suffix":""},{"dropping-particle":"","family":"Hazlett","given":"Heather Cody","non-dropping-particle":"","parse-names":false,"suffix":""},{"dropping-particle":"","family":"Smith","given":"Rachel Gimpel","non-dropping-particle":"","parse-names":false,"suffix":""},{"dropping-particle":"","family":"Ho","given":"Sean","non-dropping-particle":"","parse-names":false,"suffix":""},{"dropping-particle":"","family":"Gee","given":"James C.","non-dropping-particle":"","parse-names":false,"suffix":""},{"dropping-particle":"","family":"Gerig","given":"Guido","non-dropping-particle":"","parse-names":false,"suffix":""}],"container-title":"NeuroImage","id":"ITEM-1","issue":"3","issued":{"date-parts":[["2006","7","1"]]},"page":"1116-1128","title":"User-guided 3D active contour segmentation of anatomical structures: Significantly improved efficiency and reliability","type":"article-journal","volume":"31"},"uris":["http://www.mendeley.com/documents/?uuid=83b1954d-be15-38dd-ae58-c69df6e246b6"]}],"mendeley":{"formattedCitation":"[24]","plainTextFormattedCitation":"[24]","previouslyFormattedCitation":"[24]"},"properties":{"noteIndex":0},"schema":"https://github.com/citation-style-language/schema/raw/master/csl-citation.json"}</w:instrText>
      </w:r>
      <w:r w:rsidR="00B779DC">
        <w:rPr>
          <w:sz w:val="24"/>
          <w:szCs w:val="24"/>
        </w:rPr>
        <w:fldChar w:fldCharType="separate"/>
      </w:r>
      <w:r w:rsidR="009F1A9C" w:rsidRPr="009F1A9C">
        <w:rPr>
          <w:noProof/>
          <w:sz w:val="24"/>
          <w:szCs w:val="24"/>
        </w:rPr>
        <w:t>[24]</w:t>
      </w:r>
      <w:r w:rsidR="00B779DC">
        <w:rPr>
          <w:sz w:val="24"/>
          <w:szCs w:val="24"/>
        </w:rPr>
        <w:fldChar w:fldCharType="end"/>
      </w:r>
      <w:r w:rsidR="00B779DC">
        <w:rPr>
          <w:sz w:val="24"/>
          <w:szCs w:val="24"/>
        </w:rPr>
        <w:t>.</w:t>
      </w:r>
      <w:r w:rsidR="00096D93">
        <w:rPr>
          <w:sz w:val="24"/>
          <w:szCs w:val="24"/>
        </w:rPr>
        <w:t xml:space="preserve"> </w:t>
      </w:r>
      <w:r w:rsidR="000B42FA">
        <w:rPr>
          <w:sz w:val="24"/>
          <w:szCs w:val="24"/>
        </w:rPr>
        <w:t>Image quality was adequate</w:t>
      </w:r>
      <w:r w:rsidR="0052328F">
        <w:rPr>
          <w:sz w:val="24"/>
          <w:szCs w:val="24"/>
        </w:rPr>
        <w:t xml:space="preserve"> in all cases</w:t>
      </w:r>
      <w:r w:rsidR="000B42FA">
        <w:rPr>
          <w:sz w:val="24"/>
          <w:szCs w:val="24"/>
        </w:rPr>
        <w:t xml:space="preserve"> </w:t>
      </w:r>
      <w:r w:rsidR="00E8678C">
        <w:rPr>
          <w:sz w:val="24"/>
          <w:szCs w:val="24"/>
        </w:rPr>
        <w:t xml:space="preserve">for </w:t>
      </w:r>
      <w:r w:rsidR="0052328F">
        <w:rPr>
          <w:sz w:val="24"/>
          <w:szCs w:val="24"/>
        </w:rPr>
        <w:t>reliable lesion delineation on both T2WI and ADC maps.</w:t>
      </w:r>
      <w:r w:rsidR="00B779DC">
        <w:rPr>
          <w:sz w:val="24"/>
          <w:szCs w:val="24"/>
        </w:rPr>
        <w:t xml:space="preserve"> </w:t>
      </w:r>
    </w:p>
    <w:p w14:paraId="54EAFFD7" w14:textId="31BB890A" w:rsidR="001A17E5" w:rsidRDefault="00BE5FA2" w:rsidP="00382478">
      <w:pPr>
        <w:rPr>
          <w:sz w:val="24"/>
          <w:szCs w:val="24"/>
        </w:rPr>
      </w:pPr>
      <w:r>
        <w:rPr>
          <w:sz w:val="24"/>
          <w:szCs w:val="24"/>
        </w:rPr>
        <w:t xml:space="preserve">The </w:t>
      </w:r>
      <w:r w:rsidR="00ED0D24">
        <w:rPr>
          <w:sz w:val="24"/>
          <w:szCs w:val="24"/>
        </w:rPr>
        <w:t>index</w:t>
      </w:r>
      <w:r w:rsidR="00606449">
        <w:rPr>
          <w:sz w:val="24"/>
          <w:szCs w:val="24"/>
        </w:rPr>
        <w:t xml:space="preserve"> </w:t>
      </w:r>
      <w:r>
        <w:rPr>
          <w:sz w:val="24"/>
          <w:szCs w:val="24"/>
        </w:rPr>
        <w:t>lesion</w:t>
      </w:r>
      <w:r w:rsidR="00762504">
        <w:rPr>
          <w:sz w:val="24"/>
          <w:szCs w:val="24"/>
        </w:rPr>
        <w:t>s</w:t>
      </w:r>
      <w:r w:rsidR="00ED0D24">
        <w:rPr>
          <w:sz w:val="24"/>
          <w:szCs w:val="24"/>
        </w:rPr>
        <w:t xml:space="preserve"> </w:t>
      </w:r>
      <w:r w:rsidR="00ED0D24">
        <w:rPr>
          <w:sz w:val="24"/>
          <w:szCs w:val="24"/>
        </w:rPr>
        <w:fldChar w:fldCharType="begin" w:fldLock="1"/>
      </w:r>
      <w:r w:rsidR="00FB2D16">
        <w:rPr>
          <w:sz w:val="24"/>
          <w:szCs w:val="24"/>
        </w:rPr>
        <w:instrText>ADDIN CSL_CITATION {"citationItems":[{"id":"ITEM-1","itemData":{"DOI":"10.1016/J.EURURO.2019.02.033","ISSN":"0302-2838","PMID":"30898406","abstract":"&lt;h2&gt;Abstract&lt;/h2&gt;&lt;p&gt;The Prostate Imaging Reporting and Data System version 2 (PI-RADS v2) was developed with a consensus-based process using a combination of published data, and expert observations and opinions. In the short time since its release, numerous studies have validated the value of PI-RADS v2 but, as expected, have also identified a number of ambiguities and limitations, some of which have been documented in the literature with potential solutions offered. To address these issues, the PI-RADS Steering Committee, again using a consensus-based process, has recommended several modifications to PI-RADS v2, maintaining the framework of assigning scores to individual sequences and using these scores to derive an overall assessment category. This updated version, described in this article, is termed PI-RADS v2.1. It is anticipated that the adoption of these PI-RADS v2.1 modifications will improve inter-reader variability and simplify PI-RADS assessment of prostate magnetic resonance imaging even further. Research on the value and limitations on all components of PI-RADS v2.1 is strongly encouraged.&lt;/p&gt;","author":[{"dropping-particle":"","family":"Turkbey","given":"Baris","non-dropping-particle":"","parse-names":false,"suffix":""},{"dropping-particle":"","family":"Rosenkrantz","given":"Andrew B.","non-dropping-particle":"","parse-names":false,"suffix":""},{"dropping-particle":"","family":"Haider","given":"Masoom A.","non-dropping-particle":"","parse-names":false,"suffix":""},{"dropping-particle":"","family":"Padhani","given":"Anwar R.","non-dropping-particle":"","parse-names":false,"suffix":""},{"dropping-particle":"","family":"Villeirs","given":"Geert","non-dropping-particle":"","parse-names":false,"suffix":""},{"dropping-particle":"","family":"Macura","given":"Katarzyna J.","non-dropping-particle":"","parse-names":false,"suffix":""},{"dropping-particle":"","family":"Tempany","given":"Clare M.","non-dropping-particle":"","parse-names":false,"suffix":""},{"dropping-particle":"","family":"Choyke","given":"Peter L.","non-dropping-particle":"","parse-names":false,"suffix":""},{"dropping-particle":"","family":"Cornud","given":"Francois","non-dropping-particle":"","parse-names":false,"suffix":""},{"dropping-particle":"","family":"Margolis","given":"Daniel J.","non-dropping-particle":"","parse-names":false,"suffix":""},{"dropping-particle":"","family":"Thoeny","given":"Harriet C.","non-dropping-particle":"","parse-names":false,"suffix":""},{"dropping-particle":"","family":"Verma","given":"Sadhna","non-dropping-particle":"","parse-names":false,"suffix":""},{"dropping-particle":"","family":"Barentsz","given":"Jelle","non-dropping-particle":"","parse-names":false,"suffix":""},{"dropping-particle":"","family":"Weinreb","given":"Jeffrey C.","non-dropping-particle":"","parse-names":false,"suffix":""}],"container-title":"European Urology","id":"ITEM-1","issue":"3","issued":{"date-parts":[["2019","9","1"]]},"page":"340-351","publisher":"Elsevier","title":"Prostate Imaging Reporting and Data System Version 2.1: 2019 Update of Prostate Imaging Reporting and Data System Version 2","type":"article-journal","volume":"76"},"uris":["http://www.mendeley.com/documents/?uuid=016f3766-eae5-3256-9512-d2b4c801fb2b"]}],"mendeley":{"formattedCitation":"[25]","plainTextFormattedCitation":"[25]","previouslyFormattedCitation":"[25]"},"properties":{"noteIndex":0},"schema":"https://github.com/citation-style-language/schema/raw/master/csl-citation.json"}</w:instrText>
      </w:r>
      <w:r w:rsidR="00ED0D24">
        <w:rPr>
          <w:sz w:val="24"/>
          <w:szCs w:val="24"/>
        </w:rPr>
        <w:fldChar w:fldCharType="separate"/>
      </w:r>
      <w:r w:rsidR="00ED0D24" w:rsidRPr="00ED0D24">
        <w:rPr>
          <w:noProof/>
          <w:sz w:val="24"/>
          <w:szCs w:val="24"/>
        </w:rPr>
        <w:t>[25]</w:t>
      </w:r>
      <w:r w:rsidR="00ED0D24">
        <w:rPr>
          <w:sz w:val="24"/>
          <w:szCs w:val="24"/>
        </w:rPr>
        <w:fldChar w:fldCharType="end"/>
      </w:r>
      <w:r>
        <w:rPr>
          <w:sz w:val="24"/>
          <w:szCs w:val="24"/>
        </w:rPr>
        <w:t xml:space="preserve"> </w:t>
      </w:r>
      <w:r w:rsidR="00762504">
        <w:rPr>
          <w:sz w:val="24"/>
          <w:szCs w:val="24"/>
        </w:rPr>
        <w:t>were</w:t>
      </w:r>
      <w:r>
        <w:rPr>
          <w:sz w:val="24"/>
          <w:szCs w:val="24"/>
        </w:rPr>
        <w:t xml:space="preserve"> measured on both T2WI and ADC maps using the following techniques: </w:t>
      </w:r>
      <w:proofErr w:type="spellStart"/>
      <w:r>
        <w:rPr>
          <w:sz w:val="24"/>
          <w:szCs w:val="24"/>
        </w:rPr>
        <w:t>i</w:t>
      </w:r>
      <w:proofErr w:type="spellEnd"/>
      <w:r>
        <w:rPr>
          <w:sz w:val="24"/>
          <w:szCs w:val="24"/>
        </w:rPr>
        <w:t xml:space="preserve">) </w:t>
      </w:r>
      <w:r w:rsidR="009F14B1">
        <w:rPr>
          <w:sz w:val="24"/>
          <w:szCs w:val="24"/>
        </w:rPr>
        <w:t xml:space="preserve">volumetric, with </w:t>
      </w:r>
      <w:r w:rsidR="00A93BE7">
        <w:rPr>
          <w:sz w:val="24"/>
          <w:szCs w:val="24"/>
        </w:rPr>
        <w:t xml:space="preserve">tumour </w:t>
      </w:r>
      <w:r w:rsidR="009F14B1">
        <w:rPr>
          <w:sz w:val="24"/>
          <w:szCs w:val="24"/>
        </w:rPr>
        <w:t>segmentation</w:t>
      </w:r>
      <w:r w:rsidR="00DA7021">
        <w:rPr>
          <w:sz w:val="24"/>
          <w:szCs w:val="24"/>
        </w:rPr>
        <w:t xml:space="preserve"> by means of</w:t>
      </w:r>
      <w:r w:rsidR="002A40C5" w:rsidRPr="002A40C5">
        <w:rPr>
          <w:sz w:val="24"/>
          <w:szCs w:val="24"/>
        </w:rPr>
        <w:t xml:space="preserve"> </w:t>
      </w:r>
      <w:r w:rsidR="002A40C5">
        <w:rPr>
          <w:sz w:val="24"/>
          <w:szCs w:val="24"/>
        </w:rPr>
        <w:t>free-hand delineation on all slices encompassing the lesion</w:t>
      </w:r>
      <w:r w:rsidR="006644C3">
        <w:rPr>
          <w:sz w:val="24"/>
          <w:szCs w:val="24"/>
        </w:rPr>
        <w:t xml:space="preserve">, ii) </w:t>
      </w:r>
      <w:r w:rsidR="00CC58F6">
        <w:rPr>
          <w:sz w:val="24"/>
          <w:szCs w:val="24"/>
        </w:rPr>
        <w:t>2D</w:t>
      </w:r>
      <w:r w:rsidR="00590EFC">
        <w:rPr>
          <w:sz w:val="24"/>
          <w:szCs w:val="24"/>
        </w:rPr>
        <w:t xml:space="preserve"> tumour</w:t>
      </w:r>
      <w:r w:rsidR="00CC58F6">
        <w:rPr>
          <w:sz w:val="24"/>
          <w:szCs w:val="24"/>
        </w:rPr>
        <w:t xml:space="preserve"> s</w:t>
      </w:r>
      <w:r w:rsidR="00EA4F29">
        <w:rPr>
          <w:sz w:val="24"/>
          <w:szCs w:val="24"/>
        </w:rPr>
        <w:t xml:space="preserve">urface area </w:t>
      </w:r>
      <w:r w:rsidR="00972381">
        <w:rPr>
          <w:sz w:val="24"/>
          <w:szCs w:val="24"/>
        </w:rPr>
        <w:t>derived using</w:t>
      </w:r>
      <w:r w:rsidR="004D76DB">
        <w:rPr>
          <w:sz w:val="24"/>
          <w:szCs w:val="24"/>
        </w:rPr>
        <w:t xml:space="preserve"> the largest diameter</w:t>
      </w:r>
      <w:r w:rsidR="009F14B1">
        <w:rPr>
          <w:sz w:val="24"/>
          <w:szCs w:val="24"/>
        </w:rPr>
        <w:t xml:space="preserve"> and a second perpendicular diameter</w:t>
      </w:r>
      <w:r w:rsidR="00CB1731">
        <w:rPr>
          <w:sz w:val="24"/>
          <w:szCs w:val="24"/>
        </w:rPr>
        <w:t xml:space="preserve"> ([anteroposterior</w:t>
      </w:r>
      <w:r w:rsidR="005F5688">
        <w:rPr>
          <w:sz w:val="24"/>
          <w:szCs w:val="24"/>
        </w:rPr>
        <w:t xml:space="preserve"> diameter</w:t>
      </w:r>
      <w:r w:rsidR="00CB1731">
        <w:rPr>
          <w:sz w:val="24"/>
          <w:szCs w:val="24"/>
        </w:rPr>
        <w:t xml:space="preserve"> </w:t>
      </w:r>
      <w:r w:rsidR="00FD3DB1" w:rsidRPr="00FD3DB1">
        <w:rPr>
          <w:sz w:val="24"/>
          <w:szCs w:val="24"/>
        </w:rPr>
        <w:t>×</w:t>
      </w:r>
      <w:r w:rsidR="00CB1731">
        <w:rPr>
          <w:sz w:val="24"/>
          <w:szCs w:val="24"/>
        </w:rPr>
        <w:t xml:space="preserve"> transverse diameter </w:t>
      </w:r>
      <w:r w:rsidR="00FD3DB1" w:rsidRPr="00FD3DB1">
        <w:rPr>
          <w:sz w:val="24"/>
          <w:szCs w:val="24"/>
        </w:rPr>
        <w:t>×</w:t>
      </w:r>
      <w:r w:rsidR="00CB1731">
        <w:rPr>
          <w:sz w:val="24"/>
          <w:szCs w:val="24"/>
        </w:rPr>
        <w:t xml:space="preserve"> </w:t>
      </w:r>
      <w:r w:rsidR="00CB1731" w:rsidRPr="00CB1731">
        <w:rPr>
          <w:sz w:val="24"/>
          <w:szCs w:val="24"/>
        </w:rPr>
        <w:t>π</w:t>
      </w:r>
      <w:r w:rsidR="00CB1731">
        <w:rPr>
          <w:sz w:val="24"/>
          <w:szCs w:val="24"/>
        </w:rPr>
        <w:t>]/2)</w:t>
      </w:r>
      <w:r w:rsidR="00B3628E">
        <w:rPr>
          <w:sz w:val="24"/>
          <w:szCs w:val="24"/>
        </w:rPr>
        <w:t xml:space="preserve">, and iii) </w:t>
      </w:r>
      <w:r w:rsidR="00D340CF">
        <w:rPr>
          <w:sz w:val="24"/>
          <w:szCs w:val="24"/>
        </w:rPr>
        <w:t>single maximum</w:t>
      </w:r>
      <w:r w:rsidR="00590EFC">
        <w:rPr>
          <w:sz w:val="24"/>
          <w:szCs w:val="24"/>
        </w:rPr>
        <w:t xml:space="preserve"> tumour</w:t>
      </w:r>
      <w:r w:rsidR="00D340CF">
        <w:rPr>
          <w:sz w:val="24"/>
          <w:szCs w:val="24"/>
        </w:rPr>
        <w:t xml:space="preserve"> diameter</w:t>
      </w:r>
      <w:r w:rsidR="00590EFC">
        <w:rPr>
          <w:sz w:val="24"/>
          <w:szCs w:val="24"/>
        </w:rPr>
        <w:t xml:space="preserve"> </w:t>
      </w:r>
      <w:r w:rsidR="001A17E5" w:rsidRPr="00CE2240">
        <w:rPr>
          <w:sz w:val="24"/>
          <w:szCs w:val="24"/>
        </w:rPr>
        <w:t>(</w:t>
      </w:r>
      <w:r w:rsidR="001A17E5" w:rsidRPr="00CE2240">
        <w:rPr>
          <w:b/>
          <w:bCs/>
          <w:sz w:val="24"/>
          <w:szCs w:val="24"/>
        </w:rPr>
        <w:t>Fig</w:t>
      </w:r>
      <w:r w:rsidR="00224808">
        <w:rPr>
          <w:b/>
          <w:bCs/>
          <w:sz w:val="24"/>
          <w:szCs w:val="24"/>
        </w:rPr>
        <w:t>ure</w:t>
      </w:r>
      <w:r w:rsidR="001A17E5" w:rsidRPr="00CE2240">
        <w:rPr>
          <w:b/>
          <w:bCs/>
          <w:sz w:val="24"/>
          <w:szCs w:val="24"/>
        </w:rPr>
        <w:t xml:space="preserve"> 2</w:t>
      </w:r>
      <w:r w:rsidR="001A17E5" w:rsidRPr="00CE2240">
        <w:rPr>
          <w:sz w:val="24"/>
          <w:szCs w:val="24"/>
        </w:rPr>
        <w:t>)</w:t>
      </w:r>
      <w:r w:rsidR="00F3138F" w:rsidRPr="00CE2240">
        <w:rPr>
          <w:sz w:val="24"/>
          <w:szCs w:val="24"/>
        </w:rPr>
        <w:t>.</w:t>
      </w:r>
      <w:r w:rsidR="00294AB9">
        <w:rPr>
          <w:sz w:val="24"/>
          <w:szCs w:val="24"/>
        </w:rPr>
        <w:t xml:space="preserve"> </w:t>
      </w:r>
    </w:p>
    <w:p w14:paraId="4AD5AABB" w14:textId="2ADE7505" w:rsidR="00914ACC" w:rsidRDefault="001A17E5" w:rsidP="00382478">
      <w:pPr>
        <w:rPr>
          <w:sz w:val="24"/>
          <w:szCs w:val="24"/>
        </w:rPr>
      </w:pPr>
      <w:r>
        <w:rPr>
          <w:sz w:val="24"/>
          <w:szCs w:val="24"/>
        </w:rPr>
        <w:t xml:space="preserve">Tumour-derived ADC values were </w:t>
      </w:r>
      <w:r w:rsidR="002A5435">
        <w:rPr>
          <w:sz w:val="24"/>
          <w:szCs w:val="24"/>
        </w:rPr>
        <w:t>measured</w:t>
      </w:r>
      <w:r>
        <w:rPr>
          <w:sz w:val="24"/>
          <w:szCs w:val="24"/>
        </w:rPr>
        <w:t xml:space="preserve"> using the following techniques:</w:t>
      </w:r>
      <w:r w:rsidR="00A54B5C">
        <w:rPr>
          <w:sz w:val="24"/>
          <w:szCs w:val="24"/>
        </w:rPr>
        <w:t xml:space="preserve"> </w:t>
      </w:r>
      <w:proofErr w:type="spellStart"/>
      <w:r w:rsidR="00A54B5C">
        <w:rPr>
          <w:sz w:val="24"/>
          <w:szCs w:val="24"/>
        </w:rPr>
        <w:t>i</w:t>
      </w:r>
      <w:proofErr w:type="spellEnd"/>
      <w:r w:rsidR="00A54B5C">
        <w:rPr>
          <w:sz w:val="24"/>
          <w:szCs w:val="24"/>
        </w:rPr>
        <w:t>) whole-volume ADC derived from ROIs used to measure tumour volume</w:t>
      </w:r>
      <w:r w:rsidR="00440B7F">
        <w:rPr>
          <w:sz w:val="24"/>
          <w:szCs w:val="24"/>
        </w:rPr>
        <w:t>, ii) mid-slice ADC</w:t>
      </w:r>
      <w:r w:rsidR="002A5435">
        <w:rPr>
          <w:sz w:val="24"/>
          <w:szCs w:val="24"/>
        </w:rPr>
        <w:t xml:space="preserve"> </w:t>
      </w:r>
      <w:r w:rsidR="00440B7F">
        <w:rPr>
          <w:sz w:val="24"/>
          <w:szCs w:val="24"/>
        </w:rPr>
        <w:t xml:space="preserve">derived from a free-hand ROI </w:t>
      </w:r>
      <w:r w:rsidR="008F0694">
        <w:rPr>
          <w:sz w:val="24"/>
          <w:szCs w:val="24"/>
        </w:rPr>
        <w:t>encompassing the largest tumour area from the axial acquisition used to measure 2D surface area</w:t>
      </w:r>
      <w:r w:rsidR="00894DB1">
        <w:rPr>
          <w:sz w:val="24"/>
          <w:szCs w:val="24"/>
        </w:rPr>
        <w:t xml:space="preserve"> and single maximum diameter), iii) </w:t>
      </w:r>
      <w:r w:rsidR="00436229">
        <w:rPr>
          <w:sz w:val="24"/>
          <w:szCs w:val="24"/>
        </w:rPr>
        <w:t xml:space="preserve">small-volume ADC </w:t>
      </w:r>
      <w:r w:rsidR="002A5435">
        <w:rPr>
          <w:sz w:val="24"/>
          <w:szCs w:val="24"/>
        </w:rPr>
        <w:t>obtained</w:t>
      </w:r>
      <w:r w:rsidR="00436229">
        <w:rPr>
          <w:sz w:val="24"/>
          <w:szCs w:val="24"/>
        </w:rPr>
        <w:t xml:space="preserve"> from a </w:t>
      </w:r>
      <w:r w:rsidR="00D74BDF">
        <w:rPr>
          <w:sz w:val="24"/>
          <w:szCs w:val="24"/>
        </w:rPr>
        <w:t>standardised circular ROI</w:t>
      </w:r>
      <w:r w:rsidR="00050DBE">
        <w:rPr>
          <w:sz w:val="24"/>
          <w:szCs w:val="24"/>
        </w:rPr>
        <w:t xml:space="preserve"> (</w:t>
      </w:r>
      <w:r w:rsidR="00F67656">
        <w:rPr>
          <w:sz w:val="24"/>
          <w:szCs w:val="24"/>
        </w:rPr>
        <w:t xml:space="preserve">minimum ROI surface area </w:t>
      </w:r>
      <w:r w:rsidR="00412C41">
        <w:rPr>
          <w:sz w:val="24"/>
          <w:szCs w:val="24"/>
        </w:rPr>
        <w:t>15</w:t>
      </w:r>
      <w:r w:rsidR="00617A07">
        <w:rPr>
          <w:sz w:val="24"/>
          <w:szCs w:val="24"/>
        </w:rPr>
        <w:t xml:space="preserve"> mm</w:t>
      </w:r>
      <w:r w:rsidR="00617A07">
        <w:rPr>
          <w:sz w:val="24"/>
          <w:szCs w:val="24"/>
          <w:vertAlign w:val="superscript"/>
        </w:rPr>
        <w:t>2</w:t>
      </w:r>
      <w:r w:rsidR="00617A07">
        <w:rPr>
          <w:sz w:val="24"/>
          <w:szCs w:val="24"/>
        </w:rPr>
        <w:t>)</w:t>
      </w:r>
      <w:r w:rsidR="00D74BDF">
        <w:rPr>
          <w:sz w:val="24"/>
          <w:szCs w:val="24"/>
        </w:rPr>
        <w:t xml:space="preserve"> positioned in the centre of the lesion on a slice where it was most conspicuous </w:t>
      </w:r>
      <w:r w:rsidR="00CE2240">
        <w:rPr>
          <w:sz w:val="24"/>
          <w:szCs w:val="24"/>
        </w:rPr>
        <w:t>(</w:t>
      </w:r>
      <w:r w:rsidR="00CE2240">
        <w:rPr>
          <w:b/>
          <w:bCs/>
          <w:sz w:val="24"/>
          <w:szCs w:val="24"/>
        </w:rPr>
        <w:t>Fig</w:t>
      </w:r>
      <w:r w:rsidR="00224808">
        <w:rPr>
          <w:b/>
          <w:bCs/>
          <w:sz w:val="24"/>
          <w:szCs w:val="24"/>
        </w:rPr>
        <w:t>ure</w:t>
      </w:r>
      <w:r w:rsidR="00CE2240">
        <w:rPr>
          <w:b/>
          <w:bCs/>
          <w:sz w:val="24"/>
          <w:szCs w:val="24"/>
        </w:rPr>
        <w:t xml:space="preserve"> 2</w:t>
      </w:r>
      <w:r w:rsidR="00CE2240">
        <w:rPr>
          <w:sz w:val="24"/>
          <w:szCs w:val="24"/>
        </w:rPr>
        <w:t>)</w:t>
      </w:r>
      <w:r w:rsidR="00D74BDF">
        <w:rPr>
          <w:sz w:val="24"/>
          <w:szCs w:val="24"/>
        </w:rPr>
        <w:t xml:space="preserve">. </w:t>
      </w:r>
      <w:r>
        <w:rPr>
          <w:sz w:val="24"/>
          <w:szCs w:val="24"/>
        </w:rPr>
        <w:t xml:space="preserve"> </w:t>
      </w:r>
      <w:r w:rsidR="00F3138F">
        <w:rPr>
          <w:sz w:val="24"/>
          <w:szCs w:val="24"/>
        </w:rPr>
        <w:t xml:space="preserve"> </w:t>
      </w:r>
      <w:r w:rsidR="004D76DB">
        <w:rPr>
          <w:sz w:val="24"/>
          <w:szCs w:val="24"/>
        </w:rPr>
        <w:t xml:space="preserve"> </w:t>
      </w:r>
    </w:p>
    <w:p w14:paraId="40A6EFCF" w14:textId="5B352C35" w:rsidR="00B779DC" w:rsidRPr="00145F3E" w:rsidRDefault="00280707" w:rsidP="00382478">
      <w:pPr>
        <w:rPr>
          <w:sz w:val="24"/>
          <w:szCs w:val="24"/>
        </w:rPr>
      </w:pPr>
      <w:r>
        <w:rPr>
          <w:sz w:val="24"/>
          <w:szCs w:val="24"/>
        </w:rPr>
        <w:t xml:space="preserve">At follow-up, </w:t>
      </w:r>
      <w:r w:rsidRPr="00280707">
        <w:rPr>
          <w:sz w:val="24"/>
          <w:szCs w:val="24"/>
        </w:rPr>
        <w:t xml:space="preserve">PRECISE scores were </w:t>
      </w:r>
      <w:r w:rsidR="004D52EC">
        <w:rPr>
          <w:sz w:val="24"/>
          <w:szCs w:val="24"/>
        </w:rPr>
        <w:t>assigned</w:t>
      </w:r>
      <w:r w:rsidRPr="00280707">
        <w:rPr>
          <w:sz w:val="24"/>
          <w:szCs w:val="24"/>
        </w:rPr>
        <w:t xml:space="preserve"> by </w:t>
      </w:r>
      <w:r>
        <w:rPr>
          <w:sz w:val="24"/>
          <w:szCs w:val="24"/>
        </w:rPr>
        <w:t>three</w:t>
      </w:r>
      <w:r w:rsidRPr="00280707">
        <w:rPr>
          <w:sz w:val="24"/>
          <w:szCs w:val="24"/>
        </w:rPr>
        <w:t xml:space="preserve"> sub-specialist </w:t>
      </w:r>
      <w:proofErr w:type="spellStart"/>
      <w:r w:rsidRPr="00280707">
        <w:rPr>
          <w:sz w:val="24"/>
          <w:szCs w:val="24"/>
        </w:rPr>
        <w:t>uro</w:t>
      </w:r>
      <w:proofErr w:type="spellEnd"/>
      <w:r w:rsidRPr="00280707">
        <w:rPr>
          <w:sz w:val="24"/>
          <w:szCs w:val="24"/>
        </w:rPr>
        <w:t>-radiologists</w:t>
      </w:r>
      <w:r>
        <w:rPr>
          <w:sz w:val="24"/>
          <w:szCs w:val="24"/>
        </w:rPr>
        <w:t xml:space="preserve"> </w:t>
      </w:r>
      <w:r>
        <w:rPr>
          <w:b/>
          <w:bCs/>
          <w:sz w:val="24"/>
          <w:szCs w:val="24"/>
        </w:rPr>
        <w:t>(anonymised)</w:t>
      </w:r>
      <w:r w:rsidRPr="00280707">
        <w:rPr>
          <w:sz w:val="24"/>
          <w:szCs w:val="24"/>
        </w:rPr>
        <w:t xml:space="preserve"> with 5-16 years’ experience of reporting prostate MRI</w:t>
      </w:r>
      <w:r>
        <w:rPr>
          <w:sz w:val="24"/>
          <w:szCs w:val="24"/>
        </w:rPr>
        <w:t xml:space="preserve"> </w:t>
      </w:r>
      <w:r w:rsidRPr="00280707">
        <w:rPr>
          <w:sz w:val="24"/>
          <w:szCs w:val="24"/>
        </w:rPr>
        <w:t>and considered to be experts</w:t>
      </w:r>
      <w:r>
        <w:rPr>
          <w:sz w:val="24"/>
          <w:szCs w:val="24"/>
        </w:rPr>
        <w:t xml:space="preserve"> </w:t>
      </w:r>
      <w:r w:rsidRPr="00280707">
        <w:rPr>
          <w:sz w:val="24"/>
          <w:szCs w:val="24"/>
        </w:rPr>
        <w:t xml:space="preserve">with each having read &gt;2,000 cases </w:t>
      </w:r>
      <w:r w:rsidRPr="00280707">
        <w:rPr>
          <w:sz w:val="24"/>
          <w:szCs w:val="24"/>
        </w:rPr>
        <w:fldChar w:fldCharType="begin" w:fldLock="1"/>
      </w:r>
      <w:r w:rsidR="00FB2D16">
        <w:rPr>
          <w:sz w:val="24"/>
          <w:szCs w:val="24"/>
        </w:rPr>
        <w:instrText>ADDIN CSL_CITATION {"citationItems":[{"id":"ITEM-1","itemData":{"DOI":"10.1007/s00330-020-06929-z","ISSN":"14321084","PMID":"32424596","abstract":"Objectives: This study aims to define consensus-based criteria for acquiring and reporting prostate MRI and establishing prerequisites for image quality. Methods: A total of 44 leading urologists and urogenital radiologists who are experts in prostate cancer imaging from the European Society of Urogenital Radiology (ESUR) and EAU Section of Urologic Imaging (ESUI) participated in a Delphi consensus process. Panellists completed two rounds of questionnaires with 55 items under three headings: image quality assessment, interpretation and reporting, and radiologists’ experience plus training centres. Of 55 questions, 31 were rated for agreement on a 9-point scale, and 24 were multiple-choice or open. For agreement items, there was consensus agreement with an agreement ≥ 70% (score 7–9) and disagreement of ≤ 15% of the panellists. For the other questions, a consensus was considered with ≥ 50% of votes. Results: Twenty-four out of 31 of agreement items and 11/16 of other questions reached consensus. Agreement statements were (1) reporting of image quality should be performed and implemented into clinical practice; (2) for interpretation performance, radiologists should use self-performance tests with histopathology feedback, compare their interpretation with expert-reading and use external performance assessments; and (3) radiologists must attend theoretical and hands-on courses before interpreting prostate MRI. Limitations are that the results are expert opinions and not based on systematic reviews or meta-analyses. There was no consensus on outcomes statements of prostate MRI assessment as quality marker. Conclusions: An ESUR and ESUI expert panel showed high agreement (74%) on issues improving prostate MRI quality. Checking and reporting of image quality are mandatory. Prostate radiologists should attend theoretical and hands-on courses, followed by supervised education, and must perform regular performance assessments. Key Points: • Multi-parametric MRI in the diagnostic pathway of prostate cancer has a well-established upfront role in the recently updated European Association of Urology guideline and American Urological Association recommendations. • Suboptimal image acquisition and reporting at an individual level will result in clinicians losing confidence in the technique and returning to the (non-MRI) systematic biopsy pathway. Therefore, it is crucial to establish quality criteria for the acquisition and reporting of mpMRI. • To ensure high-quality…","author":[{"dropping-particle":"","family":"Rooij","given":"Maarten","non-dropping-particle":"de","parse-names":false,"suffix":""},{"dropping-particle":"","family":"Israël","given":"Bas","non-dropping-particle":"","parse-names":false,"suffix":""},{"dropping-particle":"","family":"Tummers","given":"Marcia","non-dropping-particle":"","parse-names":false,"suffix":""},{"dropping-particle":"","family":"Ahmed","given":"Hashim U.","non-dropping-particle":"","parse-names":false,"suffix":""},{"dropping-particle":"","family":"Barrett","given":"Tristan","non-dropping-particle":"","parse-names":false,"suffix":""},{"dropping-particle":"","family":"Giganti","given":"Francesco","non-dropping-particle":"","parse-names":false,"suffix":""},{"dropping-particle":"","family":"Hamm","given":"Bernd","non-dropping-particle":"","parse-names":false,"suffix":""},{"dropping-particle":"","family":"Løgager","given":"Vibeke","non-dropping-particle":"","parse-names":false,"suffix":""},{"dropping-particle":"","family":"Padhani","given":"Anwar","non-dropping-particle":"","parse-names":false,"suffix":""},{"dropping-particle":"","family":"Panebianco","given":"Valeria","non-dropping-particle":"","parse-names":false,"suffix":""},{"dropping-particle":"","family":"Puech","given":"Philippe","non-dropping-particle":"","parse-names":false,"suffix":""},{"dropping-particle":"","family":"Richenberg","given":"Jonathan","non-dropping-particle":"","parse-names":false,"suffix":""},{"dropping-particle":"","family":"Rouvière","given":"Olivier","non-dropping-particle":"","parse-names":false,"suffix":""},{"dropping-particle":"","family":"Salomon","given":"Georg","non-dropping-particle":"","parse-names":false,"suffix":""},{"dropping-particle":"","family":"Schoots","given":"Ivo","non-dropping-particle":"","parse-names":false,"suffix":""},{"dropping-particle":"","family":"Veltman","given":"Jeroen","non-dropping-particle":"","parse-names":false,"suffix":""},{"dropping-particle":"","family":"Villeirs","given":"Geert","non-dropping-particle":"","parse-names":false,"suffix":""},{"dropping-particle":"","family":"Walz","given":"Jochen","non-dropping-particle":"","parse-names":false,"suffix":""},{"dropping-particle":"","family":"Barentsz","given":"Jelle O.","non-dropping-particle":"","parse-names":false,"suffix":""}],"container-title":"European Radiology","id":"ITEM-1","issued":{"date-parts":[["2020"]]},"publisher":"Springer","title":"ESUR/ESUI consensus statements on multi-parametric MRI for the detection of clinically significant prostate cancer: quality requirements for image acquisition, interpretation and radiologists’ training","type":"article-journal"},"uris":["http://www.mendeley.com/documents/?uuid=745427ad-aa0d-3897-9a5f-e87944ec0243"]},{"id":"ITEM-2","itemData":{"DOI":"10.1111/bju.15285","ISSN":"14644096","author":[{"dropping-particle":"","family":"Barrett","given":"Tristan","non-dropping-particle":"","parse-names":false,"suffix":""},{"dropping-particle":"","family":"Padhani","given":"Anwar R.","non-dropping-particle":"","parse-names":false,"suffix":""},{"dropping-particle":"","family":"Patel","given":"Amit","non-dropping-particle":"","parse-names":false,"suffix":""},{"dropping-particle":"","family":"Ahmed","given":"Hashim U.","non-dropping-particle":"","parse-names":false,"suffix":""},{"dropping-particle":"","family":"Allen","given":"Clare","non-dropping-particle":"","parse-names":false,"suffix":""},{"dropping-particle":"","family":"Bardgett","given":"Harry","non-dropping-particle":"","parse-names":false,"suffix":""},{"dropping-particle":"","family":"Belfield","given":"Jane","non-dropping-particle":"","parse-names":false,"suffix":""},{"dropping-particle":"","family":"Brizmohun Appayya","given":"Mrishta","non-dropping-particle":"","parse-names":false,"suffix":""},{"dropping-particle":"","family":"Harding","given":"Thomas","non-dropping-particle":"","parse-names":false,"suffix":""},{"dropping-particle":"","family":"Hoch","given":"Ornella-Shanin","non-dropping-particle":"","parse-names":false,"suffix":""},{"dropping-particle":"","family":"Keanie","given":"Julian Y.","non-dropping-particle":"","parse-names":false,"suffix":""},{"dropping-particle":"","family":"Liyanage","given":"Sidath H.","non-dropping-particle":"","parse-names":false,"suffix":""},{"dropping-particle":"","family":"Papoutsaki","given":"Marianthi-Vasiliki","non-dropping-particle":"","parse-names":false,"suffix":""},{"dropping-particle":"","family":"Punwani","given":"Shonit","non-dropping-particle":"","parse-names":false,"suffix":""},{"dropping-particle":"","family":"Robinson","given":"Mark J.C.","non-dropping-particle":"","parse-names":false,"suffix":""},{"dropping-particle":"","family":"Rajesh","given":"Arumugam","non-dropping-particle":"","parse-names":false,"suffix":""},{"dropping-particle":"","family":"Stafurth","given":"John N.","non-dropping-particle":"","parse-names":false,"suffix":""},{"dropping-particle":"","family":"Meulen","given":"Jan","non-dropping-particle":"van der","parse-names":false,"suffix":""},{"dropping-particle":"","family":"Richenberg","given":"Jonathan","non-dropping-particle":"","parse-names":false,"suffix":""}],"container-title":"BJU International","id":"ITEM-2","issued":{"date-parts":[["2020","11","16"]]},"publisher":"BJU Int","title":"Certification in reporting multiparametric magnetic resonance imaging of the prostate: recommendations of a UK consensus meeting","type":"article-journal"},"uris":["http://www.mendeley.com/documents/?uuid=187db99a-3388-3700-881b-464594c37901"]}],"mendeley":{"formattedCitation":"[13,26]","plainTextFormattedCitation":"[13,26]","previouslyFormattedCitation":"[13,26]"},"properties":{"noteIndex":0},"schema":"https://github.com/citation-style-language/schema/raw/master/csl-citation.json"}</w:instrText>
      </w:r>
      <w:r w:rsidRPr="00280707">
        <w:rPr>
          <w:sz w:val="24"/>
          <w:szCs w:val="24"/>
        </w:rPr>
        <w:fldChar w:fldCharType="separate"/>
      </w:r>
      <w:r w:rsidR="00ED0D24" w:rsidRPr="00ED0D24">
        <w:rPr>
          <w:noProof/>
          <w:sz w:val="24"/>
          <w:szCs w:val="24"/>
        </w:rPr>
        <w:t>[13,26]</w:t>
      </w:r>
      <w:r w:rsidRPr="00280707">
        <w:rPr>
          <w:sz w:val="24"/>
          <w:szCs w:val="24"/>
        </w:rPr>
        <w:fldChar w:fldCharType="end"/>
      </w:r>
      <w:r w:rsidRPr="00280707">
        <w:rPr>
          <w:sz w:val="24"/>
          <w:szCs w:val="24"/>
        </w:rPr>
        <w:t xml:space="preserve">. </w:t>
      </w:r>
      <w:r w:rsidR="00C30A79">
        <w:rPr>
          <w:sz w:val="24"/>
          <w:szCs w:val="24"/>
        </w:rPr>
        <w:t>T</w:t>
      </w:r>
      <w:r w:rsidR="0029632D">
        <w:rPr>
          <w:sz w:val="24"/>
          <w:szCs w:val="24"/>
        </w:rPr>
        <w:t>he</w:t>
      </w:r>
      <w:r w:rsidRPr="00280707">
        <w:rPr>
          <w:sz w:val="24"/>
          <w:szCs w:val="24"/>
        </w:rPr>
        <w:t xml:space="preserve"> readers were not blinded to clinical information, including PSA and PSA density dynamics.</w:t>
      </w:r>
      <w:r w:rsidR="004D52EC">
        <w:rPr>
          <w:sz w:val="24"/>
          <w:szCs w:val="24"/>
        </w:rPr>
        <w:t xml:space="preserve"> </w:t>
      </w:r>
      <w:r w:rsidR="007C2BB3">
        <w:rPr>
          <w:sz w:val="24"/>
          <w:szCs w:val="24"/>
        </w:rPr>
        <w:t>PRECISE</w:t>
      </w:r>
      <w:r w:rsidR="00A64106">
        <w:rPr>
          <w:sz w:val="24"/>
          <w:szCs w:val="24"/>
        </w:rPr>
        <w:t xml:space="preserve"> scores were assigned prospectively in all cases enrolled in the study after June 2016</w:t>
      </w:r>
      <w:r w:rsidR="00FD0C7C">
        <w:rPr>
          <w:sz w:val="24"/>
          <w:szCs w:val="24"/>
        </w:rPr>
        <w:t xml:space="preserve">; for studies performed prior to that date, </w:t>
      </w:r>
      <w:r w:rsidR="007C2BB3">
        <w:rPr>
          <w:sz w:val="24"/>
          <w:szCs w:val="24"/>
        </w:rPr>
        <w:t>the</w:t>
      </w:r>
      <w:r w:rsidR="00FD0C7C">
        <w:rPr>
          <w:sz w:val="24"/>
          <w:szCs w:val="24"/>
        </w:rPr>
        <w:t xml:space="preserve"> scores were </w:t>
      </w:r>
      <w:r w:rsidR="007C2BB3">
        <w:rPr>
          <w:sz w:val="24"/>
          <w:szCs w:val="24"/>
        </w:rPr>
        <w:t>applied</w:t>
      </w:r>
      <w:r w:rsidR="00FD0C7C">
        <w:rPr>
          <w:sz w:val="24"/>
          <w:szCs w:val="24"/>
        </w:rPr>
        <w:t xml:space="preserve"> retrospectively in consensus. </w:t>
      </w:r>
    </w:p>
    <w:p w14:paraId="58E61C1B" w14:textId="39FF7E02" w:rsidR="002A5435" w:rsidRPr="003D5900" w:rsidRDefault="002A5435" w:rsidP="00382478">
      <w:pPr>
        <w:rPr>
          <w:i/>
          <w:iCs/>
          <w:sz w:val="24"/>
          <w:szCs w:val="24"/>
        </w:rPr>
      </w:pPr>
      <w:r w:rsidRPr="003D5900">
        <w:rPr>
          <w:i/>
          <w:iCs/>
          <w:sz w:val="24"/>
          <w:szCs w:val="24"/>
        </w:rPr>
        <w:t>Statistical analysis</w:t>
      </w:r>
    </w:p>
    <w:p w14:paraId="1991E573" w14:textId="4A72F436" w:rsidR="002A5435" w:rsidRPr="00762504" w:rsidRDefault="00762504">
      <w:pPr>
        <w:rPr>
          <w:sz w:val="24"/>
          <w:szCs w:val="24"/>
        </w:rPr>
      </w:pPr>
      <w:r w:rsidRPr="00762504">
        <w:rPr>
          <w:sz w:val="24"/>
          <w:szCs w:val="24"/>
        </w:rPr>
        <w:t>Statistical analyses were conducted using GraphPad Prism (version 9.0.2, GraphPad Software, San Diego, CA, USA)</w:t>
      </w:r>
      <w:r>
        <w:rPr>
          <w:sz w:val="24"/>
          <w:szCs w:val="24"/>
        </w:rPr>
        <w:t xml:space="preserve"> and </w:t>
      </w:r>
      <w:r w:rsidRPr="00762504">
        <w:rPr>
          <w:sz w:val="24"/>
          <w:szCs w:val="24"/>
        </w:rPr>
        <w:t>SPSS Statistics 17.0 (IBM Corporation</w:t>
      </w:r>
      <w:r>
        <w:rPr>
          <w:sz w:val="24"/>
          <w:szCs w:val="24"/>
        </w:rPr>
        <w:t>, Armonk, NY, USA</w:t>
      </w:r>
      <w:r w:rsidRPr="00762504">
        <w:rPr>
          <w:sz w:val="24"/>
          <w:szCs w:val="24"/>
        </w:rPr>
        <w:t xml:space="preserve">). Normal distribution of the data was assessed using the D’Agostino-Pearson test (threshold </w:t>
      </w:r>
      <w:r>
        <w:rPr>
          <w:sz w:val="24"/>
          <w:szCs w:val="24"/>
        </w:rPr>
        <w:t>p-value</w:t>
      </w:r>
      <w:r w:rsidRPr="00762504">
        <w:rPr>
          <w:sz w:val="24"/>
          <w:szCs w:val="24"/>
        </w:rPr>
        <w:t xml:space="preserve"> ≥ 0.05). </w:t>
      </w:r>
      <w:r>
        <w:rPr>
          <w:sz w:val="24"/>
          <w:szCs w:val="24"/>
        </w:rPr>
        <w:t>To evaluate the relationship between T2WI- and ADC-derived tumour measurements, we used the Spearman’s rank correlation test, with the agreement between the two sequences assessed using the Bland-Altman test. Intergroup differences in tumour measurements and ADC values</w:t>
      </w:r>
      <w:r w:rsidR="002D76F4">
        <w:rPr>
          <w:sz w:val="24"/>
          <w:szCs w:val="24"/>
        </w:rPr>
        <w:t xml:space="preserve"> between histopathological progressors and non-progressors</w:t>
      </w:r>
      <w:r>
        <w:rPr>
          <w:sz w:val="24"/>
          <w:szCs w:val="24"/>
        </w:rPr>
        <w:t xml:space="preserve"> were measured using the Mann-Whitney U test.</w:t>
      </w:r>
      <w:r w:rsidR="002D76F4">
        <w:rPr>
          <w:sz w:val="24"/>
          <w:szCs w:val="24"/>
        </w:rPr>
        <w:t xml:space="preserve"> A sub-analysis was also performed in patients with radiological disease progression (n = 27, at least one MRI had PRECISE score</w:t>
      </w:r>
      <w:r w:rsidR="004F6544">
        <w:rPr>
          <w:sz w:val="24"/>
          <w:szCs w:val="24"/>
        </w:rPr>
        <w:t xml:space="preserve"> of</w:t>
      </w:r>
      <w:r w:rsidR="002D76F4">
        <w:rPr>
          <w:sz w:val="24"/>
          <w:szCs w:val="24"/>
        </w:rPr>
        <w:t xml:space="preserve"> 4-5) and with radiologically stable disease (n = 33, all MRIs had PRECISE scores 1-3).</w:t>
      </w:r>
      <w:r>
        <w:rPr>
          <w:sz w:val="24"/>
          <w:szCs w:val="24"/>
        </w:rPr>
        <w:t xml:space="preserve"> All statistical tests were two-sided, and p-values below 0.05 were considered significant. </w:t>
      </w:r>
      <w:r w:rsidR="002D76F4" w:rsidRPr="002D76F4">
        <w:rPr>
          <w:sz w:val="24"/>
          <w:szCs w:val="24"/>
        </w:rPr>
        <w:t>The receiver operating characteristic (ROC) analysis was performed</w:t>
      </w:r>
      <w:r w:rsidR="002D76F4">
        <w:rPr>
          <w:sz w:val="24"/>
          <w:szCs w:val="24"/>
        </w:rPr>
        <w:t xml:space="preserve">, with the resulting areas under the ROC curve (AUCs) derived for relative changes in tumour measurements and ADC values obtained from the baseline and final MRI </w:t>
      </w:r>
      <w:r w:rsidR="00606449">
        <w:rPr>
          <w:sz w:val="24"/>
          <w:szCs w:val="24"/>
        </w:rPr>
        <w:t>examinations</w:t>
      </w:r>
      <w:r w:rsidR="002D76F4">
        <w:rPr>
          <w:sz w:val="24"/>
          <w:szCs w:val="24"/>
        </w:rPr>
        <w:t xml:space="preserve">. The DeLong test was used to compare the differences between individual AUCs.  </w:t>
      </w:r>
      <w:r w:rsidR="002A5435" w:rsidRPr="00762504">
        <w:rPr>
          <w:sz w:val="24"/>
          <w:szCs w:val="24"/>
        </w:rPr>
        <w:br w:type="page"/>
      </w:r>
    </w:p>
    <w:p w14:paraId="3794B8A1" w14:textId="77777777" w:rsidR="0085648C" w:rsidRDefault="0085648C" w:rsidP="0085648C">
      <w:pPr>
        <w:rPr>
          <w:b/>
          <w:bCs/>
          <w:sz w:val="24"/>
          <w:szCs w:val="24"/>
        </w:rPr>
      </w:pPr>
      <w:r>
        <w:rPr>
          <w:b/>
          <w:bCs/>
          <w:sz w:val="24"/>
          <w:szCs w:val="24"/>
        </w:rPr>
        <w:lastRenderedPageBreak/>
        <w:t>Results</w:t>
      </w:r>
    </w:p>
    <w:p w14:paraId="5F7BD313" w14:textId="1C0DE075" w:rsidR="0085648C" w:rsidRDefault="0085648C" w:rsidP="0085648C">
      <w:pPr>
        <w:rPr>
          <w:sz w:val="24"/>
          <w:szCs w:val="24"/>
        </w:rPr>
      </w:pPr>
      <w:r>
        <w:rPr>
          <w:sz w:val="24"/>
          <w:szCs w:val="24"/>
        </w:rPr>
        <w:t xml:space="preserve">60 patients were included in the study, with a median age of 67 years (interquartile range 59-70) and PSA of 5.6 ng/mL, with a median follow-up of 45 months (IQR, 30-51 months); </w:t>
      </w:r>
      <w:r>
        <w:rPr>
          <w:b/>
          <w:bCs/>
          <w:sz w:val="24"/>
          <w:szCs w:val="24"/>
        </w:rPr>
        <w:t>Table 1</w:t>
      </w:r>
      <w:r>
        <w:rPr>
          <w:sz w:val="24"/>
          <w:szCs w:val="24"/>
        </w:rPr>
        <w:t>. Patients without progression (n = 30) were followed up for significantly longer</w:t>
      </w:r>
      <w:r w:rsidR="00606449">
        <w:rPr>
          <w:sz w:val="24"/>
          <w:szCs w:val="24"/>
        </w:rPr>
        <w:t xml:space="preserve"> time</w:t>
      </w:r>
      <w:r>
        <w:rPr>
          <w:sz w:val="24"/>
          <w:szCs w:val="24"/>
        </w:rPr>
        <w:t xml:space="preserve"> at 48 months, compared to patients with histopathological progression (n = 30) at 36 months (p = 0.002). Baseline PSA and PSA density were significantly higher in progressors (p = 0.01 and 0.001, respectively), a difference that became even more pronounced at follow-up (p &lt; 0.001 for both). 45/60 (75%) had ISUP Grade group 1 and 15/60 (25%) patients group 2 disease at enrolment. 44/60 (73%) and 16/60 (27%) of index lesions were located in the peripheral zone (PZ) and transition zone (TZ) of the prostate, respectively. Of the 30 patients who showed histopathological progression, 16 were treated with hormone and radiotherapy, 8 underwent prostatectomy, and 6 had brachytherapy. </w:t>
      </w:r>
    </w:p>
    <w:p w14:paraId="2C5D70E5" w14:textId="77777777" w:rsidR="0085648C" w:rsidRDefault="0085648C" w:rsidP="0085648C">
      <w:pPr>
        <w:rPr>
          <w:i/>
          <w:iCs/>
          <w:sz w:val="24"/>
          <w:szCs w:val="24"/>
        </w:rPr>
      </w:pPr>
      <w:r>
        <w:rPr>
          <w:i/>
          <w:iCs/>
          <w:sz w:val="24"/>
          <w:szCs w:val="24"/>
        </w:rPr>
        <w:t>Relationship between T2WI- and ADC-derived tumour measurements</w:t>
      </w:r>
    </w:p>
    <w:p w14:paraId="17C0D7BD" w14:textId="0A8E9F16" w:rsidR="0085648C" w:rsidRPr="00F5000B" w:rsidRDefault="0085648C" w:rsidP="0085648C">
      <w:pPr>
        <w:rPr>
          <w:sz w:val="24"/>
          <w:szCs w:val="24"/>
        </w:rPr>
      </w:pPr>
      <w:r>
        <w:rPr>
          <w:sz w:val="24"/>
          <w:szCs w:val="24"/>
        </w:rPr>
        <w:t>Significant positive correlations were observed between T2WI- and ADC-derived measurements of tumour volume (</w:t>
      </w:r>
      <w:proofErr w:type="spellStart"/>
      <w:r>
        <w:rPr>
          <w:sz w:val="24"/>
          <w:szCs w:val="24"/>
        </w:rPr>
        <w:t>r</w:t>
      </w:r>
      <w:r>
        <w:rPr>
          <w:sz w:val="24"/>
          <w:szCs w:val="24"/>
          <w:vertAlign w:val="subscript"/>
        </w:rPr>
        <w:t>s</w:t>
      </w:r>
      <w:proofErr w:type="spellEnd"/>
      <w:r>
        <w:rPr>
          <w:sz w:val="24"/>
          <w:szCs w:val="24"/>
        </w:rPr>
        <w:t xml:space="preserve"> = 0.92), 2D surface area (0.75), and maximum diameter (0.67) for all lesions (p &lt; 0.0001 for all). There was also acceptable agreement between T2WI- and ADC-derived tumour measurements for PZ and TZ lesions when separately obtained according to the PI-RADS dominant zonal sequence paradigm </w:t>
      </w:r>
      <w:r w:rsidR="00DD4E3A">
        <w:rPr>
          <w:sz w:val="24"/>
          <w:szCs w:val="24"/>
        </w:rPr>
        <w:fldChar w:fldCharType="begin" w:fldLock="1"/>
      </w:r>
      <w:r w:rsidR="00FB2D16">
        <w:rPr>
          <w:sz w:val="24"/>
          <w:szCs w:val="24"/>
        </w:rPr>
        <w:instrText>ADDIN CSL_CITATION {"citationItems":[{"id":"ITEM-1","itemData":{"DOI":"10.1016/j.crad.2019.05.019","ISSN":"1365229X","PMID":"31239107","abstract":"Multiparametric (mp) prostate magnetic resonance imaging (MRI) is playing an increasingly prominent role in the diagnostic work-up of patients with suspected prostate cancer. Performing mpMRI before biopsy offers several advantages including biopsy avoidance under certain clinical circumstances and targeting biopsy of suspicious lesions to enable the correct diagnosis. The success of the technique is heavily dependent on high-quality image acquisition, interpretation, and report communication, all areas addressed by previous versions of the Prostate Imaging-Reporting and Data System (PI-RADS) recommendations. Numerous studies have validated the approach, but the widespread adoption of PI-RADS version 2 has also highlighted inconsistencies and limitations, particularly relating to interobserver variability for evaluation of the transition zone. These limitations are addressed in the recently released version 2.1. In this article, we highlight the key changes proposed in PI-RADS v2.1 and explore the background reasoning and evidence for the recommendations.","author":[{"dropping-particle":"","family":"Barrett","given":"T.","non-dropping-particle":"","parse-names":false,"suffix":""},{"dropping-particle":"","family":"Rajesh","given":"A.","non-dropping-particle":"","parse-names":false,"suffix":""},{"dropping-particle":"","family":"Rosenkrantz","given":"A. B.","non-dropping-particle":"","parse-names":false,"suffix":""},{"dropping-particle":"","family":"Choyke","given":"P. L.","non-dropping-particle":"","parse-names":false,"suffix":""},{"dropping-particle":"","family":"Turkbey","given":"B.","non-dropping-particle":"","parse-names":false,"suffix":""}],"container-title":"Clinical Radiology","id":"ITEM-1","issue":"11","issued":{"date-parts":[["2019","11","1"]]},"page":"841-852","publisher":"W.B. Saunders Ltd","title":"PI-RADS version 2.1: one small step for prostate MRI","type":"article","volume":"74"},"uris":["http://www.mendeley.com/documents/?uuid=3fe6947b-34e3-3041-b9d1-76ba343dec2c"]}],"mendeley":{"formattedCitation":"[27]","plainTextFormattedCitation":"[27]","previouslyFormattedCitation":"[27]"},"properties":{"noteIndex":0},"schema":"https://github.com/citation-style-language/schema/raw/master/csl-citation.json"}</w:instrText>
      </w:r>
      <w:r w:rsidR="00DD4E3A">
        <w:rPr>
          <w:sz w:val="24"/>
          <w:szCs w:val="24"/>
        </w:rPr>
        <w:fldChar w:fldCharType="separate"/>
      </w:r>
      <w:r w:rsidR="00ED0D24" w:rsidRPr="00ED0D24">
        <w:rPr>
          <w:noProof/>
          <w:sz w:val="24"/>
          <w:szCs w:val="24"/>
        </w:rPr>
        <w:t>[27]</w:t>
      </w:r>
      <w:r w:rsidR="00DD4E3A">
        <w:rPr>
          <w:sz w:val="24"/>
          <w:szCs w:val="24"/>
        </w:rPr>
        <w:fldChar w:fldCharType="end"/>
      </w:r>
      <w:r w:rsidR="00DD4E3A">
        <w:rPr>
          <w:sz w:val="24"/>
          <w:szCs w:val="24"/>
        </w:rPr>
        <w:t xml:space="preserve"> </w:t>
      </w:r>
      <w:r>
        <w:rPr>
          <w:sz w:val="24"/>
          <w:szCs w:val="24"/>
        </w:rPr>
        <w:t xml:space="preserve">(Spearman’s correlation and Bland-Altman analyses in </w:t>
      </w:r>
      <w:r w:rsidR="009227A4">
        <w:rPr>
          <w:b/>
          <w:bCs/>
          <w:sz w:val="24"/>
          <w:szCs w:val="24"/>
        </w:rPr>
        <w:t xml:space="preserve">Supplementary Figure 1 </w:t>
      </w:r>
      <w:r w:rsidR="009227A4" w:rsidRPr="009227A4">
        <w:rPr>
          <w:sz w:val="24"/>
          <w:szCs w:val="24"/>
        </w:rPr>
        <w:t>and</w:t>
      </w:r>
      <w:r w:rsidR="009227A4">
        <w:rPr>
          <w:b/>
          <w:bCs/>
          <w:sz w:val="24"/>
          <w:szCs w:val="24"/>
        </w:rPr>
        <w:t xml:space="preserve"> Supplementary Table 1</w:t>
      </w:r>
      <w:r>
        <w:rPr>
          <w:sz w:val="24"/>
          <w:szCs w:val="24"/>
        </w:rPr>
        <w:t xml:space="preserve">). </w:t>
      </w:r>
      <w:r>
        <w:rPr>
          <w:b/>
          <w:bCs/>
          <w:sz w:val="24"/>
          <w:szCs w:val="24"/>
        </w:rPr>
        <w:t xml:space="preserve"> </w:t>
      </w:r>
    </w:p>
    <w:p w14:paraId="5C211944" w14:textId="77777777" w:rsidR="0085648C" w:rsidRDefault="0085648C" w:rsidP="0085648C">
      <w:pPr>
        <w:rPr>
          <w:i/>
          <w:iCs/>
          <w:sz w:val="24"/>
          <w:szCs w:val="24"/>
        </w:rPr>
      </w:pPr>
      <w:r>
        <w:rPr>
          <w:i/>
          <w:iCs/>
          <w:sz w:val="24"/>
          <w:szCs w:val="24"/>
        </w:rPr>
        <w:t>Comparison of tumour measurements in progressors versus non-progressors</w:t>
      </w:r>
    </w:p>
    <w:p w14:paraId="7CD33AF6" w14:textId="6FFC34CC" w:rsidR="0085648C" w:rsidRDefault="0085648C" w:rsidP="0085648C">
      <w:pPr>
        <w:rPr>
          <w:sz w:val="24"/>
          <w:szCs w:val="24"/>
        </w:rPr>
      </w:pPr>
      <w:r>
        <w:rPr>
          <w:sz w:val="24"/>
          <w:szCs w:val="24"/>
        </w:rPr>
        <w:t xml:space="preserve">At baseline, progressors and non-progressors demonstrated no significant differences between T2WI-derived tumour volume, 2D surface area, and maximum tumour diameter </w:t>
      </w:r>
      <w:r>
        <w:rPr>
          <w:b/>
          <w:bCs/>
          <w:sz w:val="24"/>
          <w:szCs w:val="24"/>
        </w:rPr>
        <w:t>(Table 2)</w:t>
      </w:r>
      <w:r>
        <w:rPr>
          <w:sz w:val="24"/>
          <w:szCs w:val="24"/>
        </w:rPr>
        <w:t xml:space="preserve">. In progressors, at follow-up MRI all T2WI-derived tumour measurements were significantly higher (p-value range, 0.004-0.007). Conversely, in non-progressors, no significant changes were noted between any of the T2WI-derived tumour measurements at follow-up MRI scans </w:t>
      </w:r>
      <w:r>
        <w:rPr>
          <w:b/>
          <w:bCs/>
          <w:sz w:val="24"/>
          <w:szCs w:val="24"/>
        </w:rPr>
        <w:t>(Table 2)</w:t>
      </w:r>
      <w:r>
        <w:rPr>
          <w:sz w:val="24"/>
          <w:szCs w:val="24"/>
        </w:rPr>
        <w:t xml:space="preserve">. Notably, in progressors, T2WI-derived tumour volume, 2D surface area, and maximum tumour diameter had a median relative follow-up increase of 99.5%, 55.3%, and 21.7% compared to 29.2%, 8.1%, and 6.9% in non-progressors (p = &lt;0.0001, &lt;0.0001, and 0.003, respectively) </w:t>
      </w:r>
      <w:r>
        <w:rPr>
          <w:b/>
          <w:bCs/>
          <w:sz w:val="24"/>
          <w:szCs w:val="24"/>
        </w:rPr>
        <w:t>(Table 2)</w:t>
      </w:r>
      <w:r>
        <w:rPr>
          <w:sz w:val="24"/>
          <w:szCs w:val="24"/>
        </w:rPr>
        <w:t xml:space="preserve">. </w:t>
      </w:r>
      <w:r w:rsidR="0008054B">
        <w:rPr>
          <w:sz w:val="24"/>
          <w:szCs w:val="24"/>
        </w:rPr>
        <w:t xml:space="preserve">Box-and-whisker plots illustrating these results are presented in </w:t>
      </w:r>
      <w:r w:rsidR="0008054B" w:rsidRPr="0008054B">
        <w:rPr>
          <w:b/>
          <w:bCs/>
          <w:sz w:val="24"/>
          <w:szCs w:val="24"/>
        </w:rPr>
        <w:t>Supplementary Figure 2</w:t>
      </w:r>
      <w:r w:rsidR="0008054B">
        <w:rPr>
          <w:sz w:val="24"/>
          <w:szCs w:val="24"/>
        </w:rPr>
        <w:t>.</w:t>
      </w:r>
    </w:p>
    <w:p w14:paraId="4E89F9D6" w14:textId="77777777" w:rsidR="0085648C" w:rsidRDefault="0085648C" w:rsidP="0085648C">
      <w:pPr>
        <w:rPr>
          <w:i/>
          <w:iCs/>
          <w:sz w:val="24"/>
          <w:szCs w:val="24"/>
        </w:rPr>
      </w:pPr>
      <w:r>
        <w:rPr>
          <w:i/>
          <w:iCs/>
          <w:sz w:val="24"/>
          <w:szCs w:val="24"/>
        </w:rPr>
        <w:t>Comparison of tumour ADC values in progressors versus non-progressors</w:t>
      </w:r>
    </w:p>
    <w:p w14:paraId="1E4253FF" w14:textId="170E7A42" w:rsidR="0085648C" w:rsidRDefault="0085648C" w:rsidP="0085648C">
      <w:pPr>
        <w:rPr>
          <w:sz w:val="24"/>
          <w:szCs w:val="24"/>
        </w:rPr>
      </w:pPr>
      <w:r>
        <w:rPr>
          <w:sz w:val="24"/>
          <w:szCs w:val="24"/>
        </w:rPr>
        <w:t xml:space="preserve">Similar to T2WI-derived tumour measurements, no significant baseline intergroup differences were noted between whole-volume, mid-slice, and small-volume ADC values derived from tumours in patients with and without histopathological disease progression </w:t>
      </w:r>
      <w:r>
        <w:rPr>
          <w:b/>
          <w:bCs/>
          <w:sz w:val="24"/>
          <w:szCs w:val="24"/>
        </w:rPr>
        <w:t>(Table 3)</w:t>
      </w:r>
      <w:r>
        <w:rPr>
          <w:sz w:val="24"/>
          <w:szCs w:val="24"/>
        </w:rPr>
        <w:t xml:space="preserve">. In non-progressors, ADC values measured using all three techniques did not change at follow-up compared to baseline (p-value range, 0.08-0.71), while progressors demonstrated a significant follow-up decrease in all tumour-derived ADC values (p-value range, 0.0009-0.03) </w:t>
      </w:r>
      <w:r>
        <w:rPr>
          <w:b/>
          <w:bCs/>
          <w:sz w:val="24"/>
          <w:szCs w:val="24"/>
        </w:rPr>
        <w:t>(Table 3)</w:t>
      </w:r>
      <w:r>
        <w:rPr>
          <w:sz w:val="24"/>
          <w:szCs w:val="24"/>
        </w:rPr>
        <w:t xml:space="preserve">. Interestingly, the relative change in the median mid-slice ADC values between progressors and non-progressors was non-significant (-9.5% vs -5.6%, </w:t>
      </w:r>
      <w:r>
        <w:rPr>
          <w:sz w:val="24"/>
          <w:szCs w:val="24"/>
        </w:rPr>
        <w:lastRenderedPageBreak/>
        <w:t xml:space="preserve">respectively; p = 0.79). Conversely, the relative changes in the follow-up median whole-volume and small-volume ADC values were significantly greater in progressors compared to non-progressors (-11.7% and -9.5% vs -6.1% and -1.6%, respectively; p = 0.02 and 0.008, respectively) </w:t>
      </w:r>
      <w:r>
        <w:rPr>
          <w:b/>
          <w:bCs/>
          <w:sz w:val="24"/>
          <w:szCs w:val="24"/>
        </w:rPr>
        <w:t>(Table 3)</w:t>
      </w:r>
      <w:r>
        <w:rPr>
          <w:sz w:val="24"/>
          <w:szCs w:val="24"/>
        </w:rPr>
        <w:t xml:space="preserve">. </w:t>
      </w:r>
      <w:r w:rsidR="0008054B">
        <w:rPr>
          <w:sz w:val="24"/>
          <w:szCs w:val="24"/>
        </w:rPr>
        <w:t xml:space="preserve">These results are illustrated in </w:t>
      </w:r>
      <w:r w:rsidR="0008054B" w:rsidRPr="0008054B">
        <w:rPr>
          <w:b/>
          <w:bCs/>
          <w:sz w:val="24"/>
          <w:szCs w:val="24"/>
        </w:rPr>
        <w:t>Supplementary Figure 3</w:t>
      </w:r>
      <w:r w:rsidR="0008054B">
        <w:rPr>
          <w:sz w:val="24"/>
          <w:szCs w:val="24"/>
        </w:rPr>
        <w:t>.</w:t>
      </w:r>
    </w:p>
    <w:p w14:paraId="7417643C" w14:textId="77777777" w:rsidR="00200C9E" w:rsidRDefault="00200C9E" w:rsidP="00200C9E">
      <w:pPr>
        <w:rPr>
          <w:i/>
          <w:iCs/>
          <w:sz w:val="24"/>
          <w:szCs w:val="24"/>
        </w:rPr>
      </w:pPr>
      <w:r>
        <w:rPr>
          <w:i/>
          <w:iCs/>
          <w:sz w:val="24"/>
          <w:szCs w:val="24"/>
        </w:rPr>
        <w:t>Comparison of tumour measurements and ADC values in patients with and without radiological disease progression</w:t>
      </w:r>
    </w:p>
    <w:p w14:paraId="406D5718" w14:textId="77777777" w:rsidR="00200C9E" w:rsidRPr="00200C9E" w:rsidRDefault="00200C9E" w:rsidP="00200C9E">
      <w:pPr>
        <w:rPr>
          <w:sz w:val="24"/>
          <w:szCs w:val="24"/>
        </w:rPr>
      </w:pPr>
      <w:r>
        <w:rPr>
          <w:sz w:val="24"/>
          <w:szCs w:val="24"/>
        </w:rPr>
        <w:t>When patients were regrouped based on the presence of radiological disease progression only, the trends in tumour measurements (</w:t>
      </w:r>
      <w:r>
        <w:rPr>
          <w:b/>
          <w:bCs/>
          <w:sz w:val="24"/>
          <w:szCs w:val="24"/>
        </w:rPr>
        <w:t>Supplementary Table 2)</w:t>
      </w:r>
      <w:r>
        <w:rPr>
          <w:sz w:val="24"/>
          <w:szCs w:val="24"/>
        </w:rPr>
        <w:t xml:space="preserve"> and ADC values (</w:t>
      </w:r>
      <w:r>
        <w:rPr>
          <w:b/>
          <w:bCs/>
          <w:sz w:val="24"/>
          <w:szCs w:val="24"/>
        </w:rPr>
        <w:t>Supplementary Table 3</w:t>
      </w:r>
      <w:r>
        <w:rPr>
          <w:sz w:val="24"/>
          <w:szCs w:val="24"/>
        </w:rPr>
        <w:t>) were similar compared to those reported above when the primary outcome was histopathological disease progression.</w:t>
      </w:r>
    </w:p>
    <w:p w14:paraId="719D1B86" w14:textId="54430BBD" w:rsidR="0085648C" w:rsidRDefault="0085648C" w:rsidP="0085648C">
      <w:pPr>
        <w:rPr>
          <w:i/>
          <w:iCs/>
          <w:sz w:val="24"/>
          <w:szCs w:val="24"/>
        </w:rPr>
      </w:pPr>
      <w:r>
        <w:rPr>
          <w:i/>
          <w:iCs/>
          <w:sz w:val="24"/>
          <w:szCs w:val="24"/>
        </w:rPr>
        <w:t>Diagnostic performance of selected tumour measurements and ADC cut-offs</w:t>
      </w:r>
    </w:p>
    <w:p w14:paraId="3335E53B" w14:textId="159DF71F" w:rsidR="0085648C" w:rsidRDefault="0085648C" w:rsidP="0085648C">
      <w:pPr>
        <w:rPr>
          <w:sz w:val="24"/>
          <w:szCs w:val="24"/>
          <w:lang w:val="en-US"/>
        </w:rPr>
      </w:pPr>
      <w:r>
        <w:rPr>
          <w:sz w:val="24"/>
          <w:szCs w:val="24"/>
        </w:rPr>
        <w:t xml:space="preserve">AUCs for detecting histopathological disease progression based on relative changes in each of the T2WI-derived tumour measurements and ADC values are summarised in </w:t>
      </w:r>
      <w:r>
        <w:rPr>
          <w:b/>
          <w:bCs/>
          <w:sz w:val="24"/>
          <w:szCs w:val="24"/>
        </w:rPr>
        <w:t>Table 4</w:t>
      </w:r>
      <w:r>
        <w:rPr>
          <w:sz w:val="24"/>
          <w:szCs w:val="24"/>
        </w:rPr>
        <w:t xml:space="preserve">. As shown in </w:t>
      </w:r>
      <w:r w:rsidR="009227A4">
        <w:rPr>
          <w:b/>
          <w:bCs/>
          <w:sz w:val="24"/>
          <w:szCs w:val="24"/>
        </w:rPr>
        <w:t>Supplementary Table 4</w:t>
      </w:r>
      <w:r>
        <w:rPr>
          <w:sz w:val="24"/>
          <w:szCs w:val="24"/>
        </w:rPr>
        <w:t xml:space="preserve">, T2WI-derived tumour measurements had significantly larger AUCs compared only to mid-slice ADC values (p-value range, 0.001-0.046).  </w:t>
      </w:r>
      <w:r w:rsidRPr="008B091E">
        <w:rPr>
          <w:sz w:val="24"/>
          <w:szCs w:val="24"/>
        </w:rPr>
        <w:t>Although</w:t>
      </w:r>
      <w:r>
        <w:rPr>
          <w:sz w:val="24"/>
          <w:szCs w:val="24"/>
        </w:rPr>
        <w:t xml:space="preserve"> T2WI-derived 2D tumour surface area had the largest AUC (0.83) of all three tumour measurements, the DeLong test showed no significant difference between the three AUCs (p-value range, 0.140-0.526). Simultaneously, </w:t>
      </w:r>
      <w:r>
        <w:rPr>
          <w:sz w:val="24"/>
          <w:szCs w:val="24"/>
          <w:lang w:val="en-US"/>
        </w:rPr>
        <w:t xml:space="preserve">the AUC of mid-slice ADC (0.52) was significantly </w:t>
      </w:r>
      <w:r w:rsidR="00C2507F">
        <w:rPr>
          <w:sz w:val="24"/>
          <w:szCs w:val="24"/>
          <w:lang w:val="en-US"/>
        </w:rPr>
        <w:t xml:space="preserve">lower </w:t>
      </w:r>
      <w:r>
        <w:rPr>
          <w:sz w:val="24"/>
          <w:szCs w:val="24"/>
          <w:lang w:val="en-US"/>
        </w:rPr>
        <w:t>compared to those of whole-volume ADC (AUC = 0.67, p = 0.04) and small-volume ADC (AUC = 0.70, p = 0.003), with no difference observed between the AUCs of the latter two parameters (p = 0.72). Based on these results, and mirroring clinical practice, we chose T2WI-derived maximum tumour diameter and small-volume ADC as parameters to identify individual cut-offs that could be applied clinically</w:t>
      </w:r>
      <w:r w:rsidR="00B46024">
        <w:rPr>
          <w:sz w:val="24"/>
          <w:szCs w:val="24"/>
          <w:lang w:val="en-US"/>
        </w:rPr>
        <w:t xml:space="preserve">. </w:t>
      </w:r>
      <w:r>
        <w:rPr>
          <w:sz w:val="24"/>
          <w:szCs w:val="24"/>
          <w:lang w:val="en-US"/>
        </w:rPr>
        <w:t>The selection of individual cut-offs</w:t>
      </w:r>
      <w:r w:rsidR="00B46024">
        <w:rPr>
          <w:sz w:val="24"/>
          <w:szCs w:val="24"/>
          <w:lang w:val="en-US"/>
        </w:rPr>
        <w:t xml:space="preserve"> (full list provided in </w:t>
      </w:r>
      <w:r w:rsidR="00B46024">
        <w:rPr>
          <w:b/>
          <w:bCs/>
          <w:sz w:val="24"/>
          <w:szCs w:val="24"/>
          <w:lang w:val="en-US"/>
        </w:rPr>
        <w:t xml:space="preserve">Supplementary </w:t>
      </w:r>
      <w:r w:rsidR="009227A4">
        <w:rPr>
          <w:b/>
          <w:bCs/>
          <w:sz w:val="24"/>
          <w:szCs w:val="24"/>
          <w:lang w:val="en-US"/>
        </w:rPr>
        <w:t>Tables 5-6</w:t>
      </w:r>
      <w:r w:rsidR="00B46024">
        <w:rPr>
          <w:sz w:val="24"/>
          <w:szCs w:val="24"/>
          <w:lang w:val="en-US"/>
        </w:rPr>
        <w:t>)</w:t>
      </w:r>
      <w:r>
        <w:rPr>
          <w:sz w:val="24"/>
          <w:szCs w:val="24"/>
          <w:lang w:val="en-US"/>
        </w:rPr>
        <w:t xml:space="preserve"> for the final predictive modelling was based on </w:t>
      </w:r>
      <w:proofErr w:type="spellStart"/>
      <w:r>
        <w:rPr>
          <w:sz w:val="24"/>
          <w:szCs w:val="24"/>
          <w:lang w:val="en-US"/>
        </w:rPr>
        <w:t>prioritising</w:t>
      </w:r>
      <w:proofErr w:type="spellEnd"/>
      <w:r>
        <w:rPr>
          <w:sz w:val="24"/>
          <w:szCs w:val="24"/>
          <w:lang w:val="en-US"/>
        </w:rPr>
        <w:t xml:space="preserve"> specificity over sensitivity, considered more clinically relevant in order to reduce the need for repeat biopsies. Optimum results were achieved for a T2WI</w:t>
      </w:r>
      <w:r w:rsidR="00D630E2">
        <w:rPr>
          <w:sz w:val="24"/>
          <w:szCs w:val="24"/>
          <w:lang w:val="en-US"/>
        </w:rPr>
        <w:t>-derived</w:t>
      </w:r>
      <w:r>
        <w:rPr>
          <w:sz w:val="24"/>
          <w:szCs w:val="24"/>
          <w:lang w:val="en-US"/>
        </w:rPr>
        <w:t xml:space="preserve"> maximum tumour diameter cut-off of 19.5% increase (specificity 73.</w:t>
      </w:r>
      <w:r w:rsidR="00C2507F">
        <w:rPr>
          <w:sz w:val="24"/>
          <w:szCs w:val="24"/>
          <w:lang w:val="en-US"/>
        </w:rPr>
        <w:t>4</w:t>
      </w:r>
      <w:r>
        <w:rPr>
          <w:sz w:val="24"/>
          <w:szCs w:val="24"/>
          <w:lang w:val="en-US"/>
        </w:rPr>
        <w:t xml:space="preserve">, sensitivity 56.7, AUC = 0.63) and a small-volume ROI-derived ADC reduction of -8.4% (specificity 70.0, sensitivity 63.3, AUC = 0.67). The combined model including both these values resulted in an AUC of 0.71 </w:t>
      </w:r>
      <w:r>
        <w:rPr>
          <w:b/>
          <w:bCs/>
          <w:sz w:val="24"/>
          <w:szCs w:val="24"/>
          <w:lang w:val="en-US"/>
        </w:rPr>
        <w:t>(Fig</w:t>
      </w:r>
      <w:r w:rsidR="00224808">
        <w:rPr>
          <w:b/>
          <w:bCs/>
          <w:sz w:val="24"/>
          <w:szCs w:val="24"/>
          <w:lang w:val="en-US"/>
        </w:rPr>
        <w:t>ure</w:t>
      </w:r>
      <w:r>
        <w:rPr>
          <w:b/>
          <w:bCs/>
          <w:sz w:val="24"/>
          <w:szCs w:val="24"/>
          <w:lang w:val="en-US"/>
        </w:rPr>
        <w:t xml:space="preserve"> 3)</w:t>
      </w:r>
      <w:r>
        <w:rPr>
          <w:sz w:val="24"/>
          <w:szCs w:val="24"/>
          <w:lang w:val="en-US"/>
        </w:rPr>
        <w:t xml:space="preserve">, which did </w:t>
      </w:r>
      <w:r w:rsidR="00D24AA3">
        <w:rPr>
          <w:sz w:val="24"/>
          <w:szCs w:val="24"/>
          <w:lang w:val="en-US"/>
        </w:rPr>
        <w:t xml:space="preserve">not </w:t>
      </w:r>
      <w:r>
        <w:rPr>
          <w:sz w:val="24"/>
          <w:szCs w:val="24"/>
          <w:lang w:val="en-US"/>
        </w:rPr>
        <w:t xml:space="preserve">provide a significant improvement when compared to either individual parameter (p = 0.20 and p = 0.21). </w:t>
      </w:r>
      <w:r w:rsidR="003A27D6">
        <w:rPr>
          <w:sz w:val="24"/>
          <w:szCs w:val="24"/>
          <w:lang w:val="en-US"/>
        </w:rPr>
        <w:t>A separate model was also built for more clinically applicable cut-offs o</w:t>
      </w:r>
      <w:r w:rsidR="00EE17CF">
        <w:rPr>
          <w:sz w:val="24"/>
          <w:szCs w:val="24"/>
          <w:lang w:val="en-US"/>
        </w:rPr>
        <w:t>f 20% increase in T2WI</w:t>
      </w:r>
      <w:r w:rsidR="00D630E2">
        <w:rPr>
          <w:sz w:val="24"/>
          <w:szCs w:val="24"/>
          <w:lang w:val="en-US"/>
        </w:rPr>
        <w:t>-derived</w:t>
      </w:r>
      <w:r w:rsidR="00EE17CF">
        <w:rPr>
          <w:sz w:val="24"/>
          <w:szCs w:val="24"/>
          <w:lang w:val="en-US"/>
        </w:rPr>
        <w:t xml:space="preserve"> maximum tumour diameter and </w:t>
      </w:r>
      <w:r w:rsidR="00393A02">
        <w:rPr>
          <w:sz w:val="24"/>
          <w:szCs w:val="24"/>
          <w:lang w:val="en-US"/>
        </w:rPr>
        <w:t xml:space="preserve">-10% </w:t>
      </w:r>
      <w:r w:rsidR="00B072BD">
        <w:rPr>
          <w:sz w:val="24"/>
          <w:szCs w:val="24"/>
          <w:lang w:val="en-US"/>
        </w:rPr>
        <w:t>reduction</w:t>
      </w:r>
      <w:r w:rsidR="00393A02">
        <w:rPr>
          <w:sz w:val="24"/>
          <w:szCs w:val="24"/>
          <w:lang w:val="en-US"/>
        </w:rPr>
        <w:t xml:space="preserve"> in small-volume ADC, with the resulting AUC being </w:t>
      </w:r>
      <w:r w:rsidR="00887D1C">
        <w:rPr>
          <w:sz w:val="24"/>
          <w:szCs w:val="24"/>
          <w:lang w:val="en-US"/>
        </w:rPr>
        <w:t>0.67</w:t>
      </w:r>
      <w:r w:rsidR="002B1981">
        <w:rPr>
          <w:sz w:val="24"/>
          <w:szCs w:val="24"/>
          <w:lang w:val="en-US"/>
        </w:rPr>
        <w:t xml:space="preserve">, which was similar </w:t>
      </w:r>
      <w:r w:rsidR="00CC0D25">
        <w:rPr>
          <w:sz w:val="24"/>
          <w:szCs w:val="24"/>
          <w:lang w:val="en-US"/>
        </w:rPr>
        <w:t xml:space="preserve">to the aforementioned model </w:t>
      </w:r>
      <w:r w:rsidR="00CC0D25" w:rsidRPr="00343C9D">
        <w:rPr>
          <w:sz w:val="24"/>
          <w:szCs w:val="24"/>
          <w:lang w:val="en-US"/>
        </w:rPr>
        <w:t xml:space="preserve">(p = </w:t>
      </w:r>
      <w:r w:rsidR="00343C9D">
        <w:rPr>
          <w:sz w:val="24"/>
          <w:szCs w:val="24"/>
          <w:lang w:val="en-US"/>
        </w:rPr>
        <w:t>0.29</w:t>
      </w:r>
      <w:r w:rsidR="00CC0D25" w:rsidRPr="00343C9D">
        <w:rPr>
          <w:sz w:val="24"/>
          <w:szCs w:val="24"/>
          <w:lang w:val="en-US"/>
        </w:rPr>
        <w:t>).</w:t>
      </w:r>
      <w:r w:rsidR="00CC0D25">
        <w:rPr>
          <w:sz w:val="24"/>
          <w:szCs w:val="24"/>
          <w:lang w:val="en-US"/>
        </w:rPr>
        <w:t xml:space="preserve"> </w:t>
      </w:r>
      <w:r w:rsidR="001F6041">
        <w:rPr>
          <w:sz w:val="24"/>
          <w:szCs w:val="24"/>
          <w:lang w:val="en-US"/>
        </w:rPr>
        <w:t xml:space="preserve">Clinical examples using the proposed cut-offs are illustrated in </w:t>
      </w:r>
      <w:r w:rsidR="001F6041">
        <w:rPr>
          <w:b/>
          <w:bCs/>
          <w:sz w:val="24"/>
          <w:szCs w:val="24"/>
          <w:lang w:val="en-US"/>
        </w:rPr>
        <w:t>Figures 4-5</w:t>
      </w:r>
      <w:r w:rsidR="001F6041">
        <w:rPr>
          <w:sz w:val="24"/>
          <w:szCs w:val="24"/>
          <w:lang w:val="en-US"/>
        </w:rPr>
        <w:t xml:space="preserve">. </w:t>
      </w:r>
      <w:r w:rsidR="00BA0235">
        <w:rPr>
          <w:sz w:val="24"/>
          <w:szCs w:val="24"/>
        </w:rPr>
        <w:t xml:space="preserve">As shown in </w:t>
      </w:r>
      <w:r w:rsidR="00BA0235">
        <w:rPr>
          <w:b/>
          <w:bCs/>
          <w:sz w:val="24"/>
          <w:szCs w:val="24"/>
        </w:rPr>
        <w:t>Supplementary Table 7</w:t>
      </w:r>
      <w:r w:rsidR="00BA0235">
        <w:rPr>
          <w:sz w:val="24"/>
          <w:szCs w:val="24"/>
        </w:rPr>
        <w:t>, the proposed cut-off of 20% increase in T2WI-derived maximum tumour diameter can also be supplemented by a minimum absolute increase in diameter to improve specificity, with a minimum size threshold of 3 mm likely to be optimal in this regard.</w:t>
      </w:r>
      <w:r w:rsidR="00BA0235">
        <w:rPr>
          <w:sz w:val="24"/>
          <w:szCs w:val="24"/>
          <w:lang w:val="en-US"/>
        </w:rPr>
        <w:t xml:space="preserve"> </w:t>
      </w:r>
      <w:r>
        <w:rPr>
          <w:sz w:val="24"/>
          <w:szCs w:val="24"/>
          <w:lang w:val="en-US"/>
        </w:rPr>
        <w:br w:type="page"/>
      </w:r>
    </w:p>
    <w:p w14:paraId="35A7E485" w14:textId="77777777" w:rsidR="0085648C" w:rsidRDefault="0085648C" w:rsidP="0085648C">
      <w:pPr>
        <w:rPr>
          <w:b/>
          <w:bCs/>
          <w:sz w:val="24"/>
          <w:szCs w:val="24"/>
        </w:rPr>
      </w:pPr>
      <w:r>
        <w:rPr>
          <w:b/>
          <w:bCs/>
          <w:sz w:val="24"/>
          <w:szCs w:val="24"/>
        </w:rPr>
        <w:lastRenderedPageBreak/>
        <w:t>Discussion</w:t>
      </w:r>
    </w:p>
    <w:p w14:paraId="04F6A53A" w14:textId="53650718" w:rsidR="0085648C" w:rsidRDefault="00452322" w:rsidP="0085648C">
      <w:pPr>
        <w:rPr>
          <w:sz w:val="24"/>
          <w:szCs w:val="24"/>
        </w:rPr>
      </w:pPr>
      <w:r>
        <w:rPr>
          <w:sz w:val="24"/>
          <w:szCs w:val="24"/>
        </w:rPr>
        <w:t xml:space="preserve">In this study, we </w:t>
      </w:r>
      <w:r w:rsidR="0085648C">
        <w:rPr>
          <w:sz w:val="24"/>
          <w:szCs w:val="24"/>
        </w:rPr>
        <w:t xml:space="preserve">demonstrate that follow-up changes in T2WI-derived tumour volume, 2D tumour surface area, and maximum tumour diameter, alongside whole-volume and small-volume ADC values were significantly different in </w:t>
      </w:r>
      <w:r w:rsidR="005A5870">
        <w:rPr>
          <w:sz w:val="24"/>
          <w:szCs w:val="24"/>
        </w:rPr>
        <w:t xml:space="preserve">AS patients with PCa histopathological progression compared to patients </w:t>
      </w:r>
      <w:r w:rsidR="00D47B10">
        <w:rPr>
          <w:sz w:val="24"/>
          <w:szCs w:val="24"/>
        </w:rPr>
        <w:t>with</w:t>
      </w:r>
      <w:r w:rsidR="005A5870">
        <w:rPr>
          <w:sz w:val="24"/>
          <w:szCs w:val="24"/>
        </w:rPr>
        <w:t xml:space="preserve"> stable disease</w:t>
      </w:r>
      <w:r w:rsidR="0085648C">
        <w:rPr>
          <w:sz w:val="24"/>
          <w:szCs w:val="24"/>
        </w:rPr>
        <w:t>. Specific cut-offs for T2WI-derived maximum tumour diameter</w:t>
      </w:r>
      <w:r w:rsidR="0003760F">
        <w:rPr>
          <w:sz w:val="24"/>
          <w:szCs w:val="24"/>
        </w:rPr>
        <w:t xml:space="preserve"> (+20%)</w:t>
      </w:r>
      <w:r w:rsidR="0085648C">
        <w:rPr>
          <w:sz w:val="24"/>
          <w:szCs w:val="24"/>
        </w:rPr>
        <w:t xml:space="preserve"> and small-volume ADC</w:t>
      </w:r>
      <w:r w:rsidR="0003760F">
        <w:rPr>
          <w:sz w:val="24"/>
          <w:szCs w:val="24"/>
        </w:rPr>
        <w:t xml:space="preserve"> (-10%)</w:t>
      </w:r>
      <w:r w:rsidR="0085648C">
        <w:rPr>
          <w:sz w:val="24"/>
          <w:szCs w:val="24"/>
        </w:rPr>
        <w:t xml:space="preserve"> values were proposed, which could be used in routine clinical practice to supplement subjective serial MRI assessment using PRECISE recommendations. These results pave the way for future prospective </w:t>
      </w:r>
      <w:r w:rsidR="00AE381A">
        <w:rPr>
          <w:sz w:val="24"/>
          <w:szCs w:val="24"/>
        </w:rPr>
        <w:t xml:space="preserve">multicentre </w:t>
      </w:r>
      <w:r w:rsidR="0085648C">
        <w:rPr>
          <w:sz w:val="24"/>
          <w:szCs w:val="24"/>
        </w:rPr>
        <w:t>studies investigating the added value of the proposed cut-offs for improving the quality of AS programmes.</w:t>
      </w:r>
    </w:p>
    <w:p w14:paraId="052D4C8F" w14:textId="308A0BB7" w:rsidR="0085648C" w:rsidRDefault="009312C0" w:rsidP="0085648C">
      <w:pPr>
        <w:rPr>
          <w:sz w:val="24"/>
          <w:szCs w:val="24"/>
        </w:rPr>
      </w:pPr>
      <w:r>
        <w:rPr>
          <w:sz w:val="24"/>
          <w:szCs w:val="24"/>
        </w:rPr>
        <w:t>Here we show that all</w:t>
      </w:r>
      <w:r w:rsidR="0085648C">
        <w:rPr>
          <w:sz w:val="24"/>
          <w:szCs w:val="24"/>
        </w:rPr>
        <w:t xml:space="preserve"> three T2WI-derived tumour measurements </w:t>
      </w:r>
      <w:r>
        <w:rPr>
          <w:sz w:val="24"/>
          <w:szCs w:val="24"/>
        </w:rPr>
        <w:t>demonstrated</w:t>
      </w:r>
      <w:r w:rsidR="0085648C">
        <w:rPr>
          <w:sz w:val="24"/>
          <w:szCs w:val="24"/>
        </w:rPr>
        <w:t xml:space="preserve"> comparable diagnostic performance for predicting histopathological progression on AS</w:t>
      </w:r>
      <w:r w:rsidR="00DD4E3A">
        <w:rPr>
          <w:sz w:val="24"/>
          <w:szCs w:val="24"/>
        </w:rPr>
        <w:t xml:space="preserve">, consistent with a previous study by </w:t>
      </w:r>
      <w:proofErr w:type="spellStart"/>
      <w:r w:rsidR="00DD4E3A">
        <w:rPr>
          <w:sz w:val="24"/>
          <w:szCs w:val="24"/>
        </w:rPr>
        <w:t>Giganti</w:t>
      </w:r>
      <w:proofErr w:type="spellEnd"/>
      <w:r w:rsidR="00DD4E3A">
        <w:rPr>
          <w:sz w:val="24"/>
          <w:szCs w:val="24"/>
        </w:rPr>
        <w:t xml:space="preserve"> </w:t>
      </w:r>
      <w:r w:rsidR="00DD4E3A" w:rsidRPr="00DD4E3A">
        <w:rPr>
          <w:i/>
          <w:iCs/>
          <w:sz w:val="24"/>
          <w:szCs w:val="24"/>
        </w:rPr>
        <w:t>et al.</w:t>
      </w:r>
      <w:r w:rsidR="00DD4E3A">
        <w:rPr>
          <w:sz w:val="24"/>
          <w:szCs w:val="24"/>
        </w:rPr>
        <w:t xml:space="preserve"> </w:t>
      </w:r>
      <w:r w:rsidR="00DD4E3A">
        <w:rPr>
          <w:sz w:val="24"/>
          <w:szCs w:val="24"/>
        </w:rPr>
        <w:fldChar w:fldCharType="begin" w:fldLock="1"/>
      </w:r>
      <w:r w:rsidR="0003760F">
        <w:rPr>
          <w:sz w:val="24"/>
          <w:szCs w:val="24"/>
        </w:rPr>
        <w:instrText>ADDIN CSL_CITATION {"citationItems":[{"id":"ITEM-1","itemData":{"DOI":"10.1259/bjr.20200819","ISSN":"1748880X","PMID":"32955923","abstract":"OBJECTIVE: The PRECISE criteria for reporting multiparametric MRI in patients on active surveillance (AS) for prostate cancer (PCa) score the likelihood of clinically significant change over time using a 1-5 scale, where 4 or 5 indicates radiological progression. According to the PRECISE recommendations, the index lesion size can be reported using different definitions of volume (planimetry or ellipsoid formula) or by measuring one or two diameters. We compared different measurements using planimetry as the reference standard and stratified changes according to the PRECISE scores. METHODS: We retrospectively analysed 196 patients on AS with PCa confirmed by targeted biopsy who had two MR scans (baseline and follow-up). Lesions were measured on T2 weighted imaging (T2WI) according to all definitions. A PRECISE score was assessed for each patient. RESULTS: The ellipsoid formula exhibited the highest correlation with planimetry at baseline (ρ = 0.97) and follow-up (ρ = 0.98) imaging, compared to the biaxial measurement and single maximum diameter. There was a significant difference (p &lt; 0.001) in the yearly percentage volume change between radiological regression/stability (PRECISE 2-3) and progression (PRECISE 4-5) for planimetry (39.64%) and for the ellipsoid formula (46.78%). CONCLUSION: The ellipsoid formula could be used to monitor tumour growth during AS. Evidence of a significant yearly percentage volume change between radiological regression/stability (PRECISE 2-3) and progression (PRECISE 4-5) has been also observed. ADVANCES IN KNOWLEDGE: The ellipsoid formula is a reasonable surrogate for planimetry in capturing tumour volume changes on T2WI in patients on imaging-led AS. This is also associated with radiological changes using the PRECISE recommendations.","author":[{"dropping-particle":"","family":"Giganti","given":"Francesco","non-dropping-particle":"","parse-names":false,"suffix":""},{"dropping-particle":"","family":"Stavrinides","given":"Vasilis","non-dropping-particle":"","parse-names":false,"suffix":""},{"dropping-particle":"","family":"Stabile","given":"Armando","non-dropping-particle":"","parse-names":false,"suffix":""},{"dropping-particle":"","family":"Osinibi","given":"Elizabeth","non-dropping-particle":"","parse-names":false,"suffix":""},{"dropping-particle":"","family":"Orczyk","given":"Clement","non-dropping-particle":"","parse-names":false,"suffix":""},{"dropping-particle":"","family":"Radtke","given":"Jan Philipp","non-dropping-particle":"","parse-names":false,"suffix":""},{"dropping-particle":"","family":"Freeman","given":"Alex","non-dropping-particle":"","parse-names":false,"suffix":""},{"dropping-particle":"","family":"Haider","given":"Aiman","non-dropping-particle":"","parse-names":false,"suffix":""},{"dropping-particle":"","family":"Punwani","given":"Shonit","non-dropping-particle":"","parse-names":false,"suffix":""},{"dropping-particle":"","family":"Allen","given":"Clare","non-dropping-particle":"","parse-names":false,"suffix":""},{"dropping-particle":"","family":"Emberton","given":"Mark","non-dropping-particle":"","parse-names":false,"suffix":""},{"dropping-particle":"","family":"Kirkham","given":"Alex","non-dropping-particle":"","parse-names":false,"suffix":""},{"dropping-particle":"","family":"Moore","given":"Caroline M.","non-dropping-particle":"","parse-names":false,"suffix":""}],"container-title":"The British journal of radiology","id":"ITEM-1","issue":"1116","issued":{"date-parts":[["2020","12","1"]]},"page":"20200819","publisher":"NLM (Medline)","title":"Prostate cancer measurements on serial MRI during active surveillance: it's time to be PRECISE","type":"article-journal","volume":"93"},"uris":["http://www.mendeley.com/documents/?uuid=e2d223c8-c176-381f-a3db-95941fc67ad2"]}],"mendeley":{"formattedCitation":"[20]","plainTextFormattedCitation":"[20]","previouslyFormattedCitation":"[20]"},"properties":{"noteIndex":0},"schema":"https://github.com/citation-style-language/schema/raw/master/csl-citation.json"}</w:instrText>
      </w:r>
      <w:r w:rsidR="00DD4E3A">
        <w:rPr>
          <w:sz w:val="24"/>
          <w:szCs w:val="24"/>
        </w:rPr>
        <w:fldChar w:fldCharType="separate"/>
      </w:r>
      <w:r w:rsidR="00DD4E3A" w:rsidRPr="00DD4E3A">
        <w:rPr>
          <w:noProof/>
          <w:sz w:val="24"/>
          <w:szCs w:val="24"/>
        </w:rPr>
        <w:t>[20]</w:t>
      </w:r>
      <w:r w:rsidR="00DD4E3A">
        <w:rPr>
          <w:sz w:val="24"/>
          <w:szCs w:val="24"/>
        </w:rPr>
        <w:fldChar w:fldCharType="end"/>
      </w:r>
      <w:r w:rsidR="0085648C">
        <w:rPr>
          <w:sz w:val="24"/>
          <w:szCs w:val="24"/>
        </w:rPr>
        <w:t xml:space="preserve">. Clinically, evaluating serial changes in maximum tumour diameter closely mirrors the RECIST 1.1 criteria </w:t>
      </w:r>
      <w:r w:rsidR="0085648C">
        <w:rPr>
          <w:sz w:val="24"/>
          <w:szCs w:val="24"/>
        </w:rPr>
        <w:fldChar w:fldCharType="begin" w:fldLock="1"/>
      </w:r>
      <w:r w:rsidR="00FB2D16">
        <w:rPr>
          <w:sz w:val="24"/>
          <w:szCs w:val="24"/>
        </w:rPr>
        <w:instrText>ADDIN CSL_CITATION {"citationItems":[{"id":"ITEM-1","itemData":{"DOI":"10.1016/j.ejca.2008.10.026","author":[{"dropping-particle":"","family":"Eisenhauer","given":"E A","non-dropping-particle":"","parse-names":false,"suffix":""},{"dropping-particle":"","family":"Therasse","given":"P","non-dropping-particle":"","parse-names":false,"suffix":""},{"dropping-particle":"","family":"Bogaerts","given":"J","non-dropping-particle":"","parse-names":false,"suffix":""},{"dropping-particle":"","family":"Schwartz","given":"L H","non-dropping-particle":"","parse-names":false,"suffix":""},{"dropping-particle":"","family":"Sargent","given":"D","non-dropping-particle":"","parse-names":false,"suffix":""},{"dropping-particle":"","family":"Ford","given":"R","non-dropping-particle":"","parse-names":false,"suffix":""},{"dropping-particle":"","family":"Dancey","given":"J","non-dropping-particle":"","parse-names":false,"suffix":""},{"dropping-particle":"","family":"Arbuck","given":"S","non-dropping-particle":"","parse-names":false,"suffix":""},{"dropping-particle":"","family":"Gwyther","given":"S","non-dropping-particle":"","parse-names":false,"suffix":""},{"dropping-particle":"","family":"Mooney","given":"M","non-dropping-particle":"","parse-names":false,"suffix":""},{"dropping-particle":"","family":"Rubinstein","given":"L","non-dropping-particle":"","parse-names":false,"suffix":""},{"dropping-particle":"","family":"Shankar","given":"L","non-dropping-particle":"","parse-names":false,"suffix":""},{"dropping-particle":"","family":"Dodd","given":"L","non-dropping-particle":"","parse-names":false,"suffix":""},{"dropping-particle":"","family":"Kaplan","given":"R","non-dropping-particle":"","parse-names":false,"suffix":""},{"dropping-particle":"","family":"Lacombe","given":"D","non-dropping-particle":"","parse-names":false,"suffix":""},{"dropping-particle":"","family":"Verweij","given":"J","non-dropping-particle":"","parse-names":false,"suffix":""},{"dropping-particle":"","family":"Biologicals","given":"Glaxosmithkline","non-dropping-particle":"","parse-names":false,"suffix":""}],"container-title":"European Journal of Cancer","id":"ITEM-1","issued":{"date-parts":[["0"]]},"page":"228-247","title":"New response evaluation criteria in solid tumours: Revised RECIST guideline (version 1.1)","type":"article-journal","volume":"45"},"uris":["http://www.mendeley.com/documents/?uuid=426f0ddd-ce34-385a-b8f1-820922a34f8e"]}],"mendeley":{"formattedCitation":"[28]","plainTextFormattedCitation":"[28]","previouslyFormattedCitation":"[28]"},"properties":{"noteIndex":0},"schema":"https://github.com/citation-style-language/schema/raw/master/csl-citation.json"}</w:instrText>
      </w:r>
      <w:r w:rsidR="0085648C">
        <w:rPr>
          <w:sz w:val="24"/>
          <w:szCs w:val="24"/>
        </w:rPr>
        <w:fldChar w:fldCharType="separate"/>
      </w:r>
      <w:r w:rsidR="00ED0D24" w:rsidRPr="00ED0D24">
        <w:rPr>
          <w:noProof/>
          <w:sz w:val="24"/>
          <w:szCs w:val="24"/>
        </w:rPr>
        <w:t>[28]</w:t>
      </w:r>
      <w:r w:rsidR="0085648C">
        <w:rPr>
          <w:sz w:val="24"/>
          <w:szCs w:val="24"/>
        </w:rPr>
        <w:fldChar w:fldCharType="end"/>
      </w:r>
      <w:r w:rsidR="0085648C">
        <w:rPr>
          <w:sz w:val="24"/>
          <w:szCs w:val="24"/>
        </w:rPr>
        <w:t xml:space="preserve"> used in oncology to assess treatment outcomes. In our study, the median relative change in T2WI-derived maximum tumour diameter in progressors was 21.7%, which</w:t>
      </w:r>
      <w:r w:rsidR="004F01A8">
        <w:rPr>
          <w:sz w:val="24"/>
          <w:szCs w:val="24"/>
        </w:rPr>
        <w:t xml:space="preserve"> corresponded to </w:t>
      </w:r>
      <w:r w:rsidR="00393C9A">
        <w:rPr>
          <w:sz w:val="24"/>
          <w:szCs w:val="24"/>
        </w:rPr>
        <w:t>the doubling of the median tumour volume</w:t>
      </w:r>
      <w:r w:rsidR="00DC0B82">
        <w:rPr>
          <w:sz w:val="24"/>
          <w:szCs w:val="24"/>
        </w:rPr>
        <w:t xml:space="preserve"> in this </w:t>
      </w:r>
      <w:r w:rsidR="00892490">
        <w:rPr>
          <w:sz w:val="24"/>
          <w:szCs w:val="24"/>
        </w:rPr>
        <w:t>group</w:t>
      </w:r>
      <w:r w:rsidR="00393C9A">
        <w:rPr>
          <w:sz w:val="24"/>
          <w:szCs w:val="24"/>
        </w:rPr>
        <w:t xml:space="preserve">. These findings align </w:t>
      </w:r>
      <w:r w:rsidR="0085648C">
        <w:rPr>
          <w:sz w:val="24"/>
          <w:szCs w:val="24"/>
        </w:rPr>
        <w:t>with the RECIST</w:t>
      </w:r>
      <w:r w:rsidR="00AF46CD">
        <w:rPr>
          <w:sz w:val="24"/>
          <w:szCs w:val="24"/>
        </w:rPr>
        <w:t xml:space="preserve"> 1.1</w:t>
      </w:r>
      <w:r w:rsidR="0085648C">
        <w:rPr>
          <w:sz w:val="24"/>
          <w:szCs w:val="24"/>
        </w:rPr>
        <w:t xml:space="preserve"> </w:t>
      </w:r>
      <w:r w:rsidR="009A49A4">
        <w:rPr>
          <w:sz w:val="24"/>
          <w:szCs w:val="24"/>
        </w:rPr>
        <w:t>criteria for</w:t>
      </w:r>
      <w:r w:rsidR="0085648C">
        <w:rPr>
          <w:sz w:val="24"/>
          <w:szCs w:val="24"/>
        </w:rPr>
        <w:t xml:space="preserve"> progressive disease</w:t>
      </w:r>
      <w:r w:rsidR="009A49A4">
        <w:rPr>
          <w:sz w:val="24"/>
          <w:szCs w:val="24"/>
        </w:rPr>
        <w:t>, defined as</w:t>
      </w:r>
      <w:r w:rsidR="0085648C">
        <w:rPr>
          <w:sz w:val="24"/>
          <w:szCs w:val="24"/>
        </w:rPr>
        <w:t xml:space="preserve"> </w:t>
      </w:r>
      <w:r w:rsidR="009A49A4">
        <w:rPr>
          <w:sz w:val="24"/>
          <w:szCs w:val="24"/>
        </w:rPr>
        <w:t xml:space="preserve">a </w:t>
      </w:r>
      <w:r w:rsidR="0085648C">
        <w:rPr>
          <w:sz w:val="24"/>
          <w:szCs w:val="24"/>
        </w:rPr>
        <w:t xml:space="preserve">20% increase in the sum of diameters of target lesions </w:t>
      </w:r>
      <w:r w:rsidR="00700880">
        <w:rPr>
          <w:sz w:val="24"/>
          <w:szCs w:val="24"/>
        </w:rPr>
        <w:t xml:space="preserve">alongside a minimum of 5 mm absolute increase </w:t>
      </w:r>
      <w:r w:rsidR="0085648C">
        <w:rPr>
          <w:sz w:val="24"/>
          <w:szCs w:val="24"/>
        </w:rPr>
        <w:fldChar w:fldCharType="begin" w:fldLock="1"/>
      </w:r>
      <w:r w:rsidR="00FB2D16">
        <w:rPr>
          <w:sz w:val="24"/>
          <w:szCs w:val="24"/>
        </w:rPr>
        <w:instrText>ADDIN CSL_CITATION {"citationItems":[{"id":"ITEM-1","itemData":{"DOI":"10.1016/j.ejca.2008.10.026","author":[{"dropping-particle":"","family":"Eisenhauer","given":"E A","non-dropping-particle":"","parse-names":false,"suffix":""},{"dropping-particle":"","family":"Therasse","given":"P","non-dropping-particle":"","parse-names":false,"suffix":""},{"dropping-particle":"","family":"Bogaerts","given":"J","non-dropping-particle":"","parse-names":false,"suffix":""},{"dropping-particle":"","family":"Schwartz","given":"L H","non-dropping-particle":"","parse-names":false,"suffix":""},{"dropping-particle":"","family":"Sargent","given":"D","non-dropping-particle":"","parse-names":false,"suffix":""},{"dropping-particle":"","family":"Ford","given":"R","non-dropping-particle":"","parse-names":false,"suffix":""},{"dropping-particle":"","family":"Dancey","given":"J","non-dropping-particle":"","parse-names":false,"suffix":""},{"dropping-particle":"","family":"Arbuck","given":"S","non-dropping-particle":"","parse-names":false,"suffix":""},{"dropping-particle":"","family":"Gwyther","given":"S","non-dropping-particle":"","parse-names":false,"suffix":""},{"dropping-particle":"","family":"Mooney","given":"M","non-dropping-particle":"","parse-names":false,"suffix":""},{"dropping-particle":"","family":"Rubinstein","given":"L","non-dropping-particle":"","parse-names":false,"suffix":""},{"dropping-particle":"","family":"Shankar","given":"L","non-dropping-particle":"","parse-names":false,"suffix":""},{"dropping-particle":"","family":"Dodd","given":"L","non-dropping-particle":"","parse-names":false,"suffix":""},{"dropping-particle":"","family":"Kaplan","given":"R","non-dropping-particle":"","parse-names":false,"suffix":""},{"dropping-particle":"","family":"Lacombe","given":"D","non-dropping-particle":"","parse-names":false,"suffix":""},{"dropping-particle":"","family":"Verweij","given":"J","non-dropping-particle":"","parse-names":false,"suffix":""},{"dropping-particle":"","family":"Biologicals","given":"Glaxosmithkline","non-dropping-particle":"","parse-names":false,"suffix":""}],"container-title":"European Journal of Cancer","id":"ITEM-1","issued":{"date-parts":[["0"]]},"page":"228-247","title":"New response evaluation criteria in solid tumours: Revised RECIST guideline (version 1.1)","type":"article-journal","volume":"45"},"uris":["http://www.mendeley.com/documents/?uuid=426f0ddd-ce34-385a-b8f1-820922a34f8e"]}],"mendeley":{"formattedCitation":"[28]","plainTextFormattedCitation":"[28]","previouslyFormattedCitation":"[28]"},"properties":{"noteIndex":0},"schema":"https://github.com/citation-style-language/schema/raw/master/csl-citation.json"}</w:instrText>
      </w:r>
      <w:r w:rsidR="0085648C">
        <w:rPr>
          <w:sz w:val="24"/>
          <w:szCs w:val="24"/>
        </w:rPr>
        <w:fldChar w:fldCharType="separate"/>
      </w:r>
      <w:r w:rsidR="00ED0D24" w:rsidRPr="00ED0D24">
        <w:rPr>
          <w:noProof/>
          <w:sz w:val="24"/>
          <w:szCs w:val="24"/>
        </w:rPr>
        <w:t>[28]</w:t>
      </w:r>
      <w:r w:rsidR="0085648C">
        <w:rPr>
          <w:sz w:val="24"/>
          <w:szCs w:val="24"/>
        </w:rPr>
        <w:fldChar w:fldCharType="end"/>
      </w:r>
      <w:r w:rsidR="0085648C">
        <w:rPr>
          <w:sz w:val="24"/>
          <w:szCs w:val="24"/>
        </w:rPr>
        <w:t>.</w:t>
      </w:r>
      <w:r w:rsidR="00AF46CD">
        <w:rPr>
          <w:sz w:val="24"/>
          <w:szCs w:val="24"/>
        </w:rPr>
        <w:t xml:space="preserve"> </w:t>
      </w:r>
      <w:r w:rsidR="007F2250">
        <w:rPr>
          <w:sz w:val="24"/>
          <w:szCs w:val="24"/>
        </w:rPr>
        <w:t>20% increase in T2WI</w:t>
      </w:r>
      <w:r w:rsidR="00C669DE">
        <w:rPr>
          <w:sz w:val="24"/>
          <w:szCs w:val="24"/>
        </w:rPr>
        <w:t xml:space="preserve"> </w:t>
      </w:r>
      <w:r w:rsidR="007F2250">
        <w:rPr>
          <w:sz w:val="24"/>
          <w:szCs w:val="24"/>
        </w:rPr>
        <w:t xml:space="preserve">diameter can be supplemented by a minimum of 3 mm absolute increase in </w:t>
      </w:r>
      <w:r w:rsidR="00BA0235">
        <w:rPr>
          <w:sz w:val="24"/>
          <w:szCs w:val="24"/>
        </w:rPr>
        <w:t xml:space="preserve">tumour </w:t>
      </w:r>
      <w:r w:rsidR="007F2250">
        <w:rPr>
          <w:sz w:val="24"/>
          <w:szCs w:val="24"/>
        </w:rPr>
        <w:t>diameter, which corresponds to the 3 mm MRI slice thickness used in this study</w:t>
      </w:r>
      <w:r w:rsidR="00B03166">
        <w:rPr>
          <w:sz w:val="24"/>
          <w:szCs w:val="24"/>
        </w:rPr>
        <w:t xml:space="preserve"> and </w:t>
      </w:r>
      <w:r w:rsidR="00DA1E5A">
        <w:rPr>
          <w:sz w:val="24"/>
          <w:szCs w:val="24"/>
        </w:rPr>
        <w:t xml:space="preserve">may help mitigate the effect of interscan variability highlighted </w:t>
      </w:r>
      <w:r w:rsidR="004A23E1">
        <w:rPr>
          <w:sz w:val="24"/>
          <w:szCs w:val="24"/>
        </w:rPr>
        <w:t xml:space="preserve">in previous studies </w:t>
      </w:r>
      <w:r w:rsidR="004A23E1">
        <w:rPr>
          <w:sz w:val="24"/>
          <w:szCs w:val="24"/>
        </w:rPr>
        <w:fldChar w:fldCharType="begin" w:fldLock="1"/>
      </w:r>
      <w:r w:rsidR="00372EFE">
        <w:rPr>
          <w:sz w:val="24"/>
          <w:szCs w:val="24"/>
        </w:rPr>
        <w:instrText>ADDIN CSL_CITATION {"citationItems":[{"id":"ITEM-1","itemData":{"DOI":"10.1259/BJR.20210321","abstract":"Objectives:The aim of this study was to evaluate the changes in lesion volume on serial multiparametric magnetic resonance (mpMRI) during active surveillance for prostate cancer.Methods:A total of ...","author":[{"dropping-particle":"","family":"Giganti","given":"Francesco","non-dropping-particle":"","parse-names":false,"suffix":""},{"dropping-particle":"","family":"Allen","given":"Clare","non-dropping-particle":"","parse-names":false,"suffix":""},{"dropping-particle":"","family":"Stavrinides","given":"Vasilis","non-dropping-particle":"","parse-names":false,"suffix":""},{"dropping-particle":"","family":"Stabile","given":"Armando","non-dropping-particle":"","parse-names":false,"suffix":""},{"dropping-particle":"","family":"Haider","given":"Aiman","non-dropping-particle":"","parse-names":false,"suffix":""},{"dropping-particle":"","family":"Freeman","given":"Alex","non-dropping-particle":"","parse-names":false,"suffix":""},{"dropping-particle":"","family":"Pashayan","given":"Nora","non-dropping-particle":"","parse-names":false,"suffix":""},{"dropping-particle":"","family":"Punwani","given":"Shonit","non-dropping-particle":"","parse-names":false,"suffix":""},{"dropping-particle":"","family":"Emberton","given":"Mark","non-dropping-particle":"","parse-names":false,"suffix":""},{"dropping-particle":"","family":"Moore","given":"Caroline M","non-dropping-particle":"","parse-names":false,"suffix":""},{"dropping-particle":"","family":"Kirkham","given":"Alex","non-dropping-particle":"","parse-names":false,"suffix":""}],"container-title":"https://doi.org/10.1259/bjr.20210321","id":"ITEM-1","issued":{"date-parts":[["2021","7","8"]]},"page":"20210321","publisher":"The British Institute of Radiology.","title":"Tumour growth rates of prostate cancer during active surveillance: is there a difference between MRI-visible low and intermediate-risk disease?","type":"article-journal"},"uris":["http://www.mendeley.com/documents/?uuid=bbffa644-9cc1-3b81-b9ce-c7518947fbf3"]}],"mendeley":{"formattedCitation":"[29]","plainTextFormattedCitation":"[29]","previouslyFormattedCitation":"[29]"},"properties":{"noteIndex":0},"schema":"https://github.com/citation-style-language/schema/raw/master/csl-citation.json"}</w:instrText>
      </w:r>
      <w:r w:rsidR="004A23E1">
        <w:rPr>
          <w:sz w:val="24"/>
          <w:szCs w:val="24"/>
        </w:rPr>
        <w:fldChar w:fldCharType="separate"/>
      </w:r>
      <w:r w:rsidR="004A23E1" w:rsidRPr="004A23E1">
        <w:rPr>
          <w:noProof/>
          <w:sz w:val="24"/>
          <w:szCs w:val="24"/>
        </w:rPr>
        <w:t>[29]</w:t>
      </w:r>
      <w:r w:rsidR="004A23E1">
        <w:rPr>
          <w:sz w:val="24"/>
          <w:szCs w:val="24"/>
        </w:rPr>
        <w:fldChar w:fldCharType="end"/>
      </w:r>
      <w:r w:rsidR="00606449">
        <w:rPr>
          <w:sz w:val="24"/>
          <w:szCs w:val="24"/>
        </w:rPr>
        <w:t>.</w:t>
      </w:r>
      <w:r w:rsidR="002E239D">
        <w:rPr>
          <w:sz w:val="24"/>
          <w:szCs w:val="24"/>
        </w:rPr>
        <w:t xml:space="preserve"> Moreover, this may help avoid</w:t>
      </w:r>
      <w:r w:rsidR="005762CC">
        <w:rPr>
          <w:sz w:val="24"/>
          <w:szCs w:val="24"/>
        </w:rPr>
        <w:t xml:space="preserve"> </w:t>
      </w:r>
      <w:r w:rsidR="00A67E20">
        <w:rPr>
          <w:sz w:val="24"/>
          <w:szCs w:val="24"/>
        </w:rPr>
        <w:t>errors in measurements due to partial volum</w:t>
      </w:r>
      <w:r w:rsidR="002E239D">
        <w:rPr>
          <w:sz w:val="24"/>
          <w:szCs w:val="24"/>
        </w:rPr>
        <w:t>e</w:t>
      </w:r>
      <w:r w:rsidR="00A67E20">
        <w:rPr>
          <w:sz w:val="24"/>
          <w:szCs w:val="24"/>
        </w:rPr>
        <w:t xml:space="preserve"> or reproducibility at smaller lesion sizes</w:t>
      </w:r>
      <w:r w:rsidR="000B6D7D">
        <w:rPr>
          <w:sz w:val="24"/>
          <w:szCs w:val="24"/>
        </w:rPr>
        <w:t xml:space="preserve">, mirroring the </w:t>
      </w:r>
      <w:r w:rsidR="002D6CA2">
        <w:rPr>
          <w:sz w:val="24"/>
          <w:szCs w:val="24"/>
        </w:rPr>
        <w:t>incorporation</w:t>
      </w:r>
      <w:r w:rsidR="000B6D7D">
        <w:rPr>
          <w:sz w:val="24"/>
          <w:szCs w:val="24"/>
        </w:rPr>
        <w:t xml:space="preserve"> of a minimum size increase of 5 mm in RECIST criteria</w:t>
      </w:r>
      <w:r w:rsidR="00002B3A">
        <w:rPr>
          <w:sz w:val="24"/>
          <w:szCs w:val="24"/>
        </w:rPr>
        <w:t>.</w:t>
      </w:r>
      <w:r w:rsidR="0085648C">
        <w:rPr>
          <w:sz w:val="24"/>
          <w:szCs w:val="24"/>
        </w:rPr>
        <w:t xml:space="preserve"> </w:t>
      </w:r>
      <w:r w:rsidR="00044D76">
        <w:rPr>
          <w:sz w:val="24"/>
          <w:szCs w:val="24"/>
        </w:rPr>
        <w:t xml:space="preserve">Using these cut-offs to supplement </w:t>
      </w:r>
      <w:r w:rsidR="00ED7179">
        <w:rPr>
          <w:sz w:val="24"/>
          <w:szCs w:val="24"/>
        </w:rPr>
        <w:t xml:space="preserve">subjective </w:t>
      </w:r>
      <w:r w:rsidR="001857F2">
        <w:rPr>
          <w:sz w:val="24"/>
          <w:szCs w:val="24"/>
        </w:rPr>
        <w:t xml:space="preserve">serial MRI assessment could help </w:t>
      </w:r>
      <w:r w:rsidR="00771463">
        <w:rPr>
          <w:sz w:val="24"/>
          <w:szCs w:val="24"/>
        </w:rPr>
        <w:t>improve th</w:t>
      </w:r>
      <w:r w:rsidR="005939AB">
        <w:rPr>
          <w:sz w:val="24"/>
          <w:szCs w:val="24"/>
        </w:rPr>
        <w:t xml:space="preserve">e quality of MRI-guided AS programmes and further reduce the need for unnecessary biopsies while increasing the positive predictive value for histopathological disease progression. </w:t>
      </w:r>
      <w:r w:rsidR="002E4F56">
        <w:rPr>
          <w:sz w:val="24"/>
          <w:szCs w:val="24"/>
        </w:rPr>
        <w:t xml:space="preserve">A previous study has shown similar </w:t>
      </w:r>
      <w:r w:rsidR="00C90D0B">
        <w:rPr>
          <w:sz w:val="24"/>
          <w:szCs w:val="24"/>
        </w:rPr>
        <w:t xml:space="preserve">relative increase in </w:t>
      </w:r>
      <w:r w:rsidR="0085648C">
        <w:rPr>
          <w:sz w:val="24"/>
          <w:szCs w:val="24"/>
        </w:rPr>
        <w:t xml:space="preserve">T2WI-derived maximum tumour diameter in AS patients </w:t>
      </w:r>
      <w:r w:rsidR="00C90D0B">
        <w:rPr>
          <w:sz w:val="24"/>
          <w:szCs w:val="24"/>
        </w:rPr>
        <w:t>with</w:t>
      </w:r>
      <w:r w:rsidR="0085648C">
        <w:rPr>
          <w:sz w:val="24"/>
          <w:szCs w:val="24"/>
        </w:rPr>
        <w:t xml:space="preserve"> radiological </w:t>
      </w:r>
      <w:r w:rsidR="00C90D0B">
        <w:rPr>
          <w:sz w:val="24"/>
          <w:szCs w:val="24"/>
        </w:rPr>
        <w:t xml:space="preserve">disease </w:t>
      </w:r>
      <w:r w:rsidR="0085648C">
        <w:rPr>
          <w:sz w:val="24"/>
          <w:szCs w:val="24"/>
        </w:rPr>
        <w:t xml:space="preserve">progression </w:t>
      </w:r>
      <w:r w:rsidR="0085648C">
        <w:rPr>
          <w:sz w:val="24"/>
          <w:szCs w:val="24"/>
        </w:rPr>
        <w:fldChar w:fldCharType="begin" w:fldLock="1"/>
      </w:r>
      <w:r w:rsidR="00DD4E3A">
        <w:rPr>
          <w:sz w:val="24"/>
          <w:szCs w:val="24"/>
        </w:rPr>
        <w:instrText>ADDIN CSL_CITATION {"citationItems":[{"id":"ITEM-1","itemData":{"DOI":"10.1259/bjr.20200819","ISSN":"1748880X","PMID":"32955923","abstract":"OBJECTIVE: The PRECISE criteria for reporting multiparametric MRI in patients on active surveillance (AS) for prostate cancer (PCa) score the likelihood of clinically significant change over time using a 1-5 scale, where 4 or 5 indicates radiological progression. According to the PRECISE recommendations, the index lesion size can be reported using different definitions of volume (planimetry or ellipsoid formula) or by measuring one or two diameters. We compared different measurements using planimetry as the reference standard and stratified changes according to the PRECISE scores. METHODS: We retrospectively analysed 196 patients on AS with PCa confirmed by targeted biopsy who had two MR scans (baseline and follow-up). Lesions were measured on T2 weighted imaging (T2WI) according to all definitions. A PRECISE score was assessed for each patient. RESULTS: The ellipsoid formula exhibited the highest correlation with planimetry at baseline (ρ = 0.97) and follow-up (ρ = 0.98) imaging, compared to the biaxial measurement and single maximum diameter. There was a significant difference (p &lt; 0.001) in the yearly percentage volume change between radiological regression/stability (PRECISE 2-3) and progression (PRECISE 4-5) for planimetry (39.64%) and for the ellipsoid formula (46.78%). CONCLUSION: The ellipsoid formula could be used to monitor tumour growth during AS. Evidence of a significant yearly percentage volume change between radiological regression/stability (PRECISE 2-3) and progression (PRECISE 4-5) has been also observed. ADVANCES IN KNOWLEDGE: The ellipsoid formula is a reasonable surrogate for planimetry in capturing tumour volume changes on T2WI in patients on imaging-led AS. This is also associated with radiological changes using the PRECISE recommendations.","author":[{"dropping-particle":"","family":"Giganti","given":"Francesco","non-dropping-particle":"","parse-names":false,"suffix":""},{"dropping-particle":"","family":"Stavrinides","given":"Vasilis","non-dropping-particle":"","parse-names":false,"suffix":""},{"dropping-particle":"","family":"Stabile","given":"Armando","non-dropping-particle":"","parse-names":false,"suffix":""},{"dropping-particle":"","family":"Osinibi","given":"Elizabeth","non-dropping-particle":"","parse-names":false,"suffix":""},{"dropping-particle":"","family":"Orczyk","given":"Clement","non-dropping-particle":"","parse-names":false,"suffix":""},{"dropping-particle":"","family":"Radtke","given":"Jan Philipp","non-dropping-particle":"","parse-names":false,"suffix":""},{"dropping-particle":"","family":"Freeman","given":"Alex","non-dropping-particle":"","parse-names":false,"suffix":""},{"dropping-particle":"","family":"Haider","given":"Aiman","non-dropping-particle":"","parse-names":false,"suffix":""},{"dropping-particle":"","family":"Punwani","given":"Shonit","non-dropping-particle":"","parse-names":false,"suffix":""},{"dropping-particle":"","family":"Allen","given":"Clare","non-dropping-particle":"","parse-names":false,"suffix":""},{"dropping-particle":"","family":"Emberton","given":"Mark","non-dropping-particle":"","parse-names":false,"suffix":""},{"dropping-particle":"","family":"Kirkham","given":"Alex","non-dropping-particle":"","parse-names":false,"suffix":""},{"dropping-particle":"","family":"Moore","given":"Caroline M.","non-dropping-particle":"","parse-names":false,"suffix":""}],"container-title":"The British journal of radiology","id":"ITEM-1","issue":"1116","issued":{"date-parts":[["2020","12","1"]]},"page":"20200819","publisher":"NLM (Medline)","title":"Prostate cancer measurements on serial MRI during active surveillance: it's time to be PRECISE","type":"article-journal","volume":"93"},"uris":["http://www.mendeley.com/documents/?uuid=e2d223c8-c176-381f-a3db-95941fc67ad2"]}],"mendeley":{"formattedCitation":"[20]","plainTextFormattedCitation":"[20]","previouslyFormattedCitation":"[20]"},"properties":{"noteIndex":0},"schema":"https://github.com/citation-style-language/schema/raw/master/csl-citation.json"}</w:instrText>
      </w:r>
      <w:r w:rsidR="0085648C">
        <w:rPr>
          <w:sz w:val="24"/>
          <w:szCs w:val="24"/>
        </w:rPr>
        <w:fldChar w:fldCharType="separate"/>
      </w:r>
      <w:r w:rsidR="00DD4E3A" w:rsidRPr="00DD4E3A">
        <w:rPr>
          <w:noProof/>
          <w:sz w:val="24"/>
          <w:szCs w:val="24"/>
        </w:rPr>
        <w:t>[20]</w:t>
      </w:r>
      <w:r w:rsidR="0085648C">
        <w:rPr>
          <w:sz w:val="24"/>
          <w:szCs w:val="24"/>
        </w:rPr>
        <w:fldChar w:fldCharType="end"/>
      </w:r>
      <w:r w:rsidR="0085648C">
        <w:rPr>
          <w:sz w:val="24"/>
          <w:szCs w:val="24"/>
        </w:rPr>
        <w:t xml:space="preserve">, which is expected </w:t>
      </w:r>
      <w:r w:rsidR="00C90D0B">
        <w:rPr>
          <w:sz w:val="24"/>
          <w:szCs w:val="24"/>
        </w:rPr>
        <w:t xml:space="preserve">since </w:t>
      </w:r>
      <w:r w:rsidR="0085648C">
        <w:rPr>
          <w:sz w:val="24"/>
          <w:szCs w:val="24"/>
        </w:rPr>
        <w:t xml:space="preserve">the increase in size is an integral feature of PRECISE categories 4-5 </w:t>
      </w:r>
      <w:r w:rsidR="0085648C">
        <w:rPr>
          <w:sz w:val="24"/>
          <w:szCs w:val="24"/>
        </w:rPr>
        <w:fldChar w:fldCharType="begin" w:fldLock="1"/>
      </w:r>
      <w:r w:rsidR="00DD4E3A">
        <w:rPr>
          <w:sz w:val="24"/>
          <w:szCs w:val="24"/>
        </w:rPr>
        <w:instrText>ADDIN CSL_CITATION {"citationItems":[{"id":"ITEM-1","itemData":{"DOI":"10.1007/s00330-019-06557-2","ISSN":"14321084","PMID":"31844959","abstract":"Objectives: We aimed to determine the interobserver reproducibility of the Prostate Cancer Radiological Estimation of Change in Sequential Evaluation (PRECISE) criteria for magnetic resonance imaging in patients on active surveillance (AS) for prostate cancer (PCa) at two different academic centres. Methods: The PRECISE criteria score the likelihood of clinically significant change over time. The system is a 1-to-5 scale, where 1 or 2 implies regression of a previously visible lesion, 3 denotes stability and 4 or 5 indicates radiological progression. A retrospective analysis of 80 patients (40 from each centre) on AS with a biopsy-confirmed low- or intermediate-risk PCa (i.e. ≤ Gleason 3 + 4 and prostate-specific antigen ≤ 20 ng/ml) and ≥ 2 prostate MR scans was performed. Two blinded radiologists reported all scans independently and scored the likelihood of radiological change (PRECISE score) from the second scan onwards. Cohen’s κ coefficients and percent agreement were computed. Results: Agreement was substantial both at a per-patient and a per-scan level (κ = 0.71 and 0.61; percent agreement = 79% and 81%, respectively) for each PRECISE score. The agreement was superior (κ = 0.83 and 0.67; percent agreement = 90% and 91%, respectively) when the PRECISE scores were grouped according to the absence/presence of radiological progression (PRECISE 1–3 vs 4–5). Higher inter-reader agreement was observed for the scans performed at University College London (UCL) (κ = 0.81 vs 0.55 on a per-patient level and κ = 0.70 vs 0.48 on a per-scan level, respectively). The discrepancies between institutions were less evident for percent agreement (80% vs 78% and 86% vs 75%, respectively). Conclusions: Expert radiologists achieved substantial reproducibility for the PRECISE scoring system, especially when data were pooled together according to the absence/presence of radiological progression (PRECISE 1–3 vs 4–5). Key Points: • Inter-reader agreement between two experienced prostate radiologists using the PRECISE criteria was substantial. • The agreement was higher when the PRECISE scores were grouped according to the absence/presence of radiological progression (i.e. PRECISE 1–3 vs PRECISE 4 and 5). • Higher inter-reader agreement was observed for the scans performed at UCL, but the discrepancies between institutions were less evident for percent agreement.","author":[{"dropping-particle":"","family":"Giganti","given":"Francesco","non-dropping-particle":"","parse-names":false,"suffix":""},{"dropping-particle":"","family":"Pecoraro","given":"Martina","non-dropping-particle":"","parse-names":false,"suffix":""},{"dropping-particle":"","family":"Stavrinides","given":"Vasilis","non-dropping-particle":"","parse-names":false,"suffix":""},{"dropping-particle":"","family":"Stabile","given":"Armando","non-dropping-particle":"","parse-names":false,"suffix":""},{"dropping-particle":"","family":"Cipollari","given":"Stefano","non-dropping-particle":"","parse-names":false,"suffix":""},{"dropping-particle":"","family":"Sciarra","given":"Alessandro","non-dropping-particle":"","parse-names":false,"suffix":""},{"dropping-particle":"","family":"Kirkham","given":"Alex","non-dropping-particle":"","parse-names":false,"suffix":""},{"dropping-particle":"","family":"Allen","given":"Clare","non-dropping-particle":"","parse-names":false,"suffix":""},{"dropping-particle":"","family":"Punwani","given":"Shonit","non-dropping-particle":"","parse-names":false,"suffix":""},{"dropping-particle":"","family":"Emberton","given":"Mark","non-dropping-particle":"","parse-names":false,"suffix":""},{"dropping-particle":"","family":"Catalano","given":"Carlo","non-dropping-particle":"","parse-names":false,"suffix":""},{"dropping-particle":"","family":"Moore","given":"Caroline M.","non-dropping-particle":"","parse-names":false,"suffix":""},{"dropping-particle":"","family":"Panebianco","given":"Valeria","non-dropping-particle":"","parse-names":false,"suffix":""}],"container-title":"European Radiology","id":"ITEM-1","issue":"4","issued":{"date-parts":[["2020","4","1"]]},"page":"2082-2090","publisher":"Springer","title":"Interobserver reproducibility of the PRECISE scoring system for prostate MRI on active surveillance: results from a two-centre pilot study","type":"article-journal","volume":"30"},"uris":["http://www.mendeley.com/documents/?uuid=f3c84e87-33c2-3390-a33e-d5582aa6bd2b"]}],"mendeley":{"formattedCitation":"[23]","plainTextFormattedCitation":"[23]","previouslyFormattedCitation":"[23]"},"properties":{"noteIndex":0},"schema":"https://github.com/citation-style-language/schema/raw/master/csl-citation.json"}</w:instrText>
      </w:r>
      <w:r w:rsidR="0085648C">
        <w:rPr>
          <w:sz w:val="24"/>
          <w:szCs w:val="24"/>
        </w:rPr>
        <w:fldChar w:fldCharType="separate"/>
      </w:r>
      <w:r w:rsidR="00DD4E3A" w:rsidRPr="00DD4E3A">
        <w:rPr>
          <w:noProof/>
          <w:sz w:val="24"/>
          <w:szCs w:val="24"/>
        </w:rPr>
        <w:t>[23]</w:t>
      </w:r>
      <w:r w:rsidR="0085648C">
        <w:rPr>
          <w:sz w:val="24"/>
          <w:szCs w:val="24"/>
        </w:rPr>
        <w:fldChar w:fldCharType="end"/>
      </w:r>
      <w:r w:rsidR="0085648C">
        <w:rPr>
          <w:sz w:val="24"/>
          <w:szCs w:val="24"/>
        </w:rPr>
        <w:t>.</w:t>
      </w:r>
      <w:r w:rsidR="00296D1D">
        <w:rPr>
          <w:sz w:val="24"/>
          <w:szCs w:val="24"/>
        </w:rPr>
        <w:t xml:space="preserve"> In addition, </w:t>
      </w:r>
      <w:r w:rsidR="00A4555D">
        <w:rPr>
          <w:sz w:val="24"/>
          <w:szCs w:val="24"/>
        </w:rPr>
        <w:t xml:space="preserve">our findings are consistent with the annual </w:t>
      </w:r>
      <w:r w:rsidR="00F20FCC">
        <w:rPr>
          <w:sz w:val="24"/>
          <w:szCs w:val="24"/>
        </w:rPr>
        <w:t>increases in tumour volumes</w:t>
      </w:r>
      <w:r w:rsidR="00CC6B94">
        <w:rPr>
          <w:sz w:val="24"/>
          <w:szCs w:val="24"/>
        </w:rPr>
        <w:t xml:space="preserve"> (</w:t>
      </w:r>
      <w:r w:rsidR="00213AD2">
        <w:rPr>
          <w:sz w:val="24"/>
          <w:szCs w:val="24"/>
        </w:rPr>
        <w:t>up to 23%)</w:t>
      </w:r>
      <w:r w:rsidR="00F20FCC">
        <w:rPr>
          <w:sz w:val="24"/>
          <w:szCs w:val="24"/>
        </w:rPr>
        <w:t xml:space="preserve"> and diameters</w:t>
      </w:r>
      <w:r w:rsidR="00213AD2">
        <w:rPr>
          <w:sz w:val="24"/>
          <w:szCs w:val="24"/>
        </w:rPr>
        <w:t xml:space="preserve"> (up to 7%)</w:t>
      </w:r>
      <w:r w:rsidR="00F20FCC">
        <w:rPr>
          <w:sz w:val="24"/>
          <w:szCs w:val="24"/>
        </w:rPr>
        <w:t xml:space="preserve"> </w:t>
      </w:r>
      <w:r w:rsidR="00B31803">
        <w:rPr>
          <w:sz w:val="24"/>
          <w:szCs w:val="24"/>
        </w:rPr>
        <w:t>reported</w:t>
      </w:r>
      <w:r w:rsidR="00F20FCC">
        <w:rPr>
          <w:sz w:val="24"/>
          <w:szCs w:val="24"/>
        </w:rPr>
        <w:t xml:space="preserve"> by </w:t>
      </w:r>
      <w:proofErr w:type="spellStart"/>
      <w:r w:rsidR="00F20FCC">
        <w:rPr>
          <w:sz w:val="24"/>
          <w:szCs w:val="24"/>
        </w:rPr>
        <w:t>Giganti</w:t>
      </w:r>
      <w:proofErr w:type="spellEnd"/>
      <w:r w:rsidR="00F20FCC">
        <w:rPr>
          <w:sz w:val="24"/>
          <w:szCs w:val="24"/>
        </w:rPr>
        <w:t xml:space="preserve"> </w:t>
      </w:r>
      <w:r w:rsidR="00F20FCC">
        <w:rPr>
          <w:i/>
          <w:iCs/>
          <w:sz w:val="24"/>
          <w:szCs w:val="24"/>
        </w:rPr>
        <w:t>et al.</w:t>
      </w:r>
      <w:r w:rsidR="00F20FCC">
        <w:rPr>
          <w:sz w:val="24"/>
          <w:szCs w:val="24"/>
        </w:rPr>
        <w:t xml:space="preserve"> </w:t>
      </w:r>
      <w:r w:rsidR="00FB2D16">
        <w:rPr>
          <w:sz w:val="24"/>
          <w:szCs w:val="24"/>
        </w:rPr>
        <w:fldChar w:fldCharType="begin" w:fldLock="1"/>
      </w:r>
      <w:r w:rsidR="007C03DB">
        <w:rPr>
          <w:sz w:val="24"/>
          <w:szCs w:val="24"/>
        </w:rPr>
        <w:instrText>ADDIN CSL_CITATION {"citationItems":[{"id":"ITEM-1","itemData":{"DOI":"10.1259/BJR.20210321","abstract":"Objectives:The aim of this study was to evaluate the changes in lesion volume on serial multiparametric magnetic resonance (mpMRI) during active surveillance for prostate cancer.Methods:A total of ...","author":[{"dropping-particle":"","family":"Giganti","given":"Francesco","non-dropping-particle":"","parse-names":false,"suffix":""},{"dropping-particle":"","family":"Allen","given":"Clare","non-dropping-particle":"","parse-names":false,"suffix":""},{"dropping-particle":"","family":"Stavrinides","given":"Vasilis","non-dropping-particle":"","parse-names":false,"suffix":""},{"dropping-particle":"","family":"Stabile","given":"Armando","non-dropping-particle":"","parse-names":false,"suffix":""},{"dropping-particle":"","family":"Haider","given":"Aiman","non-dropping-particle":"","parse-names":false,"suffix":""},{"dropping-particle":"","family":"Freeman","given":"Alex","non-dropping-particle":"","parse-names":false,"suffix":""},{"dropping-particle":"","family":"Pashayan","given":"Nora","non-dropping-particle":"","parse-names":false,"suffix":""},{"dropping-particle":"","family":"Punwani","given":"Shonit","non-dropping-particle":"","parse-names":false,"suffix":""},{"dropping-particle":"","family":"Emberton","given":"Mark","non-dropping-particle":"","parse-names":false,"suffix":""},{"dropping-particle":"","family":"Moore","given":"Caroline M","non-dropping-particle":"","parse-names":false,"suffix":""},{"dropping-particle":"","family":"Kirkham","given":"Alex","non-dropping-particle":"","parse-names":false,"suffix":""}],"container-title":"https://doi.org/10.1259/bjr.20210321","id":"ITEM-1","issued":{"date-parts":[["2021","7","8"]]},"page":"20210321","publisher":"The British Institute of Radiology.","title":"Tumour growth rates of prostate cancer during active surveillance: is there a difference between MRI-visible low and intermediate-risk disease?","type":"article-journal"},"uris":["http://www.mendeley.com/documents/?uuid=bbffa644-9cc1-3b81-b9ce-c7518947fbf3"]}],"mendeley":{"formattedCitation":"[29]","plainTextFormattedCitation":"[29]","previouslyFormattedCitation":"[29]"},"properties":{"noteIndex":0},"schema":"https://github.com/citation-style-language/schema/raw/master/csl-citation.json"}</w:instrText>
      </w:r>
      <w:r w:rsidR="00FB2D16">
        <w:rPr>
          <w:sz w:val="24"/>
          <w:szCs w:val="24"/>
        </w:rPr>
        <w:fldChar w:fldCharType="separate"/>
      </w:r>
      <w:r w:rsidR="00FB2D16" w:rsidRPr="00FB2D16">
        <w:rPr>
          <w:noProof/>
          <w:sz w:val="24"/>
          <w:szCs w:val="24"/>
        </w:rPr>
        <w:t>[29]</w:t>
      </w:r>
      <w:r w:rsidR="00FB2D16">
        <w:rPr>
          <w:sz w:val="24"/>
          <w:szCs w:val="24"/>
        </w:rPr>
        <w:fldChar w:fldCharType="end"/>
      </w:r>
      <w:r w:rsidR="00334600">
        <w:rPr>
          <w:sz w:val="24"/>
          <w:szCs w:val="24"/>
        </w:rPr>
        <w:t xml:space="preserve"> </w:t>
      </w:r>
      <w:r w:rsidR="00F31275">
        <w:rPr>
          <w:sz w:val="24"/>
          <w:szCs w:val="24"/>
        </w:rPr>
        <w:t xml:space="preserve">on </w:t>
      </w:r>
      <w:r w:rsidR="002E13D0">
        <w:rPr>
          <w:sz w:val="24"/>
          <w:szCs w:val="24"/>
        </w:rPr>
        <w:t>different magne</w:t>
      </w:r>
      <w:r w:rsidR="00575331">
        <w:rPr>
          <w:sz w:val="24"/>
          <w:szCs w:val="24"/>
        </w:rPr>
        <w:t>ts using different scanning protocols,</w:t>
      </w:r>
      <w:r w:rsidR="00306D75">
        <w:rPr>
          <w:sz w:val="24"/>
          <w:szCs w:val="24"/>
        </w:rPr>
        <w:t xml:space="preserve"> which supports </w:t>
      </w:r>
      <w:r w:rsidR="00D23226">
        <w:rPr>
          <w:sz w:val="24"/>
          <w:szCs w:val="24"/>
        </w:rPr>
        <w:t>the</w:t>
      </w:r>
      <w:r w:rsidR="00306D75">
        <w:rPr>
          <w:sz w:val="24"/>
          <w:szCs w:val="24"/>
        </w:rPr>
        <w:t xml:space="preserve"> potential clinical applicability</w:t>
      </w:r>
      <w:r w:rsidR="00D23226">
        <w:rPr>
          <w:sz w:val="24"/>
          <w:szCs w:val="24"/>
        </w:rPr>
        <w:t xml:space="preserve"> </w:t>
      </w:r>
      <w:r w:rsidR="00F31275">
        <w:rPr>
          <w:sz w:val="24"/>
          <w:szCs w:val="24"/>
        </w:rPr>
        <w:t xml:space="preserve">and reproducibility </w:t>
      </w:r>
      <w:r w:rsidR="00D23226">
        <w:rPr>
          <w:sz w:val="24"/>
          <w:szCs w:val="24"/>
        </w:rPr>
        <w:t xml:space="preserve">of </w:t>
      </w:r>
      <w:r w:rsidR="00780381">
        <w:rPr>
          <w:sz w:val="24"/>
          <w:szCs w:val="24"/>
        </w:rPr>
        <w:t>our</w:t>
      </w:r>
      <w:r w:rsidR="00D23226">
        <w:rPr>
          <w:sz w:val="24"/>
          <w:szCs w:val="24"/>
        </w:rPr>
        <w:t xml:space="preserve"> results</w:t>
      </w:r>
      <w:r w:rsidR="00575331">
        <w:rPr>
          <w:sz w:val="24"/>
          <w:szCs w:val="24"/>
        </w:rPr>
        <w:t>.</w:t>
      </w:r>
      <w:r w:rsidR="0030636F">
        <w:rPr>
          <w:sz w:val="24"/>
          <w:szCs w:val="24"/>
        </w:rPr>
        <w:t xml:space="preserve"> I</w:t>
      </w:r>
      <w:r w:rsidR="00E83B3E">
        <w:rPr>
          <w:sz w:val="24"/>
          <w:szCs w:val="24"/>
        </w:rPr>
        <w:t>nterestingly</w:t>
      </w:r>
      <w:r w:rsidR="0030636F">
        <w:rPr>
          <w:sz w:val="24"/>
          <w:szCs w:val="24"/>
        </w:rPr>
        <w:t>, in our study, tumours in patients without histopathological and radiological disease progression also showed an increase in size over the median four-year follow-up, which is expected given the natural tendency of tumours to grow. This further demonstrates the need of identifying specific cut-offs to differentiate “clinically significant” increase</w:t>
      </w:r>
      <w:r w:rsidR="00E83B3E">
        <w:rPr>
          <w:sz w:val="24"/>
          <w:szCs w:val="24"/>
        </w:rPr>
        <w:t>s</w:t>
      </w:r>
      <w:r w:rsidR="0030636F">
        <w:rPr>
          <w:sz w:val="24"/>
          <w:szCs w:val="24"/>
        </w:rPr>
        <w:t xml:space="preserve"> in tumour size.</w:t>
      </w:r>
      <w:r w:rsidR="003E53F6">
        <w:rPr>
          <w:sz w:val="24"/>
          <w:szCs w:val="24"/>
        </w:rPr>
        <w:t xml:space="preserve"> </w:t>
      </w:r>
      <w:r w:rsidR="0030636F">
        <w:rPr>
          <w:sz w:val="24"/>
          <w:szCs w:val="24"/>
        </w:rPr>
        <w:t xml:space="preserve">In line with our findings, </w:t>
      </w:r>
      <w:r w:rsidR="003E53F6">
        <w:rPr>
          <w:sz w:val="24"/>
          <w:szCs w:val="24"/>
        </w:rPr>
        <w:t xml:space="preserve">Shoji </w:t>
      </w:r>
      <w:r w:rsidR="003E53F6">
        <w:rPr>
          <w:i/>
          <w:iCs/>
          <w:sz w:val="24"/>
          <w:szCs w:val="24"/>
        </w:rPr>
        <w:t xml:space="preserve">et al. </w:t>
      </w:r>
      <w:r w:rsidR="003E53F6">
        <w:rPr>
          <w:sz w:val="24"/>
          <w:szCs w:val="24"/>
        </w:rPr>
        <w:fldChar w:fldCharType="begin" w:fldLock="1"/>
      </w:r>
      <w:r w:rsidR="007C03DB">
        <w:rPr>
          <w:sz w:val="24"/>
          <w:szCs w:val="24"/>
        </w:rPr>
        <w:instrText>ADDIN CSL_CITATION {"citationItems":[{"id":"ITEM-1","itemData":{"DOI":"10.1007/s00345-015-1619-z","ISSN":"14338726","PMID":"26093647","abstract":"Purpose: To report our 11-year experience of Active Surveillance (AS) program focusing on modern transrectal ultrasound (TRUS)-based monitoring of targeted biopsy-proven cancer lesion. Methods: Consecutive patients on AS, who had targeted biopsy-proven lesion followed by at least a repeat surveillance biopsy and three times TRUS monitoring of the identical visible lesion, were included. Doppler grade of blood flow signal within the lesion was classified from grade 0 to 3. Biopsy-proven progression was defined as upgrade of Gleason score or 25 % or greater increase in cancer core involvement. Results: Fifty patients were included in this study. Clinical variables (median) included age (61 years), clinical stage (T1c, 42;T2, 8), PSA (4.6 ng/ml), and Gleason score (3 + 3, n = 41;3 + 4, n = 9). Of the 50 patients, 34 demonstrated pathological progression at a median follow-up of 4.4 years. In comparing between without (n = 16) and with (n = 34) pathological progression, there were significant differences in cancer core involvement at entry (p = 0.003), the major axis diameter (p = 0.001) and minor axis diameter (p = 0.001) of the visible lesion at entry, increase in the major axis diameter (p = 0.005) and minor axis diameter (p = 0.013), and upgrade of Doppler grade (p &lt; 0.0001). In multivariate analysis for predicting pathological progression, the increase (≥25 %) in diameter of biopsy-proven lesion (hazard ratio, 15.314; p = 0.023) and upgrade of Doppler grade (hazard ratio, 37.409; p = 0.019) were significant risk factors. Conclusions: Longitudinal monitoring of the TRUS-visible biopsy-proven cancer provides a new opportunity to perform per-lesion-based AS. The increase in diameter and upgrade of Doppler grade of the lesion were significant risk factors for biopsy-proven progression on AS.","author":[{"dropping-particle":"","family":"Shoji","given":"Sunao","non-dropping-particle":"","parse-names":false,"suffix":""},{"dropping-particle":"","family":"Ukimura","given":"Osamu","non-dropping-particle":"","parse-names":false,"suffix":""},{"dropping-particle":"","family":"Castro Abreu","given":"Andre Luis","non-dropping-particle":"de","parse-names":false,"suffix":""},{"dropping-particle":"","family":"Marien","given":"Arnaud","non-dropping-particle":"","parse-names":false,"suffix":""},{"dropping-particle":"","family":"Matsugasumi","given":"Toru","non-dropping-particle":"","parse-names":false,"suffix":""},{"dropping-particle":"","family":"Bahn","given":"Duke","non-dropping-particle":"","parse-names":false,"suffix":""},{"dropping-particle":"","family":"Gill","given":"Inderbir S.","non-dropping-particle":"","parse-names":false,"suffix":""}],"container-title":"World Journal of Urology","id":"ITEM-1","issue":"2","issued":{"date-parts":[["2016","2","1"]]},"page":"221-227","publisher":"Springer Verlag","title":"Image-based monitoring of targeted biopsy-proven prostate cancer on active surveillance: 11-year experience","type":"article-journal","volume":"34"},"uris":["http://www.mendeley.com/documents/?uuid=56bc32de-c8b8-3312-83ac-0573be129b8a"]}],"mendeley":{"formattedCitation":"[30]","plainTextFormattedCitation":"[30]","previouslyFormattedCitation":"[30]"},"properties":{"noteIndex":0},"schema":"https://github.com/citation-style-language/schema/raw/master/csl-citation.json"}</w:instrText>
      </w:r>
      <w:r w:rsidR="003E53F6">
        <w:rPr>
          <w:sz w:val="24"/>
          <w:szCs w:val="24"/>
        </w:rPr>
        <w:fldChar w:fldCharType="separate"/>
      </w:r>
      <w:r w:rsidR="00FB2D16" w:rsidRPr="00FB2D16">
        <w:rPr>
          <w:noProof/>
          <w:sz w:val="24"/>
          <w:szCs w:val="24"/>
        </w:rPr>
        <w:t>[30]</w:t>
      </w:r>
      <w:r w:rsidR="003E53F6">
        <w:rPr>
          <w:sz w:val="24"/>
          <w:szCs w:val="24"/>
        </w:rPr>
        <w:fldChar w:fldCharType="end"/>
      </w:r>
      <w:r w:rsidR="000B6D7D">
        <w:rPr>
          <w:sz w:val="24"/>
          <w:szCs w:val="24"/>
        </w:rPr>
        <w:t xml:space="preserve"> showed</w:t>
      </w:r>
      <w:r w:rsidR="0085648C">
        <w:rPr>
          <w:sz w:val="24"/>
          <w:szCs w:val="24"/>
        </w:rPr>
        <w:t xml:space="preserve"> </w:t>
      </w:r>
      <w:r w:rsidR="00D12381">
        <w:rPr>
          <w:sz w:val="24"/>
          <w:szCs w:val="24"/>
        </w:rPr>
        <w:t xml:space="preserve">that </w:t>
      </w:r>
      <w:r w:rsidR="0085648C">
        <w:rPr>
          <w:sz w:val="24"/>
          <w:szCs w:val="24"/>
        </w:rPr>
        <w:t>a 25% increase in TRUS-based maximum tumour diameter significantly increase</w:t>
      </w:r>
      <w:r w:rsidR="00D12381">
        <w:rPr>
          <w:sz w:val="24"/>
          <w:szCs w:val="24"/>
        </w:rPr>
        <w:t>s</w:t>
      </w:r>
      <w:r w:rsidR="0085648C">
        <w:rPr>
          <w:sz w:val="24"/>
          <w:szCs w:val="24"/>
        </w:rPr>
        <w:t xml:space="preserve"> the risk of PCa histopathological progression on AS</w:t>
      </w:r>
      <w:r w:rsidR="0085648C">
        <w:rPr>
          <w:i/>
          <w:iCs/>
          <w:sz w:val="24"/>
          <w:szCs w:val="24"/>
        </w:rPr>
        <w:t>.</w:t>
      </w:r>
      <w:r w:rsidR="003E53F6">
        <w:rPr>
          <w:sz w:val="24"/>
          <w:szCs w:val="24"/>
        </w:rPr>
        <w:t xml:space="preserve"> </w:t>
      </w:r>
      <w:r w:rsidR="0085648C">
        <w:rPr>
          <w:sz w:val="24"/>
          <w:szCs w:val="24"/>
        </w:rPr>
        <w:t xml:space="preserve">In addition, maximum tumour diameter has been proposed as a risk-stratification tool for patients eligible for AS </w:t>
      </w:r>
      <w:r w:rsidR="0085648C">
        <w:rPr>
          <w:sz w:val="24"/>
          <w:szCs w:val="24"/>
        </w:rPr>
        <w:fldChar w:fldCharType="begin" w:fldLock="1"/>
      </w:r>
      <w:r w:rsidR="007C03DB">
        <w:rPr>
          <w:sz w:val="24"/>
          <w:szCs w:val="24"/>
        </w:rPr>
        <w:instrText>ADDIN CSL_CITATION {"citationItems":[{"id":"ITEM-1","itemData":{"DOI":"10.1016/j.juro.2013.03.127","ISSN":"00225347","PMID":"23727188","abstract":"Purpose We analyzed the pathological outcomes of candidates for active surveillance according to tumor lesion diameter on diffusion weighted magnetic resonance imaging. Materials and Methods We retrospectively analyzed 188 candidates for active surveillance who had undergone diffusion weighted magnetic resonance imaging before radical prostatectomy between 2006 and 2012. We measured the diameter of the suspicious tumor lesion on diffusion weighted magnetic resonance imaging and stratified the cohort into 2 groups. Group 1 included patients with normal magnetic resonance imaging or a suspicious tumor lesion smaller than 1 cm and group 2 included patients with a suspicious tumor lesion larger than 1 cm. We compared pathological outcomes including insignificant prostate cancer in each group and analyzed whether different tumor diameters resulted in a change in insignificant prostate cancer rates. Results Group 1 consisted of 115 (61.2%) patients and group 2 included 73 (38.8%) patients. In group 1 magnetic resonance imaging was normal in 72 patients. Mean ± SD diameter of suspicious tumor lesions was 12.0 ± 5.58 mm. Tumor volume was significantly different between the groups (0.73 ± 0.86 vs 1.09 ± 1.07 cm3, p = 0.018), as was the rate of insignificant prostate cancer (48.7% vs 24.7%, p = 0.001). The rate of insignificant prostate cancer decreased as tumor diameter increased over 1 cm. On multivariate logistic regression analysis the diameter of suspicious tumor lesions was an important predictor of insignificant prostate cancer (OR 0.319, p = 0.014). Conclusions Our analysis demonstrates that the simple measurement of the diameter of suspicious tumor lesions on diffusion weighted magnetic resonance imaging could improve the prediction of insignificant prostate cancer in candidates for active surveillance. © 2013 by American Urological Association Education and Research, Inc.","author":[{"dropping-particle":"","family":"Lee","given":"Dong Hoon","non-dropping-particle":"","parse-names":false,"suffix":""},{"dropping-particle":"","family":"Koo","given":"Kyo Chul","non-dropping-particle":"","parse-names":false,"suffix":""},{"dropping-particle":"","family":"Lee","given":"Seung Hwan","non-dropping-particle":"","parse-names":false,"suffix":""},{"dropping-particle":"","family":"Rha","given":"Koon Ho","non-dropping-particle":"","parse-names":false,"suffix":""},{"dropping-particle":"","family":"Choi","given":"Young Deuk","non-dropping-particle":"","parse-names":false,"suffix":""},{"dropping-particle":"","family":"Hong","given":"Sung Joon","non-dropping-particle":"","parse-names":false,"suffix":""},{"dropping-particle":"","family":"Chung","given":"Byung Ha","non-dropping-particle":"","parse-names":false,"suffix":""}],"container-title":"Journal of Urology","id":"ITEM-1","issue":"4","issued":{"date-parts":[["2013","10"]]},"page":"1213-1217","title":"Tumor lesion diameter on diffusion weighted magnetic resonance imaging could help predict insignificant prostate cancer in patients eligible for active surveillance: Preliminary analysis","type":"article-journal","volume":"190"},"uris":["http://www.mendeley.com/documents/?uuid=ab4b820b-e71f-355a-bb02-c353284307f0"]}],"mendeley":{"formattedCitation":"[31]","plainTextFormattedCitation":"[31]","previouslyFormattedCitation":"[31]"},"properties":{"noteIndex":0},"schema":"https://github.com/citation-style-language/schema/raw/master/csl-citation.json"}</w:instrText>
      </w:r>
      <w:r w:rsidR="0085648C">
        <w:rPr>
          <w:sz w:val="24"/>
          <w:szCs w:val="24"/>
        </w:rPr>
        <w:fldChar w:fldCharType="separate"/>
      </w:r>
      <w:r w:rsidR="00FB2D16" w:rsidRPr="00FB2D16">
        <w:rPr>
          <w:noProof/>
          <w:sz w:val="24"/>
          <w:szCs w:val="24"/>
        </w:rPr>
        <w:t>[31]</w:t>
      </w:r>
      <w:r w:rsidR="0085648C">
        <w:rPr>
          <w:sz w:val="24"/>
          <w:szCs w:val="24"/>
        </w:rPr>
        <w:fldChar w:fldCharType="end"/>
      </w:r>
      <w:r w:rsidR="0085648C">
        <w:rPr>
          <w:sz w:val="24"/>
          <w:szCs w:val="24"/>
        </w:rPr>
        <w:t>, which supports the prospective use of this metric in the AS setting and lays the foundation for further multicentre investigations.</w:t>
      </w:r>
    </w:p>
    <w:p w14:paraId="35DEBD0D" w14:textId="46ED07F0" w:rsidR="0085648C" w:rsidRDefault="0085648C" w:rsidP="0085648C">
      <w:pPr>
        <w:rPr>
          <w:sz w:val="24"/>
          <w:szCs w:val="24"/>
        </w:rPr>
      </w:pPr>
      <w:r>
        <w:rPr>
          <w:sz w:val="24"/>
          <w:szCs w:val="24"/>
        </w:rPr>
        <w:lastRenderedPageBreak/>
        <w:t xml:space="preserve">ADC values derived using three different approaches showed poorer diagnostic performance compared to T2WI-derived tumour measurements. This may reflect the known </w:t>
      </w:r>
      <w:r w:rsidR="000B6D7D">
        <w:rPr>
          <w:sz w:val="24"/>
          <w:szCs w:val="24"/>
        </w:rPr>
        <w:t xml:space="preserve">issues with </w:t>
      </w:r>
      <w:r>
        <w:rPr>
          <w:sz w:val="24"/>
          <w:szCs w:val="24"/>
        </w:rPr>
        <w:t xml:space="preserve">repeatability and reproducibility of ADC in the prostate </w:t>
      </w:r>
      <w:r>
        <w:rPr>
          <w:sz w:val="24"/>
          <w:szCs w:val="24"/>
        </w:rPr>
        <w:fldChar w:fldCharType="begin" w:fldLock="1"/>
      </w:r>
      <w:r w:rsidR="007C03DB">
        <w:rPr>
          <w:sz w:val="24"/>
          <w:szCs w:val="24"/>
        </w:rPr>
        <w:instrText>ADDIN CSL_CITATION {"citationItems":[{"id":"ITEM-1","itemData":{"DOI":"10.1016/j.ejrad.2018.11.014","ISSN":"18727727","abstract":"Purpose: To investigate the repeatability of diffusion-weighted imaging parameter including ADC-derived histogram values in prostate cancer. Methods: 10 patients with prostate cancer were prospectively recruited to a retest cohort. 3 T diffusion-weighted MRI of the prostate was acquired consecutively with patient getting off the scanner between studies. Prostatectomy-histopathology defined tumour regions-of-interest were outlined on ADC maps and diffusion-weighted metrics including histograms were calculated. The coefficient of reproducibility (CoR) and Bland-Altman plots were used to assess repeatability. Results: 10th centile, 90th centile, and median ADC showed good repeatability with mean difference ranging from -0.005 to -0.025 × 103 mm2s-1, and CoR ranging from 0.271–0.294 × 103 mm2s-1 of scan 1 mean). Two measures of heterogeneity and simplified texture, IQR and mean local range, had only moderate repeatability. IQR had a mean difference of -0.032 × 103 mm2s-1 between scans with CoR 0.181 × 103 mm2s-1 (56% of scan 1 mean). Mean local range had a mean difference -0.008 × 103 mm2s-1 between scans (37% of scan 1 mean). Bland–Altman plots showed good repeatability for test and re-test analysis for median, percentile and mean range values. All ADC values had good reliability regardless of whether the tumour border was included in quantitative analysis. ADC histogram skew had poor repeatability, CoR 0.78 × 103 mm2s-1 (373% of scan 1 mean). Conclusion: 10th and 90th centile ADC demonstrated sufficient repeatability for clinical use. However, more advanced measures of heterogeneity such as histogram skew, IQR, or mean local range may be limited by their repeatability.","author":[{"dropping-particle":"","family":"Barrett","given":"Tristan","non-dropping-particle":"","parse-names":false,"suffix":""},{"dropping-particle":"","family":"Lawrence","given":"Edward M.","non-dropping-particle":"","parse-names":false,"suffix":""},{"dropping-particle":"","family":"Priest","given":"Andrew N.","non-dropping-particle":"","parse-names":false,"suffix":""},{"dropping-particle":"","family":"Warren","given":"Anne Y.","non-dropping-particle":"","parse-names":false,"suffix":""},{"dropping-particle":"","family":"Gnanapragasam","given":"Vincent J.","non-dropping-particle":"","parse-names":false,"suffix":""},{"dropping-particle":"","family":"Gallagher","given":"Ferdia A.","non-dropping-particle":"","parse-names":false,"suffix":""},{"dropping-particle":"","family":"Sala","given":"Evis","non-dropping-particle":"","parse-names":false,"suffix":""}],"container-title":"European Journal of Radiology","id":"ITEM-1","issued":{"date-parts":[["2019","1","1"]]},"page":"22-29","publisher":"Elsevier Ireland Ltd","title":"Repeatability of diffusion-weighted MRI of the prostate using whole lesion ADC values, skew and histogram analysis","type":"article-journal","volume":"110"},"uris":["http://www.mendeley.com/documents/?uuid=c1440eeb-bf69-33cd-b8e7-29064885d264"]},{"id":"ITEM-2","itemData":{"DOI":"10.2214/AJR.17.18495","ISSN":"15463141","PMID":"29045185","abstract":"OBJECTIVE. The purpose of this study was to compare the reproducibility and diagnostic performance of 2D and 3D ROIs for prostate apparent diffusion coefficient (ADC) measurements. MATERIALS AND METHODS. The study included 56 patients with prostate cancer undergoing 3-T MRI including DWI (b = 50 and 1000 s/mm2) before radical prostatectomy. Histologic findings from prostatectomy specimens were reviewed to denote each patient's dominant tumor and a benign region with visually decreased ADC. Three readers independently measured the ADCs of both areas using an ROI placed on a single slice through the lesion (2D) and an ROI encompassing all slices through the lesion (3D). Readers repeated measurements after 3 weeks. Assessment included Bland-Altman analysis (coefficient of repeatability [CR] in which lower values indicated higher reliability) and ROC analysis. RESULTS. For intrareader variability, the CRs across readers for all ROIs were 9.9% for 2D and 9.3% for 3D. For tumor ROIs the CRs were 10.6% for 2D and 9.6% for 3D. For interreader variability, the CRs across readers for all ROIs were 17.1% for 2D and 20.5% for 3D and for tumor ROIs were 17.9% for 2D and 22.2% for 3D. For combined reader data, the AUCs for benign and malignant findings were 0.77 for 2D and 0.78 for 3D (p = 0.146). For differentiating Gleason score (GS) 3 + 3 from GS &gt; 3 + 3 tumors, the AUCs were 0.92 for 2D and 0.92 for 3D ROIs (p = 0.649). For differentiating GS = 3 + 4 from GS = 4 + 3 tumors, the AUCs were 0.70 for 2D and 0.67 for 3D ROIs (p = 0.004). CONCLUSION. Use of a 3D ROI did not improve intrareader or interreader reproducibility or diagnostic performance compared with use of a 2D ROI for prostate ADC measurements. Interreader reproducibility of 2D ROIs was suboptimal nonetheless.","author":[{"dropping-particle":"","family":"Tamada","given":"Tsutomu","non-dropping-particle":"","parse-names":false,"suffix":""},{"dropping-particle":"","family":"Huang","given":"Chenchan","non-dropping-particle":"","parse-names":false,"suffix":""},{"dropping-particle":"","family":"Ream","given":"Justin M.","non-dropping-particle":"","parse-names":false,"suffix":""},{"dropping-particle":"","family":"Taffel","given":"Myles","non-dropping-particle":"","parse-names":false,"suffix":""},{"dropping-particle":"","family":"Taneja","given":"Samir S.","non-dropping-particle":"","parse-names":false,"suffix":""},{"dropping-particle":"","family":"Rosenkrantz","given":"Andrew B.","non-dropping-particle":"","parse-names":false,"suffix":""}],"container-title":"American Journal of Roentgenology","id":"ITEM-2","issue":"1","issued":{"date-parts":[["2018","1","1"]]},"page":"113-117","publisher":"American Roentgen Ray Society","title":"Apparent diffusion coefficient values of prostate cancer: Comparison of 2D and 3D ROIs","type":"article-journal","volume":"210"},"uris":["http://www.mendeley.com/documents/?uuid=2e412e79-9f55-3050-b61b-4c4527b245b7"]},{"id":"ITEM-3","itemData":{"DOI":"10.1097/RLI.0000000000000382","ISSN":"15360210","PMID":"28463931","abstract":"Objectives The aim of this study was to evaluate the repeatability of a region of interest (ROI) volume and mean apparent diffusion coefficient (ADC) in standard-of-care 3 T multiparametric magnetic resonance imaging (mpMRI) of the prostate obtained with the use of endorectal coil. Materials and Methods This prospective study was Health Insurance Portability and Accountability Act compliant, with institutional review board approval and written informed consent. Men with confirmed or suspected treatment-naive prostate cancer scheduled for mpMRI were offered a repeat mpMRI within 2 weeks. Regions of interest corresponding to the whole prostate gland, the entire peripheral zone (PZ), normal PZ, and suspected tumor ROI (tROI) on axial T2-weighted, dynamic contrast-enhanced inftract, and ADC images were annotated and assessed using Prostate Imaging Reporting and Data System (PI-RADS) v2. Repeatability of the ROI volume for each of the analyzed image types and mean ROI ADC was summarized with repeatability coefficient (RC) and RC%. Results A total of 189 infjects were approached to participate in the study. Of 40 patients that gave initial agreement, 15 men underwent 2 mpMRI examinations and completed the study. Peripheral zone tROIs were identified in 11 infjects. Tumor ROI volume was less than 0.5 mL in 8 of 11 infjects. PI-RADS categories were identical between baseline-repeat studies in 11/15 infjects and differed by 1 point in 4/15. Peripheral zone tROI volume RC (RC%) was 233 mm3 (71%) on axial T2-weighted, 422 mm3 (112%) on ADC, and 488 mm3 (119%) on dynamic contrast-enhanced inftract. Apparent diffusion coefficient ROI mean RC (RC%) were 447 × 10-6 mm-2/s (42%) in PZ tROI and 471 × 10-6 mm-2/s (30%) in normal PZ. Significant difference in repeatability of the tROI volume across series was observed (P &lt; 0.005). The mean ADC RC% was lower than volume RC% for tROI ADC (P &lt; 0.05). Conclusions PI-RADS v2 overall assessment was highly repeatable. Multiparametric magnetic resonance imaging sequences differ in volume measurement repeatability. The mean tROI ADC is more repeatable compared with tROI volume in ADC. Repeatability of prostate ADC is comparable with that in other abdominal organs.","author":[{"dropping-particle":"","family":"Fedorov","given":"Andriy","non-dropping-particle":"","parse-names":false,"suffix":""},{"dropping-particle":"","family":"Vangel","given":"Mark G.","non-dropping-particle":"","parse-names":false,"suffix":""},{"dropping-particle":"","family":"Tempany","given":"Clare M.","non-dropping-particle":"","parse-names":false,"suffix":""},{"dropping-particle":"","family":"Fennessy","given":"Fiona M.","non-dropping-particle":"","parse-names":false,"suffix":""}],"container-title":"Investigative Radiology","id":"ITEM-3","issue":"9","issued":{"date-parts":[["2017","9","1"]]},"page":"538-546","publisher":"Lippincott Williams and Wilkins","title":"Multiparametric Magnetic Resonance Imaging of the Prostate: Repeatability of Volume and Apparent Diffusion Coefficient Quantification","type":"article-journal","volume":"52"},"uris":["http://www.mendeley.com/documents/?uuid=76aa72a6-b74a-3635-b432-e00285730bad"]}],"mendeley":{"formattedCitation":"[32–34]","plainTextFormattedCitation":"[32–34]","previouslyFormattedCitation":"[32–34]"},"properties":{"noteIndex":0},"schema":"https://github.com/citation-style-language/schema/raw/master/csl-citation.json"}</w:instrText>
      </w:r>
      <w:r>
        <w:rPr>
          <w:sz w:val="24"/>
          <w:szCs w:val="24"/>
        </w:rPr>
        <w:fldChar w:fldCharType="separate"/>
      </w:r>
      <w:r w:rsidR="00FB2D16" w:rsidRPr="00FB2D16">
        <w:rPr>
          <w:noProof/>
          <w:sz w:val="24"/>
          <w:szCs w:val="24"/>
        </w:rPr>
        <w:t>[32–34]</w:t>
      </w:r>
      <w:r>
        <w:rPr>
          <w:sz w:val="24"/>
          <w:szCs w:val="24"/>
        </w:rPr>
        <w:fldChar w:fldCharType="end"/>
      </w:r>
      <w:r>
        <w:rPr>
          <w:sz w:val="24"/>
          <w:szCs w:val="24"/>
        </w:rPr>
        <w:t xml:space="preserve">. In our study, all MRI </w:t>
      </w:r>
      <w:r w:rsidR="002E239D">
        <w:rPr>
          <w:sz w:val="24"/>
          <w:szCs w:val="24"/>
        </w:rPr>
        <w:t xml:space="preserve">examinations </w:t>
      </w:r>
      <w:r>
        <w:rPr>
          <w:sz w:val="24"/>
          <w:szCs w:val="24"/>
        </w:rPr>
        <w:t>were performed on the same magnet with identical DWI acquisition parameters</w:t>
      </w:r>
      <w:r w:rsidR="00386A27">
        <w:rPr>
          <w:sz w:val="24"/>
          <w:szCs w:val="24"/>
        </w:rPr>
        <w:t xml:space="preserve"> and selection of b-values for ADC map calculation</w:t>
      </w:r>
      <w:r>
        <w:rPr>
          <w:sz w:val="24"/>
          <w:szCs w:val="24"/>
        </w:rPr>
        <w:t xml:space="preserve"> in order to minimise variability, and performance of ADC is likely to reduce further if data from multiple MR systems with varying protocols are used. The observed decrease in tumour ADC values in progressors is in line with a previous report </w:t>
      </w:r>
      <w:r>
        <w:rPr>
          <w:sz w:val="24"/>
          <w:szCs w:val="24"/>
        </w:rPr>
        <w:fldChar w:fldCharType="begin" w:fldLock="1"/>
      </w:r>
      <w:r w:rsidR="00DD4E3A">
        <w:rPr>
          <w:sz w:val="24"/>
          <w:szCs w:val="24"/>
        </w:rPr>
        <w:instrText>ADDIN CSL_CITATION {"citationItems":[{"id":"ITEM-1","itemData":{"DOI":"10.1016/j.mri.2019.12.007","ISSN":"18735894","PMID":"31899283","abstract":"Purpose: The PRECISE score estimates the likelihood of radiological progression in patients on active surveillance (AS) for prostate cancer (PCa) with serial multiparametric magnetic resonance imaging (mpMRI). A PRECISE score of 1 or 2 denotes radiological regression, PRECISE 3 indicates stability and PRECISE 4 or 5 implies progression. We evaluated the inter-reader reproducibility of different apparent diffusion coefficient (ADC) calculations and their relationship to the PRECISE score. Material and methods: Baseline and follow-up scans (on the same MR systems) of 30 patients with visible lesions from two different institutions (University College London and Sapienza University of Rome) were analysed by two radiologists (one from each site). The PRECISE score was initially assessed in consensus. At least six weeks later, to reduce the likelihood of being influenced by the consensus PRECISE reading, each radiologist independently calculated ADC for the following: lesion, non-cancerous tissue and urine in the bladder. Normalised ADC ratios were calculated with respect to normal prostatic tissue (npADC) and urine. Spearman's correlation (ρ), intraclass correlation coefficients (ICC), differences in ADC and ROC curves were computed. Results: Interobserver reproducibility was very good (ρ &gt; 0.8; ICC &gt; 0.90). Lesion ADC (0.91 vs 0.73 × 10−3 mm2/s; p=0.025) and npADC ratio (0.68 vs 0.53; p=0.012) at follow-up mpMRI were different between patients with radiological regression or stability vs progression. Cut-offs of 0.77 × 10−3 mm2/s (lesion ADC) and 0.59 (npADC ratio) could differentiate the two groups (area under the curve: 0.74 and 0.77, respectively). Conclusion: The ADC, npADC ratio and the PRECISE score should be recorded for MRI-based AS.","author":[{"dropping-particle":"","family":"Giganti","given":"Francesco","non-dropping-particle":"","parse-names":false,"suffix":""},{"dropping-particle":"","family":"Pecoraro","given":"Martina","non-dropping-particle":"","parse-names":false,"suffix":""},{"dropping-particle":"","family":"Fierro","given":"Davide","non-dropping-particle":"","parse-names":false,"suffix":""},{"dropping-particle":"","family":"Campa","given":"Riccardo","non-dropping-particle":"","parse-names":false,"suffix":""},{"dropping-particle":"","family":"Giudice","given":"Francesco","non-dropping-particle":"Del","parse-names":false,"suffix":""},{"dropping-particle":"","family":"Punwani","given":"Shonit","non-dropping-particle":"","parse-names":false,"suffix":""},{"dropping-particle":"","family":"Kirkham","given":"Alex","non-dropping-particle":"","parse-names":false,"suffix":""},{"dropping-particle":"","family":"Allen","given":"Clare","non-dropping-particle":"","parse-names":false,"suffix":""},{"dropping-particle":"","family":"Emberton","given":"Mark","non-dropping-particle":"","parse-names":false,"suffix":""},{"dropping-particle":"","family":"Catalano","given":"Carlo","non-dropping-particle":"","parse-names":false,"suffix":""},{"dropping-particle":"","family":"Moore","given":"Caroline M.","non-dropping-particle":"","parse-names":false,"suffix":""},{"dropping-particle":"","family":"Panebianco","given":"Valeria","non-dropping-particle":"","parse-names":false,"suffix":""}],"container-title":"Magnetic Resonance Imaging","id":"ITEM-1","issued":{"date-parts":[["2020","4","1"]]},"page":"50-58","publisher":"Elsevier Inc.","title":"DWI and PRECISE criteria in men on active surveillance for prostate cancer: A multicentre preliminary experience of different ADC calculations","type":"article-journal","volume":"67"},"uris":["http://www.mendeley.com/documents/?uuid=bfe9d994-528d-3245-b1f7-71b8591be8b8"]}],"mendeley":{"formattedCitation":"[19]","plainTextFormattedCitation":"[19]","previouslyFormattedCitation":"[19]"},"properties":{"noteIndex":0},"schema":"https://github.com/citation-style-language/schema/raw/master/csl-citation.json"}</w:instrText>
      </w:r>
      <w:r>
        <w:rPr>
          <w:sz w:val="24"/>
          <w:szCs w:val="24"/>
        </w:rPr>
        <w:fldChar w:fldCharType="separate"/>
      </w:r>
      <w:r w:rsidR="00DD4E3A" w:rsidRPr="00DD4E3A">
        <w:rPr>
          <w:noProof/>
          <w:sz w:val="24"/>
          <w:szCs w:val="24"/>
        </w:rPr>
        <w:t>[19]</w:t>
      </w:r>
      <w:r>
        <w:rPr>
          <w:sz w:val="24"/>
          <w:szCs w:val="24"/>
        </w:rPr>
        <w:fldChar w:fldCharType="end"/>
      </w:r>
      <w:r>
        <w:rPr>
          <w:sz w:val="24"/>
          <w:szCs w:val="24"/>
        </w:rPr>
        <w:t xml:space="preserve"> where radiological progression was the primary clinical outcome</w:t>
      </w:r>
      <w:r w:rsidR="00F67C1B">
        <w:rPr>
          <w:sz w:val="24"/>
          <w:szCs w:val="24"/>
        </w:rPr>
        <w:t>.</w:t>
      </w:r>
      <w:r>
        <w:rPr>
          <w:sz w:val="24"/>
          <w:szCs w:val="24"/>
        </w:rPr>
        <w:t xml:space="preserve"> </w:t>
      </w:r>
      <w:r w:rsidR="00F67C1B">
        <w:rPr>
          <w:sz w:val="24"/>
          <w:szCs w:val="24"/>
        </w:rPr>
        <w:t>H</w:t>
      </w:r>
      <w:r>
        <w:rPr>
          <w:sz w:val="24"/>
          <w:szCs w:val="24"/>
        </w:rPr>
        <w:t xml:space="preserve">owever, it </w:t>
      </w:r>
      <w:r w:rsidR="00F67C1B">
        <w:rPr>
          <w:sz w:val="24"/>
          <w:szCs w:val="24"/>
        </w:rPr>
        <w:t xml:space="preserve">should be noted </w:t>
      </w:r>
      <w:r>
        <w:rPr>
          <w:sz w:val="24"/>
          <w:szCs w:val="24"/>
        </w:rPr>
        <w:t xml:space="preserve">that non-progressors also demonstrated an overall reduction in </w:t>
      </w:r>
      <w:r w:rsidR="00F67C1B">
        <w:rPr>
          <w:sz w:val="24"/>
          <w:szCs w:val="24"/>
        </w:rPr>
        <w:t>tumour-derived</w:t>
      </w:r>
      <w:r>
        <w:rPr>
          <w:sz w:val="24"/>
          <w:szCs w:val="24"/>
        </w:rPr>
        <w:t xml:space="preserve"> ADC values, similar to the whole</w:t>
      </w:r>
      <w:r w:rsidR="00A545CC">
        <w:rPr>
          <w:sz w:val="24"/>
          <w:szCs w:val="24"/>
        </w:rPr>
        <w:t>-</w:t>
      </w:r>
      <w:r>
        <w:rPr>
          <w:sz w:val="24"/>
          <w:szCs w:val="24"/>
        </w:rPr>
        <w:t xml:space="preserve">gland </w:t>
      </w:r>
      <w:r w:rsidR="00F67C1B">
        <w:rPr>
          <w:sz w:val="24"/>
          <w:szCs w:val="24"/>
        </w:rPr>
        <w:t>ADC measurements reported previously</w:t>
      </w:r>
      <w:r>
        <w:rPr>
          <w:sz w:val="24"/>
          <w:szCs w:val="24"/>
        </w:rPr>
        <w:t xml:space="preserve"> </w:t>
      </w:r>
      <w:r w:rsidR="00F67C1B">
        <w:rPr>
          <w:sz w:val="24"/>
          <w:szCs w:val="24"/>
        </w:rPr>
        <w:t>by</w:t>
      </w:r>
      <w:r>
        <w:rPr>
          <w:sz w:val="24"/>
          <w:szCs w:val="24"/>
        </w:rPr>
        <w:t xml:space="preserve"> Morgan </w:t>
      </w:r>
      <w:r w:rsidRPr="0003760F">
        <w:rPr>
          <w:i/>
          <w:iCs/>
          <w:sz w:val="24"/>
          <w:szCs w:val="24"/>
        </w:rPr>
        <w:t>et al</w:t>
      </w:r>
      <w:r w:rsidR="0003760F">
        <w:rPr>
          <w:i/>
          <w:iCs/>
          <w:sz w:val="24"/>
          <w:szCs w:val="24"/>
        </w:rPr>
        <w:t>.</w:t>
      </w:r>
      <w:r>
        <w:rPr>
          <w:sz w:val="24"/>
          <w:szCs w:val="24"/>
        </w:rPr>
        <w:t xml:space="preserve"> </w:t>
      </w:r>
      <w:r w:rsidR="0003760F">
        <w:rPr>
          <w:sz w:val="24"/>
          <w:szCs w:val="24"/>
        </w:rPr>
        <w:fldChar w:fldCharType="begin" w:fldLock="1"/>
      </w:r>
      <w:r w:rsidR="0003760F">
        <w:rPr>
          <w:sz w:val="24"/>
          <w:szCs w:val="24"/>
        </w:rPr>
        <w:instrText>ADDIN CSL_CITATION {"citationItems":[{"id":"ITEM-1","itemData":{"DOI":"10.1259/bjr/14556365","ISSN":"00071285","PMID":"21172965","abstract":"We studied patients managed by active surveillance to determine whether there was a difference over time in apparent diffusion coefficients (ADCs) derived from diffusion-weighted MRI in those who progressed to radical treatment (progressors, n517) compared with those who did not (non-progressors, n533). Methods: 50 consecutive patients (Stage T1/2a, Gleason grade # 3+4, prostate-specific antigen (PSA) ,15 ng ml-1, ,50% cores positive) were imaged endorectally (baseline and 1-3 years follow-up) with T2 weighted (T2W) and echo-planar diffusion-weighted MRI sequences. Regions of interest drawn on ADC maps with reference to the T2W images yielded ADCall (b50-800), ADCfast (b50-300) and ADCslow (b5300-800) for whole prostate (minus tumour) and tumour (low signal-intensity peripheral zone lesion in biopsy-positive octant). Results: Tumour and whole prostate ADCall and ADCfast were significantly reduced over time in progressors (p50.03 and 0.03 for tumours, respectively; p50.02 and 0.007 for the whole prostate, respectively). There were no significant changes in ADC over time in non-progressors. A 10% reduction in tumour ADCall indicated progression with a 93% sensitivity and 40% specificity (Az of receiver operating characteristic (ROC) curve 5 0.68). Percentage reductions in whole prostate ADCall, ADCfast and ADCslow were also significantly greater in progressors than in non-progressors (p50.01, 0.03 and 0.008, respectively). Conclusion: This pilot study shows that DW-MRI has potential for monitoring patients with early prostate cancer who opt for active surveillance. Copyright © 2011 2011 The British Institute of Radiology.","author":[{"dropping-particle":"","family":"Morgan","given":"V. A.","non-dropping-particle":"","parse-names":false,"suffix":""},{"dropping-particle":"","family":"Riches","given":"S. F.","non-dropping-particle":"","parse-names":false,"suffix":""},{"dropping-particle":"","family":"Thomas","given":"K.","non-dropping-particle":"","parse-names":false,"suffix":""},{"dropping-particle":"","family":"Vanas","given":"N.","non-dropping-particle":"","parse-names":false,"suffix":""},{"dropping-particle":"","family":"Parker","given":"C.","non-dropping-particle":"","parse-names":false,"suffix":""},{"dropping-particle":"","family":"Giles","given":"S.","non-dropping-particle":"","parse-names":false,"suffix":""},{"dropping-particle":"","family":"Desouza","given":"N. M.","non-dropping-particle":"","parse-names":false,"suffix":""}],"container-title":"British Journal of Radiology","id":"ITEM-1","issue":"997","issued":{"date-parts":[["2011","1","13"]]},"page":"31-37","publisher":" The British Institute of Radiology. 36 Portland Place, London, W1B 1AT","title":"Diffusion-weighted magnetic resonance imaging for monitoring prostate cancer progression in patients managed by active surveillance","type":"article-journal","volume":"84"},"uris":["http://www.mendeley.com/documents/?uuid=d5190840-41fe-3b97-9db2-31df8431f08d"]}],"mendeley":{"formattedCitation":"[21]","plainTextFormattedCitation":"[21]","previouslyFormattedCitation":"[21]"},"properties":{"noteIndex":0},"schema":"https://github.com/citation-style-language/schema/raw/master/csl-citation.json"}</w:instrText>
      </w:r>
      <w:r w:rsidR="0003760F">
        <w:rPr>
          <w:sz w:val="24"/>
          <w:szCs w:val="24"/>
        </w:rPr>
        <w:fldChar w:fldCharType="separate"/>
      </w:r>
      <w:r w:rsidR="0003760F" w:rsidRPr="0003760F">
        <w:rPr>
          <w:noProof/>
          <w:sz w:val="24"/>
          <w:szCs w:val="24"/>
        </w:rPr>
        <w:t>[21]</w:t>
      </w:r>
      <w:r w:rsidR="0003760F">
        <w:rPr>
          <w:sz w:val="24"/>
          <w:szCs w:val="24"/>
        </w:rPr>
        <w:fldChar w:fldCharType="end"/>
      </w:r>
      <w:r>
        <w:rPr>
          <w:sz w:val="24"/>
          <w:szCs w:val="24"/>
        </w:rPr>
        <w:t xml:space="preserve">. The small-volume ROI technique used in this study is of relevance as this directly mirrors clinical practice, and has been used extensively in other studies measuring prostate tumour-derived ADC </w:t>
      </w:r>
      <w:r>
        <w:rPr>
          <w:sz w:val="24"/>
          <w:szCs w:val="24"/>
        </w:rPr>
        <w:fldChar w:fldCharType="begin" w:fldLock="1"/>
      </w:r>
      <w:r w:rsidR="007C03DB">
        <w:rPr>
          <w:sz w:val="24"/>
          <w:szCs w:val="24"/>
        </w:rPr>
        <w:instrText>ADDIN CSL_CITATION {"citationItems":[{"id":"ITEM-1","itemData":{"DOI":"10.2214/ajr.14.13146","author":[{"dropping-particle":"De","family":"Cobelli","given":"Francesco","non-dropping-particle":"","parse-names":false,"suffix":""},{"dropping-particle":"","family":"Ravelli","given":"Silvia","non-dropping-particle":"","parse-names":false,"suffix":""},{"dropping-particle":"","family":"Esposito","given":"Antonio","non-dropping-particle":"","parse-names":false,"suffix":""},{"dropping-particle":"","family":"Giganti","given":"Francesco","non-dropping-particle":"","parse-names":false,"suffix":""},{"dropping-particle":"","family":"Gallina","given":"Andrea","non-dropping-particle":"","parse-names":false,"suffix":""},{"dropping-particle":"","family":"Montorsi","given":"Francesco","non-dropping-particle":"","parse-names":false,"suffix":""},{"dropping-particle":"Del","family":"Maschio","given":"Alessandro","non-dropping-particle":"","parse-names":false,"suffix":""}],"container-title":"American Journal of Roentgenology","id":"ITEM-1","issue":"3","issued":{"date-parts":[["2015","3"]]},"page":"550-557","publisher":"American Roentgen Ray Society","title":"Apparent Diffusion Coefficient Value and Ratio as Noninvasive Potential Biomarkers to Predict Prostate Cancer Grading: Comparison With Prostate Biopsy and Radical Prostatectomy Specimen","type":"article-journal","volume":"204"},"uris":["http://www.mendeley.com/documents/?uuid=f212bd59-09e9-4586-8a05-f50a8c5f5a21"]},{"id":"ITEM-2","itemData":{"DOI":"10.1016/j.ejro.2018.03.002","ISSN":"23520477","abstract":"Introduction: The purpose was to investigate the usefulness of ADCratio on Diffusion MRI to discriminate between benign and malignant lesions of Prostate. Methods: Images of patients who underwent in-gantry MRI guided prostate lesion biopsy were retrospectively analyzed. Prostate Cancers with 20% or more Gleason score (GS) pattern 3 + 3 = 6 in each core or any volume of higher Gleason score pattern were included. ADCratio was calculated by two reviewers for each lesion. The ADCratio was calculated for each lesion by dividing the lowest ADC value in a lesion and highest ADC value in normal prostate in peripheral zone (PZ). ADCratio values were compared with the biopsy result. Data was analysed using independent samples T-test, Spearman correlation, intra-class correlation coefficient (ICC) and Receiver operating characteristic (ROC) curve. Results: 45 lesions in 33 patients were analyzed. 12 lesions were in transitional zone (TZ) and 33 in perpheral zone PZ. All lesions demonstrated an ADCratio of 0.45 or lower. GS demonstrated a negative correlation with both the ADC value and ADCratio. However, ADCratio (p &lt; 0.001) demonstrated a stronger correlation compared to ADC value alone (p = 0.014). There was no significant statistical difference between GS 3 + 4 and GS 4 + 3 mean ADCtumour value (p = 0.167). However when using ADCratio, there was a significant difference (p = 0.032). ROC curve analysis demonstrated an area under the curve of 0.83 using ADCratio and 0.76 when using ADCtumour value when discriminating Gleason 6 from Gleason ≥7 tumours. Inter-observer reliability in the calculation of ADC ratios was excellent, with ICC of 0.964. Conclusion: ADCratio is a reliable and reproducible tool in quantification of diffusion restriction for clinically significant prostate cancer foci.","author":[{"dropping-particle":"","family":"Jyoti","given":"Rajeev","non-dropping-particle":"","parse-names":false,"suffix":""},{"dropping-particle":"","family":"Jain","given":"Tarun Pankaj","non-dropping-particle":"","parse-names":false,"suffix":""},{"dropping-particle":"","family":"Haxhimolla","given":"Hodo","non-dropping-particle":"","parse-names":false,"suffix":""},{"dropping-particle":"","family":"Liddell","given":"Heath","non-dropping-particle":"","parse-names":false,"suffix":""},{"dropping-particle":"","family":"Barrett","given":"Sean Edward","non-dropping-particle":"","parse-names":false,"suffix":""}],"container-title":"European Journal of Radiology Open","id":"ITEM-2","issued":{"date-parts":[["2018","1","1"]]},"page":"58-63","publisher":"Elsevier Ltd","title":"Correlation of apparent diffusion coefficient ratio on 3.0 T MRI with prostate cancer Gleason score","type":"article-journal","volume":"5"},"uris":["http://www.mendeley.com/documents/?uuid=715a05bd-d4d0-39ca-a758-705a0c22bb4a"]},{"id":"ITEM-3","itemData":{"DOI":"10.1002/jmri.24801","ISSN":"15222586","PMID":"25408104","abstract":"Purpose To evaluate the correlation between apparent diffusion coefficient measurements (ADC&lt;inf&gt;tumor&lt;/inf&gt; and ADC&lt;inf&gt;ratio&lt;/inf&gt;) and the Gleason score from radical prostatectomy specimens. Materials and Methods Seventy-one patients with clinically localized prostate cancer scheduled for radical prostatectomy were prospectively enrolled. Multiparametric magnetic resonance imaging (MRI) was performed prior to prostatectomy and mean ADC values from both cancerous (ADC&lt;inf&gt;tumor&lt;/inf&gt;) and benign (ADC&lt;inf&gt;benign&lt;/inf&gt;) tissue were measured to calculate the ADC&lt;inf&gt;ratio&lt;/inf&gt; (ADC&lt;inf&gt;tumor&lt;/inf&gt; divided by ADC&lt;inf&gt;benign&lt;/inf&gt;). The ADC measurements were correlated with the Gleason score from the prostatectomy specimens. Results The association between ADC measurements and Gleason score showed a significant negative correlation (P-&lt;-0.001) with Spearman's rho for ADC&lt;inf&gt;tumor&lt;/inf&gt; (-0.421) and ADC&lt;inf&gt;ratio&lt;/inf&gt; (-0.649). There was a statistically significant difference between ADC measurements and the Gleason score for all tumors (P-=-0.001). Receiver operating characteristic curve analysis showed an overall area under the curve (AUC) of 0.73 (ADC&lt;inf&gt;tumor&lt;/inf&gt;) to 0.80 (ADC&lt;inf&gt;ratio&lt;/inf&gt;) in discriminating Gleason score 6 from Gleason score ≥7 tumors. The AUC changed to 0.72 (ADC&lt;inf&gt;tumor&lt;/inf&gt;) and 0.90 (ADC&lt;inf&gt;ratio&lt;/inf&gt;) when discriminating Gleason score ≤7(3+4) from Gleason score ≥7(4+3). Conclusion ADC measurements showed a significant correlation with tumor Gleason score at final pathology. The ADC&lt;inf&gt;ratio&lt;/inf&gt; demonstrated the best correlation compared to the ADC&lt;inf&gt;tumor&lt;/inf&gt; value and radically improved accuracy in discriminating Gleason score ≤7(3+4) from Gleason score ≥7(4+3) tumors.","author":[{"dropping-particle":"","family":"Boesen","given":"Lars","non-dropping-particle":"","parse-names":false,"suffix":""},{"dropping-particle":"","family":"Chabanova","given":"Elizaveta","non-dropping-particle":"","parse-names":false,"suffix":""},{"dropping-particle":"","family":"Løgager","given":"Vibeke","non-dropping-particle":"","parse-names":false,"suffix":""},{"dropping-particle":"","family":"Balslev","given":"Ingegerd","non-dropping-particle":"","parse-names":false,"suffix":""},{"dropping-particle":"","family":"Thomsen","given":"Henrik S.","non-dropping-particle":"","parse-names":false,"suffix":""}],"container-title":"Journal of Magnetic Resonance Imaging","id":"ITEM-3","issue":"2","issued":{"date-parts":[["2015","8","1"]]},"page":"446-453","publisher":"John Wiley and Sons Inc.","title":"Apparent diffusion coefficient ratio correlates significantly with prostate cancer gleason score at final pathology","type":"article-journal","volume":"42"},"uris":["http://www.mendeley.com/documents/?uuid=6c1e846f-4144-3523-b780-bd0bc4f192de"]}],"mendeley":{"formattedCitation":"[35–37]","plainTextFormattedCitation":"[35–37]","previouslyFormattedCitation":"[35–37]"},"properties":{"noteIndex":0},"schema":"https://github.com/citation-style-language/schema/raw/master/csl-citation.json"}</w:instrText>
      </w:r>
      <w:r>
        <w:rPr>
          <w:sz w:val="24"/>
          <w:szCs w:val="24"/>
        </w:rPr>
        <w:fldChar w:fldCharType="separate"/>
      </w:r>
      <w:r w:rsidR="00FB2D16" w:rsidRPr="00FB2D16">
        <w:rPr>
          <w:noProof/>
          <w:sz w:val="24"/>
          <w:szCs w:val="24"/>
        </w:rPr>
        <w:t>[35–37]</w:t>
      </w:r>
      <w:r>
        <w:rPr>
          <w:sz w:val="24"/>
          <w:szCs w:val="24"/>
        </w:rPr>
        <w:fldChar w:fldCharType="end"/>
      </w:r>
      <w:r>
        <w:rPr>
          <w:sz w:val="24"/>
          <w:szCs w:val="24"/>
        </w:rPr>
        <w:t>. The promise shown by ADC for differentiating indolent versus clinically significant PCa warrants further work addressing the intrinsic limitations of ADC to maximise its clinical reliability, possibly with the incorporation of ADC ratios</w:t>
      </w:r>
      <w:r w:rsidR="0003760F">
        <w:rPr>
          <w:sz w:val="24"/>
          <w:szCs w:val="24"/>
        </w:rPr>
        <w:t xml:space="preserve"> </w:t>
      </w:r>
      <w:r w:rsidR="0003760F">
        <w:rPr>
          <w:sz w:val="24"/>
          <w:szCs w:val="24"/>
        </w:rPr>
        <w:fldChar w:fldCharType="begin" w:fldLock="1"/>
      </w:r>
      <w:r w:rsidR="007C03DB">
        <w:rPr>
          <w:sz w:val="24"/>
          <w:szCs w:val="24"/>
        </w:rPr>
        <w:instrText>ADDIN CSL_CITATION {"citationItems":[{"id":"ITEM-1","itemData":{"DOI":"10.1259/bjr.20200819","ISSN":"1748880X","PMID":"32955923","abstract":"OBJECTIVE: The PRECISE criteria for reporting multiparametric MRI in patients on active surveillance (AS) for prostate cancer (PCa) score the likelihood of clinically significant change over time using a 1-5 scale, where 4 or 5 indicates radiological progression. According to the PRECISE recommendations, the index lesion size can be reported using different definitions of volume (planimetry or ellipsoid formula) or by measuring one or two diameters. We compared different measurements using planimetry as the reference standard and stratified changes according to the PRECISE scores. METHODS: We retrospectively analysed 196 patients on AS with PCa confirmed by targeted biopsy who had two MR scans (baseline and follow-up). Lesions were measured on T2 weighted imaging (T2WI) according to all definitions. A PRECISE score was assessed for each patient. RESULTS: The ellipsoid formula exhibited the highest correlation with planimetry at baseline (ρ = 0.97) and follow-up (ρ = 0.98) imaging, compared to the biaxial measurement and single maximum diameter. There was a significant difference (p &lt; 0.001) in the yearly percentage volume change between radiological regression/stability (PRECISE 2-3) and progression (PRECISE 4-5) for planimetry (39.64%) and for the ellipsoid formula (46.78%). CONCLUSION: The ellipsoid formula could be used to monitor tumour growth during AS. Evidence of a significant yearly percentage volume change between radiological regression/stability (PRECISE 2-3) and progression (PRECISE 4-5) has been also observed. ADVANCES IN KNOWLEDGE: The ellipsoid formula is a reasonable surrogate for planimetry in capturing tumour volume changes on T2WI in patients on imaging-led AS. This is also associated with radiological changes using the PRECISE recommendations.","author":[{"dropping-particle":"","family":"Giganti","given":"Francesco","non-dropping-particle":"","parse-names":false,"suffix":""},{"dropping-particle":"","family":"Stavrinides","given":"Vasilis","non-dropping-particle":"","parse-names":false,"suffix":""},{"dropping-particle":"","family":"Stabile","given":"Armando","non-dropping-particle":"","parse-names":false,"suffix":""},{"dropping-particle":"","family":"Osinibi","given":"Elizabeth","non-dropping-particle":"","parse-names":false,"suffix":""},{"dropping-particle":"","family":"Orczyk","given":"Clement","non-dropping-particle":"","parse-names":false,"suffix":""},{"dropping-particle":"","family":"Radtke","given":"Jan Philipp","non-dropping-particle":"","parse-names":false,"suffix":""},{"dropping-particle":"","family":"Freeman","given":"Alex","non-dropping-particle":"","parse-names":false,"suffix":""},{"dropping-particle":"","family":"Haider","given":"Aiman","non-dropping-particle":"","parse-names":false,"suffix":""},{"dropping-particle":"","family":"Punwani","given":"Shonit","non-dropping-particle":"","parse-names":false,"suffix":""},{"dropping-particle":"","family":"Allen","given":"Clare","non-dropping-particle":"","parse-names":false,"suffix":""},{"dropping-particle":"","family":"Emberton","given":"Mark","non-dropping-particle":"","parse-names":false,"suffix":""},{"dropping-particle":"","family":"Kirkham","given":"Alex","non-dropping-particle":"","parse-names":false,"suffix":""},{"dropping-particle":"","family":"Moore","given":"Caroline M.","non-dropping-particle":"","parse-names":false,"suffix":""}],"container-title":"The British journal of radiology","id":"ITEM-1","issue":"1116","issued":{"date-parts":[["2020","12","1"]]},"page":"20200819","publisher":"NLM (Medline)","title":"Prostate cancer measurements on serial MRI during active surveillance: it's time to be PRECISE","type":"article-journal","volume":"93"},"uris":["http://www.mendeley.com/documents/?uuid=e2d223c8-c176-381f-a3db-95941fc67ad2"]},{"id":"ITEM-2","itemData":{"DOI":"10.2214/AJR.15.14338","ISSN":"15463141","PMID":"26587948","abstract":"OBJECTIVE. The purpose of this study was to investigate the ability of the apparent diffusion coefficient (ADC) ratio of tumor to normal prostate tissue to overcome inherent variability based on choice of b values, with whole-mount histopathologic analysis as the reference standard for tumor identification. MATERIALS AND METHODS. Thirty-nine patients with prostate cancer underwent 3-T MRI, including DWI with b values of 0, 150, 750, and 1000 s/mm2. ADC maps were derived from four b value combinations. Histologically derived ROIs were defined for prostate tumor and benign prostate tissue to generate a ratio. The concordance correlation coefficient was used to evaluate agreement and reproducibility at different b values. Bland-Altman plots were used to evaluate the pattern of relative measurement difference between b value combinations. The relationship between ADC values and Gleason score was tested by Spearman rank correlation. RESULTS. ADC values varied depending on the b value combination selected. The concordance correlation coefficient was higher for ADC ratios (0.883; 95% CI, 0.816-0.927) compared with absolute ADC values for normal tissue (0.873; 95% CI, 0.799-0.921) and tumor (0.792; 95% CI, 0.688-0.864). The ADC ratio concordance correlation coefficient for transition zone tumors was considerably higher than that for the peripheral zone in all cases. Bland-Altman analysis showed higher variation for ADC maps incorporating a b value of zero for both ratio and absolute values. There was a stronger inverse relationship to Gleason score for ADC ratios (rho, ?0.354 to ?0.456) compared with absolute ADC values (rho, ?0.117 to ?0.379). CONCLUSION. The use of a simple ratio of prostate tumor ADC to normal tissue ADC improved the concordance between different b value combinations and could provide a more robust means of assessing restricted diffusion in the prostate.","author":[{"dropping-particle":"","family":"Barrett","given":"Tristan","non-dropping-particle":"","parse-names":false,"suffix":""},{"dropping-particle":"","family":"Priest","given":"Andrew N.","non-dropping-particle":"","parse-names":false,"suffix":""},{"dropping-particle":"","family":"Lawrence","given":"Edward M.","non-dropping-particle":"","parse-names":false,"suffix":""},{"dropping-particle":"","family":"Goldman","given":"Debra A.","non-dropping-particle":"","parse-names":false,"suffix":""},{"dropping-particle":"","family":"Warren","given":"Anne Y.","non-dropping-particle":"","parse-names":false,"suffix":""},{"dropping-particle":"","family":"Gnanapragasam","given":"Vincent J.","non-dropping-particle":"","parse-names":false,"suffix":""},{"dropping-particle":"","family":"Sala","given":"Evis","non-dropping-particle":"","parse-names":false,"suffix":""},{"dropping-particle":"","family":"Gallagher","given":"Ferdia A.","non-dropping-particle":"","parse-names":false,"suffix":""}],"container-title":"American Journal of Roentgenology","id":"ITEM-2","issue":"6","issued":{"date-parts":[["2015","12","1"]]},"page":"W585-W593","publisher":"American Roentgen Ray Society","title":"Ratio of tumor to normal prostate tissue apparent diffusion coefficient as a method for quantifying DWI of the prostate","type":"article-journal","volume":"205"},"uris":["http://www.mendeley.com/documents/?uuid=186be8a5-b4fb-34cb-a64d-9a354a9fa50a"]}],"mendeley":{"formattedCitation":"[20,38]","plainTextFormattedCitation":"[20,38]","previouslyFormattedCitation":"[20,38]"},"properties":{"noteIndex":0},"schema":"https://github.com/citation-style-language/schema/raw/master/csl-citation.json"}</w:instrText>
      </w:r>
      <w:r w:rsidR="0003760F">
        <w:rPr>
          <w:sz w:val="24"/>
          <w:szCs w:val="24"/>
        </w:rPr>
        <w:fldChar w:fldCharType="separate"/>
      </w:r>
      <w:r w:rsidR="00FB2D16" w:rsidRPr="00FB2D16">
        <w:rPr>
          <w:noProof/>
          <w:sz w:val="24"/>
          <w:szCs w:val="24"/>
        </w:rPr>
        <w:t>[20,38]</w:t>
      </w:r>
      <w:r w:rsidR="0003760F">
        <w:rPr>
          <w:sz w:val="24"/>
          <w:szCs w:val="24"/>
        </w:rPr>
        <w:fldChar w:fldCharType="end"/>
      </w:r>
      <w:r>
        <w:rPr>
          <w:sz w:val="24"/>
          <w:szCs w:val="24"/>
        </w:rPr>
        <w:t xml:space="preserve">. </w:t>
      </w:r>
      <w:r w:rsidR="00E74EC0">
        <w:rPr>
          <w:sz w:val="24"/>
          <w:szCs w:val="24"/>
        </w:rPr>
        <w:t xml:space="preserve">However, the </w:t>
      </w:r>
      <w:r w:rsidR="00761FA9">
        <w:rPr>
          <w:sz w:val="24"/>
          <w:szCs w:val="24"/>
        </w:rPr>
        <w:t>calculation</w:t>
      </w:r>
      <w:r w:rsidR="00E74EC0">
        <w:rPr>
          <w:sz w:val="24"/>
          <w:szCs w:val="24"/>
        </w:rPr>
        <w:t xml:space="preserve"> of the latter in routine clinical practice has to be</w:t>
      </w:r>
      <w:r>
        <w:rPr>
          <w:sz w:val="24"/>
          <w:szCs w:val="24"/>
        </w:rPr>
        <w:t xml:space="preserve"> </w:t>
      </w:r>
      <w:r w:rsidR="00E74EC0">
        <w:rPr>
          <w:sz w:val="24"/>
          <w:szCs w:val="24"/>
        </w:rPr>
        <w:t xml:space="preserve">justified given </w:t>
      </w:r>
      <w:r w:rsidR="00761FA9">
        <w:rPr>
          <w:sz w:val="24"/>
          <w:szCs w:val="24"/>
        </w:rPr>
        <w:t>the increasing pressure on imaging services</w:t>
      </w:r>
      <w:r w:rsidR="00B71BEB">
        <w:rPr>
          <w:sz w:val="24"/>
          <w:szCs w:val="24"/>
        </w:rPr>
        <w:t xml:space="preserve"> and the need to reduce </w:t>
      </w:r>
      <w:r w:rsidR="003541C7">
        <w:rPr>
          <w:sz w:val="24"/>
          <w:szCs w:val="24"/>
        </w:rPr>
        <w:t xml:space="preserve">the reporting time </w:t>
      </w:r>
      <w:r w:rsidR="003541C7">
        <w:rPr>
          <w:sz w:val="24"/>
          <w:szCs w:val="24"/>
        </w:rPr>
        <w:fldChar w:fldCharType="begin" w:fldLock="1"/>
      </w:r>
      <w:r w:rsidR="007C03DB">
        <w:rPr>
          <w:sz w:val="24"/>
          <w:szCs w:val="24"/>
        </w:rPr>
        <w:instrText>ADDIN CSL_CITATION {"citationItems":[{"id":"ITEM-1","itemData":{"DOI":"10.1259/bjr.20190929","ISSN":"0007-1285","abstract":"OBJECTIVE: To introduce capped biparametric (bp) MRI slots for follow-up imaging of prostate cancer patients enrolled in active surveillance (AS) and evaluate the effect on weekly variation in the number of AS cases and total MRI workload. METHODS: Three 20 min bpMRI AS slots on two separate days were introduced at Addenbrooke's Hospital, Cambridge. The weekly numbers of total prostate MRIs and AS cases recorded 15 months before and after the change (Groups 1 and 2, respectively). An intergroup variation in the weekly scan numbers was assessed using the coefficient of variance (CV) and mean absolute deviation; the Mann-Whitney U test was used for an intergroup comparison of the latter. RESULTS: In AS patients, a shift from considerable to moderate variation in weekly scan numbers was observed between the two groups (CV, 51.7 and 26.8%, respectively); mean absolute deviation of AS scans also demonstrated a significant decrease in Group 2 (1.28 vs 2.58 in Group 1; p &lt; 0.001). No significant changes in the variation in total prostate MRIs were observed, despite a 10% increased workload in Group 2. CONCLUSION: A significant reduction in weekly variation of AS cases was demonstrated following the introduction of capped bpMRI slots, which can be used for more accurate long-term planning of MRI workload. ADVANCES IN KNOWLEDGE: The paper illustrates the potential of introducing capped AS MRI slots using a bp protocol to reduce weekly variation in demand and allow for optimising workflow, which will be increasingly important as the demands on radiology departments increase worldwide.","author":[{"dropping-particle":"","family":"Sushentsev","given":"Nikita","non-dropping-particle":"","parse-names":false,"suffix":""},{"dropping-particle":"","family":"Caglic","given":"Iztok","non-dropping-particle":"","parse-names":false,"suffix":""},{"dropping-particle":"","family":"Sala","given":"Evis","non-dropping-particle":"","parse-names":false,"suffix":""},{"dropping-particle":"","family":"Shaida","given":"Nadeem","non-dropping-particle":"","parse-names":false,"suffix":""},{"dropping-particle":"","family":"Slough","given":"Rhys A","non-dropping-particle":"","parse-names":false,"suffix":""},{"dropping-particle":"","family":"Carmo","given":"Bruno","non-dropping-particle":"","parse-names":false,"suffix":""},{"dropping-particle":"","family":"Kozlov","given":"Vasily","non-dropping-particle":"","parse-names":false,"suffix":""},{"dropping-particle":"","family":"Gnanapragasam","given":"Vincent J.","non-dropping-particle":"","parse-names":false,"suffix":""},{"dropping-particle":"","family":"Barrett","given":"Tristan","non-dropping-particle":"","parse-names":false,"suffix":""}],"container-title":"The British Journal of Radiology","id":"ITEM-1","issue":"1108","issued":{"date-parts":[["2020","4","1"]]},"page":"20190929","publisher":"NLM (Medline)","title":"The effect of capped biparametric magnetic resonance imaging slots on weekly prostate cancer imaging workload","type":"article-journal","volume":"93"},"uris":["http://www.mendeley.com/documents/?uuid=127c9c06-8c32-3007-80bd-95a04c229fb4"]}],"mendeley":{"formattedCitation":"[39]","plainTextFormattedCitation":"[39]","previouslyFormattedCitation":"[39]"},"properties":{"noteIndex":0},"schema":"https://github.com/citation-style-language/schema/raw/master/csl-citation.json"}</w:instrText>
      </w:r>
      <w:r w:rsidR="003541C7">
        <w:rPr>
          <w:sz w:val="24"/>
          <w:szCs w:val="24"/>
        </w:rPr>
        <w:fldChar w:fldCharType="separate"/>
      </w:r>
      <w:r w:rsidR="00FB2D16" w:rsidRPr="00FB2D16">
        <w:rPr>
          <w:noProof/>
          <w:sz w:val="24"/>
          <w:szCs w:val="24"/>
        </w:rPr>
        <w:t>[39]</w:t>
      </w:r>
      <w:r w:rsidR="003541C7">
        <w:rPr>
          <w:sz w:val="24"/>
          <w:szCs w:val="24"/>
        </w:rPr>
        <w:fldChar w:fldCharType="end"/>
      </w:r>
      <w:r w:rsidR="002A2220">
        <w:rPr>
          <w:sz w:val="24"/>
          <w:szCs w:val="24"/>
        </w:rPr>
        <w:t xml:space="preserve">. </w:t>
      </w:r>
      <w:r w:rsidR="00761FA9">
        <w:rPr>
          <w:sz w:val="24"/>
          <w:szCs w:val="24"/>
        </w:rPr>
        <w:t xml:space="preserve"> </w:t>
      </w:r>
      <w:r>
        <w:rPr>
          <w:sz w:val="24"/>
          <w:szCs w:val="24"/>
        </w:rPr>
        <w:t xml:space="preserve"> </w:t>
      </w:r>
    </w:p>
    <w:p w14:paraId="6183AF00" w14:textId="1B802DF1" w:rsidR="0085648C" w:rsidRDefault="003A489A" w:rsidP="0085648C">
      <w:pPr>
        <w:rPr>
          <w:sz w:val="24"/>
          <w:szCs w:val="24"/>
        </w:rPr>
      </w:pPr>
      <w:r>
        <w:rPr>
          <w:sz w:val="24"/>
          <w:szCs w:val="24"/>
        </w:rPr>
        <w:t xml:space="preserve">This hypothesis-generating </w:t>
      </w:r>
      <w:r w:rsidR="0085648C">
        <w:rPr>
          <w:sz w:val="24"/>
          <w:szCs w:val="24"/>
        </w:rPr>
        <w:t xml:space="preserve">study has some limitations. The sample size is relatively small, which was dictated by stringent inclusion criteria aimed at reducing confounding factors that may compromise robust comparisons and ensuring </w:t>
      </w:r>
      <w:proofErr w:type="spellStart"/>
      <w:r w:rsidR="0085648C">
        <w:rPr>
          <w:sz w:val="24"/>
          <w:szCs w:val="24"/>
        </w:rPr>
        <w:t>histopathologically</w:t>
      </w:r>
      <w:proofErr w:type="spellEnd"/>
      <w:r w:rsidR="0085648C">
        <w:rPr>
          <w:sz w:val="24"/>
          <w:szCs w:val="24"/>
        </w:rPr>
        <w:t xml:space="preserve">-confirmed disease progression as a gold standard. </w:t>
      </w:r>
      <w:r w:rsidR="000B6D7D">
        <w:rPr>
          <w:sz w:val="24"/>
          <w:szCs w:val="24"/>
        </w:rPr>
        <w:t>While we also showed similar in results in tumour diameters</w:t>
      </w:r>
      <w:r>
        <w:rPr>
          <w:sz w:val="24"/>
          <w:szCs w:val="24"/>
        </w:rPr>
        <w:t xml:space="preserve"> and ADC values</w:t>
      </w:r>
      <w:r w:rsidR="000B6D7D">
        <w:rPr>
          <w:sz w:val="24"/>
          <w:szCs w:val="24"/>
        </w:rPr>
        <w:t xml:space="preserve"> when comparing radiological progressors and non-progressors, histopathology offers a more reliable reference standard compared to MRI alone. </w:t>
      </w:r>
      <w:r w:rsidR="00FE6079">
        <w:rPr>
          <w:sz w:val="24"/>
          <w:szCs w:val="24"/>
        </w:rPr>
        <w:t xml:space="preserve">Importantly, this </w:t>
      </w:r>
      <w:r w:rsidR="000C4227">
        <w:rPr>
          <w:sz w:val="24"/>
          <w:szCs w:val="24"/>
        </w:rPr>
        <w:t xml:space="preserve">study excluded patients with MR-invisible lesions, who comprise nearly half of </w:t>
      </w:r>
      <w:r w:rsidR="007C03DB">
        <w:rPr>
          <w:sz w:val="24"/>
          <w:szCs w:val="24"/>
        </w:rPr>
        <w:t xml:space="preserve">the AS population </w:t>
      </w:r>
      <w:r w:rsidR="007C03DB">
        <w:rPr>
          <w:sz w:val="24"/>
          <w:szCs w:val="24"/>
        </w:rPr>
        <w:fldChar w:fldCharType="begin" w:fldLock="1"/>
      </w:r>
      <w:r w:rsidR="00D45BEC">
        <w:rPr>
          <w:sz w:val="24"/>
          <w:szCs w:val="24"/>
        </w:rPr>
        <w:instrText>ADDIN CSL_CITATION {"citationItems":[{"id":"ITEM-1","itemData":{"DOI":"10.1016/j.eururo.2020.03.035","ISSN":"18737560","PMID":"32360049","abstract":"Background: Although the use of multiparametric magnetic resonance imaging (mpMRI) in active surveillance (AS) for prostate cancer is of increasing interest, existing data are derived from small cohorts. Objective: We describe clinical, histological, and radiological outcomes from an established AS programme, where protocol-based biopsies were omitted in favour of MRI-led monitoring. Design, setting, and participants: Data on 672 men enrolled in AS between August 2004 and November 2017 (inclusion criteria: Gleason 3 + 3 or 3 + 4 localised prostate cancer, presenting prostate-specific antigen &lt;20 ng/ml, and baseline mpMRI) were collected from the University College London Hospital (UCLH) database. Outcome measurements and statistical analysis: Primary outcomes were event-free survival (EFS; event defined as prostate cancer treatment, transition to watchful waiting, or death) and treatment-free survival (TFS). Secondary outcomes included rates of all-cause or prostate cancer–related mortality, metastasis, and upgrading to Gleason ≥4 + 3. Data on radiological and histological progression were also collected. Results and limitations: More than 3800 person-years (py) of follow-up were accrued (median: 58 mo; interquartile range 37–82 mo). Approximately 84.7% (95% confidence interval [CI]: 82.0–87.6) and 71.8% (95% CI: 68.2–75.6) of patients remained on AS at 3 and 5 yr, respectively. EFS and TFS were lower in those with MRI-visible (Likert 4–5) disease or secondary Gleason pattern 4 at baseline (log-rank test; p &lt; 0.001). In total, 216 men were treated. There were 24 deaths, none of which was prostate cancer related (6.3/1000 py; 95% CI: 4.1–9.5). Metastases developed in eight men (2.1 events/1000 py; 95% CI: 1.0–4.3), whereas 27 men upgraded to Gleason ≥4 + 3 on follow-up biopsy (7.7 events/1000 py; 95% CI: 5.2–11.3). Conclusions: The rates of discontinuation, mortality, and metastasis in MRI-led surveillance are comparable with those of standard AS. MRI-visible disease and/or secondary Gleason grade 4 at baseline are associated with a greater likelihood of moving to active treatment at 5 yr. Further research will concentrate on optimising imaging intervals according to baseline risk. Patient summary: In this report, we looked at the outcomes of magnetic resonance imaging (MRI)-based surveillance for prostate cancer in a UK cohort. We found that this strategy could allow routine biopsies to be avoided. Secondary Gleason pattern 4 and MRI visibility are asso…","author":[{"dropping-particle":"","family":"Stavrinides","given":"Vasilis","non-dropping-particle":"","parse-names":false,"suffix":""},{"dropping-particle":"","family":"Giganti","given":"Francesco","non-dropping-particle":"","parse-names":false,"suffix":""},{"dropping-particle":"","family":"Trock","given":"Bruce","non-dropping-particle":"","parse-names":false,"suffix":""},{"dropping-particle":"","family":"Punwani","given":"Shonit","non-dropping-particle":"","parse-names":false,"suffix":""},{"dropping-particle":"","family":"Allen","given":"Clare","non-dropping-particle":"","parse-names":false,"suffix":""},{"dropping-particle":"","family":"Kirkham","given":"Alex","non-dropping-particle":"","parse-names":false,"suffix":""},{"dropping-particle":"","family":"Freeman","given":"Alex","non-dropping-particle":"","parse-names":false,"suffix":""},{"dropping-particle":"","family":"Haider","given":"Aiman","non-dropping-particle":"","parse-names":false,"suffix":""},{"dropping-particle":"","family":"Ball","given":"Rhys","non-dropping-particle":"","parse-names":false,"suffix":""},{"dropping-particle":"","family":"McCartan","given":"Neil","non-dropping-particle":"","parse-names":false,"suffix":""},{"dropping-particle":"","family":"Whitaker","given":"Hayley","non-dropping-particle":"","parse-names":false,"suffix":""},{"dropping-particle":"","family":"Orczyk","given":"Clement","non-dropping-particle":"","parse-names":false,"suffix":""},{"dropping-particle":"","family":"Emberton","given":"Mark","non-dropping-particle":"","parse-names":false,"suffix":""},{"dropping-particle":"","family":"Moore","given":"Caroline M.","non-dropping-particle":"","parse-names":false,"suffix":""}],"container-title":"European Urology","id":"ITEM-1","issue":"3","issued":{"date-parts":[["2020","9","1"]]},"page":"443-451","publisher":"Elsevier B.V.","title":"Five-year Outcomes of Magnetic Resonance Imaging–based Active Surveillance for Prostate Cancer: A Large Cohort Study[Formula presented]","type":"article-journal","volume":"78"},"uris":["http://www.mendeley.com/documents/?uuid=8a4ba7c6-fad0-3d6f-9751-ec0a744022fb"]},{"id":"ITEM-2","itemData":{"DOI":"10.1007/s00330-020-07336-0","ISSN":"0938-7994","abstract":"Objectives To assess the predictive value and correlation to pathological progression of the Prostate Cancer Radiological Estimation of Change in Sequential Evaluation (PRECISE) scoring system in the follow-up of prostate cancer (PCa) patients on active surveillance (AS). Methods A total of 295 men enrolled on an AS programme between 2011 and 2018 were included. Baseline multiparametric magnetic resonance imaging (mpMRI) was performed at AS entry to guide biopsy. The follow-up mpMRI studies were prospectively reported by two sub-specialist uroradiologists with 10 years and 13 years of experience. PRECISE scores were dichotomized at the cutoff value of 4, and the sensitivity, specificity, positive predictive value and negative predictive value were calculated. Diagnostic performance was further quantified by using area under the receiver operating curve (AUC) which was based on the results of targeted MRI-US fusion biopsy. Univariate analysis using Cox regression was performed to assess which baseline clinical and mpMRI parameters were related to disease progression on AS. Results Progression rate of the cohort was 13.9% (41/295) over a median follow-up of 52 months. With a cutoff value of category ≥ 4, the PRECISE scoring system showed sensitivity, specificity, PPV and NPV for predicting progression on AS of 0.76, 0.89, 0.52 and 0.96, respectively. The AUC was 0.82 (95% CI = 0.74-0.90). Prostate-specific antigen density (PSA-D), Likert lesion score and index lesion size were the only significant baseline predictors of progression (each p &lt; 0.05). Conclusion The PRECISE scoring system showed good overall performance, and the high NPV may help limit the number of follow-up biopsies required in patients on AS. Key Points • PRECISE scores 1-3 have high NPV which could reduce the need for re-biopsy during active surveillance. • PRECISE scores 4-5 have moderate PPV and should trigger either close monitoring or re-biopsy. • Three baseline predictors (PSA density, lesion size and Likert score) have a significant impact on the progression-free survival (PFS) time.","author":[{"dropping-particle":"","family":"Caglic","given":"Iztok","non-dropping-particle":"","parse-names":false,"suffix":""},{"dropping-particle":"","family":"Sushentsev","given":"Nikita","non-dropping-particle":"","parse-names":false,"suffix":""},{"dropping-particle":"","family":"Gnanapragasam","given":"Vincent","non-dropping-particle":"","parse-names":false,"suffix":""},{"dropping-particle":"","family":"Sala","given":"Evis","non-dropping-particle":"","parse-names":false,"suffix":""},{"dropping-particle":"","family":"Shaida","given":"Nadeem","non-dropping-particle":"","parse-names":false,"suffix":""},{"dropping-particle":"","family":"Koo","given":"Brendan","non-dropping-particle":"","parse-names":false,"suffix":""},{"dropping-particle":"","family":"Kozlov","given":"Vasily","non-dropping-particle":"","parse-names":false,"suffix":""},{"dropping-particle":"","family":"Warren","given":"Anne","non-dropping-particle":"","parse-names":false,"suffix":""},{"dropping-particle":"","family":"Kastner","given":"Christof","non-dropping-particle":"","parse-names":false,"suffix":""},{"dropping-particle":"","family":"Barrett","given":"Tristan","non-dropping-particle":"","parse-names":false,"suffix":""}],"container-title":"European Radiology 2020","id":"ITEM-2","issued":{"date-parts":[["2020","11","16"]]},"page":"1-10","publisher":"Springer","title":"MRI-derived PRECISE scores for predicting pathologically-confirmed radiological progression in prostate cancer patients on active surveillance","type":"article-journal"},"uris":["http://www.mendeley.com/documents/?uuid=d3303a72-0468-3e9b-9930-ea253c54474e"]}],"mendeley":{"formattedCitation":"[40,41]","plainTextFormattedCitation":"[40,41]","previouslyFormattedCitation":"[40,41]"},"properties":{"noteIndex":0},"schema":"https://github.com/citation-style-language/schema/raw/master/csl-citation.json"}</w:instrText>
      </w:r>
      <w:r w:rsidR="007C03DB">
        <w:rPr>
          <w:sz w:val="24"/>
          <w:szCs w:val="24"/>
        </w:rPr>
        <w:fldChar w:fldCharType="separate"/>
      </w:r>
      <w:r w:rsidR="007C03DB" w:rsidRPr="007C03DB">
        <w:rPr>
          <w:noProof/>
          <w:sz w:val="24"/>
          <w:szCs w:val="24"/>
        </w:rPr>
        <w:t>[40,41]</w:t>
      </w:r>
      <w:r w:rsidR="007C03DB">
        <w:rPr>
          <w:sz w:val="24"/>
          <w:szCs w:val="24"/>
        </w:rPr>
        <w:fldChar w:fldCharType="end"/>
      </w:r>
      <w:r w:rsidR="00064502">
        <w:rPr>
          <w:sz w:val="24"/>
          <w:szCs w:val="24"/>
        </w:rPr>
        <w:t xml:space="preserve"> and to whom the proposed cut-offs are not applicable by definition</w:t>
      </w:r>
      <w:r w:rsidR="007C03DB">
        <w:rPr>
          <w:sz w:val="24"/>
          <w:szCs w:val="24"/>
        </w:rPr>
        <w:t>.</w:t>
      </w:r>
      <w:r w:rsidR="008B4DC8">
        <w:rPr>
          <w:sz w:val="24"/>
          <w:szCs w:val="24"/>
        </w:rPr>
        <w:t xml:space="preserve"> However, as evidenced by previous studies</w:t>
      </w:r>
      <w:r w:rsidR="00D45BEC">
        <w:rPr>
          <w:sz w:val="24"/>
          <w:szCs w:val="24"/>
        </w:rPr>
        <w:t xml:space="preserve"> </w:t>
      </w:r>
      <w:r w:rsidR="00D45BEC">
        <w:rPr>
          <w:sz w:val="24"/>
          <w:szCs w:val="24"/>
        </w:rPr>
        <w:fldChar w:fldCharType="begin" w:fldLock="1"/>
      </w:r>
      <w:r w:rsidR="0060274A">
        <w:rPr>
          <w:sz w:val="24"/>
          <w:szCs w:val="24"/>
        </w:rPr>
        <w:instrText>ADDIN CSL_CITATION {"citationItems":[{"id":"ITEM-1","itemData":{"DOI":"10.1016/J.EURURO.2020.03.035","ISSN":"0302-2838","abstract":"Background: Although the use of multiparametric magnetic resonance imaging (mpMRI) in active surveillance (AS) for prostate cancer is of increasing interest, existing data are derived from small cohorts. Objective: We describe clinical, histological, and radiological outcomes from an established AS programme, where protocol-based biopsies were omitted in favour of MRI-led monitoring. Design, setting, and participants: Data on 672 men enrolled in AS between August 2004 and November 2017 (inclusion criteria: Gleason 3 + 3 or 3 + 4 localised prostate cancer, presenting prostate-specific antigen &lt;20 ng/ml, and baseline mpMRI) were collected from the University College London Hospital (UCLH) database. Outcome measurements and statistical analysis: Primary outcomes were event-free survival (EFS; event defined as prostate cancer treatment, transition to watchful waiting, or death) and treatment-free survival (TFS). Secondary outcomes included rates of all-cause or prostate cancer–related mortality, metastasis, and upgrading to Gleason ≥4 + 3. Data on radiological and histological progression were also collected. Results and limitations: More than 3800 person-years (py) of follow-up were accrued (median: 58 mo; interquartile range 37–82 mo). Approximately 84.7% (95% confidence interval [CI]: 82.0–87.6) and 71.8% (95% CI: 68.2–75.6) of patients remained on AS at 3 and 5 yr, respectively. EFS and TFS were lower in those with MRI-visible (Likert 4–5) disease or secondary Gleason pattern 4 at baseline (log-rank test; p &lt; 0.001). In total, 216 men were treated. There were 24 deaths, none of which was prostate cancer related (6.3/1000 py; 95% CI: 4.1–9.5). Metastases developed in eight men (2.1 events/1000 py; 95% CI: 1.0–4.3), whereas 27 men upgraded to Gleason ≥4 + 3 on follow-up biopsy (7.7 events/1000 py; 95% CI: 5.2–11.3). Conclusions: The rates of discontinuation, mortality, and metastasis in MRI-led surveillance are comparable with those of standard AS. MRI-visible disease and/or secondary Gleason grade 4 at baseline are associated with a greater likelihood of moving to active treatment at 5 yr. Further research will concentrate on optimising imaging intervals according to baseline risk. Patient summary: In this report, we looked at the outcomes of magnetic resonance imaging (MRI)-based surveillance for prostate cancer in a UK cohort. We found that this strategy could allow routine biopsies to be avoided. Secondary Gleason pattern 4 and MRI visibility are asso…","author":[{"dropping-particle":"","family":"Stavrinides","given":"Vasilis","non-dropping-particle":"","parse-names":false,"suffix":""},{"dropping-particle":"","family":"Giganti","given":"Francesco","non-dropping-particle":"","parse-names":false,"suffix":""},{"dropping-particle":"","family":"Trock","given":"Bruce","non-dropping-particle":"","parse-names":false,"suffix":""},{"dropping-particle":"","family":"Punwani","given":"Shonit","non-dropping-particle":"","parse-names":false,"suffix":""},{"dropping-particle":"","family":"Allen","given":"Clare","non-dropping-particle":"","parse-names":false,"suffix":""},{"dropping-particle":"","family":"Kirkham","given":"Alex","non-dropping-particle":"","parse-names":false,"suffix":""},{"dropping-particle":"","family":"Freeman","given":"Alex","non-dropping-particle":"","parse-names":false,"suffix":""},{"dropping-particle":"","family":"Haider","given":"Aiman","non-dropping-particle":"","parse-names":false,"suffix":""},{"dropping-particle":"","family":"Ball","given":"Rhys","non-dropping-particle":"","parse-names":false,"suffix":""},{"dropping-particle":"","family":"McCartan","given":"Neil","non-dropping-particle":"","parse-names":false,"suffix":""},{"dropping-particle":"","family":"Whitaker","given":"Hayley","non-dropping-particle":"","parse-names":false,"suffix":""},{"dropping-particle":"","family":"Orczyk","given":"Clement","non-dropping-particle":"","parse-names":false,"suffix":""},{"dropping-particle":"","family":"Emberton","given":"Mark","non-dropping-particle":"","parse-names":false,"suffix":""},{"dropping-particle":"","family":"Moore","given":"Caroline M.","non-dropping-particle":"","parse-names":false,"suffix":""}],"container-title":"European Urology","id":"ITEM-1","issue":"3","issued":{"date-parts":[["2020","9","1"]]},"page":"443-451","publisher":"Elsevier","title":"Five-year Outcomes of Magnetic Resonance Imaging–based Active Surveillance for Prostate Cancer: A Large Cohort Study","type":"article-journal","volume":"78"},"uris":["http://www.mendeley.com/documents/?uuid=90d46e76-34ff-3fbd-9ab0-d36f9d177279"]},{"id":"ITEM-2","itemData":{"DOI":"10.1007/s00330-020-07336-0","ISSN":"0938-7994","abstract":"Objectives To assess the predictive value and correlation to pathological progression of the Prostate Cancer Radiological Estimation of Change in Sequential Evaluation (PRECISE) scoring system in the follow-up of prostate cancer (PCa) patients on active surveillance (AS). Methods A total of 295 men enrolled on an AS programme between 2011 and 2018 were included. Baseline multiparametric magnetic resonance imaging (mpMRI) was performed at AS entry to guide biopsy. The follow-up mpMRI studies were prospectively reported by two sub-specialist uroradiologists with 10 years and 13 years of experience. PRECISE scores were dichotomized at the cutoff value of 4, and the sensitivity, specificity, positive predictive value and negative predictive value were calculated. Diagnostic performance was further quantified by using area under the receiver operating curve (AUC) which was based on the results of targeted MRI-US fusion biopsy. Univariate analysis using Cox regression was performed to assess which baseline clinical and mpMRI parameters were related to disease progression on AS. Results Progression rate of the cohort was 13.9% (41/295) over a median follow-up of 52 months. With a cutoff value of category ≥ 4, the PRECISE scoring system showed sensitivity, specificity, PPV and NPV for predicting progression on AS of 0.76, 0.89, 0.52 and 0.96, respectively. The AUC was 0.82 (95% CI = 0.74-0.90). Prostate-specific antigen density (PSA-D), Likert lesion score and index lesion size were the only significant baseline predictors of progression (each p &lt; 0.05). Conclusion The PRECISE scoring system showed good overall performance, and the high NPV may help limit the number of follow-up biopsies required in patients on AS. Key Points • PRECISE scores 1-3 have high NPV which could reduce the need for re-biopsy during active surveillance. • PRECISE scores 4-5 have moderate PPV and should trigger either close monitoring or re-biopsy. • Three baseline predictors (PSA density, lesion size and Likert score) have a significant impact on the progression-free survival (PFS) time.","author":[{"dropping-particle":"","family":"Caglic","given":"Iztok","non-dropping-particle":"","parse-names":false,"suffix":""},{"dropping-particle":"","family":"Sushentsev","given":"Nikita","non-dropping-particle":"","parse-names":false,"suffix":""},{"dropping-particle":"","family":"Gnanapragasam","given":"Vincent","non-dropping-particle":"","parse-names":false,"suffix":""},{"dropping-particle":"","family":"Sala","given":"Evis","non-dropping-particle":"","parse-names":false,"suffix":""},{"dropping-particle":"","family":"Shaida","given":"Nadeem","non-dropping-particle":"","parse-names":false,"suffix":""},{"dropping-particle":"","family":"Koo","given":"Brendan","non-dropping-particle":"","parse-names":false,"suffix":""},{"dropping-particle":"","family":"Kozlov","given":"Vasily","non-dropping-particle":"","parse-names":false,"suffix":""},{"dropping-particle":"","family":"Warren","given":"Anne","non-dropping-particle":"","parse-names":false,"suffix":""},{"dropping-particle":"","family":"Kastner","given":"Christof","non-dropping-particle":"","parse-names":false,"suffix":""},{"dropping-particle":"","family":"Barrett","given":"Tristan","non-dropping-particle":"","parse-names":false,"suffix":""}],"container-title":"European Radiology 2020","id":"ITEM-2","issued":{"date-parts":[["2020","11","16"]]},"page":"1-10","publisher":"Springer","title":"MRI-derived PRECISE scores for predicting pathologically-confirmed radiological progression in prostate cancer patients on active surveillance","type":"article-journal"},"uris":["http://www.mendeley.com/documents/?uuid=d3303a72-0468-3e9b-9930-ea253c54474e"]}],"mendeley":{"formattedCitation":"[41,42]","plainTextFormattedCitation":"[41,42]","previouslyFormattedCitation":"[41,42]"},"properties":{"noteIndex":0},"schema":"https://github.com/citation-style-language/schema/raw/master/csl-citation.json"}</w:instrText>
      </w:r>
      <w:r w:rsidR="00D45BEC">
        <w:rPr>
          <w:sz w:val="24"/>
          <w:szCs w:val="24"/>
        </w:rPr>
        <w:fldChar w:fldCharType="separate"/>
      </w:r>
      <w:r w:rsidR="00D45BEC" w:rsidRPr="00D45BEC">
        <w:rPr>
          <w:noProof/>
          <w:sz w:val="24"/>
          <w:szCs w:val="24"/>
        </w:rPr>
        <w:t>[41,42]</w:t>
      </w:r>
      <w:r w:rsidR="00D45BEC">
        <w:rPr>
          <w:sz w:val="24"/>
          <w:szCs w:val="24"/>
        </w:rPr>
        <w:fldChar w:fldCharType="end"/>
      </w:r>
      <w:r w:rsidR="00D45BEC">
        <w:rPr>
          <w:sz w:val="24"/>
          <w:szCs w:val="24"/>
        </w:rPr>
        <w:t xml:space="preserve">, </w:t>
      </w:r>
      <w:r w:rsidR="00231704">
        <w:rPr>
          <w:sz w:val="24"/>
          <w:szCs w:val="24"/>
        </w:rPr>
        <w:t xml:space="preserve">the presence of MR-visible lesions </w:t>
      </w:r>
      <w:r w:rsidR="002E5C5C">
        <w:rPr>
          <w:sz w:val="24"/>
          <w:szCs w:val="24"/>
        </w:rPr>
        <w:t>presents a significant risk factor for PCa progression, which warrants closer surveillance of this patient subgroup.</w:t>
      </w:r>
      <w:r w:rsidR="007C03DB">
        <w:rPr>
          <w:sz w:val="24"/>
          <w:szCs w:val="24"/>
        </w:rPr>
        <w:t xml:space="preserve"> </w:t>
      </w:r>
      <w:r w:rsidR="0085648C">
        <w:rPr>
          <w:sz w:val="24"/>
          <w:szCs w:val="24"/>
        </w:rPr>
        <w:t xml:space="preserve">As highlighted, all scans analysed as part of this study were performed on the same clinical MRI system with an identical acquisition protocol, which may limit the generalisability of our ADC findings given the known low intra- and inter-system reproducibility and repeatability of ADC measurements. </w:t>
      </w:r>
      <w:r w:rsidR="0003760F">
        <w:rPr>
          <w:sz w:val="24"/>
          <w:szCs w:val="24"/>
        </w:rPr>
        <w:t>Future work</w:t>
      </w:r>
      <w:r w:rsidR="0085648C">
        <w:rPr>
          <w:sz w:val="24"/>
          <w:szCs w:val="24"/>
        </w:rPr>
        <w:t xml:space="preserve"> should be aimed at validating these results in multicentre studies using data obtained from different scanners and with different protocols.</w:t>
      </w:r>
      <w:r>
        <w:rPr>
          <w:sz w:val="24"/>
          <w:szCs w:val="24"/>
        </w:rPr>
        <w:t xml:space="preserve"> Moreover, gaining access to larger cohorts will help evaluate the utility of the proposed cut-offs to predict histopathological progression </w:t>
      </w:r>
      <w:r w:rsidR="007D0631">
        <w:rPr>
          <w:sz w:val="24"/>
          <w:szCs w:val="24"/>
        </w:rPr>
        <w:t xml:space="preserve">between risk groups rather than individual grade groups, which may improve patient survival </w:t>
      </w:r>
      <w:r w:rsidR="007D0631">
        <w:rPr>
          <w:sz w:val="24"/>
          <w:szCs w:val="24"/>
        </w:rPr>
        <w:fldChar w:fldCharType="begin" w:fldLock="1"/>
      </w:r>
      <w:r w:rsidR="0060274A">
        <w:rPr>
          <w:sz w:val="24"/>
          <w:szCs w:val="24"/>
        </w:rPr>
        <w:instrText>ADDIN CSL_CITATION {"citationItems":[{"id":"ITEM-1","itemData":{"DOI":"10.1111/bju.14800","ISSN":"1464-4096","author":[{"dropping-particle":"","family":"Gnanapragasam","given":"Vincent J","non-dropping-particle":"","parse-names":false,"suffix":""},{"dropping-particle":"","family":"Barrett","given":"Tristan","non-dropping-particle":"","parse-names":false,"suffix":""},{"dropping-particle":"","family":"Thankapannair","given":"Vineetha","non-dropping-particle":"","parse-names":false,"suffix":""},{"dropping-particle":"","family":"Thurtle","given":"David","non-dropping-particle":"","parse-names":false,"suffix":""},{"dropping-particle":"","family":"Rubio-Briones","given":"Jose","non-dropping-particle":"","parse-names":false,"suffix":""},{"dropping-particle":"","family":"Domínguez-Escrig","given":"Jose","non-dropping-particle":"","parse-names":false,"suffix":""},{"dropping-particle":"","family":"Bratt","given":"Ola","non-dropping-particle":"","parse-names":false,"suffix":""},{"dropping-particle":"","family":"Statin","given":"Par","non-dropping-particle":"","parse-names":false,"suffix":""},{"dropping-particle":"","family":"Muir","given":"Kenneth","non-dropping-particle":"","parse-names":false,"suffix":""},{"dropping-particle":"","family":"Lophatananon","given":"Artitaya","non-dropping-particle":"","parse-names":false,"suffix":""}],"container-title":"BJU International","id":"ITEM-1","issue":"5","issued":{"date-parts":[["2019"]]},"page":"758-767","publisher":"Wiley","title":"Using prognosis to guide inclusion criteria, define standardised endpoints and stratify follow-up in active surveillance for prostate cancer","type":"article-journal","volume":"124"},"uris":["http://www.mendeley.com/documents/?uuid=29369c6e-e152-4ca8-8f59-0bc5b694a1bb"]}],"mendeley":{"formattedCitation":"[43]","plainTextFormattedCitation":"[43]","previouslyFormattedCitation":"[43]"},"properties":{"noteIndex":0},"schema":"https://github.com/citation-style-language/schema/raw/master/csl-citation.json"}</w:instrText>
      </w:r>
      <w:r w:rsidR="007D0631">
        <w:rPr>
          <w:sz w:val="24"/>
          <w:szCs w:val="24"/>
        </w:rPr>
        <w:fldChar w:fldCharType="separate"/>
      </w:r>
      <w:r w:rsidR="00D45BEC" w:rsidRPr="00D45BEC">
        <w:rPr>
          <w:noProof/>
          <w:sz w:val="24"/>
          <w:szCs w:val="24"/>
        </w:rPr>
        <w:t>[43]</w:t>
      </w:r>
      <w:r w:rsidR="007D0631">
        <w:rPr>
          <w:sz w:val="24"/>
          <w:szCs w:val="24"/>
        </w:rPr>
        <w:fldChar w:fldCharType="end"/>
      </w:r>
      <w:r w:rsidR="007D0631">
        <w:rPr>
          <w:sz w:val="24"/>
          <w:szCs w:val="24"/>
        </w:rPr>
        <w:t xml:space="preserve">. Finally, combining the proposed cut-offs with other quantitative MRI features </w:t>
      </w:r>
      <w:r w:rsidR="00AE2BAF">
        <w:rPr>
          <w:sz w:val="24"/>
          <w:szCs w:val="24"/>
        </w:rPr>
        <w:t xml:space="preserve">such as those derived from radiomics </w:t>
      </w:r>
      <w:r w:rsidR="007D0631">
        <w:rPr>
          <w:sz w:val="24"/>
          <w:szCs w:val="24"/>
        </w:rPr>
        <w:fldChar w:fldCharType="begin" w:fldLock="1"/>
      </w:r>
      <w:r w:rsidR="004A23E1">
        <w:rPr>
          <w:sz w:val="24"/>
          <w:szCs w:val="24"/>
        </w:rPr>
        <w:instrText>ADDIN CSL_CITATION {"citationItems":[{"id":"ITEM-1","itemData":{"DOI":"10.1038/s41598-021-92341-6","ISSN":"20452322","abstract":"Nearly half of patients with prostate cancer (PCa) harbour low- or intermediate-risk disease considered suitable for active surveillance (AS). However, up to 44% of patients discontinue AS within the first five years, highlighting the unmet clinical need for robust baseline risk-stratification tools that enable timely and accurate prediction of tumour progression. In this proof-of-concept study, we sought to investigate the added value of MRI-derived radiomic features to standard-of-care clinical parameters for improving baseline prediction of PCa progression in AS patients. Tumour T2-weighted imaging (T2WI) and apparent diffusion coefficient radiomic features were extracted, with rigorous calibration and pre-processing methods applied to select the most robust features for predictive modelling. Following leave-one-out cross-validation, the addition of T2WI-derived radiomic features to clinical variables alone improved the area under the ROC curve for predicting progression from 0.61 (95% confidence interval [CI] 0.481–0.743) to 0.75 (95% CI 0.64–0.86). These exploratory findings demonstrate the potential benefit of MRI-derived radiomics to add incremental benefit to clinical data only models in the baseline prediction of PCa progression on AS, paving the way for future multicentre studies validating the proposed model and evaluating its impact on clinical outcomes.","author":[{"dropping-particle":"","family":"Sushentsev","given":"Nikita","non-dropping-particle":"","parse-names":false,"suffix":""},{"dropping-particle":"","family":"Rundo","given":"Leonardo","non-dropping-particle":"","parse-names":false,"suffix":""},{"dropping-particle":"","family":"Blyuss","given":"Oleg","non-dropping-particle":"","parse-names":false,"suffix":""},{"dropping-particle":"","family":"Gnanapragasam","given":"Vincent J.","non-dropping-particle":"","parse-names":false,"suffix":""},{"dropping-particle":"","family":"Sala","given":"Evis","non-dropping-particle":"","parse-names":false,"suffix":""},{"dropping-particle":"","family":"Barrett","given":"Tristan","non-dropping-particle":"","parse-names":false,"suffix":""}],"container-title":"Scientific Reports","id":"ITEM-1","issue":"1","issued":{"date-parts":[["2021","12","21"]]},"page":"12917","publisher":"Springer Science and Business Media LLC","title":"MRI-derived radiomics model for baseline prediction of prostate cancer progression on active surveillance","type":"article-journal","volume":"11"},"uris":["http://www.mendeley.com/documents/?uuid=95308d42-28f2-32db-90b9-a0b3c79c5067"]},{"id":"ITEM-2","itemData":{"DOI":"10.1007/S00330-021-08151-X","ISSN":"1432-1084","abstract":"To compare the performance of the PRECISE scoring system against several MRI-derived delta-radiomics models for predicting histopathological prostate cancer (PCa) progression in patients on active surveillance (AS). The study included AS patients with biopsy-proven PCa with a minimum follow-up of 2 years and at least one repeat targeted biopsy. Histopathological progression was defined as grade group progression from diagnostic biopsy. The control group included patients with both radiologically and histopathologically stable disease. PRECISE scores were applied prospectively by four uro-radiologists with 5–16 years’ experience. T2WI- and ADC-derived delta-radiomics features were computed using baseline and latest available MRI scans, with the predictive modelling performed using the parenclitic networks (PN), least absolute shrinkage and selection operator (LASSO) logistic regression, and random forests (RF) algorithms. Standard measures of discrimination and areas under the ROC curve (AUCs) were calculated, with AUCs compared using DeLong’s test. The study included 64 patients (27 progressors and 37 non-progressors) with a median follow-up of 46 months. PRECISE scores had the highest specificity (94.7%) and positive predictive value (90.9%), whilst RF had the highest sensitivity (92.6%) and negative predictive value (92.6%) for predicting disease progression. The AUC for PRECISE (84.4%) was non-significantly higher than AUCs of 81.5%, 78.0%, and 80.9% for PN, LASSO regression, and RF, respectively (p = 0.64, 0.43, and 0.57, respectively). No significant differences were observed between AUCs of the three delta-radiomics models (p-value range 0.34–0.77). PRECISE and delta-radiomics models achieved comparably good performance for predicting PCa progression in AS patients. • The observed high specificity and PPV of PRECISE are complemented by the high sensitivity and NPV of delta-radiomics, suggesting a possible synergy between the two image assessment approaches. • The comparable performance of delta-radiomics to PRECISE scores applied by expert readers highlights the prospective use of the former as an objective and standardisable quantitative tool for MRI-guided AS follow-up. \n                • The marginally superior performance of parenclitic networks compared to conventional machine learning algorithms warrants its further use in radiomics research.","author":[{"dropping-particle":"","family":"Sushentsev","given":"Nikita","non-dropping-particle":"","parse-names":false,"suffix":""},{"dropping-particle":"","family":"Rundo","given":"Leonardo","non-dropping-particle":"","parse-names":false,"suffix":""},{"dropping-particle":"","family":"Blyuss","given":"Oleg","non-dropping-particle":"","parse-names":false,"suffix":""},{"dropping-particle":"","family":"Nazarenko","given":"Tatiana","non-dropping-particle":"","parse-names":false,"suffix":""},{"dropping-particle":"","family":"Suvorov","given":"Aleksandr","non-dropping-particle":"","parse-names":false,"suffix":""},{"dropping-particle":"","family":"Gnanapragasam","given":"Vincent J","non-dropping-particle":"","parse-names":false,"suffix":""},{"dropping-particle":"","family":"Sala","given":"Evis","non-dropping-particle":"","parse-names":false,"suffix":""},{"dropping-particle":"","family":"Barrett","given":"Tristan","non-dropping-particle":"","parse-names":false,"suffix":""}],"container-title":"European Radiology 2021","id":"ITEM-2","issued":{"date-parts":[["2021","7","13"]]},"page":"1-10","publisher":"Springer","title":"Comparative performance of MRI-derived PRECISE scores and delta-radiomics models for the prediction of prostate cancer progression in patients on active surveillance","type":"article-journal"},"uris":["http://www.mendeley.com/documents/?uuid=36e9589b-2f10-39ab-a881-d2753c123102"]}],"mendeley":{"formattedCitation":"[44,45]","plainTextFormattedCitation":"[44,45]","previouslyFormattedCitation":"[44,45]"},"properties":{"noteIndex":0},"schema":"https://github.com/citation-style-language/schema/raw/master/csl-citation.json"}</w:instrText>
      </w:r>
      <w:r w:rsidR="007D0631">
        <w:rPr>
          <w:sz w:val="24"/>
          <w:szCs w:val="24"/>
        </w:rPr>
        <w:fldChar w:fldCharType="separate"/>
      </w:r>
      <w:r w:rsidR="0060274A" w:rsidRPr="0060274A">
        <w:rPr>
          <w:noProof/>
          <w:sz w:val="24"/>
          <w:szCs w:val="24"/>
        </w:rPr>
        <w:t>[44,45]</w:t>
      </w:r>
      <w:r w:rsidR="007D0631">
        <w:rPr>
          <w:sz w:val="24"/>
          <w:szCs w:val="24"/>
        </w:rPr>
        <w:fldChar w:fldCharType="end"/>
      </w:r>
      <w:r w:rsidR="0060274A">
        <w:rPr>
          <w:sz w:val="24"/>
          <w:szCs w:val="24"/>
        </w:rPr>
        <w:t xml:space="preserve">, alongside standard </w:t>
      </w:r>
      <w:r w:rsidR="001B568B">
        <w:rPr>
          <w:sz w:val="24"/>
          <w:szCs w:val="24"/>
        </w:rPr>
        <w:t>clinical</w:t>
      </w:r>
      <w:r w:rsidR="0060274A">
        <w:rPr>
          <w:sz w:val="24"/>
          <w:szCs w:val="24"/>
        </w:rPr>
        <w:t xml:space="preserve"> biomarkers of disease progression, e.g. PSA and PSA density,</w:t>
      </w:r>
      <w:r w:rsidR="007D0631">
        <w:rPr>
          <w:sz w:val="24"/>
          <w:szCs w:val="24"/>
        </w:rPr>
        <w:t xml:space="preserve"> may further improve </w:t>
      </w:r>
      <w:r w:rsidR="001B568B">
        <w:rPr>
          <w:sz w:val="24"/>
          <w:szCs w:val="24"/>
        </w:rPr>
        <w:t xml:space="preserve">their </w:t>
      </w:r>
      <w:r w:rsidR="007D0631">
        <w:rPr>
          <w:sz w:val="24"/>
          <w:szCs w:val="24"/>
        </w:rPr>
        <w:t xml:space="preserve">diagnostic performance and </w:t>
      </w:r>
      <w:r w:rsidR="00AE2BAF">
        <w:rPr>
          <w:sz w:val="24"/>
          <w:szCs w:val="24"/>
        </w:rPr>
        <w:t>help</w:t>
      </w:r>
      <w:r w:rsidR="007D0631">
        <w:rPr>
          <w:sz w:val="24"/>
          <w:szCs w:val="24"/>
        </w:rPr>
        <w:t xml:space="preserve"> objectivise serial MRI assessment in AS.</w:t>
      </w:r>
      <w:r w:rsidR="0085648C">
        <w:rPr>
          <w:sz w:val="24"/>
          <w:szCs w:val="24"/>
        </w:rPr>
        <w:t xml:space="preserve"> </w:t>
      </w:r>
      <w:r w:rsidR="005A11CE">
        <w:rPr>
          <w:sz w:val="24"/>
          <w:szCs w:val="24"/>
        </w:rPr>
        <w:t xml:space="preserve">The introduction of more complex predictive models may also help increase the applicability of the proposed cut-offs to individual cases, which </w:t>
      </w:r>
      <w:r w:rsidR="00484987">
        <w:rPr>
          <w:sz w:val="24"/>
          <w:szCs w:val="24"/>
        </w:rPr>
        <w:t xml:space="preserve">in the present form may be limited given considerable interquartile and total range overlaps </w:t>
      </w:r>
      <w:r w:rsidR="00CF6D39">
        <w:rPr>
          <w:sz w:val="24"/>
          <w:szCs w:val="24"/>
        </w:rPr>
        <w:t xml:space="preserve">between progressors and non-progressors reported in </w:t>
      </w:r>
      <w:r w:rsidR="00CF6D39">
        <w:rPr>
          <w:sz w:val="24"/>
          <w:szCs w:val="24"/>
        </w:rPr>
        <w:lastRenderedPageBreak/>
        <w:t>this study.</w:t>
      </w:r>
      <w:r w:rsidR="00C329BD">
        <w:rPr>
          <w:sz w:val="24"/>
          <w:szCs w:val="24"/>
        </w:rPr>
        <w:t xml:space="preserve"> The reported overlaps </w:t>
      </w:r>
      <w:r w:rsidR="0076251B">
        <w:rPr>
          <w:sz w:val="24"/>
          <w:szCs w:val="24"/>
        </w:rPr>
        <w:t xml:space="preserve">may, however, provide a quantitative explanation for the overall low reliability of </w:t>
      </w:r>
      <w:r w:rsidR="00372EFE">
        <w:rPr>
          <w:sz w:val="24"/>
          <w:szCs w:val="24"/>
        </w:rPr>
        <w:t xml:space="preserve">using </w:t>
      </w:r>
      <w:r w:rsidR="0076251B">
        <w:rPr>
          <w:sz w:val="24"/>
          <w:szCs w:val="24"/>
        </w:rPr>
        <w:t>serial MRI assessment</w:t>
      </w:r>
      <w:r w:rsidR="00372EFE">
        <w:rPr>
          <w:sz w:val="24"/>
          <w:szCs w:val="24"/>
        </w:rPr>
        <w:t xml:space="preserve"> alone</w:t>
      </w:r>
      <w:r w:rsidR="0076251B">
        <w:rPr>
          <w:sz w:val="24"/>
          <w:szCs w:val="24"/>
        </w:rPr>
        <w:t xml:space="preserve"> </w:t>
      </w:r>
      <w:r w:rsidR="00621158">
        <w:rPr>
          <w:sz w:val="24"/>
          <w:szCs w:val="24"/>
        </w:rPr>
        <w:t>for excluding PCa progression on AS</w:t>
      </w:r>
      <w:r w:rsidR="00372EFE">
        <w:rPr>
          <w:sz w:val="24"/>
          <w:szCs w:val="24"/>
        </w:rPr>
        <w:t xml:space="preserve"> </w:t>
      </w:r>
      <w:r w:rsidR="00372EFE">
        <w:rPr>
          <w:sz w:val="24"/>
          <w:szCs w:val="24"/>
        </w:rPr>
        <w:fldChar w:fldCharType="begin" w:fldLock="1"/>
      </w:r>
      <w:r w:rsidR="00372EFE">
        <w:rPr>
          <w:sz w:val="24"/>
          <w:szCs w:val="24"/>
        </w:rPr>
        <w:instrText>ADDIN CSL_CITATION {"citationItems":[{"id":"ITEM-1","itemData":{"DOI":"10.1016/j.eururo.2021.05.001","ISSN":"03022838","author":[{"dropping-particle":"","family":"Rajwa","given":"Pawel","non-dropping-particle":"","parse-names":false,"suffix":""},{"dropping-particle":"","family":"Pradere","given":"Benjamin","non-dropping-particle":"","parse-names":false,"suffix":""},{"dropping-particle":"","family":"Quhal","given":"Fahad","non-dropping-particle":"","parse-names":false,"suffix":""},{"dropping-particle":"","family":"Mori","given":"Keiichiro","non-dropping-particle":"","parse-names":false,"suffix":""},{"dropping-particle":"","family":"Laukhtina","given":"Ekaterina","non-dropping-particle":"","parse-names":false,"suffix":""},{"dropping-particle":"","family":"Huebner","given":"Nicolai A.","non-dropping-particle":"","parse-names":false,"suffix":""},{"dropping-particle":"","family":"D’Andrea","given":"David","non-dropping-particle":"","parse-names":false,"suffix":""},{"dropping-particle":"","family":"Krzywon","given":"Aleksandra","non-dropping-particle":"","parse-names":false,"suffix":""},{"dropping-particle":"","family":"Shim","given":"Sung Ryul","non-dropping-particle":"","parse-names":false,"suffix":""},{"dropping-particle":"","family":"Baltzer","given":"Pascal A.","non-dropping-particle":"","parse-names":false,"suffix":""},{"dropping-particle":"","family":"Renard-Penna","given":"Raphaële","non-dropping-particle":"","parse-names":false,"suffix":""},{"dropping-particle":"","family":"Leapman","given":"Michael S.","non-dropping-particle":"","parse-names":false,"suffix":""},{"dropping-particle":"","family":"Shariat","given":"Shahrokh F.","non-dropping-particle":"","parse-names":false,"suffix":""},{"dropping-particle":"","family":"Ploussard","given":"Guillaume","non-dropping-particle":"","parse-names":false,"suffix":""}],"container-title":"European Urology","id":"ITEM-1","issued":{"date-parts":[["2021","5"]]},"publisher":"Eur Urol","title":"Reliability of Serial Prostate Magnetic Resonance Imaging to Detect Prostate Cancer Progression During Active Surveillance: A Systematic Review and Meta-analysis","type":"article-journal"},"uris":["http://www.mendeley.com/documents/?uuid=0ffb9193-c0ad-3694-9782-4c3235d018c7"]},{"id":"ITEM-2","itemData":{"DOI":"10.1016/j.euo.2020.09.002","ISSN":"25889311","abstract":"CONTEXT The role of multiparametric magnetic resonance imaging (mp-MRI) during active surveillance (AS) of prostate cancer needs evaluation. It remains unclear whether mp-MRI can replace prostate biopsies completely during AS. OBJECTIVE To evaluate the diagnostic performance of mp-MRI for disease progression in men on AS for prostate cancer. EVIDENCE ACQUISITION This systematic review was performed in accordance with the Cochrane Handbook and the Preferred Reporting Items for Systematic Reviews and Meta-analyses (PRISMA). Cross-sectional studies that evaluate the diagnostic performance of mp-MRI (index test) for disease progression compared with systematic and targeted prostate/template biopsies or a composite of this (reference standard) were included. A meta-analysis was performed using STATA with \"metandi\" and \"midas\" commands. EVIDENCE SYNTHESIS Seven studies with 800 patients were included in this systematic review. The pooled pathological progression rate was 27%. The pooled sensitivity and specificity of mp-MRI for disease progression were 0.61 (95% confidence interval [CI]: 0.46-0.74) and 0.78 (95% CI: 0.54-0.91), respectively. Adjusting for a prevalence of disease progression of 30% results in a positive predictive value of 0.43 (95% CI: 0.39-0.46) and a negative predictive value of 0.81 (95% CI: 0.78-0.84). Significant heterogeneity was observed. The meta-regression analysis did not demonstrate any significant outliers. CONCLUSIONS It is not possible to supplant prostate biopsies with mp-MRI in AS protocols with the current level of evidence. There is significant institutional variation in the diagnostic performance of mp-MRI during AS. Institutions must internally audit the diagnostic performance of mp-MRI in the AS setting. AS protocols must be based on local diagnostic performance, rather than on international AS protocols that may have limited applicability at individual settings. PATIENT SUMMARY In this review, we explored the accuracy of multiparametric magnetic resonance imaging in diagnosing disease progression for patients who were enrolled in active surveillance programmes for prostate cancer.","author":[{"dropping-particle":"","family":"Hettiarachchi","given":"Dinul","non-dropping-particle":"","parse-names":false,"suffix":""},{"dropping-particle":"","family":"Geraghty","given":"Rob","non-dropping-particle":"","parse-names":false,"suffix":""},{"dropping-particle":"","family":"Rice","given":"Patrick","non-dropping-particle":"","parse-names":false,"suffix":""},{"dropping-particle":"","family":"Sachdeva","given":"Ashwin","non-dropping-particle":"","parse-names":false,"suffix":""},{"dropping-particle":"","family":"Nambiar","given":"Arjun","non-dropping-particle":"","parse-names":false,"suffix":""},{"dropping-particle":"","family":"Johnson","given":"Mark","non-dropping-particle":"","parse-names":false,"suffix":""},{"dropping-particle":"","family":"Gujadhur","given":"Rahul","non-dropping-particle":"","parse-names":false,"suffix":""},{"dropping-particle":"","family":"Mcneill","given":"Michael","non-dropping-particle":"","parse-names":false,"suffix":""},{"dropping-particle":"","family":"Haslam","given":"Phillip","non-dropping-particle":"","parse-names":false,"suffix":""},{"dropping-particle":"","family":"Soomro","given":"Naeem","non-dropping-particle":"","parse-names":false,"suffix":""},{"dropping-particle":"","family":"Zeeshan Hameed","given":"B.M.","non-dropping-particle":"","parse-names":false,"suffix":""},{"dropping-particle":"","family":"Somani","given":"Bhaskar","non-dropping-particle":"","parse-names":false,"suffix":""},{"dropping-particle":"","family":"Veeratterapillay","given":"Rajan","non-dropping-particle":"","parse-names":false,"suffix":""},{"dropping-particle":"","family":"Rai","given":"Bhavan Prasad","non-dropping-particle":"","parse-names":false,"suffix":""}],"container-title":"European Urology Oncology","id":"ITEM-2","issue":"3","issued":{"date-parts":[["2021","6","1"]]},"page":"426-436","publisher":"Elsevier BV","title":"Can the Use of Serial Multiparametric Magnetic Resonance Imaging During Active Surveillance of Prostate Cancer Avoid the Need for Prostate Biopsies?—A Systematic Diagnostic Test Accuracy Review","type":"article-journal","volume":"4"},"uris":["http://www.mendeley.com/documents/?uuid=e877a8ce-026f-3e6c-8848-90aae3a4db67"]}],"mendeley":{"formattedCitation":"[9,10]","plainTextFormattedCitation":"[9,10]"},"properties":{"noteIndex":0},"schema":"https://github.com/citation-style-language/schema/raw/master/csl-citation.json"}</w:instrText>
      </w:r>
      <w:r w:rsidR="00372EFE">
        <w:rPr>
          <w:sz w:val="24"/>
          <w:szCs w:val="24"/>
        </w:rPr>
        <w:fldChar w:fldCharType="separate"/>
      </w:r>
      <w:r w:rsidR="00372EFE" w:rsidRPr="00372EFE">
        <w:rPr>
          <w:noProof/>
          <w:sz w:val="24"/>
          <w:szCs w:val="24"/>
        </w:rPr>
        <w:t>[9,10]</w:t>
      </w:r>
      <w:r w:rsidR="00372EFE">
        <w:rPr>
          <w:sz w:val="24"/>
          <w:szCs w:val="24"/>
        </w:rPr>
        <w:fldChar w:fldCharType="end"/>
      </w:r>
      <w:r w:rsidR="00372EFE">
        <w:rPr>
          <w:sz w:val="24"/>
          <w:szCs w:val="24"/>
        </w:rPr>
        <w:t>.</w:t>
      </w:r>
      <w:r w:rsidR="00621158">
        <w:rPr>
          <w:sz w:val="24"/>
          <w:szCs w:val="24"/>
        </w:rPr>
        <w:t xml:space="preserve"> </w:t>
      </w:r>
    </w:p>
    <w:p w14:paraId="13DD85B8" w14:textId="40516AFC" w:rsidR="0085648C" w:rsidRDefault="0085648C" w:rsidP="0085648C">
      <w:pPr>
        <w:rPr>
          <w:sz w:val="24"/>
          <w:szCs w:val="24"/>
        </w:rPr>
      </w:pPr>
      <w:r>
        <w:rPr>
          <w:sz w:val="24"/>
          <w:szCs w:val="24"/>
        </w:rPr>
        <w:t xml:space="preserve">In conclusion, we show that patients with histopathological PCa progression on AS demonstrate a significant increase in T2WI-derived tumour measurements and ADC values. Relative changes in T2WI-derived tumour diameter and small-volume ADC values can be objectively evaluated in routine clinical practice, </w:t>
      </w:r>
      <w:r w:rsidR="00123A61">
        <w:rPr>
          <w:sz w:val="24"/>
          <w:szCs w:val="24"/>
        </w:rPr>
        <w:t xml:space="preserve">and their </w:t>
      </w:r>
      <w:r>
        <w:rPr>
          <w:sz w:val="24"/>
          <w:szCs w:val="24"/>
        </w:rPr>
        <w:t>cut-off values of +20% and -</w:t>
      </w:r>
      <w:r w:rsidR="00125EB2">
        <w:rPr>
          <w:sz w:val="24"/>
          <w:szCs w:val="24"/>
        </w:rPr>
        <w:t>10</w:t>
      </w:r>
      <w:r>
        <w:rPr>
          <w:sz w:val="24"/>
          <w:szCs w:val="24"/>
        </w:rPr>
        <w:t>%, respectively, can be</w:t>
      </w:r>
      <w:r w:rsidR="0082422E">
        <w:rPr>
          <w:sz w:val="24"/>
          <w:szCs w:val="24"/>
        </w:rPr>
        <w:t xml:space="preserve"> validated as part of multicentre studies and</w:t>
      </w:r>
      <w:r>
        <w:rPr>
          <w:sz w:val="24"/>
          <w:szCs w:val="24"/>
        </w:rPr>
        <w:t xml:space="preserve"> used to supplement the subjective PRECISE image assessment criteria.  </w:t>
      </w:r>
    </w:p>
    <w:p w14:paraId="37ED8B0F" w14:textId="337794B3" w:rsidR="00BB365F" w:rsidRDefault="00043709">
      <w:pPr>
        <w:rPr>
          <w:sz w:val="24"/>
          <w:szCs w:val="24"/>
        </w:rPr>
      </w:pPr>
      <w:r>
        <w:rPr>
          <w:sz w:val="24"/>
          <w:szCs w:val="24"/>
        </w:rPr>
        <w:br w:type="page"/>
      </w:r>
    </w:p>
    <w:p w14:paraId="7E1C260B" w14:textId="74A8DC70" w:rsidR="00650B29" w:rsidRDefault="00382478" w:rsidP="00382478">
      <w:pPr>
        <w:rPr>
          <w:sz w:val="24"/>
          <w:szCs w:val="24"/>
          <w:lang w:val="en-US"/>
        </w:rPr>
      </w:pPr>
      <w:r>
        <w:rPr>
          <w:b/>
          <w:bCs/>
          <w:sz w:val="24"/>
          <w:szCs w:val="24"/>
          <w:lang w:val="en-US"/>
        </w:rPr>
        <w:lastRenderedPageBreak/>
        <w:t>References:</w:t>
      </w:r>
    </w:p>
    <w:p w14:paraId="1AAAAE7A" w14:textId="053ACCD6" w:rsidR="00372EFE" w:rsidRPr="00372EFE" w:rsidRDefault="00650B29" w:rsidP="00372EFE">
      <w:pPr>
        <w:widowControl w:val="0"/>
        <w:autoSpaceDE w:val="0"/>
        <w:autoSpaceDN w:val="0"/>
        <w:adjustRightInd w:val="0"/>
        <w:spacing w:line="240" w:lineRule="auto"/>
        <w:ind w:left="640" w:hanging="640"/>
        <w:rPr>
          <w:rFonts w:ascii="Calibri" w:hAnsi="Calibri" w:cs="Calibri"/>
          <w:noProof/>
          <w:sz w:val="24"/>
          <w:szCs w:val="24"/>
        </w:rPr>
      </w:pPr>
      <w:r>
        <w:rPr>
          <w:sz w:val="24"/>
          <w:szCs w:val="24"/>
          <w:lang w:val="en-US"/>
        </w:rPr>
        <w:fldChar w:fldCharType="begin" w:fldLock="1"/>
      </w:r>
      <w:r>
        <w:rPr>
          <w:sz w:val="24"/>
          <w:szCs w:val="24"/>
          <w:lang w:val="en-US"/>
        </w:rPr>
        <w:instrText xml:space="preserve">ADDIN Mendeley Bibliography CSL_BIBLIOGRAPHY </w:instrText>
      </w:r>
      <w:r>
        <w:rPr>
          <w:sz w:val="24"/>
          <w:szCs w:val="24"/>
          <w:lang w:val="en-US"/>
        </w:rPr>
        <w:fldChar w:fldCharType="separate"/>
      </w:r>
      <w:r w:rsidR="00372EFE" w:rsidRPr="00372EFE">
        <w:rPr>
          <w:rFonts w:ascii="Calibri" w:hAnsi="Calibri" w:cs="Calibri"/>
          <w:noProof/>
          <w:sz w:val="24"/>
          <w:szCs w:val="24"/>
        </w:rPr>
        <w:t>[1]</w:t>
      </w:r>
      <w:r w:rsidR="00372EFE" w:rsidRPr="00372EFE">
        <w:rPr>
          <w:rFonts w:ascii="Calibri" w:hAnsi="Calibri" w:cs="Calibri"/>
          <w:noProof/>
          <w:sz w:val="24"/>
          <w:szCs w:val="24"/>
        </w:rPr>
        <w:tab/>
        <w:t>Heidenreich A, Bellmunt J, Bolla M, Joniau S, Mason M, Matveev V, et al. EAU guidelines on prostate cancer. Part 1: Screening, diagnosis, and treatment of clinically localised disease. Eur Urol 2011;59:61–71. https://doi.org/10.1016/j.eururo.2010.10.039.</w:t>
      </w:r>
    </w:p>
    <w:p w14:paraId="20F434B8"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w:t>
      </w:r>
      <w:r w:rsidRPr="00372EFE">
        <w:rPr>
          <w:rFonts w:ascii="Calibri" w:hAnsi="Calibri" w:cs="Calibri"/>
          <w:noProof/>
          <w:sz w:val="24"/>
          <w:szCs w:val="24"/>
        </w:rPr>
        <w:tab/>
        <w:t>Mottet N, Bellmunt J, Bolla M, Briers E, Cumberbatch MG, De Santis M, et al. EAU-ESTRO-SIOG Guidelines on Prostate Cancer. Part 1: Screening, Diagnosis, and Local Treatment with Curative Intent. Eur Urol 2017;71:618–29. https://doi.org/10.1016/j.eururo.2016.08.003.</w:t>
      </w:r>
    </w:p>
    <w:p w14:paraId="53974BBD"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w:t>
      </w:r>
      <w:r w:rsidRPr="00372EFE">
        <w:rPr>
          <w:rFonts w:ascii="Calibri" w:hAnsi="Calibri" w:cs="Calibri"/>
          <w:noProof/>
          <w:sz w:val="24"/>
          <w:szCs w:val="24"/>
        </w:rPr>
        <w:tab/>
        <w:t>Negoita S, Feuer EJ, Mariotto A, Cronin KA, Petkov VI, Hussey SK, et al. Annual Report to the Nation on the Status of Cancer, part II: Recent changes in prostate cancer trends and disease characteristics. Cancer 2018;124:2801–14. https://doi.org/10.1002/cncr.31549.</w:t>
      </w:r>
    </w:p>
    <w:p w14:paraId="6E4163C7"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[4]</w:t>
      </w:r>
      <w:r w:rsidRPr="00372EFE">
        <w:rPr>
          <w:rFonts w:ascii="Calibri" w:hAnsi="Calibri" w:cs="Calibri"/>
          <w:noProof/>
          <w:sz w:val="24"/>
          <w:szCs w:val="24"/>
        </w:rPr>
        <w:tab/>
        <w:t>Results of the NPCA Prospective Audit in England and Wales for men diagnosed from 1 National Prostate Cancer Audit Seventh Year Annual Report-Results of the NPCA Prospective Audit in England and Wales for men diagnosed 1. 2020.</w:t>
      </w:r>
    </w:p>
    <w:p w14:paraId="5D9DCC7E"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[5]</w:t>
      </w:r>
      <w:r w:rsidRPr="00372EFE">
        <w:rPr>
          <w:rFonts w:ascii="Calibri" w:hAnsi="Calibri" w:cs="Calibri"/>
          <w:noProof/>
          <w:sz w:val="24"/>
          <w:szCs w:val="24"/>
        </w:rPr>
        <w:tab/>
        <w:t>Van Hemelrijck M, Ji X, Helleman J, Roobol MJ, van der Linden W, Nieboer D, et al. Reasons for Discontinuing Active Surveillance: Assessment of 21 Centres in 12 Countries in the Movember GAP3 Consortium. Eur Urol 2019;75:523–31. https://doi.org/https://doi.org/10.1016/j.eururo.2018.10.025.</w:t>
      </w:r>
    </w:p>
    <w:p w14:paraId="09BAD9B7"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[6]</w:t>
      </w:r>
      <w:r w:rsidRPr="00372EFE">
        <w:rPr>
          <w:rFonts w:ascii="Calibri" w:hAnsi="Calibri" w:cs="Calibri"/>
          <w:noProof/>
          <w:sz w:val="24"/>
          <w:szCs w:val="24"/>
        </w:rPr>
        <w:tab/>
        <w:t>Loeb S, Vellekoop A, Ahmed HU, Catto J, Emberton M, Nam R, et al. Systematic review of complications of prostate biopsy. Eur Urol 2013. https://doi.org/10.1016/j.eururo.2013.05.049.</w:t>
      </w:r>
    </w:p>
    <w:p w14:paraId="603EF016"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[7]</w:t>
      </w:r>
      <w:r w:rsidRPr="00372EFE">
        <w:rPr>
          <w:rFonts w:ascii="Calibri" w:hAnsi="Calibri" w:cs="Calibri"/>
          <w:noProof/>
          <w:sz w:val="24"/>
          <w:szCs w:val="24"/>
        </w:rPr>
        <w:tab/>
        <w:t>Bokhorst LP, Alberts AR, Rannikko A, Valdagni R, Pickles T, Kakehi Y, et al. Compliance rates with the Prostate Cancer Research International Active Surveillance (PRIAS) protocol and disease reclassification in noncompliers. Eur Urol 2015;68:814–21. https://doi.org/10.1016/j.eururo.2015.06.012.</w:t>
      </w:r>
    </w:p>
    <w:p w14:paraId="698D5514"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[8]</w:t>
      </w:r>
      <w:r w:rsidRPr="00372EFE">
        <w:rPr>
          <w:rFonts w:ascii="Calibri" w:hAnsi="Calibri" w:cs="Calibri"/>
          <w:noProof/>
          <w:sz w:val="24"/>
          <w:szCs w:val="24"/>
        </w:rPr>
        <w:tab/>
        <w:t>Giganti F, Kirkham A, Allen C, Punwani S, Orczyk C, Emberton M, et al. Update on multiparametric prostate MRI during active surveillance: Current and future trends and role of the PRECISE recommendations. Am J Roentgenol 2021;216:943–51. https://doi.org/10.2214/AJR.20.23985.</w:t>
      </w:r>
    </w:p>
    <w:p w14:paraId="6E05DF57"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[9]</w:t>
      </w:r>
      <w:r w:rsidRPr="00372EFE">
        <w:rPr>
          <w:rFonts w:ascii="Calibri" w:hAnsi="Calibri" w:cs="Calibri"/>
          <w:noProof/>
          <w:sz w:val="24"/>
          <w:szCs w:val="24"/>
        </w:rPr>
        <w:tab/>
        <w:t>Rajwa P, Pradere B, Quhal F, Mori K, Laukhtina E, Huebner NA, et al. Reliability of Serial Prostate Magnetic Resonance Imaging to Detect Prostate Cancer Progression During Active Surveillance: A Systematic Review and Meta-analysis. Eur Urol 2021. https://doi.org/10.1016/j.eururo.2021.05.001.</w:t>
      </w:r>
    </w:p>
    <w:p w14:paraId="72560F34"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[10]</w:t>
      </w:r>
      <w:r w:rsidRPr="00372EFE">
        <w:rPr>
          <w:rFonts w:ascii="Calibri" w:hAnsi="Calibri" w:cs="Calibri"/>
          <w:noProof/>
          <w:sz w:val="24"/>
          <w:szCs w:val="24"/>
        </w:rPr>
        <w:tab/>
        <w:t>Hettiarachchi D, Geraghty R, Rice P, Sachdeva A, Nambiar A, Johnson M, et al. Can the Use of Serial Multiparametric Magnetic Resonance Imaging During Active Surveillance of Prostate Cancer Avoid the Need for Prostate Biopsies?—A Systematic Diagnostic Test Accuracy Review. Eur Urol Oncol 2021;4:426–36. https://doi.org/10.1016/j.euo.2020.09.002.</w:t>
      </w:r>
    </w:p>
    <w:p w14:paraId="6A922ECE"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[11]</w:t>
      </w:r>
      <w:r w:rsidRPr="00372EFE">
        <w:rPr>
          <w:rFonts w:ascii="Calibri" w:hAnsi="Calibri" w:cs="Calibri"/>
          <w:noProof/>
          <w:sz w:val="24"/>
          <w:szCs w:val="24"/>
        </w:rPr>
        <w:tab/>
        <w:t xml:space="preserve">Ploussard G, Renard-Penna R. MRI-guided active surveillance in prostate cancer: not </w:t>
      </w:r>
      <w:r w:rsidRPr="00372EFE">
        <w:rPr>
          <w:rFonts w:ascii="Calibri" w:hAnsi="Calibri" w:cs="Calibri"/>
          <w:noProof/>
          <w:sz w:val="24"/>
          <w:szCs w:val="24"/>
        </w:rPr>
        <w:lastRenderedPageBreak/>
        <w:t>yet ready for practice. Nat Rev Urol 2021;18:77–8. https://doi.org/10.1038/s41585-020-00416-2.</w:t>
      </w:r>
    </w:p>
    <w:p w14:paraId="051A8ADA"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[12]</w:t>
      </w:r>
      <w:r w:rsidRPr="00372EFE">
        <w:rPr>
          <w:rFonts w:ascii="Calibri" w:hAnsi="Calibri" w:cs="Calibri"/>
          <w:noProof/>
          <w:sz w:val="24"/>
          <w:szCs w:val="24"/>
        </w:rPr>
        <w:tab/>
        <w:t>Thurtle D, Barrett T, Thankappan-Nair V, Koo B, Warren A, Kastner C, et al. Progression and treatment rates using an active surveillance protocol incorporating image-guided baseline biopsies and multiparametric magnetic resonance imaging monitoring for men with favourable-risk prostate cancer. BJU Int 2018;122:59–65. https://doi.org/10.1111/bju.14166.</w:t>
      </w:r>
    </w:p>
    <w:p w14:paraId="664D83E4"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[13]</w:t>
      </w:r>
      <w:r w:rsidRPr="00372EFE">
        <w:rPr>
          <w:rFonts w:ascii="Calibri" w:hAnsi="Calibri" w:cs="Calibri"/>
          <w:noProof/>
          <w:sz w:val="24"/>
          <w:szCs w:val="24"/>
        </w:rPr>
        <w:tab/>
        <w:t>de Rooij M, Israël B, Tummers M, Ahmed HU, Barrett T, Giganti F, et al. ESUR/ESUI consensus statements on multi-parametric MRI for the detection of clinically significant prostate cancer: quality requirements for image acquisition, interpretation and radiologists’ training. Eur Radiol 2020. https://doi.org/10.1007/s00330-020-06929-z.</w:t>
      </w:r>
    </w:p>
    <w:p w14:paraId="46C9B298"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[14]</w:t>
      </w:r>
      <w:r w:rsidRPr="00372EFE">
        <w:rPr>
          <w:rFonts w:ascii="Calibri" w:hAnsi="Calibri" w:cs="Calibri"/>
          <w:noProof/>
          <w:sz w:val="24"/>
          <w:szCs w:val="24"/>
        </w:rPr>
        <w:tab/>
        <w:t>de Rooij M, Israël B, Barrett T, Giganti F, Padhani AR, Panebianco V, et al. Focus on the Quality of Prostate Multiparametric Magnetic Resonance Imaging: Synopsis of the ESUR/ESUI Recommendations on Quality Assessment and Interpretation of Images and Radiologists’ Training. Eur Urol 2020;78:483–5. https://doi.org/10.1016/j.eururo.2020.06.023.</w:t>
      </w:r>
    </w:p>
    <w:p w14:paraId="42D55938"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[15]</w:t>
      </w:r>
      <w:r w:rsidRPr="00372EFE">
        <w:rPr>
          <w:rFonts w:ascii="Calibri" w:hAnsi="Calibri" w:cs="Calibri"/>
          <w:noProof/>
          <w:sz w:val="24"/>
          <w:szCs w:val="24"/>
        </w:rPr>
        <w:tab/>
        <w:t>Gaziev G, Wadhwa K, Barrett T, Koo BC, Gallagher FA, Serrao E, et al. Defining the learning curve for multiparametric magnetic resonance imaging ({MRI}) of the prostate using {MRI}-transrectal ultrasonography ({TRUS}) fusion-guided transperineal prostate biopsies as a validation tool. {BJU} Int 2015;117:80–6. https://doi.org/10.1111/bju.12892.</w:t>
      </w:r>
    </w:p>
    <w:p w14:paraId="0DCC97AF"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[16]</w:t>
      </w:r>
      <w:r w:rsidRPr="00372EFE">
        <w:rPr>
          <w:rFonts w:ascii="Calibri" w:hAnsi="Calibri" w:cs="Calibri"/>
          <w:noProof/>
          <w:sz w:val="24"/>
          <w:szCs w:val="24"/>
        </w:rPr>
        <w:tab/>
        <w:t>Rosenkrantz AB, Ayoola A, Hoffman D, Khasgiwala A, Prabhu V, Smereka P, et al. The learning curve in prostate MRI interpretation: Self-directed learning versus continual reader feedback. Am. J. Roentgenol., vol. 208, American Roentgen Ray Society; 2017, p. W92–100. https://doi.org/10.2214/AJR.16.16876.</w:t>
      </w:r>
    </w:p>
    <w:p w14:paraId="7CE3BBFC"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[17]</w:t>
      </w:r>
      <w:r w:rsidRPr="00372EFE">
        <w:rPr>
          <w:rFonts w:ascii="Calibri" w:hAnsi="Calibri" w:cs="Calibri"/>
          <w:noProof/>
          <w:sz w:val="24"/>
          <w:szCs w:val="24"/>
        </w:rPr>
        <w:tab/>
        <w:t>Moore CM, Giganti F, Albertsen P, Allen C, Bangma C, Briganti A, et al. Reporting Magnetic Resonance Imaging in Men on Active Surveillance for Prostate Cancer: The PRECISE Recommendations—A Report of a European School of Oncology Task Force. Eur Urol 2017;71:648–55. https://doi.org/10.1016/j.eururo.2016.06.011.</w:t>
      </w:r>
    </w:p>
    <w:p w14:paraId="47AFA137"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[18]</w:t>
      </w:r>
      <w:r w:rsidRPr="00372EFE">
        <w:rPr>
          <w:rFonts w:ascii="Calibri" w:hAnsi="Calibri" w:cs="Calibri"/>
          <w:noProof/>
          <w:sz w:val="24"/>
          <w:szCs w:val="24"/>
        </w:rPr>
        <w:tab/>
        <w:t>Padhani AR, Rouvière O, Schoots IG. Magnetic Resonance Imaging for Tailoring the Need to Biopsy During Follow-up for Men on Active Surveillance for Prostate Cancer. Eur Urol 2021. https://doi.org/10.1016/j.eururo.2021.05.024.</w:t>
      </w:r>
    </w:p>
    <w:p w14:paraId="37C89FC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[19]</w:t>
      </w:r>
      <w:r w:rsidRPr="00372EFE">
        <w:rPr>
          <w:rFonts w:ascii="Calibri" w:hAnsi="Calibri" w:cs="Calibri"/>
          <w:noProof/>
          <w:sz w:val="24"/>
          <w:szCs w:val="24"/>
        </w:rPr>
        <w:tab/>
        <w:t>Giganti F, Pecoraro M, Fierro D, Campa R, Del Giudice F, Punwani S, et al. DWI and PRECISE criteria in men on active surveillance for prostate cancer: A multicentre preliminary experience of different ADC calculations. Magn Reson Imaging 2020;67:50–8. https://doi.org/10.1016/j.mri.2019.12.007.</w:t>
      </w:r>
    </w:p>
    <w:p w14:paraId="26A5BB15"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[20]</w:t>
      </w:r>
      <w:r w:rsidRPr="00372EFE">
        <w:rPr>
          <w:rFonts w:ascii="Calibri" w:hAnsi="Calibri" w:cs="Calibri"/>
          <w:noProof/>
          <w:sz w:val="24"/>
          <w:szCs w:val="24"/>
        </w:rPr>
        <w:tab/>
        <w:t>Giganti F, Stavrinides V, Stabile A, Osinibi E, Orczyk C, Radtke JP, et al. Prostate cancer measurements on serial MRI during active surveillance: it’s time to be PRECISE. Br J Radiol 2020;93:20200819. https://doi.org/10.1259/bjr.20200819.</w:t>
      </w:r>
    </w:p>
    <w:p w14:paraId="3F06D3CB"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[21]</w:t>
      </w:r>
      <w:r w:rsidRPr="00372EFE">
        <w:rPr>
          <w:rFonts w:ascii="Calibri" w:hAnsi="Calibri" w:cs="Calibri"/>
          <w:noProof/>
          <w:sz w:val="24"/>
          <w:szCs w:val="24"/>
        </w:rPr>
        <w:tab/>
        <w:t xml:space="preserve">Morgan VA, Riches SF, Thomas K, Vanas N, Parker C, Giles S, et al. Diffusion-weighted magnetic resonance imaging for monitoring prostate cancer progression in patients </w:t>
      </w:r>
      <w:r w:rsidRPr="00372EFE">
        <w:rPr>
          <w:rFonts w:ascii="Calibri" w:hAnsi="Calibri" w:cs="Calibri"/>
          <w:noProof/>
          <w:sz w:val="24"/>
          <w:szCs w:val="24"/>
        </w:rPr>
        <w:lastRenderedPageBreak/>
        <w:t>managed by active surveillance. Br J Radiol 2011;84:31–7. https://doi.org/10.1259/bjr/14556365.</w:t>
      </w:r>
    </w:p>
    <w:p w14:paraId="03F7F14F"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[22]</w:t>
      </w:r>
      <w:r w:rsidRPr="00372EFE">
        <w:rPr>
          <w:rFonts w:ascii="Calibri" w:hAnsi="Calibri" w:cs="Calibri"/>
          <w:noProof/>
          <w:sz w:val="24"/>
          <w:szCs w:val="24"/>
        </w:rPr>
        <w:tab/>
        <w:t>Morgan VA, Parker C, MacDonald A, Thomas K, DeSouza NM. Monitoring tumor volume in patients with prostate cancer undergoing active surveillance: Is MRI apparent diffusion coefficient indicative of tumor growth? Am J Roentgenol 2017;209:620–8. https://doi.org/10.2214/AJR.17.17790.</w:t>
      </w:r>
    </w:p>
    <w:p w14:paraId="59F12004"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[23]</w:t>
      </w:r>
      <w:r w:rsidRPr="00372EFE">
        <w:rPr>
          <w:rFonts w:ascii="Calibri" w:hAnsi="Calibri" w:cs="Calibri"/>
          <w:noProof/>
          <w:sz w:val="24"/>
          <w:szCs w:val="24"/>
        </w:rPr>
        <w:tab/>
        <w:t>Giganti F, Pecoraro M, Stavrinides V, Stabile A, Cipollari S, Sciarra A, et al. Interobserver reproducibility of the PRECISE scoring system for prostate MRI on active surveillance: results from a two-centre pilot study. Eur Radiol 2020;30:2082–90. https://doi.org/10.1007/s00330-019-06557-2.</w:t>
      </w:r>
    </w:p>
    <w:p w14:paraId="12661BC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[24]</w:t>
      </w:r>
      <w:r w:rsidRPr="00372EFE">
        <w:rPr>
          <w:rFonts w:ascii="Calibri" w:hAnsi="Calibri" w:cs="Calibri"/>
          <w:noProof/>
          <w:sz w:val="24"/>
          <w:szCs w:val="24"/>
        </w:rPr>
        <w:tab/>
        <w:t>Yushkevich PA, Piven J, Hazlett HC, Smith RG, Ho S, Gee JC, et al. User-guided 3D active contour segmentation of anatomical structures: Significantly improved efficiency and reliability. Neuroimage 2006;31:1116–28. https://doi.org/10.1016/j.neuroimage.2006.01.015.</w:t>
      </w:r>
    </w:p>
    <w:p w14:paraId="7243C74D"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[25]</w:t>
      </w:r>
      <w:r w:rsidRPr="00372EFE">
        <w:rPr>
          <w:rFonts w:ascii="Calibri" w:hAnsi="Calibri" w:cs="Calibri"/>
          <w:noProof/>
          <w:sz w:val="24"/>
          <w:szCs w:val="24"/>
        </w:rPr>
        <w:tab/>
        <w:t>Turkbey B, Rosenkrantz AB, Haider MA, Padhani AR, Villeirs G, Macura KJ, et al. Prostate Imaging Reporting and Data System Version 2.1: 2019 Update of Prostate Imaging Reporting and Data System Version 2. Eur Urol 2019;76:340–51. https://doi.org/10.1016/J.EURURO.2019.02.033.</w:t>
      </w:r>
    </w:p>
    <w:p w14:paraId="2D41CF68"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[26]</w:t>
      </w:r>
      <w:r w:rsidRPr="00372EFE">
        <w:rPr>
          <w:rFonts w:ascii="Calibri" w:hAnsi="Calibri" w:cs="Calibri"/>
          <w:noProof/>
          <w:sz w:val="24"/>
          <w:szCs w:val="24"/>
        </w:rPr>
        <w:tab/>
        <w:t>Barrett T, Padhani AR, Patel A, Ahmed HU, Allen C, Bardgett H, et al. Certification in reporting multiparametric magnetic resonance imaging of the prostate: recommendations of a UK consensus meeting. BJU Int 2020. https://doi.org/10.1111/bju.15285.</w:t>
      </w:r>
    </w:p>
    <w:p w14:paraId="50BE9B20"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[27]</w:t>
      </w:r>
      <w:r w:rsidRPr="00372EFE">
        <w:rPr>
          <w:rFonts w:ascii="Calibri" w:hAnsi="Calibri" w:cs="Calibri"/>
          <w:noProof/>
          <w:sz w:val="24"/>
          <w:szCs w:val="24"/>
        </w:rPr>
        <w:tab/>
        <w:t>Barrett T, Rajesh A, Rosenkrantz AB, Choyke PL, Turkbey B. PI-RADS version 2.1: one small step for prostate MRI. Clin Radiol 2019;74:841–52. https://doi.org/10.1016/j.crad.2019.05.019.</w:t>
      </w:r>
    </w:p>
    <w:p w14:paraId="3B520C5E"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[28]</w:t>
      </w:r>
      <w:r w:rsidRPr="00372EFE">
        <w:rPr>
          <w:rFonts w:ascii="Calibri" w:hAnsi="Calibri" w:cs="Calibri"/>
          <w:noProof/>
          <w:sz w:val="24"/>
          <w:szCs w:val="24"/>
        </w:rPr>
        <w:tab/>
        <w:t>Eisenhauer EA, Therasse P, Bogaerts J, Schwartz LH, Sargent D, Ford R, et al. New response evaluation criteria in solid tumours: Revised RECIST guideline (version 1.1). Eur J Cancer n.d.;45:228–47. https://doi.org/10.1016/j.ejca.2008.10.026.</w:t>
      </w:r>
    </w:p>
    <w:p w14:paraId="55B141A5"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[29]</w:t>
      </w:r>
      <w:r w:rsidRPr="00372EFE">
        <w:rPr>
          <w:rFonts w:ascii="Calibri" w:hAnsi="Calibri" w:cs="Calibri"/>
          <w:noProof/>
          <w:sz w:val="24"/>
          <w:szCs w:val="24"/>
        </w:rPr>
        <w:tab/>
        <w:t>Giganti F, Allen C, Stavrinides V, Stabile A, Haider A, Freeman A, et al. Tumour growth rates of prostate cancer during active surveillance: is there a difference between MRI-visible low and intermediate-risk disease? Https://DoiOrg/101259/Bjr20210321 2021:20210321. https://doi.org/10.1259/BJR.20210321.</w:t>
      </w:r>
    </w:p>
    <w:p w14:paraId="0C304C6F"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[30]</w:t>
      </w:r>
      <w:r w:rsidRPr="00372EFE">
        <w:rPr>
          <w:rFonts w:ascii="Calibri" w:hAnsi="Calibri" w:cs="Calibri"/>
          <w:noProof/>
          <w:sz w:val="24"/>
          <w:szCs w:val="24"/>
        </w:rPr>
        <w:tab/>
        <w:t>Shoji S, Ukimura O, de Castro Abreu AL, Marien A, Matsugasumi T, Bahn D, et al. Image-based monitoring of targeted biopsy-proven prostate cancer on active surveillance: 11-year experience. World J Urol 2016;34:221–7. https://doi.org/10.1007/s00345-015-1619-z.</w:t>
      </w:r>
    </w:p>
    <w:p w14:paraId="33F0EA9C"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[31]</w:t>
      </w:r>
      <w:r w:rsidRPr="00372EFE">
        <w:rPr>
          <w:rFonts w:ascii="Calibri" w:hAnsi="Calibri" w:cs="Calibri"/>
          <w:noProof/>
          <w:sz w:val="24"/>
          <w:szCs w:val="24"/>
        </w:rPr>
        <w:tab/>
        <w:t>Lee DH, Koo KC, Lee SH, Rha KH, Choi YD, Hong SJ, et al. Tumor lesion diameter on diffusion weighted magnetic resonance imaging could help predict insignificant prostate cancer in patients eligible for active surveillance: Preliminary analysis. J Urol 2013;190:1213–7. https://doi.org/10.1016/j.juro.2013.03.127.</w:t>
      </w:r>
    </w:p>
    <w:p w14:paraId="3C65238F"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[32]</w:t>
      </w:r>
      <w:r w:rsidRPr="00372EFE">
        <w:rPr>
          <w:rFonts w:ascii="Calibri" w:hAnsi="Calibri" w:cs="Calibri"/>
          <w:noProof/>
          <w:sz w:val="24"/>
          <w:szCs w:val="24"/>
        </w:rPr>
        <w:tab/>
        <w:t xml:space="preserve">Barrett T, Lawrence EM, Priest AN, Warren AY, Gnanapragasam VJ, Gallagher FA, et </w:t>
      </w:r>
      <w:r w:rsidRPr="00372EFE">
        <w:rPr>
          <w:rFonts w:ascii="Calibri" w:hAnsi="Calibri" w:cs="Calibri"/>
          <w:noProof/>
          <w:sz w:val="24"/>
          <w:szCs w:val="24"/>
        </w:rPr>
        <w:lastRenderedPageBreak/>
        <w:t>al. Repeatability of diffusion-weighted MRI of the prostate using whole lesion ADC values, skew and histogram analysis. Eur J Radiol 2019;110:22–9. https://doi.org/10.1016/j.ejrad.2018.11.014.</w:t>
      </w:r>
    </w:p>
    <w:p w14:paraId="0F120A55"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[33]</w:t>
      </w:r>
      <w:r w:rsidRPr="00372EFE">
        <w:rPr>
          <w:rFonts w:ascii="Calibri" w:hAnsi="Calibri" w:cs="Calibri"/>
          <w:noProof/>
          <w:sz w:val="24"/>
          <w:szCs w:val="24"/>
        </w:rPr>
        <w:tab/>
        <w:t>Tamada T, Huang C, Ream JM, Taffel M, Taneja SS, Rosenkrantz AB. Apparent diffusion coefficient values of prostate cancer: Comparison of 2D and 3D ROIs. Am J Roentgenol 2018;210:113–7. https://doi.org/10.2214/AJR.17.18495.</w:t>
      </w:r>
    </w:p>
    <w:p w14:paraId="4223092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[34]</w:t>
      </w:r>
      <w:r w:rsidRPr="00372EFE">
        <w:rPr>
          <w:rFonts w:ascii="Calibri" w:hAnsi="Calibri" w:cs="Calibri"/>
          <w:noProof/>
          <w:sz w:val="24"/>
          <w:szCs w:val="24"/>
        </w:rPr>
        <w:tab/>
        <w:t>Fedorov A, Vangel MG, Tempany CM, Fennessy FM. Multiparametric Magnetic Resonance Imaging of the Prostate: Repeatability of Volume and Apparent Diffusion Coefficient Quantification. Invest Radiol 2017;52:538–46. https://doi.org/10.1097/RLI.0000000000000382.</w:t>
      </w:r>
    </w:p>
    <w:p w14:paraId="55226EA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[35]</w:t>
      </w:r>
      <w:r w:rsidRPr="00372EFE">
        <w:rPr>
          <w:rFonts w:ascii="Calibri" w:hAnsi="Calibri" w:cs="Calibri"/>
          <w:noProof/>
          <w:sz w:val="24"/>
          <w:szCs w:val="24"/>
        </w:rPr>
        <w:tab/>
        <w:t>Cobelli F De, Ravelli S, Esposito A, Giganti F, Gallina A, Montorsi F, et al. Apparent Diffusion Coefficient Value and Ratio as Noninvasive Potential Biomarkers to Predict Prostate Cancer Grading: Comparison With Prostate Biopsy and Radical Prostatectomy Specimen. Am J Roentgenol 2015;204:550–7. https://doi.org/10.2214/ajr.14.13146.</w:t>
      </w:r>
    </w:p>
    <w:p w14:paraId="24FB44C6"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[36]</w:t>
      </w:r>
      <w:r w:rsidRPr="00372EFE">
        <w:rPr>
          <w:rFonts w:ascii="Calibri" w:hAnsi="Calibri" w:cs="Calibri"/>
          <w:noProof/>
          <w:sz w:val="24"/>
          <w:szCs w:val="24"/>
        </w:rPr>
        <w:tab/>
        <w:t>Jyoti R, Jain TP, Haxhimolla H, Liddell H, Barrett SE. Correlation of apparent diffusion coefficient ratio on 3.0 T MRI with prostate cancer Gleason score. Eur J Radiol Open 2018;5:58–63. https://doi.org/10.1016/j.ejro.2018.03.002.</w:t>
      </w:r>
    </w:p>
    <w:p w14:paraId="568A2670"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[37]</w:t>
      </w:r>
      <w:r w:rsidRPr="00372EFE">
        <w:rPr>
          <w:rFonts w:ascii="Calibri" w:hAnsi="Calibri" w:cs="Calibri"/>
          <w:noProof/>
          <w:sz w:val="24"/>
          <w:szCs w:val="24"/>
        </w:rPr>
        <w:tab/>
        <w:t>Boesen L, Chabanova E, Løgager V, Balslev I, Thomsen HS. Apparent diffusion coefficient ratio correlates significantly with prostate cancer gleason score at final pathology. J Magn Reson Imaging 2015;42:446–53. https://doi.org/10.1002/jmri.24801.</w:t>
      </w:r>
    </w:p>
    <w:p w14:paraId="0CF16D9C"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[38]</w:t>
      </w:r>
      <w:r w:rsidRPr="00372EFE">
        <w:rPr>
          <w:rFonts w:ascii="Calibri" w:hAnsi="Calibri" w:cs="Calibri"/>
          <w:noProof/>
          <w:sz w:val="24"/>
          <w:szCs w:val="24"/>
        </w:rPr>
        <w:tab/>
        <w:t>Barrett T, Priest AN, Lawrence EM, Goldman DA, Warren AY, Gnanapragasam VJ, et al. Ratio of tumor to normal prostate tissue apparent diffusion coefficient as a method for quantifying DWI of the prostate. Am J Roentgenol 2015;205:W585–93. https://doi.org/10.2214/AJR.15.14338.</w:t>
      </w:r>
    </w:p>
    <w:p w14:paraId="2506A1C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[39]</w:t>
      </w:r>
      <w:r w:rsidRPr="00372EFE">
        <w:rPr>
          <w:rFonts w:ascii="Calibri" w:hAnsi="Calibri" w:cs="Calibri"/>
          <w:noProof/>
          <w:sz w:val="24"/>
          <w:szCs w:val="24"/>
        </w:rPr>
        <w:tab/>
        <w:t>Sushentsev N, Caglic I, Sala E, Shaida N, Slough RA, Carmo B, et al. The effect of capped biparametric magnetic resonance imaging slots on weekly prostate cancer imaging workload. Br J Radiol 2020;93:20190929. https://doi.org/10.1259/bjr.20190929.</w:t>
      </w:r>
    </w:p>
    <w:p w14:paraId="0A787023"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[40]</w:t>
      </w:r>
      <w:r w:rsidRPr="00372EFE">
        <w:rPr>
          <w:rFonts w:ascii="Calibri" w:hAnsi="Calibri" w:cs="Calibri"/>
          <w:noProof/>
          <w:sz w:val="24"/>
          <w:szCs w:val="24"/>
        </w:rPr>
        <w:tab/>
        <w:t>Stavrinides V, Giganti F, Trock B, Punwani S, Allen C, Kirkham A, et al. Five-year Outcomes of Magnetic Resonance Imaging–based Active Surveillance for Prostate Cancer: A Large Cohort Study[Formula presented]. Eur Urol 2020;78:443–51. https://doi.org/10.1016/j.eururo.2020.03.035.</w:t>
      </w:r>
    </w:p>
    <w:p w14:paraId="4972AE54"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[41]</w:t>
      </w:r>
      <w:r w:rsidRPr="00372EFE">
        <w:rPr>
          <w:rFonts w:ascii="Calibri" w:hAnsi="Calibri" w:cs="Calibri"/>
          <w:noProof/>
          <w:sz w:val="24"/>
          <w:szCs w:val="24"/>
        </w:rPr>
        <w:tab/>
        <w:t>Caglic I, Sushentsev N, Gnanapragasam V, Sala E, Shaida N, Koo B, et al. MRI-derived PRECISE scores for predicting pathologically-confirmed radiological progression in prostate cancer patients on active surveillance. Eur Radiol 2020 2020:1–10. https://doi.org/10.1007/s00330-020-07336-0.</w:t>
      </w:r>
    </w:p>
    <w:p w14:paraId="4F96AE85"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[42]</w:t>
      </w:r>
      <w:r w:rsidRPr="00372EFE">
        <w:rPr>
          <w:rFonts w:ascii="Calibri" w:hAnsi="Calibri" w:cs="Calibri"/>
          <w:noProof/>
          <w:sz w:val="24"/>
          <w:szCs w:val="24"/>
        </w:rPr>
        <w:tab/>
        <w:t>Stavrinides V, Giganti F, Trock B, Punwani S, Allen C, Kirkham A, et al. Five-year Outcomes of Magnetic Resonance Imaging–based Active Surveillance for Prostate Cancer: A Large Cohort Study. Eur Urol 2020;78:443–51. https://doi.org/10.1016/J.EURURO.2020.03.035.</w:t>
      </w:r>
    </w:p>
    <w:p w14:paraId="62B214A2"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lastRenderedPageBreak/>
        <w:t>[43]</w:t>
      </w:r>
      <w:r w:rsidRPr="00372EFE">
        <w:rPr>
          <w:rFonts w:ascii="Calibri" w:hAnsi="Calibri" w:cs="Calibri"/>
          <w:noProof/>
          <w:sz w:val="24"/>
          <w:szCs w:val="24"/>
        </w:rPr>
        <w:tab/>
        <w:t>Gnanapragasam VJ, Barrett T, Thankapannair V, Thurtle D, Rubio-Briones J, Domínguez-Escrig J, et al. Using prognosis to guide inclusion criteria, define standardised endpoints and stratify follow-up in active surveillance for prostate cancer. BJU Int 2019;124:758–67. https://doi.org/10.1111/bju.14800.</w:t>
      </w:r>
    </w:p>
    <w:p w14:paraId="64CE6F67"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szCs w:val="24"/>
        </w:rPr>
      </w:pPr>
      <w:r w:rsidRPr="00372EFE">
        <w:rPr>
          <w:rFonts w:ascii="Calibri" w:hAnsi="Calibri" w:cs="Calibri"/>
          <w:noProof/>
          <w:sz w:val="24"/>
          <w:szCs w:val="24"/>
        </w:rPr>
        <w:t>[44]</w:t>
      </w:r>
      <w:r w:rsidRPr="00372EFE">
        <w:rPr>
          <w:rFonts w:ascii="Calibri" w:hAnsi="Calibri" w:cs="Calibri"/>
          <w:noProof/>
          <w:sz w:val="24"/>
          <w:szCs w:val="24"/>
        </w:rPr>
        <w:tab/>
        <w:t>Sushentsev N, Rundo L, Blyuss O, Gnanapragasam VJ, Sala E, Barrett T. MRI-derived radiomics model for baseline prediction of prostate cancer progression on active surveillance. Sci Rep 2021;11:12917. https://doi.org/10.1038/s41598-021-92341-6.</w:t>
      </w:r>
    </w:p>
    <w:p w14:paraId="5E94B97A" w14:textId="77777777" w:rsidR="00372EFE" w:rsidRPr="00372EFE" w:rsidRDefault="00372EFE" w:rsidP="00372EFE">
      <w:pPr>
        <w:widowControl w:val="0"/>
        <w:autoSpaceDE w:val="0"/>
        <w:autoSpaceDN w:val="0"/>
        <w:adjustRightInd w:val="0"/>
        <w:spacing w:line="240" w:lineRule="auto"/>
        <w:ind w:left="640" w:hanging="640"/>
        <w:rPr>
          <w:rFonts w:ascii="Calibri" w:hAnsi="Calibri" w:cs="Calibri"/>
          <w:noProof/>
          <w:sz w:val="24"/>
        </w:rPr>
      </w:pPr>
      <w:r w:rsidRPr="00372EFE">
        <w:rPr>
          <w:rFonts w:ascii="Calibri" w:hAnsi="Calibri" w:cs="Calibri"/>
          <w:noProof/>
          <w:sz w:val="24"/>
          <w:szCs w:val="24"/>
        </w:rPr>
        <w:t>[45]</w:t>
      </w:r>
      <w:r w:rsidRPr="00372EFE">
        <w:rPr>
          <w:rFonts w:ascii="Calibri" w:hAnsi="Calibri" w:cs="Calibri"/>
          <w:noProof/>
          <w:sz w:val="24"/>
          <w:szCs w:val="24"/>
        </w:rPr>
        <w:tab/>
        <w:t>Sushentsev N, Rundo L, Blyuss O, Nazarenko T, Suvorov A, Gnanapragasam VJ, et al. Comparative performance of MRI-derived PRECISE scores and delta-radiomics models for the prediction of prostate cancer progression in patients on active surveillance. Eur Radiol 2021 2021:1–10. https://doi.org/10.1007/S00330-021-08151-X.</w:t>
      </w:r>
    </w:p>
    <w:p w14:paraId="407DADEF" w14:textId="5EA7E1B0" w:rsidR="00650B29" w:rsidRDefault="00650B29" w:rsidP="007D0631">
      <w:pPr>
        <w:widowControl w:val="0"/>
        <w:autoSpaceDE w:val="0"/>
        <w:autoSpaceDN w:val="0"/>
        <w:adjustRightInd w:val="0"/>
        <w:spacing w:line="240" w:lineRule="auto"/>
        <w:ind w:left="640" w:hanging="640"/>
        <w:rPr>
          <w:sz w:val="24"/>
          <w:szCs w:val="24"/>
          <w:lang w:val="en-US"/>
        </w:rPr>
      </w:pPr>
      <w:r>
        <w:rPr>
          <w:sz w:val="24"/>
          <w:szCs w:val="24"/>
          <w:lang w:val="en-US"/>
        </w:rPr>
        <w:fldChar w:fldCharType="end"/>
      </w:r>
    </w:p>
    <w:p w14:paraId="6989F93F" w14:textId="574D02EE" w:rsidR="0030636F" w:rsidRDefault="0030636F" w:rsidP="007D0631">
      <w:pPr>
        <w:widowControl w:val="0"/>
        <w:autoSpaceDE w:val="0"/>
        <w:autoSpaceDN w:val="0"/>
        <w:adjustRightInd w:val="0"/>
        <w:spacing w:line="240" w:lineRule="auto"/>
        <w:ind w:left="640" w:hanging="640"/>
        <w:rPr>
          <w:sz w:val="24"/>
          <w:szCs w:val="24"/>
          <w:lang w:val="en-US"/>
        </w:rPr>
      </w:pPr>
    </w:p>
    <w:p w14:paraId="4076372F" w14:textId="122FCDEF" w:rsidR="0030636F" w:rsidRDefault="0030636F" w:rsidP="007D0631">
      <w:pPr>
        <w:widowControl w:val="0"/>
        <w:autoSpaceDE w:val="0"/>
        <w:autoSpaceDN w:val="0"/>
        <w:adjustRightInd w:val="0"/>
        <w:spacing w:line="240" w:lineRule="auto"/>
        <w:ind w:left="640" w:hanging="640"/>
        <w:rPr>
          <w:sz w:val="24"/>
          <w:szCs w:val="24"/>
          <w:lang w:val="en-US"/>
        </w:rPr>
      </w:pPr>
    </w:p>
    <w:p w14:paraId="4EFC04B8" w14:textId="354DD7D8" w:rsidR="0030636F" w:rsidRDefault="0030636F" w:rsidP="007D0631">
      <w:pPr>
        <w:widowControl w:val="0"/>
        <w:autoSpaceDE w:val="0"/>
        <w:autoSpaceDN w:val="0"/>
        <w:adjustRightInd w:val="0"/>
        <w:spacing w:line="240" w:lineRule="auto"/>
        <w:ind w:left="640" w:hanging="640"/>
        <w:rPr>
          <w:sz w:val="24"/>
          <w:szCs w:val="24"/>
          <w:lang w:val="en-US"/>
        </w:rPr>
      </w:pPr>
    </w:p>
    <w:p w14:paraId="0D01B208" w14:textId="5A3C2D03" w:rsidR="0030636F" w:rsidRDefault="0030636F" w:rsidP="00ED0D24">
      <w:pPr>
        <w:widowControl w:val="0"/>
        <w:autoSpaceDE w:val="0"/>
        <w:autoSpaceDN w:val="0"/>
        <w:adjustRightInd w:val="0"/>
        <w:spacing w:line="240" w:lineRule="auto"/>
        <w:rPr>
          <w:sz w:val="24"/>
          <w:szCs w:val="24"/>
          <w:lang w:val="en-US"/>
        </w:rPr>
      </w:pPr>
    </w:p>
    <w:p w14:paraId="5197B9C9" w14:textId="31A4D6B3" w:rsidR="00D8595C" w:rsidRDefault="00D8595C">
      <w:pPr>
        <w:rPr>
          <w:sz w:val="24"/>
          <w:szCs w:val="24"/>
          <w:lang w:val="en-US"/>
        </w:rPr>
      </w:pPr>
      <w:r>
        <w:rPr>
          <w:sz w:val="24"/>
          <w:szCs w:val="24"/>
          <w:lang w:val="en-US"/>
        </w:rPr>
        <w:br w:type="page"/>
      </w:r>
    </w:p>
    <w:p w14:paraId="19D1DDEC" w14:textId="44BF2ADD" w:rsidR="00B86923" w:rsidRDefault="00B86923" w:rsidP="00B86923">
      <w:pPr>
        <w:widowControl w:val="0"/>
        <w:autoSpaceDE w:val="0"/>
        <w:autoSpaceDN w:val="0"/>
        <w:adjustRightInd w:val="0"/>
        <w:spacing w:line="240" w:lineRule="auto"/>
        <w:ind w:left="640" w:hanging="640"/>
        <w:rPr>
          <w:b/>
          <w:bCs/>
          <w:sz w:val="24"/>
          <w:szCs w:val="24"/>
          <w:lang w:val="en-US"/>
        </w:rPr>
      </w:pPr>
      <w:r w:rsidRPr="00B86923">
        <w:rPr>
          <w:b/>
          <w:bCs/>
          <w:sz w:val="24"/>
          <w:szCs w:val="24"/>
          <w:lang w:val="en-US"/>
        </w:rPr>
        <w:lastRenderedPageBreak/>
        <w:t>Tables</w:t>
      </w:r>
    </w:p>
    <w:p w14:paraId="74DC27C4" w14:textId="77777777" w:rsidR="00ED0D24" w:rsidRPr="00B86923" w:rsidRDefault="00ED0D24" w:rsidP="00B86923">
      <w:pPr>
        <w:widowControl w:val="0"/>
        <w:autoSpaceDE w:val="0"/>
        <w:autoSpaceDN w:val="0"/>
        <w:adjustRightInd w:val="0"/>
        <w:spacing w:line="240" w:lineRule="auto"/>
        <w:ind w:left="640" w:hanging="640"/>
        <w:rPr>
          <w:b/>
          <w:bCs/>
          <w:sz w:val="24"/>
          <w:szCs w:val="24"/>
          <w:lang w:val="en-US"/>
        </w:rPr>
      </w:pPr>
    </w:p>
    <w:tbl>
      <w:tblPr>
        <w:tblStyle w:val="2"/>
        <w:tblW w:w="9502" w:type="dxa"/>
        <w:tblLook w:val="04A0" w:firstRow="1" w:lastRow="0" w:firstColumn="1" w:lastColumn="0" w:noHBand="0" w:noVBand="1"/>
      </w:tblPr>
      <w:tblGrid>
        <w:gridCol w:w="2425"/>
        <w:gridCol w:w="1980"/>
        <w:gridCol w:w="1980"/>
        <w:gridCol w:w="2070"/>
        <w:gridCol w:w="1047"/>
      </w:tblGrid>
      <w:tr w:rsidR="00B86923" w:rsidRPr="00B86923" w14:paraId="1D6639F5" w14:textId="77777777" w:rsidTr="004C518C">
        <w:trPr>
          <w:cnfStyle w:val="100000000000" w:firstRow="1" w:lastRow="0" w:firstColumn="0" w:lastColumn="0" w:oddVBand="0" w:evenVBand="0" w:oddHBand="0" w:evenHBand="0" w:firstRowFirstColumn="0" w:firstRowLastColumn="0" w:lastRowFirstColumn="0" w:lastRowLastColumn="0"/>
          <w:trHeight w:val="562"/>
        </w:trPr>
        <w:tc>
          <w:tcPr>
            <w:cnfStyle w:val="001000000000" w:firstRow="0" w:lastRow="0" w:firstColumn="1" w:lastColumn="0" w:oddVBand="0" w:evenVBand="0" w:oddHBand="0" w:evenHBand="0" w:firstRowFirstColumn="0" w:firstRowLastColumn="0" w:lastRowFirstColumn="0" w:lastRowLastColumn="0"/>
            <w:tcW w:w="2425" w:type="dxa"/>
          </w:tcPr>
          <w:p w14:paraId="47AC8DDD" w14:textId="77777777" w:rsidR="00B86923" w:rsidRPr="00B86923" w:rsidRDefault="00B86923" w:rsidP="004C518C">
            <w:pPr>
              <w:widowControl w:val="0"/>
              <w:autoSpaceDE w:val="0"/>
              <w:autoSpaceDN w:val="0"/>
              <w:adjustRightInd w:val="0"/>
              <w:jc w:val="center"/>
              <w:rPr>
                <w:b w:val="0"/>
                <w:bCs w:val="0"/>
                <w:sz w:val="24"/>
                <w:szCs w:val="24"/>
              </w:rPr>
            </w:pPr>
            <w:r w:rsidRPr="00B86923">
              <w:rPr>
                <w:sz w:val="24"/>
                <w:szCs w:val="24"/>
              </w:rPr>
              <w:t>Parameter</w:t>
            </w:r>
          </w:p>
        </w:tc>
        <w:tc>
          <w:tcPr>
            <w:tcW w:w="1980" w:type="dxa"/>
          </w:tcPr>
          <w:p w14:paraId="41CB3805"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Total cohort</w:t>
            </w:r>
          </w:p>
          <w:p w14:paraId="2C30DE67"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 = 60)</w:t>
            </w:r>
          </w:p>
        </w:tc>
        <w:tc>
          <w:tcPr>
            <w:tcW w:w="1980" w:type="dxa"/>
          </w:tcPr>
          <w:p w14:paraId="69D0CCF0"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Progressors</w:t>
            </w:r>
          </w:p>
          <w:p w14:paraId="0A5303E2"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 = 30)</w:t>
            </w:r>
          </w:p>
        </w:tc>
        <w:tc>
          <w:tcPr>
            <w:tcW w:w="2070" w:type="dxa"/>
          </w:tcPr>
          <w:p w14:paraId="2DC8AFC6"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Non-progressors</w:t>
            </w:r>
          </w:p>
          <w:p w14:paraId="070BFB07"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 = 30)</w:t>
            </w:r>
          </w:p>
        </w:tc>
        <w:tc>
          <w:tcPr>
            <w:tcW w:w="1047" w:type="dxa"/>
          </w:tcPr>
          <w:p w14:paraId="71A9E294"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p-value</w:t>
            </w:r>
          </w:p>
        </w:tc>
      </w:tr>
      <w:tr w:rsidR="00B86923" w:rsidRPr="00B86923" w14:paraId="35D83CE1" w14:textId="77777777" w:rsidTr="004C518C">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2425" w:type="dxa"/>
          </w:tcPr>
          <w:p w14:paraId="75CA3EF2"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Age, years</w:t>
            </w:r>
          </w:p>
        </w:tc>
        <w:tc>
          <w:tcPr>
            <w:tcW w:w="1980" w:type="dxa"/>
          </w:tcPr>
          <w:p w14:paraId="6ADDCD0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67 (59-70)</w:t>
            </w:r>
          </w:p>
        </w:tc>
        <w:tc>
          <w:tcPr>
            <w:tcW w:w="1980" w:type="dxa"/>
          </w:tcPr>
          <w:p w14:paraId="5A0FCDAD"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67 (60-70)</w:t>
            </w:r>
          </w:p>
        </w:tc>
        <w:tc>
          <w:tcPr>
            <w:tcW w:w="2070" w:type="dxa"/>
          </w:tcPr>
          <w:p w14:paraId="2B5245F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68 (59-69)</w:t>
            </w:r>
          </w:p>
        </w:tc>
        <w:tc>
          <w:tcPr>
            <w:tcW w:w="1047" w:type="dxa"/>
          </w:tcPr>
          <w:p w14:paraId="0E5389C0"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0.79</w:t>
            </w:r>
          </w:p>
        </w:tc>
      </w:tr>
      <w:tr w:rsidR="00B86923" w:rsidRPr="00B86923" w14:paraId="052CB922" w14:textId="77777777" w:rsidTr="004C518C">
        <w:trPr>
          <w:trHeight w:val="562"/>
        </w:trPr>
        <w:tc>
          <w:tcPr>
            <w:cnfStyle w:val="001000000000" w:firstRow="0" w:lastRow="0" w:firstColumn="1" w:lastColumn="0" w:oddVBand="0" w:evenVBand="0" w:oddHBand="0" w:evenHBand="0" w:firstRowFirstColumn="0" w:firstRowLastColumn="0" w:lastRowFirstColumn="0" w:lastRowLastColumn="0"/>
            <w:tcW w:w="2425" w:type="dxa"/>
          </w:tcPr>
          <w:p w14:paraId="43A44B12"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gland volume, mL</w:t>
            </w:r>
          </w:p>
        </w:tc>
        <w:tc>
          <w:tcPr>
            <w:tcW w:w="1980" w:type="dxa"/>
          </w:tcPr>
          <w:p w14:paraId="10E0C862"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45.0 (33.3-55.8)</w:t>
            </w:r>
          </w:p>
        </w:tc>
        <w:tc>
          <w:tcPr>
            <w:tcW w:w="1980" w:type="dxa"/>
          </w:tcPr>
          <w:p w14:paraId="1A741F16"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45 (28-52)</w:t>
            </w:r>
          </w:p>
        </w:tc>
        <w:tc>
          <w:tcPr>
            <w:tcW w:w="2070" w:type="dxa"/>
          </w:tcPr>
          <w:p w14:paraId="73D94D68"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45 (37-58)</w:t>
            </w:r>
          </w:p>
        </w:tc>
        <w:tc>
          <w:tcPr>
            <w:tcW w:w="1047" w:type="dxa"/>
          </w:tcPr>
          <w:p w14:paraId="727B7462"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0.47</w:t>
            </w:r>
          </w:p>
        </w:tc>
      </w:tr>
      <w:tr w:rsidR="00B86923" w:rsidRPr="00B86923" w14:paraId="6ADC2348" w14:textId="77777777" w:rsidTr="004C518C">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2425" w:type="dxa"/>
          </w:tcPr>
          <w:p w14:paraId="1FC705A0"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PSA, ng/mL</w:t>
            </w:r>
          </w:p>
        </w:tc>
        <w:tc>
          <w:tcPr>
            <w:tcW w:w="1980" w:type="dxa"/>
          </w:tcPr>
          <w:p w14:paraId="312F8E6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5.6 (3.7-7.7)</w:t>
            </w:r>
          </w:p>
        </w:tc>
        <w:tc>
          <w:tcPr>
            <w:tcW w:w="1980" w:type="dxa"/>
          </w:tcPr>
          <w:p w14:paraId="0877305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6.7 (4.3-8.7)</w:t>
            </w:r>
          </w:p>
        </w:tc>
        <w:tc>
          <w:tcPr>
            <w:tcW w:w="2070" w:type="dxa"/>
          </w:tcPr>
          <w:p w14:paraId="5F85ECB7"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4.8 (3.1-6.6)</w:t>
            </w:r>
          </w:p>
        </w:tc>
        <w:tc>
          <w:tcPr>
            <w:tcW w:w="1047" w:type="dxa"/>
          </w:tcPr>
          <w:p w14:paraId="2FD71F6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0.01</w:t>
            </w:r>
          </w:p>
        </w:tc>
      </w:tr>
      <w:tr w:rsidR="00B86923" w:rsidRPr="00B86923" w14:paraId="376565E1" w14:textId="77777777" w:rsidTr="004C518C">
        <w:trPr>
          <w:trHeight w:val="350"/>
        </w:trPr>
        <w:tc>
          <w:tcPr>
            <w:cnfStyle w:val="001000000000" w:firstRow="0" w:lastRow="0" w:firstColumn="1" w:lastColumn="0" w:oddVBand="0" w:evenVBand="0" w:oddHBand="0" w:evenHBand="0" w:firstRowFirstColumn="0" w:firstRowLastColumn="0" w:lastRowFirstColumn="0" w:lastRowLastColumn="0"/>
            <w:tcW w:w="2425" w:type="dxa"/>
          </w:tcPr>
          <w:p w14:paraId="1A4266D6"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PSA density</w:t>
            </w:r>
          </w:p>
        </w:tc>
        <w:tc>
          <w:tcPr>
            <w:tcW w:w="1980" w:type="dxa"/>
          </w:tcPr>
          <w:p w14:paraId="006FE5F4"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0.12 (0.09-0.19)</w:t>
            </w:r>
          </w:p>
        </w:tc>
        <w:tc>
          <w:tcPr>
            <w:tcW w:w="1980" w:type="dxa"/>
          </w:tcPr>
          <w:p w14:paraId="5FD57CAF"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0.17 (0.10-0.17)</w:t>
            </w:r>
          </w:p>
        </w:tc>
        <w:tc>
          <w:tcPr>
            <w:tcW w:w="2070" w:type="dxa"/>
          </w:tcPr>
          <w:p w14:paraId="1C1D2483"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0.10 (0.07-0.17)</w:t>
            </w:r>
          </w:p>
        </w:tc>
        <w:tc>
          <w:tcPr>
            <w:tcW w:w="1047" w:type="dxa"/>
          </w:tcPr>
          <w:p w14:paraId="250E79DA"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0.001</w:t>
            </w:r>
          </w:p>
        </w:tc>
      </w:tr>
      <w:tr w:rsidR="00B86923" w:rsidRPr="00B86923" w14:paraId="45C25993" w14:textId="77777777" w:rsidTr="004C518C">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2425" w:type="dxa"/>
          </w:tcPr>
          <w:p w14:paraId="48023FBB"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Follow-up PSA, ng/mL</w:t>
            </w:r>
          </w:p>
        </w:tc>
        <w:tc>
          <w:tcPr>
            <w:tcW w:w="1980" w:type="dxa"/>
          </w:tcPr>
          <w:p w14:paraId="1953BE5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7.4 (5.4-11.0)</w:t>
            </w:r>
          </w:p>
        </w:tc>
        <w:tc>
          <w:tcPr>
            <w:tcW w:w="1980" w:type="dxa"/>
          </w:tcPr>
          <w:p w14:paraId="3CBA5F3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9.9 (6.7-12.2)</w:t>
            </w:r>
          </w:p>
        </w:tc>
        <w:tc>
          <w:tcPr>
            <w:tcW w:w="2070" w:type="dxa"/>
          </w:tcPr>
          <w:p w14:paraId="54E440C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6.1 (4.2-8.1)</w:t>
            </w:r>
          </w:p>
        </w:tc>
        <w:tc>
          <w:tcPr>
            <w:tcW w:w="1047" w:type="dxa"/>
          </w:tcPr>
          <w:p w14:paraId="53963D81"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0.0007</w:t>
            </w:r>
          </w:p>
        </w:tc>
      </w:tr>
      <w:tr w:rsidR="00B86923" w:rsidRPr="00B86923" w14:paraId="689A9CAF" w14:textId="77777777" w:rsidTr="004C518C">
        <w:trPr>
          <w:trHeight w:val="273"/>
        </w:trPr>
        <w:tc>
          <w:tcPr>
            <w:cnfStyle w:val="001000000000" w:firstRow="0" w:lastRow="0" w:firstColumn="1" w:lastColumn="0" w:oddVBand="0" w:evenVBand="0" w:oddHBand="0" w:evenHBand="0" w:firstRowFirstColumn="0" w:firstRowLastColumn="0" w:lastRowFirstColumn="0" w:lastRowLastColumn="0"/>
            <w:tcW w:w="2425" w:type="dxa"/>
          </w:tcPr>
          <w:p w14:paraId="4BF342D4" w14:textId="380F4DDE" w:rsidR="00B86923" w:rsidRPr="00B86923" w:rsidRDefault="00B86923" w:rsidP="004C518C">
            <w:pPr>
              <w:widowControl w:val="0"/>
              <w:autoSpaceDE w:val="0"/>
              <w:autoSpaceDN w:val="0"/>
              <w:adjustRightInd w:val="0"/>
              <w:jc w:val="center"/>
              <w:rPr>
                <w:sz w:val="24"/>
                <w:szCs w:val="24"/>
              </w:rPr>
            </w:pPr>
            <w:r w:rsidRPr="00B86923">
              <w:rPr>
                <w:sz w:val="24"/>
                <w:szCs w:val="24"/>
              </w:rPr>
              <w:t>Follow-up PSA density</w:t>
            </w:r>
            <w:r w:rsidR="00CD4556">
              <w:rPr>
                <w:sz w:val="24"/>
                <w:szCs w:val="24"/>
              </w:rPr>
              <w:t>, (ng/mL)/mL</w:t>
            </w:r>
          </w:p>
        </w:tc>
        <w:tc>
          <w:tcPr>
            <w:tcW w:w="1980" w:type="dxa"/>
          </w:tcPr>
          <w:p w14:paraId="4E57A478"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0.15 (0.10-0.22)</w:t>
            </w:r>
          </w:p>
        </w:tc>
        <w:tc>
          <w:tcPr>
            <w:tcW w:w="1980" w:type="dxa"/>
          </w:tcPr>
          <w:p w14:paraId="134D6730"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0.21 (0.15-0.25)</w:t>
            </w:r>
          </w:p>
        </w:tc>
        <w:tc>
          <w:tcPr>
            <w:tcW w:w="2070" w:type="dxa"/>
          </w:tcPr>
          <w:p w14:paraId="1B7C5CE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0.12 (0.08-0.16)</w:t>
            </w:r>
          </w:p>
        </w:tc>
        <w:tc>
          <w:tcPr>
            <w:tcW w:w="1047" w:type="dxa"/>
          </w:tcPr>
          <w:p w14:paraId="0D03DF4F"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0.0002</w:t>
            </w:r>
          </w:p>
        </w:tc>
      </w:tr>
      <w:tr w:rsidR="00B86923" w:rsidRPr="00B86923" w14:paraId="1E0E2B81" w14:textId="77777777" w:rsidTr="004C518C">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425" w:type="dxa"/>
          </w:tcPr>
          <w:p w14:paraId="0E79CE41"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 xml:space="preserve">AS follow-up, </w:t>
            </w:r>
            <w:proofErr w:type="spellStart"/>
            <w:r w:rsidRPr="00B86923">
              <w:rPr>
                <w:sz w:val="24"/>
                <w:szCs w:val="24"/>
              </w:rPr>
              <w:t>mo</w:t>
            </w:r>
            <w:proofErr w:type="spellEnd"/>
          </w:p>
        </w:tc>
        <w:tc>
          <w:tcPr>
            <w:tcW w:w="1980" w:type="dxa"/>
          </w:tcPr>
          <w:p w14:paraId="71EA3D9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45 (30-51)</w:t>
            </w:r>
          </w:p>
        </w:tc>
        <w:tc>
          <w:tcPr>
            <w:tcW w:w="1980" w:type="dxa"/>
          </w:tcPr>
          <w:p w14:paraId="4248FF74"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36 (26-48)</w:t>
            </w:r>
          </w:p>
        </w:tc>
        <w:tc>
          <w:tcPr>
            <w:tcW w:w="2070" w:type="dxa"/>
          </w:tcPr>
          <w:p w14:paraId="057CD0E6"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48 (39-63)</w:t>
            </w:r>
          </w:p>
        </w:tc>
        <w:tc>
          <w:tcPr>
            <w:tcW w:w="1047" w:type="dxa"/>
          </w:tcPr>
          <w:p w14:paraId="2066AD2C"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0.002</w:t>
            </w:r>
          </w:p>
        </w:tc>
      </w:tr>
      <w:tr w:rsidR="00B86923" w:rsidRPr="00B86923" w14:paraId="5F1B13DB" w14:textId="77777777" w:rsidTr="004C518C">
        <w:trPr>
          <w:trHeight w:val="547"/>
        </w:trPr>
        <w:tc>
          <w:tcPr>
            <w:cnfStyle w:val="001000000000" w:firstRow="0" w:lastRow="0" w:firstColumn="1" w:lastColumn="0" w:oddVBand="0" w:evenVBand="0" w:oddHBand="0" w:evenHBand="0" w:firstRowFirstColumn="0" w:firstRowLastColumn="0" w:lastRowFirstColumn="0" w:lastRowLastColumn="0"/>
            <w:tcW w:w="2425" w:type="dxa"/>
          </w:tcPr>
          <w:p w14:paraId="20A7C862"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 xml:space="preserve">Biopsy grade group 1 </w:t>
            </w:r>
          </w:p>
          <w:p w14:paraId="5FBF2D3E"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(3+3 = 6), n (% total)</w:t>
            </w:r>
          </w:p>
        </w:tc>
        <w:tc>
          <w:tcPr>
            <w:tcW w:w="1980" w:type="dxa"/>
          </w:tcPr>
          <w:p w14:paraId="443794F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45 (75%)</w:t>
            </w:r>
          </w:p>
        </w:tc>
        <w:tc>
          <w:tcPr>
            <w:tcW w:w="1980" w:type="dxa"/>
          </w:tcPr>
          <w:p w14:paraId="235AA1B9"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24 (80%)</w:t>
            </w:r>
          </w:p>
        </w:tc>
        <w:tc>
          <w:tcPr>
            <w:tcW w:w="2070" w:type="dxa"/>
          </w:tcPr>
          <w:p w14:paraId="66FAEF73"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21 (70%)</w:t>
            </w:r>
          </w:p>
        </w:tc>
        <w:tc>
          <w:tcPr>
            <w:tcW w:w="1047" w:type="dxa"/>
            <w:vMerge w:val="restart"/>
          </w:tcPr>
          <w:p w14:paraId="43C1064A"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29CB98EC" w14:textId="77777777" w:rsidTr="004C518C">
        <w:trPr>
          <w:cnfStyle w:val="000000100000" w:firstRow="0" w:lastRow="0" w:firstColumn="0" w:lastColumn="0" w:oddVBand="0" w:evenVBand="0" w:oddHBand="1" w:evenHBand="0" w:firstRowFirstColumn="0" w:firstRowLastColumn="0" w:lastRowFirstColumn="0" w:lastRowLastColumn="0"/>
          <w:trHeight w:val="562"/>
        </w:trPr>
        <w:tc>
          <w:tcPr>
            <w:cnfStyle w:val="001000000000" w:firstRow="0" w:lastRow="0" w:firstColumn="1" w:lastColumn="0" w:oddVBand="0" w:evenVBand="0" w:oddHBand="0" w:evenHBand="0" w:firstRowFirstColumn="0" w:firstRowLastColumn="0" w:lastRowFirstColumn="0" w:lastRowLastColumn="0"/>
            <w:tcW w:w="2425" w:type="dxa"/>
          </w:tcPr>
          <w:p w14:paraId="2CD5A3A2"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Biopsy grade group 2 (3+4=7), n (% total)</w:t>
            </w:r>
          </w:p>
        </w:tc>
        <w:tc>
          <w:tcPr>
            <w:tcW w:w="1980" w:type="dxa"/>
          </w:tcPr>
          <w:p w14:paraId="1AF346FC"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15 (25%)</w:t>
            </w:r>
          </w:p>
        </w:tc>
        <w:tc>
          <w:tcPr>
            <w:tcW w:w="1980" w:type="dxa"/>
          </w:tcPr>
          <w:p w14:paraId="01F6EFD1"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 (20%)</w:t>
            </w:r>
          </w:p>
        </w:tc>
        <w:tc>
          <w:tcPr>
            <w:tcW w:w="2070" w:type="dxa"/>
          </w:tcPr>
          <w:p w14:paraId="795AD63A"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9 (30%)</w:t>
            </w:r>
          </w:p>
        </w:tc>
        <w:tc>
          <w:tcPr>
            <w:tcW w:w="1047" w:type="dxa"/>
            <w:vMerge/>
          </w:tcPr>
          <w:p w14:paraId="2CD95CD8"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B86923" w:rsidRPr="00B86923" w14:paraId="3165E8A9" w14:textId="77777777" w:rsidTr="004C518C">
        <w:trPr>
          <w:trHeight w:val="562"/>
        </w:trPr>
        <w:tc>
          <w:tcPr>
            <w:cnfStyle w:val="001000000000" w:firstRow="0" w:lastRow="0" w:firstColumn="1" w:lastColumn="0" w:oddVBand="0" w:evenVBand="0" w:oddHBand="0" w:evenHBand="0" w:firstRowFirstColumn="0" w:firstRowLastColumn="0" w:lastRowFirstColumn="0" w:lastRowLastColumn="0"/>
            <w:tcW w:w="2425" w:type="dxa"/>
          </w:tcPr>
          <w:p w14:paraId="02B65008"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Target lesion in the PZ, n (% total)</w:t>
            </w:r>
          </w:p>
        </w:tc>
        <w:tc>
          <w:tcPr>
            <w:tcW w:w="1980" w:type="dxa"/>
          </w:tcPr>
          <w:p w14:paraId="27290286"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44 (73%)</w:t>
            </w:r>
          </w:p>
        </w:tc>
        <w:tc>
          <w:tcPr>
            <w:tcW w:w="1980" w:type="dxa"/>
          </w:tcPr>
          <w:p w14:paraId="6B528A53"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lang w:val="en-US"/>
              </w:rPr>
            </w:pPr>
            <w:r w:rsidRPr="00B86923">
              <w:rPr>
                <w:sz w:val="24"/>
                <w:szCs w:val="24"/>
                <w:lang w:val="en-US"/>
              </w:rPr>
              <w:t>19 (63%)</w:t>
            </w:r>
          </w:p>
        </w:tc>
        <w:tc>
          <w:tcPr>
            <w:tcW w:w="2070" w:type="dxa"/>
          </w:tcPr>
          <w:p w14:paraId="5891731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lang w:val="en-US"/>
              </w:rPr>
            </w:pPr>
            <w:r w:rsidRPr="00B86923">
              <w:rPr>
                <w:sz w:val="24"/>
                <w:szCs w:val="24"/>
                <w:lang w:val="en-US"/>
              </w:rPr>
              <w:t>25 (83%)</w:t>
            </w:r>
          </w:p>
        </w:tc>
        <w:tc>
          <w:tcPr>
            <w:tcW w:w="1047" w:type="dxa"/>
            <w:vMerge w:val="restart"/>
          </w:tcPr>
          <w:p w14:paraId="5EF9D4CF"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428A5F8C" w14:textId="77777777" w:rsidTr="004C518C">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425" w:type="dxa"/>
          </w:tcPr>
          <w:p w14:paraId="2D9B5E9B"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Target lesion in the TZ, n (% total)</w:t>
            </w:r>
          </w:p>
        </w:tc>
        <w:tc>
          <w:tcPr>
            <w:tcW w:w="1980" w:type="dxa"/>
          </w:tcPr>
          <w:p w14:paraId="3C893787"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lang w:val="en-US"/>
              </w:rPr>
            </w:pPr>
            <w:r w:rsidRPr="00B86923">
              <w:rPr>
                <w:sz w:val="24"/>
                <w:szCs w:val="24"/>
                <w:lang w:val="en-US"/>
              </w:rPr>
              <w:t>16 (27%)</w:t>
            </w:r>
          </w:p>
        </w:tc>
        <w:tc>
          <w:tcPr>
            <w:tcW w:w="1980" w:type="dxa"/>
          </w:tcPr>
          <w:p w14:paraId="7723FA00"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lang w:val="en-US"/>
              </w:rPr>
            </w:pPr>
            <w:r w:rsidRPr="00B86923">
              <w:rPr>
                <w:sz w:val="24"/>
                <w:szCs w:val="24"/>
                <w:lang w:val="en-US"/>
              </w:rPr>
              <w:t>11 (37%)</w:t>
            </w:r>
          </w:p>
        </w:tc>
        <w:tc>
          <w:tcPr>
            <w:tcW w:w="2070" w:type="dxa"/>
          </w:tcPr>
          <w:p w14:paraId="3A3AC88A"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lang w:val="en-US"/>
              </w:rPr>
            </w:pPr>
            <w:r w:rsidRPr="00B86923">
              <w:rPr>
                <w:sz w:val="24"/>
                <w:szCs w:val="24"/>
                <w:lang w:val="en-US"/>
              </w:rPr>
              <w:t>5 (17%)</w:t>
            </w:r>
          </w:p>
        </w:tc>
        <w:tc>
          <w:tcPr>
            <w:tcW w:w="1047" w:type="dxa"/>
            <w:vMerge/>
          </w:tcPr>
          <w:p w14:paraId="7C2C1764" w14:textId="77777777" w:rsidR="00B86923" w:rsidRPr="00B86923" w:rsidRDefault="00B86923" w:rsidP="004C518C">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sz w:val="24"/>
                <w:szCs w:val="24"/>
              </w:rPr>
            </w:pPr>
          </w:p>
        </w:tc>
      </w:tr>
    </w:tbl>
    <w:p w14:paraId="51806064" w14:textId="77777777" w:rsidR="00B86923" w:rsidRPr="00B86923" w:rsidRDefault="00B86923" w:rsidP="00B86923">
      <w:pPr>
        <w:rPr>
          <w:sz w:val="24"/>
          <w:szCs w:val="24"/>
        </w:rPr>
      </w:pPr>
    </w:p>
    <w:p w14:paraId="44FEB0B3" w14:textId="77777777" w:rsidR="00B86923" w:rsidRPr="00B86923" w:rsidRDefault="00B86923" w:rsidP="00B86923">
      <w:pPr>
        <w:rPr>
          <w:sz w:val="24"/>
          <w:szCs w:val="24"/>
        </w:rPr>
      </w:pPr>
      <w:r w:rsidRPr="00B86923">
        <w:rPr>
          <w:b/>
          <w:bCs/>
          <w:sz w:val="24"/>
          <w:szCs w:val="24"/>
        </w:rPr>
        <w:t>Table 1.</w:t>
      </w:r>
      <w:r w:rsidRPr="00B86923">
        <w:rPr>
          <w:sz w:val="24"/>
          <w:szCs w:val="24"/>
        </w:rPr>
        <w:t xml:space="preserve"> Summary baseline clinicopathological characteristics of the study cohort. The data are presented as the median (interquartile range) unless indicated otherwise. The p-values are presented for an intergroup comparison between progressors and non-progressors performed using the Mann-Whitney U test. </w:t>
      </w:r>
    </w:p>
    <w:p w14:paraId="15E43D3A" w14:textId="44B6F281" w:rsidR="00B86923" w:rsidRPr="00B86923" w:rsidRDefault="00B86923">
      <w:pPr>
        <w:rPr>
          <w:b/>
          <w:bCs/>
          <w:sz w:val="24"/>
          <w:szCs w:val="24"/>
        </w:rPr>
      </w:pPr>
    </w:p>
    <w:tbl>
      <w:tblPr>
        <w:tblStyle w:val="2"/>
        <w:tblpPr w:leftFromText="180" w:rightFromText="180" w:horzAnchor="margin" w:tblpXSpec="center" w:tblpY="-345"/>
        <w:tblW w:w="10080" w:type="dxa"/>
        <w:tblLook w:val="04A0" w:firstRow="1" w:lastRow="0" w:firstColumn="1" w:lastColumn="0" w:noHBand="0" w:noVBand="1"/>
      </w:tblPr>
      <w:tblGrid>
        <w:gridCol w:w="2610"/>
        <w:gridCol w:w="1710"/>
        <w:gridCol w:w="1800"/>
        <w:gridCol w:w="1890"/>
        <w:gridCol w:w="2070"/>
      </w:tblGrid>
      <w:tr w:rsidR="00B86923" w:rsidRPr="00B86923" w14:paraId="562745AC" w14:textId="77777777" w:rsidTr="00B869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1F221399" w14:textId="77777777" w:rsidR="00B86923" w:rsidRPr="00B86923" w:rsidRDefault="00B86923" w:rsidP="00B86923">
            <w:pPr>
              <w:widowControl w:val="0"/>
              <w:autoSpaceDE w:val="0"/>
              <w:autoSpaceDN w:val="0"/>
              <w:adjustRightInd w:val="0"/>
              <w:jc w:val="center"/>
              <w:rPr>
                <w:b w:val="0"/>
                <w:bCs w:val="0"/>
                <w:sz w:val="24"/>
                <w:szCs w:val="24"/>
              </w:rPr>
            </w:pPr>
            <w:r w:rsidRPr="00B86923">
              <w:rPr>
                <w:sz w:val="24"/>
                <w:szCs w:val="24"/>
              </w:rPr>
              <w:lastRenderedPageBreak/>
              <w:t>Parameter</w:t>
            </w:r>
          </w:p>
        </w:tc>
        <w:tc>
          <w:tcPr>
            <w:tcW w:w="1710" w:type="dxa"/>
            <w:vAlign w:val="center"/>
          </w:tcPr>
          <w:p w14:paraId="79569637"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Total cohort</w:t>
            </w:r>
          </w:p>
          <w:p w14:paraId="09CDC0AF" w14:textId="5DBCA044"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 xml:space="preserve">(n = </w:t>
            </w:r>
            <w:r w:rsidR="00CD4556">
              <w:rPr>
                <w:sz w:val="24"/>
                <w:szCs w:val="24"/>
              </w:rPr>
              <w:t>6</w:t>
            </w:r>
            <w:r w:rsidRPr="00B86923">
              <w:rPr>
                <w:sz w:val="24"/>
                <w:szCs w:val="24"/>
              </w:rPr>
              <w:t>0)</w:t>
            </w:r>
          </w:p>
        </w:tc>
        <w:tc>
          <w:tcPr>
            <w:tcW w:w="1800" w:type="dxa"/>
            <w:vAlign w:val="center"/>
          </w:tcPr>
          <w:p w14:paraId="3565A110"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Progressors</w:t>
            </w:r>
          </w:p>
          <w:p w14:paraId="16E0B217"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 = 30)</w:t>
            </w:r>
          </w:p>
        </w:tc>
        <w:tc>
          <w:tcPr>
            <w:tcW w:w="1890" w:type="dxa"/>
            <w:vAlign w:val="center"/>
          </w:tcPr>
          <w:p w14:paraId="451CD693"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Non-progressors</w:t>
            </w:r>
          </w:p>
          <w:p w14:paraId="7E60A468"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 = 30)</w:t>
            </w:r>
          </w:p>
        </w:tc>
        <w:tc>
          <w:tcPr>
            <w:tcW w:w="2070" w:type="dxa"/>
            <w:vAlign w:val="center"/>
          </w:tcPr>
          <w:p w14:paraId="5C903645"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p-value</w:t>
            </w:r>
          </w:p>
          <w:p w14:paraId="237EE516" w14:textId="77777777" w:rsidR="00B86923" w:rsidRPr="00B86923" w:rsidRDefault="00B86923" w:rsidP="00B86923">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 w:val="24"/>
                <w:szCs w:val="24"/>
              </w:rPr>
            </w:pPr>
          </w:p>
        </w:tc>
      </w:tr>
      <w:tr w:rsidR="00B86923" w:rsidRPr="00B86923" w14:paraId="5B139753"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5"/>
            <w:vAlign w:val="center"/>
          </w:tcPr>
          <w:p w14:paraId="52C14226" w14:textId="5339080C" w:rsidR="00B86923" w:rsidRPr="00B86923" w:rsidRDefault="00B86923" w:rsidP="00B86923">
            <w:pPr>
              <w:widowControl w:val="0"/>
              <w:autoSpaceDE w:val="0"/>
              <w:autoSpaceDN w:val="0"/>
              <w:adjustRightInd w:val="0"/>
              <w:jc w:val="center"/>
              <w:rPr>
                <w:sz w:val="24"/>
                <w:szCs w:val="24"/>
                <w:vertAlign w:val="superscript"/>
                <w:lang w:val="en-US"/>
              </w:rPr>
            </w:pPr>
            <w:r w:rsidRPr="00B86923">
              <w:rPr>
                <w:sz w:val="24"/>
                <w:szCs w:val="24"/>
                <w:lang w:val="en-US"/>
              </w:rPr>
              <w:t>T2WI-derived tumour volume (mm</w:t>
            </w:r>
            <w:r w:rsidRPr="00B86923">
              <w:rPr>
                <w:sz w:val="24"/>
                <w:szCs w:val="24"/>
                <w:vertAlign w:val="superscript"/>
                <w:lang w:val="en-US"/>
              </w:rPr>
              <w:t>3</w:t>
            </w:r>
            <w:r w:rsidRPr="00B86923">
              <w:rPr>
                <w:sz w:val="24"/>
                <w:szCs w:val="24"/>
                <w:lang w:val="en-US"/>
              </w:rPr>
              <w:t>)</w:t>
            </w:r>
          </w:p>
        </w:tc>
      </w:tr>
      <w:tr w:rsidR="00B86923" w:rsidRPr="00B86923" w14:paraId="785718BB"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19A13E18" w14:textId="77777777" w:rsidR="00B86923" w:rsidRPr="00B86923" w:rsidRDefault="00B86923" w:rsidP="00B86923">
            <w:pPr>
              <w:widowControl w:val="0"/>
              <w:autoSpaceDE w:val="0"/>
              <w:autoSpaceDN w:val="0"/>
              <w:adjustRightInd w:val="0"/>
              <w:jc w:val="center"/>
              <w:rPr>
                <w:sz w:val="24"/>
                <w:szCs w:val="24"/>
                <w:vertAlign w:val="superscript"/>
              </w:rPr>
            </w:pPr>
            <w:r w:rsidRPr="00B86923">
              <w:rPr>
                <w:sz w:val="24"/>
                <w:szCs w:val="24"/>
              </w:rPr>
              <w:t>Baseline MRI</w:t>
            </w:r>
          </w:p>
        </w:tc>
        <w:tc>
          <w:tcPr>
            <w:tcW w:w="1710" w:type="dxa"/>
            <w:vAlign w:val="center"/>
          </w:tcPr>
          <w:p w14:paraId="59D7EA9F"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425.5</w:t>
            </w:r>
          </w:p>
          <w:p w14:paraId="4B50AFAD"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(228.4-814.9)</w:t>
            </w:r>
          </w:p>
        </w:tc>
        <w:tc>
          <w:tcPr>
            <w:tcW w:w="1800" w:type="dxa"/>
            <w:vAlign w:val="center"/>
          </w:tcPr>
          <w:p w14:paraId="7170587C"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497.7</w:t>
            </w:r>
          </w:p>
          <w:p w14:paraId="7DFF88AD"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(277.4-879.7)</w:t>
            </w:r>
          </w:p>
        </w:tc>
        <w:tc>
          <w:tcPr>
            <w:tcW w:w="1890" w:type="dxa"/>
            <w:vAlign w:val="center"/>
          </w:tcPr>
          <w:p w14:paraId="4F2B49F6"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320.8</w:t>
            </w:r>
          </w:p>
          <w:p w14:paraId="4AC1389C"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(211.4-638.9)</w:t>
            </w:r>
          </w:p>
        </w:tc>
        <w:tc>
          <w:tcPr>
            <w:tcW w:w="2070" w:type="dxa"/>
            <w:vAlign w:val="center"/>
          </w:tcPr>
          <w:p w14:paraId="71A59521"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0.21</w:t>
            </w:r>
          </w:p>
        </w:tc>
      </w:tr>
      <w:tr w:rsidR="00B86923" w:rsidRPr="00B86923" w14:paraId="0107085D"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405CC6FA" w14:textId="77777777" w:rsidR="00B86923" w:rsidRPr="00B86923" w:rsidRDefault="00B86923" w:rsidP="00B86923">
            <w:pPr>
              <w:widowControl w:val="0"/>
              <w:autoSpaceDE w:val="0"/>
              <w:autoSpaceDN w:val="0"/>
              <w:adjustRightInd w:val="0"/>
              <w:jc w:val="center"/>
              <w:rPr>
                <w:sz w:val="24"/>
                <w:szCs w:val="24"/>
                <w:vertAlign w:val="superscript"/>
              </w:rPr>
            </w:pPr>
            <w:r w:rsidRPr="00B86923">
              <w:rPr>
                <w:sz w:val="24"/>
                <w:szCs w:val="24"/>
              </w:rPr>
              <w:t>Follow-up MRI</w:t>
            </w:r>
          </w:p>
        </w:tc>
        <w:tc>
          <w:tcPr>
            <w:tcW w:w="1710" w:type="dxa"/>
            <w:vAlign w:val="center"/>
          </w:tcPr>
          <w:p w14:paraId="424A4734"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659.3</w:t>
            </w:r>
          </w:p>
          <w:p w14:paraId="369A5C53"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(312.5-1424.0)</w:t>
            </w:r>
          </w:p>
        </w:tc>
        <w:tc>
          <w:tcPr>
            <w:tcW w:w="1800" w:type="dxa"/>
            <w:vAlign w:val="center"/>
          </w:tcPr>
          <w:p w14:paraId="5AD4AC19"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 xml:space="preserve">875.5 </w:t>
            </w:r>
            <w:r w:rsidRPr="00B86923">
              <w:rPr>
                <w:sz w:val="24"/>
                <w:szCs w:val="24"/>
              </w:rPr>
              <w:br/>
              <w:t>(524.8-1947.0)</w:t>
            </w:r>
          </w:p>
        </w:tc>
        <w:tc>
          <w:tcPr>
            <w:tcW w:w="1890" w:type="dxa"/>
            <w:vAlign w:val="center"/>
          </w:tcPr>
          <w:p w14:paraId="2BDB3405"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463.4</w:t>
            </w:r>
          </w:p>
          <w:p w14:paraId="13675DBD"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(252.5-772.5)</w:t>
            </w:r>
          </w:p>
        </w:tc>
        <w:tc>
          <w:tcPr>
            <w:tcW w:w="2070" w:type="dxa"/>
            <w:vAlign w:val="center"/>
          </w:tcPr>
          <w:p w14:paraId="7F83DECB"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0.005</w:t>
            </w:r>
          </w:p>
        </w:tc>
      </w:tr>
      <w:tr w:rsidR="00B86923" w:rsidRPr="00B86923" w14:paraId="2DE1BB51"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05D87995"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710" w:type="dxa"/>
            <w:vAlign w:val="center"/>
          </w:tcPr>
          <w:p w14:paraId="5CBCF988" w14:textId="53CAF8EA" w:rsidR="00B86923" w:rsidRPr="00B86923" w:rsidRDefault="00325058"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w:t>
            </w:r>
          </w:p>
        </w:tc>
        <w:tc>
          <w:tcPr>
            <w:tcW w:w="1800" w:type="dxa"/>
            <w:vAlign w:val="center"/>
          </w:tcPr>
          <w:p w14:paraId="58BDC8C7"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0.007</w:t>
            </w:r>
          </w:p>
        </w:tc>
        <w:tc>
          <w:tcPr>
            <w:tcW w:w="1890" w:type="dxa"/>
            <w:vAlign w:val="center"/>
          </w:tcPr>
          <w:p w14:paraId="03CC6A3D"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0.20</w:t>
            </w:r>
          </w:p>
        </w:tc>
        <w:tc>
          <w:tcPr>
            <w:tcW w:w="2070" w:type="dxa"/>
            <w:vAlign w:val="center"/>
          </w:tcPr>
          <w:p w14:paraId="541467DF"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7FF5D6DB"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47DBDC15"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Relative change (%) (baseline vs follow-up)</w:t>
            </w:r>
          </w:p>
        </w:tc>
        <w:tc>
          <w:tcPr>
            <w:tcW w:w="1710" w:type="dxa"/>
            <w:vAlign w:val="center"/>
          </w:tcPr>
          <w:p w14:paraId="5896DA4F"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53.5</w:t>
            </w:r>
          </w:p>
          <w:p w14:paraId="2E41E9E2"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(19.7-106.7)</w:t>
            </w:r>
          </w:p>
        </w:tc>
        <w:tc>
          <w:tcPr>
            <w:tcW w:w="1800" w:type="dxa"/>
            <w:vAlign w:val="center"/>
          </w:tcPr>
          <w:p w14:paraId="31B64D22"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99.5</w:t>
            </w:r>
          </w:p>
          <w:p w14:paraId="39B9D683"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(34.3-160.7)</w:t>
            </w:r>
          </w:p>
        </w:tc>
        <w:tc>
          <w:tcPr>
            <w:tcW w:w="1890" w:type="dxa"/>
            <w:vAlign w:val="center"/>
          </w:tcPr>
          <w:p w14:paraId="29672C2B"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29.2</w:t>
            </w:r>
          </w:p>
          <w:p w14:paraId="76163985"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(3.7-60.7)</w:t>
            </w:r>
          </w:p>
        </w:tc>
        <w:tc>
          <w:tcPr>
            <w:tcW w:w="2070" w:type="dxa"/>
            <w:vAlign w:val="center"/>
          </w:tcPr>
          <w:p w14:paraId="4DA9A398"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&lt; 0.0001</w:t>
            </w:r>
          </w:p>
        </w:tc>
      </w:tr>
      <w:tr w:rsidR="00B86923" w:rsidRPr="00B86923" w14:paraId="7A63E863" w14:textId="77777777" w:rsidTr="00B86923">
        <w:tc>
          <w:tcPr>
            <w:cnfStyle w:val="001000000000" w:firstRow="0" w:lastRow="0" w:firstColumn="1" w:lastColumn="0" w:oddVBand="0" w:evenVBand="0" w:oddHBand="0" w:evenHBand="0" w:firstRowFirstColumn="0" w:firstRowLastColumn="0" w:lastRowFirstColumn="0" w:lastRowLastColumn="0"/>
            <w:tcW w:w="10080" w:type="dxa"/>
            <w:gridSpan w:val="5"/>
            <w:vAlign w:val="center"/>
          </w:tcPr>
          <w:p w14:paraId="6828A58C" w14:textId="4DF69AC9" w:rsidR="00B86923" w:rsidRPr="00B86923" w:rsidRDefault="00B86923" w:rsidP="00B86923">
            <w:pPr>
              <w:widowControl w:val="0"/>
              <w:autoSpaceDE w:val="0"/>
              <w:autoSpaceDN w:val="0"/>
              <w:adjustRightInd w:val="0"/>
              <w:jc w:val="center"/>
              <w:rPr>
                <w:sz w:val="24"/>
                <w:szCs w:val="24"/>
                <w:vertAlign w:val="superscript"/>
              </w:rPr>
            </w:pPr>
            <w:r w:rsidRPr="00B86923">
              <w:rPr>
                <w:sz w:val="24"/>
                <w:szCs w:val="24"/>
              </w:rPr>
              <w:t xml:space="preserve">T2WI-derived 2D surface area </w:t>
            </w:r>
            <w:r w:rsidRPr="00B86923">
              <w:rPr>
                <w:sz w:val="24"/>
                <w:szCs w:val="24"/>
                <w:lang w:val="en-US"/>
              </w:rPr>
              <w:t>(mm</w:t>
            </w:r>
            <w:r w:rsidRPr="00B86923">
              <w:rPr>
                <w:sz w:val="24"/>
                <w:szCs w:val="24"/>
                <w:vertAlign w:val="superscript"/>
                <w:lang w:val="en-US"/>
              </w:rPr>
              <w:t>2</w:t>
            </w:r>
            <w:r w:rsidRPr="00B86923">
              <w:rPr>
                <w:sz w:val="24"/>
                <w:szCs w:val="24"/>
                <w:lang w:val="en-US"/>
              </w:rPr>
              <w:t>)</w:t>
            </w:r>
          </w:p>
        </w:tc>
      </w:tr>
      <w:tr w:rsidR="00B86923" w:rsidRPr="00B86923" w14:paraId="7DACC9AF"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65D719D2"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Baseline MRI</w:t>
            </w:r>
          </w:p>
        </w:tc>
        <w:tc>
          <w:tcPr>
            <w:tcW w:w="1710" w:type="dxa"/>
            <w:vAlign w:val="center"/>
          </w:tcPr>
          <w:p w14:paraId="080670DF"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50.7</w:t>
            </w:r>
          </w:p>
          <w:p w14:paraId="7A24DDD8"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(30.7-86.1)</w:t>
            </w:r>
          </w:p>
        </w:tc>
        <w:tc>
          <w:tcPr>
            <w:tcW w:w="1800" w:type="dxa"/>
            <w:vAlign w:val="center"/>
          </w:tcPr>
          <w:p w14:paraId="735FA891"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50.7</w:t>
            </w:r>
          </w:p>
          <w:p w14:paraId="37D2C1AE"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(33.1-89.9)</w:t>
            </w:r>
          </w:p>
        </w:tc>
        <w:tc>
          <w:tcPr>
            <w:tcW w:w="1890" w:type="dxa"/>
            <w:vAlign w:val="center"/>
          </w:tcPr>
          <w:p w14:paraId="2B5D058E"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50.7</w:t>
            </w:r>
          </w:p>
          <w:p w14:paraId="2AAAEE28"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(24.9-80.9)</w:t>
            </w:r>
          </w:p>
        </w:tc>
        <w:tc>
          <w:tcPr>
            <w:tcW w:w="2070" w:type="dxa"/>
            <w:vAlign w:val="center"/>
          </w:tcPr>
          <w:p w14:paraId="7A7F38A3" w14:textId="18E4361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0.3</w:t>
            </w:r>
            <w:r w:rsidR="009943C2">
              <w:rPr>
                <w:sz w:val="24"/>
                <w:szCs w:val="24"/>
              </w:rPr>
              <w:t>7</w:t>
            </w:r>
          </w:p>
        </w:tc>
      </w:tr>
      <w:tr w:rsidR="00B86923" w:rsidRPr="00B86923" w14:paraId="5757FBC1"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68C2442B"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Follow-up MRI</w:t>
            </w:r>
          </w:p>
        </w:tc>
        <w:tc>
          <w:tcPr>
            <w:tcW w:w="1710" w:type="dxa"/>
            <w:vAlign w:val="center"/>
          </w:tcPr>
          <w:p w14:paraId="7FBE20BA"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66.3</w:t>
            </w:r>
          </w:p>
          <w:p w14:paraId="3BFA6A1E"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(37.5-105.9)</w:t>
            </w:r>
          </w:p>
        </w:tc>
        <w:tc>
          <w:tcPr>
            <w:tcW w:w="1800" w:type="dxa"/>
            <w:vAlign w:val="center"/>
          </w:tcPr>
          <w:p w14:paraId="10C5E621"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89.4</w:t>
            </w:r>
          </w:p>
          <w:p w14:paraId="131A42AD"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(66.5-131.0)</w:t>
            </w:r>
          </w:p>
        </w:tc>
        <w:tc>
          <w:tcPr>
            <w:tcW w:w="1890" w:type="dxa"/>
            <w:vAlign w:val="center"/>
          </w:tcPr>
          <w:p w14:paraId="717CB3A5"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40.3</w:t>
            </w:r>
          </w:p>
          <w:p w14:paraId="5804C81C"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(30.2-68.2)</w:t>
            </w:r>
          </w:p>
        </w:tc>
        <w:tc>
          <w:tcPr>
            <w:tcW w:w="2070" w:type="dxa"/>
            <w:vAlign w:val="center"/>
          </w:tcPr>
          <w:p w14:paraId="4A7DCE16"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0.0003</w:t>
            </w:r>
          </w:p>
        </w:tc>
      </w:tr>
      <w:tr w:rsidR="00B86923" w:rsidRPr="00B86923" w14:paraId="34E259C9"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65620C2E"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710" w:type="dxa"/>
            <w:vAlign w:val="center"/>
          </w:tcPr>
          <w:p w14:paraId="7D7A1E38" w14:textId="469A6FEA" w:rsidR="00B86923" w:rsidRPr="00B86923" w:rsidRDefault="00325058"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w:t>
            </w:r>
          </w:p>
        </w:tc>
        <w:tc>
          <w:tcPr>
            <w:tcW w:w="1800" w:type="dxa"/>
            <w:vAlign w:val="center"/>
          </w:tcPr>
          <w:p w14:paraId="50E63E8F"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0.004</w:t>
            </w:r>
          </w:p>
        </w:tc>
        <w:tc>
          <w:tcPr>
            <w:tcW w:w="1890" w:type="dxa"/>
            <w:vAlign w:val="center"/>
          </w:tcPr>
          <w:p w14:paraId="2BFAC34D"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0.94</w:t>
            </w:r>
          </w:p>
        </w:tc>
        <w:tc>
          <w:tcPr>
            <w:tcW w:w="2070" w:type="dxa"/>
            <w:vAlign w:val="center"/>
          </w:tcPr>
          <w:p w14:paraId="4E232229"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w:t>
            </w:r>
          </w:p>
        </w:tc>
      </w:tr>
      <w:tr w:rsidR="00B86923" w:rsidRPr="00B86923" w14:paraId="146C7722"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6A9B3428"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Relative change (%)  (baseline vs follow-up)</w:t>
            </w:r>
          </w:p>
        </w:tc>
        <w:tc>
          <w:tcPr>
            <w:tcW w:w="1710" w:type="dxa"/>
            <w:vAlign w:val="center"/>
          </w:tcPr>
          <w:p w14:paraId="5F2CCEF3"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26.2</w:t>
            </w:r>
          </w:p>
          <w:p w14:paraId="550C3A1C"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(1.0-70.2)</w:t>
            </w:r>
          </w:p>
        </w:tc>
        <w:tc>
          <w:tcPr>
            <w:tcW w:w="1800" w:type="dxa"/>
            <w:vAlign w:val="center"/>
          </w:tcPr>
          <w:p w14:paraId="511E2B59"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55.3</w:t>
            </w:r>
          </w:p>
          <w:p w14:paraId="0D71D3BF"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(25.1-109.9)</w:t>
            </w:r>
          </w:p>
        </w:tc>
        <w:tc>
          <w:tcPr>
            <w:tcW w:w="1890" w:type="dxa"/>
            <w:vAlign w:val="center"/>
          </w:tcPr>
          <w:p w14:paraId="62D4F4C4"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8.1</w:t>
            </w:r>
          </w:p>
          <w:p w14:paraId="1EBEEDC1"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(-15.9-8.5)</w:t>
            </w:r>
          </w:p>
        </w:tc>
        <w:tc>
          <w:tcPr>
            <w:tcW w:w="2070" w:type="dxa"/>
            <w:vAlign w:val="center"/>
          </w:tcPr>
          <w:p w14:paraId="1DB3C3D5"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&lt; 0.0001</w:t>
            </w:r>
          </w:p>
        </w:tc>
      </w:tr>
      <w:tr w:rsidR="00B86923" w:rsidRPr="00B86923" w14:paraId="17F0F454"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5"/>
            <w:vAlign w:val="center"/>
          </w:tcPr>
          <w:p w14:paraId="7A11CCF6" w14:textId="089CF67A" w:rsidR="00B86923" w:rsidRPr="00B86923" w:rsidRDefault="00B86923" w:rsidP="00B86923">
            <w:pPr>
              <w:widowControl w:val="0"/>
              <w:autoSpaceDE w:val="0"/>
              <w:autoSpaceDN w:val="0"/>
              <w:adjustRightInd w:val="0"/>
              <w:jc w:val="center"/>
              <w:rPr>
                <w:sz w:val="24"/>
                <w:szCs w:val="24"/>
              </w:rPr>
            </w:pPr>
            <w:r w:rsidRPr="00B86923">
              <w:rPr>
                <w:sz w:val="24"/>
                <w:szCs w:val="24"/>
              </w:rPr>
              <w:t xml:space="preserve">T2WI-derived maximum tumour diameter </w:t>
            </w:r>
            <w:r w:rsidRPr="00B86923">
              <w:rPr>
                <w:sz w:val="24"/>
                <w:szCs w:val="24"/>
                <w:lang w:val="en-US"/>
              </w:rPr>
              <w:t>(mm)</w:t>
            </w:r>
          </w:p>
        </w:tc>
      </w:tr>
      <w:tr w:rsidR="00B86923" w:rsidRPr="00B86923" w14:paraId="63452AAF"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11D9F0D7" w14:textId="77777777" w:rsidR="00B86923" w:rsidRPr="00B86923" w:rsidRDefault="00B86923" w:rsidP="00B86923">
            <w:pPr>
              <w:widowControl w:val="0"/>
              <w:autoSpaceDE w:val="0"/>
              <w:autoSpaceDN w:val="0"/>
              <w:adjustRightInd w:val="0"/>
              <w:jc w:val="center"/>
              <w:rPr>
                <w:sz w:val="24"/>
                <w:szCs w:val="24"/>
                <w:vertAlign w:val="superscript"/>
              </w:rPr>
            </w:pPr>
            <w:r w:rsidRPr="00B86923">
              <w:rPr>
                <w:sz w:val="24"/>
                <w:szCs w:val="24"/>
              </w:rPr>
              <w:t>Baseline MRI</w:t>
            </w:r>
          </w:p>
        </w:tc>
        <w:tc>
          <w:tcPr>
            <w:tcW w:w="1710" w:type="dxa"/>
            <w:vAlign w:val="center"/>
          </w:tcPr>
          <w:p w14:paraId="70F93607"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13.0</w:t>
            </w:r>
          </w:p>
          <w:p w14:paraId="239AA727"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(9.4-15.6)</w:t>
            </w:r>
          </w:p>
        </w:tc>
        <w:tc>
          <w:tcPr>
            <w:tcW w:w="1800" w:type="dxa"/>
            <w:vAlign w:val="center"/>
          </w:tcPr>
          <w:p w14:paraId="7F0B3956"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13.3</w:t>
            </w:r>
          </w:p>
          <w:p w14:paraId="6CA3A4F5"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(9.1-15.6)</w:t>
            </w:r>
          </w:p>
        </w:tc>
        <w:tc>
          <w:tcPr>
            <w:tcW w:w="1890" w:type="dxa"/>
            <w:vAlign w:val="center"/>
          </w:tcPr>
          <w:p w14:paraId="5CFC29A3"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12.9</w:t>
            </w:r>
          </w:p>
          <w:p w14:paraId="50D63BF0"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(9.8-15.8)</w:t>
            </w:r>
          </w:p>
        </w:tc>
        <w:tc>
          <w:tcPr>
            <w:tcW w:w="2070" w:type="dxa"/>
            <w:vAlign w:val="center"/>
          </w:tcPr>
          <w:p w14:paraId="45C64B57"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0.96</w:t>
            </w:r>
          </w:p>
        </w:tc>
      </w:tr>
      <w:tr w:rsidR="00B86923" w:rsidRPr="00B86923" w14:paraId="330EF576"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6F8372DC"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Follow-up MRI</w:t>
            </w:r>
          </w:p>
        </w:tc>
        <w:tc>
          <w:tcPr>
            <w:tcW w:w="1710" w:type="dxa"/>
            <w:vAlign w:val="center"/>
          </w:tcPr>
          <w:p w14:paraId="20DA425B"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16.0</w:t>
            </w:r>
          </w:p>
          <w:p w14:paraId="70306E34"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(12.2-19.5)</w:t>
            </w:r>
          </w:p>
        </w:tc>
        <w:tc>
          <w:tcPr>
            <w:tcW w:w="1800" w:type="dxa"/>
            <w:vAlign w:val="center"/>
          </w:tcPr>
          <w:p w14:paraId="0D00B63B"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17.0</w:t>
            </w:r>
          </w:p>
          <w:p w14:paraId="6F5BBA4A"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(13.5-20.8)</w:t>
            </w:r>
          </w:p>
        </w:tc>
        <w:tc>
          <w:tcPr>
            <w:tcW w:w="1890" w:type="dxa"/>
            <w:vAlign w:val="center"/>
          </w:tcPr>
          <w:p w14:paraId="2D06A650"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14.9</w:t>
            </w:r>
          </w:p>
          <w:p w14:paraId="73272799"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(10.7-17.9)</w:t>
            </w:r>
          </w:p>
        </w:tc>
        <w:tc>
          <w:tcPr>
            <w:tcW w:w="2070" w:type="dxa"/>
            <w:vAlign w:val="center"/>
          </w:tcPr>
          <w:p w14:paraId="4026FEEF"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0.12</w:t>
            </w:r>
          </w:p>
        </w:tc>
      </w:tr>
      <w:tr w:rsidR="00B86923" w:rsidRPr="00B86923" w14:paraId="1154B2BC" w14:textId="77777777" w:rsidTr="00B86923">
        <w:tc>
          <w:tcPr>
            <w:cnfStyle w:val="001000000000" w:firstRow="0" w:lastRow="0" w:firstColumn="1" w:lastColumn="0" w:oddVBand="0" w:evenVBand="0" w:oddHBand="0" w:evenHBand="0" w:firstRowFirstColumn="0" w:firstRowLastColumn="0" w:lastRowFirstColumn="0" w:lastRowLastColumn="0"/>
            <w:tcW w:w="2610" w:type="dxa"/>
            <w:vAlign w:val="center"/>
          </w:tcPr>
          <w:p w14:paraId="5FEB7327"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710" w:type="dxa"/>
            <w:vAlign w:val="center"/>
          </w:tcPr>
          <w:p w14:paraId="66AD7D5A"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c>
          <w:tcPr>
            <w:tcW w:w="1800" w:type="dxa"/>
            <w:vAlign w:val="center"/>
          </w:tcPr>
          <w:p w14:paraId="28AECBE6"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0.005</w:t>
            </w:r>
          </w:p>
        </w:tc>
        <w:tc>
          <w:tcPr>
            <w:tcW w:w="1890" w:type="dxa"/>
            <w:vAlign w:val="center"/>
          </w:tcPr>
          <w:p w14:paraId="54D1071A"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0.17</w:t>
            </w:r>
          </w:p>
        </w:tc>
        <w:tc>
          <w:tcPr>
            <w:tcW w:w="2070" w:type="dxa"/>
            <w:vAlign w:val="center"/>
          </w:tcPr>
          <w:p w14:paraId="720A5466" w14:textId="77777777" w:rsidR="00B86923" w:rsidRPr="00B86923" w:rsidRDefault="00B86923" w:rsidP="00B86923">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3E8E3D51"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0" w:type="dxa"/>
            <w:vAlign w:val="center"/>
          </w:tcPr>
          <w:p w14:paraId="79599C80" w14:textId="77777777" w:rsidR="00B86923" w:rsidRPr="00B86923" w:rsidRDefault="00B86923" w:rsidP="00B86923">
            <w:pPr>
              <w:widowControl w:val="0"/>
              <w:autoSpaceDE w:val="0"/>
              <w:autoSpaceDN w:val="0"/>
              <w:adjustRightInd w:val="0"/>
              <w:jc w:val="center"/>
              <w:rPr>
                <w:sz w:val="24"/>
                <w:szCs w:val="24"/>
              </w:rPr>
            </w:pPr>
            <w:r w:rsidRPr="00B86923">
              <w:rPr>
                <w:sz w:val="24"/>
                <w:szCs w:val="24"/>
              </w:rPr>
              <w:t>Relative change (%)  (baseline vs follow-up)</w:t>
            </w:r>
          </w:p>
        </w:tc>
        <w:tc>
          <w:tcPr>
            <w:tcW w:w="1710" w:type="dxa"/>
            <w:vAlign w:val="center"/>
          </w:tcPr>
          <w:p w14:paraId="7DD5E244"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17.1</w:t>
            </w:r>
          </w:p>
          <w:p w14:paraId="11565001"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(2.9-34.8)</w:t>
            </w:r>
          </w:p>
        </w:tc>
        <w:tc>
          <w:tcPr>
            <w:tcW w:w="1800" w:type="dxa"/>
            <w:vAlign w:val="center"/>
          </w:tcPr>
          <w:p w14:paraId="3747EF3C"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21.7</w:t>
            </w:r>
          </w:p>
          <w:p w14:paraId="5DB1A577"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(10.1-50.0)</w:t>
            </w:r>
          </w:p>
        </w:tc>
        <w:tc>
          <w:tcPr>
            <w:tcW w:w="1890" w:type="dxa"/>
            <w:vAlign w:val="center"/>
          </w:tcPr>
          <w:p w14:paraId="0325A9D0"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6.9</w:t>
            </w:r>
          </w:p>
          <w:p w14:paraId="56F05366"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(-1.4-22.2)</w:t>
            </w:r>
          </w:p>
        </w:tc>
        <w:tc>
          <w:tcPr>
            <w:tcW w:w="2070" w:type="dxa"/>
            <w:vAlign w:val="center"/>
          </w:tcPr>
          <w:p w14:paraId="5CBC4ACB" w14:textId="77777777" w:rsidR="00B86923" w:rsidRPr="00B86923" w:rsidRDefault="00B86923" w:rsidP="00B86923">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0.003</w:t>
            </w:r>
          </w:p>
        </w:tc>
      </w:tr>
    </w:tbl>
    <w:p w14:paraId="254E7C6E" w14:textId="77777777" w:rsidR="00D8595C" w:rsidRDefault="00D8595C" w:rsidP="00B86923">
      <w:pPr>
        <w:rPr>
          <w:b/>
          <w:bCs/>
          <w:sz w:val="24"/>
          <w:szCs w:val="24"/>
        </w:rPr>
      </w:pPr>
      <w:bookmarkStart w:id="3" w:name="_Hlk74143335"/>
    </w:p>
    <w:p w14:paraId="495953F0" w14:textId="11487F76" w:rsidR="00B86923" w:rsidRPr="00B86923" w:rsidRDefault="00B86923" w:rsidP="00B86923">
      <w:pPr>
        <w:rPr>
          <w:sz w:val="24"/>
          <w:szCs w:val="24"/>
        </w:rPr>
      </w:pPr>
      <w:r w:rsidRPr="00B86923">
        <w:rPr>
          <w:b/>
          <w:bCs/>
          <w:sz w:val="24"/>
          <w:szCs w:val="24"/>
        </w:rPr>
        <w:t>Table 2.</w:t>
      </w:r>
      <w:r w:rsidRPr="00B86923">
        <w:rPr>
          <w:sz w:val="24"/>
          <w:szCs w:val="24"/>
        </w:rPr>
        <w:t xml:space="preserve"> T2WI-derived tumour measurements obtained from baseline and latest available follow-up MRI scans in patients on active surveillance. The data are presented as median (interquartile range). </w:t>
      </w:r>
      <w:bookmarkEnd w:id="3"/>
      <w:r w:rsidRPr="00B86923">
        <w:rPr>
          <w:sz w:val="24"/>
          <w:szCs w:val="24"/>
        </w:rPr>
        <w:t>The p-values were derived using the Mann-Whitney U test and are presented for intergroup comparisons between the absolute T2WI-derived measurements obtained from progressors and non-progressors, baseline and follow-up scans in patients from the same groups, as well as between relative changes in the measurements derived from baseline and follow-up MRI scans.</w:t>
      </w:r>
    </w:p>
    <w:p w14:paraId="5D50219E" w14:textId="02F60C69" w:rsidR="00B86923" w:rsidRPr="00B86923" w:rsidRDefault="00B86923">
      <w:pPr>
        <w:rPr>
          <w:b/>
          <w:bCs/>
          <w:sz w:val="24"/>
          <w:szCs w:val="24"/>
        </w:rPr>
      </w:pPr>
      <w:r w:rsidRPr="00B86923">
        <w:rPr>
          <w:b/>
          <w:bCs/>
          <w:sz w:val="24"/>
          <w:szCs w:val="24"/>
        </w:rPr>
        <w:br w:type="page"/>
      </w:r>
    </w:p>
    <w:tbl>
      <w:tblPr>
        <w:tblStyle w:val="2"/>
        <w:tblW w:w="10157" w:type="dxa"/>
        <w:tblInd w:w="-437" w:type="dxa"/>
        <w:tblLook w:val="04A0" w:firstRow="1" w:lastRow="0" w:firstColumn="1" w:lastColumn="0" w:noHBand="0" w:noVBand="1"/>
      </w:tblPr>
      <w:tblGrid>
        <w:gridCol w:w="2507"/>
        <w:gridCol w:w="1890"/>
        <w:gridCol w:w="1800"/>
        <w:gridCol w:w="1890"/>
        <w:gridCol w:w="2070"/>
      </w:tblGrid>
      <w:tr w:rsidR="00B86923" w:rsidRPr="00B86923" w14:paraId="06C60C77" w14:textId="77777777" w:rsidTr="004C51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76B06A9F"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lastRenderedPageBreak/>
              <w:t>Parameter</w:t>
            </w:r>
          </w:p>
        </w:tc>
        <w:tc>
          <w:tcPr>
            <w:tcW w:w="1890" w:type="dxa"/>
            <w:vAlign w:val="center"/>
          </w:tcPr>
          <w:p w14:paraId="68F74554"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Total cohort</w:t>
            </w:r>
          </w:p>
          <w:p w14:paraId="712B932F" w14:textId="01B05CEA"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 xml:space="preserve">(n = </w:t>
            </w:r>
            <w:r w:rsidR="00CD4556">
              <w:rPr>
                <w:sz w:val="24"/>
                <w:szCs w:val="24"/>
              </w:rPr>
              <w:t>6</w:t>
            </w:r>
            <w:r w:rsidR="00CD4556" w:rsidRPr="00B86923">
              <w:rPr>
                <w:sz w:val="24"/>
                <w:szCs w:val="24"/>
              </w:rPr>
              <w:t>0</w:t>
            </w:r>
            <w:r w:rsidRPr="00B86923">
              <w:rPr>
                <w:sz w:val="24"/>
                <w:szCs w:val="24"/>
              </w:rPr>
              <w:t>)</w:t>
            </w:r>
          </w:p>
        </w:tc>
        <w:tc>
          <w:tcPr>
            <w:tcW w:w="1800" w:type="dxa"/>
            <w:vAlign w:val="center"/>
          </w:tcPr>
          <w:p w14:paraId="2FBA72F4"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Progressors</w:t>
            </w:r>
          </w:p>
          <w:p w14:paraId="1ED8BE4E"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(n = 30)</w:t>
            </w:r>
          </w:p>
        </w:tc>
        <w:tc>
          <w:tcPr>
            <w:tcW w:w="1890" w:type="dxa"/>
            <w:vAlign w:val="center"/>
          </w:tcPr>
          <w:p w14:paraId="7C096AA2"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Non-progressors</w:t>
            </w:r>
          </w:p>
          <w:p w14:paraId="104CC0D1"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(n = 30)</w:t>
            </w:r>
          </w:p>
        </w:tc>
        <w:tc>
          <w:tcPr>
            <w:tcW w:w="2070" w:type="dxa"/>
            <w:vAlign w:val="center"/>
          </w:tcPr>
          <w:p w14:paraId="6B8DBE0E" w14:textId="77777777"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rsidRPr="00B86923">
              <w:rPr>
                <w:sz w:val="24"/>
                <w:szCs w:val="24"/>
              </w:rPr>
              <w:t>p-value</w:t>
            </w:r>
          </w:p>
          <w:p w14:paraId="37C11EC4" w14:textId="612410B4" w:rsidR="00B86923" w:rsidRPr="00B86923" w:rsidRDefault="00B86923" w:rsidP="004C518C">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sz w:val="24"/>
                <w:szCs w:val="24"/>
              </w:rPr>
            </w:pPr>
          </w:p>
        </w:tc>
      </w:tr>
      <w:tr w:rsidR="00B86923" w:rsidRPr="00B86923" w14:paraId="784C769F"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57" w:type="dxa"/>
            <w:gridSpan w:val="5"/>
            <w:vAlign w:val="center"/>
          </w:tcPr>
          <w:p w14:paraId="76D8DABD"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Whole-volume ADC, 10</w:t>
            </w:r>
            <w:r w:rsidRPr="00B86923">
              <w:rPr>
                <w:sz w:val="24"/>
                <w:szCs w:val="24"/>
                <w:vertAlign w:val="superscript"/>
              </w:rPr>
              <w:t>-6</w:t>
            </w:r>
            <w:r w:rsidRPr="00B86923">
              <w:rPr>
                <w:sz w:val="24"/>
                <w:szCs w:val="24"/>
              </w:rPr>
              <w:t xml:space="preserve"> mm</w:t>
            </w:r>
            <w:r w:rsidRPr="00B86923">
              <w:rPr>
                <w:sz w:val="24"/>
                <w:szCs w:val="24"/>
                <w:vertAlign w:val="superscript"/>
              </w:rPr>
              <w:t>2</w:t>
            </w:r>
            <w:r w:rsidRPr="00B86923">
              <w:rPr>
                <w:sz w:val="24"/>
                <w:szCs w:val="24"/>
              </w:rPr>
              <w:t>/s</w:t>
            </w:r>
          </w:p>
        </w:tc>
      </w:tr>
      <w:tr w:rsidR="00B86923" w:rsidRPr="00B86923" w14:paraId="30E83CFB"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286FBC9B"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MRI</w:t>
            </w:r>
          </w:p>
        </w:tc>
        <w:tc>
          <w:tcPr>
            <w:tcW w:w="1890" w:type="dxa"/>
            <w:vAlign w:val="center"/>
          </w:tcPr>
          <w:p w14:paraId="61A3501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882.9</w:t>
            </w:r>
          </w:p>
          <w:p w14:paraId="51453F2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(811.7-1002.0)</w:t>
            </w:r>
          </w:p>
        </w:tc>
        <w:tc>
          <w:tcPr>
            <w:tcW w:w="1800" w:type="dxa"/>
            <w:vAlign w:val="center"/>
          </w:tcPr>
          <w:p w14:paraId="6894941B"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863.8</w:t>
            </w:r>
          </w:p>
          <w:p w14:paraId="2702C0F4"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(812.2-957.4)</w:t>
            </w:r>
          </w:p>
        </w:tc>
        <w:tc>
          <w:tcPr>
            <w:tcW w:w="1890" w:type="dxa"/>
            <w:vAlign w:val="center"/>
          </w:tcPr>
          <w:p w14:paraId="2FB10EC2"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893.1</w:t>
            </w:r>
          </w:p>
          <w:p w14:paraId="368FF235"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(800.8-1041.0)</w:t>
            </w:r>
          </w:p>
        </w:tc>
        <w:tc>
          <w:tcPr>
            <w:tcW w:w="2070" w:type="dxa"/>
            <w:vAlign w:val="center"/>
          </w:tcPr>
          <w:p w14:paraId="4B4BAAE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0.43</w:t>
            </w:r>
          </w:p>
        </w:tc>
      </w:tr>
      <w:tr w:rsidR="00B86923" w:rsidRPr="00B86923" w14:paraId="03D0BF96"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58783396"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Follow-up MRI</w:t>
            </w:r>
          </w:p>
        </w:tc>
        <w:tc>
          <w:tcPr>
            <w:tcW w:w="1890" w:type="dxa"/>
            <w:vAlign w:val="center"/>
          </w:tcPr>
          <w:p w14:paraId="165FE97F"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811.3</w:t>
            </w:r>
          </w:p>
          <w:p w14:paraId="788D651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(738.5-892.4)</w:t>
            </w:r>
          </w:p>
        </w:tc>
        <w:tc>
          <w:tcPr>
            <w:tcW w:w="1800" w:type="dxa"/>
            <w:vAlign w:val="center"/>
          </w:tcPr>
          <w:p w14:paraId="636CB0F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786.6</w:t>
            </w:r>
          </w:p>
          <w:p w14:paraId="5BCD22B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(732.1-841.4)</w:t>
            </w:r>
          </w:p>
        </w:tc>
        <w:tc>
          <w:tcPr>
            <w:tcW w:w="1890" w:type="dxa"/>
            <w:vAlign w:val="center"/>
          </w:tcPr>
          <w:p w14:paraId="67BA529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833.9</w:t>
            </w:r>
          </w:p>
          <w:p w14:paraId="71FEA7C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(775.6-940.6)</w:t>
            </w:r>
          </w:p>
        </w:tc>
        <w:tc>
          <w:tcPr>
            <w:tcW w:w="2070" w:type="dxa"/>
            <w:vAlign w:val="center"/>
          </w:tcPr>
          <w:p w14:paraId="5178012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0.05</w:t>
            </w:r>
          </w:p>
        </w:tc>
      </w:tr>
      <w:tr w:rsidR="00B86923" w:rsidRPr="00B86923" w14:paraId="2CD9CBFF"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7A529A7B"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890" w:type="dxa"/>
            <w:vAlign w:val="center"/>
          </w:tcPr>
          <w:p w14:paraId="4DFD5B5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c>
          <w:tcPr>
            <w:tcW w:w="1800" w:type="dxa"/>
            <w:vAlign w:val="center"/>
          </w:tcPr>
          <w:p w14:paraId="0BA5FFC9"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0.0009</w:t>
            </w:r>
          </w:p>
        </w:tc>
        <w:tc>
          <w:tcPr>
            <w:tcW w:w="1890" w:type="dxa"/>
            <w:vAlign w:val="center"/>
          </w:tcPr>
          <w:p w14:paraId="7A527A10"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lang w:val="ru-RU"/>
              </w:rPr>
            </w:pPr>
            <w:r w:rsidRPr="00B86923">
              <w:rPr>
                <w:sz w:val="24"/>
                <w:szCs w:val="24"/>
              </w:rPr>
              <w:t>0.0</w:t>
            </w:r>
            <w:r w:rsidRPr="00B86923">
              <w:rPr>
                <w:sz w:val="24"/>
                <w:szCs w:val="24"/>
                <w:lang w:val="ru-RU"/>
              </w:rPr>
              <w:t>8</w:t>
            </w:r>
          </w:p>
        </w:tc>
        <w:tc>
          <w:tcPr>
            <w:tcW w:w="2070" w:type="dxa"/>
            <w:vAlign w:val="center"/>
          </w:tcPr>
          <w:p w14:paraId="4921B2EB"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35BBB889"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3A73BB52"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Relative change, % (baseline vs follow-up)</w:t>
            </w:r>
          </w:p>
        </w:tc>
        <w:tc>
          <w:tcPr>
            <w:tcW w:w="1890" w:type="dxa"/>
            <w:vAlign w:val="center"/>
          </w:tcPr>
          <w:p w14:paraId="04E60FC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-8.8</w:t>
            </w:r>
          </w:p>
          <w:p w14:paraId="08F84114"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(-15.9 – -1.6)</w:t>
            </w:r>
          </w:p>
        </w:tc>
        <w:tc>
          <w:tcPr>
            <w:tcW w:w="1800" w:type="dxa"/>
            <w:vAlign w:val="center"/>
          </w:tcPr>
          <w:p w14:paraId="36E55271"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-11.7</w:t>
            </w:r>
          </w:p>
          <w:p w14:paraId="1698790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(-18.8 – -6.2)</w:t>
            </w:r>
          </w:p>
        </w:tc>
        <w:tc>
          <w:tcPr>
            <w:tcW w:w="1890" w:type="dxa"/>
            <w:vAlign w:val="center"/>
          </w:tcPr>
          <w:p w14:paraId="7268531D"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-6.1</w:t>
            </w:r>
          </w:p>
          <w:p w14:paraId="2749819D"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(-12.54 – 1.9)</w:t>
            </w:r>
          </w:p>
        </w:tc>
        <w:tc>
          <w:tcPr>
            <w:tcW w:w="2070" w:type="dxa"/>
            <w:vAlign w:val="center"/>
          </w:tcPr>
          <w:p w14:paraId="49FE241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0.02</w:t>
            </w:r>
          </w:p>
        </w:tc>
      </w:tr>
      <w:tr w:rsidR="00B86923" w:rsidRPr="00B86923" w14:paraId="798FAB38" w14:textId="77777777" w:rsidTr="004C518C">
        <w:tc>
          <w:tcPr>
            <w:cnfStyle w:val="001000000000" w:firstRow="0" w:lastRow="0" w:firstColumn="1" w:lastColumn="0" w:oddVBand="0" w:evenVBand="0" w:oddHBand="0" w:evenHBand="0" w:firstRowFirstColumn="0" w:firstRowLastColumn="0" w:lastRowFirstColumn="0" w:lastRowLastColumn="0"/>
            <w:tcW w:w="10157" w:type="dxa"/>
            <w:gridSpan w:val="5"/>
            <w:vAlign w:val="center"/>
          </w:tcPr>
          <w:p w14:paraId="7DA3375B"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Mid-slice ADC, 10</w:t>
            </w:r>
            <w:r w:rsidRPr="00B86923">
              <w:rPr>
                <w:sz w:val="24"/>
                <w:szCs w:val="24"/>
                <w:vertAlign w:val="superscript"/>
              </w:rPr>
              <w:t>-6</w:t>
            </w:r>
            <w:r w:rsidRPr="00B86923">
              <w:rPr>
                <w:sz w:val="24"/>
                <w:szCs w:val="24"/>
              </w:rPr>
              <w:t xml:space="preserve"> mm</w:t>
            </w:r>
            <w:r w:rsidRPr="00B86923">
              <w:rPr>
                <w:sz w:val="24"/>
                <w:szCs w:val="24"/>
                <w:vertAlign w:val="superscript"/>
              </w:rPr>
              <w:t>2</w:t>
            </w:r>
            <w:r w:rsidRPr="00B86923">
              <w:rPr>
                <w:sz w:val="24"/>
                <w:szCs w:val="24"/>
              </w:rPr>
              <w:t>/s</w:t>
            </w:r>
          </w:p>
        </w:tc>
      </w:tr>
      <w:tr w:rsidR="00B86923" w:rsidRPr="00B86923" w14:paraId="3FF03E90"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17A88BA4"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MRI</w:t>
            </w:r>
          </w:p>
        </w:tc>
        <w:tc>
          <w:tcPr>
            <w:tcW w:w="1890" w:type="dxa"/>
            <w:vAlign w:val="center"/>
          </w:tcPr>
          <w:p w14:paraId="3801D5A4"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842.7</w:t>
            </w:r>
          </w:p>
          <w:p w14:paraId="396DBDDC"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(771.4-935.4)</w:t>
            </w:r>
          </w:p>
        </w:tc>
        <w:tc>
          <w:tcPr>
            <w:tcW w:w="1800" w:type="dxa"/>
            <w:vAlign w:val="center"/>
          </w:tcPr>
          <w:p w14:paraId="42196D20"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817.1</w:t>
            </w:r>
          </w:p>
          <w:p w14:paraId="647C340C"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(729.3-888.7)</w:t>
            </w:r>
          </w:p>
        </w:tc>
        <w:tc>
          <w:tcPr>
            <w:tcW w:w="1890" w:type="dxa"/>
            <w:vAlign w:val="center"/>
          </w:tcPr>
          <w:p w14:paraId="0BE59EE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865.5</w:t>
            </w:r>
          </w:p>
          <w:p w14:paraId="030CF48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(799.4-1010.0)</w:t>
            </w:r>
          </w:p>
        </w:tc>
        <w:tc>
          <w:tcPr>
            <w:tcW w:w="2070" w:type="dxa"/>
            <w:vAlign w:val="center"/>
          </w:tcPr>
          <w:p w14:paraId="230CDFBE"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0.07</w:t>
            </w:r>
          </w:p>
        </w:tc>
      </w:tr>
      <w:tr w:rsidR="00B86923" w:rsidRPr="00B86923" w14:paraId="63B6399A"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7E9CF02D"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Follow-up MRI</w:t>
            </w:r>
          </w:p>
        </w:tc>
        <w:tc>
          <w:tcPr>
            <w:tcW w:w="1890" w:type="dxa"/>
            <w:vAlign w:val="center"/>
          </w:tcPr>
          <w:p w14:paraId="65B6F4B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802.4</w:t>
            </w:r>
          </w:p>
          <w:p w14:paraId="36D61E5E"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(736.0-888.0)</w:t>
            </w:r>
          </w:p>
        </w:tc>
        <w:tc>
          <w:tcPr>
            <w:tcW w:w="1800" w:type="dxa"/>
            <w:vAlign w:val="center"/>
          </w:tcPr>
          <w:p w14:paraId="4F57BD7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739.8</w:t>
            </w:r>
          </w:p>
          <w:p w14:paraId="740D26DE"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(678.4-819.0)</w:t>
            </w:r>
          </w:p>
        </w:tc>
        <w:tc>
          <w:tcPr>
            <w:tcW w:w="1890" w:type="dxa"/>
            <w:vAlign w:val="center"/>
          </w:tcPr>
          <w:p w14:paraId="37991746"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795.0</w:t>
            </w:r>
          </w:p>
          <w:p w14:paraId="071E9F64"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(742.1-918.3)</w:t>
            </w:r>
          </w:p>
        </w:tc>
        <w:tc>
          <w:tcPr>
            <w:tcW w:w="2070" w:type="dxa"/>
            <w:vAlign w:val="center"/>
          </w:tcPr>
          <w:p w14:paraId="3CD57354"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0.02</w:t>
            </w:r>
          </w:p>
        </w:tc>
      </w:tr>
      <w:tr w:rsidR="00B86923" w:rsidRPr="00B86923" w14:paraId="2850C4A3"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60CCABD9"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890" w:type="dxa"/>
            <w:vAlign w:val="center"/>
          </w:tcPr>
          <w:p w14:paraId="26E99B0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w:t>
            </w:r>
          </w:p>
        </w:tc>
        <w:tc>
          <w:tcPr>
            <w:tcW w:w="1800" w:type="dxa"/>
            <w:vAlign w:val="center"/>
          </w:tcPr>
          <w:p w14:paraId="6AEDCE7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0.03</w:t>
            </w:r>
          </w:p>
        </w:tc>
        <w:tc>
          <w:tcPr>
            <w:tcW w:w="1890" w:type="dxa"/>
            <w:vAlign w:val="center"/>
          </w:tcPr>
          <w:p w14:paraId="40165A10"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0.12</w:t>
            </w:r>
          </w:p>
        </w:tc>
        <w:tc>
          <w:tcPr>
            <w:tcW w:w="2070" w:type="dxa"/>
            <w:vAlign w:val="center"/>
          </w:tcPr>
          <w:p w14:paraId="3489DF8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w:t>
            </w:r>
          </w:p>
        </w:tc>
      </w:tr>
      <w:tr w:rsidR="00B86923" w:rsidRPr="00B86923" w14:paraId="2736C9D9"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3D947A74"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Relative change, % (baseline vs follow-up)</w:t>
            </w:r>
          </w:p>
        </w:tc>
        <w:tc>
          <w:tcPr>
            <w:tcW w:w="1890" w:type="dxa"/>
            <w:vAlign w:val="center"/>
          </w:tcPr>
          <w:p w14:paraId="042A9AC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-3.3</w:t>
            </w:r>
          </w:p>
          <w:p w14:paraId="718131BD"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(-15.0-6.0)</w:t>
            </w:r>
          </w:p>
        </w:tc>
        <w:tc>
          <w:tcPr>
            <w:tcW w:w="1800" w:type="dxa"/>
            <w:vAlign w:val="center"/>
          </w:tcPr>
          <w:p w14:paraId="045E114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-9.5</w:t>
            </w:r>
          </w:p>
          <w:p w14:paraId="27C8AC2D"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(-13.6 – -2.6)</w:t>
            </w:r>
          </w:p>
        </w:tc>
        <w:tc>
          <w:tcPr>
            <w:tcW w:w="1890" w:type="dxa"/>
            <w:vAlign w:val="center"/>
          </w:tcPr>
          <w:p w14:paraId="588211B6"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-5.6</w:t>
            </w:r>
          </w:p>
          <w:p w14:paraId="10EE6B6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(-16.2-5.6)</w:t>
            </w:r>
          </w:p>
        </w:tc>
        <w:tc>
          <w:tcPr>
            <w:tcW w:w="2070" w:type="dxa"/>
            <w:vAlign w:val="center"/>
          </w:tcPr>
          <w:p w14:paraId="259A302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0.79</w:t>
            </w:r>
          </w:p>
        </w:tc>
      </w:tr>
      <w:tr w:rsidR="00B86923" w:rsidRPr="00B86923" w14:paraId="680D4587"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57" w:type="dxa"/>
            <w:gridSpan w:val="5"/>
            <w:vAlign w:val="center"/>
          </w:tcPr>
          <w:p w14:paraId="7BEA56B5"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Small-volume ADC, 10</w:t>
            </w:r>
            <w:r w:rsidRPr="00B86923">
              <w:rPr>
                <w:sz w:val="24"/>
                <w:szCs w:val="24"/>
                <w:vertAlign w:val="superscript"/>
              </w:rPr>
              <w:t>-6</w:t>
            </w:r>
            <w:r w:rsidRPr="00B86923">
              <w:rPr>
                <w:sz w:val="24"/>
                <w:szCs w:val="24"/>
              </w:rPr>
              <w:t xml:space="preserve"> mm</w:t>
            </w:r>
            <w:r w:rsidRPr="00B86923">
              <w:rPr>
                <w:sz w:val="24"/>
                <w:szCs w:val="24"/>
                <w:vertAlign w:val="superscript"/>
              </w:rPr>
              <w:t>2</w:t>
            </w:r>
            <w:r w:rsidRPr="00B86923">
              <w:rPr>
                <w:sz w:val="24"/>
                <w:szCs w:val="24"/>
              </w:rPr>
              <w:t>/s</w:t>
            </w:r>
          </w:p>
        </w:tc>
      </w:tr>
      <w:tr w:rsidR="00B86923" w:rsidRPr="00B86923" w14:paraId="766DDEDB"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60313BE9"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Baseline MRI</w:t>
            </w:r>
          </w:p>
        </w:tc>
        <w:tc>
          <w:tcPr>
            <w:tcW w:w="1890" w:type="dxa"/>
            <w:vAlign w:val="center"/>
          </w:tcPr>
          <w:p w14:paraId="5BD43AC0"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642.3</w:t>
            </w:r>
          </w:p>
          <w:p w14:paraId="77DEC12C"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(588.8-723.6)</w:t>
            </w:r>
          </w:p>
        </w:tc>
        <w:tc>
          <w:tcPr>
            <w:tcW w:w="1800" w:type="dxa"/>
            <w:vAlign w:val="center"/>
          </w:tcPr>
          <w:p w14:paraId="37A5A4A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630.6</w:t>
            </w:r>
          </w:p>
          <w:p w14:paraId="68A980D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(580.4-694.2)</w:t>
            </w:r>
          </w:p>
        </w:tc>
        <w:tc>
          <w:tcPr>
            <w:tcW w:w="1890" w:type="dxa"/>
            <w:vAlign w:val="center"/>
          </w:tcPr>
          <w:p w14:paraId="49C0957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658.1</w:t>
            </w:r>
          </w:p>
          <w:p w14:paraId="7C32DC81"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(599.6-757.3)</w:t>
            </w:r>
          </w:p>
        </w:tc>
        <w:tc>
          <w:tcPr>
            <w:tcW w:w="2070" w:type="dxa"/>
            <w:vAlign w:val="center"/>
          </w:tcPr>
          <w:p w14:paraId="46423EBE"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0.22</w:t>
            </w:r>
          </w:p>
        </w:tc>
      </w:tr>
      <w:tr w:rsidR="00B86923" w:rsidRPr="00B86923" w14:paraId="750DB386"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700B5D9C"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Follow-up MRI</w:t>
            </w:r>
          </w:p>
        </w:tc>
        <w:tc>
          <w:tcPr>
            <w:tcW w:w="1890" w:type="dxa"/>
            <w:vAlign w:val="center"/>
          </w:tcPr>
          <w:p w14:paraId="7F1312CB"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596.3</w:t>
            </w:r>
          </w:p>
          <w:p w14:paraId="19C4EFF5"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(540.4-682.3)</w:t>
            </w:r>
          </w:p>
        </w:tc>
        <w:tc>
          <w:tcPr>
            <w:tcW w:w="1800" w:type="dxa"/>
            <w:vAlign w:val="center"/>
          </w:tcPr>
          <w:p w14:paraId="3336475F"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580.3</w:t>
            </w:r>
          </w:p>
          <w:p w14:paraId="445CD84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(507.2-626.4)</w:t>
            </w:r>
          </w:p>
        </w:tc>
        <w:tc>
          <w:tcPr>
            <w:tcW w:w="1890" w:type="dxa"/>
            <w:vAlign w:val="center"/>
          </w:tcPr>
          <w:p w14:paraId="38E23B04"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640.6</w:t>
            </w:r>
          </w:p>
          <w:p w14:paraId="59FEE1C4"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(567.2-753.9)</w:t>
            </w:r>
          </w:p>
        </w:tc>
        <w:tc>
          <w:tcPr>
            <w:tcW w:w="2070" w:type="dxa"/>
            <w:vAlign w:val="center"/>
          </w:tcPr>
          <w:p w14:paraId="222809D3"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0.004</w:t>
            </w:r>
          </w:p>
        </w:tc>
      </w:tr>
      <w:tr w:rsidR="00B86923" w:rsidRPr="00B86923" w14:paraId="336FEC87" w14:textId="77777777" w:rsidTr="004C518C">
        <w:tc>
          <w:tcPr>
            <w:cnfStyle w:val="001000000000" w:firstRow="0" w:lastRow="0" w:firstColumn="1" w:lastColumn="0" w:oddVBand="0" w:evenVBand="0" w:oddHBand="0" w:evenHBand="0" w:firstRowFirstColumn="0" w:firstRowLastColumn="0" w:lastRowFirstColumn="0" w:lastRowLastColumn="0"/>
            <w:tcW w:w="2507" w:type="dxa"/>
            <w:vAlign w:val="center"/>
          </w:tcPr>
          <w:p w14:paraId="29AD0DA6"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 xml:space="preserve">p-value </w:t>
            </w:r>
            <w:r w:rsidRPr="00B86923">
              <w:rPr>
                <w:sz w:val="24"/>
                <w:szCs w:val="24"/>
              </w:rPr>
              <w:br/>
              <w:t>(baseline vs follow-up)</w:t>
            </w:r>
          </w:p>
        </w:tc>
        <w:tc>
          <w:tcPr>
            <w:tcW w:w="1890" w:type="dxa"/>
            <w:vAlign w:val="center"/>
          </w:tcPr>
          <w:p w14:paraId="6EF1576B"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c>
          <w:tcPr>
            <w:tcW w:w="1800" w:type="dxa"/>
            <w:vAlign w:val="center"/>
          </w:tcPr>
          <w:p w14:paraId="3BB393F7"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0.01</w:t>
            </w:r>
          </w:p>
        </w:tc>
        <w:tc>
          <w:tcPr>
            <w:tcW w:w="1890" w:type="dxa"/>
            <w:vAlign w:val="center"/>
          </w:tcPr>
          <w:p w14:paraId="73403A60"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lang w:val="ru-RU"/>
              </w:rPr>
            </w:pPr>
            <w:r w:rsidRPr="00B86923">
              <w:rPr>
                <w:sz w:val="24"/>
                <w:szCs w:val="24"/>
              </w:rPr>
              <w:t>0.7</w:t>
            </w:r>
            <w:r w:rsidRPr="00B86923">
              <w:rPr>
                <w:sz w:val="24"/>
                <w:szCs w:val="24"/>
                <w:lang w:val="ru-RU"/>
              </w:rPr>
              <w:t>1</w:t>
            </w:r>
          </w:p>
        </w:tc>
        <w:tc>
          <w:tcPr>
            <w:tcW w:w="2070" w:type="dxa"/>
            <w:vAlign w:val="center"/>
          </w:tcPr>
          <w:p w14:paraId="020C784E" w14:textId="77777777" w:rsidR="00B86923" w:rsidRPr="00B86923" w:rsidRDefault="00B86923" w:rsidP="004C518C">
            <w:pPr>
              <w:widowControl w:val="0"/>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w:t>
            </w:r>
          </w:p>
        </w:tc>
      </w:tr>
      <w:tr w:rsidR="00B86923" w:rsidRPr="00B86923" w14:paraId="57988AD9" w14:textId="77777777" w:rsidTr="004C51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7" w:type="dxa"/>
            <w:vAlign w:val="center"/>
          </w:tcPr>
          <w:p w14:paraId="67D1C69E" w14:textId="77777777" w:rsidR="00B86923" w:rsidRPr="00B86923" w:rsidRDefault="00B86923" w:rsidP="004C518C">
            <w:pPr>
              <w:widowControl w:val="0"/>
              <w:autoSpaceDE w:val="0"/>
              <w:autoSpaceDN w:val="0"/>
              <w:adjustRightInd w:val="0"/>
              <w:jc w:val="center"/>
              <w:rPr>
                <w:sz w:val="24"/>
                <w:szCs w:val="24"/>
              </w:rPr>
            </w:pPr>
            <w:r w:rsidRPr="00B86923">
              <w:rPr>
                <w:sz w:val="24"/>
                <w:szCs w:val="24"/>
              </w:rPr>
              <w:t>Relative change, % (baseline vs follow-up)</w:t>
            </w:r>
          </w:p>
        </w:tc>
        <w:tc>
          <w:tcPr>
            <w:tcW w:w="1890" w:type="dxa"/>
            <w:vAlign w:val="center"/>
          </w:tcPr>
          <w:p w14:paraId="75BD887E"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-7.4</w:t>
            </w:r>
          </w:p>
          <w:p w14:paraId="032A3599"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(-15.0-0.5)</w:t>
            </w:r>
          </w:p>
        </w:tc>
        <w:tc>
          <w:tcPr>
            <w:tcW w:w="1800" w:type="dxa"/>
            <w:vAlign w:val="center"/>
          </w:tcPr>
          <w:p w14:paraId="0556F0BF"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-9.5</w:t>
            </w:r>
          </w:p>
          <w:p w14:paraId="735E91C6"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(-15.5 – -5.1)</w:t>
            </w:r>
          </w:p>
        </w:tc>
        <w:tc>
          <w:tcPr>
            <w:tcW w:w="1890" w:type="dxa"/>
            <w:vAlign w:val="center"/>
          </w:tcPr>
          <w:p w14:paraId="0E0B4738"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-1.6</w:t>
            </w:r>
          </w:p>
          <w:p w14:paraId="61B7E212"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(-14.5-8.1)</w:t>
            </w:r>
          </w:p>
        </w:tc>
        <w:tc>
          <w:tcPr>
            <w:tcW w:w="2070" w:type="dxa"/>
            <w:vAlign w:val="center"/>
          </w:tcPr>
          <w:p w14:paraId="6668A541" w14:textId="77777777" w:rsidR="00B86923" w:rsidRPr="00B86923" w:rsidRDefault="00B86923" w:rsidP="004C518C">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0.008</w:t>
            </w:r>
          </w:p>
        </w:tc>
      </w:tr>
    </w:tbl>
    <w:p w14:paraId="121397AD" w14:textId="77777777" w:rsidR="00B86923" w:rsidRPr="00B86923" w:rsidRDefault="00B86923" w:rsidP="00B86923">
      <w:pPr>
        <w:rPr>
          <w:sz w:val="24"/>
          <w:szCs w:val="24"/>
        </w:rPr>
      </w:pPr>
    </w:p>
    <w:p w14:paraId="14AE9075" w14:textId="77777777" w:rsidR="00B86923" w:rsidRPr="00B86923" w:rsidRDefault="00B86923" w:rsidP="00B86923">
      <w:pPr>
        <w:rPr>
          <w:sz w:val="24"/>
          <w:szCs w:val="24"/>
        </w:rPr>
      </w:pPr>
      <w:r w:rsidRPr="00B86923">
        <w:rPr>
          <w:b/>
          <w:bCs/>
          <w:sz w:val="24"/>
          <w:szCs w:val="24"/>
        </w:rPr>
        <w:t>Table 3</w:t>
      </w:r>
      <w:r w:rsidRPr="00B86923">
        <w:rPr>
          <w:b/>
          <w:bCs/>
          <w:sz w:val="24"/>
          <w:szCs w:val="24"/>
          <w:lang w:val="en-US"/>
        </w:rPr>
        <w:t xml:space="preserve">. </w:t>
      </w:r>
      <w:r w:rsidRPr="00B86923">
        <w:rPr>
          <w:sz w:val="24"/>
          <w:szCs w:val="24"/>
          <w:lang w:val="en-US"/>
        </w:rPr>
        <w:t>Tumour ADC values</w:t>
      </w:r>
      <w:r w:rsidRPr="00B86923">
        <w:rPr>
          <w:sz w:val="24"/>
          <w:szCs w:val="24"/>
        </w:rPr>
        <w:t xml:space="preserve"> derived from baseline and follow-up MRI scans in active surveillance patients. The data are presented as median (interquartile range). The p-values were derived using the Mann-Whitney U test and are presented for intergroup comparisons between the absolute T2WI-derived measurements obtained from progressors and non-progressors, as well as between relative changes in the measurements derived from baseline and follow-up MRI scans. </w:t>
      </w:r>
    </w:p>
    <w:p w14:paraId="3446D30A" w14:textId="07E88C5C" w:rsidR="00B86923" w:rsidRPr="00B86923" w:rsidRDefault="00B86923">
      <w:pPr>
        <w:rPr>
          <w:b/>
          <w:bCs/>
          <w:sz w:val="24"/>
          <w:szCs w:val="24"/>
        </w:rPr>
      </w:pPr>
      <w:r w:rsidRPr="00B86923">
        <w:rPr>
          <w:b/>
          <w:bCs/>
          <w:sz w:val="24"/>
          <w:szCs w:val="24"/>
        </w:rPr>
        <w:br w:type="page"/>
      </w:r>
    </w:p>
    <w:tbl>
      <w:tblPr>
        <w:tblStyle w:val="2"/>
        <w:tblW w:w="9810" w:type="dxa"/>
        <w:tblLook w:val="04A0" w:firstRow="1" w:lastRow="0" w:firstColumn="1" w:lastColumn="0" w:noHBand="0" w:noVBand="1"/>
      </w:tblPr>
      <w:tblGrid>
        <w:gridCol w:w="4320"/>
        <w:gridCol w:w="1080"/>
        <w:gridCol w:w="1800"/>
        <w:gridCol w:w="2610"/>
      </w:tblGrid>
      <w:tr w:rsidR="00B86923" w:rsidRPr="00B86923" w14:paraId="5C2418C0" w14:textId="77777777" w:rsidTr="00B869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223617A7" w14:textId="77777777" w:rsidR="00B86923" w:rsidRPr="00B86923" w:rsidRDefault="00B86923" w:rsidP="00B86923">
            <w:pPr>
              <w:spacing w:after="160" w:line="259" w:lineRule="auto"/>
              <w:jc w:val="center"/>
              <w:rPr>
                <w:sz w:val="24"/>
                <w:szCs w:val="24"/>
              </w:rPr>
            </w:pPr>
            <w:r w:rsidRPr="00B86923">
              <w:rPr>
                <w:sz w:val="24"/>
                <w:szCs w:val="24"/>
              </w:rPr>
              <w:lastRenderedPageBreak/>
              <w:t>Parameter</w:t>
            </w:r>
          </w:p>
        </w:tc>
        <w:tc>
          <w:tcPr>
            <w:tcW w:w="1080" w:type="dxa"/>
            <w:vAlign w:val="center"/>
          </w:tcPr>
          <w:p w14:paraId="10363105" w14:textId="77777777" w:rsidR="00B86923" w:rsidRPr="00B86923" w:rsidRDefault="00B86923" w:rsidP="00B86923">
            <w:pPr>
              <w:spacing w:after="160" w:line="259"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AUC</w:t>
            </w:r>
          </w:p>
        </w:tc>
        <w:tc>
          <w:tcPr>
            <w:tcW w:w="1800" w:type="dxa"/>
            <w:vAlign w:val="center"/>
          </w:tcPr>
          <w:p w14:paraId="0A034E02" w14:textId="77777777" w:rsidR="00B86923" w:rsidRPr="00B86923" w:rsidRDefault="00B86923" w:rsidP="00B86923">
            <w:pPr>
              <w:spacing w:after="160" w:line="259"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Standard error</w:t>
            </w:r>
          </w:p>
        </w:tc>
        <w:tc>
          <w:tcPr>
            <w:tcW w:w="2610" w:type="dxa"/>
            <w:vAlign w:val="center"/>
          </w:tcPr>
          <w:p w14:paraId="3BD45740" w14:textId="77777777" w:rsidR="00B86923" w:rsidRPr="00B86923" w:rsidRDefault="00B86923" w:rsidP="00B86923">
            <w:pPr>
              <w:spacing w:after="160" w:line="259"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B86923">
              <w:rPr>
                <w:sz w:val="24"/>
                <w:szCs w:val="24"/>
              </w:rPr>
              <w:t>95% confidence interval</w:t>
            </w:r>
          </w:p>
        </w:tc>
      </w:tr>
      <w:tr w:rsidR="00B86923" w:rsidRPr="00B86923" w14:paraId="5A4D0944" w14:textId="77777777" w:rsidTr="00B86923">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6FD66A2B" w14:textId="77777777" w:rsidR="00B86923" w:rsidRPr="00B86923" w:rsidRDefault="00B86923" w:rsidP="00B86923">
            <w:pPr>
              <w:spacing w:after="160" w:line="259" w:lineRule="auto"/>
              <w:jc w:val="center"/>
              <w:rPr>
                <w:b w:val="0"/>
                <w:bCs w:val="0"/>
                <w:sz w:val="24"/>
                <w:szCs w:val="24"/>
              </w:rPr>
            </w:pPr>
            <w:r w:rsidRPr="00B86923">
              <w:rPr>
                <w:b w:val="0"/>
                <w:bCs w:val="0"/>
                <w:sz w:val="24"/>
                <w:szCs w:val="24"/>
                <w:lang w:val="en-US"/>
              </w:rPr>
              <w:t>T2WI-derived tumour volume</w:t>
            </w:r>
          </w:p>
        </w:tc>
        <w:tc>
          <w:tcPr>
            <w:tcW w:w="1080" w:type="dxa"/>
            <w:vAlign w:val="center"/>
          </w:tcPr>
          <w:p w14:paraId="0FB3ED75"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0.794</w:t>
            </w:r>
          </w:p>
        </w:tc>
        <w:tc>
          <w:tcPr>
            <w:tcW w:w="1800" w:type="dxa"/>
            <w:vAlign w:val="center"/>
          </w:tcPr>
          <w:p w14:paraId="04A96278"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0.057</w:t>
            </w:r>
          </w:p>
        </w:tc>
        <w:tc>
          <w:tcPr>
            <w:tcW w:w="2610" w:type="dxa"/>
            <w:vAlign w:val="center"/>
          </w:tcPr>
          <w:p w14:paraId="71335B93"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0.670 to 0.888</w:t>
            </w:r>
          </w:p>
        </w:tc>
      </w:tr>
      <w:tr w:rsidR="00B86923" w:rsidRPr="00B86923" w14:paraId="7B340885" w14:textId="77777777" w:rsidTr="00B86923">
        <w:tc>
          <w:tcPr>
            <w:cnfStyle w:val="001000000000" w:firstRow="0" w:lastRow="0" w:firstColumn="1" w:lastColumn="0" w:oddVBand="0" w:evenVBand="0" w:oddHBand="0" w:evenHBand="0" w:firstRowFirstColumn="0" w:firstRowLastColumn="0" w:lastRowFirstColumn="0" w:lastRowLastColumn="0"/>
            <w:tcW w:w="4320" w:type="dxa"/>
            <w:vAlign w:val="center"/>
          </w:tcPr>
          <w:p w14:paraId="58696113" w14:textId="77777777" w:rsidR="00B86923" w:rsidRPr="00B86923" w:rsidRDefault="00B86923" w:rsidP="00B86923">
            <w:pPr>
              <w:spacing w:after="160" w:line="259" w:lineRule="auto"/>
              <w:jc w:val="center"/>
              <w:rPr>
                <w:b w:val="0"/>
                <w:bCs w:val="0"/>
                <w:sz w:val="24"/>
                <w:szCs w:val="24"/>
              </w:rPr>
            </w:pPr>
            <w:r w:rsidRPr="00B86923">
              <w:rPr>
                <w:b w:val="0"/>
                <w:bCs w:val="0"/>
                <w:sz w:val="24"/>
                <w:szCs w:val="24"/>
              </w:rPr>
              <w:t>T2WI-derived 2D tumour surface area</w:t>
            </w:r>
          </w:p>
        </w:tc>
        <w:tc>
          <w:tcPr>
            <w:tcW w:w="1080" w:type="dxa"/>
            <w:vAlign w:val="center"/>
          </w:tcPr>
          <w:p w14:paraId="5DBDFAE7"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0.828</w:t>
            </w:r>
          </w:p>
        </w:tc>
        <w:tc>
          <w:tcPr>
            <w:tcW w:w="1800" w:type="dxa"/>
            <w:vAlign w:val="center"/>
          </w:tcPr>
          <w:p w14:paraId="5C4F6A6D"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0.052</w:t>
            </w:r>
          </w:p>
        </w:tc>
        <w:tc>
          <w:tcPr>
            <w:tcW w:w="2610" w:type="dxa"/>
            <w:vAlign w:val="center"/>
          </w:tcPr>
          <w:p w14:paraId="6DB2B0C3"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0.708 to 0.913</w:t>
            </w:r>
          </w:p>
        </w:tc>
      </w:tr>
      <w:tr w:rsidR="00B86923" w:rsidRPr="00B86923" w14:paraId="37D3C25E"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1637D4E0" w14:textId="77777777" w:rsidR="00B86923" w:rsidRPr="00B86923" w:rsidRDefault="00B86923" w:rsidP="00B86923">
            <w:pPr>
              <w:spacing w:after="160" w:line="259" w:lineRule="auto"/>
              <w:jc w:val="center"/>
              <w:rPr>
                <w:b w:val="0"/>
                <w:bCs w:val="0"/>
                <w:sz w:val="24"/>
                <w:szCs w:val="24"/>
              </w:rPr>
            </w:pPr>
            <w:r w:rsidRPr="00B86923">
              <w:rPr>
                <w:b w:val="0"/>
                <w:bCs w:val="0"/>
                <w:sz w:val="24"/>
                <w:szCs w:val="24"/>
              </w:rPr>
              <w:t>T2WI-derived maximum tumour diameter</w:t>
            </w:r>
          </w:p>
        </w:tc>
        <w:tc>
          <w:tcPr>
            <w:tcW w:w="1080" w:type="dxa"/>
            <w:vAlign w:val="center"/>
          </w:tcPr>
          <w:p w14:paraId="76EE40E8"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0.721</w:t>
            </w:r>
          </w:p>
        </w:tc>
        <w:tc>
          <w:tcPr>
            <w:tcW w:w="1800" w:type="dxa"/>
            <w:vAlign w:val="center"/>
          </w:tcPr>
          <w:p w14:paraId="2D3CF294"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0.066</w:t>
            </w:r>
          </w:p>
        </w:tc>
        <w:tc>
          <w:tcPr>
            <w:tcW w:w="2610" w:type="dxa"/>
            <w:vAlign w:val="center"/>
          </w:tcPr>
          <w:p w14:paraId="1632D9A1"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0.590 to 0.829</w:t>
            </w:r>
          </w:p>
        </w:tc>
      </w:tr>
      <w:tr w:rsidR="00B86923" w:rsidRPr="00B86923" w14:paraId="6AB15F1B" w14:textId="77777777" w:rsidTr="00B86923">
        <w:tc>
          <w:tcPr>
            <w:cnfStyle w:val="001000000000" w:firstRow="0" w:lastRow="0" w:firstColumn="1" w:lastColumn="0" w:oddVBand="0" w:evenVBand="0" w:oddHBand="0" w:evenHBand="0" w:firstRowFirstColumn="0" w:firstRowLastColumn="0" w:lastRowFirstColumn="0" w:lastRowLastColumn="0"/>
            <w:tcW w:w="4320" w:type="dxa"/>
            <w:vAlign w:val="center"/>
          </w:tcPr>
          <w:p w14:paraId="51D4518F" w14:textId="77777777" w:rsidR="00B86923" w:rsidRPr="00B86923" w:rsidRDefault="00B86923" w:rsidP="00B86923">
            <w:pPr>
              <w:spacing w:after="160" w:line="259" w:lineRule="auto"/>
              <w:jc w:val="center"/>
              <w:rPr>
                <w:b w:val="0"/>
                <w:bCs w:val="0"/>
                <w:sz w:val="24"/>
                <w:szCs w:val="24"/>
              </w:rPr>
            </w:pPr>
            <w:r w:rsidRPr="00B86923">
              <w:rPr>
                <w:b w:val="0"/>
                <w:bCs w:val="0"/>
                <w:sz w:val="24"/>
                <w:szCs w:val="24"/>
              </w:rPr>
              <w:t>Whole-volume ADC</w:t>
            </w:r>
          </w:p>
        </w:tc>
        <w:tc>
          <w:tcPr>
            <w:tcW w:w="1080" w:type="dxa"/>
            <w:vAlign w:val="center"/>
          </w:tcPr>
          <w:p w14:paraId="5949CABE"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0.669</w:t>
            </w:r>
          </w:p>
        </w:tc>
        <w:tc>
          <w:tcPr>
            <w:tcW w:w="1800" w:type="dxa"/>
            <w:vAlign w:val="center"/>
          </w:tcPr>
          <w:p w14:paraId="7EF3B529"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0.073</w:t>
            </w:r>
          </w:p>
        </w:tc>
        <w:tc>
          <w:tcPr>
            <w:tcW w:w="2610" w:type="dxa"/>
            <w:vAlign w:val="center"/>
          </w:tcPr>
          <w:p w14:paraId="6679D370"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0.535 to 0.785</w:t>
            </w:r>
          </w:p>
        </w:tc>
      </w:tr>
      <w:tr w:rsidR="00B86923" w:rsidRPr="00B86923" w14:paraId="0949700B" w14:textId="77777777" w:rsidTr="00B869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319A6C78" w14:textId="77777777" w:rsidR="00B86923" w:rsidRPr="00B86923" w:rsidRDefault="00B86923" w:rsidP="00B86923">
            <w:pPr>
              <w:spacing w:after="160" w:line="259" w:lineRule="auto"/>
              <w:jc w:val="center"/>
              <w:rPr>
                <w:b w:val="0"/>
                <w:bCs w:val="0"/>
                <w:sz w:val="24"/>
                <w:szCs w:val="24"/>
              </w:rPr>
            </w:pPr>
            <w:r w:rsidRPr="00B86923">
              <w:rPr>
                <w:b w:val="0"/>
                <w:bCs w:val="0"/>
                <w:sz w:val="24"/>
                <w:szCs w:val="24"/>
              </w:rPr>
              <w:t>Mid-slice ADC</w:t>
            </w:r>
          </w:p>
        </w:tc>
        <w:tc>
          <w:tcPr>
            <w:tcW w:w="1080" w:type="dxa"/>
            <w:vAlign w:val="center"/>
          </w:tcPr>
          <w:p w14:paraId="0C401362"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0.521</w:t>
            </w:r>
          </w:p>
        </w:tc>
        <w:tc>
          <w:tcPr>
            <w:tcW w:w="1800" w:type="dxa"/>
            <w:vAlign w:val="center"/>
          </w:tcPr>
          <w:p w14:paraId="11345DA3"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0.080</w:t>
            </w:r>
          </w:p>
        </w:tc>
        <w:tc>
          <w:tcPr>
            <w:tcW w:w="2610" w:type="dxa"/>
            <w:vAlign w:val="center"/>
          </w:tcPr>
          <w:p w14:paraId="20F8F130" w14:textId="77777777" w:rsidR="00B86923" w:rsidRPr="00B86923" w:rsidRDefault="00B86923" w:rsidP="00B86923">
            <w:pPr>
              <w:spacing w:after="160" w:line="259" w:lineRule="auto"/>
              <w:jc w:val="center"/>
              <w:cnfStyle w:val="000000100000" w:firstRow="0" w:lastRow="0" w:firstColumn="0" w:lastColumn="0" w:oddVBand="0" w:evenVBand="0" w:oddHBand="1" w:evenHBand="0" w:firstRowFirstColumn="0" w:firstRowLastColumn="0" w:lastRowFirstColumn="0" w:lastRowLastColumn="0"/>
              <w:rPr>
                <w:sz w:val="24"/>
                <w:szCs w:val="24"/>
              </w:rPr>
            </w:pPr>
            <w:r w:rsidRPr="00B86923">
              <w:rPr>
                <w:sz w:val="24"/>
                <w:szCs w:val="24"/>
              </w:rPr>
              <w:t>0.388 to 0.652</w:t>
            </w:r>
          </w:p>
        </w:tc>
      </w:tr>
      <w:tr w:rsidR="00B86923" w:rsidRPr="00B86923" w14:paraId="2B11BA21" w14:textId="77777777" w:rsidTr="00B86923">
        <w:tc>
          <w:tcPr>
            <w:cnfStyle w:val="001000000000" w:firstRow="0" w:lastRow="0" w:firstColumn="1" w:lastColumn="0" w:oddVBand="0" w:evenVBand="0" w:oddHBand="0" w:evenHBand="0" w:firstRowFirstColumn="0" w:firstRowLastColumn="0" w:lastRowFirstColumn="0" w:lastRowLastColumn="0"/>
            <w:tcW w:w="4320" w:type="dxa"/>
            <w:vAlign w:val="center"/>
          </w:tcPr>
          <w:p w14:paraId="615C12E9" w14:textId="77777777" w:rsidR="00B86923" w:rsidRPr="00B86923" w:rsidRDefault="00B86923" w:rsidP="00B86923">
            <w:pPr>
              <w:spacing w:after="160" w:line="259" w:lineRule="auto"/>
              <w:jc w:val="center"/>
              <w:rPr>
                <w:b w:val="0"/>
                <w:bCs w:val="0"/>
                <w:sz w:val="24"/>
                <w:szCs w:val="24"/>
              </w:rPr>
            </w:pPr>
            <w:r w:rsidRPr="00B86923">
              <w:rPr>
                <w:b w:val="0"/>
                <w:bCs w:val="0"/>
                <w:sz w:val="24"/>
                <w:szCs w:val="24"/>
              </w:rPr>
              <w:t>Small-volume ADC</w:t>
            </w:r>
          </w:p>
        </w:tc>
        <w:tc>
          <w:tcPr>
            <w:tcW w:w="1080" w:type="dxa"/>
            <w:vAlign w:val="center"/>
          </w:tcPr>
          <w:p w14:paraId="244E6856"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0.698</w:t>
            </w:r>
          </w:p>
        </w:tc>
        <w:tc>
          <w:tcPr>
            <w:tcW w:w="1800" w:type="dxa"/>
            <w:vAlign w:val="center"/>
          </w:tcPr>
          <w:p w14:paraId="6F057019"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0.072</w:t>
            </w:r>
          </w:p>
        </w:tc>
        <w:tc>
          <w:tcPr>
            <w:tcW w:w="2610" w:type="dxa"/>
            <w:vAlign w:val="center"/>
          </w:tcPr>
          <w:p w14:paraId="3EAA6C83" w14:textId="77777777" w:rsidR="00B86923" w:rsidRPr="00B86923" w:rsidRDefault="00B86923" w:rsidP="00B86923">
            <w:pPr>
              <w:spacing w:after="160" w:line="259" w:lineRule="auto"/>
              <w:jc w:val="center"/>
              <w:cnfStyle w:val="000000000000" w:firstRow="0" w:lastRow="0" w:firstColumn="0" w:lastColumn="0" w:oddVBand="0" w:evenVBand="0" w:oddHBand="0" w:evenHBand="0" w:firstRowFirstColumn="0" w:firstRowLastColumn="0" w:lastRowFirstColumn="0" w:lastRowLastColumn="0"/>
              <w:rPr>
                <w:sz w:val="24"/>
                <w:szCs w:val="24"/>
              </w:rPr>
            </w:pPr>
            <w:r w:rsidRPr="00B86923">
              <w:rPr>
                <w:sz w:val="24"/>
                <w:szCs w:val="24"/>
              </w:rPr>
              <w:t>0.566 to 0.810</w:t>
            </w:r>
          </w:p>
        </w:tc>
      </w:tr>
    </w:tbl>
    <w:p w14:paraId="621E43FA" w14:textId="77777777" w:rsidR="00B86923" w:rsidRPr="00B86923" w:rsidRDefault="00B86923" w:rsidP="00B86923">
      <w:pPr>
        <w:rPr>
          <w:sz w:val="24"/>
          <w:szCs w:val="24"/>
        </w:rPr>
      </w:pPr>
    </w:p>
    <w:p w14:paraId="3E22AC4E" w14:textId="0276F266" w:rsidR="00B86923" w:rsidRDefault="00B86923" w:rsidP="00B86923">
      <w:pPr>
        <w:rPr>
          <w:sz w:val="24"/>
          <w:szCs w:val="24"/>
          <w:lang w:val="en-US"/>
        </w:rPr>
      </w:pPr>
      <w:r w:rsidRPr="00B86923">
        <w:rPr>
          <w:b/>
          <w:bCs/>
          <w:sz w:val="24"/>
          <w:szCs w:val="24"/>
        </w:rPr>
        <w:t>Table 4</w:t>
      </w:r>
      <w:r w:rsidRPr="00B86923">
        <w:rPr>
          <w:b/>
          <w:bCs/>
          <w:sz w:val="24"/>
          <w:szCs w:val="24"/>
          <w:lang w:val="en-US"/>
        </w:rPr>
        <w:t xml:space="preserve">. </w:t>
      </w:r>
      <w:r w:rsidRPr="00B86923">
        <w:rPr>
          <w:sz w:val="24"/>
          <w:szCs w:val="24"/>
          <w:lang w:val="en-US"/>
        </w:rPr>
        <w:t xml:space="preserve">Areas under the ROC curves (AUC) for detecting histopathological progression in patients on active surveillance for T2WI-derived tumour measurements and ADC values. </w:t>
      </w:r>
    </w:p>
    <w:p w14:paraId="283DD556" w14:textId="672E0EC2" w:rsidR="00F3010E" w:rsidRDefault="00F3010E">
      <w:pPr>
        <w:rPr>
          <w:sz w:val="24"/>
          <w:szCs w:val="24"/>
          <w:lang w:val="en-US"/>
        </w:rPr>
      </w:pPr>
      <w:r>
        <w:rPr>
          <w:sz w:val="24"/>
          <w:szCs w:val="24"/>
          <w:lang w:val="en-US"/>
        </w:rPr>
        <w:br w:type="page"/>
      </w:r>
    </w:p>
    <w:p w14:paraId="6CF91EC0" w14:textId="3C8A91BD" w:rsidR="00F3010E" w:rsidRDefault="00F3010E" w:rsidP="00B86923">
      <w:pPr>
        <w:rPr>
          <w:b/>
          <w:bCs/>
          <w:sz w:val="24"/>
          <w:szCs w:val="24"/>
          <w:lang w:val="en-US"/>
        </w:rPr>
      </w:pPr>
      <w:r>
        <w:rPr>
          <w:b/>
          <w:bCs/>
          <w:sz w:val="24"/>
          <w:szCs w:val="24"/>
          <w:lang w:val="en-US"/>
        </w:rPr>
        <w:lastRenderedPageBreak/>
        <w:t>Figure legends</w:t>
      </w:r>
    </w:p>
    <w:p w14:paraId="2B05D54E" w14:textId="75417D57" w:rsidR="00F3010E" w:rsidRDefault="00F3010E" w:rsidP="00B86923">
      <w:pPr>
        <w:rPr>
          <w:sz w:val="24"/>
          <w:szCs w:val="24"/>
          <w:lang w:val="en-US"/>
        </w:rPr>
      </w:pPr>
      <w:r>
        <w:rPr>
          <w:b/>
          <w:bCs/>
          <w:sz w:val="24"/>
          <w:szCs w:val="24"/>
          <w:lang w:val="en-US"/>
        </w:rPr>
        <w:t xml:space="preserve">Figure 1. </w:t>
      </w:r>
      <w:r>
        <w:rPr>
          <w:sz w:val="24"/>
          <w:szCs w:val="24"/>
          <w:lang w:val="en-US"/>
        </w:rPr>
        <w:t>Study flow chart.</w:t>
      </w:r>
    </w:p>
    <w:p w14:paraId="6F831E8D" w14:textId="30B55E3C" w:rsidR="00F3010E" w:rsidRDefault="00F3010E" w:rsidP="00F3010E">
      <w:pPr>
        <w:rPr>
          <w:sz w:val="24"/>
          <w:szCs w:val="24"/>
          <w:lang w:val="en-US"/>
        </w:rPr>
      </w:pPr>
      <w:r w:rsidRPr="00F3010E">
        <w:rPr>
          <w:b/>
          <w:bCs/>
          <w:sz w:val="24"/>
          <w:szCs w:val="24"/>
          <w:lang w:val="en-US"/>
        </w:rPr>
        <w:t>Fig</w:t>
      </w:r>
      <w:r>
        <w:rPr>
          <w:b/>
          <w:bCs/>
          <w:sz w:val="24"/>
          <w:szCs w:val="24"/>
          <w:lang w:val="en-US"/>
        </w:rPr>
        <w:t>ure 2</w:t>
      </w:r>
      <w:r w:rsidRPr="00F3010E">
        <w:rPr>
          <w:b/>
          <w:bCs/>
          <w:sz w:val="24"/>
          <w:szCs w:val="24"/>
          <w:lang w:val="en-US"/>
        </w:rPr>
        <w:t xml:space="preserve">. </w:t>
      </w:r>
      <w:r w:rsidRPr="00F3010E">
        <w:rPr>
          <w:sz w:val="24"/>
          <w:szCs w:val="24"/>
          <w:lang w:val="en-US"/>
        </w:rPr>
        <w:t xml:space="preserve">Example axial T2WI (A) and ADC map (B) derived from slices where the outlined anterior transition zone lesion demonstrated its maximum diameter. Free-hand ROIs delineating the lesion were additionally drawn on all slices encompassing the tumour and were used to measure T2WI- and ADC-derived tumour volumes, as well as whole-tumour ADC values. Image (A) illustrates linear measurements of T2WI-derived maximum tumour diameter (arrow), and a second perpendicular short-axis diameter (white line) used to calculate 2D tumour surface area. Image (B) demonstrates an example free-hand ROI from which mid-slice ADC values were derived, along with a uniform small ROI (white circle) used to obtain small-volume ADC. </w:t>
      </w:r>
    </w:p>
    <w:p w14:paraId="38ECE655" w14:textId="54525A0E" w:rsidR="00F3010E" w:rsidRDefault="00F3010E" w:rsidP="00F3010E">
      <w:pPr>
        <w:rPr>
          <w:sz w:val="24"/>
          <w:szCs w:val="24"/>
          <w:lang w:val="en-US"/>
        </w:rPr>
      </w:pPr>
      <w:r>
        <w:rPr>
          <w:b/>
          <w:bCs/>
          <w:sz w:val="24"/>
          <w:szCs w:val="24"/>
          <w:lang w:val="en-US"/>
        </w:rPr>
        <w:t xml:space="preserve">Figure 3. </w:t>
      </w:r>
      <w:r w:rsidRPr="00F3010E">
        <w:rPr>
          <w:sz w:val="24"/>
          <w:szCs w:val="24"/>
          <w:lang w:val="en-US"/>
        </w:rPr>
        <w:t>Receiver operating characteristic (ROC) curves for specific cut-offs of relative changes in T2WI-derived maximum tumour diameter and small-volume ADC values, as well as their combined model, used to detect histopathological prostate cancer progression in patients on active surveillance.</w:t>
      </w:r>
    </w:p>
    <w:p w14:paraId="6B437936" w14:textId="6D1F1333" w:rsidR="00F3010E" w:rsidRDefault="00F3010E" w:rsidP="00F3010E">
      <w:pPr>
        <w:rPr>
          <w:sz w:val="24"/>
          <w:szCs w:val="24"/>
        </w:rPr>
      </w:pPr>
      <w:r w:rsidRPr="00F3010E">
        <w:rPr>
          <w:b/>
          <w:bCs/>
          <w:sz w:val="24"/>
          <w:szCs w:val="24"/>
          <w:lang w:val="en-US"/>
        </w:rPr>
        <w:t>Fig</w:t>
      </w:r>
      <w:r>
        <w:rPr>
          <w:b/>
          <w:bCs/>
          <w:sz w:val="24"/>
          <w:szCs w:val="24"/>
          <w:lang w:val="en-US"/>
        </w:rPr>
        <w:t>ure</w:t>
      </w:r>
      <w:r w:rsidRPr="00F3010E">
        <w:rPr>
          <w:b/>
          <w:bCs/>
          <w:sz w:val="24"/>
          <w:szCs w:val="24"/>
          <w:lang w:val="en-US"/>
        </w:rPr>
        <w:t xml:space="preserve"> 4. </w:t>
      </w:r>
      <w:r w:rsidRPr="00F3010E">
        <w:rPr>
          <w:sz w:val="24"/>
          <w:szCs w:val="24"/>
          <w:lang w:val="en-US"/>
        </w:rPr>
        <w:t xml:space="preserve">Axial T2WI (A, B) and ADC maps (C, D) obtained from a 60-year-old patient enrolled on active surveillance of an ISUP grade 1 left posterior peripheral zone lesion. Baseline MRI (A, C) demonstrated the presence of a Likert 4 lesion measuring 9.4 mm in its maximum diameter (A, white double arrow) and having a small-volume ADC of 636 </w:t>
      </w:r>
      <w:r w:rsidR="008F30E5" w:rsidRPr="008F30E5">
        <w:rPr>
          <w:sz w:val="24"/>
          <w:szCs w:val="24"/>
          <w:lang w:val="en-US"/>
        </w:rPr>
        <w:t xml:space="preserve">× </w:t>
      </w:r>
      <w:r w:rsidRPr="00F3010E">
        <w:rPr>
          <w:sz w:val="24"/>
          <w:szCs w:val="24"/>
        </w:rPr>
        <w:t>10</w:t>
      </w:r>
      <w:r w:rsidRPr="00F3010E">
        <w:rPr>
          <w:sz w:val="24"/>
          <w:szCs w:val="24"/>
          <w:vertAlign w:val="superscript"/>
        </w:rPr>
        <w:t>-6</w:t>
      </w:r>
      <w:r w:rsidRPr="00F3010E">
        <w:rPr>
          <w:sz w:val="24"/>
          <w:szCs w:val="24"/>
        </w:rPr>
        <w:t xml:space="preserve"> mm</w:t>
      </w:r>
      <w:r w:rsidRPr="00F3010E">
        <w:rPr>
          <w:sz w:val="24"/>
          <w:szCs w:val="24"/>
          <w:vertAlign w:val="superscript"/>
        </w:rPr>
        <w:t>2</w:t>
      </w:r>
      <w:r w:rsidRPr="00F3010E">
        <w:rPr>
          <w:sz w:val="24"/>
          <w:szCs w:val="24"/>
        </w:rPr>
        <w:t>/s (C, white circle)</w:t>
      </w:r>
      <w:r w:rsidRPr="00F3010E">
        <w:rPr>
          <w:sz w:val="24"/>
          <w:szCs w:val="24"/>
          <w:lang w:val="en-US"/>
        </w:rPr>
        <w:t>. On a follow-up MRI scan performed at 24 months, the lesion was assigned a PRECISE 4 category and had a maximum diameter of 12.8 mm (+26.5%) (B, white double arrow) and a small-volume ADC of 566</w:t>
      </w:r>
      <w:r w:rsidR="008F30E5">
        <w:rPr>
          <w:sz w:val="24"/>
          <w:szCs w:val="24"/>
          <w:lang w:val="en-US"/>
        </w:rPr>
        <w:t xml:space="preserve"> </w:t>
      </w:r>
      <w:r w:rsidR="008F30E5" w:rsidRPr="008F30E5">
        <w:rPr>
          <w:sz w:val="24"/>
          <w:szCs w:val="24"/>
          <w:lang w:val="en-US"/>
        </w:rPr>
        <w:t>×</w:t>
      </w:r>
      <w:r w:rsidRPr="00F3010E">
        <w:rPr>
          <w:sz w:val="24"/>
          <w:szCs w:val="24"/>
          <w:lang w:val="en-US"/>
        </w:rPr>
        <w:t xml:space="preserve"> </w:t>
      </w:r>
      <w:r w:rsidRPr="00F3010E">
        <w:rPr>
          <w:sz w:val="24"/>
          <w:szCs w:val="24"/>
        </w:rPr>
        <w:t>10</w:t>
      </w:r>
      <w:r w:rsidRPr="00F3010E">
        <w:rPr>
          <w:sz w:val="24"/>
          <w:szCs w:val="24"/>
          <w:vertAlign w:val="superscript"/>
        </w:rPr>
        <w:t>-6</w:t>
      </w:r>
      <w:r w:rsidRPr="00F3010E">
        <w:rPr>
          <w:sz w:val="24"/>
          <w:szCs w:val="24"/>
        </w:rPr>
        <w:t xml:space="preserve"> mm</w:t>
      </w:r>
      <w:r w:rsidRPr="00F3010E">
        <w:rPr>
          <w:sz w:val="24"/>
          <w:szCs w:val="24"/>
          <w:vertAlign w:val="superscript"/>
        </w:rPr>
        <w:t>2</w:t>
      </w:r>
      <w:r w:rsidRPr="00F3010E">
        <w:rPr>
          <w:sz w:val="24"/>
          <w:szCs w:val="24"/>
        </w:rPr>
        <w:t xml:space="preserve">/s (-12.3%) (D, white circle). A subsequent biopsy confirmed histopathological progression of the outlined lesion to ISUP grade 2, which prompted a switch to radical prostatectomy. </w:t>
      </w:r>
    </w:p>
    <w:p w14:paraId="3B7316E7" w14:textId="2B78FD22" w:rsidR="00F3010E" w:rsidRPr="00F3010E" w:rsidRDefault="00F3010E" w:rsidP="00F3010E">
      <w:pPr>
        <w:rPr>
          <w:b/>
          <w:bCs/>
          <w:sz w:val="24"/>
          <w:szCs w:val="24"/>
        </w:rPr>
      </w:pPr>
      <w:r w:rsidRPr="00F3010E">
        <w:rPr>
          <w:b/>
          <w:bCs/>
          <w:sz w:val="24"/>
          <w:szCs w:val="24"/>
        </w:rPr>
        <w:t xml:space="preserve">Figure 5. </w:t>
      </w:r>
      <w:r w:rsidR="00FB06F4" w:rsidRPr="00FB06F4">
        <w:rPr>
          <w:sz w:val="24"/>
          <w:szCs w:val="24"/>
          <w:lang w:val="en-US"/>
        </w:rPr>
        <w:t>Axial T2WI (A-D) and ADC maps (E-H) obtained from a 69-year-old patient enrolled on active surveillance of an ISUP grade 1 left posterior peripheral zone lesion. Baseline MRI (A, E) demonstrated a Likert 4 lesion with a maximum diameter of 5.5 mm (A, double arrow) and a small-volume ADC of 799 ×</w:t>
      </w:r>
      <w:r w:rsidR="00FB06F4" w:rsidRPr="00FB06F4">
        <w:rPr>
          <w:sz w:val="24"/>
          <w:szCs w:val="24"/>
        </w:rPr>
        <w:t>10</w:t>
      </w:r>
      <w:r w:rsidR="00FB06F4" w:rsidRPr="00FB06F4">
        <w:rPr>
          <w:sz w:val="24"/>
          <w:szCs w:val="24"/>
          <w:vertAlign w:val="superscript"/>
        </w:rPr>
        <w:t>-6</w:t>
      </w:r>
      <w:r w:rsidR="00FB06F4" w:rsidRPr="00FB06F4">
        <w:rPr>
          <w:sz w:val="24"/>
          <w:szCs w:val="24"/>
        </w:rPr>
        <w:t xml:space="preserve"> mm</w:t>
      </w:r>
      <w:r w:rsidR="00FB06F4" w:rsidRPr="00FB06F4">
        <w:rPr>
          <w:sz w:val="24"/>
          <w:szCs w:val="24"/>
          <w:vertAlign w:val="superscript"/>
        </w:rPr>
        <w:t>2</w:t>
      </w:r>
      <w:r w:rsidR="00FB06F4" w:rsidRPr="00FB06F4">
        <w:rPr>
          <w:sz w:val="24"/>
          <w:szCs w:val="24"/>
        </w:rPr>
        <w:t xml:space="preserve">/s (E, white circle). Follow-up scans were performed at 8 (B, F), 21 (C, G), 28 (not shown), and 40 (D, H) months. At 40 months (D, H), the lesion had a maximum diameter of 8.3 mm (+51% compared to baseline) (D, white double arrow) and a small-volume ADC of 589 </w:t>
      </w:r>
      <w:r w:rsidR="00FB06F4" w:rsidRPr="00FB06F4">
        <w:rPr>
          <w:sz w:val="24"/>
          <w:szCs w:val="24"/>
          <w:lang w:val="en-US"/>
        </w:rPr>
        <w:t xml:space="preserve">× </w:t>
      </w:r>
      <w:r w:rsidR="00FB06F4" w:rsidRPr="00FB06F4">
        <w:rPr>
          <w:sz w:val="24"/>
          <w:szCs w:val="24"/>
        </w:rPr>
        <w:t>10</w:t>
      </w:r>
      <w:r w:rsidR="00FB06F4" w:rsidRPr="00FB06F4">
        <w:rPr>
          <w:sz w:val="24"/>
          <w:szCs w:val="24"/>
          <w:vertAlign w:val="superscript"/>
        </w:rPr>
        <w:t>-6</w:t>
      </w:r>
      <w:r w:rsidR="00FB06F4" w:rsidRPr="00FB06F4">
        <w:rPr>
          <w:sz w:val="24"/>
          <w:szCs w:val="24"/>
        </w:rPr>
        <w:t xml:space="preserve"> mm</w:t>
      </w:r>
      <w:r w:rsidR="00FB06F4" w:rsidRPr="00FB06F4">
        <w:rPr>
          <w:sz w:val="24"/>
          <w:szCs w:val="24"/>
          <w:vertAlign w:val="superscript"/>
        </w:rPr>
        <w:t>2</w:t>
      </w:r>
      <w:r w:rsidR="00FB06F4" w:rsidRPr="00FB06F4">
        <w:rPr>
          <w:sz w:val="24"/>
          <w:szCs w:val="24"/>
        </w:rPr>
        <w:t xml:space="preserve">/s (-35.8% compared to baseline) (I, white circle). A repeat biopsy performed at 42 months post baseline MRI showed histopathological progression of the target lesion to ISUP grade 5, which triggered a switch to androgen deprivation therapy followed by an external beam radiation therapy. Notably, the T2WI-derived maximum tumour diameter and small-volume ADC cut-offs proposed in the main text were first reached at 21 months post baseline MRI (C, G), being 6.6 mm (+20%) and 685.1 </w:t>
      </w:r>
      <w:r w:rsidR="00FB06F4" w:rsidRPr="00FB06F4">
        <w:rPr>
          <w:sz w:val="24"/>
          <w:szCs w:val="24"/>
          <w:lang w:val="en-US"/>
        </w:rPr>
        <w:t>×</w:t>
      </w:r>
      <w:r w:rsidR="00FB06F4" w:rsidRPr="00FB06F4">
        <w:rPr>
          <w:sz w:val="24"/>
          <w:szCs w:val="24"/>
        </w:rPr>
        <w:t xml:space="preserve"> 10</w:t>
      </w:r>
      <w:r w:rsidR="00FB06F4" w:rsidRPr="00FB06F4">
        <w:rPr>
          <w:sz w:val="24"/>
          <w:szCs w:val="24"/>
          <w:vertAlign w:val="superscript"/>
        </w:rPr>
        <w:t>-6</w:t>
      </w:r>
      <w:r w:rsidR="00FB06F4" w:rsidRPr="00FB06F4">
        <w:rPr>
          <w:sz w:val="24"/>
          <w:szCs w:val="24"/>
        </w:rPr>
        <w:t xml:space="preserve"> mm</w:t>
      </w:r>
      <w:r w:rsidR="00FB06F4" w:rsidRPr="00FB06F4">
        <w:rPr>
          <w:sz w:val="24"/>
          <w:szCs w:val="24"/>
          <w:vertAlign w:val="superscript"/>
        </w:rPr>
        <w:t>2</w:t>
      </w:r>
      <w:r w:rsidR="00FB06F4" w:rsidRPr="00FB06F4">
        <w:rPr>
          <w:sz w:val="24"/>
          <w:szCs w:val="24"/>
        </w:rPr>
        <w:t>/s (-17%), respectively, which could have been used to trigger repeat biopsy earlier.</w:t>
      </w:r>
    </w:p>
    <w:p w14:paraId="00E496FF" w14:textId="49427B87" w:rsidR="00F3010E" w:rsidRPr="00F3010E" w:rsidRDefault="00F3010E" w:rsidP="00F3010E">
      <w:pPr>
        <w:rPr>
          <w:b/>
          <w:bCs/>
          <w:sz w:val="24"/>
          <w:szCs w:val="24"/>
        </w:rPr>
      </w:pPr>
    </w:p>
    <w:p w14:paraId="7F5D4D35" w14:textId="77777777" w:rsidR="00B86923" w:rsidRPr="00B86923" w:rsidRDefault="00B86923" w:rsidP="00F3010E">
      <w:pPr>
        <w:widowControl w:val="0"/>
        <w:autoSpaceDE w:val="0"/>
        <w:autoSpaceDN w:val="0"/>
        <w:adjustRightInd w:val="0"/>
        <w:spacing w:line="240" w:lineRule="auto"/>
        <w:rPr>
          <w:b/>
          <w:bCs/>
          <w:sz w:val="24"/>
          <w:szCs w:val="24"/>
          <w:lang w:val="en-US"/>
        </w:rPr>
      </w:pPr>
    </w:p>
    <w:sectPr w:rsidR="00B86923" w:rsidRPr="00B869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0051"/>
    <w:rsid w:val="00002B3A"/>
    <w:rsid w:val="00012DA0"/>
    <w:rsid w:val="0002214D"/>
    <w:rsid w:val="0002441D"/>
    <w:rsid w:val="00025939"/>
    <w:rsid w:val="000366B9"/>
    <w:rsid w:val="0003760F"/>
    <w:rsid w:val="000411BB"/>
    <w:rsid w:val="00043709"/>
    <w:rsid w:val="00044D76"/>
    <w:rsid w:val="00050DBE"/>
    <w:rsid w:val="00064502"/>
    <w:rsid w:val="00070538"/>
    <w:rsid w:val="000732B3"/>
    <w:rsid w:val="0007642C"/>
    <w:rsid w:val="0008054B"/>
    <w:rsid w:val="00096D93"/>
    <w:rsid w:val="000A2A66"/>
    <w:rsid w:val="000B42FA"/>
    <w:rsid w:val="000B6B57"/>
    <w:rsid w:val="000B6D7D"/>
    <w:rsid w:val="000C2C12"/>
    <w:rsid w:val="000C4227"/>
    <w:rsid w:val="000D06FD"/>
    <w:rsid w:val="000D4AF2"/>
    <w:rsid w:val="000D4B49"/>
    <w:rsid w:val="000D63DE"/>
    <w:rsid w:val="000D76BC"/>
    <w:rsid w:val="000E7054"/>
    <w:rsid w:val="000F793B"/>
    <w:rsid w:val="00100B37"/>
    <w:rsid w:val="0011369C"/>
    <w:rsid w:val="00117085"/>
    <w:rsid w:val="0012167E"/>
    <w:rsid w:val="00123A61"/>
    <w:rsid w:val="00124E78"/>
    <w:rsid w:val="00124FA8"/>
    <w:rsid w:val="00125EB2"/>
    <w:rsid w:val="00130B84"/>
    <w:rsid w:val="00130FB2"/>
    <w:rsid w:val="00143D53"/>
    <w:rsid w:val="00145844"/>
    <w:rsid w:val="00145AB0"/>
    <w:rsid w:val="00145F3E"/>
    <w:rsid w:val="00153B18"/>
    <w:rsid w:val="00171599"/>
    <w:rsid w:val="001775AA"/>
    <w:rsid w:val="001857F2"/>
    <w:rsid w:val="001935A4"/>
    <w:rsid w:val="001A037B"/>
    <w:rsid w:val="001A17E5"/>
    <w:rsid w:val="001B4A53"/>
    <w:rsid w:val="001B568B"/>
    <w:rsid w:val="001C0A9A"/>
    <w:rsid w:val="001C43B0"/>
    <w:rsid w:val="001C70D4"/>
    <w:rsid w:val="001C7C26"/>
    <w:rsid w:val="001D68A1"/>
    <w:rsid w:val="001D7AB1"/>
    <w:rsid w:val="001E2C09"/>
    <w:rsid w:val="001E496C"/>
    <w:rsid w:val="001F2A11"/>
    <w:rsid w:val="001F3AA7"/>
    <w:rsid w:val="001F6041"/>
    <w:rsid w:val="00200C9E"/>
    <w:rsid w:val="002055C7"/>
    <w:rsid w:val="00213AD2"/>
    <w:rsid w:val="00213F60"/>
    <w:rsid w:val="00217C61"/>
    <w:rsid w:val="00222FF0"/>
    <w:rsid w:val="002241ED"/>
    <w:rsid w:val="00224808"/>
    <w:rsid w:val="002250BC"/>
    <w:rsid w:val="00227C9A"/>
    <w:rsid w:val="00231704"/>
    <w:rsid w:val="00233A83"/>
    <w:rsid w:val="00243EB6"/>
    <w:rsid w:val="002473FE"/>
    <w:rsid w:val="00254CF2"/>
    <w:rsid w:val="00255299"/>
    <w:rsid w:val="00260706"/>
    <w:rsid w:val="00265374"/>
    <w:rsid w:val="00266555"/>
    <w:rsid w:val="00280707"/>
    <w:rsid w:val="00284922"/>
    <w:rsid w:val="00286A4C"/>
    <w:rsid w:val="00290DDC"/>
    <w:rsid w:val="00294AB9"/>
    <w:rsid w:val="0029632D"/>
    <w:rsid w:val="00296D1D"/>
    <w:rsid w:val="002A2220"/>
    <w:rsid w:val="002A40C4"/>
    <w:rsid w:val="002A40C5"/>
    <w:rsid w:val="002A5435"/>
    <w:rsid w:val="002B1981"/>
    <w:rsid w:val="002B7049"/>
    <w:rsid w:val="002C2888"/>
    <w:rsid w:val="002C691F"/>
    <w:rsid w:val="002D6CA2"/>
    <w:rsid w:val="002D76F4"/>
    <w:rsid w:val="002E11D2"/>
    <w:rsid w:val="002E13D0"/>
    <w:rsid w:val="002E239D"/>
    <w:rsid w:val="002E32C1"/>
    <w:rsid w:val="002E4F56"/>
    <w:rsid w:val="002E5C5C"/>
    <w:rsid w:val="00300885"/>
    <w:rsid w:val="00301E8A"/>
    <w:rsid w:val="003050AC"/>
    <w:rsid w:val="0030636F"/>
    <w:rsid w:val="00306D75"/>
    <w:rsid w:val="00307371"/>
    <w:rsid w:val="003210AF"/>
    <w:rsid w:val="00322A3F"/>
    <w:rsid w:val="00324325"/>
    <w:rsid w:val="00325058"/>
    <w:rsid w:val="003331CB"/>
    <w:rsid w:val="00334600"/>
    <w:rsid w:val="00343C9D"/>
    <w:rsid w:val="003475C4"/>
    <w:rsid w:val="003541C7"/>
    <w:rsid w:val="003541D8"/>
    <w:rsid w:val="00357141"/>
    <w:rsid w:val="00362D92"/>
    <w:rsid w:val="003663C2"/>
    <w:rsid w:val="00372EFE"/>
    <w:rsid w:val="00373C05"/>
    <w:rsid w:val="00382478"/>
    <w:rsid w:val="0038471E"/>
    <w:rsid w:val="00386A27"/>
    <w:rsid w:val="00393A02"/>
    <w:rsid w:val="00393C9A"/>
    <w:rsid w:val="00394183"/>
    <w:rsid w:val="003A245A"/>
    <w:rsid w:val="003A27D6"/>
    <w:rsid w:val="003A489A"/>
    <w:rsid w:val="003A6549"/>
    <w:rsid w:val="003B1B89"/>
    <w:rsid w:val="003B2FED"/>
    <w:rsid w:val="003B4258"/>
    <w:rsid w:val="003B7E1A"/>
    <w:rsid w:val="003C3981"/>
    <w:rsid w:val="003C5B35"/>
    <w:rsid w:val="003D5900"/>
    <w:rsid w:val="003E53F6"/>
    <w:rsid w:val="00412C41"/>
    <w:rsid w:val="00416307"/>
    <w:rsid w:val="00436229"/>
    <w:rsid w:val="00440B7F"/>
    <w:rsid w:val="00441E7D"/>
    <w:rsid w:val="00452322"/>
    <w:rsid w:val="00452C04"/>
    <w:rsid w:val="004565C8"/>
    <w:rsid w:val="004615F0"/>
    <w:rsid w:val="0046291C"/>
    <w:rsid w:val="004663F1"/>
    <w:rsid w:val="00467F3A"/>
    <w:rsid w:val="00470915"/>
    <w:rsid w:val="00482A95"/>
    <w:rsid w:val="00484987"/>
    <w:rsid w:val="004971A4"/>
    <w:rsid w:val="004A23E1"/>
    <w:rsid w:val="004A3F48"/>
    <w:rsid w:val="004A446B"/>
    <w:rsid w:val="004B7822"/>
    <w:rsid w:val="004C1E1A"/>
    <w:rsid w:val="004C2595"/>
    <w:rsid w:val="004C518C"/>
    <w:rsid w:val="004C6C47"/>
    <w:rsid w:val="004D4873"/>
    <w:rsid w:val="004D52EC"/>
    <w:rsid w:val="004D76DB"/>
    <w:rsid w:val="004E0FA5"/>
    <w:rsid w:val="004F01A8"/>
    <w:rsid w:val="004F6544"/>
    <w:rsid w:val="005001C5"/>
    <w:rsid w:val="00502980"/>
    <w:rsid w:val="00506C0F"/>
    <w:rsid w:val="00510529"/>
    <w:rsid w:val="005116B6"/>
    <w:rsid w:val="00512C82"/>
    <w:rsid w:val="00520B10"/>
    <w:rsid w:val="00521D76"/>
    <w:rsid w:val="00521FBB"/>
    <w:rsid w:val="0052328F"/>
    <w:rsid w:val="00523BD5"/>
    <w:rsid w:val="00525B7F"/>
    <w:rsid w:val="00535B70"/>
    <w:rsid w:val="00552B47"/>
    <w:rsid w:val="0056026E"/>
    <w:rsid w:val="00566631"/>
    <w:rsid w:val="00567D4C"/>
    <w:rsid w:val="0057391C"/>
    <w:rsid w:val="00575331"/>
    <w:rsid w:val="005762CC"/>
    <w:rsid w:val="005769B5"/>
    <w:rsid w:val="00580768"/>
    <w:rsid w:val="00585516"/>
    <w:rsid w:val="0058599B"/>
    <w:rsid w:val="00587712"/>
    <w:rsid w:val="00590EFC"/>
    <w:rsid w:val="005939AB"/>
    <w:rsid w:val="00595800"/>
    <w:rsid w:val="005A11CE"/>
    <w:rsid w:val="005A5870"/>
    <w:rsid w:val="005B4534"/>
    <w:rsid w:val="005B674E"/>
    <w:rsid w:val="005C1663"/>
    <w:rsid w:val="005C491B"/>
    <w:rsid w:val="005E2FB4"/>
    <w:rsid w:val="005F1E7B"/>
    <w:rsid w:val="005F5688"/>
    <w:rsid w:val="0060274A"/>
    <w:rsid w:val="00602B8D"/>
    <w:rsid w:val="00604D4B"/>
    <w:rsid w:val="00606449"/>
    <w:rsid w:val="0061032D"/>
    <w:rsid w:val="00611CD6"/>
    <w:rsid w:val="00613242"/>
    <w:rsid w:val="0061354E"/>
    <w:rsid w:val="00617A07"/>
    <w:rsid w:val="00621158"/>
    <w:rsid w:val="00632390"/>
    <w:rsid w:val="00640B5D"/>
    <w:rsid w:val="0064164E"/>
    <w:rsid w:val="006447E8"/>
    <w:rsid w:val="0064581E"/>
    <w:rsid w:val="00647B2E"/>
    <w:rsid w:val="00650B29"/>
    <w:rsid w:val="006523A5"/>
    <w:rsid w:val="00657453"/>
    <w:rsid w:val="00660904"/>
    <w:rsid w:val="006619CD"/>
    <w:rsid w:val="006644C3"/>
    <w:rsid w:val="00665CE9"/>
    <w:rsid w:val="00666634"/>
    <w:rsid w:val="00667D9C"/>
    <w:rsid w:val="00671CF9"/>
    <w:rsid w:val="006757FC"/>
    <w:rsid w:val="006760E9"/>
    <w:rsid w:val="006769D7"/>
    <w:rsid w:val="0068437C"/>
    <w:rsid w:val="006917B2"/>
    <w:rsid w:val="006A2F01"/>
    <w:rsid w:val="006C5EDE"/>
    <w:rsid w:val="006C6614"/>
    <w:rsid w:val="006E374D"/>
    <w:rsid w:val="006F112C"/>
    <w:rsid w:val="006F2115"/>
    <w:rsid w:val="00700880"/>
    <w:rsid w:val="007048D6"/>
    <w:rsid w:val="00716713"/>
    <w:rsid w:val="00720228"/>
    <w:rsid w:val="007536AA"/>
    <w:rsid w:val="00761FA9"/>
    <w:rsid w:val="00762504"/>
    <w:rsid w:val="0076251B"/>
    <w:rsid w:val="0077111A"/>
    <w:rsid w:val="00771463"/>
    <w:rsid w:val="007769F6"/>
    <w:rsid w:val="00780381"/>
    <w:rsid w:val="0078226A"/>
    <w:rsid w:val="007908C8"/>
    <w:rsid w:val="00792592"/>
    <w:rsid w:val="007931D6"/>
    <w:rsid w:val="00793E1B"/>
    <w:rsid w:val="00793E9D"/>
    <w:rsid w:val="0079569D"/>
    <w:rsid w:val="00796A7A"/>
    <w:rsid w:val="007B2A46"/>
    <w:rsid w:val="007B4F36"/>
    <w:rsid w:val="007B64E4"/>
    <w:rsid w:val="007C03DB"/>
    <w:rsid w:val="007C2BB3"/>
    <w:rsid w:val="007C6911"/>
    <w:rsid w:val="007D0205"/>
    <w:rsid w:val="007D0631"/>
    <w:rsid w:val="007D10D1"/>
    <w:rsid w:val="007D5F67"/>
    <w:rsid w:val="007D6087"/>
    <w:rsid w:val="007E02C9"/>
    <w:rsid w:val="007E772B"/>
    <w:rsid w:val="007F2250"/>
    <w:rsid w:val="00802EF3"/>
    <w:rsid w:val="00803509"/>
    <w:rsid w:val="00806301"/>
    <w:rsid w:val="00811399"/>
    <w:rsid w:val="00815843"/>
    <w:rsid w:val="00820F85"/>
    <w:rsid w:val="008219F6"/>
    <w:rsid w:val="00823595"/>
    <w:rsid w:val="0082422E"/>
    <w:rsid w:val="00831E58"/>
    <w:rsid w:val="00845D1A"/>
    <w:rsid w:val="008501CC"/>
    <w:rsid w:val="008518A0"/>
    <w:rsid w:val="008525FD"/>
    <w:rsid w:val="0085648C"/>
    <w:rsid w:val="00862612"/>
    <w:rsid w:val="00877BCC"/>
    <w:rsid w:val="00884568"/>
    <w:rsid w:val="00887D1C"/>
    <w:rsid w:val="0089227F"/>
    <w:rsid w:val="00892490"/>
    <w:rsid w:val="00894DB1"/>
    <w:rsid w:val="0089503A"/>
    <w:rsid w:val="008A455E"/>
    <w:rsid w:val="008A7936"/>
    <w:rsid w:val="008B091E"/>
    <w:rsid w:val="008B424E"/>
    <w:rsid w:val="008B4DC8"/>
    <w:rsid w:val="008C79DB"/>
    <w:rsid w:val="008D45C9"/>
    <w:rsid w:val="008D4BA5"/>
    <w:rsid w:val="008E390B"/>
    <w:rsid w:val="008E6207"/>
    <w:rsid w:val="008E688C"/>
    <w:rsid w:val="008E75B4"/>
    <w:rsid w:val="008F0694"/>
    <w:rsid w:val="008F30E5"/>
    <w:rsid w:val="008F327E"/>
    <w:rsid w:val="00900DE3"/>
    <w:rsid w:val="00911450"/>
    <w:rsid w:val="00913F7E"/>
    <w:rsid w:val="00914ACC"/>
    <w:rsid w:val="00921ECB"/>
    <w:rsid w:val="009227A4"/>
    <w:rsid w:val="00925177"/>
    <w:rsid w:val="009310FE"/>
    <w:rsid w:val="009312C0"/>
    <w:rsid w:val="00940E6D"/>
    <w:rsid w:val="0094228F"/>
    <w:rsid w:val="009513A2"/>
    <w:rsid w:val="00953F30"/>
    <w:rsid w:val="00955FFC"/>
    <w:rsid w:val="00960A4D"/>
    <w:rsid w:val="0096139C"/>
    <w:rsid w:val="00972381"/>
    <w:rsid w:val="009762C6"/>
    <w:rsid w:val="009824E9"/>
    <w:rsid w:val="009943C2"/>
    <w:rsid w:val="009A06FF"/>
    <w:rsid w:val="009A49A4"/>
    <w:rsid w:val="009A6561"/>
    <w:rsid w:val="009B2697"/>
    <w:rsid w:val="009B3755"/>
    <w:rsid w:val="009C00C4"/>
    <w:rsid w:val="009D0FED"/>
    <w:rsid w:val="009E4F9A"/>
    <w:rsid w:val="009E50AD"/>
    <w:rsid w:val="009E7A44"/>
    <w:rsid w:val="009F14B1"/>
    <w:rsid w:val="009F1A9C"/>
    <w:rsid w:val="009F4063"/>
    <w:rsid w:val="009F7D90"/>
    <w:rsid w:val="00A056C0"/>
    <w:rsid w:val="00A0790C"/>
    <w:rsid w:val="00A12E83"/>
    <w:rsid w:val="00A13A69"/>
    <w:rsid w:val="00A3200F"/>
    <w:rsid w:val="00A4555D"/>
    <w:rsid w:val="00A520FD"/>
    <w:rsid w:val="00A545CC"/>
    <w:rsid w:val="00A54B5C"/>
    <w:rsid w:val="00A5663F"/>
    <w:rsid w:val="00A6020F"/>
    <w:rsid w:val="00A64106"/>
    <w:rsid w:val="00A66C01"/>
    <w:rsid w:val="00A67E20"/>
    <w:rsid w:val="00A71E50"/>
    <w:rsid w:val="00A93BE7"/>
    <w:rsid w:val="00A95BA9"/>
    <w:rsid w:val="00A97726"/>
    <w:rsid w:val="00AA61EE"/>
    <w:rsid w:val="00AB26BF"/>
    <w:rsid w:val="00AB4381"/>
    <w:rsid w:val="00AC0E23"/>
    <w:rsid w:val="00AC6C3E"/>
    <w:rsid w:val="00AE2BAF"/>
    <w:rsid w:val="00AE3712"/>
    <w:rsid w:val="00AE381A"/>
    <w:rsid w:val="00AE41BC"/>
    <w:rsid w:val="00AE5D88"/>
    <w:rsid w:val="00AF112E"/>
    <w:rsid w:val="00AF249D"/>
    <w:rsid w:val="00AF46CD"/>
    <w:rsid w:val="00B00CC3"/>
    <w:rsid w:val="00B03166"/>
    <w:rsid w:val="00B05B3C"/>
    <w:rsid w:val="00B072BD"/>
    <w:rsid w:val="00B22505"/>
    <w:rsid w:val="00B3072A"/>
    <w:rsid w:val="00B31803"/>
    <w:rsid w:val="00B3628E"/>
    <w:rsid w:val="00B40944"/>
    <w:rsid w:val="00B4187A"/>
    <w:rsid w:val="00B46024"/>
    <w:rsid w:val="00B514A7"/>
    <w:rsid w:val="00B56D10"/>
    <w:rsid w:val="00B6083B"/>
    <w:rsid w:val="00B71BEB"/>
    <w:rsid w:val="00B779DC"/>
    <w:rsid w:val="00B803B4"/>
    <w:rsid w:val="00B827B2"/>
    <w:rsid w:val="00B86048"/>
    <w:rsid w:val="00B86923"/>
    <w:rsid w:val="00B9148D"/>
    <w:rsid w:val="00B92AD1"/>
    <w:rsid w:val="00B95151"/>
    <w:rsid w:val="00B97960"/>
    <w:rsid w:val="00BA0235"/>
    <w:rsid w:val="00BB365F"/>
    <w:rsid w:val="00BB4501"/>
    <w:rsid w:val="00BB5575"/>
    <w:rsid w:val="00BC3560"/>
    <w:rsid w:val="00BC4066"/>
    <w:rsid w:val="00BC6187"/>
    <w:rsid w:val="00BD58CA"/>
    <w:rsid w:val="00BD7673"/>
    <w:rsid w:val="00BE5512"/>
    <w:rsid w:val="00BE551C"/>
    <w:rsid w:val="00BE5FA2"/>
    <w:rsid w:val="00BE74BF"/>
    <w:rsid w:val="00BF1528"/>
    <w:rsid w:val="00C07F06"/>
    <w:rsid w:val="00C118C5"/>
    <w:rsid w:val="00C16DBD"/>
    <w:rsid w:val="00C21E2B"/>
    <w:rsid w:val="00C2507F"/>
    <w:rsid w:val="00C26694"/>
    <w:rsid w:val="00C2671E"/>
    <w:rsid w:val="00C30A79"/>
    <w:rsid w:val="00C329BD"/>
    <w:rsid w:val="00C45455"/>
    <w:rsid w:val="00C479B9"/>
    <w:rsid w:val="00C50051"/>
    <w:rsid w:val="00C5473C"/>
    <w:rsid w:val="00C54DD0"/>
    <w:rsid w:val="00C62099"/>
    <w:rsid w:val="00C669DE"/>
    <w:rsid w:val="00C76086"/>
    <w:rsid w:val="00C90D0B"/>
    <w:rsid w:val="00C92578"/>
    <w:rsid w:val="00C93E2A"/>
    <w:rsid w:val="00CA35B9"/>
    <w:rsid w:val="00CA40E7"/>
    <w:rsid w:val="00CA678A"/>
    <w:rsid w:val="00CB1731"/>
    <w:rsid w:val="00CB6B98"/>
    <w:rsid w:val="00CC0D25"/>
    <w:rsid w:val="00CC58F6"/>
    <w:rsid w:val="00CC6B94"/>
    <w:rsid w:val="00CD4556"/>
    <w:rsid w:val="00CE2240"/>
    <w:rsid w:val="00CE3FB9"/>
    <w:rsid w:val="00CE5194"/>
    <w:rsid w:val="00CF1644"/>
    <w:rsid w:val="00CF2D50"/>
    <w:rsid w:val="00CF376E"/>
    <w:rsid w:val="00CF5850"/>
    <w:rsid w:val="00CF6D39"/>
    <w:rsid w:val="00D044B7"/>
    <w:rsid w:val="00D0547C"/>
    <w:rsid w:val="00D12381"/>
    <w:rsid w:val="00D12752"/>
    <w:rsid w:val="00D137BE"/>
    <w:rsid w:val="00D15922"/>
    <w:rsid w:val="00D17A43"/>
    <w:rsid w:val="00D22F76"/>
    <w:rsid w:val="00D23226"/>
    <w:rsid w:val="00D24AA3"/>
    <w:rsid w:val="00D340CF"/>
    <w:rsid w:val="00D4174C"/>
    <w:rsid w:val="00D44FDF"/>
    <w:rsid w:val="00D45BEC"/>
    <w:rsid w:val="00D47B10"/>
    <w:rsid w:val="00D55270"/>
    <w:rsid w:val="00D630E2"/>
    <w:rsid w:val="00D74BDF"/>
    <w:rsid w:val="00D74D3E"/>
    <w:rsid w:val="00D8595C"/>
    <w:rsid w:val="00D86183"/>
    <w:rsid w:val="00D9241D"/>
    <w:rsid w:val="00D93F1A"/>
    <w:rsid w:val="00DA1E5A"/>
    <w:rsid w:val="00DA7021"/>
    <w:rsid w:val="00DB2F2B"/>
    <w:rsid w:val="00DC0B82"/>
    <w:rsid w:val="00DC317D"/>
    <w:rsid w:val="00DC4580"/>
    <w:rsid w:val="00DD326F"/>
    <w:rsid w:val="00DD3567"/>
    <w:rsid w:val="00DD4E3A"/>
    <w:rsid w:val="00DE1E5F"/>
    <w:rsid w:val="00DE65B4"/>
    <w:rsid w:val="00E0113F"/>
    <w:rsid w:val="00E316D0"/>
    <w:rsid w:val="00E32267"/>
    <w:rsid w:val="00E37370"/>
    <w:rsid w:val="00E40FCB"/>
    <w:rsid w:val="00E61388"/>
    <w:rsid w:val="00E63216"/>
    <w:rsid w:val="00E73F67"/>
    <w:rsid w:val="00E74EC0"/>
    <w:rsid w:val="00E77093"/>
    <w:rsid w:val="00E82B59"/>
    <w:rsid w:val="00E83B3E"/>
    <w:rsid w:val="00E85D0F"/>
    <w:rsid w:val="00E8678C"/>
    <w:rsid w:val="00E92D41"/>
    <w:rsid w:val="00EA04F0"/>
    <w:rsid w:val="00EA4F29"/>
    <w:rsid w:val="00EB090D"/>
    <w:rsid w:val="00EC220B"/>
    <w:rsid w:val="00ED0D24"/>
    <w:rsid w:val="00ED61A8"/>
    <w:rsid w:val="00ED7179"/>
    <w:rsid w:val="00EE17CF"/>
    <w:rsid w:val="00EE1A98"/>
    <w:rsid w:val="00EF1781"/>
    <w:rsid w:val="00EF39E8"/>
    <w:rsid w:val="00F126EA"/>
    <w:rsid w:val="00F20FCC"/>
    <w:rsid w:val="00F25527"/>
    <w:rsid w:val="00F3010E"/>
    <w:rsid w:val="00F31275"/>
    <w:rsid w:val="00F3138F"/>
    <w:rsid w:val="00F42BE6"/>
    <w:rsid w:val="00F44E37"/>
    <w:rsid w:val="00F45A54"/>
    <w:rsid w:val="00F5000B"/>
    <w:rsid w:val="00F67656"/>
    <w:rsid w:val="00F67C1B"/>
    <w:rsid w:val="00F93185"/>
    <w:rsid w:val="00F97C5E"/>
    <w:rsid w:val="00FA7148"/>
    <w:rsid w:val="00FB06F4"/>
    <w:rsid w:val="00FB2CB7"/>
    <w:rsid w:val="00FB2D16"/>
    <w:rsid w:val="00FC50D6"/>
    <w:rsid w:val="00FD0C7C"/>
    <w:rsid w:val="00FD38B9"/>
    <w:rsid w:val="00FD3A33"/>
    <w:rsid w:val="00FD3DB1"/>
    <w:rsid w:val="00FD5DD9"/>
    <w:rsid w:val="00FD716A"/>
    <w:rsid w:val="00FE4E7F"/>
    <w:rsid w:val="00FE6079"/>
    <w:rsid w:val="00FF372D"/>
    <w:rsid w:val="00FF7E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3CE58"/>
  <w15:chartTrackingRefBased/>
  <w15:docId w15:val="{0EE65A1D-BEBB-4918-887A-47E3FE571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5939"/>
    <w:pPr>
      <w:ind w:left="720"/>
      <w:contextualSpacing/>
    </w:pPr>
  </w:style>
  <w:style w:type="character" w:styleId="a4">
    <w:name w:val="annotation reference"/>
    <w:basedOn w:val="a0"/>
    <w:uiPriority w:val="99"/>
    <w:semiHidden/>
    <w:unhideWhenUsed/>
    <w:rsid w:val="004D4873"/>
    <w:rPr>
      <w:sz w:val="16"/>
      <w:szCs w:val="16"/>
    </w:rPr>
  </w:style>
  <w:style w:type="paragraph" w:styleId="a5">
    <w:name w:val="annotation text"/>
    <w:basedOn w:val="a"/>
    <w:link w:val="a6"/>
    <w:uiPriority w:val="99"/>
    <w:unhideWhenUsed/>
    <w:rsid w:val="004D4873"/>
    <w:pPr>
      <w:spacing w:line="240" w:lineRule="auto"/>
    </w:pPr>
    <w:rPr>
      <w:sz w:val="20"/>
      <w:szCs w:val="20"/>
    </w:rPr>
  </w:style>
  <w:style w:type="character" w:customStyle="1" w:styleId="a6">
    <w:name w:val="Текст примечания Знак"/>
    <w:basedOn w:val="a0"/>
    <w:link w:val="a5"/>
    <w:uiPriority w:val="99"/>
    <w:rsid w:val="004D4873"/>
    <w:rPr>
      <w:sz w:val="20"/>
      <w:szCs w:val="20"/>
    </w:rPr>
  </w:style>
  <w:style w:type="paragraph" w:styleId="a7">
    <w:name w:val="annotation subject"/>
    <w:basedOn w:val="a5"/>
    <w:next w:val="a5"/>
    <w:link w:val="a8"/>
    <w:uiPriority w:val="99"/>
    <w:semiHidden/>
    <w:unhideWhenUsed/>
    <w:rsid w:val="004D4873"/>
    <w:rPr>
      <w:b/>
      <w:bCs/>
    </w:rPr>
  </w:style>
  <w:style w:type="character" w:customStyle="1" w:styleId="a8">
    <w:name w:val="Тема примечания Знак"/>
    <w:basedOn w:val="a6"/>
    <w:link w:val="a7"/>
    <w:uiPriority w:val="99"/>
    <w:semiHidden/>
    <w:rsid w:val="004D4873"/>
    <w:rPr>
      <w:b/>
      <w:bCs/>
      <w:sz w:val="20"/>
      <w:szCs w:val="20"/>
    </w:rPr>
  </w:style>
  <w:style w:type="paragraph" w:styleId="a9">
    <w:name w:val="Balloon Text"/>
    <w:basedOn w:val="a"/>
    <w:link w:val="aa"/>
    <w:uiPriority w:val="99"/>
    <w:semiHidden/>
    <w:unhideWhenUsed/>
    <w:rsid w:val="004D4873"/>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D4873"/>
    <w:rPr>
      <w:rFonts w:ascii="Segoe UI" w:hAnsi="Segoe UI" w:cs="Segoe UI"/>
      <w:sz w:val="18"/>
      <w:szCs w:val="18"/>
    </w:rPr>
  </w:style>
  <w:style w:type="character" w:styleId="ab">
    <w:name w:val="Hyperlink"/>
    <w:basedOn w:val="a0"/>
    <w:uiPriority w:val="99"/>
    <w:semiHidden/>
    <w:unhideWhenUsed/>
    <w:rsid w:val="000D63DE"/>
    <w:rPr>
      <w:color w:val="0000FF"/>
      <w:u w:val="single"/>
    </w:rPr>
  </w:style>
  <w:style w:type="character" w:customStyle="1" w:styleId="apple-converted-space">
    <w:name w:val="apple-converted-space"/>
    <w:basedOn w:val="a0"/>
    <w:rsid w:val="00D17A43"/>
  </w:style>
  <w:style w:type="table" w:styleId="2">
    <w:name w:val="Plain Table 2"/>
    <w:basedOn w:val="a1"/>
    <w:uiPriority w:val="42"/>
    <w:rsid w:val="00B8692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c">
    <w:name w:val="Normal (Web)"/>
    <w:basedOn w:val="a"/>
    <w:uiPriority w:val="99"/>
    <w:semiHidden/>
    <w:unhideWhenUsed/>
    <w:rsid w:val="00F3010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5575">
      <w:bodyDiv w:val="1"/>
      <w:marLeft w:val="0"/>
      <w:marRight w:val="0"/>
      <w:marTop w:val="0"/>
      <w:marBottom w:val="0"/>
      <w:divBdr>
        <w:top w:val="none" w:sz="0" w:space="0" w:color="auto"/>
        <w:left w:val="none" w:sz="0" w:space="0" w:color="auto"/>
        <w:bottom w:val="none" w:sz="0" w:space="0" w:color="auto"/>
        <w:right w:val="none" w:sz="0" w:space="0" w:color="auto"/>
      </w:divBdr>
    </w:div>
    <w:div w:id="188956371">
      <w:bodyDiv w:val="1"/>
      <w:marLeft w:val="0"/>
      <w:marRight w:val="0"/>
      <w:marTop w:val="0"/>
      <w:marBottom w:val="0"/>
      <w:divBdr>
        <w:top w:val="none" w:sz="0" w:space="0" w:color="auto"/>
        <w:left w:val="none" w:sz="0" w:space="0" w:color="auto"/>
        <w:bottom w:val="none" w:sz="0" w:space="0" w:color="auto"/>
        <w:right w:val="none" w:sz="0" w:space="0" w:color="auto"/>
      </w:divBdr>
    </w:div>
    <w:div w:id="541750219">
      <w:bodyDiv w:val="1"/>
      <w:marLeft w:val="0"/>
      <w:marRight w:val="0"/>
      <w:marTop w:val="0"/>
      <w:marBottom w:val="0"/>
      <w:divBdr>
        <w:top w:val="none" w:sz="0" w:space="0" w:color="auto"/>
        <w:left w:val="none" w:sz="0" w:space="0" w:color="auto"/>
        <w:bottom w:val="none" w:sz="0" w:space="0" w:color="auto"/>
        <w:right w:val="none" w:sz="0" w:space="0" w:color="auto"/>
      </w:divBdr>
    </w:div>
    <w:div w:id="956716120">
      <w:bodyDiv w:val="1"/>
      <w:marLeft w:val="0"/>
      <w:marRight w:val="0"/>
      <w:marTop w:val="0"/>
      <w:marBottom w:val="0"/>
      <w:divBdr>
        <w:top w:val="none" w:sz="0" w:space="0" w:color="auto"/>
        <w:left w:val="none" w:sz="0" w:space="0" w:color="auto"/>
        <w:bottom w:val="none" w:sz="0" w:space="0" w:color="auto"/>
        <w:right w:val="none" w:sz="0" w:space="0" w:color="auto"/>
      </w:divBdr>
    </w:div>
    <w:div w:id="1011755552">
      <w:bodyDiv w:val="1"/>
      <w:marLeft w:val="0"/>
      <w:marRight w:val="0"/>
      <w:marTop w:val="0"/>
      <w:marBottom w:val="0"/>
      <w:divBdr>
        <w:top w:val="none" w:sz="0" w:space="0" w:color="auto"/>
        <w:left w:val="none" w:sz="0" w:space="0" w:color="auto"/>
        <w:bottom w:val="none" w:sz="0" w:space="0" w:color="auto"/>
        <w:right w:val="none" w:sz="0" w:space="0" w:color="auto"/>
      </w:divBdr>
    </w:div>
    <w:div w:id="1112672109">
      <w:bodyDiv w:val="1"/>
      <w:marLeft w:val="0"/>
      <w:marRight w:val="0"/>
      <w:marTop w:val="0"/>
      <w:marBottom w:val="0"/>
      <w:divBdr>
        <w:top w:val="none" w:sz="0" w:space="0" w:color="auto"/>
        <w:left w:val="none" w:sz="0" w:space="0" w:color="auto"/>
        <w:bottom w:val="none" w:sz="0" w:space="0" w:color="auto"/>
        <w:right w:val="none" w:sz="0" w:space="0" w:color="auto"/>
      </w:divBdr>
    </w:div>
    <w:div w:id="1220244089">
      <w:bodyDiv w:val="1"/>
      <w:marLeft w:val="0"/>
      <w:marRight w:val="0"/>
      <w:marTop w:val="0"/>
      <w:marBottom w:val="0"/>
      <w:divBdr>
        <w:top w:val="none" w:sz="0" w:space="0" w:color="auto"/>
        <w:left w:val="none" w:sz="0" w:space="0" w:color="auto"/>
        <w:bottom w:val="none" w:sz="0" w:space="0" w:color="auto"/>
        <w:right w:val="none" w:sz="0" w:space="0" w:color="auto"/>
      </w:divBdr>
    </w:div>
    <w:div w:id="1416785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30C20E-3FB4-4DA5-A5F7-844F1C5A8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40177</Words>
  <Characters>229010</Characters>
  <Application>Microsoft Office Word</Application>
  <DocSecurity>0</DocSecurity>
  <Lines>1908</Lines>
  <Paragraphs>537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268650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Nikita Sushentsev</dc:creator>
  <cp:keywords/>
  <dc:description/>
  <cp:lastModifiedBy>Nikita Sushentsev</cp:lastModifiedBy>
  <cp:revision>77</cp:revision>
  <dcterms:created xsi:type="dcterms:W3CDTF">2021-07-12T11:11:00Z</dcterms:created>
  <dcterms:modified xsi:type="dcterms:W3CDTF">2021-08-03T11:34:00Z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http://www.zotero.org/styles/clinical-imaging</vt:lpwstr>
  </property>
  <property fmtid="{D5CDD505-2E9C-101B-9397-08002B2CF9AE}" pid="11" name="Mendeley Recent Style Name 4_1">
    <vt:lpwstr>Clinical Imaging</vt:lpwstr>
  </property>
  <property fmtid="{D5CDD505-2E9C-101B-9397-08002B2CF9AE}" pid="12" name="Mendeley Recent Style Id 5_1">
    <vt:lpwstr>http://www.zotero.org/styles/european-radiology</vt:lpwstr>
  </property>
  <property fmtid="{D5CDD505-2E9C-101B-9397-08002B2CF9AE}" pid="13" name="Mendeley Recent Style Name 5_1">
    <vt:lpwstr>European Radiology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http://www.zotero.org/styles/nature-communications</vt:lpwstr>
  </property>
  <property fmtid="{D5CDD505-2E9C-101B-9397-08002B2CF9AE}" pid="19" name="Mendeley Recent Style Name 8_1">
    <vt:lpwstr>Nature Communications</vt:lpwstr>
  </property>
  <property fmtid="{D5CDD505-2E9C-101B-9397-08002B2CF9AE}" pid="20" name="Mendeley Recent Style Id 9_1">
    <vt:lpwstr>http://www.zotero.org/styles/science-advances</vt:lpwstr>
  </property>
  <property fmtid="{D5CDD505-2E9C-101B-9397-08002B2CF9AE}" pid="21" name="Mendeley Recent Style Name 9_1">
    <vt:lpwstr>Science Advances</vt:lpwstr>
  </property>
  <property fmtid="{D5CDD505-2E9C-101B-9397-08002B2CF9AE}" pid="22" name="Mendeley Document_1">
    <vt:lpwstr>True</vt:lpwstr>
  </property>
  <property fmtid="{D5CDD505-2E9C-101B-9397-08002B2CF9AE}" pid="23" name="Mendeley Unique User Id_1">
    <vt:lpwstr>229a2ae1-1b70-3741-96f4-9a1363b880ed</vt:lpwstr>
  </property>
  <property fmtid="{D5CDD505-2E9C-101B-9397-08002B2CF9AE}" pid="24" name="Mendeley Citation Style_1">
    <vt:lpwstr>http://www.zotero.org/styles/clinical-imaging</vt:lpwstr>
  </property>
</Properties>
</file>