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723184" w14:textId="7B715E10" w:rsidR="00EC0476" w:rsidRDefault="00EC0476" w:rsidP="00631039">
      <w:pPr>
        <w:jc w:val="both"/>
        <w:rPr>
          <w:lang w:val="en-GB"/>
        </w:rPr>
      </w:pPr>
      <w:r>
        <w:rPr>
          <w:i/>
          <w:lang w:val="en-GB"/>
        </w:rPr>
        <w:t xml:space="preserve">Stephen Waddams, </w:t>
      </w:r>
      <w:r>
        <w:rPr>
          <w:b/>
          <w:lang w:val="en-GB"/>
        </w:rPr>
        <w:t xml:space="preserve">Sanctity of Contracts in a Secular Age: Equity, Fairness and Enrichment, </w:t>
      </w:r>
      <w:r>
        <w:rPr>
          <w:lang w:val="en-GB"/>
        </w:rPr>
        <w:t>(Cambridge, Cambridge University Press), 235 pp (hb), price: £85.</w:t>
      </w:r>
    </w:p>
    <w:p w14:paraId="35724297" w14:textId="77777777" w:rsidR="00EC0476" w:rsidRDefault="00EC0476" w:rsidP="00631039">
      <w:pPr>
        <w:jc w:val="both"/>
        <w:rPr>
          <w:lang w:val="en-GB"/>
        </w:rPr>
      </w:pPr>
    </w:p>
    <w:p w14:paraId="62A7658E" w14:textId="0F04DE50" w:rsidR="00122940" w:rsidRPr="00A52E9C" w:rsidRDefault="00EC0476" w:rsidP="00631039">
      <w:pPr>
        <w:jc w:val="both"/>
        <w:rPr>
          <w:b/>
          <w:lang w:val="en-GB"/>
        </w:rPr>
      </w:pPr>
      <w:r>
        <w:rPr>
          <w:lang w:val="en-GB"/>
        </w:rPr>
        <w:t>Reviewed by: Sinéad Agnew</w:t>
      </w:r>
      <w:r w:rsidR="00122940">
        <w:rPr>
          <w:lang w:val="en-GB"/>
        </w:rPr>
        <w:t xml:space="preserve"> (Lecturer in Property Law, UCL)</w:t>
      </w:r>
      <w:r w:rsidR="00A52E9C">
        <w:rPr>
          <w:lang w:val="en-GB"/>
        </w:rPr>
        <w:t xml:space="preserve"> </w:t>
      </w:r>
    </w:p>
    <w:p w14:paraId="117687CB" w14:textId="77777777" w:rsidR="00EC0476" w:rsidRDefault="00EC0476" w:rsidP="00631039">
      <w:pPr>
        <w:jc w:val="both"/>
        <w:rPr>
          <w:lang w:val="en-GB"/>
        </w:rPr>
      </w:pPr>
    </w:p>
    <w:p w14:paraId="025F21CC" w14:textId="0C8711F5" w:rsidR="00B63043" w:rsidRDefault="003643C0" w:rsidP="00E63FA0">
      <w:pPr>
        <w:jc w:val="both"/>
        <w:rPr>
          <w:lang w:val="en-GB"/>
        </w:rPr>
      </w:pPr>
      <w:r>
        <w:rPr>
          <w:lang w:val="en-GB"/>
        </w:rPr>
        <w:t xml:space="preserve">This book reinvigorates the debate about </w:t>
      </w:r>
      <w:r w:rsidR="00F0110F">
        <w:rPr>
          <w:lang w:val="en-GB"/>
        </w:rPr>
        <w:t>the place of substantive fairness in contract law</w:t>
      </w:r>
      <w:r w:rsidR="0004590A">
        <w:rPr>
          <w:lang w:val="en-GB"/>
        </w:rPr>
        <w:t xml:space="preserve">.  </w:t>
      </w:r>
      <w:r w:rsidR="00486458">
        <w:rPr>
          <w:lang w:val="en-GB"/>
        </w:rPr>
        <w:t>Its central argument is that it is time</w:t>
      </w:r>
      <w:r w:rsidR="00E03AF0">
        <w:rPr>
          <w:lang w:val="en-GB"/>
        </w:rPr>
        <w:t xml:space="preserve"> we</w:t>
      </w:r>
      <w:r w:rsidR="00631039">
        <w:rPr>
          <w:lang w:val="en-GB"/>
        </w:rPr>
        <w:t xml:space="preserve"> recognise</w:t>
      </w:r>
      <w:r w:rsidR="00E03AF0">
        <w:rPr>
          <w:lang w:val="en-GB"/>
        </w:rPr>
        <w:t>d</w:t>
      </w:r>
      <w:r w:rsidR="00486458">
        <w:rPr>
          <w:lang w:val="en-GB"/>
        </w:rPr>
        <w:t xml:space="preserve"> a general judicial power to relieve against highly unreasonable contracts</w:t>
      </w:r>
      <w:r w:rsidR="007A179D">
        <w:rPr>
          <w:lang w:val="en-GB"/>
        </w:rPr>
        <w:t xml:space="preserve">.  </w:t>
      </w:r>
      <w:r w:rsidR="00631039">
        <w:rPr>
          <w:lang w:val="en-GB"/>
        </w:rPr>
        <w:t>The book</w:t>
      </w:r>
      <w:r w:rsidR="007A179D">
        <w:rPr>
          <w:lang w:val="en-GB"/>
        </w:rPr>
        <w:t xml:space="preserve"> suggests that</w:t>
      </w:r>
      <w:r w:rsidR="009B2542">
        <w:rPr>
          <w:lang w:val="en-GB"/>
        </w:rPr>
        <w:t xml:space="preserve"> </w:t>
      </w:r>
      <w:r w:rsidR="00631039">
        <w:rPr>
          <w:lang w:val="en-GB"/>
        </w:rPr>
        <w:t xml:space="preserve">in fact </w:t>
      </w:r>
      <w:r w:rsidR="009B2542">
        <w:rPr>
          <w:lang w:val="en-GB"/>
        </w:rPr>
        <w:t xml:space="preserve">the courts have been </w:t>
      </w:r>
      <w:r w:rsidR="00E03AF0">
        <w:rPr>
          <w:lang w:val="en-GB"/>
        </w:rPr>
        <w:t>modifying such contracts</w:t>
      </w:r>
      <w:r w:rsidR="009B2542">
        <w:rPr>
          <w:lang w:val="en-GB"/>
        </w:rPr>
        <w:t xml:space="preserve"> for a long time both in equity and at common law</w:t>
      </w:r>
      <w:r w:rsidR="007A179D">
        <w:rPr>
          <w:lang w:val="en-GB"/>
        </w:rPr>
        <w:t xml:space="preserve">, but that anomalies, inconsistencies and gaps remain, </w:t>
      </w:r>
      <w:r w:rsidR="00A316E9">
        <w:rPr>
          <w:lang w:val="en-GB"/>
        </w:rPr>
        <w:t>which make the recognition of a</w:t>
      </w:r>
      <w:r w:rsidR="00631039">
        <w:rPr>
          <w:lang w:val="en-GB"/>
        </w:rPr>
        <w:t xml:space="preserve"> </w:t>
      </w:r>
      <w:r w:rsidR="007A179D">
        <w:rPr>
          <w:lang w:val="en-GB"/>
        </w:rPr>
        <w:t>residual judicial power to modify contracts on this ground desirable</w:t>
      </w:r>
      <w:r w:rsidR="00631039">
        <w:rPr>
          <w:lang w:val="en-GB"/>
        </w:rPr>
        <w:t>; and it invokes the</w:t>
      </w:r>
      <w:r w:rsidR="00BD2135">
        <w:rPr>
          <w:lang w:val="en-GB"/>
        </w:rPr>
        <w:t xml:space="preserve"> concept of unjust </w:t>
      </w:r>
      <w:r w:rsidR="00631039">
        <w:rPr>
          <w:lang w:val="en-GB"/>
        </w:rPr>
        <w:t xml:space="preserve">or disproportionate enrichment as a justification for judicial intervention. </w:t>
      </w:r>
      <w:r w:rsidR="00592863">
        <w:rPr>
          <w:lang w:val="en-GB"/>
        </w:rPr>
        <w:t>The book is elegantly and succinctly written,</w:t>
      </w:r>
      <w:r w:rsidR="00FE1A66">
        <w:rPr>
          <w:lang w:val="en-GB"/>
        </w:rPr>
        <w:t xml:space="preserve"> and</w:t>
      </w:r>
      <w:r w:rsidR="00592863">
        <w:rPr>
          <w:lang w:val="en-GB"/>
        </w:rPr>
        <w:t xml:space="preserve"> the breadth and depth of Professor Waddams’ scholarship is apparent.  He mounts a strong challenge to the received wisdom that questions of fairness are </w:t>
      </w:r>
      <w:r w:rsidR="00FE1A66">
        <w:rPr>
          <w:lang w:val="en-GB"/>
        </w:rPr>
        <w:t xml:space="preserve">predominantly </w:t>
      </w:r>
      <w:r w:rsidR="00592863">
        <w:rPr>
          <w:lang w:val="en-GB"/>
        </w:rPr>
        <w:t xml:space="preserve">the preserve of equity, substantive fairness must </w:t>
      </w:r>
      <w:r w:rsidR="00021ABA">
        <w:rPr>
          <w:lang w:val="en-GB"/>
        </w:rPr>
        <w:t xml:space="preserve">inevitably </w:t>
      </w:r>
      <w:r w:rsidR="00590183">
        <w:rPr>
          <w:lang w:val="en-GB"/>
        </w:rPr>
        <w:t xml:space="preserve">defer </w:t>
      </w:r>
      <w:r w:rsidR="00592863">
        <w:rPr>
          <w:lang w:val="en-GB"/>
        </w:rPr>
        <w:t>to the need for certainty, and the freedom to make bad contracts requires court</w:t>
      </w:r>
      <w:r w:rsidR="00B51C78">
        <w:rPr>
          <w:lang w:val="en-GB"/>
        </w:rPr>
        <w:t>s</w:t>
      </w:r>
      <w:r w:rsidR="00592863">
        <w:rPr>
          <w:lang w:val="en-GB"/>
        </w:rPr>
        <w:t xml:space="preserve"> to enforce such agreements to their full extent even when enforcement ‘results in the extravagant enrichment of the advantaged party.’ (p7)  </w:t>
      </w:r>
    </w:p>
    <w:p w14:paraId="1BBFF656" w14:textId="77777777" w:rsidR="00B63043" w:rsidRDefault="00B63043" w:rsidP="00E63FA0">
      <w:pPr>
        <w:jc w:val="both"/>
        <w:rPr>
          <w:lang w:val="en-GB"/>
        </w:rPr>
      </w:pPr>
    </w:p>
    <w:p w14:paraId="2468CCDA" w14:textId="72248DC3" w:rsidR="00122940" w:rsidRDefault="00B63043" w:rsidP="00DE69E7">
      <w:pPr>
        <w:ind w:firstLine="720"/>
        <w:jc w:val="both"/>
        <w:rPr>
          <w:lang w:val="en-GB"/>
        </w:rPr>
      </w:pPr>
      <w:r>
        <w:rPr>
          <w:lang w:val="en-GB"/>
        </w:rPr>
        <w:t xml:space="preserve">The first part of the book </w:t>
      </w:r>
      <w:r w:rsidR="00DE69E7">
        <w:rPr>
          <w:lang w:val="en-GB"/>
        </w:rPr>
        <w:t>offers an account of the ways in which</w:t>
      </w:r>
      <w:r>
        <w:rPr>
          <w:lang w:val="en-GB"/>
        </w:rPr>
        <w:t xml:space="preserve"> </w:t>
      </w:r>
      <w:r w:rsidR="007B1586">
        <w:rPr>
          <w:lang w:val="en-GB"/>
        </w:rPr>
        <w:t>equity an</w:t>
      </w:r>
      <w:r w:rsidR="00E03AF0">
        <w:rPr>
          <w:lang w:val="en-GB"/>
        </w:rPr>
        <w:t xml:space="preserve">d the common law already </w:t>
      </w:r>
      <w:r w:rsidR="00DE69E7">
        <w:rPr>
          <w:lang w:val="en-GB"/>
        </w:rPr>
        <w:t>address</w:t>
      </w:r>
      <w:r w:rsidR="00E03AF0">
        <w:rPr>
          <w:lang w:val="en-GB"/>
        </w:rPr>
        <w:t xml:space="preserve"> substantive</w:t>
      </w:r>
      <w:r w:rsidR="007B1586">
        <w:rPr>
          <w:lang w:val="en-GB"/>
        </w:rPr>
        <w:t xml:space="preserve"> unfair</w:t>
      </w:r>
      <w:r w:rsidR="00DE69E7">
        <w:rPr>
          <w:lang w:val="en-GB"/>
        </w:rPr>
        <w:t xml:space="preserve">ness. </w:t>
      </w:r>
      <w:r w:rsidR="00472040">
        <w:rPr>
          <w:lang w:val="en-GB"/>
        </w:rPr>
        <w:t>Equity’s approach to questions of fairness in a contractual setting is well trave</w:t>
      </w:r>
      <w:r w:rsidR="00495281">
        <w:rPr>
          <w:lang w:val="en-GB"/>
        </w:rPr>
        <w:t>rsed</w:t>
      </w:r>
      <w:r w:rsidR="00122940">
        <w:rPr>
          <w:lang w:val="en-GB"/>
        </w:rPr>
        <w:t xml:space="preserve"> ground</w:t>
      </w:r>
      <w:r w:rsidR="003365BC">
        <w:rPr>
          <w:lang w:val="en-GB"/>
        </w:rPr>
        <w:t>.  Nevertheless,</w:t>
      </w:r>
      <w:r w:rsidR="00122940">
        <w:rPr>
          <w:lang w:val="en-GB"/>
        </w:rPr>
        <w:t xml:space="preserve"> </w:t>
      </w:r>
      <w:r w:rsidR="001E6E0D">
        <w:rPr>
          <w:lang w:val="en-GB"/>
        </w:rPr>
        <w:t>chapter 2</w:t>
      </w:r>
      <w:r w:rsidR="00495281">
        <w:rPr>
          <w:lang w:val="en-GB"/>
        </w:rPr>
        <w:t xml:space="preserve"> usefully </w:t>
      </w:r>
      <w:r w:rsidR="00122940">
        <w:rPr>
          <w:lang w:val="en-GB"/>
        </w:rPr>
        <w:t>reveals</w:t>
      </w:r>
      <w:r w:rsidR="00472040">
        <w:rPr>
          <w:lang w:val="en-GB"/>
        </w:rPr>
        <w:t xml:space="preserve"> </w:t>
      </w:r>
      <w:r w:rsidR="000479C5">
        <w:rPr>
          <w:lang w:val="en-GB"/>
        </w:rPr>
        <w:t>a longstanding judicial concern</w:t>
      </w:r>
      <w:r w:rsidR="002E5B58">
        <w:rPr>
          <w:lang w:val="en-GB"/>
        </w:rPr>
        <w:t xml:space="preserve"> to prevent</w:t>
      </w:r>
      <w:r w:rsidR="00472040">
        <w:rPr>
          <w:lang w:val="en-GB"/>
        </w:rPr>
        <w:t xml:space="preserve"> the unjust or disproportionate enrichment of the party seeking to en</w:t>
      </w:r>
      <w:r w:rsidR="003365BC">
        <w:rPr>
          <w:lang w:val="en-GB"/>
        </w:rPr>
        <w:t xml:space="preserve">force the contract </w:t>
      </w:r>
      <w:r w:rsidR="002E5B58">
        <w:rPr>
          <w:lang w:val="en-GB"/>
        </w:rPr>
        <w:t>as underlying equitable rescission</w:t>
      </w:r>
      <w:r w:rsidR="00495281">
        <w:rPr>
          <w:lang w:val="en-GB"/>
        </w:rPr>
        <w:t xml:space="preserve"> for mistake, </w:t>
      </w:r>
      <w:r w:rsidR="000479C5">
        <w:rPr>
          <w:lang w:val="en-GB"/>
        </w:rPr>
        <w:t xml:space="preserve">misrepresentation, </w:t>
      </w:r>
      <w:r w:rsidR="00495281">
        <w:rPr>
          <w:lang w:val="en-GB"/>
        </w:rPr>
        <w:t>undue influence and unconscionable bargains</w:t>
      </w:r>
      <w:r w:rsidR="00AA5D19">
        <w:rPr>
          <w:lang w:val="en-GB"/>
        </w:rPr>
        <w:t>, and</w:t>
      </w:r>
      <w:r w:rsidR="00DE69E7">
        <w:rPr>
          <w:lang w:val="en-GB"/>
        </w:rPr>
        <w:t xml:space="preserve"> relief </w:t>
      </w:r>
      <w:r w:rsidR="00495281">
        <w:rPr>
          <w:lang w:val="en-GB"/>
        </w:rPr>
        <w:t xml:space="preserve">against </w:t>
      </w:r>
      <w:r w:rsidR="00AA5D19">
        <w:rPr>
          <w:lang w:val="en-GB"/>
        </w:rPr>
        <w:t>penalties and forfeiture</w:t>
      </w:r>
      <w:r w:rsidR="00495281">
        <w:rPr>
          <w:lang w:val="en-GB"/>
        </w:rPr>
        <w:t>.</w:t>
      </w:r>
      <w:r w:rsidR="002E5B58">
        <w:rPr>
          <w:lang w:val="en-GB"/>
        </w:rPr>
        <w:t xml:space="preserve"> </w:t>
      </w:r>
      <w:r w:rsidR="006B2207">
        <w:rPr>
          <w:lang w:val="en-GB"/>
        </w:rPr>
        <w:t xml:space="preserve">Chapter 3 convincingly </w:t>
      </w:r>
      <w:r w:rsidR="00125FA3">
        <w:rPr>
          <w:lang w:val="en-GB"/>
        </w:rPr>
        <w:t xml:space="preserve">argues that ‘the presence of highly unreasonable terms, particularly where they confer a disproportionate benefit on the disadvantaged party’ is centrally relevant to the unenforceability of contracts at common law for duress (p52).  Further support for this argument may be found in </w:t>
      </w:r>
      <w:r w:rsidR="00122940">
        <w:rPr>
          <w:lang w:val="en-GB"/>
        </w:rPr>
        <w:t>‘lawful act’ duress</w:t>
      </w:r>
      <w:r w:rsidR="007B1586">
        <w:rPr>
          <w:lang w:val="en-GB"/>
        </w:rPr>
        <w:t xml:space="preserve">, </w:t>
      </w:r>
      <w:r w:rsidR="00125FA3">
        <w:rPr>
          <w:lang w:val="en-GB"/>
        </w:rPr>
        <w:t>such as</w:t>
      </w:r>
      <w:r w:rsidR="0060012E">
        <w:rPr>
          <w:lang w:val="en-GB"/>
        </w:rPr>
        <w:t xml:space="preserve"> </w:t>
      </w:r>
      <w:r w:rsidR="0060012E">
        <w:rPr>
          <w:i/>
          <w:lang w:val="en-GB"/>
        </w:rPr>
        <w:t xml:space="preserve">Borrelli v Ting </w:t>
      </w:r>
      <w:r w:rsidR="0060012E">
        <w:rPr>
          <w:lang w:val="en-GB"/>
        </w:rPr>
        <w:t xml:space="preserve">[2010] UKPC 21, [2010] Bus LR 1718 and </w:t>
      </w:r>
      <w:r w:rsidR="0060012E">
        <w:rPr>
          <w:i/>
          <w:lang w:val="en-GB"/>
        </w:rPr>
        <w:t xml:space="preserve">Progress Bulk Carriers Ltd v Tube City IMS LLC </w:t>
      </w:r>
      <w:r w:rsidR="0060012E">
        <w:rPr>
          <w:lang w:val="en-GB"/>
        </w:rPr>
        <w:t>[2012] EWHC 273 (Comm)</w:t>
      </w:r>
      <w:r w:rsidR="00D3047F">
        <w:rPr>
          <w:lang w:val="en-GB"/>
        </w:rPr>
        <w:t>.</w:t>
      </w:r>
    </w:p>
    <w:p w14:paraId="171C5352" w14:textId="77777777" w:rsidR="007B1586" w:rsidRDefault="007B1586" w:rsidP="00472040">
      <w:pPr>
        <w:ind w:firstLine="720"/>
        <w:jc w:val="both"/>
        <w:rPr>
          <w:lang w:val="en-GB"/>
        </w:rPr>
      </w:pPr>
    </w:p>
    <w:p w14:paraId="03E04CA9" w14:textId="22D5B706" w:rsidR="00CD1CFE" w:rsidRDefault="00C903EE" w:rsidP="005D57EC">
      <w:pPr>
        <w:ind w:firstLine="720"/>
        <w:jc w:val="both"/>
        <w:rPr>
          <w:lang w:val="en-GB"/>
        </w:rPr>
      </w:pPr>
      <w:r>
        <w:rPr>
          <w:lang w:val="en-GB"/>
        </w:rPr>
        <w:t>Chapter</w:t>
      </w:r>
      <w:r w:rsidR="00285F18">
        <w:rPr>
          <w:lang w:val="en-GB"/>
        </w:rPr>
        <w:t xml:space="preserve"> 4 </w:t>
      </w:r>
      <w:r w:rsidR="004D592D">
        <w:rPr>
          <w:lang w:val="en-GB"/>
        </w:rPr>
        <w:t>explores how</w:t>
      </w:r>
      <w:r w:rsidR="00285F18">
        <w:rPr>
          <w:lang w:val="en-GB"/>
        </w:rPr>
        <w:t xml:space="preserve"> the doctrines of interpretation and impl</w:t>
      </w:r>
      <w:r w:rsidR="004D592D">
        <w:rPr>
          <w:lang w:val="en-GB"/>
        </w:rPr>
        <w:t>ication of</w:t>
      </w:r>
      <w:r w:rsidR="00285F18">
        <w:rPr>
          <w:lang w:val="en-GB"/>
        </w:rPr>
        <w:t xml:space="preserve"> terms</w:t>
      </w:r>
      <w:r w:rsidR="004D592D">
        <w:rPr>
          <w:lang w:val="en-GB"/>
        </w:rPr>
        <w:t xml:space="preserve"> have</w:t>
      </w:r>
      <w:r w:rsidR="00285F18">
        <w:rPr>
          <w:lang w:val="en-GB"/>
        </w:rPr>
        <w:t xml:space="preserve"> </w:t>
      </w:r>
      <w:r w:rsidR="004D592D">
        <w:rPr>
          <w:lang w:val="en-GB"/>
        </w:rPr>
        <w:t>also been deployed as techniques for</w:t>
      </w:r>
      <w:r w:rsidR="00285F18">
        <w:rPr>
          <w:lang w:val="en-GB"/>
        </w:rPr>
        <w:t xml:space="preserve"> controlling</w:t>
      </w:r>
      <w:r w:rsidR="00122940">
        <w:rPr>
          <w:lang w:val="en-GB"/>
        </w:rPr>
        <w:t xml:space="preserve"> highly unreasonable results</w:t>
      </w:r>
      <w:r w:rsidR="004D592D">
        <w:rPr>
          <w:lang w:val="en-GB"/>
        </w:rPr>
        <w:t xml:space="preserve">. It </w:t>
      </w:r>
      <w:r w:rsidR="005D57EC">
        <w:rPr>
          <w:lang w:val="en-GB"/>
        </w:rPr>
        <w:t>focuses on</w:t>
      </w:r>
      <w:r w:rsidR="004D592D">
        <w:rPr>
          <w:lang w:val="en-GB"/>
        </w:rPr>
        <w:t xml:space="preserve"> the recent Supreme</w:t>
      </w:r>
      <w:r w:rsidR="00285F18">
        <w:rPr>
          <w:lang w:val="en-GB"/>
        </w:rPr>
        <w:t xml:space="preserve"> Court decision in </w:t>
      </w:r>
      <w:r w:rsidR="00285F18">
        <w:rPr>
          <w:i/>
          <w:lang w:val="en-GB"/>
        </w:rPr>
        <w:t xml:space="preserve">Arnold v Britton </w:t>
      </w:r>
      <w:r w:rsidR="00285F18">
        <w:rPr>
          <w:lang w:val="en-GB"/>
        </w:rPr>
        <w:t>[2015] UKSC 36, [2015] AC 1619</w:t>
      </w:r>
      <w:r w:rsidR="004D592D">
        <w:rPr>
          <w:lang w:val="en-GB"/>
        </w:rPr>
        <w:t xml:space="preserve"> </w:t>
      </w:r>
      <w:r w:rsidR="005D57EC">
        <w:rPr>
          <w:lang w:val="en-GB"/>
        </w:rPr>
        <w:t xml:space="preserve">as an example of </w:t>
      </w:r>
      <w:r w:rsidR="00C43701">
        <w:rPr>
          <w:lang w:val="en-GB"/>
        </w:rPr>
        <w:t>the limits to the courts’ willingness to use the doctrine of interpretation in this way</w:t>
      </w:r>
      <w:r w:rsidR="00C95EBF">
        <w:rPr>
          <w:lang w:val="en-GB"/>
        </w:rPr>
        <w:t xml:space="preserve">. </w:t>
      </w:r>
      <w:r w:rsidR="005D57EC">
        <w:rPr>
          <w:lang w:val="en-GB"/>
        </w:rPr>
        <w:t xml:space="preserve">The case concerned a fixed service charge clause </w:t>
      </w:r>
      <w:r w:rsidR="00D16882">
        <w:rPr>
          <w:lang w:val="en-GB"/>
        </w:rPr>
        <w:t>in a lease which contained a formula for calculating the amount payable and regular increases</w:t>
      </w:r>
      <w:r w:rsidR="00B21E6E">
        <w:rPr>
          <w:lang w:val="en-GB"/>
        </w:rPr>
        <w:t>.</w:t>
      </w:r>
      <w:r w:rsidR="005D57EC">
        <w:rPr>
          <w:lang w:val="en-GB"/>
        </w:rPr>
        <w:t xml:space="preserve"> As Professor Waddams explains, its primary purpose </w:t>
      </w:r>
      <w:r w:rsidR="00C95EBF">
        <w:rPr>
          <w:lang w:val="en-GB"/>
        </w:rPr>
        <w:t>was to ensure that maintenance expenses were fairly allocated between lessees of a property and the lessor; yet strictly interpreted it imposed a fixed service charge subject to annually compounded increases, which would subject the lessees ‘to lifelong and ruinous obligations that they could not avoid ev</w:t>
      </w:r>
      <w:r w:rsidR="005D57EC">
        <w:rPr>
          <w:lang w:val="en-GB"/>
        </w:rPr>
        <w:t>en by abandoning the leases’ (p</w:t>
      </w:r>
      <w:r w:rsidR="00C95EBF">
        <w:rPr>
          <w:lang w:val="en-GB"/>
        </w:rPr>
        <w:t>55)</w:t>
      </w:r>
      <w:r w:rsidR="005D57EC">
        <w:rPr>
          <w:lang w:val="en-GB"/>
        </w:rPr>
        <w:t xml:space="preserve">. </w:t>
      </w:r>
      <w:r w:rsidR="00C95EBF">
        <w:rPr>
          <w:lang w:val="en-GB"/>
        </w:rPr>
        <w:t xml:space="preserve">  </w:t>
      </w:r>
      <w:r w:rsidR="005D57EC">
        <w:rPr>
          <w:lang w:val="en-GB"/>
        </w:rPr>
        <w:t xml:space="preserve">Although Professor Waddams accepts that interpretation could cannot be a satisfactory basis for a power to intervene and modify the effects of the contract in </w:t>
      </w:r>
      <w:r w:rsidR="005D57EC">
        <w:rPr>
          <w:i/>
          <w:lang w:val="en-GB"/>
        </w:rPr>
        <w:t xml:space="preserve">Arnold </w:t>
      </w:r>
      <w:r w:rsidR="005D57EC">
        <w:rPr>
          <w:lang w:val="en-GB"/>
        </w:rPr>
        <w:t>(p69), he argues that it</w:t>
      </w:r>
      <w:r w:rsidR="005D57EC">
        <w:rPr>
          <w:i/>
          <w:lang w:val="en-GB"/>
        </w:rPr>
        <w:t xml:space="preserve"> </w:t>
      </w:r>
      <w:r w:rsidR="005D57EC">
        <w:rPr>
          <w:lang w:val="en-GB"/>
        </w:rPr>
        <w:t xml:space="preserve">is precisely the type of case where the courts have and </w:t>
      </w:r>
      <w:r w:rsidR="005D57EC">
        <w:rPr>
          <w:i/>
          <w:lang w:val="en-GB"/>
        </w:rPr>
        <w:t xml:space="preserve">should </w:t>
      </w:r>
      <w:r w:rsidR="005D57EC">
        <w:rPr>
          <w:lang w:val="en-GB"/>
        </w:rPr>
        <w:t xml:space="preserve">exercise a residual power ‘to modify contractual provisions that have disproportionate and extravagant results’. (p56)  </w:t>
      </w:r>
      <w:r w:rsidR="00D16882">
        <w:rPr>
          <w:lang w:val="en-GB"/>
        </w:rPr>
        <w:t xml:space="preserve">The chapter </w:t>
      </w:r>
      <w:r w:rsidR="005D57EC">
        <w:rPr>
          <w:lang w:val="en-GB"/>
        </w:rPr>
        <w:t xml:space="preserve">draws analogies between the </w:t>
      </w:r>
      <w:r w:rsidR="00C95EBF">
        <w:rPr>
          <w:lang w:val="en-GB"/>
        </w:rPr>
        <w:t xml:space="preserve">equity’s readiness to grant relief for </w:t>
      </w:r>
      <w:r w:rsidR="005D57EC">
        <w:rPr>
          <w:lang w:val="en-GB"/>
        </w:rPr>
        <w:t xml:space="preserve">penalty and </w:t>
      </w:r>
      <w:r w:rsidR="005D57EC">
        <w:rPr>
          <w:lang w:val="en-GB"/>
        </w:rPr>
        <w:lastRenderedPageBreak/>
        <w:t>forfeiture clauses</w:t>
      </w:r>
      <w:r w:rsidR="00C95EBF">
        <w:rPr>
          <w:lang w:val="en-GB"/>
        </w:rPr>
        <w:t xml:space="preserve"> ‘where the primary purpose was to secure payment of another obligation’ (</w:t>
      </w:r>
      <w:r w:rsidR="005D57EC">
        <w:rPr>
          <w:lang w:val="en-GB"/>
        </w:rPr>
        <w:t>ibid</w:t>
      </w:r>
      <w:r w:rsidR="00C95EBF">
        <w:rPr>
          <w:lang w:val="en-GB"/>
        </w:rPr>
        <w:t xml:space="preserve">), and </w:t>
      </w:r>
      <w:r w:rsidR="005D57EC">
        <w:rPr>
          <w:lang w:val="en-GB"/>
        </w:rPr>
        <w:t>suggests that the power to intervene for which he argues</w:t>
      </w:r>
      <w:r w:rsidR="00C95EBF">
        <w:rPr>
          <w:lang w:val="en-GB"/>
        </w:rPr>
        <w:t xml:space="preserve"> could be justified as falling within the powers of the court as a court of equity or on the basis that it is necessary to avoid an abuse of rights or unjust enrichment. </w:t>
      </w:r>
    </w:p>
    <w:p w14:paraId="72B3D511" w14:textId="77777777" w:rsidR="00C95EBF" w:rsidRDefault="00C95EBF" w:rsidP="00CD1CFE">
      <w:pPr>
        <w:ind w:firstLine="720"/>
        <w:jc w:val="both"/>
        <w:rPr>
          <w:lang w:val="en-GB"/>
        </w:rPr>
      </w:pPr>
    </w:p>
    <w:p w14:paraId="1351515C" w14:textId="5F5DC2EF" w:rsidR="006D7A50" w:rsidRDefault="00624F8C" w:rsidP="00CD1CFE">
      <w:pPr>
        <w:ind w:firstLine="720"/>
        <w:jc w:val="both"/>
        <w:rPr>
          <w:lang w:val="en-GB"/>
        </w:rPr>
      </w:pPr>
      <w:r>
        <w:rPr>
          <w:lang w:val="en-GB"/>
        </w:rPr>
        <w:t>Chapter</w:t>
      </w:r>
      <w:r w:rsidR="00393A41">
        <w:rPr>
          <w:lang w:val="en-GB"/>
        </w:rPr>
        <w:t>s</w:t>
      </w:r>
      <w:r>
        <w:rPr>
          <w:lang w:val="en-GB"/>
        </w:rPr>
        <w:t xml:space="preserve"> 5 </w:t>
      </w:r>
      <w:r w:rsidR="00393A41">
        <w:rPr>
          <w:lang w:val="en-GB"/>
        </w:rPr>
        <w:t>and 6 also focus on common law doctrines.  Chapter 5 argues</w:t>
      </w:r>
      <w:r>
        <w:rPr>
          <w:lang w:val="en-GB"/>
        </w:rPr>
        <w:t xml:space="preserve"> </w:t>
      </w:r>
      <w:r w:rsidR="00393A41">
        <w:rPr>
          <w:lang w:val="en-GB"/>
        </w:rPr>
        <w:t>that</w:t>
      </w:r>
      <w:r w:rsidR="00955DAD">
        <w:rPr>
          <w:lang w:val="en-GB"/>
        </w:rPr>
        <w:t xml:space="preserve"> although in principle we conceive of a contractual right as giving a right to performance, that right is cut down by the rules of remoteness and the frequent denial of punitive damages and gain-based awards, and the line is drawn at the point where enforcement would lead to highly unreasonable results.</w:t>
      </w:r>
      <w:r w:rsidR="00CD1CFE">
        <w:rPr>
          <w:lang w:val="en-GB"/>
        </w:rPr>
        <w:t xml:space="preserve">  </w:t>
      </w:r>
      <w:r w:rsidR="00F577CB">
        <w:rPr>
          <w:lang w:val="en-GB"/>
        </w:rPr>
        <w:t xml:space="preserve">Chapter 6 tackles the topical and urgent question of the conclusiveness of documents in the digital age.  It </w:t>
      </w:r>
      <w:r w:rsidR="005D57EC">
        <w:rPr>
          <w:lang w:val="en-GB"/>
        </w:rPr>
        <w:t>argues</w:t>
      </w:r>
      <w:r w:rsidR="00F577CB">
        <w:rPr>
          <w:lang w:val="en-GB"/>
        </w:rPr>
        <w:t xml:space="preserve"> that we often elide the two senses in which ‘contract’ may be understood: as an agreement </w:t>
      </w:r>
      <w:r w:rsidR="00F577CB" w:rsidRPr="00F577CB">
        <w:rPr>
          <w:lang w:val="en-GB"/>
        </w:rPr>
        <w:t xml:space="preserve">and </w:t>
      </w:r>
      <w:r w:rsidR="00F577CB">
        <w:rPr>
          <w:lang w:val="en-GB"/>
        </w:rPr>
        <w:t>as the document containing that agreement</w:t>
      </w:r>
      <w:r w:rsidR="00F67039">
        <w:rPr>
          <w:lang w:val="en-GB"/>
        </w:rPr>
        <w:t>, and</w:t>
      </w:r>
      <w:r w:rsidR="002072C4">
        <w:rPr>
          <w:lang w:val="en-GB"/>
        </w:rPr>
        <w:t xml:space="preserve"> that the exceptions to the parol evidence rule show the courts’ willingness to modify contractual documents to avoid highly unreasonable results. </w:t>
      </w:r>
      <w:r w:rsidR="00ED5EF4">
        <w:rPr>
          <w:lang w:val="en-GB"/>
        </w:rPr>
        <w:t>It concludes that the elision of sanctity of contract with sanctity of contractual documents and the extension of these ideas</w:t>
      </w:r>
      <w:r w:rsidR="002072C4">
        <w:rPr>
          <w:lang w:val="en-GB"/>
        </w:rPr>
        <w:t xml:space="preserve"> </w:t>
      </w:r>
      <w:r w:rsidR="00ED5EF4">
        <w:rPr>
          <w:lang w:val="en-GB"/>
        </w:rPr>
        <w:t xml:space="preserve">to electronic documents (where actual consent is rare), has ‘stretched the concept of agreement </w:t>
      </w:r>
      <w:r w:rsidR="004206D4">
        <w:rPr>
          <w:lang w:val="en-GB"/>
        </w:rPr>
        <w:t xml:space="preserve">beyond breaking point’. (117)  </w:t>
      </w:r>
      <w:r w:rsidR="0065576C">
        <w:rPr>
          <w:lang w:val="en-GB"/>
        </w:rPr>
        <w:t xml:space="preserve">In Professor Waddams’ view, </w:t>
      </w:r>
      <w:r w:rsidR="004206D4">
        <w:rPr>
          <w:lang w:val="en-GB"/>
        </w:rPr>
        <w:t>the recognition of a</w:t>
      </w:r>
      <w:r w:rsidR="00ED5EF4">
        <w:rPr>
          <w:lang w:val="en-GB"/>
        </w:rPr>
        <w:t xml:space="preserve"> power to modify highly unreasonable contracts</w:t>
      </w:r>
      <w:r w:rsidR="004206D4">
        <w:rPr>
          <w:lang w:val="en-GB"/>
        </w:rPr>
        <w:t xml:space="preserve"> </w:t>
      </w:r>
      <w:r w:rsidR="003E2841">
        <w:rPr>
          <w:lang w:val="en-GB"/>
        </w:rPr>
        <w:t>could</w:t>
      </w:r>
      <w:r w:rsidR="00ED5EF4">
        <w:rPr>
          <w:lang w:val="en-GB"/>
        </w:rPr>
        <w:t xml:space="preserve"> operate as an exception to the conclusiveness of contractual </w:t>
      </w:r>
      <w:r w:rsidR="00ED5EF4" w:rsidRPr="00CD1CFE">
        <w:rPr>
          <w:lang w:val="en-GB"/>
        </w:rPr>
        <w:t>documents</w:t>
      </w:r>
      <w:r w:rsidR="002072C4">
        <w:rPr>
          <w:lang w:val="en-GB"/>
        </w:rPr>
        <w:t xml:space="preserve"> and address some of these problems.</w:t>
      </w:r>
    </w:p>
    <w:p w14:paraId="40244BF7" w14:textId="77777777" w:rsidR="00ED5EF4" w:rsidRDefault="00ED5EF4" w:rsidP="006D7A50">
      <w:pPr>
        <w:ind w:firstLine="720"/>
        <w:jc w:val="both"/>
        <w:rPr>
          <w:lang w:val="en-GB"/>
        </w:rPr>
      </w:pPr>
    </w:p>
    <w:p w14:paraId="036461BE" w14:textId="77777777" w:rsidR="00DB1690" w:rsidRDefault="00ED5EF4" w:rsidP="00DB1690">
      <w:pPr>
        <w:ind w:firstLine="720"/>
        <w:jc w:val="both"/>
        <w:rPr>
          <w:lang w:val="en-GB"/>
        </w:rPr>
      </w:pPr>
      <w:r>
        <w:rPr>
          <w:lang w:val="en-GB"/>
        </w:rPr>
        <w:t>The central part of the book considers the appropriate basis for a power to modify highly unreasonable contracts.  Chapter 7 discusses unconscionability, g</w:t>
      </w:r>
      <w:r w:rsidR="007B1586">
        <w:rPr>
          <w:lang w:val="en-GB"/>
        </w:rPr>
        <w:t xml:space="preserve">ood faith and abuse of rights </w:t>
      </w:r>
      <w:r w:rsidR="002C5676">
        <w:rPr>
          <w:lang w:val="en-GB"/>
        </w:rPr>
        <w:t xml:space="preserve">as possible grounds for </w:t>
      </w:r>
      <w:r w:rsidR="0057083A">
        <w:rPr>
          <w:lang w:val="en-GB"/>
        </w:rPr>
        <w:t>the recognition of s</w:t>
      </w:r>
      <w:r w:rsidR="008D6899">
        <w:rPr>
          <w:lang w:val="en-GB"/>
        </w:rPr>
        <w:t>uch a power and rejects them on the basis that although it may be possible to give unconscionability and good faith an objective meaning which would ground a power to avoid inequitable results, all three concepts can be interpreted restrictively to indicate wrongdoing</w:t>
      </w:r>
      <w:r w:rsidR="007B1586">
        <w:rPr>
          <w:lang w:val="en-GB"/>
        </w:rPr>
        <w:t>.</w:t>
      </w:r>
      <w:r w:rsidR="008D6899">
        <w:rPr>
          <w:lang w:val="en-GB"/>
        </w:rPr>
        <w:t xml:space="preserve">  </w:t>
      </w:r>
      <w:r w:rsidR="001E291A">
        <w:rPr>
          <w:lang w:val="en-GB"/>
        </w:rPr>
        <w:t>It argues that</w:t>
      </w:r>
      <w:r w:rsidR="008D6899">
        <w:rPr>
          <w:lang w:val="en-GB"/>
        </w:rPr>
        <w:t xml:space="preserve"> long as these concepts can be interpreted restrictively, none of them can do the work that would be necessary to ground a power to relieve against contracts </w:t>
      </w:r>
      <w:r w:rsidR="003E2841">
        <w:rPr>
          <w:lang w:val="en-GB"/>
        </w:rPr>
        <w:t>that</w:t>
      </w:r>
      <w:r w:rsidR="008D6899">
        <w:rPr>
          <w:lang w:val="en-GB"/>
        </w:rPr>
        <w:t xml:space="preserve"> are highly unreasonable in a substantive sense, ie </w:t>
      </w:r>
      <w:r w:rsidR="003E2841">
        <w:rPr>
          <w:lang w:val="en-GB"/>
        </w:rPr>
        <w:t xml:space="preserve">because </w:t>
      </w:r>
      <w:r w:rsidR="008D6899">
        <w:rPr>
          <w:lang w:val="en-GB"/>
        </w:rPr>
        <w:t>they produce a disproportionately disadvantageous result for one party.  Th</w:t>
      </w:r>
      <w:r w:rsidR="001E291A">
        <w:rPr>
          <w:lang w:val="en-GB"/>
        </w:rPr>
        <w:t xml:space="preserve">is </w:t>
      </w:r>
      <w:r w:rsidR="009F0100">
        <w:rPr>
          <w:lang w:val="en-GB"/>
        </w:rPr>
        <w:t>begs the question</w:t>
      </w:r>
      <w:r w:rsidR="00660FB1">
        <w:rPr>
          <w:lang w:val="en-GB"/>
        </w:rPr>
        <w:t xml:space="preserve"> </w:t>
      </w:r>
      <w:r w:rsidR="00660FB1">
        <w:rPr>
          <w:i/>
          <w:lang w:val="en-GB"/>
        </w:rPr>
        <w:t xml:space="preserve">why </w:t>
      </w:r>
      <w:r w:rsidR="001E291A">
        <w:rPr>
          <w:lang w:val="en-GB"/>
        </w:rPr>
        <w:t xml:space="preserve">a contract should be treated as highly </w:t>
      </w:r>
      <w:r w:rsidR="00660FB1">
        <w:rPr>
          <w:lang w:val="en-GB"/>
        </w:rPr>
        <w:t xml:space="preserve">unreasonable, </w:t>
      </w:r>
      <w:r w:rsidR="001E291A">
        <w:rPr>
          <w:lang w:val="en-GB"/>
        </w:rPr>
        <w:t xml:space="preserve">and chapter </w:t>
      </w:r>
      <w:r w:rsidR="00660FB1">
        <w:rPr>
          <w:lang w:val="en-GB"/>
        </w:rPr>
        <w:t>8</w:t>
      </w:r>
      <w:r w:rsidR="001E291A">
        <w:rPr>
          <w:lang w:val="en-GB"/>
        </w:rPr>
        <w:t xml:space="preserve"> offers unjust enrichment as a justification.  In doing so, </w:t>
      </w:r>
      <w:r w:rsidR="009F0100">
        <w:rPr>
          <w:lang w:val="en-GB"/>
        </w:rPr>
        <w:t>it again draws</w:t>
      </w:r>
      <w:r w:rsidR="001E291A">
        <w:rPr>
          <w:lang w:val="en-GB"/>
        </w:rPr>
        <w:t xml:space="preserve"> parallels between </w:t>
      </w:r>
      <w:r w:rsidR="001E291A">
        <w:rPr>
          <w:i/>
          <w:lang w:val="en-GB"/>
        </w:rPr>
        <w:t xml:space="preserve">Arnold v Britton </w:t>
      </w:r>
      <w:r w:rsidR="001E291A">
        <w:rPr>
          <w:lang w:val="en-GB"/>
        </w:rPr>
        <w:t xml:space="preserve">and cases of relief from penalties and forfeiture, on the basis that in all three situations the mischief is that </w:t>
      </w:r>
      <w:r w:rsidR="006A2CFB">
        <w:rPr>
          <w:lang w:val="en-GB"/>
        </w:rPr>
        <w:t xml:space="preserve">one party is unjustly enriched by the enforcement of a contractual clause that was ostensibly intended to achieve another purpose. The chapter </w:t>
      </w:r>
      <w:r w:rsidR="009F0100">
        <w:rPr>
          <w:lang w:val="en-GB"/>
        </w:rPr>
        <w:t xml:space="preserve">goes on to examine </w:t>
      </w:r>
      <w:r w:rsidR="006A2CFB">
        <w:rPr>
          <w:lang w:val="en-GB"/>
        </w:rPr>
        <w:t>the relationships between unjust enrichment and contract law on the one hand, and equity on the other</w:t>
      </w:r>
      <w:r w:rsidR="00707C71">
        <w:rPr>
          <w:lang w:val="en-GB"/>
        </w:rPr>
        <w:t xml:space="preserve">, and suggests that considerations of unjust enrichment have always been highly relevant in both contexts.  </w:t>
      </w:r>
    </w:p>
    <w:p w14:paraId="377502EB" w14:textId="77777777" w:rsidR="00DB1690" w:rsidRDefault="00DB1690" w:rsidP="00DB1690">
      <w:pPr>
        <w:ind w:firstLine="720"/>
        <w:jc w:val="both"/>
        <w:rPr>
          <w:lang w:val="en-GB"/>
        </w:rPr>
      </w:pPr>
    </w:p>
    <w:p w14:paraId="54610081" w14:textId="1EFDBF86" w:rsidR="003E2841" w:rsidRDefault="003E2841" w:rsidP="00DB1690">
      <w:pPr>
        <w:ind w:firstLine="720"/>
        <w:jc w:val="both"/>
        <w:rPr>
          <w:lang w:val="en-GB"/>
        </w:rPr>
      </w:pPr>
      <w:r>
        <w:rPr>
          <w:lang w:val="en-GB"/>
        </w:rPr>
        <w:t xml:space="preserve">The final part of the book </w:t>
      </w:r>
      <w:r w:rsidR="00C95EBF">
        <w:rPr>
          <w:lang w:val="en-GB"/>
        </w:rPr>
        <w:t xml:space="preserve">asserts </w:t>
      </w:r>
      <w:r>
        <w:rPr>
          <w:lang w:val="en-GB"/>
        </w:rPr>
        <w:t xml:space="preserve">that the power for which Professor Waddams argues should be a judicial power rather than based on legislation (chapters 9-11).   He concludes that </w:t>
      </w:r>
      <w:r w:rsidR="001E291A">
        <w:rPr>
          <w:lang w:val="en-GB"/>
        </w:rPr>
        <w:t>concludes</w:t>
      </w:r>
      <w:r w:rsidR="00A636D1">
        <w:rPr>
          <w:lang w:val="en-GB"/>
        </w:rPr>
        <w:t xml:space="preserve"> that contracts should be enforced unless they are </w:t>
      </w:r>
      <w:r w:rsidR="009F0100">
        <w:rPr>
          <w:lang w:val="en-GB"/>
        </w:rPr>
        <w:t>‘</w:t>
      </w:r>
      <w:r w:rsidR="00A636D1">
        <w:rPr>
          <w:lang w:val="en-GB"/>
        </w:rPr>
        <w:t>highly unreasonable</w:t>
      </w:r>
      <w:r w:rsidR="009F0100">
        <w:rPr>
          <w:lang w:val="en-GB"/>
        </w:rPr>
        <w:t>’</w:t>
      </w:r>
      <w:r w:rsidR="00CD1CFE">
        <w:rPr>
          <w:lang w:val="en-GB"/>
        </w:rPr>
        <w:t xml:space="preserve"> and argues that </w:t>
      </w:r>
      <w:r w:rsidR="009F0100">
        <w:rPr>
          <w:lang w:val="en-GB"/>
        </w:rPr>
        <w:t xml:space="preserve">a useful guide for the definition of this term lies </w:t>
      </w:r>
      <w:r w:rsidR="00A636D1">
        <w:rPr>
          <w:lang w:val="en-GB"/>
        </w:rPr>
        <w:t xml:space="preserve">in the avoidance </w:t>
      </w:r>
      <w:r>
        <w:rPr>
          <w:lang w:val="en-GB"/>
        </w:rPr>
        <w:t>of disproportionate enrichment (chapter 13).</w:t>
      </w:r>
    </w:p>
    <w:p w14:paraId="3924FED5" w14:textId="77777777" w:rsidR="00AD3613" w:rsidRDefault="00AD3613" w:rsidP="00DB1690">
      <w:pPr>
        <w:ind w:firstLine="720"/>
        <w:jc w:val="both"/>
        <w:rPr>
          <w:lang w:val="en-GB"/>
        </w:rPr>
      </w:pPr>
    </w:p>
    <w:p w14:paraId="0C876851" w14:textId="5B9D0EC0" w:rsidR="008260A9" w:rsidRDefault="00D01CFB" w:rsidP="002F2A0C">
      <w:pPr>
        <w:ind w:firstLine="720"/>
        <w:jc w:val="both"/>
        <w:rPr>
          <w:lang w:val="en-GB"/>
        </w:rPr>
      </w:pPr>
      <w:r>
        <w:rPr>
          <w:lang w:val="en-GB"/>
        </w:rPr>
        <w:t>Irrespective of whether one</w:t>
      </w:r>
      <w:r w:rsidR="00734154">
        <w:rPr>
          <w:lang w:val="en-GB"/>
        </w:rPr>
        <w:t xml:space="preserve"> agree</w:t>
      </w:r>
      <w:r w:rsidR="002072C4">
        <w:rPr>
          <w:lang w:val="en-GB"/>
        </w:rPr>
        <w:t>s with Professor Waddams as to</w:t>
      </w:r>
      <w:r w:rsidR="00734154">
        <w:rPr>
          <w:lang w:val="en-GB"/>
        </w:rPr>
        <w:t xml:space="preserve"> </w:t>
      </w:r>
      <w:r w:rsidR="003E2841">
        <w:rPr>
          <w:lang w:val="en-GB"/>
        </w:rPr>
        <w:t>where the line should be drawn between fai</w:t>
      </w:r>
      <w:r>
        <w:rPr>
          <w:lang w:val="en-GB"/>
        </w:rPr>
        <w:t xml:space="preserve">rness and </w:t>
      </w:r>
      <w:r w:rsidR="00734154">
        <w:rPr>
          <w:lang w:val="en-GB"/>
        </w:rPr>
        <w:t xml:space="preserve">contractual </w:t>
      </w:r>
      <w:r>
        <w:rPr>
          <w:lang w:val="en-GB"/>
        </w:rPr>
        <w:t>certainty (</w:t>
      </w:r>
      <w:r w:rsidR="003E2841">
        <w:rPr>
          <w:lang w:val="en-GB"/>
        </w:rPr>
        <w:t xml:space="preserve">for a </w:t>
      </w:r>
      <w:r w:rsidR="002072C4">
        <w:rPr>
          <w:lang w:val="en-GB"/>
        </w:rPr>
        <w:t>re</w:t>
      </w:r>
      <w:r w:rsidR="003E2841">
        <w:rPr>
          <w:lang w:val="en-GB"/>
        </w:rPr>
        <w:t xml:space="preserve">view </w:t>
      </w:r>
      <w:r w:rsidR="002072C4">
        <w:rPr>
          <w:lang w:val="en-GB"/>
        </w:rPr>
        <w:t xml:space="preserve">of the book </w:t>
      </w:r>
      <w:r w:rsidR="003E2841">
        <w:rPr>
          <w:lang w:val="en-GB"/>
        </w:rPr>
        <w:t>which endorses the orthodox preference for certainty, see Morgan, [2020] 136 LQR 169, 172</w:t>
      </w:r>
      <w:r w:rsidR="00734154">
        <w:rPr>
          <w:lang w:val="en-GB"/>
        </w:rPr>
        <w:t>),</w:t>
      </w:r>
      <w:r w:rsidR="00592863">
        <w:rPr>
          <w:lang w:val="en-GB"/>
        </w:rPr>
        <w:t xml:space="preserve"> this book </w:t>
      </w:r>
      <w:r w:rsidR="008260A9">
        <w:rPr>
          <w:lang w:val="en-GB"/>
        </w:rPr>
        <w:t>is a rich and</w:t>
      </w:r>
      <w:r w:rsidR="00592863">
        <w:rPr>
          <w:lang w:val="en-GB"/>
        </w:rPr>
        <w:t xml:space="preserve"> thought-provoking contribution to private law scholarship</w:t>
      </w:r>
      <w:r w:rsidR="008260A9">
        <w:rPr>
          <w:lang w:val="en-GB"/>
        </w:rPr>
        <w:t>, w</w:t>
      </w:r>
      <w:r w:rsidR="002F2A0C">
        <w:rPr>
          <w:lang w:val="en-GB"/>
        </w:rPr>
        <w:t>hich makes some important</w:t>
      </w:r>
      <w:r w:rsidR="00734154">
        <w:rPr>
          <w:lang w:val="en-GB"/>
        </w:rPr>
        <w:t xml:space="preserve"> and valuable</w:t>
      </w:r>
      <w:r w:rsidR="002F2A0C">
        <w:rPr>
          <w:lang w:val="en-GB"/>
        </w:rPr>
        <w:t xml:space="preserve"> points</w:t>
      </w:r>
      <w:r w:rsidR="003E2841">
        <w:rPr>
          <w:lang w:val="en-GB"/>
        </w:rPr>
        <w:t>.</w:t>
      </w:r>
      <w:r w:rsidR="002F2A0C">
        <w:rPr>
          <w:lang w:val="en-GB"/>
        </w:rPr>
        <w:t xml:space="preserve">   For example, it</w:t>
      </w:r>
      <w:r w:rsidR="008260A9">
        <w:rPr>
          <w:lang w:val="en-GB"/>
        </w:rPr>
        <w:t xml:space="preserve"> neatly brings out the fact that concerns about unjust enrichment run through con</w:t>
      </w:r>
      <w:r w:rsidR="002F2A0C">
        <w:rPr>
          <w:lang w:val="en-GB"/>
        </w:rPr>
        <w:t xml:space="preserve">tractual doctrine </w:t>
      </w:r>
      <w:r w:rsidR="008260A9">
        <w:rPr>
          <w:lang w:val="en-GB"/>
        </w:rPr>
        <w:t xml:space="preserve">and equitable principles. This is an important point which is underexplored in English law.  It suggests that the Birksian bright line between unjust </w:t>
      </w:r>
      <w:r w:rsidR="002F2A0C">
        <w:rPr>
          <w:lang w:val="en-GB"/>
        </w:rPr>
        <w:t>enrichment on the one hand and contract and equity, respectively, on the other,</w:t>
      </w:r>
      <w:r w:rsidR="008260A9">
        <w:rPr>
          <w:lang w:val="en-GB"/>
        </w:rPr>
        <w:t xml:space="preserve"> may be dimmer</w:t>
      </w:r>
      <w:r w:rsidR="002F2A0C">
        <w:rPr>
          <w:lang w:val="en-GB"/>
        </w:rPr>
        <w:t xml:space="preserve"> than previously thought.  </w:t>
      </w:r>
      <w:r w:rsidR="00E97695">
        <w:rPr>
          <w:lang w:val="en-GB"/>
        </w:rPr>
        <w:t>The discussion about electronic contracts and the need for contract law to adapt its traditional document-focused approach to</w:t>
      </w:r>
      <w:r w:rsidR="002F2A0C">
        <w:rPr>
          <w:lang w:val="en-GB"/>
        </w:rPr>
        <w:t xml:space="preserve"> doctrines such as</w:t>
      </w:r>
      <w:r w:rsidR="00E97695">
        <w:rPr>
          <w:lang w:val="en-GB"/>
        </w:rPr>
        <w:t xml:space="preserve"> interpretation, the extrinsic evidence rule and rectification is </w:t>
      </w:r>
      <w:r w:rsidR="002072C4">
        <w:rPr>
          <w:lang w:val="en-GB"/>
        </w:rPr>
        <w:t>also significant and valuable</w:t>
      </w:r>
      <w:r w:rsidR="00E97695">
        <w:rPr>
          <w:lang w:val="en-GB"/>
        </w:rPr>
        <w:t>.</w:t>
      </w:r>
      <w:r w:rsidR="00F13790">
        <w:rPr>
          <w:lang w:val="en-GB"/>
        </w:rPr>
        <w:t xml:space="preserve">  Inevitably, private law lags behind technological change, but the importance of </w:t>
      </w:r>
      <w:r w:rsidR="002072C4">
        <w:rPr>
          <w:lang w:val="en-GB"/>
        </w:rPr>
        <w:t>developing</w:t>
      </w:r>
      <w:r w:rsidR="00F13790">
        <w:rPr>
          <w:lang w:val="en-GB"/>
        </w:rPr>
        <w:t xml:space="preserve"> </w:t>
      </w:r>
      <w:r w:rsidR="002072C4">
        <w:rPr>
          <w:lang w:val="en-GB"/>
        </w:rPr>
        <w:t>doctrine</w:t>
      </w:r>
      <w:r w:rsidR="00F13790">
        <w:rPr>
          <w:lang w:val="en-GB"/>
        </w:rPr>
        <w:t xml:space="preserve"> sensibly to meet the needs of contracting parties</w:t>
      </w:r>
      <w:r w:rsidR="002072C4">
        <w:rPr>
          <w:lang w:val="en-GB"/>
        </w:rPr>
        <w:t xml:space="preserve"> cannot be understated</w:t>
      </w:r>
      <w:r w:rsidR="00F13790">
        <w:rPr>
          <w:lang w:val="en-GB"/>
        </w:rPr>
        <w:t>.</w:t>
      </w:r>
    </w:p>
    <w:p w14:paraId="41238C8C" w14:textId="77777777" w:rsidR="0048641F" w:rsidRDefault="0048641F" w:rsidP="008260A9">
      <w:pPr>
        <w:ind w:firstLine="720"/>
        <w:jc w:val="both"/>
        <w:rPr>
          <w:lang w:val="en-GB"/>
        </w:rPr>
      </w:pPr>
    </w:p>
    <w:p w14:paraId="4F6B48DE" w14:textId="3BCA1EBC" w:rsidR="00CD1C00" w:rsidRDefault="00CD1C00" w:rsidP="008260A9">
      <w:pPr>
        <w:ind w:firstLine="720"/>
        <w:jc w:val="both"/>
        <w:rPr>
          <w:lang w:val="en-GB"/>
        </w:rPr>
      </w:pPr>
      <w:r>
        <w:rPr>
          <w:lang w:val="en-GB"/>
        </w:rPr>
        <w:t xml:space="preserve">Three </w:t>
      </w:r>
      <w:r w:rsidR="006C6549">
        <w:rPr>
          <w:lang w:val="en-GB"/>
        </w:rPr>
        <w:t>additional</w:t>
      </w:r>
      <w:r>
        <w:rPr>
          <w:lang w:val="en-GB"/>
        </w:rPr>
        <w:t xml:space="preserve"> points made by Professor Waddams </w:t>
      </w:r>
      <w:r w:rsidR="00EA5407">
        <w:rPr>
          <w:lang w:val="en-GB"/>
        </w:rPr>
        <w:t>prompt further discussion</w:t>
      </w:r>
      <w:r w:rsidR="006C6549">
        <w:rPr>
          <w:lang w:val="en-GB"/>
        </w:rPr>
        <w:t>.  First, whilst</w:t>
      </w:r>
      <w:r>
        <w:rPr>
          <w:lang w:val="en-GB"/>
        </w:rPr>
        <w:t xml:space="preserve"> he</w:t>
      </w:r>
      <w:r w:rsidR="0048641F">
        <w:rPr>
          <w:lang w:val="en-GB"/>
        </w:rPr>
        <w:t xml:space="preserve"> </w:t>
      </w:r>
      <w:r w:rsidR="00146098">
        <w:rPr>
          <w:lang w:val="en-GB"/>
        </w:rPr>
        <w:t>suggests that the basis of the jurisdiction for which he argues is rooted</w:t>
      </w:r>
      <w:r w:rsidR="0048641F">
        <w:rPr>
          <w:lang w:val="en-GB"/>
        </w:rPr>
        <w:t xml:space="preserve"> in the old powers of the Court of Chancery to relieve against </w:t>
      </w:r>
      <w:r w:rsidR="00DA4740">
        <w:rPr>
          <w:lang w:val="en-GB"/>
        </w:rPr>
        <w:t>unfairness</w:t>
      </w:r>
      <w:r>
        <w:rPr>
          <w:lang w:val="en-GB"/>
        </w:rPr>
        <w:t>, he rejects</w:t>
      </w:r>
      <w:r w:rsidR="00146098">
        <w:rPr>
          <w:lang w:val="en-GB"/>
        </w:rPr>
        <w:t xml:space="preserve"> the</w:t>
      </w:r>
      <w:r w:rsidR="001229DD">
        <w:rPr>
          <w:lang w:val="en-GB"/>
        </w:rPr>
        <w:t xml:space="preserve"> </w:t>
      </w:r>
      <w:r w:rsidR="00146098">
        <w:rPr>
          <w:lang w:val="en-GB"/>
        </w:rPr>
        <w:t xml:space="preserve">use </w:t>
      </w:r>
      <w:r w:rsidR="001A075A">
        <w:rPr>
          <w:lang w:val="en-GB"/>
        </w:rPr>
        <w:t xml:space="preserve">of </w:t>
      </w:r>
      <w:r w:rsidR="00146098">
        <w:rPr>
          <w:lang w:val="en-GB"/>
        </w:rPr>
        <w:t xml:space="preserve">the language of </w:t>
      </w:r>
      <w:r w:rsidR="001A075A">
        <w:rPr>
          <w:lang w:val="en-GB"/>
        </w:rPr>
        <w:t xml:space="preserve">conscience </w:t>
      </w:r>
      <w:r w:rsidR="00146098">
        <w:rPr>
          <w:lang w:val="en-GB"/>
        </w:rPr>
        <w:t xml:space="preserve">to describe the </w:t>
      </w:r>
      <w:r w:rsidR="006C6549">
        <w:rPr>
          <w:lang w:val="en-GB"/>
        </w:rPr>
        <w:t xml:space="preserve">basis of equitable intervention.  In his view, such language is </w:t>
      </w:r>
      <w:r w:rsidR="00146098">
        <w:rPr>
          <w:lang w:val="en-GB"/>
        </w:rPr>
        <w:t>outdated</w:t>
      </w:r>
      <w:r w:rsidR="001A075A">
        <w:rPr>
          <w:lang w:val="en-GB"/>
        </w:rPr>
        <w:t xml:space="preserve"> </w:t>
      </w:r>
      <w:r w:rsidR="0048641F">
        <w:rPr>
          <w:lang w:val="en-GB"/>
        </w:rPr>
        <w:t>because of its moral overtones</w:t>
      </w:r>
      <w:r w:rsidR="006C6549">
        <w:rPr>
          <w:lang w:val="en-GB"/>
        </w:rPr>
        <w:t xml:space="preserve"> and not particularly reliable in its meaning</w:t>
      </w:r>
      <w:r w:rsidR="0048641F">
        <w:rPr>
          <w:lang w:val="en-GB"/>
        </w:rPr>
        <w:t xml:space="preserve">.  </w:t>
      </w:r>
      <w:r>
        <w:rPr>
          <w:lang w:val="en-GB"/>
        </w:rPr>
        <w:t xml:space="preserve">However, </w:t>
      </w:r>
      <w:r w:rsidR="008F6F0C">
        <w:rPr>
          <w:lang w:val="en-GB"/>
        </w:rPr>
        <w:t>if we accept</w:t>
      </w:r>
      <w:r>
        <w:rPr>
          <w:lang w:val="en-GB"/>
        </w:rPr>
        <w:t xml:space="preserve"> that equity acts to supplement and complement rather than undermine the common law, the language of conscience </w:t>
      </w:r>
      <w:r w:rsidR="006C6549">
        <w:rPr>
          <w:lang w:val="en-GB"/>
        </w:rPr>
        <w:t>is arguably not</w:t>
      </w:r>
      <w:r>
        <w:rPr>
          <w:lang w:val="en-GB"/>
        </w:rPr>
        <w:t xml:space="preserve"> merely of historical </w:t>
      </w:r>
      <w:r w:rsidR="006C6549">
        <w:rPr>
          <w:lang w:val="en-GB"/>
        </w:rPr>
        <w:t>significance and, p</w:t>
      </w:r>
      <w:r>
        <w:rPr>
          <w:lang w:val="en-GB"/>
        </w:rPr>
        <w:t>roperly understood, it</w:t>
      </w:r>
      <w:r w:rsidR="006C6549">
        <w:rPr>
          <w:lang w:val="en-GB"/>
        </w:rPr>
        <w:t xml:space="preserve"> does useful work in private law.  It</w:t>
      </w:r>
      <w:r>
        <w:rPr>
          <w:lang w:val="en-GB"/>
        </w:rPr>
        <w:t xml:space="preserve"> helps us to understand the moral significance of factual knowledge in the recognition and </w:t>
      </w:r>
      <w:r w:rsidR="00BF4DA2">
        <w:rPr>
          <w:lang w:val="en-GB"/>
        </w:rPr>
        <w:t>enforcement of equitable duties;</w:t>
      </w:r>
      <w:r>
        <w:rPr>
          <w:lang w:val="en-GB"/>
        </w:rPr>
        <w:t xml:space="preserve"> and </w:t>
      </w:r>
      <w:r w:rsidR="00BF4DA2">
        <w:rPr>
          <w:lang w:val="en-GB"/>
        </w:rPr>
        <w:t xml:space="preserve">it </w:t>
      </w:r>
      <w:r>
        <w:rPr>
          <w:lang w:val="en-GB"/>
        </w:rPr>
        <w:t xml:space="preserve">reminds us that </w:t>
      </w:r>
      <w:r w:rsidR="00BF4DA2">
        <w:rPr>
          <w:lang w:val="en-GB"/>
        </w:rPr>
        <w:t xml:space="preserve">the latter will be enforced and </w:t>
      </w:r>
      <w:r>
        <w:rPr>
          <w:lang w:val="en-GB"/>
        </w:rPr>
        <w:t xml:space="preserve">the exercise of contractual rights will be restrained </w:t>
      </w:r>
      <w:r w:rsidR="00BF4DA2">
        <w:rPr>
          <w:lang w:val="en-GB"/>
        </w:rPr>
        <w:t>only when</w:t>
      </w:r>
      <w:r>
        <w:rPr>
          <w:lang w:val="en-GB"/>
        </w:rPr>
        <w:t xml:space="preserve"> there are good moral reasons for doing so. At the same time, its moral overtones alert us to the need for specificity of equitable (and moral) principle at doctrinal level.  In these ways, it bolsters the authority of equity where it makes incursions into legal certainty in the interests of fairness (on this see: S. Agnew, ‘The Meaning and Significance of Conscience in Private Law’ (2018) 77 CLJ 479; </w:t>
      </w:r>
      <w:r w:rsidR="00F67039">
        <w:rPr>
          <w:lang w:val="en-GB"/>
        </w:rPr>
        <w:t xml:space="preserve">and </w:t>
      </w:r>
      <w:r>
        <w:rPr>
          <w:lang w:val="en-GB"/>
        </w:rPr>
        <w:t xml:space="preserve">I. Samet, </w:t>
      </w:r>
      <w:r>
        <w:rPr>
          <w:i/>
          <w:lang w:val="en-GB"/>
        </w:rPr>
        <w:t>Equity: Conscience Goes to Market</w:t>
      </w:r>
      <w:r>
        <w:rPr>
          <w:lang w:val="en-GB"/>
        </w:rPr>
        <w:t xml:space="preserve"> (OUP, 2018)).   </w:t>
      </w:r>
    </w:p>
    <w:p w14:paraId="1BD76E27" w14:textId="77777777" w:rsidR="00CD1C00" w:rsidRDefault="00CD1C00" w:rsidP="008260A9">
      <w:pPr>
        <w:ind w:firstLine="720"/>
        <w:jc w:val="both"/>
        <w:rPr>
          <w:lang w:val="en-GB"/>
        </w:rPr>
      </w:pPr>
    </w:p>
    <w:p w14:paraId="0BD39E7F" w14:textId="1E3F5BCF" w:rsidR="0048641F" w:rsidRDefault="00CD1C00" w:rsidP="006C6549">
      <w:pPr>
        <w:jc w:val="both"/>
        <w:rPr>
          <w:lang w:val="en-GB"/>
        </w:rPr>
      </w:pPr>
      <w:r>
        <w:rPr>
          <w:lang w:val="en-GB"/>
        </w:rPr>
        <w:t xml:space="preserve"> </w:t>
      </w:r>
      <w:r w:rsidR="006C6549">
        <w:rPr>
          <w:lang w:val="en-GB"/>
        </w:rPr>
        <w:tab/>
        <w:t xml:space="preserve">Second, </w:t>
      </w:r>
      <w:r>
        <w:rPr>
          <w:lang w:val="en-GB"/>
        </w:rPr>
        <w:t xml:space="preserve">Professor Waddams </w:t>
      </w:r>
      <w:r w:rsidR="006C6549">
        <w:rPr>
          <w:lang w:val="en-GB"/>
        </w:rPr>
        <w:t>argues</w:t>
      </w:r>
      <w:r>
        <w:rPr>
          <w:lang w:val="en-GB"/>
        </w:rPr>
        <w:t xml:space="preserve"> that</w:t>
      </w:r>
      <w:r w:rsidR="0048641F">
        <w:rPr>
          <w:lang w:val="en-GB"/>
        </w:rPr>
        <w:t xml:space="preserve"> </w:t>
      </w:r>
      <w:r w:rsidR="006C6549">
        <w:rPr>
          <w:lang w:val="en-GB"/>
        </w:rPr>
        <w:t>the ideas of</w:t>
      </w:r>
      <w:r w:rsidR="0048641F">
        <w:rPr>
          <w:lang w:val="en-GB"/>
        </w:rPr>
        <w:t xml:space="preserve"> unconscionability, good faith and abuse of rights are all capable of being interpreted </w:t>
      </w:r>
      <w:r w:rsidR="00146098">
        <w:rPr>
          <w:lang w:val="en-GB"/>
        </w:rPr>
        <w:t>narrowly to imply wrongdoing</w:t>
      </w:r>
      <w:r w:rsidR="00B23268">
        <w:rPr>
          <w:lang w:val="en-GB"/>
        </w:rPr>
        <w:t xml:space="preserve">, </w:t>
      </w:r>
      <w:r w:rsidR="0048641F">
        <w:rPr>
          <w:lang w:val="en-GB"/>
        </w:rPr>
        <w:t xml:space="preserve">the courts </w:t>
      </w:r>
      <w:r w:rsidR="00146098">
        <w:rPr>
          <w:lang w:val="en-GB"/>
        </w:rPr>
        <w:t xml:space="preserve">should </w:t>
      </w:r>
      <w:r w:rsidR="0048641F">
        <w:rPr>
          <w:lang w:val="en-GB"/>
        </w:rPr>
        <w:t xml:space="preserve">have a power to relieve against substantive unfairness </w:t>
      </w:r>
      <w:r w:rsidR="0048641F">
        <w:rPr>
          <w:i/>
          <w:lang w:val="en-GB"/>
        </w:rPr>
        <w:t>per se</w:t>
      </w:r>
      <w:r w:rsidR="00B23268">
        <w:rPr>
          <w:lang w:val="en-GB"/>
        </w:rPr>
        <w:t>, and</w:t>
      </w:r>
      <w:r w:rsidR="00146098">
        <w:rPr>
          <w:lang w:val="en-GB"/>
        </w:rPr>
        <w:t xml:space="preserve"> the term ‘highly unreasonable’ is more reliably apt to describe the basis for judicial intervention in such cases.  </w:t>
      </w:r>
      <w:r>
        <w:rPr>
          <w:lang w:val="en-GB"/>
        </w:rPr>
        <w:t>It is worth noting that</w:t>
      </w:r>
      <w:r w:rsidR="00E615FA">
        <w:rPr>
          <w:lang w:val="en-GB"/>
        </w:rPr>
        <w:t xml:space="preserve"> a</w:t>
      </w:r>
      <w:r w:rsidR="00FB5121">
        <w:rPr>
          <w:lang w:val="en-GB"/>
        </w:rPr>
        <w:t xml:space="preserve">lthough </w:t>
      </w:r>
      <w:r w:rsidR="00163FCC">
        <w:rPr>
          <w:lang w:val="en-GB"/>
        </w:rPr>
        <w:t>equity</w:t>
      </w:r>
      <w:r w:rsidR="00FB5121">
        <w:rPr>
          <w:lang w:val="en-GB"/>
        </w:rPr>
        <w:t xml:space="preserve"> has long been concerned with substantive fairness, it is rarely concerned </w:t>
      </w:r>
      <w:r w:rsidR="00FB5121">
        <w:rPr>
          <w:i/>
          <w:lang w:val="en-GB"/>
        </w:rPr>
        <w:t xml:space="preserve">solely </w:t>
      </w:r>
      <w:r w:rsidR="00FB5121">
        <w:rPr>
          <w:lang w:val="en-GB"/>
        </w:rPr>
        <w:t>with inequality of exchange.</w:t>
      </w:r>
      <w:r w:rsidR="00AB661B">
        <w:rPr>
          <w:lang w:val="en-GB"/>
        </w:rPr>
        <w:t xml:space="preserve">  For example, whilst substantive unfairness is clearly relevant in </w:t>
      </w:r>
      <w:r w:rsidR="003202BF">
        <w:rPr>
          <w:lang w:val="en-GB"/>
        </w:rPr>
        <w:t xml:space="preserve">some </w:t>
      </w:r>
      <w:r w:rsidR="00AB661B">
        <w:rPr>
          <w:lang w:val="en-GB"/>
        </w:rPr>
        <w:t>cases of</w:t>
      </w:r>
      <w:r w:rsidR="003202BF">
        <w:rPr>
          <w:lang w:val="en-GB"/>
        </w:rPr>
        <w:t xml:space="preserve"> equitable rescission (eg</w:t>
      </w:r>
      <w:r w:rsidR="00AB661B">
        <w:rPr>
          <w:lang w:val="en-GB"/>
        </w:rPr>
        <w:t xml:space="preserve"> undue influence, unconscionable </w:t>
      </w:r>
      <w:r w:rsidR="003202BF">
        <w:rPr>
          <w:lang w:val="en-GB"/>
        </w:rPr>
        <w:t>bargains</w:t>
      </w:r>
      <w:r w:rsidR="00AB661B">
        <w:rPr>
          <w:lang w:val="en-GB"/>
        </w:rPr>
        <w:t>)</w:t>
      </w:r>
      <w:r w:rsidR="003202BF">
        <w:rPr>
          <w:lang w:val="en-GB"/>
        </w:rPr>
        <w:t xml:space="preserve">, it is usually accompanied by some form of shabby conduct by </w:t>
      </w:r>
      <w:r w:rsidR="0011612B">
        <w:rPr>
          <w:lang w:val="en-GB"/>
        </w:rPr>
        <w:t>one party, either in the form of active exploitation or simply by seeking to go ahead with the contract despite her knowledge that there are difficulties relating to the other party’s consent</w:t>
      </w:r>
      <w:r w:rsidR="003202BF">
        <w:rPr>
          <w:lang w:val="en-GB"/>
        </w:rPr>
        <w:t xml:space="preserve">. </w:t>
      </w:r>
      <w:r w:rsidR="00496200">
        <w:rPr>
          <w:lang w:val="en-GB"/>
        </w:rPr>
        <w:t xml:space="preserve">Even in a doctrine such as common mistake, where the only unfairness </w:t>
      </w:r>
      <w:r w:rsidR="00E55B24">
        <w:rPr>
          <w:lang w:val="en-GB"/>
        </w:rPr>
        <w:t>may appear</w:t>
      </w:r>
      <w:r w:rsidR="00496200">
        <w:rPr>
          <w:lang w:val="en-GB"/>
        </w:rPr>
        <w:t xml:space="preserve"> to be substantive, the idea of unconscionability captures the defendant’s moral fault in seeking to take advantage of </w:t>
      </w:r>
      <w:r w:rsidR="00E55B24">
        <w:rPr>
          <w:lang w:val="en-GB"/>
        </w:rPr>
        <w:t>the mistake</w:t>
      </w:r>
      <w:r w:rsidR="00496200">
        <w:rPr>
          <w:lang w:val="en-GB"/>
        </w:rPr>
        <w:t xml:space="preserve"> by insisting on</w:t>
      </w:r>
      <w:r w:rsidR="00E55B24">
        <w:rPr>
          <w:lang w:val="en-GB"/>
        </w:rPr>
        <w:t xml:space="preserve"> the enforcement of</w:t>
      </w:r>
      <w:r w:rsidR="00496200">
        <w:rPr>
          <w:lang w:val="en-GB"/>
        </w:rPr>
        <w:t xml:space="preserve"> her strict contractual rights. </w:t>
      </w:r>
      <w:r w:rsidR="00E55B24">
        <w:rPr>
          <w:lang w:val="en-GB"/>
        </w:rPr>
        <w:t xml:space="preserve"> </w:t>
      </w:r>
      <w:r w:rsidR="00436A9B">
        <w:rPr>
          <w:lang w:val="en-GB"/>
        </w:rPr>
        <w:t xml:space="preserve">Therefore, the implication of morally unacceptable conduct that flows from the use of the language of unconscionability is </w:t>
      </w:r>
      <w:r w:rsidR="006C6549">
        <w:rPr>
          <w:lang w:val="en-GB"/>
        </w:rPr>
        <w:t>significan</w:t>
      </w:r>
      <w:r w:rsidR="00E55B24">
        <w:rPr>
          <w:lang w:val="en-GB"/>
        </w:rPr>
        <w:t xml:space="preserve">t, and </w:t>
      </w:r>
      <w:r w:rsidR="00436A9B">
        <w:rPr>
          <w:lang w:val="en-GB"/>
        </w:rPr>
        <w:t xml:space="preserve">it </w:t>
      </w:r>
      <w:r w:rsidR="0011612B">
        <w:rPr>
          <w:lang w:val="en-GB"/>
        </w:rPr>
        <w:t xml:space="preserve">fits with the idea that equity’s role as a gloss on the common law is essentially self-limiting.  Absent </w:t>
      </w:r>
      <w:r w:rsidR="00E55B24">
        <w:rPr>
          <w:lang w:val="en-GB"/>
        </w:rPr>
        <w:t xml:space="preserve">some </w:t>
      </w:r>
      <w:r w:rsidR="0011612B">
        <w:rPr>
          <w:lang w:val="en-GB"/>
        </w:rPr>
        <w:t>moral fault on the part of the defendant</w:t>
      </w:r>
      <w:r w:rsidR="00E55B24">
        <w:rPr>
          <w:lang w:val="en-GB"/>
        </w:rPr>
        <w:t xml:space="preserve"> in the creation or enforcement of her contractual rights, equity</w:t>
      </w:r>
      <w:r w:rsidR="0011612B">
        <w:rPr>
          <w:lang w:val="en-GB"/>
        </w:rPr>
        <w:t xml:space="preserve"> is </w:t>
      </w:r>
      <w:r w:rsidR="00E55B24">
        <w:rPr>
          <w:lang w:val="en-GB"/>
        </w:rPr>
        <w:t>usually reluctant</w:t>
      </w:r>
      <w:r w:rsidR="0011612B">
        <w:rPr>
          <w:lang w:val="en-GB"/>
        </w:rPr>
        <w:t xml:space="preserve"> to intervene.  </w:t>
      </w:r>
      <w:r w:rsidR="00E55B24">
        <w:rPr>
          <w:lang w:val="en-GB"/>
        </w:rPr>
        <w:t>A similar point may be made regarding</w:t>
      </w:r>
      <w:r w:rsidR="00DA43BB">
        <w:rPr>
          <w:lang w:val="en-GB"/>
        </w:rPr>
        <w:t xml:space="preserve"> the concepts of</w:t>
      </w:r>
      <w:r w:rsidR="00E55B24">
        <w:rPr>
          <w:lang w:val="en-GB"/>
        </w:rPr>
        <w:t xml:space="preserve"> </w:t>
      </w:r>
      <w:r w:rsidR="00DA43BB">
        <w:rPr>
          <w:lang w:val="en-GB"/>
        </w:rPr>
        <w:t xml:space="preserve">bad faith and </w:t>
      </w:r>
      <w:r w:rsidR="00E55B24">
        <w:rPr>
          <w:lang w:val="en-GB"/>
        </w:rPr>
        <w:t>abuse of rights:</w:t>
      </w:r>
      <w:r w:rsidR="002D5CD3">
        <w:rPr>
          <w:lang w:val="en-GB"/>
        </w:rPr>
        <w:t xml:space="preserve"> they indicate that the law is reluctant to intervene on the basis of </w:t>
      </w:r>
      <w:r w:rsidR="00DA43BB">
        <w:rPr>
          <w:lang w:val="en-GB"/>
        </w:rPr>
        <w:t>inequality of exchange</w:t>
      </w:r>
      <w:r w:rsidR="00E55B24">
        <w:rPr>
          <w:lang w:val="en-GB"/>
        </w:rPr>
        <w:t xml:space="preserve"> where neither party has acquired or sought to exercise her </w:t>
      </w:r>
      <w:r w:rsidR="002D5CD3">
        <w:rPr>
          <w:lang w:val="en-GB"/>
        </w:rPr>
        <w:t>rights in a morally dubious way.</w:t>
      </w:r>
      <w:r w:rsidR="00DA43BB">
        <w:rPr>
          <w:lang w:val="en-GB"/>
        </w:rPr>
        <w:t xml:space="preserve">  </w:t>
      </w:r>
      <w:r w:rsidR="00F67039">
        <w:rPr>
          <w:lang w:val="en-GB"/>
        </w:rPr>
        <w:t>If</w:t>
      </w:r>
      <w:r w:rsidR="00DA43BB">
        <w:rPr>
          <w:lang w:val="en-GB"/>
        </w:rPr>
        <w:t xml:space="preserve"> the courts </w:t>
      </w:r>
      <w:r w:rsidR="00DA43BB" w:rsidRPr="002D5CD3">
        <w:rPr>
          <w:i/>
          <w:lang w:val="en-GB"/>
        </w:rPr>
        <w:t>are</w:t>
      </w:r>
      <w:r w:rsidR="00DA43BB">
        <w:rPr>
          <w:lang w:val="en-GB"/>
        </w:rPr>
        <w:t xml:space="preserve"> to intervene </w:t>
      </w:r>
      <w:r w:rsidR="002D5CD3">
        <w:rPr>
          <w:lang w:val="en-GB"/>
        </w:rPr>
        <w:t xml:space="preserve">on the ground </w:t>
      </w:r>
      <w:r w:rsidR="00DA43BB">
        <w:rPr>
          <w:lang w:val="en-GB"/>
        </w:rPr>
        <w:t>that a contract is ‘highly unreasonable’</w:t>
      </w:r>
      <w:r w:rsidR="006C6549">
        <w:rPr>
          <w:lang w:val="en-GB"/>
        </w:rPr>
        <w:t>, then such a term must also be clearly explained, and a justification for intervention on that basis must be provided.</w:t>
      </w:r>
    </w:p>
    <w:p w14:paraId="53223712" w14:textId="77777777" w:rsidR="0011612B" w:rsidRDefault="0011612B" w:rsidP="00E615FA">
      <w:pPr>
        <w:ind w:firstLine="720"/>
        <w:jc w:val="both"/>
        <w:rPr>
          <w:lang w:val="en-GB"/>
        </w:rPr>
      </w:pPr>
    </w:p>
    <w:p w14:paraId="7614B34F" w14:textId="4A95B0BF" w:rsidR="006A2CFB" w:rsidRDefault="006C6549" w:rsidP="00C2793F">
      <w:pPr>
        <w:ind w:firstLine="720"/>
        <w:jc w:val="both"/>
        <w:rPr>
          <w:lang w:val="en-GB"/>
        </w:rPr>
      </w:pPr>
      <w:r>
        <w:rPr>
          <w:lang w:val="en-GB"/>
        </w:rPr>
        <w:t xml:space="preserve">Third, </w:t>
      </w:r>
      <w:r w:rsidR="0011612B">
        <w:rPr>
          <w:lang w:val="en-GB"/>
        </w:rPr>
        <w:t xml:space="preserve">Professor Waddams draws heavily on what he perceives to be a parallel between the facts in </w:t>
      </w:r>
      <w:r w:rsidR="0011612B">
        <w:rPr>
          <w:i/>
          <w:lang w:val="en-GB"/>
        </w:rPr>
        <w:t xml:space="preserve">Arnold v Britton </w:t>
      </w:r>
      <w:r w:rsidR="0011612B">
        <w:rPr>
          <w:lang w:val="en-GB"/>
        </w:rPr>
        <w:t xml:space="preserve">and the courts’ approach to relief against penalties and forfeiture in support of his argument </w:t>
      </w:r>
      <w:r>
        <w:rPr>
          <w:lang w:val="en-GB"/>
        </w:rPr>
        <w:t xml:space="preserve">that the justification for </w:t>
      </w:r>
      <w:r w:rsidR="002D5CD3">
        <w:rPr>
          <w:lang w:val="en-GB"/>
        </w:rPr>
        <w:t>intervention</w:t>
      </w:r>
      <w:r w:rsidR="0011612B">
        <w:rPr>
          <w:lang w:val="en-GB"/>
        </w:rPr>
        <w:t xml:space="preserve"> may b</w:t>
      </w:r>
      <w:r w:rsidR="00DA43BB">
        <w:rPr>
          <w:lang w:val="en-GB"/>
        </w:rPr>
        <w:t xml:space="preserve">e </w:t>
      </w:r>
      <w:r>
        <w:rPr>
          <w:lang w:val="en-GB"/>
        </w:rPr>
        <w:t>found in the principle against</w:t>
      </w:r>
      <w:r w:rsidR="00DA43BB">
        <w:rPr>
          <w:lang w:val="en-GB"/>
        </w:rPr>
        <w:t xml:space="preserve"> unjust enrichment.  </w:t>
      </w:r>
      <w:r w:rsidR="0011612B">
        <w:rPr>
          <w:lang w:val="en-GB"/>
        </w:rPr>
        <w:t>He</w:t>
      </w:r>
      <w:r w:rsidR="00DA43BB">
        <w:rPr>
          <w:lang w:val="en-GB"/>
        </w:rPr>
        <w:t xml:space="preserve"> argues</w:t>
      </w:r>
      <w:r w:rsidR="0011612B">
        <w:rPr>
          <w:lang w:val="en-GB"/>
        </w:rPr>
        <w:t xml:space="preserve"> that one of the objections to the strict enforcement of </w:t>
      </w:r>
      <w:r w:rsidR="00C2793F">
        <w:rPr>
          <w:lang w:val="en-GB"/>
        </w:rPr>
        <w:t>contractual provisions in forfeiture and penalty cases is ‘the undue or disproportionate enrichment of the claimant, who may recover far more by strict enforcement than could reasonably have been expected from the ostensible purpose of the forfeiture or penalty clauses (that is, to give security for performance of the other party’s principle obligation).’ (p 15)</w:t>
      </w:r>
      <w:r w:rsidR="0011612B">
        <w:rPr>
          <w:lang w:val="en-GB"/>
        </w:rPr>
        <w:t xml:space="preserve"> </w:t>
      </w:r>
      <w:r w:rsidR="00DA43BB">
        <w:rPr>
          <w:lang w:val="en-GB"/>
        </w:rPr>
        <w:t xml:space="preserve">  By analogy, he suggests</w:t>
      </w:r>
      <w:r w:rsidR="00C2793F">
        <w:rPr>
          <w:lang w:val="en-GB"/>
        </w:rPr>
        <w:t xml:space="preserve"> that</w:t>
      </w:r>
      <w:r w:rsidR="006A2CFB">
        <w:rPr>
          <w:lang w:val="en-GB"/>
        </w:rPr>
        <w:t xml:space="preserve"> the enforcement of the contract in </w:t>
      </w:r>
      <w:r w:rsidR="00DA43BB">
        <w:rPr>
          <w:i/>
          <w:lang w:val="en-GB"/>
        </w:rPr>
        <w:t>Arnold</w:t>
      </w:r>
      <w:r w:rsidR="006A2CFB">
        <w:rPr>
          <w:lang w:val="en-GB"/>
        </w:rPr>
        <w:t xml:space="preserve"> conferred a disproportionate enrichment on the lessor in circumstances where the purpose of the clause was to allocate the maintenance e</w:t>
      </w:r>
      <w:r>
        <w:rPr>
          <w:lang w:val="en-GB"/>
        </w:rPr>
        <w:t>xpenses for the property fairly, and thus it was an appropriate case for the grant of relief on the ground that the contract was ‘highly unreasonable’.</w:t>
      </w:r>
      <w:r w:rsidR="006A2CFB">
        <w:rPr>
          <w:lang w:val="en-GB"/>
        </w:rPr>
        <w:t xml:space="preserve"> </w:t>
      </w:r>
      <w:r w:rsidR="00707C71">
        <w:rPr>
          <w:lang w:val="en-GB"/>
        </w:rPr>
        <w:t xml:space="preserve">  </w:t>
      </w:r>
    </w:p>
    <w:p w14:paraId="3510275B" w14:textId="77777777" w:rsidR="00C2793F" w:rsidRDefault="00C2793F" w:rsidP="00C2793F">
      <w:pPr>
        <w:ind w:firstLine="720"/>
        <w:jc w:val="both"/>
        <w:rPr>
          <w:lang w:val="en-GB"/>
        </w:rPr>
      </w:pPr>
    </w:p>
    <w:p w14:paraId="4633EC08" w14:textId="18DF1C50" w:rsidR="00A52E9C" w:rsidRDefault="00C2793F" w:rsidP="00A52E9C">
      <w:pPr>
        <w:ind w:firstLine="720"/>
        <w:jc w:val="both"/>
        <w:rPr>
          <w:lang w:val="en-GB"/>
        </w:rPr>
      </w:pPr>
      <w:r>
        <w:rPr>
          <w:lang w:val="en-GB"/>
        </w:rPr>
        <w:t xml:space="preserve">Superficially the </w:t>
      </w:r>
      <w:r w:rsidR="006C6549">
        <w:rPr>
          <w:lang w:val="en-GB"/>
        </w:rPr>
        <w:t xml:space="preserve">analogy </w:t>
      </w:r>
      <w:r>
        <w:rPr>
          <w:lang w:val="en-GB"/>
        </w:rPr>
        <w:t>drawn by Professor Waddams is apt</w:t>
      </w:r>
      <w:r w:rsidR="006C6549">
        <w:rPr>
          <w:lang w:val="en-GB"/>
        </w:rPr>
        <w:t xml:space="preserve"> but the justification for which he argues requires more analysis</w:t>
      </w:r>
      <w:r w:rsidR="00472BE9">
        <w:rPr>
          <w:lang w:val="en-GB"/>
        </w:rPr>
        <w:t xml:space="preserve">.  </w:t>
      </w:r>
      <w:r w:rsidR="00DA43BB">
        <w:rPr>
          <w:lang w:val="en-GB"/>
        </w:rPr>
        <w:t>Arguably,</w:t>
      </w:r>
      <w:r w:rsidR="00472BE9">
        <w:rPr>
          <w:lang w:val="en-GB"/>
        </w:rPr>
        <w:t xml:space="preserve"> the focus on the disproportionate enrichment of</w:t>
      </w:r>
      <w:r w:rsidR="00DA43BB">
        <w:rPr>
          <w:lang w:val="en-GB"/>
        </w:rPr>
        <w:t xml:space="preserve"> the party seeking to enforce a penalty clause</w:t>
      </w:r>
      <w:r w:rsidR="00472BE9">
        <w:rPr>
          <w:lang w:val="en-GB"/>
        </w:rPr>
        <w:t xml:space="preserve"> is more to do with upholding the normative values of contract law than inequality of exchange </w:t>
      </w:r>
      <w:r w:rsidR="00472BE9" w:rsidRPr="00162DB7">
        <w:rPr>
          <w:i/>
          <w:lang w:val="en-GB"/>
        </w:rPr>
        <w:t>per se</w:t>
      </w:r>
      <w:r w:rsidR="00472BE9">
        <w:rPr>
          <w:lang w:val="en-GB"/>
        </w:rPr>
        <w:t xml:space="preserve">. </w:t>
      </w:r>
      <w:r w:rsidR="003A1223">
        <w:rPr>
          <w:lang w:val="en-GB"/>
        </w:rPr>
        <w:t xml:space="preserve"> </w:t>
      </w:r>
      <w:r w:rsidR="00472BE9">
        <w:rPr>
          <w:lang w:val="en-GB"/>
        </w:rPr>
        <w:t>Integral to contract law is the idea that if a contract is breached, specific performance is</w:t>
      </w:r>
      <w:r w:rsidR="00516019">
        <w:rPr>
          <w:lang w:val="en-GB"/>
        </w:rPr>
        <w:t xml:space="preserve"> usually</w:t>
      </w:r>
      <w:r w:rsidR="00472BE9">
        <w:rPr>
          <w:lang w:val="en-GB"/>
        </w:rPr>
        <w:t xml:space="preserve"> not available but the next best thing – in the form of expectation damages – will be awarded. </w:t>
      </w:r>
      <w:r w:rsidR="00BE5E36">
        <w:rPr>
          <w:lang w:val="en-GB"/>
        </w:rPr>
        <w:t xml:space="preserve">  Thus, contract law</w:t>
      </w:r>
      <w:r w:rsidR="00DA43BB">
        <w:rPr>
          <w:lang w:val="en-GB"/>
        </w:rPr>
        <w:t xml:space="preserve"> measures and</w:t>
      </w:r>
      <w:r w:rsidR="00BE5E36">
        <w:rPr>
          <w:lang w:val="en-GB"/>
        </w:rPr>
        <w:t xml:space="preserve"> preserves the performance interest</w:t>
      </w:r>
      <w:r w:rsidR="003A1223">
        <w:rPr>
          <w:lang w:val="en-GB"/>
        </w:rPr>
        <w:t>.  T</w:t>
      </w:r>
      <w:r w:rsidR="00BE5E36">
        <w:rPr>
          <w:lang w:val="en-GB"/>
        </w:rPr>
        <w:t xml:space="preserve">o the extent that a penalty clause wildly exceeds the damages that the common law would award for breach, it </w:t>
      </w:r>
      <w:r w:rsidR="003A1223">
        <w:rPr>
          <w:lang w:val="en-GB"/>
        </w:rPr>
        <w:t>d</w:t>
      </w:r>
      <w:r w:rsidR="006E376A">
        <w:rPr>
          <w:lang w:val="en-GB"/>
        </w:rPr>
        <w:t>iverges</w:t>
      </w:r>
      <w:r w:rsidR="003A1223">
        <w:rPr>
          <w:lang w:val="en-GB"/>
        </w:rPr>
        <w:t xml:space="preserve"> from this norm,</w:t>
      </w:r>
      <w:r w:rsidR="00BE5E36">
        <w:rPr>
          <w:lang w:val="en-GB"/>
        </w:rPr>
        <w:t xml:space="preserve"> and</w:t>
      </w:r>
      <w:r w:rsidR="003A1223">
        <w:rPr>
          <w:lang w:val="en-GB"/>
        </w:rPr>
        <w:t xml:space="preserve"> </w:t>
      </w:r>
      <w:r w:rsidR="00DA43BB">
        <w:rPr>
          <w:lang w:val="en-GB"/>
        </w:rPr>
        <w:t>thus</w:t>
      </w:r>
      <w:r w:rsidR="006E376A">
        <w:rPr>
          <w:lang w:val="en-GB"/>
        </w:rPr>
        <w:t xml:space="preserve"> to uphold </w:t>
      </w:r>
      <w:r w:rsidR="00BE5E36">
        <w:rPr>
          <w:lang w:val="en-GB"/>
        </w:rPr>
        <w:t>t</w:t>
      </w:r>
      <w:r w:rsidR="006E376A">
        <w:rPr>
          <w:lang w:val="en-GB"/>
        </w:rPr>
        <w:t>he clause</w:t>
      </w:r>
      <w:r w:rsidR="00BE5E36">
        <w:rPr>
          <w:lang w:val="en-GB"/>
        </w:rPr>
        <w:t xml:space="preserve"> would </w:t>
      </w:r>
      <w:r w:rsidR="006C6549">
        <w:rPr>
          <w:lang w:val="en-GB"/>
        </w:rPr>
        <w:t>undermine</w:t>
      </w:r>
      <w:r w:rsidR="00BE5E36">
        <w:rPr>
          <w:lang w:val="en-GB"/>
        </w:rPr>
        <w:t xml:space="preserve"> the </w:t>
      </w:r>
      <w:r w:rsidR="00DA43BB">
        <w:rPr>
          <w:lang w:val="en-GB"/>
        </w:rPr>
        <w:t xml:space="preserve">normative </w:t>
      </w:r>
      <w:r w:rsidR="00BE5E36">
        <w:rPr>
          <w:lang w:val="en-GB"/>
        </w:rPr>
        <w:t>integrity of</w:t>
      </w:r>
      <w:r w:rsidR="002D5CD3">
        <w:rPr>
          <w:lang w:val="en-GB"/>
        </w:rPr>
        <w:t xml:space="preserve"> contract law itself.  This</w:t>
      </w:r>
      <w:r w:rsidR="003A1223">
        <w:rPr>
          <w:lang w:val="en-GB"/>
        </w:rPr>
        <w:t xml:space="preserve"> helps to explain </w:t>
      </w:r>
      <w:r w:rsidR="002D5CD3">
        <w:rPr>
          <w:lang w:val="en-GB"/>
        </w:rPr>
        <w:t xml:space="preserve">the </w:t>
      </w:r>
      <w:r w:rsidR="003A1223">
        <w:rPr>
          <w:lang w:val="en-GB"/>
        </w:rPr>
        <w:t>prominence of the language of ‘legiti</w:t>
      </w:r>
      <w:r w:rsidR="0030698A">
        <w:rPr>
          <w:lang w:val="en-GB"/>
        </w:rPr>
        <w:t>mate interest</w:t>
      </w:r>
      <w:r w:rsidR="003A1223">
        <w:rPr>
          <w:lang w:val="en-GB"/>
        </w:rPr>
        <w:t>’</w:t>
      </w:r>
      <w:r w:rsidR="0030698A">
        <w:rPr>
          <w:lang w:val="en-GB"/>
        </w:rPr>
        <w:t xml:space="preserve"> relating to the performance of the primary obligation</w:t>
      </w:r>
      <w:r w:rsidR="003A1223">
        <w:rPr>
          <w:lang w:val="en-GB"/>
        </w:rPr>
        <w:t xml:space="preserve"> in </w:t>
      </w:r>
      <w:r w:rsidR="003A1223">
        <w:rPr>
          <w:i/>
          <w:lang w:val="en-GB"/>
        </w:rPr>
        <w:t xml:space="preserve">Cavendish Square Holdings BV v Makdessi </w:t>
      </w:r>
      <w:r w:rsidR="003A1223">
        <w:rPr>
          <w:lang w:val="en-GB"/>
        </w:rPr>
        <w:t>[2015] UKSC 67, [2016] AC 1172</w:t>
      </w:r>
      <w:r w:rsidR="0030698A">
        <w:rPr>
          <w:lang w:val="en-GB"/>
        </w:rPr>
        <w:t>, eg [32] (Lord Neuberger)</w:t>
      </w:r>
      <w:r w:rsidR="003A1223">
        <w:rPr>
          <w:lang w:val="en-GB"/>
        </w:rPr>
        <w:t>.  It is also consistent with</w:t>
      </w:r>
      <w:r w:rsidR="00BE5E36">
        <w:rPr>
          <w:lang w:val="en-GB"/>
        </w:rPr>
        <w:t xml:space="preserve"> Prince Saprai’s treatment of penalties in his book, </w:t>
      </w:r>
      <w:r w:rsidR="00BE5E36">
        <w:rPr>
          <w:i/>
          <w:lang w:val="en-GB"/>
        </w:rPr>
        <w:t xml:space="preserve">Contract Law Without Foundations: Towards a Republican Theory of Contract Law </w:t>
      </w:r>
      <w:r w:rsidR="00BE5E36">
        <w:rPr>
          <w:lang w:val="en-GB"/>
        </w:rPr>
        <w:t>(OUP, 2019) (pp 163-70).</w:t>
      </w:r>
      <w:r w:rsidR="003A1223">
        <w:rPr>
          <w:lang w:val="en-GB"/>
        </w:rPr>
        <w:t xml:space="preserve">  Arguably, it is this </w:t>
      </w:r>
      <w:r w:rsidR="0030698A">
        <w:rPr>
          <w:lang w:val="en-GB"/>
        </w:rPr>
        <w:t>normative feature</w:t>
      </w:r>
      <w:r w:rsidR="002D5CD3">
        <w:rPr>
          <w:lang w:val="en-GB"/>
        </w:rPr>
        <w:t xml:space="preserve"> </w:t>
      </w:r>
      <w:r w:rsidR="003A1223">
        <w:rPr>
          <w:lang w:val="en-GB"/>
        </w:rPr>
        <w:t xml:space="preserve">– rather than inequality of exchange </w:t>
      </w:r>
      <w:r w:rsidR="003A1223">
        <w:rPr>
          <w:i/>
          <w:lang w:val="en-GB"/>
        </w:rPr>
        <w:t xml:space="preserve">per se </w:t>
      </w:r>
      <w:r w:rsidR="003A1223">
        <w:rPr>
          <w:lang w:val="en-GB"/>
        </w:rPr>
        <w:t xml:space="preserve">- which makes the enrichment arising from the enforcement of the penalty clause unjust.  Similar arguments may be made about forfeiture clauses (see </w:t>
      </w:r>
      <w:r w:rsidR="006E376A">
        <w:rPr>
          <w:lang w:val="en-GB"/>
        </w:rPr>
        <w:t xml:space="preserve">eg </w:t>
      </w:r>
      <w:r w:rsidR="003A1223">
        <w:rPr>
          <w:lang w:val="en-GB"/>
        </w:rPr>
        <w:t xml:space="preserve">Saprai, p 170).   </w:t>
      </w:r>
      <w:r w:rsidR="006C6549">
        <w:rPr>
          <w:lang w:val="en-GB"/>
        </w:rPr>
        <w:t>It follows that</w:t>
      </w:r>
      <w:r w:rsidR="003A1223">
        <w:rPr>
          <w:lang w:val="en-GB"/>
        </w:rPr>
        <w:t xml:space="preserve"> the concern</w:t>
      </w:r>
      <w:r w:rsidR="00A52E9C">
        <w:rPr>
          <w:lang w:val="en-GB"/>
        </w:rPr>
        <w:t xml:space="preserve"> </w:t>
      </w:r>
      <w:r w:rsidR="006C6549">
        <w:rPr>
          <w:lang w:val="en-GB"/>
        </w:rPr>
        <w:t xml:space="preserve">relating </w:t>
      </w:r>
      <w:r w:rsidR="00A52E9C">
        <w:rPr>
          <w:lang w:val="en-GB"/>
        </w:rPr>
        <w:t>to penalty and forfeiture clauses</w:t>
      </w:r>
      <w:r w:rsidR="003A1223">
        <w:rPr>
          <w:lang w:val="en-GB"/>
        </w:rPr>
        <w:t xml:space="preserve"> is </w:t>
      </w:r>
      <w:r w:rsidR="00451C42">
        <w:rPr>
          <w:lang w:val="en-GB"/>
        </w:rPr>
        <w:t xml:space="preserve">not that </w:t>
      </w:r>
      <w:r w:rsidR="00451C42">
        <w:rPr>
          <w:i/>
          <w:lang w:val="en-GB"/>
        </w:rPr>
        <w:t>any</w:t>
      </w:r>
      <w:r w:rsidR="006E376A">
        <w:rPr>
          <w:i/>
          <w:lang w:val="en-GB"/>
        </w:rPr>
        <w:t xml:space="preserve"> </w:t>
      </w:r>
      <w:r w:rsidR="003A1223">
        <w:rPr>
          <w:lang w:val="en-GB"/>
        </w:rPr>
        <w:t xml:space="preserve">contractual clause </w:t>
      </w:r>
      <w:r w:rsidR="006E376A">
        <w:rPr>
          <w:lang w:val="en-GB"/>
        </w:rPr>
        <w:t xml:space="preserve">is </w:t>
      </w:r>
      <w:r w:rsidR="003A1223">
        <w:rPr>
          <w:lang w:val="en-GB"/>
        </w:rPr>
        <w:t>being used for a purpose other than that for which it was intended</w:t>
      </w:r>
      <w:r w:rsidR="00221EB1">
        <w:rPr>
          <w:lang w:val="en-GB"/>
        </w:rPr>
        <w:t>.  Rather, it is that</w:t>
      </w:r>
      <w:r w:rsidR="006C6549">
        <w:rPr>
          <w:lang w:val="en-GB"/>
        </w:rPr>
        <w:t xml:space="preserve"> a </w:t>
      </w:r>
      <w:r w:rsidR="002D5CD3">
        <w:rPr>
          <w:lang w:val="en-GB"/>
        </w:rPr>
        <w:t>particular</w:t>
      </w:r>
      <w:r w:rsidR="006C6549">
        <w:rPr>
          <w:lang w:val="en-GB"/>
        </w:rPr>
        <w:t xml:space="preserve"> type of clause – </w:t>
      </w:r>
      <w:r w:rsidR="006C6549" w:rsidRPr="00765DF4">
        <w:rPr>
          <w:lang w:val="en-GB"/>
        </w:rPr>
        <w:t>one that</w:t>
      </w:r>
      <w:r w:rsidR="00860D88" w:rsidRPr="00765DF4">
        <w:rPr>
          <w:lang w:val="en-GB"/>
        </w:rPr>
        <w:t xml:space="preserve"> is</w:t>
      </w:r>
      <w:r w:rsidR="003A1223" w:rsidRPr="00765DF4">
        <w:rPr>
          <w:lang w:val="en-GB"/>
        </w:rPr>
        <w:t xml:space="preserve"> designed to secure </w:t>
      </w:r>
      <w:r w:rsidR="00860D88" w:rsidRPr="00765DF4">
        <w:rPr>
          <w:lang w:val="en-GB"/>
        </w:rPr>
        <w:t xml:space="preserve">the </w:t>
      </w:r>
      <w:r w:rsidR="0077780A" w:rsidRPr="00765DF4">
        <w:rPr>
          <w:lang w:val="en-GB"/>
        </w:rPr>
        <w:t>performance of a</w:t>
      </w:r>
      <w:r w:rsidR="00765DF4">
        <w:rPr>
          <w:lang w:val="en-GB"/>
        </w:rPr>
        <w:t xml:space="preserve"> primary </w:t>
      </w:r>
      <w:r w:rsidR="003A1223" w:rsidRPr="00765DF4">
        <w:rPr>
          <w:lang w:val="en-GB"/>
        </w:rPr>
        <w:t>obligation</w:t>
      </w:r>
      <w:r w:rsidR="0077780A">
        <w:rPr>
          <w:lang w:val="en-GB"/>
        </w:rPr>
        <w:t xml:space="preserve"> (by stipulating that </w:t>
      </w:r>
      <w:r w:rsidR="003F5949">
        <w:rPr>
          <w:lang w:val="en-GB"/>
        </w:rPr>
        <w:t xml:space="preserve">if </w:t>
      </w:r>
      <w:r w:rsidR="003F3C86">
        <w:rPr>
          <w:lang w:val="en-GB"/>
        </w:rPr>
        <w:t xml:space="preserve">that obligation is breached, </w:t>
      </w:r>
      <w:r w:rsidR="00765DF4">
        <w:rPr>
          <w:lang w:val="en-GB"/>
        </w:rPr>
        <w:t xml:space="preserve">a certain sum </w:t>
      </w:r>
      <w:r w:rsidR="003F3C86">
        <w:rPr>
          <w:lang w:val="en-GB"/>
        </w:rPr>
        <w:t xml:space="preserve">becomes payable or a right to </w:t>
      </w:r>
      <w:r w:rsidR="00765DF4">
        <w:rPr>
          <w:lang w:val="en-GB"/>
        </w:rPr>
        <w:t>certain sum</w:t>
      </w:r>
      <w:r w:rsidR="00221EB1">
        <w:rPr>
          <w:lang w:val="en-GB"/>
        </w:rPr>
        <w:t xml:space="preserve"> </w:t>
      </w:r>
      <w:r w:rsidR="003F5949">
        <w:rPr>
          <w:lang w:val="en-GB"/>
        </w:rPr>
        <w:t>already received</w:t>
      </w:r>
      <w:r w:rsidR="003F3C86">
        <w:rPr>
          <w:lang w:val="en-GB"/>
        </w:rPr>
        <w:t xml:space="preserve"> is forfeited</w:t>
      </w:r>
      <w:r w:rsidR="0077780A">
        <w:rPr>
          <w:lang w:val="en-GB"/>
        </w:rPr>
        <w:t>)</w:t>
      </w:r>
      <w:r w:rsidR="006C6549">
        <w:rPr>
          <w:lang w:val="en-GB"/>
        </w:rPr>
        <w:t xml:space="preserve"> - </w:t>
      </w:r>
      <w:r w:rsidR="00860D88">
        <w:rPr>
          <w:lang w:val="en-GB"/>
        </w:rPr>
        <w:t>is</w:t>
      </w:r>
      <w:r w:rsidR="003A1223" w:rsidRPr="003A1223">
        <w:rPr>
          <w:lang w:val="en-GB"/>
        </w:rPr>
        <w:t xml:space="preserve"> </w:t>
      </w:r>
      <w:r w:rsidR="003A1223">
        <w:rPr>
          <w:lang w:val="en-GB"/>
        </w:rPr>
        <w:t xml:space="preserve">being used </w:t>
      </w:r>
      <w:r w:rsidR="00765DF4">
        <w:rPr>
          <w:lang w:val="en-GB"/>
        </w:rPr>
        <w:t>for ulterior purposes</w:t>
      </w:r>
      <w:r w:rsidR="00A52E9C">
        <w:rPr>
          <w:lang w:val="en-GB"/>
        </w:rPr>
        <w:t>.</w:t>
      </w:r>
      <w:r w:rsidR="002D5CD3">
        <w:rPr>
          <w:lang w:val="en-GB"/>
        </w:rPr>
        <w:t xml:space="preserve"> </w:t>
      </w:r>
    </w:p>
    <w:p w14:paraId="0C5FA0D2" w14:textId="77777777" w:rsidR="00A52E9C" w:rsidRDefault="00A52E9C" w:rsidP="00A52E9C">
      <w:pPr>
        <w:ind w:firstLine="720"/>
        <w:jc w:val="both"/>
        <w:rPr>
          <w:lang w:val="en-GB"/>
        </w:rPr>
      </w:pPr>
    </w:p>
    <w:p w14:paraId="5215F8DA" w14:textId="643CF2CD" w:rsidR="00472BE9" w:rsidRPr="00A52E9C" w:rsidRDefault="00A52E9C" w:rsidP="00A52E9C">
      <w:pPr>
        <w:ind w:firstLine="720"/>
        <w:jc w:val="both"/>
        <w:rPr>
          <w:lang w:val="en-GB"/>
        </w:rPr>
      </w:pPr>
      <w:r>
        <w:rPr>
          <w:lang w:val="en-GB"/>
        </w:rPr>
        <w:t xml:space="preserve">In light of the above, </w:t>
      </w:r>
      <w:r w:rsidR="003A1223">
        <w:rPr>
          <w:lang w:val="en-GB"/>
        </w:rPr>
        <w:t xml:space="preserve">the analogy with </w:t>
      </w:r>
      <w:r w:rsidR="003A1223">
        <w:rPr>
          <w:i/>
          <w:lang w:val="en-GB"/>
        </w:rPr>
        <w:t xml:space="preserve">Arnold v Britton </w:t>
      </w:r>
      <w:r w:rsidR="003A1223">
        <w:rPr>
          <w:lang w:val="en-GB"/>
        </w:rPr>
        <w:t>is not as straightforward as Professor Waddams’ account suggest</w:t>
      </w:r>
      <w:r w:rsidR="006C6549">
        <w:rPr>
          <w:lang w:val="en-GB"/>
        </w:rPr>
        <w:t>s</w:t>
      </w:r>
      <w:r w:rsidR="003A1223">
        <w:rPr>
          <w:lang w:val="en-GB"/>
        </w:rPr>
        <w:t xml:space="preserve">.  </w:t>
      </w:r>
      <w:r w:rsidR="00860D88">
        <w:rPr>
          <w:lang w:val="en-GB"/>
        </w:rPr>
        <w:t xml:space="preserve"> In that case, the contested</w:t>
      </w:r>
      <w:r>
        <w:rPr>
          <w:lang w:val="en-GB"/>
        </w:rPr>
        <w:t xml:space="preserve"> clause </w:t>
      </w:r>
      <w:r w:rsidR="00860D88">
        <w:rPr>
          <w:lang w:val="en-GB"/>
        </w:rPr>
        <w:t xml:space="preserve">was </w:t>
      </w:r>
      <w:r w:rsidR="00062EA5">
        <w:rPr>
          <w:lang w:val="en-GB"/>
        </w:rPr>
        <w:t xml:space="preserve">simply a service charge clause containing a formula for calculation of the charge and relevant increases.  It was </w:t>
      </w:r>
      <w:r w:rsidR="006C6549">
        <w:rPr>
          <w:i/>
          <w:lang w:val="en-GB"/>
        </w:rPr>
        <w:t xml:space="preserve">not </w:t>
      </w:r>
      <w:r w:rsidR="006C6549">
        <w:rPr>
          <w:lang w:val="en-GB"/>
        </w:rPr>
        <w:t>a clause designed to secure the performance of a primary obligation</w:t>
      </w:r>
      <w:r w:rsidR="003F1BF8">
        <w:rPr>
          <w:lang w:val="en-GB"/>
        </w:rPr>
        <w:t xml:space="preserve"> in the same way as a penalty or forfeiture clause</w:t>
      </w:r>
      <w:r w:rsidR="00860D88">
        <w:rPr>
          <w:lang w:val="en-GB"/>
        </w:rPr>
        <w:t xml:space="preserve">. </w:t>
      </w:r>
      <w:r w:rsidR="006C6549">
        <w:rPr>
          <w:lang w:val="en-GB"/>
        </w:rPr>
        <w:t xml:space="preserve"> </w:t>
      </w:r>
      <w:r w:rsidR="00860D88">
        <w:rPr>
          <w:lang w:val="en-GB"/>
        </w:rPr>
        <w:t>Therefore,</w:t>
      </w:r>
      <w:r>
        <w:rPr>
          <w:lang w:val="en-GB"/>
        </w:rPr>
        <w:t xml:space="preserve"> even though the </w:t>
      </w:r>
      <w:r w:rsidR="00860D88">
        <w:rPr>
          <w:lang w:val="en-GB"/>
        </w:rPr>
        <w:t xml:space="preserve">enforcement of the </w:t>
      </w:r>
      <w:r>
        <w:rPr>
          <w:lang w:val="en-GB"/>
        </w:rPr>
        <w:t xml:space="preserve">clause resulted in a gross inequality of exchange, </w:t>
      </w:r>
      <w:r w:rsidR="00860D88">
        <w:rPr>
          <w:lang w:val="en-GB"/>
        </w:rPr>
        <w:t>something more is required to explain</w:t>
      </w:r>
      <w:r>
        <w:rPr>
          <w:lang w:val="en-GB"/>
        </w:rPr>
        <w:t xml:space="preserve"> why the enrichment of the lessor could be said to be ‘unjust’.  </w:t>
      </w:r>
      <w:r w:rsidR="00F67039">
        <w:rPr>
          <w:lang w:val="en-GB"/>
        </w:rPr>
        <w:t xml:space="preserve">The </w:t>
      </w:r>
      <w:r w:rsidR="00FD3891">
        <w:rPr>
          <w:lang w:val="en-GB"/>
        </w:rPr>
        <w:t>lesson here perhaps</w:t>
      </w:r>
      <w:r w:rsidR="00F67039">
        <w:rPr>
          <w:lang w:val="en-GB"/>
        </w:rPr>
        <w:t xml:space="preserve"> is that</w:t>
      </w:r>
      <w:r>
        <w:rPr>
          <w:lang w:val="en-GB"/>
        </w:rPr>
        <w:t xml:space="preserve"> inequality of exchange is </w:t>
      </w:r>
      <w:r w:rsidR="00F67039">
        <w:rPr>
          <w:lang w:val="en-GB"/>
        </w:rPr>
        <w:t xml:space="preserve">not necessarily </w:t>
      </w:r>
      <w:r>
        <w:rPr>
          <w:lang w:val="en-GB"/>
        </w:rPr>
        <w:t xml:space="preserve">synonymous with substantive unfairness (Saprai at p 121) </w:t>
      </w:r>
      <w:r>
        <w:rPr>
          <w:i/>
          <w:lang w:val="en-GB"/>
        </w:rPr>
        <w:t xml:space="preserve">or </w:t>
      </w:r>
      <w:r>
        <w:rPr>
          <w:lang w:val="en-GB"/>
        </w:rPr>
        <w:t xml:space="preserve">unjust enrichment. </w:t>
      </w:r>
      <w:r w:rsidR="00F67039">
        <w:rPr>
          <w:lang w:val="en-GB"/>
        </w:rPr>
        <w:t>Therefore, if</w:t>
      </w:r>
      <w:r>
        <w:rPr>
          <w:lang w:val="en-GB"/>
        </w:rPr>
        <w:t xml:space="preserve"> the case is to be made for a residual power to relieve against highly unreasonable contracts on the ground of undue or disproportionate enrichment, </w:t>
      </w:r>
      <w:r w:rsidR="00F67039">
        <w:rPr>
          <w:lang w:val="en-GB"/>
        </w:rPr>
        <w:t xml:space="preserve">further </w:t>
      </w:r>
      <w:r w:rsidR="00FD3891">
        <w:rPr>
          <w:lang w:val="en-GB"/>
        </w:rPr>
        <w:t>analysis may be required to work out the basis for</w:t>
      </w:r>
      <w:bookmarkStart w:id="0" w:name="_GoBack"/>
      <w:bookmarkEnd w:id="0"/>
      <w:r w:rsidR="00F67039">
        <w:rPr>
          <w:lang w:val="en-GB"/>
        </w:rPr>
        <w:t xml:space="preserve"> and</w:t>
      </w:r>
      <w:r>
        <w:rPr>
          <w:lang w:val="en-GB"/>
        </w:rPr>
        <w:t xml:space="preserve"> parameters of such a jurisdiction.</w:t>
      </w:r>
    </w:p>
    <w:sectPr w:rsidR="00472BE9" w:rsidRPr="00A52E9C" w:rsidSect="00C749DF">
      <w:footerReference w:type="even" r:id="rId7"/>
      <w:footerReference w:type="default" r:id="rId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817EE9" w14:textId="77777777" w:rsidR="00056F54" w:rsidRDefault="00056F54" w:rsidP="007A254D">
      <w:r>
        <w:separator/>
      </w:r>
    </w:p>
  </w:endnote>
  <w:endnote w:type="continuationSeparator" w:id="0">
    <w:p w14:paraId="1F7876F7" w14:textId="77777777" w:rsidR="00056F54" w:rsidRDefault="00056F54" w:rsidP="007A25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41DD9B" w14:textId="77777777" w:rsidR="007A254D" w:rsidRDefault="007A254D" w:rsidP="00A504D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FD075BE" w14:textId="77777777" w:rsidR="007A254D" w:rsidRDefault="007A254D" w:rsidP="007A254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E2C147" w14:textId="77777777" w:rsidR="007A254D" w:rsidRDefault="007A254D" w:rsidP="00A504D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6F54">
      <w:rPr>
        <w:rStyle w:val="PageNumber"/>
        <w:noProof/>
      </w:rPr>
      <w:t>1</w:t>
    </w:r>
    <w:r>
      <w:rPr>
        <w:rStyle w:val="PageNumber"/>
      </w:rPr>
      <w:fldChar w:fldCharType="end"/>
    </w:r>
  </w:p>
  <w:p w14:paraId="5892D42E" w14:textId="77777777" w:rsidR="007A254D" w:rsidRDefault="007A254D" w:rsidP="007A254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991A8D" w14:textId="77777777" w:rsidR="00056F54" w:rsidRDefault="00056F54" w:rsidP="007A254D">
      <w:r>
        <w:separator/>
      </w:r>
    </w:p>
  </w:footnote>
  <w:footnote w:type="continuationSeparator" w:id="0">
    <w:p w14:paraId="026763A1" w14:textId="77777777" w:rsidR="00056F54" w:rsidRDefault="00056F54" w:rsidP="007A254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923F93"/>
    <w:multiLevelType w:val="hybridMultilevel"/>
    <w:tmpl w:val="8A4AA71A"/>
    <w:lvl w:ilvl="0" w:tplc="22F42ED2">
      <w:start w:val="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40C"/>
    <w:rsid w:val="000005FF"/>
    <w:rsid w:val="00003A8E"/>
    <w:rsid w:val="000049B8"/>
    <w:rsid w:val="00006121"/>
    <w:rsid w:val="000074D9"/>
    <w:rsid w:val="00007AD1"/>
    <w:rsid w:val="00010F63"/>
    <w:rsid w:val="00013A34"/>
    <w:rsid w:val="00014742"/>
    <w:rsid w:val="00016393"/>
    <w:rsid w:val="00021571"/>
    <w:rsid w:val="00021ABA"/>
    <w:rsid w:val="00023281"/>
    <w:rsid w:val="0002423D"/>
    <w:rsid w:val="0002708F"/>
    <w:rsid w:val="000307A3"/>
    <w:rsid w:val="000363C8"/>
    <w:rsid w:val="00040D34"/>
    <w:rsid w:val="0004380E"/>
    <w:rsid w:val="00043AFD"/>
    <w:rsid w:val="00044272"/>
    <w:rsid w:val="0004590A"/>
    <w:rsid w:val="00045C5D"/>
    <w:rsid w:val="0004650F"/>
    <w:rsid w:val="000479C5"/>
    <w:rsid w:val="0005130D"/>
    <w:rsid w:val="000530AB"/>
    <w:rsid w:val="00053316"/>
    <w:rsid w:val="00053DBA"/>
    <w:rsid w:val="00053FDF"/>
    <w:rsid w:val="0005441B"/>
    <w:rsid w:val="00055EED"/>
    <w:rsid w:val="00056B6D"/>
    <w:rsid w:val="00056F54"/>
    <w:rsid w:val="00060D1D"/>
    <w:rsid w:val="00062EA5"/>
    <w:rsid w:val="00066746"/>
    <w:rsid w:val="00070FEC"/>
    <w:rsid w:val="00072DE1"/>
    <w:rsid w:val="00080B9D"/>
    <w:rsid w:val="00081820"/>
    <w:rsid w:val="0008250D"/>
    <w:rsid w:val="00082730"/>
    <w:rsid w:val="00082D8A"/>
    <w:rsid w:val="00084211"/>
    <w:rsid w:val="000915A8"/>
    <w:rsid w:val="000931CE"/>
    <w:rsid w:val="000A325C"/>
    <w:rsid w:val="000A371D"/>
    <w:rsid w:val="000A3DF9"/>
    <w:rsid w:val="000A646D"/>
    <w:rsid w:val="000A7EF2"/>
    <w:rsid w:val="000B02E3"/>
    <w:rsid w:val="000B1865"/>
    <w:rsid w:val="000B3364"/>
    <w:rsid w:val="000C1653"/>
    <w:rsid w:val="000C1B89"/>
    <w:rsid w:val="000C2485"/>
    <w:rsid w:val="000C2EAA"/>
    <w:rsid w:val="000C3B9F"/>
    <w:rsid w:val="000C5F53"/>
    <w:rsid w:val="000D161C"/>
    <w:rsid w:val="000D4E11"/>
    <w:rsid w:val="000D64C1"/>
    <w:rsid w:val="000D6EC3"/>
    <w:rsid w:val="000E38DD"/>
    <w:rsid w:val="000E4DA6"/>
    <w:rsid w:val="000E565D"/>
    <w:rsid w:val="000E67DF"/>
    <w:rsid w:val="000F218D"/>
    <w:rsid w:val="000F4C4A"/>
    <w:rsid w:val="000F5BB9"/>
    <w:rsid w:val="00100136"/>
    <w:rsid w:val="00100D1C"/>
    <w:rsid w:val="00100ED2"/>
    <w:rsid w:val="001011C6"/>
    <w:rsid w:val="001069FC"/>
    <w:rsid w:val="00110AEE"/>
    <w:rsid w:val="00110B20"/>
    <w:rsid w:val="00112608"/>
    <w:rsid w:val="0011612B"/>
    <w:rsid w:val="00120170"/>
    <w:rsid w:val="00122940"/>
    <w:rsid w:val="001229DD"/>
    <w:rsid w:val="00122D15"/>
    <w:rsid w:val="00125FA3"/>
    <w:rsid w:val="0012682C"/>
    <w:rsid w:val="00127EC3"/>
    <w:rsid w:val="00135F25"/>
    <w:rsid w:val="00137219"/>
    <w:rsid w:val="00143650"/>
    <w:rsid w:val="00143FA4"/>
    <w:rsid w:val="00144B92"/>
    <w:rsid w:val="00144CDF"/>
    <w:rsid w:val="00146098"/>
    <w:rsid w:val="0015270F"/>
    <w:rsid w:val="00152D0F"/>
    <w:rsid w:val="0015462B"/>
    <w:rsid w:val="00155707"/>
    <w:rsid w:val="00156F09"/>
    <w:rsid w:val="00161946"/>
    <w:rsid w:val="00162DB7"/>
    <w:rsid w:val="00163FCC"/>
    <w:rsid w:val="0016586E"/>
    <w:rsid w:val="0017302F"/>
    <w:rsid w:val="001757AB"/>
    <w:rsid w:val="00176733"/>
    <w:rsid w:val="001777FB"/>
    <w:rsid w:val="00177946"/>
    <w:rsid w:val="00180B9D"/>
    <w:rsid w:val="00181F58"/>
    <w:rsid w:val="001823FD"/>
    <w:rsid w:val="00182592"/>
    <w:rsid w:val="001827AC"/>
    <w:rsid w:val="00183A51"/>
    <w:rsid w:val="00185E8C"/>
    <w:rsid w:val="00190276"/>
    <w:rsid w:val="001904B0"/>
    <w:rsid w:val="00191C2F"/>
    <w:rsid w:val="0019455A"/>
    <w:rsid w:val="001A075A"/>
    <w:rsid w:val="001A08AB"/>
    <w:rsid w:val="001A0D93"/>
    <w:rsid w:val="001A3171"/>
    <w:rsid w:val="001A3C58"/>
    <w:rsid w:val="001A740D"/>
    <w:rsid w:val="001A7DC8"/>
    <w:rsid w:val="001B2C6E"/>
    <w:rsid w:val="001B3942"/>
    <w:rsid w:val="001B3DDB"/>
    <w:rsid w:val="001B3F83"/>
    <w:rsid w:val="001B4E6F"/>
    <w:rsid w:val="001B5E70"/>
    <w:rsid w:val="001B6D09"/>
    <w:rsid w:val="001C071E"/>
    <w:rsid w:val="001C0748"/>
    <w:rsid w:val="001C27A2"/>
    <w:rsid w:val="001C533F"/>
    <w:rsid w:val="001C7A48"/>
    <w:rsid w:val="001D09F3"/>
    <w:rsid w:val="001D335F"/>
    <w:rsid w:val="001D45A5"/>
    <w:rsid w:val="001D7CB9"/>
    <w:rsid w:val="001E1678"/>
    <w:rsid w:val="001E19F1"/>
    <w:rsid w:val="001E291A"/>
    <w:rsid w:val="001E6E0D"/>
    <w:rsid w:val="001E6F43"/>
    <w:rsid w:val="001F052A"/>
    <w:rsid w:val="001F398C"/>
    <w:rsid w:val="00204240"/>
    <w:rsid w:val="00204300"/>
    <w:rsid w:val="00204C7A"/>
    <w:rsid w:val="002054C2"/>
    <w:rsid w:val="00205BB9"/>
    <w:rsid w:val="002072C4"/>
    <w:rsid w:val="002074E8"/>
    <w:rsid w:val="0021016E"/>
    <w:rsid w:val="00210E75"/>
    <w:rsid w:val="002124A5"/>
    <w:rsid w:val="002150AA"/>
    <w:rsid w:val="00215732"/>
    <w:rsid w:val="00220102"/>
    <w:rsid w:val="00221EB1"/>
    <w:rsid w:val="0022302F"/>
    <w:rsid w:val="00224293"/>
    <w:rsid w:val="00227511"/>
    <w:rsid w:val="00227775"/>
    <w:rsid w:val="002302A4"/>
    <w:rsid w:val="00232E62"/>
    <w:rsid w:val="00232F73"/>
    <w:rsid w:val="00233250"/>
    <w:rsid w:val="00234D35"/>
    <w:rsid w:val="00235E65"/>
    <w:rsid w:val="002368EC"/>
    <w:rsid w:val="00237B26"/>
    <w:rsid w:val="00240060"/>
    <w:rsid w:val="00241EFD"/>
    <w:rsid w:val="00246519"/>
    <w:rsid w:val="002505E9"/>
    <w:rsid w:val="0025087A"/>
    <w:rsid w:val="00251081"/>
    <w:rsid w:val="0025540E"/>
    <w:rsid w:val="0025752A"/>
    <w:rsid w:val="00257B7D"/>
    <w:rsid w:val="00263E0B"/>
    <w:rsid w:val="00264F9D"/>
    <w:rsid w:val="00265793"/>
    <w:rsid w:val="00270548"/>
    <w:rsid w:val="00272737"/>
    <w:rsid w:val="00272CAB"/>
    <w:rsid w:val="002738AA"/>
    <w:rsid w:val="00273DB0"/>
    <w:rsid w:val="0027786A"/>
    <w:rsid w:val="002807CE"/>
    <w:rsid w:val="002816A6"/>
    <w:rsid w:val="00285E96"/>
    <w:rsid w:val="00285F18"/>
    <w:rsid w:val="00286818"/>
    <w:rsid w:val="00290E9C"/>
    <w:rsid w:val="00293B26"/>
    <w:rsid w:val="00295157"/>
    <w:rsid w:val="002962EE"/>
    <w:rsid w:val="00296ABD"/>
    <w:rsid w:val="002A1974"/>
    <w:rsid w:val="002A2A2F"/>
    <w:rsid w:val="002A3D5E"/>
    <w:rsid w:val="002A3F0B"/>
    <w:rsid w:val="002B0A32"/>
    <w:rsid w:val="002B1D8A"/>
    <w:rsid w:val="002B3275"/>
    <w:rsid w:val="002B368B"/>
    <w:rsid w:val="002B394E"/>
    <w:rsid w:val="002B69F3"/>
    <w:rsid w:val="002B6D68"/>
    <w:rsid w:val="002C399C"/>
    <w:rsid w:val="002C3C1F"/>
    <w:rsid w:val="002C4E75"/>
    <w:rsid w:val="002C5676"/>
    <w:rsid w:val="002C58CB"/>
    <w:rsid w:val="002D290C"/>
    <w:rsid w:val="002D2B14"/>
    <w:rsid w:val="002D2C7A"/>
    <w:rsid w:val="002D5CD3"/>
    <w:rsid w:val="002D5D99"/>
    <w:rsid w:val="002D64C2"/>
    <w:rsid w:val="002D6810"/>
    <w:rsid w:val="002D705E"/>
    <w:rsid w:val="002D7801"/>
    <w:rsid w:val="002E45C5"/>
    <w:rsid w:val="002E5B58"/>
    <w:rsid w:val="002E5C4D"/>
    <w:rsid w:val="002E6F05"/>
    <w:rsid w:val="002F2A0C"/>
    <w:rsid w:val="002F3D1F"/>
    <w:rsid w:val="002F77C9"/>
    <w:rsid w:val="003027F4"/>
    <w:rsid w:val="003034B7"/>
    <w:rsid w:val="00303767"/>
    <w:rsid w:val="00303EF1"/>
    <w:rsid w:val="003041BF"/>
    <w:rsid w:val="00304612"/>
    <w:rsid w:val="0030698A"/>
    <w:rsid w:val="00306E4B"/>
    <w:rsid w:val="00314C0A"/>
    <w:rsid w:val="003201AE"/>
    <w:rsid w:val="003202BF"/>
    <w:rsid w:val="00320AD4"/>
    <w:rsid w:val="00322A87"/>
    <w:rsid w:val="00323958"/>
    <w:rsid w:val="00323A48"/>
    <w:rsid w:val="003274CF"/>
    <w:rsid w:val="00334773"/>
    <w:rsid w:val="003347CA"/>
    <w:rsid w:val="003365BC"/>
    <w:rsid w:val="00336D8A"/>
    <w:rsid w:val="0033795B"/>
    <w:rsid w:val="00343703"/>
    <w:rsid w:val="00344993"/>
    <w:rsid w:val="00344A6F"/>
    <w:rsid w:val="00347085"/>
    <w:rsid w:val="00354FC8"/>
    <w:rsid w:val="00356D21"/>
    <w:rsid w:val="0036127E"/>
    <w:rsid w:val="003614AD"/>
    <w:rsid w:val="003643C0"/>
    <w:rsid w:val="0036680E"/>
    <w:rsid w:val="003738A3"/>
    <w:rsid w:val="00374783"/>
    <w:rsid w:val="00374910"/>
    <w:rsid w:val="00374B86"/>
    <w:rsid w:val="003752C5"/>
    <w:rsid w:val="00376E50"/>
    <w:rsid w:val="00381AA4"/>
    <w:rsid w:val="003823B4"/>
    <w:rsid w:val="0038321B"/>
    <w:rsid w:val="0038621C"/>
    <w:rsid w:val="00390ACE"/>
    <w:rsid w:val="00390F9C"/>
    <w:rsid w:val="00393630"/>
    <w:rsid w:val="00393A41"/>
    <w:rsid w:val="00396943"/>
    <w:rsid w:val="00397469"/>
    <w:rsid w:val="003A1223"/>
    <w:rsid w:val="003A2A01"/>
    <w:rsid w:val="003B3BF0"/>
    <w:rsid w:val="003B5F93"/>
    <w:rsid w:val="003B75AC"/>
    <w:rsid w:val="003C04C8"/>
    <w:rsid w:val="003C07A8"/>
    <w:rsid w:val="003C3177"/>
    <w:rsid w:val="003C3BF3"/>
    <w:rsid w:val="003C62D5"/>
    <w:rsid w:val="003C64D4"/>
    <w:rsid w:val="003C658F"/>
    <w:rsid w:val="003D2D01"/>
    <w:rsid w:val="003D35A0"/>
    <w:rsid w:val="003D7F7C"/>
    <w:rsid w:val="003E0844"/>
    <w:rsid w:val="003E20EE"/>
    <w:rsid w:val="003E2841"/>
    <w:rsid w:val="003E3066"/>
    <w:rsid w:val="003E3DB2"/>
    <w:rsid w:val="003E5CF7"/>
    <w:rsid w:val="003E698E"/>
    <w:rsid w:val="003F1BF8"/>
    <w:rsid w:val="003F3C86"/>
    <w:rsid w:val="003F3D50"/>
    <w:rsid w:val="003F5949"/>
    <w:rsid w:val="003F7573"/>
    <w:rsid w:val="00401128"/>
    <w:rsid w:val="004041B0"/>
    <w:rsid w:val="00411364"/>
    <w:rsid w:val="00413D5A"/>
    <w:rsid w:val="004154A8"/>
    <w:rsid w:val="0041697F"/>
    <w:rsid w:val="00420091"/>
    <w:rsid w:val="004206D4"/>
    <w:rsid w:val="004247E2"/>
    <w:rsid w:val="00434D75"/>
    <w:rsid w:val="0043507D"/>
    <w:rsid w:val="00436A9B"/>
    <w:rsid w:val="00437391"/>
    <w:rsid w:val="00440F88"/>
    <w:rsid w:val="0044124D"/>
    <w:rsid w:val="004422EC"/>
    <w:rsid w:val="004434D6"/>
    <w:rsid w:val="0044455E"/>
    <w:rsid w:val="004453C2"/>
    <w:rsid w:val="00445E03"/>
    <w:rsid w:val="00450A26"/>
    <w:rsid w:val="00451AA4"/>
    <w:rsid w:val="00451C42"/>
    <w:rsid w:val="004554C4"/>
    <w:rsid w:val="004571A8"/>
    <w:rsid w:val="00460699"/>
    <w:rsid w:val="00463920"/>
    <w:rsid w:val="00463A03"/>
    <w:rsid w:val="00466BA0"/>
    <w:rsid w:val="00467B58"/>
    <w:rsid w:val="00472040"/>
    <w:rsid w:val="00472BE9"/>
    <w:rsid w:val="0047605D"/>
    <w:rsid w:val="0047745A"/>
    <w:rsid w:val="00483385"/>
    <w:rsid w:val="00485C81"/>
    <w:rsid w:val="0048641F"/>
    <w:rsid w:val="00486458"/>
    <w:rsid w:val="00495281"/>
    <w:rsid w:val="00496200"/>
    <w:rsid w:val="004A2E04"/>
    <w:rsid w:val="004A58B6"/>
    <w:rsid w:val="004A7785"/>
    <w:rsid w:val="004B1A77"/>
    <w:rsid w:val="004B1E6B"/>
    <w:rsid w:val="004B23A0"/>
    <w:rsid w:val="004B2D27"/>
    <w:rsid w:val="004B58AC"/>
    <w:rsid w:val="004B7171"/>
    <w:rsid w:val="004C09E5"/>
    <w:rsid w:val="004C1867"/>
    <w:rsid w:val="004C3F55"/>
    <w:rsid w:val="004C608D"/>
    <w:rsid w:val="004C60AA"/>
    <w:rsid w:val="004D2BD1"/>
    <w:rsid w:val="004D592D"/>
    <w:rsid w:val="004E24DD"/>
    <w:rsid w:val="004E5D6A"/>
    <w:rsid w:val="004E78A9"/>
    <w:rsid w:val="004F1082"/>
    <w:rsid w:val="004F4B24"/>
    <w:rsid w:val="004F7BD6"/>
    <w:rsid w:val="005013F6"/>
    <w:rsid w:val="00501B4C"/>
    <w:rsid w:val="00505577"/>
    <w:rsid w:val="00506CFF"/>
    <w:rsid w:val="00510919"/>
    <w:rsid w:val="00510C54"/>
    <w:rsid w:val="005144AC"/>
    <w:rsid w:val="005152DE"/>
    <w:rsid w:val="00516019"/>
    <w:rsid w:val="00516C08"/>
    <w:rsid w:val="00516D35"/>
    <w:rsid w:val="0051765D"/>
    <w:rsid w:val="00521C1B"/>
    <w:rsid w:val="005227C9"/>
    <w:rsid w:val="0052318A"/>
    <w:rsid w:val="0052389C"/>
    <w:rsid w:val="005247B0"/>
    <w:rsid w:val="0052540C"/>
    <w:rsid w:val="0052549F"/>
    <w:rsid w:val="00526D33"/>
    <w:rsid w:val="00533A4A"/>
    <w:rsid w:val="00533B72"/>
    <w:rsid w:val="005370DF"/>
    <w:rsid w:val="00540C40"/>
    <w:rsid w:val="00540C7A"/>
    <w:rsid w:val="00543403"/>
    <w:rsid w:val="00544498"/>
    <w:rsid w:val="00545E8C"/>
    <w:rsid w:val="005503F2"/>
    <w:rsid w:val="00552D88"/>
    <w:rsid w:val="00552FB1"/>
    <w:rsid w:val="00555E40"/>
    <w:rsid w:val="005561E1"/>
    <w:rsid w:val="00556697"/>
    <w:rsid w:val="00561062"/>
    <w:rsid w:val="005637E4"/>
    <w:rsid w:val="0057083A"/>
    <w:rsid w:val="00571060"/>
    <w:rsid w:val="00574EC4"/>
    <w:rsid w:val="0057646E"/>
    <w:rsid w:val="005800FC"/>
    <w:rsid w:val="005805F1"/>
    <w:rsid w:val="00582BFF"/>
    <w:rsid w:val="00590183"/>
    <w:rsid w:val="005913BA"/>
    <w:rsid w:val="00592863"/>
    <w:rsid w:val="0059397F"/>
    <w:rsid w:val="00594A58"/>
    <w:rsid w:val="005A0501"/>
    <w:rsid w:val="005A21C2"/>
    <w:rsid w:val="005A3D1D"/>
    <w:rsid w:val="005A4218"/>
    <w:rsid w:val="005A47A4"/>
    <w:rsid w:val="005A567E"/>
    <w:rsid w:val="005A6E77"/>
    <w:rsid w:val="005B3CD5"/>
    <w:rsid w:val="005B5650"/>
    <w:rsid w:val="005B6FFB"/>
    <w:rsid w:val="005C365F"/>
    <w:rsid w:val="005C4E7E"/>
    <w:rsid w:val="005C50B3"/>
    <w:rsid w:val="005C51AE"/>
    <w:rsid w:val="005C5DC6"/>
    <w:rsid w:val="005C7425"/>
    <w:rsid w:val="005D1A8C"/>
    <w:rsid w:val="005D2351"/>
    <w:rsid w:val="005D3754"/>
    <w:rsid w:val="005D4064"/>
    <w:rsid w:val="005D50DC"/>
    <w:rsid w:val="005D5187"/>
    <w:rsid w:val="005D51CE"/>
    <w:rsid w:val="005D57EC"/>
    <w:rsid w:val="005D62AB"/>
    <w:rsid w:val="005D640C"/>
    <w:rsid w:val="005D7792"/>
    <w:rsid w:val="005E05DA"/>
    <w:rsid w:val="005E1DAD"/>
    <w:rsid w:val="005E2E98"/>
    <w:rsid w:val="005E766C"/>
    <w:rsid w:val="005F0BEE"/>
    <w:rsid w:val="005F3A48"/>
    <w:rsid w:val="005F4DDD"/>
    <w:rsid w:val="005F6A0E"/>
    <w:rsid w:val="005F73B6"/>
    <w:rsid w:val="0060012E"/>
    <w:rsid w:val="006004A7"/>
    <w:rsid w:val="0060392D"/>
    <w:rsid w:val="00603C17"/>
    <w:rsid w:val="00606635"/>
    <w:rsid w:val="00614308"/>
    <w:rsid w:val="006152FF"/>
    <w:rsid w:val="006175F8"/>
    <w:rsid w:val="00620040"/>
    <w:rsid w:val="00620156"/>
    <w:rsid w:val="00621347"/>
    <w:rsid w:val="0062483D"/>
    <w:rsid w:val="00624F8C"/>
    <w:rsid w:val="00625432"/>
    <w:rsid w:val="006257D5"/>
    <w:rsid w:val="00627629"/>
    <w:rsid w:val="00631039"/>
    <w:rsid w:val="006319BB"/>
    <w:rsid w:val="006324CC"/>
    <w:rsid w:val="00632A56"/>
    <w:rsid w:val="0063381C"/>
    <w:rsid w:val="00634695"/>
    <w:rsid w:val="006359A6"/>
    <w:rsid w:val="00637A2A"/>
    <w:rsid w:val="00641184"/>
    <w:rsid w:val="00642BDF"/>
    <w:rsid w:val="0064386D"/>
    <w:rsid w:val="00643AFD"/>
    <w:rsid w:val="0064615F"/>
    <w:rsid w:val="00647742"/>
    <w:rsid w:val="0065576C"/>
    <w:rsid w:val="0066010D"/>
    <w:rsid w:val="00660FB1"/>
    <w:rsid w:val="0066390A"/>
    <w:rsid w:val="00663BF7"/>
    <w:rsid w:val="00664E9F"/>
    <w:rsid w:val="00667F74"/>
    <w:rsid w:val="00670B9D"/>
    <w:rsid w:val="0067246C"/>
    <w:rsid w:val="00676D57"/>
    <w:rsid w:val="00680880"/>
    <w:rsid w:val="00681E02"/>
    <w:rsid w:val="00681E04"/>
    <w:rsid w:val="00686E01"/>
    <w:rsid w:val="00690454"/>
    <w:rsid w:val="00691D96"/>
    <w:rsid w:val="006A2CFB"/>
    <w:rsid w:val="006A36F2"/>
    <w:rsid w:val="006A396A"/>
    <w:rsid w:val="006A3DE1"/>
    <w:rsid w:val="006A5496"/>
    <w:rsid w:val="006A5D0E"/>
    <w:rsid w:val="006A7933"/>
    <w:rsid w:val="006B2207"/>
    <w:rsid w:val="006B2362"/>
    <w:rsid w:val="006B63BB"/>
    <w:rsid w:val="006C1D49"/>
    <w:rsid w:val="006C45A0"/>
    <w:rsid w:val="006C4963"/>
    <w:rsid w:val="006C62A1"/>
    <w:rsid w:val="006C6549"/>
    <w:rsid w:val="006D7A0A"/>
    <w:rsid w:val="006D7A50"/>
    <w:rsid w:val="006E0D49"/>
    <w:rsid w:val="006E2E39"/>
    <w:rsid w:val="006E376A"/>
    <w:rsid w:val="006E4628"/>
    <w:rsid w:val="006E5F09"/>
    <w:rsid w:val="006E765C"/>
    <w:rsid w:val="006F1348"/>
    <w:rsid w:val="006F171E"/>
    <w:rsid w:val="006F26CA"/>
    <w:rsid w:val="006F4346"/>
    <w:rsid w:val="006F4EC2"/>
    <w:rsid w:val="006F5359"/>
    <w:rsid w:val="006F6F41"/>
    <w:rsid w:val="006F6F95"/>
    <w:rsid w:val="00700A07"/>
    <w:rsid w:val="00703EF8"/>
    <w:rsid w:val="0070406E"/>
    <w:rsid w:val="0070630C"/>
    <w:rsid w:val="007073EC"/>
    <w:rsid w:val="00707C71"/>
    <w:rsid w:val="00707DA8"/>
    <w:rsid w:val="00711381"/>
    <w:rsid w:val="0071501F"/>
    <w:rsid w:val="007154E9"/>
    <w:rsid w:val="00721749"/>
    <w:rsid w:val="007221F4"/>
    <w:rsid w:val="00724BE8"/>
    <w:rsid w:val="00726188"/>
    <w:rsid w:val="007262E6"/>
    <w:rsid w:val="007266BA"/>
    <w:rsid w:val="007304B1"/>
    <w:rsid w:val="00730B9E"/>
    <w:rsid w:val="0073216F"/>
    <w:rsid w:val="007335E5"/>
    <w:rsid w:val="00734154"/>
    <w:rsid w:val="00734712"/>
    <w:rsid w:val="00735914"/>
    <w:rsid w:val="0073683A"/>
    <w:rsid w:val="007425F2"/>
    <w:rsid w:val="007457B2"/>
    <w:rsid w:val="00746380"/>
    <w:rsid w:val="007473D0"/>
    <w:rsid w:val="00750338"/>
    <w:rsid w:val="0075135C"/>
    <w:rsid w:val="00756810"/>
    <w:rsid w:val="00762B40"/>
    <w:rsid w:val="00764767"/>
    <w:rsid w:val="007652B0"/>
    <w:rsid w:val="00765DF4"/>
    <w:rsid w:val="00766D42"/>
    <w:rsid w:val="00772F24"/>
    <w:rsid w:val="007734BA"/>
    <w:rsid w:val="007748CC"/>
    <w:rsid w:val="0077780A"/>
    <w:rsid w:val="007851EB"/>
    <w:rsid w:val="007866A1"/>
    <w:rsid w:val="007875BC"/>
    <w:rsid w:val="007876A5"/>
    <w:rsid w:val="00794A89"/>
    <w:rsid w:val="00795A45"/>
    <w:rsid w:val="007972D6"/>
    <w:rsid w:val="00797498"/>
    <w:rsid w:val="007A005D"/>
    <w:rsid w:val="007A0BDB"/>
    <w:rsid w:val="007A179D"/>
    <w:rsid w:val="007A254D"/>
    <w:rsid w:val="007A2E62"/>
    <w:rsid w:val="007A4751"/>
    <w:rsid w:val="007A4EA1"/>
    <w:rsid w:val="007A5EB0"/>
    <w:rsid w:val="007A704D"/>
    <w:rsid w:val="007A7EEC"/>
    <w:rsid w:val="007B1586"/>
    <w:rsid w:val="007B223D"/>
    <w:rsid w:val="007B2743"/>
    <w:rsid w:val="007B3641"/>
    <w:rsid w:val="007B3F15"/>
    <w:rsid w:val="007B4E97"/>
    <w:rsid w:val="007B6AE8"/>
    <w:rsid w:val="007B7C56"/>
    <w:rsid w:val="007C389D"/>
    <w:rsid w:val="007C3BE3"/>
    <w:rsid w:val="007C3D1D"/>
    <w:rsid w:val="007C4782"/>
    <w:rsid w:val="007C507A"/>
    <w:rsid w:val="007C69B9"/>
    <w:rsid w:val="007C7D86"/>
    <w:rsid w:val="007C7EA9"/>
    <w:rsid w:val="007D17DA"/>
    <w:rsid w:val="007E008C"/>
    <w:rsid w:val="007E0695"/>
    <w:rsid w:val="007E2418"/>
    <w:rsid w:val="007E41CC"/>
    <w:rsid w:val="007E4BBF"/>
    <w:rsid w:val="007E7A93"/>
    <w:rsid w:val="007F048F"/>
    <w:rsid w:val="007F0626"/>
    <w:rsid w:val="007F09D6"/>
    <w:rsid w:val="007F1DF4"/>
    <w:rsid w:val="007F3A7A"/>
    <w:rsid w:val="007F3F2B"/>
    <w:rsid w:val="007F4765"/>
    <w:rsid w:val="007F7013"/>
    <w:rsid w:val="00801A3D"/>
    <w:rsid w:val="00803964"/>
    <w:rsid w:val="00805000"/>
    <w:rsid w:val="00807774"/>
    <w:rsid w:val="00817024"/>
    <w:rsid w:val="00822AA6"/>
    <w:rsid w:val="00823500"/>
    <w:rsid w:val="00824B9E"/>
    <w:rsid w:val="00825383"/>
    <w:rsid w:val="008260A9"/>
    <w:rsid w:val="00826E69"/>
    <w:rsid w:val="0082777F"/>
    <w:rsid w:val="0083019D"/>
    <w:rsid w:val="00830B43"/>
    <w:rsid w:val="00830D15"/>
    <w:rsid w:val="00831FAA"/>
    <w:rsid w:val="008346AC"/>
    <w:rsid w:val="00834976"/>
    <w:rsid w:val="00834AE0"/>
    <w:rsid w:val="00835212"/>
    <w:rsid w:val="00835C61"/>
    <w:rsid w:val="00835D2A"/>
    <w:rsid w:val="008371FE"/>
    <w:rsid w:val="00841DAB"/>
    <w:rsid w:val="0084453F"/>
    <w:rsid w:val="008507DC"/>
    <w:rsid w:val="008529D4"/>
    <w:rsid w:val="00854E07"/>
    <w:rsid w:val="0085611D"/>
    <w:rsid w:val="00860D88"/>
    <w:rsid w:val="008669D9"/>
    <w:rsid w:val="008701B2"/>
    <w:rsid w:val="0087022A"/>
    <w:rsid w:val="00874959"/>
    <w:rsid w:val="008768BC"/>
    <w:rsid w:val="00880650"/>
    <w:rsid w:val="008825C9"/>
    <w:rsid w:val="0088529F"/>
    <w:rsid w:val="00892D3F"/>
    <w:rsid w:val="00895603"/>
    <w:rsid w:val="00895CEB"/>
    <w:rsid w:val="008A40B7"/>
    <w:rsid w:val="008A52BD"/>
    <w:rsid w:val="008A5E61"/>
    <w:rsid w:val="008A5EDB"/>
    <w:rsid w:val="008A641D"/>
    <w:rsid w:val="008A6644"/>
    <w:rsid w:val="008A6827"/>
    <w:rsid w:val="008B21B2"/>
    <w:rsid w:val="008B3C87"/>
    <w:rsid w:val="008B46FB"/>
    <w:rsid w:val="008B7E54"/>
    <w:rsid w:val="008C326B"/>
    <w:rsid w:val="008C32EF"/>
    <w:rsid w:val="008C64E7"/>
    <w:rsid w:val="008D0081"/>
    <w:rsid w:val="008D0ED9"/>
    <w:rsid w:val="008D58E1"/>
    <w:rsid w:val="008D64C7"/>
    <w:rsid w:val="008D6899"/>
    <w:rsid w:val="008E3292"/>
    <w:rsid w:val="008E4107"/>
    <w:rsid w:val="008E5103"/>
    <w:rsid w:val="008F09D8"/>
    <w:rsid w:val="008F3952"/>
    <w:rsid w:val="008F4EA3"/>
    <w:rsid w:val="008F55C7"/>
    <w:rsid w:val="008F6BA1"/>
    <w:rsid w:val="008F6F0C"/>
    <w:rsid w:val="0090030D"/>
    <w:rsid w:val="009011F6"/>
    <w:rsid w:val="00901238"/>
    <w:rsid w:val="009017C7"/>
    <w:rsid w:val="0090423F"/>
    <w:rsid w:val="00904707"/>
    <w:rsid w:val="00905116"/>
    <w:rsid w:val="009204F4"/>
    <w:rsid w:val="009244FB"/>
    <w:rsid w:val="009250E5"/>
    <w:rsid w:val="00925427"/>
    <w:rsid w:val="00925529"/>
    <w:rsid w:val="00927A4E"/>
    <w:rsid w:val="00931B1E"/>
    <w:rsid w:val="0093485F"/>
    <w:rsid w:val="00934ACD"/>
    <w:rsid w:val="009358DA"/>
    <w:rsid w:val="00940E05"/>
    <w:rsid w:val="009413F1"/>
    <w:rsid w:val="009432A1"/>
    <w:rsid w:val="00946A68"/>
    <w:rsid w:val="00947311"/>
    <w:rsid w:val="009515EA"/>
    <w:rsid w:val="00951FC6"/>
    <w:rsid w:val="00954AFC"/>
    <w:rsid w:val="00955DAD"/>
    <w:rsid w:val="00956D66"/>
    <w:rsid w:val="00957891"/>
    <w:rsid w:val="009578CF"/>
    <w:rsid w:val="0096147C"/>
    <w:rsid w:val="00963AFA"/>
    <w:rsid w:val="00970F32"/>
    <w:rsid w:val="00981D2E"/>
    <w:rsid w:val="009821C2"/>
    <w:rsid w:val="0098360A"/>
    <w:rsid w:val="009840D7"/>
    <w:rsid w:val="009845B5"/>
    <w:rsid w:val="00984E9D"/>
    <w:rsid w:val="009853A9"/>
    <w:rsid w:val="00986397"/>
    <w:rsid w:val="00986ABB"/>
    <w:rsid w:val="00990FA3"/>
    <w:rsid w:val="00991711"/>
    <w:rsid w:val="00992A0E"/>
    <w:rsid w:val="009A3986"/>
    <w:rsid w:val="009A5573"/>
    <w:rsid w:val="009A6967"/>
    <w:rsid w:val="009B0A44"/>
    <w:rsid w:val="009B1A3F"/>
    <w:rsid w:val="009B2542"/>
    <w:rsid w:val="009B26DA"/>
    <w:rsid w:val="009B4311"/>
    <w:rsid w:val="009B4E89"/>
    <w:rsid w:val="009C0628"/>
    <w:rsid w:val="009C2D70"/>
    <w:rsid w:val="009D0F03"/>
    <w:rsid w:val="009D4BFD"/>
    <w:rsid w:val="009E0B41"/>
    <w:rsid w:val="009E1A99"/>
    <w:rsid w:val="009E3CE5"/>
    <w:rsid w:val="009E4B28"/>
    <w:rsid w:val="009E6E40"/>
    <w:rsid w:val="009F0100"/>
    <w:rsid w:val="009F2A6E"/>
    <w:rsid w:val="009F309C"/>
    <w:rsid w:val="009F4352"/>
    <w:rsid w:val="009F4A4D"/>
    <w:rsid w:val="009F5A7B"/>
    <w:rsid w:val="00A0095F"/>
    <w:rsid w:val="00A01625"/>
    <w:rsid w:val="00A0408A"/>
    <w:rsid w:val="00A1100B"/>
    <w:rsid w:val="00A136D0"/>
    <w:rsid w:val="00A14A4B"/>
    <w:rsid w:val="00A17DB8"/>
    <w:rsid w:val="00A202C0"/>
    <w:rsid w:val="00A211AE"/>
    <w:rsid w:val="00A21237"/>
    <w:rsid w:val="00A21329"/>
    <w:rsid w:val="00A233B7"/>
    <w:rsid w:val="00A234F6"/>
    <w:rsid w:val="00A273EE"/>
    <w:rsid w:val="00A316E9"/>
    <w:rsid w:val="00A318C4"/>
    <w:rsid w:val="00A35524"/>
    <w:rsid w:val="00A36CE1"/>
    <w:rsid w:val="00A451AC"/>
    <w:rsid w:val="00A4566D"/>
    <w:rsid w:val="00A45E47"/>
    <w:rsid w:val="00A465C8"/>
    <w:rsid w:val="00A47750"/>
    <w:rsid w:val="00A503D9"/>
    <w:rsid w:val="00A52CDD"/>
    <w:rsid w:val="00A52E9C"/>
    <w:rsid w:val="00A54AA7"/>
    <w:rsid w:val="00A6338B"/>
    <w:rsid w:val="00A636D1"/>
    <w:rsid w:val="00A64A64"/>
    <w:rsid w:val="00A66C5D"/>
    <w:rsid w:val="00A710CF"/>
    <w:rsid w:val="00A72404"/>
    <w:rsid w:val="00A76E2E"/>
    <w:rsid w:val="00A778DD"/>
    <w:rsid w:val="00A802E9"/>
    <w:rsid w:val="00A82408"/>
    <w:rsid w:val="00A83CBC"/>
    <w:rsid w:val="00A8737D"/>
    <w:rsid w:val="00A90C40"/>
    <w:rsid w:val="00AA01F1"/>
    <w:rsid w:val="00AA0EE0"/>
    <w:rsid w:val="00AA5D19"/>
    <w:rsid w:val="00AA7103"/>
    <w:rsid w:val="00AB2726"/>
    <w:rsid w:val="00AB40B3"/>
    <w:rsid w:val="00AB4C43"/>
    <w:rsid w:val="00AB661B"/>
    <w:rsid w:val="00AB6943"/>
    <w:rsid w:val="00AB6C82"/>
    <w:rsid w:val="00AB7756"/>
    <w:rsid w:val="00AC0340"/>
    <w:rsid w:val="00AC1489"/>
    <w:rsid w:val="00AC5DE2"/>
    <w:rsid w:val="00AC7974"/>
    <w:rsid w:val="00AD24B2"/>
    <w:rsid w:val="00AD31C2"/>
    <w:rsid w:val="00AD3613"/>
    <w:rsid w:val="00AD566E"/>
    <w:rsid w:val="00AD6172"/>
    <w:rsid w:val="00AD6742"/>
    <w:rsid w:val="00AE0E4E"/>
    <w:rsid w:val="00AE500C"/>
    <w:rsid w:val="00AE502F"/>
    <w:rsid w:val="00AE5CAF"/>
    <w:rsid w:val="00AE5FD7"/>
    <w:rsid w:val="00AE6206"/>
    <w:rsid w:val="00AF0AFB"/>
    <w:rsid w:val="00AF17F8"/>
    <w:rsid w:val="00AF20C7"/>
    <w:rsid w:val="00AF2253"/>
    <w:rsid w:val="00AF28C5"/>
    <w:rsid w:val="00AF4A45"/>
    <w:rsid w:val="00AF68B4"/>
    <w:rsid w:val="00B027F8"/>
    <w:rsid w:val="00B02ADD"/>
    <w:rsid w:val="00B02C8C"/>
    <w:rsid w:val="00B033CC"/>
    <w:rsid w:val="00B05157"/>
    <w:rsid w:val="00B0597E"/>
    <w:rsid w:val="00B05A50"/>
    <w:rsid w:val="00B0711B"/>
    <w:rsid w:val="00B12B84"/>
    <w:rsid w:val="00B132DE"/>
    <w:rsid w:val="00B143FF"/>
    <w:rsid w:val="00B174A0"/>
    <w:rsid w:val="00B21E6E"/>
    <w:rsid w:val="00B23268"/>
    <w:rsid w:val="00B24B4A"/>
    <w:rsid w:val="00B256DD"/>
    <w:rsid w:val="00B333FD"/>
    <w:rsid w:val="00B33672"/>
    <w:rsid w:val="00B3573A"/>
    <w:rsid w:val="00B4153C"/>
    <w:rsid w:val="00B424D8"/>
    <w:rsid w:val="00B432B6"/>
    <w:rsid w:val="00B43554"/>
    <w:rsid w:val="00B4467E"/>
    <w:rsid w:val="00B50787"/>
    <w:rsid w:val="00B51C78"/>
    <w:rsid w:val="00B521FB"/>
    <w:rsid w:val="00B52CF5"/>
    <w:rsid w:val="00B55F80"/>
    <w:rsid w:val="00B63043"/>
    <w:rsid w:val="00B65F20"/>
    <w:rsid w:val="00B666C9"/>
    <w:rsid w:val="00B66ABA"/>
    <w:rsid w:val="00B672B9"/>
    <w:rsid w:val="00B71D4A"/>
    <w:rsid w:val="00B7509B"/>
    <w:rsid w:val="00B76D04"/>
    <w:rsid w:val="00B8409F"/>
    <w:rsid w:val="00B841D2"/>
    <w:rsid w:val="00B86E27"/>
    <w:rsid w:val="00B87AB9"/>
    <w:rsid w:val="00B87BDF"/>
    <w:rsid w:val="00B91E5A"/>
    <w:rsid w:val="00B92434"/>
    <w:rsid w:val="00B92878"/>
    <w:rsid w:val="00B93841"/>
    <w:rsid w:val="00B93FE4"/>
    <w:rsid w:val="00B96C3D"/>
    <w:rsid w:val="00B97CFD"/>
    <w:rsid w:val="00BA0023"/>
    <w:rsid w:val="00BA0EB9"/>
    <w:rsid w:val="00BA1874"/>
    <w:rsid w:val="00BA1EB2"/>
    <w:rsid w:val="00BA6789"/>
    <w:rsid w:val="00BB5C36"/>
    <w:rsid w:val="00BB6A4D"/>
    <w:rsid w:val="00BC054E"/>
    <w:rsid w:val="00BC0876"/>
    <w:rsid w:val="00BC1EE6"/>
    <w:rsid w:val="00BC4DB3"/>
    <w:rsid w:val="00BC592A"/>
    <w:rsid w:val="00BD1AA4"/>
    <w:rsid w:val="00BD2135"/>
    <w:rsid w:val="00BD259A"/>
    <w:rsid w:val="00BD3B61"/>
    <w:rsid w:val="00BD402A"/>
    <w:rsid w:val="00BD4C83"/>
    <w:rsid w:val="00BE0C90"/>
    <w:rsid w:val="00BE5E36"/>
    <w:rsid w:val="00BF263C"/>
    <w:rsid w:val="00BF268A"/>
    <w:rsid w:val="00BF2BD9"/>
    <w:rsid w:val="00BF4A09"/>
    <w:rsid w:val="00BF4DA2"/>
    <w:rsid w:val="00BF7293"/>
    <w:rsid w:val="00C0048B"/>
    <w:rsid w:val="00C02741"/>
    <w:rsid w:val="00C027F1"/>
    <w:rsid w:val="00C052C8"/>
    <w:rsid w:val="00C055B6"/>
    <w:rsid w:val="00C07156"/>
    <w:rsid w:val="00C07CDE"/>
    <w:rsid w:val="00C15E79"/>
    <w:rsid w:val="00C16A36"/>
    <w:rsid w:val="00C16B8F"/>
    <w:rsid w:val="00C173A9"/>
    <w:rsid w:val="00C21685"/>
    <w:rsid w:val="00C2181A"/>
    <w:rsid w:val="00C218C2"/>
    <w:rsid w:val="00C21E97"/>
    <w:rsid w:val="00C22DA8"/>
    <w:rsid w:val="00C24ED7"/>
    <w:rsid w:val="00C24F81"/>
    <w:rsid w:val="00C2610F"/>
    <w:rsid w:val="00C2793F"/>
    <w:rsid w:val="00C3253F"/>
    <w:rsid w:val="00C3329F"/>
    <w:rsid w:val="00C35851"/>
    <w:rsid w:val="00C35E87"/>
    <w:rsid w:val="00C367C6"/>
    <w:rsid w:val="00C3750C"/>
    <w:rsid w:val="00C41A74"/>
    <w:rsid w:val="00C43701"/>
    <w:rsid w:val="00C43D08"/>
    <w:rsid w:val="00C522A0"/>
    <w:rsid w:val="00C54853"/>
    <w:rsid w:val="00C54B0D"/>
    <w:rsid w:val="00C62BD1"/>
    <w:rsid w:val="00C63481"/>
    <w:rsid w:val="00C64AB1"/>
    <w:rsid w:val="00C64CBC"/>
    <w:rsid w:val="00C669D9"/>
    <w:rsid w:val="00C70E2C"/>
    <w:rsid w:val="00C72476"/>
    <w:rsid w:val="00C74046"/>
    <w:rsid w:val="00C749DF"/>
    <w:rsid w:val="00C903EE"/>
    <w:rsid w:val="00C932F5"/>
    <w:rsid w:val="00C9399A"/>
    <w:rsid w:val="00C93D58"/>
    <w:rsid w:val="00C95606"/>
    <w:rsid w:val="00C957B6"/>
    <w:rsid w:val="00C95EBF"/>
    <w:rsid w:val="00CA03B2"/>
    <w:rsid w:val="00CB0C69"/>
    <w:rsid w:val="00CB3743"/>
    <w:rsid w:val="00CB6155"/>
    <w:rsid w:val="00CC230B"/>
    <w:rsid w:val="00CC40FF"/>
    <w:rsid w:val="00CC6086"/>
    <w:rsid w:val="00CC7CF5"/>
    <w:rsid w:val="00CD0911"/>
    <w:rsid w:val="00CD0C35"/>
    <w:rsid w:val="00CD16AF"/>
    <w:rsid w:val="00CD1C00"/>
    <w:rsid w:val="00CD1CFE"/>
    <w:rsid w:val="00CE183C"/>
    <w:rsid w:val="00CE4108"/>
    <w:rsid w:val="00CE4DC2"/>
    <w:rsid w:val="00CF0A72"/>
    <w:rsid w:val="00CF2AA7"/>
    <w:rsid w:val="00CF5E2F"/>
    <w:rsid w:val="00D000A4"/>
    <w:rsid w:val="00D01CFB"/>
    <w:rsid w:val="00D02CAE"/>
    <w:rsid w:val="00D04537"/>
    <w:rsid w:val="00D04A72"/>
    <w:rsid w:val="00D0512C"/>
    <w:rsid w:val="00D06290"/>
    <w:rsid w:val="00D07895"/>
    <w:rsid w:val="00D1091B"/>
    <w:rsid w:val="00D15097"/>
    <w:rsid w:val="00D16717"/>
    <w:rsid w:val="00D16882"/>
    <w:rsid w:val="00D214C1"/>
    <w:rsid w:val="00D27E43"/>
    <w:rsid w:val="00D301B3"/>
    <w:rsid w:val="00D3047F"/>
    <w:rsid w:val="00D32DDB"/>
    <w:rsid w:val="00D33255"/>
    <w:rsid w:val="00D34282"/>
    <w:rsid w:val="00D34378"/>
    <w:rsid w:val="00D411D0"/>
    <w:rsid w:val="00D41885"/>
    <w:rsid w:val="00D452B9"/>
    <w:rsid w:val="00D51BB4"/>
    <w:rsid w:val="00D57DFE"/>
    <w:rsid w:val="00D61259"/>
    <w:rsid w:val="00D67778"/>
    <w:rsid w:val="00D67BC5"/>
    <w:rsid w:val="00D7001E"/>
    <w:rsid w:val="00D7293F"/>
    <w:rsid w:val="00D73DB4"/>
    <w:rsid w:val="00D7456E"/>
    <w:rsid w:val="00D75972"/>
    <w:rsid w:val="00D76CEA"/>
    <w:rsid w:val="00D8319C"/>
    <w:rsid w:val="00D85223"/>
    <w:rsid w:val="00D85583"/>
    <w:rsid w:val="00D86E0A"/>
    <w:rsid w:val="00D90DAA"/>
    <w:rsid w:val="00D94BEC"/>
    <w:rsid w:val="00DA2B2E"/>
    <w:rsid w:val="00DA43BB"/>
    <w:rsid w:val="00DA4740"/>
    <w:rsid w:val="00DB04D7"/>
    <w:rsid w:val="00DB1690"/>
    <w:rsid w:val="00DB246A"/>
    <w:rsid w:val="00DB5070"/>
    <w:rsid w:val="00DB70E8"/>
    <w:rsid w:val="00DC10E9"/>
    <w:rsid w:val="00DC3097"/>
    <w:rsid w:val="00DC3E8E"/>
    <w:rsid w:val="00DC7FE1"/>
    <w:rsid w:val="00DD2B79"/>
    <w:rsid w:val="00DD4453"/>
    <w:rsid w:val="00DD4E04"/>
    <w:rsid w:val="00DD57FF"/>
    <w:rsid w:val="00DD58AB"/>
    <w:rsid w:val="00DD6A49"/>
    <w:rsid w:val="00DD7A76"/>
    <w:rsid w:val="00DE205D"/>
    <w:rsid w:val="00DE2A70"/>
    <w:rsid w:val="00DE555D"/>
    <w:rsid w:val="00DE69E7"/>
    <w:rsid w:val="00DE7455"/>
    <w:rsid w:val="00DF2177"/>
    <w:rsid w:val="00E00442"/>
    <w:rsid w:val="00E034CC"/>
    <w:rsid w:val="00E03AF0"/>
    <w:rsid w:val="00E1132A"/>
    <w:rsid w:val="00E11C09"/>
    <w:rsid w:val="00E123C6"/>
    <w:rsid w:val="00E132B3"/>
    <w:rsid w:val="00E13598"/>
    <w:rsid w:val="00E15AA2"/>
    <w:rsid w:val="00E21ADC"/>
    <w:rsid w:val="00E24931"/>
    <w:rsid w:val="00E24D07"/>
    <w:rsid w:val="00E253A8"/>
    <w:rsid w:val="00E25C32"/>
    <w:rsid w:val="00E26B04"/>
    <w:rsid w:val="00E30816"/>
    <w:rsid w:val="00E32366"/>
    <w:rsid w:val="00E33474"/>
    <w:rsid w:val="00E33536"/>
    <w:rsid w:val="00E355AD"/>
    <w:rsid w:val="00E35B0E"/>
    <w:rsid w:val="00E3784D"/>
    <w:rsid w:val="00E37BE0"/>
    <w:rsid w:val="00E416E5"/>
    <w:rsid w:val="00E41C2A"/>
    <w:rsid w:val="00E41C9B"/>
    <w:rsid w:val="00E42D1E"/>
    <w:rsid w:val="00E44D7D"/>
    <w:rsid w:val="00E47BA6"/>
    <w:rsid w:val="00E50B90"/>
    <w:rsid w:val="00E55B24"/>
    <w:rsid w:val="00E56870"/>
    <w:rsid w:val="00E615FA"/>
    <w:rsid w:val="00E637D4"/>
    <w:rsid w:val="00E63D34"/>
    <w:rsid w:val="00E63FA0"/>
    <w:rsid w:val="00E64A4B"/>
    <w:rsid w:val="00E67008"/>
    <w:rsid w:val="00E6713A"/>
    <w:rsid w:val="00E709BE"/>
    <w:rsid w:val="00E709EA"/>
    <w:rsid w:val="00E71382"/>
    <w:rsid w:val="00E71467"/>
    <w:rsid w:val="00E727C2"/>
    <w:rsid w:val="00E735FF"/>
    <w:rsid w:val="00E74111"/>
    <w:rsid w:val="00E75ED3"/>
    <w:rsid w:val="00E76E7F"/>
    <w:rsid w:val="00E775D6"/>
    <w:rsid w:val="00E80AB1"/>
    <w:rsid w:val="00E813BF"/>
    <w:rsid w:val="00E81B93"/>
    <w:rsid w:val="00E860E2"/>
    <w:rsid w:val="00E923E3"/>
    <w:rsid w:val="00E96232"/>
    <w:rsid w:val="00E97695"/>
    <w:rsid w:val="00E97BE7"/>
    <w:rsid w:val="00EA05DC"/>
    <w:rsid w:val="00EA1534"/>
    <w:rsid w:val="00EA3BED"/>
    <w:rsid w:val="00EA5407"/>
    <w:rsid w:val="00EA5A04"/>
    <w:rsid w:val="00EA64C1"/>
    <w:rsid w:val="00EA671F"/>
    <w:rsid w:val="00EA6F17"/>
    <w:rsid w:val="00EA7545"/>
    <w:rsid w:val="00EB074B"/>
    <w:rsid w:val="00EB34C0"/>
    <w:rsid w:val="00EB3E2B"/>
    <w:rsid w:val="00EB589C"/>
    <w:rsid w:val="00EB5CF5"/>
    <w:rsid w:val="00EC0476"/>
    <w:rsid w:val="00EC42EF"/>
    <w:rsid w:val="00EC5229"/>
    <w:rsid w:val="00ED156C"/>
    <w:rsid w:val="00ED2A13"/>
    <w:rsid w:val="00ED3369"/>
    <w:rsid w:val="00ED489E"/>
    <w:rsid w:val="00ED5EF4"/>
    <w:rsid w:val="00EE0941"/>
    <w:rsid w:val="00EE0EBE"/>
    <w:rsid w:val="00EE295D"/>
    <w:rsid w:val="00EE3978"/>
    <w:rsid w:val="00EE4F0F"/>
    <w:rsid w:val="00EE6FDF"/>
    <w:rsid w:val="00EE7073"/>
    <w:rsid w:val="00EF45B2"/>
    <w:rsid w:val="00EF564F"/>
    <w:rsid w:val="00EF73B1"/>
    <w:rsid w:val="00F00953"/>
    <w:rsid w:val="00F0110F"/>
    <w:rsid w:val="00F01306"/>
    <w:rsid w:val="00F01655"/>
    <w:rsid w:val="00F01ADD"/>
    <w:rsid w:val="00F026BF"/>
    <w:rsid w:val="00F04013"/>
    <w:rsid w:val="00F0496A"/>
    <w:rsid w:val="00F13790"/>
    <w:rsid w:val="00F13B93"/>
    <w:rsid w:val="00F144E9"/>
    <w:rsid w:val="00F15F87"/>
    <w:rsid w:val="00F17A37"/>
    <w:rsid w:val="00F35AEA"/>
    <w:rsid w:val="00F40DF0"/>
    <w:rsid w:val="00F412FD"/>
    <w:rsid w:val="00F419D1"/>
    <w:rsid w:val="00F4264D"/>
    <w:rsid w:val="00F46EA9"/>
    <w:rsid w:val="00F56D69"/>
    <w:rsid w:val="00F5731C"/>
    <w:rsid w:val="00F577CB"/>
    <w:rsid w:val="00F60217"/>
    <w:rsid w:val="00F655BF"/>
    <w:rsid w:val="00F67039"/>
    <w:rsid w:val="00F70340"/>
    <w:rsid w:val="00F7232B"/>
    <w:rsid w:val="00F77859"/>
    <w:rsid w:val="00F77B06"/>
    <w:rsid w:val="00F80446"/>
    <w:rsid w:val="00F817BA"/>
    <w:rsid w:val="00F82D8D"/>
    <w:rsid w:val="00F856AF"/>
    <w:rsid w:val="00F903C9"/>
    <w:rsid w:val="00F935A1"/>
    <w:rsid w:val="00F93F77"/>
    <w:rsid w:val="00F94158"/>
    <w:rsid w:val="00F94D35"/>
    <w:rsid w:val="00FA005B"/>
    <w:rsid w:val="00FA0FCE"/>
    <w:rsid w:val="00FB040D"/>
    <w:rsid w:val="00FB5121"/>
    <w:rsid w:val="00FC2CBF"/>
    <w:rsid w:val="00FC3463"/>
    <w:rsid w:val="00FC4CEB"/>
    <w:rsid w:val="00FD1FD4"/>
    <w:rsid w:val="00FD3891"/>
    <w:rsid w:val="00FE0023"/>
    <w:rsid w:val="00FE0D2B"/>
    <w:rsid w:val="00FE17A2"/>
    <w:rsid w:val="00FE1A66"/>
    <w:rsid w:val="00FE2AA6"/>
    <w:rsid w:val="00FE5402"/>
    <w:rsid w:val="00FE5E58"/>
    <w:rsid w:val="00FF01BC"/>
    <w:rsid w:val="00FF0B51"/>
    <w:rsid w:val="00FF1E9B"/>
    <w:rsid w:val="00FF2911"/>
    <w:rsid w:val="00FF3286"/>
    <w:rsid w:val="00FF3E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9D230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1"/>
    <w:autoRedefine/>
    <w:uiPriority w:val="99"/>
    <w:unhideWhenUsed/>
    <w:rsid w:val="006F4346"/>
    <w:rPr>
      <w:rFonts w:ascii="Times New Roman" w:hAnsi="Times New Roman"/>
      <w:sz w:val="20"/>
    </w:rPr>
  </w:style>
  <w:style w:type="character" w:customStyle="1" w:styleId="FootnoteTextChar">
    <w:name w:val="Footnote Text Char"/>
    <w:basedOn w:val="DefaultParagraphFont"/>
    <w:uiPriority w:val="99"/>
    <w:semiHidden/>
    <w:rsid w:val="006F4346"/>
  </w:style>
  <w:style w:type="character" w:customStyle="1" w:styleId="FootnoteTextChar1">
    <w:name w:val="Footnote Text Char1"/>
    <w:basedOn w:val="DefaultParagraphFont"/>
    <w:link w:val="FootnoteText"/>
    <w:uiPriority w:val="99"/>
    <w:rsid w:val="006F4346"/>
    <w:rPr>
      <w:rFonts w:ascii="Times New Roman" w:hAnsi="Times New Roman"/>
      <w:sz w:val="20"/>
    </w:rPr>
  </w:style>
  <w:style w:type="paragraph" w:styleId="Footer">
    <w:name w:val="footer"/>
    <w:basedOn w:val="Normal"/>
    <w:link w:val="FooterChar"/>
    <w:uiPriority w:val="99"/>
    <w:unhideWhenUsed/>
    <w:rsid w:val="007A254D"/>
    <w:pPr>
      <w:tabs>
        <w:tab w:val="center" w:pos="4513"/>
        <w:tab w:val="right" w:pos="9026"/>
      </w:tabs>
    </w:pPr>
  </w:style>
  <w:style w:type="character" w:customStyle="1" w:styleId="FooterChar">
    <w:name w:val="Footer Char"/>
    <w:basedOn w:val="DefaultParagraphFont"/>
    <w:link w:val="Footer"/>
    <w:uiPriority w:val="99"/>
    <w:rsid w:val="007A254D"/>
  </w:style>
  <w:style w:type="character" w:styleId="PageNumber">
    <w:name w:val="page number"/>
    <w:basedOn w:val="DefaultParagraphFont"/>
    <w:uiPriority w:val="99"/>
    <w:semiHidden/>
    <w:unhideWhenUsed/>
    <w:rsid w:val="007A254D"/>
  </w:style>
  <w:style w:type="paragraph" w:styleId="ListParagraph">
    <w:name w:val="List Paragraph"/>
    <w:basedOn w:val="Normal"/>
    <w:uiPriority w:val="34"/>
    <w:qFormat/>
    <w:rsid w:val="00624F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204</TotalTime>
  <Pages>5</Pages>
  <Words>2385</Words>
  <Characters>13596</Characters>
  <Application>Microsoft Macintosh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Sinéad Agnew</dc:creator>
  <cp:keywords/>
  <dc:description/>
  <cp:lastModifiedBy>Sinéad Agnew</cp:lastModifiedBy>
  <cp:revision>24</cp:revision>
  <dcterms:created xsi:type="dcterms:W3CDTF">2020-01-24T11:06:00Z</dcterms:created>
  <dcterms:modified xsi:type="dcterms:W3CDTF">2020-01-24T15:06:00Z</dcterms:modified>
</cp:coreProperties>
</file>