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434B" w:rsidRPr="00B6434B" w:rsidRDefault="00D84468" w:rsidP="008A2AF8">
      <w:pPr>
        <w:spacing w:before="100" w:beforeAutospacing="1" w:after="100" w:afterAutospacing="1" w:line="240" w:lineRule="auto"/>
        <w:rPr>
          <w:rFonts w:ascii="Times New Roman" w:hAnsi="Times New Roman" w:cs="Times New Roman"/>
          <w:b/>
          <w:sz w:val="24"/>
          <w:szCs w:val="24"/>
        </w:rPr>
      </w:pPr>
      <w:bookmarkStart w:id="0" w:name="_GoBack"/>
      <w:bookmarkEnd w:id="0"/>
      <w:r>
        <w:rPr>
          <w:rFonts w:ascii="Times New Roman" w:hAnsi="Times New Roman" w:cs="Times New Roman"/>
          <w:b/>
          <w:sz w:val="24"/>
          <w:szCs w:val="24"/>
        </w:rPr>
        <w:t>Risk and</w:t>
      </w:r>
      <w:r w:rsidR="00B6434B" w:rsidRPr="00B6434B">
        <w:rPr>
          <w:rFonts w:ascii="Times New Roman" w:hAnsi="Times New Roman" w:cs="Times New Roman"/>
          <w:b/>
          <w:sz w:val="24"/>
          <w:szCs w:val="24"/>
        </w:rPr>
        <w:t xml:space="preserve"> Resilience of Global Supply Networks: </w:t>
      </w:r>
      <w:r w:rsidR="00B6434B" w:rsidRPr="00B6434B">
        <w:rPr>
          <w:rFonts w:ascii="Times New Roman" w:hAnsi="Times New Roman" w:cs="Times New Roman"/>
          <w:b/>
          <w:i/>
          <w:sz w:val="24"/>
          <w:szCs w:val="24"/>
        </w:rPr>
        <w:t>Identifying and Mitigating the Water Stress Risk of the Californian Wine Industry Supply Chain</w:t>
      </w:r>
    </w:p>
    <w:p w:rsidR="00B6434B" w:rsidRPr="00B6434B" w:rsidRDefault="00B6434B" w:rsidP="008A2AF8">
      <w:pPr>
        <w:spacing w:before="100" w:beforeAutospacing="1" w:after="100" w:afterAutospacing="1" w:line="240" w:lineRule="auto"/>
        <w:rPr>
          <w:rFonts w:ascii="Times New Roman" w:hAnsi="Times New Roman" w:cs="Times New Roman"/>
          <w:sz w:val="24"/>
          <w:szCs w:val="24"/>
        </w:rPr>
      </w:pPr>
      <w:r w:rsidRPr="00B6434B">
        <w:rPr>
          <w:rFonts w:ascii="Times New Roman" w:hAnsi="Times New Roman" w:cs="Times New Roman"/>
          <w:b/>
          <w:sz w:val="24"/>
          <w:szCs w:val="24"/>
        </w:rPr>
        <w:t>Authors:</w:t>
      </w:r>
      <w:r w:rsidRPr="00B6434B">
        <w:rPr>
          <w:rFonts w:ascii="Times New Roman" w:hAnsi="Times New Roman" w:cs="Times New Roman"/>
          <w:sz w:val="24"/>
          <w:szCs w:val="24"/>
        </w:rPr>
        <w:t xml:space="preserve"> Pavan Manocha, Mukesh Kumar &amp; Jagjit Singh Srai</w:t>
      </w:r>
    </w:p>
    <w:p w:rsidR="00B6434B" w:rsidRPr="00B6434B" w:rsidRDefault="00B6434B" w:rsidP="008A2AF8">
      <w:pPr>
        <w:spacing w:before="100" w:beforeAutospacing="1" w:after="100" w:afterAutospacing="1" w:line="240" w:lineRule="auto"/>
        <w:rPr>
          <w:rFonts w:ascii="Times New Roman" w:hAnsi="Times New Roman" w:cs="Times New Roman"/>
          <w:sz w:val="24"/>
          <w:szCs w:val="24"/>
        </w:rPr>
      </w:pPr>
      <w:r w:rsidRPr="00B6434B">
        <w:rPr>
          <w:rFonts w:ascii="Times New Roman" w:hAnsi="Times New Roman" w:cs="Times New Roman"/>
          <w:b/>
          <w:sz w:val="24"/>
          <w:szCs w:val="24"/>
        </w:rPr>
        <w:t>Keywords:</w:t>
      </w:r>
      <w:r w:rsidRPr="00B6434B">
        <w:rPr>
          <w:rFonts w:ascii="Times New Roman" w:hAnsi="Times New Roman" w:cs="Times New Roman"/>
          <w:sz w:val="24"/>
          <w:szCs w:val="24"/>
        </w:rPr>
        <w:t xml:space="preserve"> </w:t>
      </w:r>
      <w:r w:rsidR="00EC1B93" w:rsidRPr="00B6434B">
        <w:rPr>
          <w:rFonts w:ascii="Times New Roman" w:hAnsi="Times New Roman" w:cs="Times New Roman"/>
          <w:sz w:val="24"/>
          <w:szCs w:val="24"/>
        </w:rPr>
        <w:t xml:space="preserve">Supply Chain </w:t>
      </w:r>
      <w:r w:rsidR="00735219">
        <w:rPr>
          <w:rFonts w:ascii="Times New Roman" w:hAnsi="Times New Roman" w:cs="Times New Roman"/>
          <w:sz w:val="24"/>
          <w:szCs w:val="24"/>
        </w:rPr>
        <w:t>Configuration</w:t>
      </w:r>
      <w:r w:rsidR="00EC1B93">
        <w:rPr>
          <w:rFonts w:ascii="Times New Roman" w:hAnsi="Times New Roman" w:cs="Times New Roman"/>
          <w:sz w:val="24"/>
          <w:szCs w:val="24"/>
        </w:rPr>
        <w:t xml:space="preserve">, External Resources </w:t>
      </w:r>
      <w:r w:rsidRPr="00B6434B">
        <w:rPr>
          <w:rFonts w:ascii="Times New Roman" w:hAnsi="Times New Roman" w:cs="Times New Roman"/>
          <w:sz w:val="24"/>
          <w:szCs w:val="24"/>
        </w:rPr>
        <w:t xml:space="preserve">and </w:t>
      </w:r>
      <w:r w:rsidR="00EC1B93">
        <w:rPr>
          <w:rFonts w:ascii="Times New Roman" w:hAnsi="Times New Roman" w:cs="Times New Roman"/>
          <w:sz w:val="24"/>
          <w:szCs w:val="24"/>
        </w:rPr>
        <w:t>Water Stress</w:t>
      </w:r>
    </w:p>
    <w:p w:rsidR="00B6434B" w:rsidRPr="00B6434B" w:rsidRDefault="00B6434B" w:rsidP="008A2AF8">
      <w:pPr>
        <w:spacing w:before="100" w:beforeAutospacing="1" w:after="100" w:afterAutospacing="1" w:line="240" w:lineRule="auto"/>
        <w:rPr>
          <w:rFonts w:ascii="Times New Roman" w:hAnsi="Times New Roman" w:cs="Times New Roman"/>
          <w:sz w:val="24"/>
          <w:szCs w:val="24"/>
        </w:rPr>
      </w:pPr>
      <w:r w:rsidRPr="00B6434B">
        <w:rPr>
          <w:rFonts w:ascii="Times New Roman" w:hAnsi="Times New Roman" w:cs="Times New Roman"/>
          <w:b/>
          <w:sz w:val="24"/>
          <w:szCs w:val="24"/>
        </w:rPr>
        <w:t>Topics:</w:t>
      </w:r>
      <w:r w:rsidRPr="00B6434B">
        <w:rPr>
          <w:rFonts w:ascii="Times New Roman" w:hAnsi="Times New Roman" w:cs="Times New Roman"/>
          <w:sz w:val="24"/>
          <w:szCs w:val="24"/>
        </w:rPr>
        <w:t xml:space="preserve"> (1) Supply</w:t>
      </w:r>
      <w:r w:rsidR="00D84468">
        <w:rPr>
          <w:rFonts w:ascii="Times New Roman" w:hAnsi="Times New Roman" w:cs="Times New Roman"/>
          <w:sz w:val="24"/>
          <w:szCs w:val="24"/>
        </w:rPr>
        <w:t xml:space="preserve"> Chain Configuration, (2) Risk and</w:t>
      </w:r>
      <w:r w:rsidRPr="00B6434B">
        <w:rPr>
          <w:rFonts w:ascii="Times New Roman" w:hAnsi="Times New Roman" w:cs="Times New Roman"/>
          <w:sz w:val="24"/>
          <w:szCs w:val="24"/>
        </w:rPr>
        <w:t xml:space="preserve"> Re</w:t>
      </w:r>
      <w:r>
        <w:rPr>
          <w:rFonts w:ascii="Times New Roman" w:hAnsi="Times New Roman" w:cs="Times New Roman"/>
          <w:sz w:val="24"/>
          <w:szCs w:val="24"/>
        </w:rPr>
        <w:t xml:space="preserve">silience, (3) </w:t>
      </w:r>
      <w:r w:rsidR="00EC1B93">
        <w:rPr>
          <w:rFonts w:ascii="Times New Roman" w:hAnsi="Times New Roman" w:cs="Times New Roman"/>
          <w:sz w:val="24"/>
          <w:szCs w:val="24"/>
        </w:rPr>
        <w:t>Natural Capital Theory</w:t>
      </w:r>
    </w:p>
    <w:p w:rsidR="006F4760" w:rsidRDefault="00DB7FE7" w:rsidP="00D65CDB">
      <w:pPr>
        <w:spacing w:before="100" w:beforeAutospacing="1" w:after="100" w:afterAutospacing="1" w:line="240" w:lineRule="auto"/>
        <w:rPr>
          <w:rFonts w:ascii="Times New Roman" w:hAnsi="Times New Roman" w:cs="Times New Roman"/>
          <w:b/>
          <w:sz w:val="24"/>
          <w:szCs w:val="24"/>
        </w:rPr>
      </w:pPr>
      <w:r>
        <w:rPr>
          <w:rFonts w:ascii="Times New Roman" w:hAnsi="Times New Roman" w:cs="Times New Roman"/>
          <w:b/>
          <w:sz w:val="24"/>
          <w:szCs w:val="24"/>
        </w:rPr>
        <w:t>Abstract</w:t>
      </w:r>
    </w:p>
    <w:p w:rsidR="00A351AA" w:rsidRDefault="006F4760" w:rsidP="00EC1B93">
      <w:pPr>
        <w:spacing w:line="240" w:lineRule="auto"/>
        <w:rPr>
          <w:rFonts w:ascii="Times New Roman" w:hAnsi="Times New Roman" w:cs="Times New Roman"/>
          <w:sz w:val="24"/>
          <w:szCs w:val="24"/>
        </w:rPr>
      </w:pPr>
      <w:r>
        <w:rPr>
          <w:rFonts w:ascii="Times New Roman" w:hAnsi="Times New Roman" w:cs="Times New Roman"/>
          <w:sz w:val="24"/>
          <w:szCs w:val="24"/>
        </w:rPr>
        <w:t xml:space="preserve">This paper explores </w:t>
      </w:r>
      <w:r w:rsidR="002E0FF7">
        <w:rPr>
          <w:rFonts w:ascii="Times New Roman" w:hAnsi="Times New Roman" w:cs="Times New Roman"/>
          <w:sz w:val="24"/>
          <w:szCs w:val="24"/>
        </w:rPr>
        <w:t>natural</w:t>
      </w:r>
      <w:r w:rsidR="005C27FC">
        <w:rPr>
          <w:rFonts w:ascii="Times New Roman" w:hAnsi="Times New Roman" w:cs="Times New Roman"/>
          <w:sz w:val="24"/>
          <w:szCs w:val="24"/>
        </w:rPr>
        <w:t xml:space="preserve"> </w:t>
      </w:r>
      <w:r w:rsidR="00F745C4">
        <w:rPr>
          <w:rFonts w:ascii="Times New Roman" w:hAnsi="Times New Roman" w:cs="Times New Roman"/>
          <w:sz w:val="24"/>
          <w:szCs w:val="24"/>
        </w:rPr>
        <w:t xml:space="preserve">capitals (Water, Biodiversity and </w:t>
      </w:r>
      <w:r w:rsidR="00930910">
        <w:rPr>
          <w:rFonts w:ascii="Times New Roman" w:hAnsi="Times New Roman" w:cs="Times New Roman"/>
          <w:sz w:val="24"/>
          <w:szCs w:val="24"/>
        </w:rPr>
        <w:t>Eco-system services</w:t>
      </w:r>
      <w:r w:rsidR="00F745C4">
        <w:rPr>
          <w:rFonts w:ascii="Times New Roman" w:hAnsi="Times New Roman" w:cs="Times New Roman"/>
          <w:sz w:val="24"/>
          <w:szCs w:val="24"/>
        </w:rPr>
        <w:t>)</w:t>
      </w:r>
      <w:r w:rsidR="002E0FF7">
        <w:rPr>
          <w:rFonts w:ascii="Times New Roman" w:hAnsi="Times New Roman" w:cs="Times New Roman"/>
          <w:sz w:val="24"/>
          <w:szCs w:val="24"/>
        </w:rPr>
        <w:t xml:space="preserve"> in</w:t>
      </w:r>
      <w:r w:rsidR="005C27FC">
        <w:rPr>
          <w:rFonts w:ascii="Times New Roman" w:hAnsi="Times New Roman" w:cs="Times New Roman"/>
          <w:sz w:val="24"/>
          <w:szCs w:val="24"/>
        </w:rPr>
        <w:t xml:space="preserve"> supply chain design</w:t>
      </w:r>
      <w:r w:rsidR="00860784">
        <w:rPr>
          <w:rFonts w:ascii="Times New Roman" w:hAnsi="Times New Roman" w:cs="Times New Roman"/>
          <w:sz w:val="24"/>
          <w:szCs w:val="24"/>
        </w:rPr>
        <w:t xml:space="preserve"> from the perspective of water stress.  </w:t>
      </w:r>
      <w:r>
        <w:rPr>
          <w:rFonts w:ascii="Times New Roman" w:hAnsi="Times New Roman" w:cs="Times New Roman"/>
          <w:sz w:val="24"/>
          <w:szCs w:val="24"/>
        </w:rPr>
        <w:t>This research builds upon natural capital</w:t>
      </w:r>
      <w:r w:rsidR="00735219">
        <w:rPr>
          <w:rFonts w:ascii="Times New Roman" w:hAnsi="Times New Roman" w:cs="Times New Roman"/>
          <w:sz w:val="24"/>
          <w:szCs w:val="24"/>
        </w:rPr>
        <w:t xml:space="preserve"> theory</w:t>
      </w:r>
      <w:r>
        <w:rPr>
          <w:rFonts w:ascii="Times New Roman" w:hAnsi="Times New Roman" w:cs="Times New Roman"/>
          <w:sz w:val="24"/>
          <w:szCs w:val="24"/>
        </w:rPr>
        <w:t xml:space="preserve"> and supply chain </w:t>
      </w:r>
      <w:r w:rsidR="00735219">
        <w:rPr>
          <w:rFonts w:ascii="Times New Roman" w:hAnsi="Times New Roman" w:cs="Times New Roman"/>
          <w:sz w:val="24"/>
          <w:szCs w:val="24"/>
        </w:rPr>
        <w:t>configuration analysis approach</w:t>
      </w:r>
      <w:r w:rsidR="00860784">
        <w:rPr>
          <w:rFonts w:ascii="Times New Roman" w:hAnsi="Times New Roman" w:cs="Times New Roman"/>
          <w:sz w:val="24"/>
          <w:szCs w:val="24"/>
        </w:rPr>
        <w:t>.  Three bodies of literature have been reviewed: water stress, r</w:t>
      </w:r>
      <w:r w:rsidR="00674374">
        <w:rPr>
          <w:rFonts w:ascii="Times New Roman" w:hAnsi="Times New Roman" w:cs="Times New Roman"/>
          <w:sz w:val="24"/>
          <w:szCs w:val="24"/>
        </w:rPr>
        <w:t>isk management and supply chain.  A ca</w:t>
      </w:r>
      <w:r w:rsidR="00825385">
        <w:rPr>
          <w:rFonts w:ascii="Times New Roman" w:hAnsi="Times New Roman" w:cs="Times New Roman"/>
          <w:sz w:val="24"/>
          <w:szCs w:val="24"/>
        </w:rPr>
        <w:t>se study research approach was adopted drawing upon exemplar supply network</w:t>
      </w:r>
      <w:r w:rsidR="00021227">
        <w:rPr>
          <w:rFonts w:ascii="Times New Roman" w:hAnsi="Times New Roman" w:cs="Times New Roman"/>
          <w:sz w:val="24"/>
          <w:szCs w:val="24"/>
        </w:rPr>
        <w:t xml:space="preserve"> partners within </w:t>
      </w:r>
      <w:r w:rsidR="00825385">
        <w:rPr>
          <w:rFonts w:ascii="Times New Roman" w:hAnsi="Times New Roman" w:cs="Times New Roman"/>
          <w:sz w:val="24"/>
          <w:szCs w:val="24"/>
        </w:rPr>
        <w:t>the Californian Wine Industry supply chain</w:t>
      </w:r>
      <w:r w:rsidR="00735219">
        <w:rPr>
          <w:rFonts w:ascii="Times New Roman" w:hAnsi="Times New Roman" w:cs="Times New Roman"/>
          <w:sz w:val="24"/>
          <w:szCs w:val="24"/>
        </w:rPr>
        <w:t xml:space="preserve"> where currently water stress risk exists</w:t>
      </w:r>
      <w:r w:rsidR="00825385">
        <w:rPr>
          <w:rFonts w:ascii="Times New Roman" w:hAnsi="Times New Roman" w:cs="Times New Roman"/>
          <w:sz w:val="24"/>
          <w:szCs w:val="24"/>
        </w:rPr>
        <w:t>.</w:t>
      </w:r>
      <w:r w:rsidR="000E0383">
        <w:rPr>
          <w:rFonts w:ascii="Times New Roman" w:hAnsi="Times New Roman" w:cs="Times New Roman"/>
          <w:sz w:val="24"/>
          <w:szCs w:val="24"/>
        </w:rPr>
        <w:t xml:space="preserve">  </w:t>
      </w:r>
      <w:r w:rsidR="002C11B4">
        <w:rPr>
          <w:rFonts w:ascii="Times New Roman" w:hAnsi="Times New Roman" w:cs="Times New Roman"/>
          <w:sz w:val="24"/>
          <w:szCs w:val="24"/>
        </w:rPr>
        <w:t>A</w:t>
      </w:r>
      <w:r w:rsidR="000E0383">
        <w:rPr>
          <w:rFonts w:ascii="Times New Roman" w:hAnsi="Times New Roman" w:cs="Times New Roman"/>
          <w:sz w:val="24"/>
          <w:szCs w:val="24"/>
        </w:rPr>
        <w:t xml:space="preserve"> key findin</w:t>
      </w:r>
      <w:r w:rsidR="002C11B4">
        <w:rPr>
          <w:rFonts w:ascii="Times New Roman" w:hAnsi="Times New Roman" w:cs="Times New Roman"/>
          <w:sz w:val="24"/>
          <w:szCs w:val="24"/>
        </w:rPr>
        <w:t>g</w:t>
      </w:r>
      <w:r w:rsidR="000E0383">
        <w:rPr>
          <w:rFonts w:ascii="Times New Roman" w:hAnsi="Times New Roman" w:cs="Times New Roman"/>
          <w:sz w:val="24"/>
          <w:szCs w:val="24"/>
        </w:rPr>
        <w:t xml:space="preserve"> of this research include</w:t>
      </w:r>
      <w:r w:rsidR="002C11B4">
        <w:rPr>
          <w:rFonts w:ascii="Times New Roman" w:hAnsi="Times New Roman" w:cs="Times New Roman"/>
          <w:sz w:val="24"/>
          <w:szCs w:val="24"/>
        </w:rPr>
        <w:t>s</w:t>
      </w:r>
      <w:r w:rsidR="000E0383">
        <w:rPr>
          <w:rFonts w:ascii="Times New Roman" w:hAnsi="Times New Roman" w:cs="Times New Roman"/>
          <w:sz w:val="24"/>
          <w:szCs w:val="24"/>
        </w:rPr>
        <w:t xml:space="preserve"> </w:t>
      </w:r>
      <w:r w:rsidR="002C11B4">
        <w:rPr>
          <w:rFonts w:ascii="Times New Roman" w:hAnsi="Times New Roman" w:cs="Times New Roman"/>
          <w:sz w:val="24"/>
          <w:szCs w:val="24"/>
        </w:rPr>
        <w:t>an</w:t>
      </w:r>
      <w:r w:rsidR="000E0383">
        <w:rPr>
          <w:rFonts w:ascii="Times New Roman" w:hAnsi="Times New Roman" w:cs="Times New Roman"/>
          <w:sz w:val="24"/>
          <w:szCs w:val="24"/>
        </w:rPr>
        <w:t xml:space="preserve"> </w:t>
      </w:r>
      <w:r w:rsidR="002C11B4">
        <w:rPr>
          <w:rFonts w:ascii="Times New Roman" w:hAnsi="Times New Roman" w:cs="Times New Roman"/>
          <w:sz w:val="24"/>
          <w:szCs w:val="24"/>
        </w:rPr>
        <w:t>observation that supply chain design</w:t>
      </w:r>
      <w:r w:rsidR="00EC1B93">
        <w:rPr>
          <w:rFonts w:ascii="Times New Roman" w:hAnsi="Times New Roman" w:cs="Times New Roman"/>
          <w:sz w:val="24"/>
          <w:szCs w:val="24"/>
        </w:rPr>
        <w:t xml:space="preserve"> needs to include</w:t>
      </w:r>
      <w:r w:rsidR="002C11B4">
        <w:rPr>
          <w:rFonts w:ascii="Times New Roman" w:hAnsi="Times New Roman" w:cs="Times New Roman"/>
          <w:sz w:val="24"/>
          <w:szCs w:val="24"/>
        </w:rPr>
        <w:t xml:space="preserve"> </w:t>
      </w:r>
      <w:r w:rsidR="00F745C4">
        <w:rPr>
          <w:rFonts w:ascii="Times New Roman" w:hAnsi="Times New Roman" w:cs="Times New Roman"/>
          <w:sz w:val="24"/>
          <w:szCs w:val="24"/>
        </w:rPr>
        <w:t>natural capitals</w:t>
      </w:r>
      <w:r w:rsidR="00EC1B93">
        <w:rPr>
          <w:rFonts w:ascii="Times New Roman" w:hAnsi="Times New Roman" w:cs="Times New Roman"/>
          <w:sz w:val="24"/>
          <w:szCs w:val="24"/>
        </w:rPr>
        <w:t xml:space="preserve"> usage</w:t>
      </w:r>
      <w:r w:rsidR="000E0383">
        <w:rPr>
          <w:rFonts w:ascii="Times New Roman" w:hAnsi="Times New Roman" w:cs="Times New Roman"/>
          <w:sz w:val="24"/>
          <w:szCs w:val="24"/>
        </w:rPr>
        <w:t xml:space="preserve"> and stakeholder collaboration.  </w:t>
      </w:r>
      <w:r w:rsidR="00A9165E">
        <w:rPr>
          <w:rFonts w:ascii="Times New Roman" w:hAnsi="Times New Roman" w:cs="Times New Roman"/>
          <w:sz w:val="24"/>
          <w:szCs w:val="24"/>
        </w:rPr>
        <w:t xml:space="preserve">This study </w:t>
      </w:r>
      <w:r w:rsidR="00930910">
        <w:rPr>
          <w:rFonts w:ascii="Times New Roman" w:hAnsi="Times New Roman" w:cs="Times New Roman"/>
          <w:sz w:val="24"/>
          <w:szCs w:val="24"/>
        </w:rPr>
        <w:t>advances</w:t>
      </w:r>
      <w:r w:rsidR="00A9165E">
        <w:rPr>
          <w:rFonts w:ascii="Times New Roman" w:hAnsi="Times New Roman" w:cs="Times New Roman"/>
          <w:sz w:val="24"/>
          <w:szCs w:val="24"/>
        </w:rPr>
        <w:t xml:space="preserve"> the supply chain </w:t>
      </w:r>
      <w:r w:rsidR="00AC6824">
        <w:rPr>
          <w:rFonts w:ascii="Times New Roman" w:hAnsi="Times New Roman" w:cs="Times New Roman"/>
          <w:sz w:val="24"/>
          <w:szCs w:val="24"/>
        </w:rPr>
        <w:t>configuration</w:t>
      </w:r>
      <w:r w:rsidR="00A9165E">
        <w:rPr>
          <w:rFonts w:ascii="Times New Roman" w:hAnsi="Times New Roman" w:cs="Times New Roman"/>
          <w:sz w:val="24"/>
          <w:szCs w:val="24"/>
        </w:rPr>
        <w:t xml:space="preserve"> approach by illustrating the</w:t>
      </w:r>
      <w:r w:rsidR="000144FB">
        <w:rPr>
          <w:rFonts w:ascii="Times New Roman" w:hAnsi="Times New Roman" w:cs="Times New Roman"/>
          <w:sz w:val="24"/>
          <w:szCs w:val="24"/>
        </w:rPr>
        <w:t xml:space="preserve"> significance of i</w:t>
      </w:r>
      <w:r w:rsidR="00735219">
        <w:rPr>
          <w:rFonts w:ascii="Times New Roman" w:hAnsi="Times New Roman" w:cs="Times New Roman"/>
          <w:sz w:val="24"/>
          <w:szCs w:val="24"/>
        </w:rPr>
        <w:t>nternalising natural capital</w:t>
      </w:r>
      <w:r w:rsidR="00F745C4">
        <w:rPr>
          <w:rFonts w:ascii="Times New Roman" w:hAnsi="Times New Roman" w:cs="Times New Roman"/>
          <w:sz w:val="24"/>
          <w:szCs w:val="24"/>
        </w:rPr>
        <w:t>s</w:t>
      </w:r>
      <w:r w:rsidR="00735219">
        <w:rPr>
          <w:rFonts w:ascii="Times New Roman" w:hAnsi="Times New Roman" w:cs="Times New Roman"/>
          <w:sz w:val="24"/>
          <w:szCs w:val="24"/>
        </w:rPr>
        <w:t xml:space="preserve"> for </w:t>
      </w:r>
      <w:r w:rsidR="000144FB">
        <w:rPr>
          <w:rFonts w:ascii="Times New Roman" w:hAnsi="Times New Roman" w:cs="Times New Roman"/>
          <w:sz w:val="24"/>
          <w:szCs w:val="24"/>
        </w:rPr>
        <w:t>supply chain configuration</w:t>
      </w:r>
      <w:r w:rsidR="00735219">
        <w:rPr>
          <w:rFonts w:ascii="Times New Roman" w:hAnsi="Times New Roman" w:cs="Times New Roman"/>
          <w:sz w:val="24"/>
          <w:szCs w:val="24"/>
        </w:rPr>
        <w:t xml:space="preserve"> </w:t>
      </w:r>
      <w:r w:rsidR="000144FB">
        <w:rPr>
          <w:rFonts w:ascii="Times New Roman" w:hAnsi="Times New Roman" w:cs="Times New Roman"/>
          <w:sz w:val="24"/>
          <w:szCs w:val="24"/>
        </w:rPr>
        <w:t xml:space="preserve">from </w:t>
      </w:r>
      <w:r w:rsidR="00930910">
        <w:rPr>
          <w:rFonts w:ascii="Times New Roman" w:hAnsi="Times New Roman" w:cs="Times New Roman"/>
          <w:sz w:val="24"/>
          <w:szCs w:val="24"/>
        </w:rPr>
        <w:t xml:space="preserve">a </w:t>
      </w:r>
      <w:r w:rsidR="000144FB">
        <w:rPr>
          <w:rFonts w:ascii="Times New Roman" w:hAnsi="Times New Roman" w:cs="Times New Roman"/>
          <w:sz w:val="24"/>
          <w:szCs w:val="24"/>
        </w:rPr>
        <w:t>risk perspective. This study suggest</w:t>
      </w:r>
      <w:r w:rsidR="00930910">
        <w:rPr>
          <w:rFonts w:ascii="Times New Roman" w:hAnsi="Times New Roman" w:cs="Times New Roman"/>
          <w:sz w:val="24"/>
          <w:szCs w:val="24"/>
        </w:rPr>
        <w:t>s</w:t>
      </w:r>
      <w:r w:rsidR="000144FB">
        <w:rPr>
          <w:rFonts w:ascii="Times New Roman" w:hAnsi="Times New Roman" w:cs="Times New Roman"/>
          <w:sz w:val="24"/>
          <w:szCs w:val="24"/>
        </w:rPr>
        <w:t xml:space="preserve"> that</w:t>
      </w:r>
      <w:r w:rsidR="000E0383">
        <w:rPr>
          <w:rFonts w:ascii="Times New Roman" w:hAnsi="Times New Roman" w:cs="Times New Roman"/>
          <w:sz w:val="24"/>
          <w:szCs w:val="24"/>
        </w:rPr>
        <w:t xml:space="preserve"> </w:t>
      </w:r>
      <w:r w:rsidR="00F745C4">
        <w:rPr>
          <w:rFonts w:ascii="Times New Roman" w:hAnsi="Times New Roman" w:cs="Times New Roman"/>
          <w:sz w:val="24"/>
          <w:szCs w:val="24"/>
        </w:rPr>
        <w:t>natural capitals</w:t>
      </w:r>
      <w:r w:rsidR="000E0383">
        <w:rPr>
          <w:rFonts w:ascii="Times New Roman" w:hAnsi="Times New Roman" w:cs="Times New Roman"/>
          <w:sz w:val="24"/>
          <w:szCs w:val="24"/>
        </w:rPr>
        <w:t xml:space="preserve"> are </w:t>
      </w:r>
      <w:r w:rsidR="000144FB">
        <w:rPr>
          <w:rFonts w:ascii="Times New Roman" w:hAnsi="Times New Roman" w:cs="Times New Roman"/>
          <w:sz w:val="24"/>
          <w:szCs w:val="24"/>
        </w:rPr>
        <w:t>significant</w:t>
      </w:r>
      <w:r w:rsidR="000E0383">
        <w:rPr>
          <w:rFonts w:ascii="Times New Roman" w:hAnsi="Times New Roman" w:cs="Times New Roman"/>
          <w:sz w:val="24"/>
          <w:szCs w:val="24"/>
        </w:rPr>
        <w:t xml:space="preserve"> </w:t>
      </w:r>
      <w:r w:rsidR="00F745C4">
        <w:rPr>
          <w:rFonts w:ascii="Times New Roman" w:hAnsi="Times New Roman" w:cs="Times New Roman"/>
          <w:sz w:val="24"/>
          <w:szCs w:val="24"/>
        </w:rPr>
        <w:t>resources</w:t>
      </w:r>
      <w:r w:rsidR="000144FB">
        <w:rPr>
          <w:rFonts w:ascii="Times New Roman" w:hAnsi="Times New Roman" w:cs="Times New Roman"/>
          <w:sz w:val="24"/>
          <w:szCs w:val="24"/>
        </w:rPr>
        <w:t xml:space="preserve"> in </w:t>
      </w:r>
      <w:r w:rsidR="00A30253">
        <w:rPr>
          <w:rFonts w:ascii="Times New Roman" w:hAnsi="Times New Roman" w:cs="Times New Roman"/>
          <w:sz w:val="24"/>
          <w:szCs w:val="24"/>
        </w:rPr>
        <w:t xml:space="preserve">the </w:t>
      </w:r>
      <w:r w:rsidR="000106AF">
        <w:rPr>
          <w:rFonts w:ascii="Times New Roman" w:hAnsi="Times New Roman" w:cs="Times New Roman"/>
          <w:sz w:val="24"/>
          <w:szCs w:val="24"/>
        </w:rPr>
        <w:t xml:space="preserve">supply chain, and </w:t>
      </w:r>
      <w:r w:rsidR="000E0383">
        <w:rPr>
          <w:rFonts w:ascii="Times New Roman" w:hAnsi="Times New Roman" w:cs="Times New Roman"/>
          <w:sz w:val="24"/>
          <w:szCs w:val="24"/>
        </w:rPr>
        <w:t>supply chain design needs to incorporate collaboration across an extended network of stakeholders.</w:t>
      </w:r>
      <w:r w:rsidR="002C11B4">
        <w:rPr>
          <w:rFonts w:ascii="Times New Roman" w:hAnsi="Times New Roman" w:cs="Times New Roman"/>
          <w:sz w:val="24"/>
          <w:szCs w:val="24"/>
        </w:rPr>
        <w:t xml:space="preserve">  </w:t>
      </w:r>
      <w:r w:rsidR="000E0383">
        <w:rPr>
          <w:rFonts w:ascii="Times New Roman" w:hAnsi="Times New Roman" w:cs="Times New Roman"/>
          <w:sz w:val="24"/>
          <w:szCs w:val="24"/>
        </w:rPr>
        <w:t>.</w:t>
      </w:r>
    </w:p>
    <w:p w:rsidR="005D5985" w:rsidRPr="008A5B07" w:rsidRDefault="005D5985" w:rsidP="005D5985">
      <w:pPr>
        <w:pStyle w:val="Heading1"/>
        <w:numPr>
          <w:ilvl w:val="0"/>
          <w:numId w:val="0"/>
        </w:numPr>
        <w:rPr>
          <w:sz w:val="24"/>
        </w:rPr>
      </w:pPr>
      <w:bookmarkStart w:id="1" w:name="_Toc425392367"/>
      <w:r w:rsidRPr="008A5B07">
        <w:rPr>
          <w:sz w:val="24"/>
        </w:rPr>
        <w:t>Introduction</w:t>
      </w:r>
      <w:bookmarkEnd w:id="1"/>
    </w:p>
    <w:p w:rsidR="005D5985" w:rsidRDefault="005D5985" w:rsidP="005D5985">
      <w:pPr>
        <w:spacing w:before="100" w:beforeAutospacing="1" w:after="100" w:afterAutospacing="1" w:line="240" w:lineRule="auto"/>
        <w:rPr>
          <w:rFonts w:ascii="Times New Roman" w:hAnsi="Times New Roman" w:cs="Times New Roman"/>
          <w:sz w:val="24"/>
          <w:szCs w:val="24"/>
        </w:rPr>
      </w:pPr>
      <w:r w:rsidRPr="00E02604">
        <w:rPr>
          <w:rFonts w:ascii="Times New Roman" w:hAnsi="Times New Roman" w:cs="Times New Roman"/>
          <w:sz w:val="24"/>
          <w:szCs w:val="24"/>
        </w:rPr>
        <w:t xml:space="preserve">The Intergovernmental Panel on Climate Change (IPCC) </w:t>
      </w:r>
      <w:r>
        <w:rPr>
          <w:rFonts w:ascii="Times New Roman" w:hAnsi="Times New Roman" w:cs="Times New Roman"/>
          <w:sz w:val="24"/>
          <w:szCs w:val="24"/>
        </w:rPr>
        <w:t xml:space="preserve">report concluded that </w:t>
      </w:r>
      <w:r w:rsidRPr="00EF5C7A">
        <w:rPr>
          <w:rFonts w:ascii="Times New Roman" w:hAnsi="Times New Roman" w:cs="Times New Roman"/>
          <w:i/>
          <w:sz w:val="24"/>
          <w:szCs w:val="24"/>
        </w:rPr>
        <w:t>“human interference with the climate system is occurring and climate change poses risks for human and natural systems”</w:t>
      </w:r>
      <w:r w:rsidRPr="00E02604">
        <w:rPr>
          <w:rFonts w:ascii="Times New Roman" w:hAnsi="Times New Roman" w:cs="Times New Roman"/>
          <w:sz w:val="24"/>
          <w:szCs w:val="24"/>
        </w:rPr>
        <w:t xml:space="preserve"> (IPCC</w:t>
      </w:r>
      <w:r>
        <w:rPr>
          <w:rFonts w:ascii="Times New Roman" w:hAnsi="Times New Roman" w:cs="Times New Roman"/>
          <w:sz w:val="24"/>
          <w:szCs w:val="24"/>
        </w:rPr>
        <w:t xml:space="preserve"> </w:t>
      </w:r>
      <w:r w:rsidRPr="00E02604">
        <w:rPr>
          <w:rFonts w:ascii="Times New Roman" w:hAnsi="Times New Roman" w:cs="Times New Roman"/>
          <w:sz w:val="24"/>
          <w:szCs w:val="24"/>
        </w:rPr>
        <w:t xml:space="preserve">AR5 WG2, 2014).  Within this context, one of the sustainable development challenges facing the world is meeting the rapidly increasing demands for water (Postel, 2000). </w:t>
      </w:r>
      <w:r>
        <w:rPr>
          <w:rFonts w:ascii="Times New Roman" w:hAnsi="Times New Roman" w:cs="Times New Roman"/>
          <w:sz w:val="24"/>
          <w:szCs w:val="24"/>
        </w:rPr>
        <w:t xml:space="preserve">This paper focuses on </w:t>
      </w:r>
      <w:r w:rsidR="00930910">
        <w:rPr>
          <w:rFonts w:ascii="Times New Roman" w:hAnsi="Times New Roman" w:cs="Times New Roman"/>
          <w:sz w:val="24"/>
          <w:szCs w:val="24"/>
        </w:rPr>
        <w:t>natural capitals</w:t>
      </w:r>
      <w:r>
        <w:rPr>
          <w:rFonts w:ascii="Times New Roman" w:hAnsi="Times New Roman" w:cs="Times New Roman"/>
          <w:sz w:val="24"/>
          <w:szCs w:val="24"/>
        </w:rPr>
        <w:t xml:space="preserve"> and supply chain design from a risk perspective.  </w:t>
      </w:r>
      <w:r w:rsidR="00A30253">
        <w:rPr>
          <w:rFonts w:ascii="Times New Roman" w:hAnsi="Times New Roman" w:cs="Times New Roman"/>
          <w:sz w:val="24"/>
          <w:szCs w:val="24"/>
        </w:rPr>
        <w:t xml:space="preserve">This research builds upon natural capital theory and supply chain configuration analysis approach.  </w:t>
      </w:r>
    </w:p>
    <w:p w:rsidR="005D5985" w:rsidRPr="004E262E"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This paper argues that key industrial sectors have to date taken a narrow view and, at best only understand their internal resources and primary supply chains.  Furthermore, this pape</w:t>
      </w:r>
      <w:r w:rsidR="00930910">
        <w:rPr>
          <w:rFonts w:ascii="Times New Roman" w:hAnsi="Times New Roman" w:cs="Times New Roman"/>
          <w:sz w:val="24"/>
          <w:szCs w:val="24"/>
        </w:rPr>
        <w:t xml:space="preserve">r suggests that natural capitals </w:t>
      </w:r>
      <w:r>
        <w:rPr>
          <w:rFonts w:ascii="Times New Roman" w:hAnsi="Times New Roman" w:cs="Times New Roman"/>
          <w:sz w:val="24"/>
          <w:szCs w:val="24"/>
        </w:rPr>
        <w:t xml:space="preserve">are increasingly important </w:t>
      </w:r>
      <w:r w:rsidR="00A9165E">
        <w:rPr>
          <w:rFonts w:ascii="Times New Roman" w:hAnsi="Times New Roman" w:cs="Times New Roman"/>
          <w:sz w:val="24"/>
          <w:szCs w:val="24"/>
        </w:rPr>
        <w:t>to</w:t>
      </w:r>
      <w:r>
        <w:rPr>
          <w:rFonts w:ascii="Times New Roman" w:hAnsi="Times New Roman" w:cs="Times New Roman"/>
          <w:sz w:val="24"/>
          <w:szCs w:val="24"/>
        </w:rPr>
        <w:t xml:space="preserve"> supply chain performance.  Instances, such as Coca-Cola’s experience in India </w:t>
      </w:r>
      <w:r w:rsidRPr="006A7B78">
        <w:rPr>
          <w:rFonts w:ascii="Times New Roman" w:hAnsi="Times New Roman" w:cs="Times New Roman"/>
          <w:sz w:val="24"/>
          <w:szCs w:val="24"/>
        </w:rPr>
        <w:t>(Morrison and Gleick, 2004)</w:t>
      </w:r>
      <w:r>
        <w:rPr>
          <w:rFonts w:ascii="Times New Roman" w:hAnsi="Times New Roman" w:cs="Times New Roman"/>
          <w:sz w:val="24"/>
          <w:szCs w:val="24"/>
        </w:rPr>
        <w:t>, and Nestlé in Michigan, USA (Barton and Morgan-Knott, 2010), highlights issues</w:t>
      </w:r>
      <w:r w:rsidRPr="00374EFF">
        <w:rPr>
          <w:rFonts w:ascii="Times New Roman" w:hAnsi="Times New Roman" w:cs="Times New Roman"/>
          <w:sz w:val="24"/>
          <w:szCs w:val="24"/>
        </w:rPr>
        <w:t xml:space="preserve"> </w:t>
      </w:r>
      <w:r>
        <w:rPr>
          <w:rFonts w:ascii="Times New Roman" w:hAnsi="Times New Roman" w:cs="Times New Roman"/>
          <w:sz w:val="24"/>
          <w:szCs w:val="24"/>
        </w:rPr>
        <w:t xml:space="preserve">in natural resource provisioning such as water.  An argument exists that supply chain design should </w:t>
      </w:r>
      <w:r w:rsidR="00930910">
        <w:rPr>
          <w:rFonts w:ascii="Times New Roman" w:hAnsi="Times New Roman" w:cs="Times New Roman"/>
          <w:sz w:val="24"/>
          <w:szCs w:val="24"/>
        </w:rPr>
        <w:t>internalise</w:t>
      </w:r>
      <w:r>
        <w:rPr>
          <w:rFonts w:ascii="Times New Roman" w:hAnsi="Times New Roman" w:cs="Times New Roman"/>
          <w:sz w:val="24"/>
          <w:szCs w:val="24"/>
        </w:rPr>
        <w:t xml:space="preserve"> </w:t>
      </w:r>
      <w:r w:rsidR="00930910">
        <w:rPr>
          <w:rFonts w:ascii="Times New Roman" w:hAnsi="Times New Roman" w:cs="Times New Roman"/>
          <w:sz w:val="24"/>
          <w:szCs w:val="24"/>
        </w:rPr>
        <w:t>natural capitals</w:t>
      </w:r>
      <w:r>
        <w:rPr>
          <w:rFonts w:ascii="Times New Roman" w:hAnsi="Times New Roman" w:cs="Times New Roman"/>
          <w:sz w:val="24"/>
          <w:szCs w:val="24"/>
        </w:rPr>
        <w:t xml:space="preserve">, and broaden the notion of network structure to </w:t>
      </w:r>
      <w:r w:rsidR="00930910">
        <w:rPr>
          <w:rFonts w:ascii="Times New Roman" w:hAnsi="Times New Roman" w:cs="Times New Roman"/>
          <w:sz w:val="24"/>
          <w:szCs w:val="24"/>
        </w:rPr>
        <w:t>integrate</w:t>
      </w:r>
      <w:r>
        <w:rPr>
          <w:rFonts w:ascii="Times New Roman" w:hAnsi="Times New Roman" w:cs="Times New Roman"/>
          <w:sz w:val="24"/>
          <w:szCs w:val="24"/>
        </w:rPr>
        <w:t xml:space="preserve"> non-traditional supply chain partners.  </w:t>
      </w:r>
      <w:r w:rsidRPr="00E02604">
        <w:rPr>
          <w:rFonts w:ascii="Times New Roman" w:hAnsi="Times New Roman" w:cs="Times New Roman"/>
          <w:sz w:val="24"/>
          <w:szCs w:val="24"/>
        </w:rPr>
        <w:t xml:space="preserve">It is within this context that the research question: </w:t>
      </w:r>
      <w:r>
        <w:rPr>
          <w:rFonts w:ascii="Times New Roman" w:hAnsi="Times New Roman" w:cs="Times New Roman"/>
          <w:sz w:val="24"/>
          <w:szCs w:val="24"/>
        </w:rPr>
        <w:t xml:space="preserve"> </w:t>
      </w:r>
      <w:r>
        <w:rPr>
          <w:rFonts w:ascii="Times New Roman" w:hAnsi="Times New Roman" w:cs="Times New Roman"/>
          <w:i/>
          <w:sz w:val="24"/>
          <w:szCs w:val="24"/>
        </w:rPr>
        <w:t xml:space="preserve">How can water stress risk be identified and mitigated within the </w:t>
      </w:r>
      <w:r w:rsidRPr="00E02604">
        <w:rPr>
          <w:rFonts w:ascii="Times New Roman" w:hAnsi="Times New Roman" w:cs="Times New Roman"/>
          <w:i/>
          <w:color w:val="000000"/>
          <w:sz w:val="24"/>
          <w:szCs w:val="24"/>
        </w:rPr>
        <w:t xml:space="preserve">supply chain? </w:t>
      </w:r>
      <w:r w:rsidRPr="00E02604">
        <w:rPr>
          <w:rFonts w:ascii="Times New Roman" w:hAnsi="Times New Roman" w:cs="Times New Roman"/>
          <w:color w:val="000000"/>
          <w:sz w:val="24"/>
          <w:szCs w:val="24"/>
        </w:rPr>
        <w:t>is defined.</w:t>
      </w:r>
      <w:r w:rsidRPr="00E02604">
        <w:rPr>
          <w:rFonts w:ascii="Times New Roman" w:hAnsi="Times New Roman" w:cs="Times New Roman"/>
          <w:i/>
          <w:color w:val="000000"/>
          <w:sz w:val="24"/>
          <w:szCs w:val="24"/>
        </w:rPr>
        <w:t xml:space="preserve">  </w:t>
      </w:r>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color w:val="000000"/>
          <w:sz w:val="24"/>
          <w:szCs w:val="24"/>
        </w:rPr>
        <w:t>This paper is structured as follows:</w:t>
      </w:r>
      <w:r w:rsidRPr="00E02604">
        <w:rPr>
          <w:rFonts w:ascii="Times New Roman" w:hAnsi="Times New Roman" w:cs="Times New Roman"/>
          <w:color w:val="000000"/>
          <w:sz w:val="24"/>
          <w:szCs w:val="24"/>
        </w:rPr>
        <w:t xml:space="preserve"> </w:t>
      </w:r>
      <w:r w:rsidRPr="00ED4E4D">
        <w:rPr>
          <w:rFonts w:ascii="Times New Roman" w:hAnsi="Times New Roman" w:cs="Times New Roman"/>
          <w:i/>
          <w:color w:val="000000"/>
          <w:sz w:val="24"/>
          <w:szCs w:val="24"/>
        </w:rPr>
        <w:t>Theoretical Foundation</w:t>
      </w:r>
      <w:r>
        <w:rPr>
          <w:rFonts w:ascii="Times New Roman" w:hAnsi="Times New Roman" w:cs="Times New Roman"/>
          <w:color w:val="000000"/>
          <w:sz w:val="24"/>
          <w:szCs w:val="24"/>
        </w:rPr>
        <w:t xml:space="preserve">: defines the theoretical arguments which link natural capital efficiency to supply chain performance.  </w:t>
      </w:r>
      <w:r w:rsidRPr="00B11160">
        <w:rPr>
          <w:rFonts w:ascii="Times New Roman" w:hAnsi="Times New Roman" w:cs="Times New Roman"/>
          <w:i/>
          <w:sz w:val="24"/>
          <w:szCs w:val="24"/>
        </w:rPr>
        <w:t>Approach</w:t>
      </w:r>
      <w:r w:rsidRPr="00E02604">
        <w:rPr>
          <w:rFonts w:ascii="Times New Roman" w:hAnsi="Times New Roman" w:cs="Times New Roman"/>
          <w:sz w:val="24"/>
          <w:szCs w:val="24"/>
        </w:rPr>
        <w:t>:</w:t>
      </w:r>
      <w:r>
        <w:rPr>
          <w:rFonts w:ascii="Times New Roman" w:hAnsi="Times New Roman" w:cs="Times New Roman"/>
          <w:sz w:val="24"/>
          <w:szCs w:val="24"/>
        </w:rPr>
        <w:t xml:space="preserve"> </w:t>
      </w:r>
      <w:r w:rsidRPr="00E02604">
        <w:rPr>
          <w:rFonts w:ascii="Times New Roman" w:hAnsi="Times New Roman" w:cs="Times New Roman"/>
          <w:sz w:val="24"/>
          <w:szCs w:val="24"/>
        </w:rPr>
        <w:t>de</w:t>
      </w:r>
      <w:r>
        <w:rPr>
          <w:rFonts w:ascii="Times New Roman" w:hAnsi="Times New Roman" w:cs="Times New Roman"/>
          <w:sz w:val="24"/>
          <w:szCs w:val="24"/>
        </w:rPr>
        <w:t xml:space="preserve">scribes the research design, </w:t>
      </w:r>
      <w:r w:rsidRPr="00E02604">
        <w:rPr>
          <w:rFonts w:ascii="Times New Roman" w:hAnsi="Times New Roman" w:cs="Times New Roman"/>
          <w:sz w:val="24"/>
          <w:szCs w:val="24"/>
        </w:rPr>
        <w:t>conceptual</w:t>
      </w:r>
      <w:r>
        <w:rPr>
          <w:rFonts w:ascii="Times New Roman" w:hAnsi="Times New Roman" w:cs="Times New Roman"/>
          <w:sz w:val="24"/>
          <w:szCs w:val="24"/>
        </w:rPr>
        <w:t xml:space="preserve"> and methodological</w:t>
      </w:r>
      <w:r w:rsidRPr="00E02604">
        <w:rPr>
          <w:rFonts w:ascii="Times New Roman" w:hAnsi="Times New Roman" w:cs="Times New Roman"/>
          <w:sz w:val="24"/>
          <w:szCs w:val="24"/>
        </w:rPr>
        <w:t xml:space="preserve"> framework</w:t>
      </w:r>
      <w:r>
        <w:rPr>
          <w:rFonts w:ascii="Times New Roman" w:hAnsi="Times New Roman" w:cs="Times New Roman"/>
          <w:sz w:val="24"/>
          <w:szCs w:val="24"/>
        </w:rPr>
        <w:t xml:space="preserve">s, and case study results.  </w:t>
      </w:r>
      <w:r w:rsidRPr="00B11160">
        <w:rPr>
          <w:rFonts w:ascii="Times New Roman" w:hAnsi="Times New Roman" w:cs="Times New Roman"/>
          <w:i/>
          <w:sz w:val="24"/>
          <w:szCs w:val="24"/>
        </w:rPr>
        <w:t>Discussion</w:t>
      </w:r>
      <w:r w:rsidRPr="00E02604">
        <w:rPr>
          <w:rFonts w:ascii="Times New Roman" w:hAnsi="Times New Roman" w:cs="Times New Roman"/>
          <w:sz w:val="24"/>
          <w:szCs w:val="24"/>
        </w:rPr>
        <w:t>: presents an analysis of t</w:t>
      </w:r>
      <w:r>
        <w:rPr>
          <w:rFonts w:ascii="Times New Roman" w:hAnsi="Times New Roman" w:cs="Times New Roman"/>
          <w:sz w:val="24"/>
          <w:szCs w:val="24"/>
        </w:rPr>
        <w:t>he findings; and</w:t>
      </w:r>
      <w:r w:rsidRPr="00E02604">
        <w:rPr>
          <w:rFonts w:ascii="Times New Roman" w:hAnsi="Times New Roman" w:cs="Times New Roman"/>
          <w:sz w:val="24"/>
          <w:szCs w:val="24"/>
        </w:rPr>
        <w:t xml:space="preserve"> </w:t>
      </w:r>
      <w:r w:rsidRPr="00B11160">
        <w:rPr>
          <w:rFonts w:ascii="Times New Roman" w:hAnsi="Times New Roman" w:cs="Times New Roman"/>
          <w:i/>
          <w:sz w:val="24"/>
          <w:szCs w:val="24"/>
        </w:rPr>
        <w:t>Conclusion</w:t>
      </w:r>
      <w:r w:rsidRPr="00E02604">
        <w:rPr>
          <w:rFonts w:ascii="Times New Roman" w:hAnsi="Times New Roman" w:cs="Times New Roman"/>
          <w:sz w:val="24"/>
          <w:szCs w:val="24"/>
        </w:rPr>
        <w:t xml:space="preserve">: describes the </w:t>
      </w:r>
      <w:r>
        <w:rPr>
          <w:rFonts w:ascii="Times New Roman" w:hAnsi="Times New Roman" w:cs="Times New Roman"/>
          <w:sz w:val="24"/>
          <w:szCs w:val="24"/>
        </w:rPr>
        <w:t>implications, the</w:t>
      </w:r>
      <w:r w:rsidRPr="00E02604">
        <w:rPr>
          <w:rFonts w:ascii="Times New Roman" w:hAnsi="Times New Roman" w:cs="Times New Roman"/>
          <w:sz w:val="24"/>
          <w:szCs w:val="24"/>
        </w:rPr>
        <w:t xml:space="preserve"> </w:t>
      </w:r>
      <w:r>
        <w:rPr>
          <w:rFonts w:ascii="Times New Roman" w:hAnsi="Times New Roman" w:cs="Times New Roman"/>
          <w:sz w:val="24"/>
          <w:szCs w:val="24"/>
        </w:rPr>
        <w:t xml:space="preserve">theoretical </w:t>
      </w:r>
      <w:r w:rsidRPr="00E02604">
        <w:rPr>
          <w:rFonts w:ascii="Times New Roman" w:hAnsi="Times New Roman" w:cs="Times New Roman"/>
          <w:sz w:val="24"/>
          <w:szCs w:val="24"/>
        </w:rPr>
        <w:t>contribution to theory</w:t>
      </w:r>
      <w:r>
        <w:rPr>
          <w:rFonts w:ascii="Times New Roman" w:hAnsi="Times New Roman" w:cs="Times New Roman"/>
          <w:sz w:val="24"/>
          <w:szCs w:val="24"/>
        </w:rPr>
        <w:t>,</w:t>
      </w:r>
      <w:r w:rsidRPr="00E02604">
        <w:rPr>
          <w:rFonts w:ascii="Times New Roman" w:hAnsi="Times New Roman" w:cs="Times New Roman"/>
          <w:sz w:val="24"/>
          <w:szCs w:val="24"/>
        </w:rPr>
        <w:t xml:space="preserve"> and informs future research direction.</w:t>
      </w:r>
    </w:p>
    <w:p w:rsidR="005D5985" w:rsidRPr="00602341" w:rsidRDefault="000106AF" w:rsidP="005D5985">
      <w:pPr>
        <w:pStyle w:val="Heading1"/>
        <w:numPr>
          <w:ilvl w:val="0"/>
          <w:numId w:val="0"/>
        </w:numPr>
        <w:rPr>
          <w:sz w:val="24"/>
        </w:rPr>
      </w:pPr>
      <w:bookmarkStart w:id="2" w:name="_Toc425392370"/>
      <w:r>
        <w:rPr>
          <w:sz w:val="24"/>
        </w:rPr>
        <w:lastRenderedPageBreak/>
        <w:t>T</w:t>
      </w:r>
      <w:r w:rsidR="005D5985" w:rsidRPr="00602341">
        <w:rPr>
          <w:sz w:val="24"/>
        </w:rPr>
        <w:t xml:space="preserve">heoretical </w:t>
      </w:r>
      <w:bookmarkEnd w:id="2"/>
      <w:r w:rsidR="005D5985">
        <w:rPr>
          <w:sz w:val="24"/>
        </w:rPr>
        <w:t>Foundation</w:t>
      </w:r>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Theoretical concepts and key arguments in the research are drawn from indirect linkages established between the theoretical domains of natural capital and supply chain design.  The theory on natural capital defines three types of natural capital stock or flow: 1) resources, 2) sinks and 3) services (Porritt, 2007).  This paper uses the provisioning of water as the natural capital resource stock or flow upon which to base the theoretical argument. </w:t>
      </w:r>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Supply chain theory advances the notion of organizational performance as a function of resource-based efficiency across a supply network (</w:t>
      </w:r>
      <w:r w:rsidR="0061647B">
        <w:rPr>
          <w:rFonts w:ascii="Times New Roman" w:hAnsi="Times New Roman" w:cs="Times New Roman"/>
          <w:sz w:val="24"/>
          <w:szCs w:val="24"/>
        </w:rPr>
        <w:t>Chandra and Grabis</w:t>
      </w:r>
      <w:r>
        <w:rPr>
          <w:rFonts w:ascii="Times New Roman" w:hAnsi="Times New Roman" w:cs="Times New Roman"/>
          <w:sz w:val="24"/>
          <w:szCs w:val="24"/>
        </w:rPr>
        <w:t xml:space="preserve">, 2007).  Three bodies of literature were reviewed: water stress, risk management and supply chain.  Water scarcity and water stress have been defined in the literature as a </w:t>
      </w:r>
      <w:r w:rsidRPr="00CF2A97">
        <w:rPr>
          <w:rFonts w:ascii="Times New Roman" w:hAnsi="Times New Roman" w:cs="Times New Roman"/>
          <w:sz w:val="24"/>
          <w:szCs w:val="24"/>
        </w:rPr>
        <w:t>volumetric abundance, o</w:t>
      </w:r>
      <w:r>
        <w:rPr>
          <w:rFonts w:ascii="Times New Roman" w:hAnsi="Times New Roman" w:cs="Times New Roman"/>
          <w:sz w:val="24"/>
          <w:szCs w:val="24"/>
        </w:rPr>
        <w:t xml:space="preserve">r lack thereof, of water supply, and </w:t>
      </w:r>
      <w:r w:rsidRPr="00CF2A97">
        <w:rPr>
          <w:rFonts w:ascii="Times New Roman" w:hAnsi="Times New Roman" w:cs="Times New Roman"/>
          <w:sz w:val="24"/>
          <w:szCs w:val="24"/>
        </w:rPr>
        <w:t>as the ability, or lack thereof, to meet human and ecological demand for water</w:t>
      </w:r>
      <w:r>
        <w:rPr>
          <w:rFonts w:ascii="Times New Roman" w:hAnsi="Times New Roman" w:cs="Times New Roman"/>
          <w:sz w:val="24"/>
          <w:szCs w:val="24"/>
        </w:rPr>
        <w:t xml:space="preserve"> respectively</w:t>
      </w:r>
      <w:r w:rsidRPr="00CF2A97">
        <w:rPr>
          <w:rFonts w:ascii="Times New Roman" w:hAnsi="Times New Roman" w:cs="Times New Roman"/>
          <w:sz w:val="24"/>
          <w:szCs w:val="24"/>
        </w:rPr>
        <w:t>.</w:t>
      </w:r>
      <w:r>
        <w:rPr>
          <w:rFonts w:ascii="Times New Roman" w:hAnsi="Times New Roman" w:cs="Times New Roman"/>
          <w:sz w:val="24"/>
          <w:szCs w:val="24"/>
        </w:rPr>
        <w:t xml:space="preserve">  </w:t>
      </w:r>
      <w:r w:rsidRPr="00CF2A97">
        <w:rPr>
          <w:rFonts w:ascii="Times New Roman" w:hAnsi="Times New Roman" w:cs="Times New Roman"/>
          <w:sz w:val="24"/>
          <w:szCs w:val="24"/>
        </w:rPr>
        <w:t>Compared to scarcity, “water stress” is a more inclusive and broader concept. It considers several physical aspects related to water</w:t>
      </w:r>
      <w:r w:rsidR="00930910">
        <w:rPr>
          <w:rFonts w:ascii="Times New Roman" w:hAnsi="Times New Roman" w:cs="Times New Roman"/>
          <w:sz w:val="24"/>
          <w:szCs w:val="24"/>
        </w:rPr>
        <w:t xml:space="preserve"> as a natural capital asset</w:t>
      </w:r>
      <w:r w:rsidRPr="00CF2A97">
        <w:rPr>
          <w:rFonts w:ascii="Times New Roman" w:hAnsi="Times New Roman" w:cs="Times New Roman"/>
          <w:sz w:val="24"/>
          <w:szCs w:val="24"/>
        </w:rPr>
        <w:t>, including water scarcity, but also water quality, environmental flows, and the accessibility of water (i.e., whether people are able to make use of physic</w:t>
      </w:r>
      <w:r>
        <w:rPr>
          <w:rFonts w:ascii="Times New Roman" w:hAnsi="Times New Roman" w:cs="Times New Roman"/>
          <w:sz w:val="24"/>
          <w:szCs w:val="24"/>
        </w:rPr>
        <w:t xml:space="preserve">ally-available water supplies).  </w:t>
      </w:r>
      <w:r w:rsidRPr="00CF2A97">
        <w:rPr>
          <w:rFonts w:ascii="Times New Roman" w:hAnsi="Times New Roman" w:cs="Times New Roman"/>
          <w:sz w:val="24"/>
          <w:szCs w:val="24"/>
        </w:rPr>
        <w:t>That notwithstanding, many water-related conditions, such as water scarcity, pollution, poor govern</w:t>
      </w:r>
      <w:r>
        <w:rPr>
          <w:rFonts w:ascii="Times New Roman" w:hAnsi="Times New Roman" w:cs="Times New Roman"/>
          <w:sz w:val="24"/>
          <w:szCs w:val="24"/>
        </w:rPr>
        <w:t>ance, inadequate infrastructure and</w:t>
      </w:r>
      <w:r w:rsidRPr="00CF2A97">
        <w:rPr>
          <w:rFonts w:ascii="Times New Roman" w:hAnsi="Times New Roman" w:cs="Times New Roman"/>
          <w:sz w:val="24"/>
          <w:szCs w:val="24"/>
        </w:rPr>
        <w:t xml:space="preserve"> climate change</w:t>
      </w:r>
      <w:r>
        <w:rPr>
          <w:rFonts w:ascii="Times New Roman" w:hAnsi="Times New Roman" w:cs="Times New Roman"/>
          <w:sz w:val="24"/>
          <w:szCs w:val="24"/>
        </w:rPr>
        <w:t xml:space="preserve">, </w:t>
      </w:r>
      <w:r w:rsidRPr="00CF2A97">
        <w:rPr>
          <w:rFonts w:ascii="Times New Roman" w:hAnsi="Times New Roman" w:cs="Times New Roman"/>
          <w:sz w:val="24"/>
          <w:szCs w:val="24"/>
        </w:rPr>
        <w:t>create risk for many different sectors and organizations simultaneously. This reality underpins the notion of “shared water risk” or “basin risk”</w:t>
      </w:r>
      <w:r>
        <w:rPr>
          <w:rFonts w:ascii="Times New Roman" w:hAnsi="Times New Roman" w:cs="Times New Roman"/>
          <w:sz w:val="24"/>
          <w:szCs w:val="24"/>
        </w:rPr>
        <w:t>,</w:t>
      </w:r>
      <w:r w:rsidRPr="00CF2A97">
        <w:rPr>
          <w:rFonts w:ascii="Times New Roman" w:hAnsi="Times New Roman" w:cs="Times New Roman"/>
          <w:sz w:val="24"/>
          <w:szCs w:val="24"/>
        </w:rPr>
        <w:t xml:space="preserve"> </w:t>
      </w:r>
      <w:r>
        <w:rPr>
          <w:rFonts w:ascii="Times New Roman" w:hAnsi="Times New Roman" w:cs="Times New Roman"/>
          <w:sz w:val="24"/>
          <w:szCs w:val="24"/>
        </w:rPr>
        <w:t>which</w:t>
      </w:r>
      <w:r w:rsidRPr="00CF2A97">
        <w:rPr>
          <w:rFonts w:ascii="Times New Roman" w:hAnsi="Times New Roman" w:cs="Times New Roman"/>
          <w:sz w:val="24"/>
          <w:szCs w:val="24"/>
        </w:rPr>
        <w:t xml:space="preserve"> suggests that different sectors of society have a common interest in understanding and addressing shared water-related challenges.</w:t>
      </w:r>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Much of the theoretical work on supply chain design has been related to internal resource-based efficiency from the perspective of a focal firm across a narrow network structure.  Supply chain theory informs our understanding that network structure, value structure, process flow and product characteristics are all resource-based supply chain design considerations.  </w:t>
      </w:r>
      <w:r w:rsidR="00A30253">
        <w:rPr>
          <w:rFonts w:ascii="Times New Roman" w:hAnsi="Times New Roman" w:cs="Times New Roman"/>
          <w:sz w:val="24"/>
          <w:szCs w:val="24"/>
        </w:rPr>
        <w:t xml:space="preserve">Natural capitals </w:t>
      </w:r>
      <w:r>
        <w:rPr>
          <w:rFonts w:ascii="Times New Roman" w:hAnsi="Times New Roman" w:cs="Times New Roman"/>
          <w:sz w:val="24"/>
          <w:szCs w:val="24"/>
        </w:rPr>
        <w:t xml:space="preserve">based efficiency has been less explored.  Traditionally, supply chain design has not been linked to managing </w:t>
      </w:r>
      <w:r w:rsidR="00DB3D01">
        <w:rPr>
          <w:rFonts w:ascii="Times New Roman" w:hAnsi="Times New Roman" w:cs="Times New Roman"/>
          <w:sz w:val="24"/>
          <w:szCs w:val="24"/>
        </w:rPr>
        <w:t>natural capital risk</w:t>
      </w:r>
      <w:r>
        <w:rPr>
          <w:rFonts w:ascii="Times New Roman" w:hAnsi="Times New Roman" w:cs="Times New Roman"/>
          <w:sz w:val="24"/>
          <w:szCs w:val="24"/>
        </w:rPr>
        <w:t xml:space="preserve"> or in collaborating across a broader definition of supply chain partners.  </w:t>
      </w:r>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It is observed that conditions of increasing water stress cause supply chain risk.  Water risk from the perspective of a supply chain network entity </w:t>
      </w:r>
      <w:r w:rsidRPr="00CF2A97">
        <w:rPr>
          <w:rFonts w:ascii="Times New Roman" w:hAnsi="Times New Roman" w:cs="Times New Roman"/>
          <w:sz w:val="24"/>
          <w:szCs w:val="24"/>
        </w:rPr>
        <w:t xml:space="preserve">has been commonly categorized </w:t>
      </w:r>
      <w:r>
        <w:rPr>
          <w:rFonts w:ascii="Times New Roman" w:hAnsi="Times New Roman" w:cs="Times New Roman"/>
          <w:sz w:val="24"/>
          <w:szCs w:val="24"/>
        </w:rPr>
        <w:t xml:space="preserve">into three inter-related types: </w:t>
      </w:r>
      <w:r w:rsidRPr="001F5A6F">
        <w:rPr>
          <w:rFonts w:ascii="Times New Roman" w:hAnsi="Times New Roman" w:cs="Times New Roman"/>
          <w:i/>
          <w:sz w:val="24"/>
          <w:szCs w:val="24"/>
        </w:rPr>
        <w:t>Physical Risk:</w:t>
      </w:r>
      <w:r w:rsidRPr="001F5A6F">
        <w:rPr>
          <w:rFonts w:ascii="Times New Roman" w:hAnsi="Times New Roman" w:cs="Times New Roman"/>
          <w:sz w:val="24"/>
          <w:szCs w:val="24"/>
        </w:rPr>
        <w:t xml:space="preserve"> Having too little, too much, or water that is unfit for use, or inaccessible.</w:t>
      </w:r>
      <w:r>
        <w:rPr>
          <w:rFonts w:ascii="Times New Roman" w:hAnsi="Times New Roman" w:cs="Times New Roman"/>
          <w:sz w:val="24"/>
          <w:szCs w:val="24"/>
        </w:rPr>
        <w:t xml:space="preserve"> </w:t>
      </w:r>
      <w:r w:rsidRPr="001F5A6F">
        <w:rPr>
          <w:rFonts w:ascii="Times New Roman" w:hAnsi="Times New Roman" w:cs="Times New Roman"/>
          <w:i/>
          <w:sz w:val="24"/>
          <w:szCs w:val="24"/>
        </w:rPr>
        <w:t xml:space="preserve">Regulatory: </w:t>
      </w:r>
      <w:r w:rsidRPr="001F5A6F">
        <w:rPr>
          <w:rFonts w:ascii="Times New Roman" w:hAnsi="Times New Roman" w:cs="Times New Roman"/>
          <w:sz w:val="24"/>
          <w:szCs w:val="24"/>
        </w:rPr>
        <w:t>Changing, ineffective, or poorly-implemented public water policy regulations.</w:t>
      </w:r>
      <w:r>
        <w:rPr>
          <w:rFonts w:ascii="Times New Roman" w:hAnsi="Times New Roman" w:cs="Times New Roman"/>
          <w:sz w:val="24"/>
          <w:szCs w:val="24"/>
        </w:rPr>
        <w:t xml:space="preserve"> </w:t>
      </w:r>
      <w:r w:rsidRPr="001F5A6F">
        <w:rPr>
          <w:rFonts w:ascii="Times New Roman" w:hAnsi="Times New Roman" w:cs="Times New Roman"/>
          <w:i/>
          <w:sz w:val="24"/>
          <w:szCs w:val="24"/>
        </w:rPr>
        <w:t>Reputational:</w:t>
      </w:r>
      <w:r w:rsidRPr="001F5A6F">
        <w:rPr>
          <w:rFonts w:ascii="Times New Roman" w:hAnsi="Times New Roman" w:cs="Times New Roman"/>
          <w:sz w:val="24"/>
          <w:szCs w:val="24"/>
        </w:rPr>
        <w:t xml:space="preserve"> Stakeholder perceptions that a company does not conduct business in a sustainable or responsible manner wi</w:t>
      </w:r>
      <w:r>
        <w:rPr>
          <w:rFonts w:ascii="Times New Roman" w:hAnsi="Times New Roman" w:cs="Times New Roman"/>
          <w:sz w:val="24"/>
          <w:szCs w:val="24"/>
        </w:rPr>
        <w:t>th respect to water</w:t>
      </w:r>
      <w:r w:rsidR="0061647B">
        <w:rPr>
          <w:rFonts w:ascii="Times New Roman" w:hAnsi="Times New Roman" w:cs="Times New Roman"/>
          <w:sz w:val="24"/>
          <w:szCs w:val="24"/>
        </w:rPr>
        <w:t xml:space="preserve"> (Sarni, 2011)</w:t>
      </w:r>
      <w:r>
        <w:rPr>
          <w:rFonts w:ascii="Times New Roman" w:hAnsi="Times New Roman" w:cs="Times New Roman"/>
          <w:sz w:val="24"/>
          <w:szCs w:val="24"/>
        </w:rPr>
        <w:t xml:space="preserve">.  The notion of water risk vulnerability within the context of supply chain design has been identified as a characteristic impacting performance.  Hence the theoretical argument to </w:t>
      </w:r>
      <w:r w:rsidR="00930910">
        <w:rPr>
          <w:rFonts w:ascii="Times New Roman" w:hAnsi="Times New Roman" w:cs="Times New Roman"/>
          <w:sz w:val="24"/>
          <w:szCs w:val="24"/>
        </w:rPr>
        <w:t>internalise</w:t>
      </w:r>
      <w:r>
        <w:rPr>
          <w:rFonts w:ascii="Times New Roman" w:hAnsi="Times New Roman" w:cs="Times New Roman"/>
          <w:sz w:val="24"/>
          <w:szCs w:val="24"/>
        </w:rPr>
        <w:t xml:space="preserve"> </w:t>
      </w:r>
      <w:r w:rsidR="00930910">
        <w:rPr>
          <w:rFonts w:ascii="Times New Roman" w:hAnsi="Times New Roman" w:cs="Times New Roman"/>
          <w:sz w:val="24"/>
          <w:szCs w:val="24"/>
        </w:rPr>
        <w:t xml:space="preserve">natural capitals </w:t>
      </w:r>
      <w:r>
        <w:rPr>
          <w:rFonts w:ascii="Times New Roman" w:hAnsi="Times New Roman" w:cs="Times New Roman"/>
          <w:sz w:val="24"/>
          <w:szCs w:val="24"/>
        </w:rPr>
        <w:t>within supply chain design, and to broaden the notion of</w:t>
      </w:r>
      <w:r w:rsidRPr="00A270CC">
        <w:rPr>
          <w:rFonts w:ascii="Times New Roman" w:hAnsi="Times New Roman" w:cs="Times New Roman"/>
          <w:sz w:val="24"/>
          <w:szCs w:val="24"/>
        </w:rPr>
        <w:t xml:space="preserve"> </w:t>
      </w:r>
      <w:r>
        <w:rPr>
          <w:rFonts w:ascii="Times New Roman" w:hAnsi="Times New Roman" w:cs="Times New Roman"/>
          <w:sz w:val="24"/>
          <w:szCs w:val="24"/>
        </w:rPr>
        <w:t xml:space="preserve">network structure, value structure, process flow and product characteristics, and to </w:t>
      </w:r>
      <w:r w:rsidR="00930910">
        <w:rPr>
          <w:rFonts w:ascii="Times New Roman" w:hAnsi="Times New Roman" w:cs="Times New Roman"/>
          <w:sz w:val="24"/>
          <w:szCs w:val="24"/>
        </w:rPr>
        <w:t>integrate</w:t>
      </w:r>
      <w:r>
        <w:rPr>
          <w:rFonts w:ascii="Times New Roman" w:hAnsi="Times New Roman" w:cs="Times New Roman"/>
          <w:sz w:val="24"/>
          <w:szCs w:val="24"/>
        </w:rPr>
        <w:t xml:space="preserve"> non-traditional supply chain partners.  </w:t>
      </w:r>
    </w:p>
    <w:p w:rsidR="005D5985" w:rsidRDefault="005D5985" w:rsidP="005D5985">
      <w:pPr>
        <w:spacing w:before="100" w:beforeAutospacing="1" w:after="100" w:afterAutospacing="1"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Given this theoretical argument, four sub-questions are defined: 1) in what way are supply chain partners and their relationships defined</w:t>
      </w:r>
      <w:r w:rsidRPr="00284BA0">
        <w:rPr>
          <w:rFonts w:ascii="Times New Roman" w:hAnsi="Times New Roman" w:cs="Times New Roman"/>
          <w:color w:val="000000"/>
          <w:sz w:val="24"/>
          <w:szCs w:val="24"/>
        </w:rPr>
        <w:t>?</w:t>
      </w:r>
      <w:r>
        <w:rPr>
          <w:rFonts w:ascii="Times New Roman" w:hAnsi="Times New Roman" w:cs="Times New Roman"/>
          <w:color w:val="000000"/>
          <w:sz w:val="24"/>
          <w:szCs w:val="24"/>
        </w:rPr>
        <w:t xml:space="preserve"> 2) </w:t>
      </w:r>
      <w:r w:rsidRPr="00DA19E5">
        <w:rPr>
          <w:rFonts w:ascii="Times New Roman" w:hAnsi="Times New Roman" w:cs="Times New Roman"/>
          <w:color w:val="000000"/>
          <w:sz w:val="24"/>
          <w:szCs w:val="24"/>
        </w:rPr>
        <w:t xml:space="preserve">What characteristics of </w:t>
      </w:r>
      <w:r w:rsidR="00930910">
        <w:rPr>
          <w:rFonts w:ascii="Times New Roman" w:hAnsi="Times New Roman" w:cs="Times New Roman"/>
          <w:color w:val="000000"/>
          <w:sz w:val="24"/>
          <w:szCs w:val="24"/>
        </w:rPr>
        <w:t>natural capitals</w:t>
      </w:r>
      <w:r w:rsidRPr="00DA19E5">
        <w:rPr>
          <w:rFonts w:ascii="Times New Roman" w:hAnsi="Times New Roman" w:cs="Times New Roman"/>
          <w:color w:val="000000"/>
          <w:sz w:val="24"/>
          <w:szCs w:val="24"/>
        </w:rPr>
        <w:t xml:space="preserve"> are significant to the supply chain?</w:t>
      </w:r>
      <w:r>
        <w:rPr>
          <w:rFonts w:ascii="Times New Roman" w:hAnsi="Times New Roman" w:cs="Times New Roman"/>
          <w:color w:val="000000"/>
          <w:sz w:val="24"/>
          <w:szCs w:val="24"/>
        </w:rPr>
        <w:t xml:space="preserve"> 3) </w:t>
      </w:r>
      <w:r w:rsidRPr="00DA19E5">
        <w:rPr>
          <w:rFonts w:ascii="Times New Roman" w:hAnsi="Times New Roman" w:cs="Times New Roman"/>
          <w:color w:val="000000"/>
          <w:sz w:val="24"/>
          <w:szCs w:val="24"/>
        </w:rPr>
        <w:t xml:space="preserve">What supply chain </w:t>
      </w:r>
      <w:r>
        <w:rPr>
          <w:rFonts w:ascii="Times New Roman" w:hAnsi="Times New Roman" w:cs="Times New Roman"/>
          <w:color w:val="000000"/>
          <w:sz w:val="24"/>
          <w:szCs w:val="24"/>
        </w:rPr>
        <w:t xml:space="preserve">risks and vulnerabilities exist? and 4) </w:t>
      </w:r>
      <w:r w:rsidRPr="00DA19E5">
        <w:rPr>
          <w:rFonts w:ascii="Times New Roman" w:hAnsi="Times New Roman" w:cs="Times New Roman"/>
          <w:color w:val="000000"/>
          <w:sz w:val="24"/>
          <w:szCs w:val="24"/>
        </w:rPr>
        <w:t>How should businesses and stakeholders with</w:t>
      </w:r>
      <w:r>
        <w:rPr>
          <w:rFonts w:ascii="Times New Roman" w:hAnsi="Times New Roman" w:cs="Times New Roman"/>
          <w:color w:val="000000"/>
          <w:sz w:val="24"/>
          <w:szCs w:val="24"/>
        </w:rPr>
        <w:t>in</w:t>
      </w:r>
      <w:r w:rsidRPr="00DA19E5">
        <w:rPr>
          <w:rFonts w:ascii="Times New Roman" w:hAnsi="Times New Roman" w:cs="Times New Roman"/>
          <w:color w:val="000000"/>
          <w:sz w:val="24"/>
          <w:szCs w:val="24"/>
        </w:rPr>
        <w:t xml:space="preserve"> the supply chain respond?</w:t>
      </w:r>
    </w:p>
    <w:p w:rsidR="000106AF" w:rsidRDefault="000106AF" w:rsidP="005D5985">
      <w:pPr>
        <w:pStyle w:val="Heading1"/>
        <w:numPr>
          <w:ilvl w:val="0"/>
          <w:numId w:val="0"/>
        </w:numPr>
        <w:rPr>
          <w:sz w:val="24"/>
        </w:rPr>
      </w:pPr>
      <w:bookmarkStart w:id="3" w:name="_Toc425392385"/>
    </w:p>
    <w:p w:rsidR="005D5985" w:rsidRPr="00BC1B8B" w:rsidRDefault="005D5985" w:rsidP="005D5985">
      <w:pPr>
        <w:pStyle w:val="Heading1"/>
        <w:numPr>
          <w:ilvl w:val="0"/>
          <w:numId w:val="0"/>
        </w:numPr>
        <w:rPr>
          <w:sz w:val="24"/>
        </w:rPr>
      </w:pPr>
      <w:r w:rsidRPr="00BC1B8B">
        <w:rPr>
          <w:sz w:val="24"/>
        </w:rPr>
        <w:lastRenderedPageBreak/>
        <w:t>Approach</w:t>
      </w:r>
      <w:bookmarkEnd w:id="3"/>
    </w:p>
    <w:p w:rsidR="005D5985" w:rsidRPr="00C54FEE"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This paper used a case study approach to explore this new phenomenon of </w:t>
      </w:r>
      <w:r w:rsidR="00045C23">
        <w:rPr>
          <w:rFonts w:ascii="Times New Roman" w:hAnsi="Times New Roman" w:cs="Times New Roman"/>
          <w:sz w:val="24"/>
          <w:szCs w:val="24"/>
        </w:rPr>
        <w:t>natural capitals</w:t>
      </w:r>
      <w:r>
        <w:rPr>
          <w:rFonts w:ascii="Times New Roman" w:hAnsi="Times New Roman" w:cs="Times New Roman"/>
          <w:sz w:val="24"/>
          <w:szCs w:val="24"/>
        </w:rPr>
        <w:t xml:space="preserve"> in supply chain design and to answer the question: </w:t>
      </w:r>
      <w:r>
        <w:rPr>
          <w:rFonts w:ascii="Times New Roman" w:hAnsi="Times New Roman" w:cs="Times New Roman"/>
          <w:i/>
          <w:sz w:val="24"/>
          <w:szCs w:val="24"/>
        </w:rPr>
        <w:t xml:space="preserve">How can water stress risk be identified and mitigated within the </w:t>
      </w:r>
      <w:r w:rsidRPr="00E02604">
        <w:rPr>
          <w:rFonts w:ascii="Times New Roman" w:hAnsi="Times New Roman" w:cs="Times New Roman"/>
          <w:i/>
          <w:color w:val="000000"/>
          <w:sz w:val="24"/>
          <w:szCs w:val="24"/>
        </w:rPr>
        <w:t>supply chain?</w:t>
      </w:r>
      <w:r>
        <w:rPr>
          <w:rFonts w:ascii="Times New Roman" w:hAnsi="Times New Roman" w:cs="Times New Roman"/>
          <w:color w:val="000000"/>
          <w:sz w:val="24"/>
          <w:szCs w:val="24"/>
        </w:rPr>
        <w:t xml:space="preserve">  This type of research question is consistent with the</w:t>
      </w:r>
      <w:r w:rsidR="000130C3">
        <w:rPr>
          <w:rFonts w:ascii="Times New Roman" w:hAnsi="Times New Roman" w:cs="Times New Roman"/>
          <w:color w:val="000000"/>
          <w:sz w:val="24"/>
          <w:szCs w:val="24"/>
        </w:rPr>
        <w:t xml:space="preserve"> conditions outlined by Yin 2003</w:t>
      </w:r>
      <w:r>
        <w:rPr>
          <w:rFonts w:ascii="Times New Roman" w:hAnsi="Times New Roman" w:cs="Times New Roman"/>
          <w:color w:val="000000"/>
          <w:sz w:val="24"/>
          <w:szCs w:val="24"/>
        </w:rPr>
        <w:t xml:space="preserve"> as appropriate for a case s</w:t>
      </w:r>
      <w:r w:rsidR="000130C3">
        <w:rPr>
          <w:rFonts w:ascii="Times New Roman" w:hAnsi="Times New Roman" w:cs="Times New Roman"/>
          <w:color w:val="000000"/>
          <w:sz w:val="24"/>
          <w:szCs w:val="24"/>
        </w:rPr>
        <w:t xml:space="preserve">tudy based research methodology.  </w:t>
      </w:r>
      <w:r>
        <w:rPr>
          <w:rFonts w:ascii="Times New Roman" w:hAnsi="Times New Roman" w:cs="Times New Roman"/>
          <w:sz w:val="24"/>
          <w:szCs w:val="24"/>
        </w:rPr>
        <w:t>The case selection was determined based on regional and industry characteristics. The US State of California was selected as the focal region given its population and hydrological trends.  The Californian agriculture sector, specifically wine growing and production, was selected as the focal industry given its economic contribution and reliance upon water</w:t>
      </w:r>
      <w:r w:rsidR="000130C3">
        <w:rPr>
          <w:rFonts w:ascii="Times New Roman" w:hAnsi="Times New Roman" w:cs="Times New Roman"/>
          <w:sz w:val="24"/>
          <w:szCs w:val="24"/>
        </w:rPr>
        <w:t xml:space="preserve">.  </w:t>
      </w:r>
      <w:r>
        <w:rPr>
          <w:rFonts w:ascii="Times New Roman" w:hAnsi="Times New Roman" w:cs="Times New Roman"/>
          <w:sz w:val="24"/>
          <w:szCs w:val="24"/>
        </w:rPr>
        <w:t>The detailed criterion taken into con</w:t>
      </w:r>
      <w:r w:rsidR="000106AF">
        <w:rPr>
          <w:rFonts w:ascii="Times New Roman" w:hAnsi="Times New Roman" w:cs="Times New Roman"/>
          <w:sz w:val="24"/>
          <w:szCs w:val="24"/>
        </w:rPr>
        <w:t xml:space="preserve">sideration in company case </w:t>
      </w:r>
      <w:r w:rsidR="0061647B">
        <w:rPr>
          <w:rFonts w:ascii="Times New Roman" w:hAnsi="Times New Roman" w:cs="Times New Roman"/>
          <w:sz w:val="24"/>
          <w:szCs w:val="24"/>
        </w:rPr>
        <w:t>selection is defined in Table 1</w:t>
      </w:r>
      <w:r>
        <w:rPr>
          <w:rFonts w:ascii="Times New Roman" w:hAnsi="Times New Roman" w:cs="Times New Roman"/>
          <w:sz w:val="24"/>
          <w:szCs w:val="24"/>
        </w:rPr>
        <w:t>.</w:t>
      </w:r>
    </w:p>
    <w:tbl>
      <w:tblPr>
        <w:tblStyle w:val="TableGrid"/>
        <w:tblW w:w="9558" w:type="dxa"/>
        <w:tblLayout w:type="fixed"/>
        <w:tblLook w:val="04A0" w:firstRow="1" w:lastRow="0" w:firstColumn="1" w:lastColumn="0" w:noHBand="0" w:noVBand="1"/>
      </w:tblPr>
      <w:tblGrid>
        <w:gridCol w:w="1989"/>
        <w:gridCol w:w="1989"/>
        <w:gridCol w:w="1395"/>
        <w:gridCol w:w="1395"/>
        <w:gridCol w:w="1395"/>
        <w:gridCol w:w="1395"/>
      </w:tblGrid>
      <w:tr w:rsidR="005D5985" w:rsidRPr="00A75E9A" w:rsidTr="00AC6824">
        <w:trPr>
          <w:trHeight w:val="432"/>
        </w:trPr>
        <w:tc>
          <w:tcPr>
            <w:tcW w:w="3978" w:type="dxa"/>
            <w:gridSpan w:val="2"/>
            <w:shd w:val="clear" w:color="auto" w:fill="000000" w:themeFill="text1"/>
            <w:vAlign w:val="center"/>
          </w:tcPr>
          <w:p w:rsidR="005D5985" w:rsidRPr="00A75E9A" w:rsidRDefault="005D5985" w:rsidP="00AC6824">
            <w:pPr>
              <w:spacing w:before="100" w:beforeAutospacing="1" w:after="100" w:afterAutospacing="1"/>
              <w:jc w:val="right"/>
              <w:rPr>
                <w:rFonts w:ascii="Times New Roman" w:hAnsi="Times New Roman" w:cs="Times New Roman"/>
                <w:color w:val="FFFFFF" w:themeColor="background1"/>
                <w:sz w:val="20"/>
                <w:szCs w:val="20"/>
              </w:rPr>
            </w:pPr>
            <w:r w:rsidRPr="00A75E9A">
              <w:rPr>
                <w:rFonts w:ascii="Times New Roman" w:hAnsi="Times New Roman" w:cs="Times New Roman"/>
                <w:i/>
                <w:color w:val="FFFFFF" w:themeColor="background1"/>
                <w:sz w:val="20"/>
                <w:szCs w:val="20"/>
              </w:rPr>
              <w:t>Business Model</w:t>
            </w:r>
          </w:p>
        </w:tc>
        <w:tc>
          <w:tcPr>
            <w:tcW w:w="1395" w:type="dxa"/>
            <w:shd w:val="clear" w:color="auto" w:fill="000000" w:themeFill="text1"/>
            <w:vAlign w:val="center"/>
          </w:tcPr>
          <w:p w:rsidR="005D5985" w:rsidRPr="00A75E9A" w:rsidRDefault="005D5985" w:rsidP="00AC6824">
            <w:pPr>
              <w:spacing w:before="100" w:beforeAutospacing="1" w:after="100" w:afterAutospacing="1"/>
              <w:jc w:val="center"/>
              <w:rPr>
                <w:rFonts w:ascii="Times New Roman" w:hAnsi="Times New Roman" w:cs="Times New Roman"/>
                <w:i/>
                <w:color w:val="FFFFFF" w:themeColor="background1"/>
                <w:sz w:val="20"/>
                <w:szCs w:val="20"/>
              </w:rPr>
            </w:pPr>
            <w:r w:rsidRPr="00A75E9A">
              <w:rPr>
                <w:rFonts w:ascii="Times New Roman" w:hAnsi="Times New Roman" w:cs="Times New Roman"/>
                <w:i/>
                <w:color w:val="FFFFFF" w:themeColor="background1"/>
                <w:sz w:val="20"/>
                <w:szCs w:val="20"/>
              </w:rPr>
              <w:t>Independent Grower</w:t>
            </w:r>
          </w:p>
        </w:tc>
        <w:tc>
          <w:tcPr>
            <w:tcW w:w="1395" w:type="dxa"/>
            <w:shd w:val="clear" w:color="auto" w:fill="000000" w:themeFill="text1"/>
            <w:vAlign w:val="center"/>
          </w:tcPr>
          <w:p w:rsidR="005D5985" w:rsidRPr="00A75E9A" w:rsidRDefault="005D5985" w:rsidP="00AC6824">
            <w:pPr>
              <w:spacing w:before="100" w:beforeAutospacing="1" w:after="100" w:afterAutospacing="1"/>
              <w:jc w:val="center"/>
              <w:rPr>
                <w:rFonts w:ascii="Times New Roman" w:hAnsi="Times New Roman" w:cs="Times New Roman"/>
                <w:i/>
                <w:color w:val="FFFFFF" w:themeColor="background1"/>
                <w:sz w:val="20"/>
                <w:szCs w:val="20"/>
              </w:rPr>
            </w:pPr>
            <w:r w:rsidRPr="00A75E9A">
              <w:rPr>
                <w:rFonts w:ascii="Times New Roman" w:hAnsi="Times New Roman" w:cs="Times New Roman"/>
                <w:i/>
                <w:color w:val="FFFFFF" w:themeColor="background1"/>
                <w:sz w:val="20"/>
                <w:szCs w:val="20"/>
              </w:rPr>
              <w:t>Winery Only</w:t>
            </w:r>
          </w:p>
        </w:tc>
        <w:tc>
          <w:tcPr>
            <w:tcW w:w="1395" w:type="dxa"/>
            <w:shd w:val="clear" w:color="auto" w:fill="000000" w:themeFill="text1"/>
            <w:vAlign w:val="center"/>
          </w:tcPr>
          <w:p w:rsidR="005D5985" w:rsidRPr="00A75E9A" w:rsidRDefault="005D5985" w:rsidP="00AC6824">
            <w:pPr>
              <w:spacing w:before="100" w:beforeAutospacing="1" w:after="100" w:afterAutospacing="1"/>
              <w:jc w:val="center"/>
              <w:rPr>
                <w:rFonts w:ascii="Times New Roman" w:hAnsi="Times New Roman" w:cs="Times New Roman"/>
                <w:i/>
                <w:color w:val="FFFFFF" w:themeColor="background1"/>
                <w:sz w:val="20"/>
                <w:szCs w:val="20"/>
              </w:rPr>
            </w:pPr>
            <w:r w:rsidRPr="00A75E9A">
              <w:rPr>
                <w:rFonts w:ascii="Times New Roman" w:hAnsi="Times New Roman" w:cs="Times New Roman"/>
                <w:i/>
                <w:color w:val="FFFFFF" w:themeColor="background1"/>
                <w:sz w:val="20"/>
                <w:szCs w:val="20"/>
              </w:rPr>
              <w:t>Integrated Production and Distribution</w:t>
            </w:r>
          </w:p>
        </w:tc>
        <w:tc>
          <w:tcPr>
            <w:tcW w:w="1395" w:type="dxa"/>
            <w:shd w:val="clear" w:color="auto" w:fill="000000" w:themeFill="text1"/>
            <w:vAlign w:val="center"/>
          </w:tcPr>
          <w:p w:rsidR="005D5985" w:rsidRPr="00A75E9A" w:rsidRDefault="005D5985" w:rsidP="00AC6824">
            <w:pPr>
              <w:spacing w:before="100" w:beforeAutospacing="1" w:after="100" w:afterAutospacing="1"/>
              <w:jc w:val="center"/>
              <w:rPr>
                <w:rFonts w:ascii="Times New Roman" w:hAnsi="Times New Roman" w:cs="Times New Roman"/>
                <w:i/>
                <w:color w:val="FFFFFF" w:themeColor="background1"/>
                <w:sz w:val="20"/>
                <w:szCs w:val="20"/>
              </w:rPr>
            </w:pPr>
            <w:r w:rsidRPr="00A75E9A">
              <w:rPr>
                <w:rFonts w:ascii="Times New Roman" w:hAnsi="Times New Roman" w:cs="Times New Roman"/>
                <w:i/>
                <w:color w:val="FFFFFF" w:themeColor="background1"/>
                <w:sz w:val="20"/>
                <w:szCs w:val="20"/>
              </w:rPr>
              <w:t>Grower and Winery</w:t>
            </w:r>
          </w:p>
        </w:tc>
      </w:tr>
      <w:tr w:rsidR="005D5985" w:rsidRPr="00A75E9A" w:rsidTr="00AC6824">
        <w:trPr>
          <w:cantSplit/>
          <w:trHeight w:val="432"/>
        </w:trPr>
        <w:tc>
          <w:tcPr>
            <w:tcW w:w="1989" w:type="dxa"/>
            <w:vAlign w:val="bottom"/>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Category</w:t>
            </w:r>
          </w:p>
        </w:tc>
        <w:tc>
          <w:tcPr>
            <w:tcW w:w="1989"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Selection Criteria / Organization</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A</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B</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C</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D</w:t>
            </w:r>
          </w:p>
        </w:tc>
      </w:tr>
      <w:tr w:rsidR="005D5985" w:rsidRPr="00A75E9A" w:rsidTr="00AC6824">
        <w:trPr>
          <w:cantSplit/>
          <w:trHeight w:val="432"/>
        </w:trPr>
        <w:tc>
          <w:tcPr>
            <w:tcW w:w="1989" w:type="dxa"/>
            <w:vMerge w:val="restart"/>
            <w:textDirection w:val="btLr"/>
            <w:vAlign w:val="center"/>
          </w:tcPr>
          <w:p w:rsidR="005D5985" w:rsidRPr="00C26E05" w:rsidRDefault="005D5985" w:rsidP="00AC6824">
            <w:pPr>
              <w:spacing w:before="100" w:beforeAutospacing="1" w:after="100" w:afterAutospacing="1"/>
              <w:ind w:left="113" w:right="113"/>
              <w:jc w:val="center"/>
              <w:rPr>
                <w:rFonts w:ascii="Times New Roman" w:hAnsi="Times New Roman" w:cs="Times New Roman"/>
                <w:sz w:val="24"/>
                <w:szCs w:val="20"/>
              </w:rPr>
            </w:pPr>
            <w:r w:rsidRPr="00C26E05">
              <w:rPr>
                <w:rFonts w:ascii="Times New Roman" w:hAnsi="Times New Roman" w:cs="Times New Roman"/>
                <w:sz w:val="24"/>
                <w:szCs w:val="20"/>
              </w:rPr>
              <w:t>Supply Chain Activity</w:t>
            </w: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Grower</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extDirection w:val="btLr"/>
            <w:vAlign w:val="center"/>
          </w:tcPr>
          <w:p w:rsidR="005D5985" w:rsidRPr="00A75E9A" w:rsidRDefault="005D5985" w:rsidP="00AC6824">
            <w:pPr>
              <w:spacing w:before="100" w:beforeAutospacing="1" w:after="100" w:afterAutospacing="1"/>
              <w:ind w:left="113" w:right="113"/>
              <w:jc w:val="center"/>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Grape Procurement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cPr>
          <w:p w:rsidR="005D5985" w:rsidRPr="00A75E9A" w:rsidRDefault="005D5985" w:rsidP="00AC6824">
            <w:pPr>
              <w:spacing w:before="100" w:beforeAutospacing="1" w:after="100" w:afterAutospacing="1"/>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Producer</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cPr>
          <w:p w:rsidR="005D5985" w:rsidRPr="00A75E9A" w:rsidRDefault="005D5985" w:rsidP="00AC6824">
            <w:pPr>
              <w:spacing w:before="100" w:beforeAutospacing="1" w:after="100" w:afterAutospacing="1"/>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Packaging</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cPr>
          <w:p w:rsidR="005D5985" w:rsidRPr="00A75E9A" w:rsidRDefault="005D5985" w:rsidP="00AC6824">
            <w:pPr>
              <w:spacing w:before="100" w:beforeAutospacing="1" w:after="100" w:afterAutospacing="1"/>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Bottling</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cPr>
          <w:p w:rsidR="005D5985" w:rsidRPr="00A75E9A" w:rsidRDefault="005D5985" w:rsidP="00AC6824">
            <w:pPr>
              <w:spacing w:before="100" w:beforeAutospacing="1" w:after="100" w:afterAutospacing="1"/>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Warehousing</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r w:rsidR="005D5985" w:rsidRPr="00A75E9A" w:rsidTr="00AC6824">
        <w:trPr>
          <w:cantSplit/>
          <w:trHeight w:val="432"/>
        </w:trPr>
        <w:tc>
          <w:tcPr>
            <w:tcW w:w="1989" w:type="dxa"/>
            <w:vMerge/>
          </w:tcPr>
          <w:p w:rsidR="005D5985" w:rsidRPr="00A75E9A" w:rsidRDefault="005D5985" w:rsidP="00AC6824">
            <w:pPr>
              <w:spacing w:before="100" w:beforeAutospacing="1" w:after="100" w:afterAutospacing="1"/>
              <w:rPr>
                <w:rFonts w:ascii="Times New Roman" w:hAnsi="Times New Roman" w:cs="Times New Roman"/>
                <w:sz w:val="20"/>
                <w:szCs w:val="20"/>
              </w:rPr>
            </w:pPr>
          </w:p>
        </w:tc>
        <w:tc>
          <w:tcPr>
            <w:tcW w:w="1989" w:type="dxa"/>
            <w:vAlign w:val="center"/>
          </w:tcPr>
          <w:p w:rsidR="005D5985" w:rsidRPr="00787979" w:rsidRDefault="005D5985" w:rsidP="00AC6824">
            <w:pPr>
              <w:spacing w:before="100" w:beforeAutospacing="1" w:after="100" w:afterAutospacing="1"/>
              <w:jc w:val="center"/>
              <w:rPr>
                <w:rFonts w:ascii="Times New Roman" w:hAnsi="Times New Roman" w:cs="Times New Roman"/>
                <w:szCs w:val="20"/>
              </w:rPr>
            </w:pPr>
            <w:r w:rsidRPr="00787979">
              <w:rPr>
                <w:rFonts w:ascii="Times New Roman" w:hAnsi="Times New Roman" w:cs="Times New Roman"/>
                <w:szCs w:val="20"/>
              </w:rPr>
              <w:t>Distribution</w:t>
            </w: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p>
        </w:tc>
        <w:tc>
          <w:tcPr>
            <w:tcW w:w="1395" w:type="dxa"/>
            <w:vAlign w:val="center"/>
          </w:tcPr>
          <w:p w:rsidR="005D5985" w:rsidRPr="00A75E9A" w:rsidRDefault="005D5985" w:rsidP="00AC6824">
            <w:pPr>
              <w:spacing w:before="100" w:beforeAutospacing="1" w:after="100" w:afterAutospacing="1"/>
              <w:jc w:val="center"/>
              <w:rPr>
                <w:rFonts w:ascii="Times New Roman" w:hAnsi="Times New Roman" w:cs="Times New Roman"/>
                <w:sz w:val="20"/>
                <w:szCs w:val="20"/>
              </w:rPr>
            </w:pPr>
            <w:r w:rsidRPr="00A75E9A">
              <w:rPr>
                <w:rFonts w:ascii="Times New Roman" w:hAnsi="Times New Roman" w:cs="Times New Roman"/>
                <w:sz w:val="20"/>
                <w:szCs w:val="20"/>
              </w:rPr>
              <w:t>√</w:t>
            </w:r>
          </w:p>
        </w:tc>
      </w:tr>
    </w:tbl>
    <w:p w:rsidR="005D5985" w:rsidRDefault="005D5985" w:rsidP="005D5985">
      <w:pPr>
        <w:pStyle w:val="Caption"/>
        <w:jc w:val="center"/>
        <w:rPr>
          <w:rFonts w:ascii="Times New Roman" w:hAnsi="Times New Roman" w:cs="Times New Roman"/>
          <w:b w:val="0"/>
          <w:color w:val="000000" w:themeColor="text1"/>
          <w:sz w:val="24"/>
        </w:rPr>
      </w:pPr>
    </w:p>
    <w:p w:rsidR="005D5985" w:rsidRPr="008E179D" w:rsidRDefault="005D5985" w:rsidP="005D5985">
      <w:pPr>
        <w:pStyle w:val="Caption"/>
        <w:jc w:val="center"/>
        <w:rPr>
          <w:rFonts w:ascii="Times New Roman" w:hAnsi="Times New Roman" w:cs="Times New Roman"/>
          <w:b w:val="0"/>
          <w:color w:val="auto"/>
          <w:sz w:val="24"/>
        </w:rPr>
      </w:pPr>
      <w:bookmarkStart w:id="4" w:name="_Toc425393216"/>
      <w:r w:rsidRPr="008E179D">
        <w:rPr>
          <w:rFonts w:ascii="Times New Roman" w:hAnsi="Times New Roman" w:cs="Times New Roman"/>
          <w:b w:val="0"/>
          <w:color w:val="auto"/>
          <w:sz w:val="24"/>
        </w:rPr>
        <w:t xml:space="preserve">Table </w:t>
      </w:r>
      <w:r w:rsidR="0061647B">
        <w:rPr>
          <w:rFonts w:ascii="Times New Roman" w:hAnsi="Times New Roman" w:cs="Times New Roman"/>
          <w:b w:val="0"/>
          <w:color w:val="auto"/>
          <w:sz w:val="24"/>
        </w:rPr>
        <w:t>1</w:t>
      </w:r>
      <w:r w:rsidRPr="008E179D">
        <w:rPr>
          <w:rFonts w:ascii="Times New Roman" w:hAnsi="Times New Roman" w:cs="Times New Roman"/>
          <w:b w:val="0"/>
          <w:color w:val="auto"/>
          <w:sz w:val="24"/>
        </w:rPr>
        <w:t xml:space="preserve"> Company Selection Criteria</w:t>
      </w:r>
      <w:bookmarkEnd w:id="4"/>
    </w:p>
    <w:p w:rsidR="005D5985" w:rsidRDefault="005D5985" w:rsidP="005D5985">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Furthermore, the research design included the follo</w:t>
      </w:r>
      <w:r w:rsidR="00DB3D01">
        <w:rPr>
          <w:rFonts w:ascii="Times New Roman" w:hAnsi="Times New Roman" w:cs="Times New Roman"/>
          <w:sz w:val="24"/>
          <w:szCs w:val="24"/>
        </w:rPr>
        <w:t xml:space="preserve">wing four steps and techniques:  </w:t>
      </w:r>
      <w:r>
        <w:rPr>
          <w:rFonts w:ascii="Times New Roman" w:hAnsi="Times New Roman" w:cs="Times New Roman"/>
          <w:sz w:val="24"/>
          <w:szCs w:val="24"/>
        </w:rPr>
        <w:t xml:space="preserve">(1) </w:t>
      </w:r>
      <w:r w:rsidRPr="00787979">
        <w:rPr>
          <w:rFonts w:ascii="Times New Roman" w:hAnsi="Times New Roman" w:cs="Times New Roman"/>
          <w:sz w:val="24"/>
          <w:szCs w:val="24"/>
        </w:rPr>
        <w:t xml:space="preserve">A semi-structured interview consisting of sixteen leading questions was </w:t>
      </w:r>
      <w:r>
        <w:rPr>
          <w:rFonts w:ascii="Times New Roman" w:hAnsi="Times New Roman" w:cs="Times New Roman"/>
          <w:sz w:val="24"/>
          <w:szCs w:val="24"/>
        </w:rPr>
        <w:t>conducted</w:t>
      </w:r>
      <w:r w:rsidRPr="00787979">
        <w:rPr>
          <w:rFonts w:ascii="Times New Roman" w:hAnsi="Times New Roman" w:cs="Times New Roman"/>
          <w:sz w:val="24"/>
          <w:szCs w:val="24"/>
        </w:rPr>
        <w:t xml:space="preserve"> to </w:t>
      </w:r>
      <w:r>
        <w:rPr>
          <w:rFonts w:ascii="Times New Roman" w:hAnsi="Times New Roman" w:cs="Times New Roman"/>
          <w:sz w:val="24"/>
          <w:szCs w:val="24"/>
        </w:rPr>
        <w:t>explore the relationship between external (water) resource usage and the Californian wine industry supply chain. (2)</w:t>
      </w:r>
      <w:r w:rsidRPr="00787979">
        <w:rPr>
          <w:rFonts w:ascii="Times New Roman" w:hAnsi="Times New Roman" w:cs="Times New Roman"/>
          <w:sz w:val="24"/>
          <w:szCs w:val="24"/>
        </w:rPr>
        <w:t xml:space="preserve">  </w:t>
      </w:r>
      <w:r>
        <w:rPr>
          <w:rFonts w:ascii="Times New Roman" w:hAnsi="Times New Roman" w:cs="Times New Roman"/>
          <w:sz w:val="24"/>
        </w:rPr>
        <w:t>Secondary data gathering was conducted to determine the water stress challenges and preliminary insights into the resulting supply chain vulnerabilities.  (3) P</w:t>
      </w:r>
      <w:r w:rsidRPr="00035051">
        <w:rPr>
          <w:rFonts w:ascii="Times New Roman" w:hAnsi="Times New Roman" w:cs="Times New Roman"/>
          <w:sz w:val="24"/>
        </w:rPr>
        <w:t>lant tour</w:t>
      </w:r>
      <w:r>
        <w:rPr>
          <w:rFonts w:ascii="Times New Roman" w:hAnsi="Times New Roman" w:cs="Times New Roman"/>
          <w:sz w:val="24"/>
        </w:rPr>
        <w:t>s were</w:t>
      </w:r>
      <w:r w:rsidRPr="00035051">
        <w:rPr>
          <w:rFonts w:ascii="Times New Roman" w:hAnsi="Times New Roman" w:cs="Times New Roman"/>
          <w:sz w:val="24"/>
        </w:rPr>
        <w:t xml:space="preserve"> conducted at each participating </w:t>
      </w:r>
      <w:r>
        <w:rPr>
          <w:rFonts w:ascii="Times New Roman" w:hAnsi="Times New Roman" w:cs="Times New Roman"/>
          <w:sz w:val="24"/>
        </w:rPr>
        <w:t>company to validate the relationships between external (water) resource usage and supply chain vulnerabilities.</w:t>
      </w:r>
      <w:r w:rsidRPr="00035051">
        <w:rPr>
          <w:rFonts w:ascii="Times New Roman" w:hAnsi="Times New Roman" w:cs="Times New Roman"/>
          <w:sz w:val="24"/>
        </w:rPr>
        <w:t xml:space="preserve">  This facilitated </w:t>
      </w:r>
      <w:r>
        <w:rPr>
          <w:rFonts w:ascii="Times New Roman" w:hAnsi="Times New Roman" w:cs="Times New Roman"/>
          <w:sz w:val="24"/>
        </w:rPr>
        <w:t xml:space="preserve">an enhanced understanding of the supply chain process flows, and supply chain network, product and value structure relative to </w:t>
      </w:r>
      <w:r w:rsidRPr="00035051">
        <w:rPr>
          <w:rFonts w:ascii="Times New Roman" w:hAnsi="Times New Roman" w:cs="Times New Roman"/>
          <w:sz w:val="24"/>
        </w:rPr>
        <w:t>water intensive processes</w:t>
      </w:r>
      <w:r>
        <w:rPr>
          <w:rFonts w:ascii="Times New Roman" w:hAnsi="Times New Roman" w:cs="Times New Roman"/>
          <w:sz w:val="24"/>
        </w:rPr>
        <w:t>.  (4) Finally, a supply chain mapping was completed to establish an understanding of the key challenges, operational differences and supply chain vulnerabilities.</w:t>
      </w:r>
      <w:r w:rsidR="004B01AF">
        <w:rPr>
          <w:rFonts w:ascii="Times New Roman" w:hAnsi="Times New Roman" w:cs="Times New Roman"/>
          <w:sz w:val="24"/>
        </w:rPr>
        <w:t xml:space="preserve">  </w:t>
      </w:r>
      <w:r>
        <w:rPr>
          <w:rFonts w:ascii="Times New Roman" w:hAnsi="Times New Roman" w:cs="Times New Roman"/>
          <w:sz w:val="24"/>
          <w:szCs w:val="24"/>
        </w:rPr>
        <w:t>To effectively assess the supply chain vulnerabilities and risks, the supply network risk and resilience framework was used as the conceptual model (Kumar and Srai, 2014).</w:t>
      </w:r>
      <w:r w:rsidRPr="00AC5936">
        <w:rPr>
          <w:rFonts w:ascii="Times New Roman" w:hAnsi="Times New Roman" w:cs="Times New Roman"/>
          <w:sz w:val="24"/>
          <w:szCs w:val="24"/>
        </w:rPr>
        <w:t xml:space="preserve"> </w:t>
      </w:r>
      <w:r>
        <w:rPr>
          <w:rFonts w:ascii="Times New Roman" w:hAnsi="Times New Roman" w:cs="Times New Roman"/>
          <w:sz w:val="24"/>
          <w:szCs w:val="24"/>
        </w:rPr>
        <w:t>The methodological framework advanced by Srai and Gregory (2008) and extended by Kumar and Srai (2015) was used in this analysis.</w:t>
      </w:r>
      <w:r w:rsidR="004B01AF">
        <w:rPr>
          <w:rFonts w:ascii="Times New Roman" w:hAnsi="Times New Roman" w:cs="Times New Roman"/>
          <w:sz w:val="24"/>
          <w:szCs w:val="24"/>
        </w:rPr>
        <w:t xml:space="preserve"> The data was analysed and is presented in the summary Tables 2 – 5.</w:t>
      </w:r>
    </w:p>
    <w:p w:rsidR="000106AF" w:rsidRPr="00875ACE" w:rsidRDefault="000106AF" w:rsidP="005D5985">
      <w:pPr>
        <w:spacing w:before="100" w:beforeAutospacing="1" w:after="100" w:afterAutospacing="1" w:line="240" w:lineRule="auto"/>
        <w:rPr>
          <w:rFonts w:ascii="Times New Roman" w:hAnsi="Times New Roman" w:cs="Times New Roman"/>
          <w:sz w:val="24"/>
          <w:szCs w:val="24"/>
        </w:rPr>
      </w:pPr>
    </w:p>
    <w:tbl>
      <w:tblPr>
        <w:tblStyle w:val="TableGrid"/>
        <w:tblW w:w="9288" w:type="dxa"/>
        <w:tblLayout w:type="fixed"/>
        <w:tblLook w:val="04A0" w:firstRow="1" w:lastRow="0" w:firstColumn="1" w:lastColumn="0" w:noHBand="0" w:noVBand="1"/>
      </w:tblPr>
      <w:tblGrid>
        <w:gridCol w:w="703"/>
        <w:gridCol w:w="1943"/>
        <w:gridCol w:w="1450"/>
        <w:gridCol w:w="218"/>
        <w:gridCol w:w="1464"/>
        <w:gridCol w:w="244"/>
        <w:gridCol w:w="1533"/>
        <w:gridCol w:w="175"/>
        <w:gridCol w:w="1558"/>
      </w:tblGrid>
      <w:tr w:rsidR="00004C25" w:rsidTr="00AC6824">
        <w:trPr>
          <w:trHeight w:val="275"/>
        </w:trPr>
        <w:tc>
          <w:tcPr>
            <w:tcW w:w="9288" w:type="dxa"/>
            <w:gridSpan w:val="9"/>
            <w:shd w:val="clear" w:color="auto" w:fill="000000" w:themeFill="text1"/>
            <w:vAlign w:val="center"/>
          </w:tcPr>
          <w:p w:rsidR="00004C25" w:rsidRPr="009F3A9D" w:rsidRDefault="00004C25" w:rsidP="00AC6824">
            <w:pPr>
              <w:jc w:val="center"/>
              <w:rPr>
                <w:rFonts w:ascii="Times New Roman" w:hAnsi="Times New Roman" w:cs="Times New Roman"/>
                <w:b/>
                <w:sz w:val="20"/>
                <w:szCs w:val="20"/>
              </w:rPr>
            </w:pPr>
            <w:r w:rsidRPr="009F3A9D">
              <w:rPr>
                <w:rFonts w:ascii="Times New Roman" w:hAnsi="Times New Roman" w:cs="Times New Roman"/>
                <w:b/>
                <w:sz w:val="20"/>
                <w:szCs w:val="20"/>
              </w:rPr>
              <w:lastRenderedPageBreak/>
              <w:t>Supply Chain Mapping  of the Californian Wine Industry</w:t>
            </w:r>
          </w:p>
        </w:tc>
      </w:tr>
      <w:tr w:rsidR="00004C25" w:rsidTr="00AC6824">
        <w:tc>
          <w:tcPr>
            <w:tcW w:w="703" w:type="dxa"/>
            <w:vMerge w:val="restart"/>
            <w:textDirection w:val="btLr"/>
            <w:vAlign w:val="center"/>
          </w:tcPr>
          <w:p w:rsidR="00004C25" w:rsidRPr="00B60516" w:rsidRDefault="00004C25" w:rsidP="00AC6824">
            <w:pPr>
              <w:ind w:left="113" w:right="113"/>
              <w:jc w:val="center"/>
              <w:rPr>
                <w:rFonts w:ascii="Times New Roman" w:hAnsi="Times New Roman" w:cs="Times New Roman"/>
                <w:sz w:val="20"/>
                <w:szCs w:val="20"/>
              </w:rPr>
            </w:pPr>
            <w:r w:rsidRPr="00B60516">
              <w:rPr>
                <w:rFonts w:ascii="Times New Roman" w:hAnsi="Times New Roman" w:cs="Times New Roman"/>
                <w:sz w:val="20"/>
                <w:szCs w:val="20"/>
              </w:rPr>
              <w:t xml:space="preserve">Strategic Level </w:t>
            </w:r>
            <w:r w:rsidRPr="00B60516">
              <w:rPr>
                <w:rFonts w:ascii="Times New Roman" w:hAnsi="Times New Roman" w:cs="Times New Roman"/>
                <w:sz w:val="20"/>
                <w:szCs w:val="20"/>
              </w:rPr>
              <w:br/>
              <w:t>(Supply Network Configuration</w:t>
            </w:r>
          </w:p>
        </w:tc>
        <w:tc>
          <w:tcPr>
            <w:tcW w:w="1943" w:type="dxa"/>
            <w:shd w:val="clear" w:color="auto" w:fill="000000" w:themeFill="text1"/>
          </w:tcPr>
          <w:p w:rsidR="00004C25" w:rsidRPr="00EE01DF" w:rsidRDefault="00004C25" w:rsidP="00AC6824">
            <w:pP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Network Structure</w:t>
            </w:r>
          </w:p>
        </w:tc>
        <w:tc>
          <w:tcPr>
            <w:tcW w:w="1450" w:type="dxa"/>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A</w:t>
            </w:r>
          </w:p>
        </w:tc>
        <w:tc>
          <w:tcPr>
            <w:tcW w:w="1682"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B</w:t>
            </w:r>
          </w:p>
        </w:tc>
        <w:tc>
          <w:tcPr>
            <w:tcW w:w="1777"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C</w:t>
            </w:r>
          </w:p>
        </w:tc>
        <w:tc>
          <w:tcPr>
            <w:tcW w:w="1733"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D</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Supply Network – Vertical Complexity</w:t>
            </w:r>
          </w:p>
        </w:tc>
        <w:tc>
          <w:tcPr>
            <w:tcW w:w="1450"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Seed, Feed / Fertilizer, Herbicide / Pesticides, Fuel, Water, Electricity, Wine Additives, Transportation Companies.</w:t>
            </w:r>
            <w:r w:rsidRPr="00B60516">
              <w:rPr>
                <w:rFonts w:ascii="Times New Roman" w:hAnsi="Times New Roman" w:cs="Times New Roman"/>
                <w:sz w:val="20"/>
                <w:szCs w:val="20"/>
              </w:rPr>
              <w:br/>
              <w:t xml:space="preserve">  </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Customers – Producers (McGrail Vineyards/ Cabernet, Darcie Kent Vineyards/Petite Sirah); Concannon Vineyards.</w:t>
            </w:r>
          </w:p>
        </w:tc>
        <w:tc>
          <w:tcPr>
            <w:tcW w:w="1682"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Water, Electricity, Wine Additives, Transportation Companies, Wood Barrel Manufactures.</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Customers – Wine Retailers, Consumers;</w:t>
            </w:r>
            <w:r w:rsidRPr="00B60516">
              <w:rPr>
                <w:rFonts w:ascii="Times New Roman" w:hAnsi="Times New Roman" w:cs="Times New Roman"/>
                <w:sz w:val="20"/>
                <w:szCs w:val="20"/>
              </w:rPr>
              <w:br/>
            </w:r>
            <w:r w:rsidRPr="00B60516">
              <w:rPr>
                <w:rFonts w:ascii="Times New Roman" w:hAnsi="Times New Roman" w:cs="Times New Roman"/>
                <w:sz w:val="20"/>
                <w:szCs w:val="20"/>
              </w:rPr>
              <w:br/>
              <w:t>Tier 2 Customers – Consumers.</w:t>
            </w:r>
          </w:p>
        </w:tc>
        <w:tc>
          <w:tcPr>
            <w:tcW w:w="1777"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Seed, Feed / Fertilizer, Herbicide / Pesticides, Fuel, Water, Electricity, Wine Additives, Transportation Companies, Wood Barrel Manufactures, Bottle Manufacturers, Cork Suppliers, Capsules / Caps Suppliers, Labelling and Cardboard Broker / Printer</w:t>
            </w:r>
          </w:p>
          <w:p w:rsidR="00004C25" w:rsidRDefault="00004C25" w:rsidP="00AC6824">
            <w:pPr>
              <w:rPr>
                <w:rFonts w:ascii="Times New Roman" w:hAnsi="Times New Roman" w:cs="Times New Roman"/>
                <w:sz w:val="20"/>
                <w:szCs w:val="20"/>
              </w:rPr>
            </w:pPr>
            <w:r w:rsidRPr="00B60516">
              <w:rPr>
                <w:rFonts w:ascii="Times New Roman" w:hAnsi="Times New Roman" w:cs="Times New Roman"/>
                <w:sz w:val="20"/>
                <w:szCs w:val="20"/>
              </w:rPr>
              <w:br/>
              <w:t xml:space="preserve">Tier 2 Suppliers – Glass Manufacturers, Agribusinesses, Cork Growers, Pulp &amp; Paper Mill Manufacturers; </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br/>
              <w:t>Tier 3 Suppliers – Forest &amp; Pulp Mill.</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br/>
              <w:t xml:space="preserve">Tier 1 Customers – Wholesalers, Distributors, Consumers, Bulk Wine Customers, Private Label Businesses, and Wine Club Members; </w:t>
            </w:r>
            <w:r w:rsidRPr="00B60516">
              <w:rPr>
                <w:rFonts w:ascii="Times New Roman" w:hAnsi="Times New Roman" w:cs="Times New Roman"/>
                <w:sz w:val="20"/>
                <w:szCs w:val="20"/>
              </w:rPr>
              <w:br/>
            </w:r>
            <w:r w:rsidRPr="00B60516">
              <w:rPr>
                <w:rFonts w:ascii="Times New Roman" w:hAnsi="Times New Roman" w:cs="Times New Roman"/>
                <w:sz w:val="20"/>
                <w:szCs w:val="20"/>
              </w:rPr>
              <w:br/>
              <w:t xml:space="preserve">Tier 2 Customers – Wine Retailers, Restaurants &amp; Resorts; </w:t>
            </w:r>
            <w:r w:rsidRPr="00B60516">
              <w:rPr>
                <w:rFonts w:ascii="Times New Roman" w:hAnsi="Times New Roman" w:cs="Times New Roman"/>
                <w:sz w:val="20"/>
                <w:szCs w:val="20"/>
              </w:rPr>
              <w:br/>
            </w:r>
            <w:r w:rsidRPr="00B60516">
              <w:rPr>
                <w:rFonts w:ascii="Times New Roman" w:hAnsi="Times New Roman" w:cs="Times New Roman"/>
                <w:sz w:val="20"/>
                <w:szCs w:val="20"/>
              </w:rPr>
              <w:br/>
              <w:t>Tier3 Customers – Consumers.</w:t>
            </w: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p>
        </w:tc>
        <w:tc>
          <w:tcPr>
            <w:tcW w:w="1733" w:type="dxa"/>
            <w:gridSpan w:val="2"/>
          </w:tcPr>
          <w:p w:rsidR="00004C25"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Growers, Seed, Feed / Fertilizer, Fuel, Water, Electricity, Wine Additives, Transportation Companies, Steel Barrel Manufactures, Bottle Manufacturers, Cork Suppliers, Capsules / Caps Suppliers, Labelling and Cardboard Broker / Printer;</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Tier 2 Suppliers – Glass Manufacturers, Agribusinesses, Cork Growers, Pulp &amp; Paper Mill Manufacturers; </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br/>
              <w:t>Tier 3 Suppliers – Forest &amp; Pulp Mill.</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Tier 1 Customers – Wholesalers, Distributors; </w:t>
            </w:r>
            <w:r w:rsidRPr="00B60516">
              <w:rPr>
                <w:rFonts w:ascii="Times New Roman" w:hAnsi="Times New Roman" w:cs="Times New Roman"/>
                <w:sz w:val="20"/>
                <w:szCs w:val="20"/>
              </w:rPr>
              <w:br/>
            </w:r>
            <w:r w:rsidRPr="00B60516">
              <w:rPr>
                <w:rFonts w:ascii="Times New Roman" w:hAnsi="Times New Roman" w:cs="Times New Roman"/>
                <w:sz w:val="20"/>
                <w:szCs w:val="20"/>
              </w:rPr>
              <w:br/>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Tier 2 Customers – Wine Retailers, Restaurants &amp; Resorts; </w:t>
            </w:r>
            <w:r w:rsidRPr="00B60516">
              <w:rPr>
                <w:rFonts w:ascii="Times New Roman" w:hAnsi="Times New Roman" w:cs="Times New Roman"/>
                <w:sz w:val="20"/>
                <w:szCs w:val="20"/>
              </w:rPr>
              <w:br/>
            </w:r>
            <w:r w:rsidRPr="00B60516">
              <w:rPr>
                <w:rFonts w:ascii="Times New Roman" w:hAnsi="Times New Roman" w:cs="Times New Roman"/>
                <w:sz w:val="20"/>
                <w:szCs w:val="20"/>
              </w:rPr>
              <w:br/>
              <w:t>Tier3 Customers – Consumers.</w:t>
            </w:r>
          </w:p>
          <w:p w:rsidR="00004C25" w:rsidRPr="00B60516" w:rsidRDefault="00004C25" w:rsidP="00AC6824">
            <w:pPr>
              <w:rPr>
                <w:rFonts w:ascii="Times New Roman" w:hAnsi="Times New Roman" w:cs="Times New Roman"/>
                <w:sz w:val="20"/>
                <w:szCs w:val="20"/>
              </w:rPr>
            </w:pP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Network Structure</w:t>
            </w:r>
          </w:p>
        </w:tc>
        <w:tc>
          <w:tcPr>
            <w:tcW w:w="166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A</w:t>
            </w:r>
          </w:p>
        </w:tc>
        <w:tc>
          <w:tcPr>
            <w:tcW w:w="170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B</w:t>
            </w:r>
          </w:p>
        </w:tc>
        <w:tc>
          <w:tcPr>
            <w:tcW w:w="170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C</w:t>
            </w:r>
          </w:p>
        </w:tc>
        <w:tc>
          <w:tcPr>
            <w:tcW w:w="1558" w:type="dxa"/>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D</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Supply Network – Horizontal Complexity</w:t>
            </w:r>
          </w:p>
        </w:tc>
        <w:tc>
          <w:tcPr>
            <w:tcW w:w="166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1 Wente Vineyards Seed Supplies; 1 Municipal Water Supplier</w:t>
            </w:r>
          </w:p>
          <w:p w:rsidR="00004C25" w:rsidRPr="00B60516" w:rsidRDefault="00004C25" w:rsidP="00AC6824">
            <w:pPr>
              <w:rPr>
                <w:rFonts w:ascii="Times New Roman" w:hAnsi="Times New Roman" w:cs="Times New Roman"/>
                <w:sz w:val="20"/>
                <w:szCs w:val="20"/>
              </w:rPr>
            </w:pPr>
          </w:p>
        </w:tc>
        <w:tc>
          <w:tcPr>
            <w:tcW w:w="170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1 Estate Zinfandel Vineyard, 1 Barrel Supplier, 1 Municipal Water Supplier</w:t>
            </w:r>
          </w:p>
          <w:p w:rsidR="00004C25" w:rsidRPr="00B60516" w:rsidRDefault="00004C25" w:rsidP="00AC6824">
            <w:pPr>
              <w:rPr>
                <w:rFonts w:ascii="Times New Roman" w:hAnsi="Times New Roman" w:cs="Times New Roman"/>
                <w:sz w:val="20"/>
                <w:szCs w:val="20"/>
              </w:rPr>
            </w:pPr>
          </w:p>
        </w:tc>
        <w:tc>
          <w:tcPr>
            <w:tcW w:w="170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8-10 total of which 2-3 Glass Suppliers (Gallo), 2 cork suppliers, 2 pesticide and 3 irrigation equipment suppliers, 2 packaging suppliers.</w:t>
            </w: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Tier 2 Suppliers: ink suppliers (water based) </w:t>
            </w:r>
          </w:p>
        </w:tc>
        <w:tc>
          <w:tcPr>
            <w:tcW w:w="1558"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 30 Growers (local); 2 Glass Suppliers (Owens-Illinois), 1 cork (Corticeira Amorim)</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2 Suppliers – raw materials, energy, logistics, packaging and capital goods</w:t>
            </w:r>
          </w:p>
          <w:p w:rsidR="00004C25" w:rsidRPr="00B60516" w:rsidRDefault="00004C25" w:rsidP="00AC6824">
            <w:pPr>
              <w:rPr>
                <w:rFonts w:ascii="Times New Roman" w:hAnsi="Times New Roman" w:cs="Times New Roman"/>
                <w:sz w:val="20"/>
                <w:szCs w:val="20"/>
              </w:rPr>
            </w:pPr>
            <w:r>
              <w:rPr>
                <w:rFonts w:ascii="Times New Roman" w:hAnsi="Times New Roman" w:cs="Times New Roman"/>
                <w:sz w:val="20"/>
                <w:szCs w:val="20"/>
              </w:rPr>
              <w:t xml:space="preserve">Tier 3 Suppliers - </w:t>
            </w:r>
            <w:r w:rsidRPr="00B60516">
              <w:rPr>
                <w:rFonts w:ascii="Times New Roman" w:hAnsi="Times New Roman" w:cs="Times New Roman"/>
                <w:sz w:val="20"/>
                <w:szCs w:val="20"/>
              </w:rPr>
              <w:t>municipal/city systems, wells &amp; surface for water supply</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Supply Network – Spatial Complexity</w:t>
            </w:r>
          </w:p>
        </w:tc>
        <w:tc>
          <w:tcPr>
            <w:tcW w:w="166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to Focal Company: 5 miles</w:t>
            </w: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Focal Company to Tier 1 Customers: Bay Area Distribution (50 mile radius)</w:t>
            </w:r>
          </w:p>
        </w:tc>
        <w:tc>
          <w:tcPr>
            <w:tcW w:w="170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Tier 1 Suppliers to Focal Company: Sonoma County (75 miles) </w:t>
            </w:r>
          </w:p>
          <w:p w:rsidR="00004C25" w:rsidRPr="00B60516" w:rsidRDefault="00004C25" w:rsidP="00AC6824">
            <w:pPr>
              <w:rPr>
                <w:rFonts w:ascii="Times New Roman" w:hAnsi="Times New Roman" w:cs="Times New Roman"/>
                <w:sz w:val="20"/>
                <w:szCs w:val="20"/>
              </w:rPr>
            </w:pP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Focal Company to Tier 1 Customers:  Inter-State Distribution (250 mile radius)</w:t>
            </w:r>
          </w:p>
        </w:tc>
        <w:tc>
          <w:tcPr>
            <w:tcW w:w="170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3 to Tier 2 Suppliers: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2 to Tier 1 Suppliers: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to Focal Company: Glass supplier (50miles); cork supplier (Portugal)</w:t>
            </w:r>
            <w:r>
              <w:rPr>
                <w:rFonts w:ascii="Times New Roman" w:hAnsi="Times New Roman" w:cs="Times New Roman"/>
                <w:sz w:val="20"/>
                <w:szCs w:val="20"/>
              </w:rPr>
              <w:t xml:space="preserve">; </w:t>
            </w:r>
            <w:r w:rsidRPr="00B60516">
              <w:rPr>
                <w:rFonts w:ascii="Times New Roman" w:hAnsi="Times New Roman" w:cs="Times New Roman"/>
                <w:sz w:val="20"/>
                <w:szCs w:val="20"/>
              </w:rPr>
              <w:t>Focal Company to Tier 1 Customers: 70 countries including Brazil, Canada, China, Japan, Germany and the Caribbean.</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to Tier 2 Customers: Domestic and worldwide</w:t>
            </w:r>
          </w:p>
        </w:tc>
        <w:tc>
          <w:tcPr>
            <w:tcW w:w="1558"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3 to Tier 2 Suppliers: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2 to Tier 1 Suppliers: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Tier 1 Suppliers to Focal Company: Glass supplier (2,000 miles); Multiple in CA (Oakland, LA, Tracy &amp; Fairfield); cork supplier (Portugal)</w:t>
            </w:r>
            <w:r w:rsidRPr="00B60516">
              <w:rPr>
                <w:rFonts w:ascii="Times New Roman" w:hAnsi="Times New Roman" w:cs="Times New Roman"/>
                <w:sz w:val="20"/>
                <w:szCs w:val="20"/>
              </w:rPr>
              <w:br/>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Focal Company to Tier 1 Customers: Domestic</w:t>
            </w:r>
          </w:p>
          <w:p w:rsidR="00004C25" w:rsidRPr="00B60516" w:rsidRDefault="00004C25" w:rsidP="00AC6824">
            <w:pPr>
              <w:rPr>
                <w:rFonts w:ascii="Times New Roman" w:hAnsi="Times New Roman" w:cs="Times New Roman"/>
                <w:sz w:val="20"/>
                <w:szCs w:val="20"/>
              </w:rPr>
            </w:pP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 xml:space="preserve">Process Flow </w:t>
            </w:r>
            <w:r w:rsidRPr="00B60516">
              <w:rPr>
                <w:rFonts w:ascii="Times New Roman" w:hAnsi="Times New Roman" w:cs="Times New Roman"/>
                <w:sz w:val="20"/>
                <w:szCs w:val="20"/>
              </w:rPr>
              <w:br/>
              <w:t>(water sensitive)</w:t>
            </w:r>
          </w:p>
        </w:tc>
        <w:tc>
          <w:tcPr>
            <w:tcW w:w="1668" w:type="dxa"/>
            <w:gridSpan w:val="2"/>
          </w:tcPr>
          <w:p w:rsidR="00004C25" w:rsidRPr="00B60516" w:rsidRDefault="00004C25" w:rsidP="00AC6824">
            <w:pPr>
              <w:pStyle w:val="ListParagraph"/>
              <w:numPr>
                <w:ilvl w:val="0"/>
                <w:numId w:val="33"/>
              </w:numPr>
              <w:ind w:left="144" w:hanging="144"/>
              <w:rPr>
                <w:rFonts w:ascii="Times New Roman" w:hAnsi="Times New Roman" w:cs="Times New Roman"/>
                <w:sz w:val="20"/>
                <w:szCs w:val="20"/>
              </w:rPr>
            </w:pPr>
            <w:r w:rsidRPr="00B60516">
              <w:rPr>
                <w:rFonts w:ascii="Times New Roman" w:hAnsi="Times New Roman" w:cs="Times New Roman"/>
                <w:sz w:val="20"/>
                <w:szCs w:val="20"/>
              </w:rPr>
              <w:t>Landscape Irrigation, Misters, Harvest Activities, Stormwater residue, Wastewater residue</w:t>
            </w:r>
          </w:p>
        </w:tc>
        <w:tc>
          <w:tcPr>
            <w:tcW w:w="1708" w:type="dxa"/>
            <w:gridSpan w:val="2"/>
          </w:tcPr>
          <w:p w:rsidR="00004C25" w:rsidRPr="00B60516" w:rsidRDefault="00004C25" w:rsidP="00AC6824">
            <w:pPr>
              <w:pStyle w:val="ListParagraph"/>
              <w:numPr>
                <w:ilvl w:val="0"/>
                <w:numId w:val="33"/>
              </w:numPr>
              <w:ind w:left="144" w:hanging="144"/>
              <w:rPr>
                <w:rFonts w:ascii="Times New Roman" w:hAnsi="Times New Roman" w:cs="Times New Roman"/>
                <w:sz w:val="20"/>
                <w:szCs w:val="20"/>
              </w:rPr>
            </w:pPr>
            <w:r w:rsidRPr="00B60516">
              <w:rPr>
                <w:rFonts w:ascii="Times New Roman" w:hAnsi="Times New Roman" w:cs="Times New Roman"/>
                <w:sz w:val="20"/>
                <w:szCs w:val="20"/>
              </w:rPr>
              <w:t>Hopper Rinse, Bin Rinse, Crush, Press, Sanitation, Wastewater residue</w:t>
            </w:r>
          </w:p>
        </w:tc>
        <w:tc>
          <w:tcPr>
            <w:tcW w:w="1708" w:type="dxa"/>
            <w:gridSpan w:val="2"/>
          </w:tcPr>
          <w:p w:rsidR="00004C25" w:rsidRPr="00B60516" w:rsidRDefault="00004C25" w:rsidP="00AC6824">
            <w:pPr>
              <w:pStyle w:val="ListParagraph"/>
              <w:numPr>
                <w:ilvl w:val="0"/>
                <w:numId w:val="33"/>
              </w:numPr>
              <w:ind w:left="144" w:hanging="144"/>
              <w:rPr>
                <w:rFonts w:ascii="Times New Roman" w:hAnsi="Times New Roman" w:cs="Times New Roman"/>
                <w:sz w:val="20"/>
                <w:szCs w:val="20"/>
              </w:rPr>
            </w:pPr>
            <w:r w:rsidRPr="00B60516">
              <w:rPr>
                <w:rFonts w:ascii="Times New Roman" w:hAnsi="Times New Roman" w:cs="Times New Roman"/>
                <w:sz w:val="20"/>
                <w:szCs w:val="20"/>
              </w:rPr>
              <w:t>Fermentation, Cellar, Tank, Barrel Processing, Centrifuge, Aging, Sanitation, Line Cleaning, Bottling, Laboratory, Tasting Room, Chillers, Bathroom and Break rooms, Transportation, Wastewater, Recycling</w:t>
            </w:r>
          </w:p>
        </w:tc>
        <w:tc>
          <w:tcPr>
            <w:tcW w:w="1558" w:type="dxa"/>
          </w:tcPr>
          <w:p w:rsidR="00004C25" w:rsidRPr="00EE01DF" w:rsidRDefault="00004C25" w:rsidP="00AC6824">
            <w:pPr>
              <w:pStyle w:val="ListParagraph"/>
              <w:numPr>
                <w:ilvl w:val="0"/>
                <w:numId w:val="33"/>
              </w:numPr>
              <w:ind w:left="144" w:hanging="144"/>
              <w:rPr>
                <w:rFonts w:ascii="Times New Roman" w:hAnsi="Times New Roman" w:cs="Times New Roman"/>
                <w:sz w:val="20"/>
                <w:szCs w:val="20"/>
              </w:rPr>
            </w:pPr>
            <w:r w:rsidRPr="00B60516">
              <w:rPr>
                <w:rFonts w:ascii="Times New Roman" w:hAnsi="Times New Roman" w:cs="Times New Roman"/>
                <w:sz w:val="20"/>
                <w:szCs w:val="20"/>
              </w:rPr>
              <w:t>Fermentation, Cellar, Tank, Barrel Processing, Centrifuge, Aging, Sanitation, Line Cleaning, Bottling, Laboratory, Tasting Room, Chillers, Bathroom and Break rooms, Transportation, Wastewater, Recycling</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Network Structure</w:t>
            </w:r>
          </w:p>
        </w:tc>
        <w:tc>
          <w:tcPr>
            <w:tcW w:w="166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A</w:t>
            </w:r>
          </w:p>
        </w:tc>
        <w:tc>
          <w:tcPr>
            <w:tcW w:w="170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B</w:t>
            </w:r>
          </w:p>
        </w:tc>
        <w:tc>
          <w:tcPr>
            <w:tcW w:w="1708" w:type="dxa"/>
            <w:gridSpan w:val="2"/>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C</w:t>
            </w:r>
          </w:p>
        </w:tc>
        <w:tc>
          <w:tcPr>
            <w:tcW w:w="1558" w:type="dxa"/>
            <w:shd w:val="clear" w:color="auto" w:fill="000000" w:themeFill="text1"/>
          </w:tcPr>
          <w:p w:rsidR="00004C25" w:rsidRPr="00EE01DF" w:rsidRDefault="00004C25" w:rsidP="00AC6824">
            <w:pPr>
              <w:jc w:val="center"/>
              <w:rPr>
                <w:rFonts w:ascii="Times New Roman" w:hAnsi="Times New Roman" w:cs="Times New Roman"/>
                <w:b/>
                <w:color w:val="FFFFFF" w:themeColor="background1"/>
                <w:sz w:val="20"/>
                <w:szCs w:val="20"/>
              </w:rPr>
            </w:pPr>
            <w:r w:rsidRPr="00EE01DF">
              <w:rPr>
                <w:rFonts w:ascii="Times New Roman" w:hAnsi="Times New Roman" w:cs="Times New Roman"/>
                <w:b/>
                <w:color w:val="FFFFFF" w:themeColor="background1"/>
                <w:sz w:val="20"/>
                <w:szCs w:val="20"/>
              </w:rPr>
              <w:t>Company D</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Value Structure</w:t>
            </w:r>
          </w:p>
        </w:tc>
        <w:tc>
          <w:tcPr>
            <w:tcW w:w="1668" w:type="dxa"/>
            <w:gridSpan w:val="2"/>
          </w:tcPr>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Terroir</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Grape Variety </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Grape Quality</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Grape Yield </w:t>
            </w:r>
          </w:p>
          <w:p w:rsidR="00004C25" w:rsidRPr="00B60516" w:rsidRDefault="00004C25" w:rsidP="00AC6824">
            <w:pPr>
              <w:rPr>
                <w:rFonts w:ascii="Times New Roman" w:hAnsi="Times New Roman" w:cs="Times New Roman"/>
                <w:sz w:val="20"/>
                <w:szCs w:val="20"/>
              </w:rPr>
            </w:pPr>
          </w:p>
        </w:tc>
        <w:tc>
          <w:tcPr>
            <w:tcW w:w="1708" w:type="dxa"/>
            <w:gridSpan w:val="2"/>
          </w:tcPr>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Terroir </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Varietals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Aging</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Assemblage</w:t>
            </w:r>
          </w:p>
          <w:p w:rsidR="00004C25" w:rsidRPr="00B60516" w:rsidRDefault="00004C25" w:rsidP="00AC6824">
            <w:pPr>
              <w:rPr>
                <w:rFonts w:ascii="Times New Roman" w:hAnsi="Times New Roman" w:cs="Times New Roman"/>
                <w:sz w:val="20"/>
                <w:szCs w:val="20"/>
              </w:rPr>
            </w:pPr>
          </w:p>
        </w:tc>
        <w:tc>
          <w:tcPr>
            <w:tcW w:w="1708" w:type="dxa"/>
            <w:gridSpan w:val="2"/>
          </w:tcPr>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Terroir </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Grape Variety</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Grape Quality</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Grape Yield </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Varietals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Aging</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Assemblage</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Packaging</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Brand</w:t>
            </w:r>
          </w:p>
        </w:tc>
        <w:tc>
          <w:tcPr>
            <w:tcW w:w="1558" w:type="dxa"/>
          </w:tcPr>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Terroir </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Grape Variety</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Grape Quality</w:t>
            </w:r>
          </w:p>
          <w:p w:rsidR="00004C25" w:rsidRPr="00B60516" w:rsidRDefault="00004C25" w:rsidP="00AC6824">
            <w:pPr>
              <w:rPr>
                <w:rFonts w:ascii="Times New Roman" w:hAnsi="Times New Roman" w:cs="Times New Roman"/>
                <w:sz w:val="20"/>
                <w:szCs w:val="20"/>
                <w:lang w:val="en"/>
              </w:rPr>
            </w:pPr>
            <w:r w:rsidRPr="00B60516">
              <w:rPr>
                <w:rFonts w:ascii="Times New Roman" w:hAnsi="Times New Roman" w:cs="Times New Roman"/>
                <w:sz w:val="20"/>
                <w:szCs w:val="20"/>
                <w:lang w:val="en"/>
              </w:rPr>
              <w:t xml:space="preserve">Grape Yield </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Varietals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Aging</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Assemblage</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Packaging</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Brand</w:t>
            </w:r>
          </w:p>
        </w:tc>
      </w:tr>
      <w:tr w:rsidR="00004C25" w:rsidTr="00AC6824">
        <w:tc>
          <w:tcPr>
            <w:tcW w:w="703" w:type="dxa"/>
            <w:vMerge/>
          </w:tcPr>
          <w:p w:rsidR="00004C25" w:rsidRPr="00B60516" w:rsidRDefault="00004C25" w:rsidP="00AC6824">
            <w:pPr>
              <w:rPr>
                <w:rFonts w:ascii="Times New Roman" w:hAnsi="Times New Roman" w:cs="Times New Roman"/>
                <w:sz w:val="20"/>
                <w:szCs w:val="20"/>
              </w:rPr>
            </w:pPr>
          </w:p>
        </w:tc>
        <w:tc>
          <w:tcPr>
            <w:tcW w:w="1943" w:type="dxa"/>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Product Characteristics</w:t>
            </w:r>
          </w:p>
        </w:tc>
        <w:tc>
          <w:tcPr>
            <w:tcW w:w="166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Fruit Only: Cabernet (clone 337 and clone 8); Petite Sirah</w:t>
            </w:r>
          </w:p>
          <w:p w:rsidR="00004C25" w:rsidRPr="00B60516" w:rsidRDefault="00004C25" w:rsidP="00AC6824">
            <w:pPr>
              <w:rPr>
                <w:rFonts w:ascii="Times New Roman" w:hAnsi="Times New Roman" w:cs="Times New Roman"/>
                <w:sz w:val="20"/>
                <w:szCs w:val="20"/>
              </w:rPr>
            </w:pPr>
          </w:p>
        </w:tc>
        <w:tc>
          <w:tcPr>
            <w:tcW w:w="1708" w:type="dxa"/>
            <w:gridSpan w:val="2"/>
          </w:tcPr>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Varietals produced: 10</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Zinfandel</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Chardonnay</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Syrah</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Tempranillo</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Cabernet Sauvignon</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Barbera</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Blended Wines</w:t>
            </w:r>
          </w:p>
        </w:tc>
        <w:tc>
          <w:tcPr>
            <w:tcW w:w="1708" w:type="dxa"/>
            <w:gridSpan w:val="2"/>
          </w:tcPr>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Vine varietals grown: 30</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Varietals produced: 20</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Estate Grown</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Cabernet Sauvignon</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Sauvignon Blanc</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Chardonnay</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Riesling</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Merlot</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Single Vineyard</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Chardonnay</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Pinot Noir</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Small Lot</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Brut</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Cabernet Franc</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Muscat</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Petite Sirah</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Petite Sirah Port</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Pinot Blanc</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Pr>
                <w:rFonts w:ascii="Times New Roman" w:hAnsi="Times New Roman" w:cs="Times New Roman"/>
                <w:sz w:val="20"/>
                <w:szCs w:val="20"/>
              </w:rPr>
              <w:t>Pinot</w:t>
            </w:r>
            <w:r w:rsidRPr="00B60516">
              <w:rPr>
                <w:rFonts w:ascii="Times New Roman" w:hAnsi="Times New Roman" w:cs="Times New Roman"/>
                <w:sz w:val="20"/>
                <w:szCs w:val="20"/>
              </w:rPr>
              <w:t xml:space="preserve"> Noir Rose</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Blended Wines</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sz w:val="20"/>
                <w:szCs w:val="20"/>
              </w:rPr>
              <w:t>Nth Degree</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Cabernet Sauvignon</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Chardonnay</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Merlot</w:t>
            </w:r>
          </w:p>
          <w:p w:rsidR="00004C25" w:rsidRPr="00B60516" w:rsidRDefault="00004C25" w:rsidP="00AC6824">
            <w:pPr>
              <w:pStyle w:val="ListParagraph"/>
              <w:numPr>
                <w:ilvl w:val="0"/>
                <w:numId w:val="34"/>
              </w:numPr>
              <w:ind w:left="504" w:hanging="144"/>
              <w:rPr>
                <w:rFonts w:ascii="Times New Roman" w:hAnsi="Times New Roman" w:cs="Times New Roman"/>
                <w:sz w:val="20"/>
                <w:szCs w:val="20"/>
              </w:rPr>
            </w:pPr>
            <w:r w:rsidRPr="00B60516">
              <w:rPr>
                <w:rFonts w:ascii="Times New Roman" w:hAnsi="Times New Roman" w:cs="Times New Roman"/>
                <w:sz w:val="20"/>
                <w:szCs w:val="20"/>
              </w:rPr>
              <w:t>Pinot Noir</w:t>
            </w:r>
          </w:p>
        </w:tc>
        <w:tc>
          <w:tcPr>
            <w:tcW w:w="1558" w:type="dxa"/>
          </w:tcPr>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Varietals produced: 13</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 xml:space="preserve">Chardonnay </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Sauvignon Blanc</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Pinot Grigio</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Riesling</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Gewürztraminer</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Moscato</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Cabernet Sauvignon Merlot</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Pinot Noir</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Shiraz</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Zinfandel</w:t>
            </w:r>
          </w:p>
          <w:p w:rsidR="00004C25" w:rsidRPr="00B60516" w:rsidRDefault="00004C25" w:rsidP="00AC6824">
            <w:pPr>
              <w:rPr>
                <w:rFonts w:ascii="Times New Roman" w:hAnsi="Times New Roman" w:cs="Times New Roman"/>
                <w:color w:val="141823"/>
                <w:sz w:val="20"/>
                <w:szCs w:val="20"/>
                <w:lang w:val="en"/>
              </w:rPr>
            </w:pPr>
            <w:r w:rsidRPr="00B60516">
              <w:rPr>
                <w:rFonts w:ascii="Times New Roman" w:hAnsi="Times New Roman" w:cs="Times New Roman"/>
                <w:color w:val="141823"/>
                <w:sz w:val="20"/>
                <w:szCs w:val="20"/>
                <w:lang w:val="en"/>
              </w:rPr>
              <w:t>White Zinfandel</w:t>
            </w:r>
          </w:p>
          <w:p w:rsidR="00004C25" w:rsidRPr="00B60516" w:rsidRDefault="00004C25" w:rsidP="00AC6824">
            <w:pPr>
              <w:rPr>
                <w:rFonts w:ascii="Times New Roman" w:hAnsi="Times New Roman" w:cs="Times New Roman"/>
                <w:sz w:val="20"/>
                <w:szCs w:val="20"/>
              </w:rPr>
            </w:pPr>
            <w:r w:rsidRPr="00B60516">
              <w:rPr>
                <w:rFonts w:ascii="Times New Roman" w:hAnsi="Times New Roman" w:cs="Times New Roman"/>
                <w:color w:val="141823"/>
                <w:sz w:val="20"/>
                <w:szCs w:val="20"/>
                <w:lang w:val="en"/>
              </w:rPr>
              <w:t>Malbec</w:t>
            </w:r>
          </w:p>
        </w:tc>
      </w:tr>
    </w:tbl>
    <w:p w:rsidR="00004C25" w:rsidRDefault="00004C25" w:rsidP="00004C25">
      <w:pPr>
        <w:pStyle w:val="Caption"/>
        <w:jc w:val="center"/>
      </w:pPr>
    </w:p>
    <w:p w:rsidR="00004C25" w:rsidRPr="00780588" w:rsidRDefault="00004C25" w:rsidP="00004C25">
      <w:pPr>
        <w:pStyle w:val="Caption"/>
        <w:jc w:val="center"/>
        <w:rPr>
          <w:rFonts w:ascii="Times New Roman" w:hAnsi="Times New Roman" w:cs="Times New Roman"/>
          <w:b w:val="0"/>
          <w:color w:val="auto"/>
          <w:sz w:val="40"/>
          <w:szCs w:val="20"/>
        </w:rPr>
      </w:pPr>
      <w:bookmarkStart w:id="5" w:name="_Toc425393221"/>
      <w:r w:rsidRPr="00780588">
        <w:rPr>
          <w:rFonts w:ascii="Times New Roman" w:hAnsi="Times New Roman" w:cs="Times New Roman"/>
          <w:b w:val="0"/>
          <w:color w:val="auto"/>
          <w:sz w:val="24"/>
        </w:rPr>
        <w:t xml:space="preserve">Table </w:t>
      </w:r>
      <w:r w:rsidR="000130C3">
        <w:rPr>
          <w:rFonts w:ascii="Times New Roman" w:hAnsi="Times New Roman" w:cs="Times New Roman"/>
          <w:b w:val="0"/>
          <w:color w:val="auto"/>
          <w:sz w:val="24"/>
        </w:rPr>
        <w:t>2</w:t>
      </w:r>
      <w:r w:rsidRPr="00780588">
        <w:rPr>
          <w:rFonts w:ascii="Times New Roman" w:hAnsi="Times New Roman" w:cs="Times New Roman"/>
          <w:b w:val="0"/>
          <w:color w:val="auto"/>
          <w:sz w:val="24"/>
        </w:rPr>
        <w:t xml:space="preserve"> Within-case Summary – Supply network configuration analysis</w:t>
      </w:r>
      <w:bookmarkEnd w:id="5"/>
    </w:p>
    <w:p w:rsidR="00004C25" w:rsidRDefault="00004C25" w:rsidP="00004C25">
      <w:pPr>
        <w:spacing w:before="100" w:beforeAutospacing="1" w:after="100" w:afterAutospacing="1" w:line="240" w:lineRule="auto"/>
        <w:jc w:val="center"/>
        <w:rPr>
          <w:rFonts w:ascii="Times New Roman" w:hAnsi="Times New Roman" w:cs="Times New Roman"/>
          <w:sz w:val="20"/>
          <w:szCs w:val="20"/>
        </w:rPr>
      </w:pPr>
    </w:p>
    <w:p w:rsidR="00004C25" w:rsidRDefault="00004C25" w:rsidP="00004C25">
      <w:pPr>
        <w:spacing w:before="100" w:beforeAutospacing="1" w:after="100" w:afterAutospacing="1" w:line="240" w:lineRule="auto"/>
        <w:jc w:val="center"/>
        <w:rPr>
          <w:rFonts w:ascii="Times New Roman" w:hAnsi="Times New Roman" w:cs="Times New Roman"/>
          <w:sz w:val="20"/>
          <w:szCs w:val="20"/>
        </w:rPr>
      </w:pPr>
    </w:p>
    <w:p w:rsidR="00004C25" w:rsidRDefault="00004C25" w:rsidP="00004C25">
      <w:pPr>
        <w:spacing w:before="100" w:beforeAutospacing="1" w:after="100" w:afterAutospacing="1" w:line="240" w:lineRule="auto"/>
        <w:jc w:val="center"/>
        <w:rPr>
          <w:rFonts w:ascii="Times New Roman" w:hAnsi="Times New Roman" w:cs="Times New Roman"/>
          <w:sz w:val="20"/>
          <w:szCs w:val="20"/>
        </w:rPr>
      </w:pPr>
    </w:p>
    <w:p w:rsidR="00004C25" w:rsidRPr="000A71ED" w:rsidRDefault="00004C25" w:rsidP="00004C25">
      <w:pPr>
        <w:spacing w:before="100" w:beforeAutospacing="1" w:after="100" w:afterAutospacing="1" w:line="240" w:lineRule="auto"/>
        <w:jc w:val="center"/>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1522"/>
        <w:gridCol w:w="1060"/>
        <w:gridCol w:w="1144"/>
        <w:gridCol w:w="1379"/>
        <w:gridCol w:w="1407"/>
        <w:gridCol w:w="1360"/>
        <w:gridCol w:w="1370"/>
      </w:tblGrid>
      <w:tr w:rsidR="00004C25" w:rsidRPr="000A71ED" w:rsidTr="00AC6824">
        <w:trPr>
          <w:trHeight w:val="806"/>
        </w:trPr>
        <w:tc>
          <w:tcPr>
            <w:tcW w:w="2448"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lastRenderedPageBreak/>
              <w:t>Organization</w:t>
            </w:r>
            <w:r w:rsidRPr="000A71ED">
              <w:rPr>
                <w:rFonts w:ascii="Times New Roman" w:hAnsi="Times New Roman" w:cs="Times New Roman"/>
                <w:b/>
                <w:sz w:val="20"/>
                <w:szCs w:val="20"/>
              </w:rPr>
              <w:br/>
              <w:t>Name</w:t>
            </w:r>
          </w:p>
        </w:tc>
        <w:tc>
          <w:tcPr>
            <w:tcW w:w="1954"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Farmed Acers</w:t>
            </w:r>
          </w:p>
        </w:tc>
        <w:tc>
          <w:tcPr>
            <w:tcW w:w="1954"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Varietals</w:t>
            </w:r>
          </w:p>
        </w:tc>
        <w:tc>
          <w:tcPr>
            <w:tcW w:w="1955"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Product Structure</w:t>
            </w:r>
          </w:p>
        </w:tc>
        <w:tc>
          <w:tcPr>
            <w:tcW w:w="1954"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Network Relationship</w:t>
            </w:r>
          </w:p>
        </w:tc>
        <w:tc>
          <w:tcPr>
            <w:tcW w:w="1954"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Network Role / Governance</w:t>
            </w:r>
          </w:p>
        </w:tc>
        <w:tc>
          <w:tcPr>
            <w:tcW w:w="1955" w:type="dxa"/>
            <w:shd w:val="clear" w:color="auto" w:fill="000000" w:themeFill="text1"/>
            <w:vAlign w:val="center"/>
          </w:tcPr>
          <w:p w:rsidR="00004C25" w:rsidRPr="000A71ED" w:rsidRDefault="00004C25" w:rsidP="00AC6824">
            <w:pPr>
              <w:spacing w:before="100" w:beforeAutospacing="1" w:after="100" w:afterAutospacing="1"/>
              <w:jc w:val="center"/>
              <w:rPr>
                <w:rFonts w:ascii="Times New Roman" w:hAnsi="Times New Roman" w:cs="Times New Roman"/>
                <w:b/>
                <w:sz w:val="20"/>
                <w:szCs w:val="20"/>
              </w:rPr>
            </w:pPr>
            <w:r w:rsidRPr="000A71ED">
              <w:rPr>
                <w:rFonts w:ascii="Times New Roman" w:hAnsi="Times New Roman" w:cs="Times New Roman"/>
                <w:b/>
                <w:sz w:val="20"/>
                <w:szCs w:val="20"/>
              </w:rPr>
              <w:t>Distribution</w:t>
            </w:r>
          </w:p>
        </w:tc>
      </w:tr>
      <w:tr w:rsidR="00004C25" w:rsidRPr="000A71ED" w:rsidTr="00AC6824">
        <w:trPr>
          <w:trHeight w:val="806"/>
        </w:trPr>
        <w:tc>
          <w:tcPr>
            <w:tcW w:w="2448"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A</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62</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3</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Make-to-Specification</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Strong, Transactional</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Principle Supplier</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Regional</w:t>
            </w:r>
          </w:p>
        </w:tc>
      </w:tr>
      <w:tr w:rsidR="00004C25" w:rsidRPr="000A71ED" w:rsidTr="00AC6824">
        <w:trPr>
          <w:trHeight w:val="806"/>
        </w:trPr>
        <w:tc>
          <w:tcPr>
            <w:tcW w:w="2448"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B</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N/A</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10</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Seasonal</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Transactional</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Principle Customer</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Inter-State</w:t>
            </w:r>
          </w:p>
        </w:tc>
      </w:tr>
      <w:tr w:rsidR="00004C25" w:rsidRPr="000A71ED" w:rsidTr="00AC6824">
        <w:trPr>
          <w:trHeight w:val="806"/>
        </w:trPr>
        <w:tc>
          <w:tcPr>
            <w:tcW w:w="2448"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C</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960</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13</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Traditional</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Integrated</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Leader</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Domestic</w:t>
            </w:r>
          </w:p>
        </w:tc>
      </w:tr>
      <w:tr w:rsidR="00004C25" w:rsidRPr="000A71ED" w:rsidTr="00AC6824">
        <w:trPr>
          <w:trHeight w:val="806"/>
        </w:trPr>
        <w:tc>
          <w:tcPr>
            <w:tcW w:w="2448"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Pr>
                <w:rFonts w:ascii="Times New Roman" w:hAnsi="Times New Roman" w:cs="Times New Roman"/>
                <w:sz w:val="20"/>
                <w:szCs w:val="20"/>
              </w:rPr>
              <w:t>Company D</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3,000</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30</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Innovative</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Strong, Integrated</w:t>
            </w:r>
          </w:p>
        </w:tc>
        <w:tc>
          <w:tcPr>
            <w:tcW w:w="1954"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Leader</w:t>
            </w:r>
          </w:p>
        </w:tc>
        <w:tc>
          <w:tcPr>
            <w:tcW w:w="1955" w:type="dxa"/>
            <w:vAlign w:val="center"/>
          </w:tcPr>
          <w:p w:rsidR="00004C25" w:rsidRPr="000A71ED" w:rsidRDefault="00004C25" w:rsidP="00AC6824">
            <w:pPr>
              <w:spacing w:before="100" w:beforeAutospacing="1" w:after="100" w:afterAutospacing="1"/>
              <w:jc w:val="center"/>
              <w:rPr>
                <w:rFonts w:ascii="Times New Roman" w:hAnsi="Times New Roman" w:cs="Times New Roman"/>
                <w:sz w:val="20"/>
                <w:szCs w:val="20"/>
              </w:rPr>
            </w:pPr>
            <w:r w:rsidRPr="000A71ED">
              <w:rPr>
                <w:rFonts w:ascii="Times New Roman" w:hAnsi="Times New Roman" w:cs="Times New Roman"/>
                <w:sz w:val="20"/>
                <w:szCs w:val="20"/>
              </w:rPr>
              <w:t>International</w:t>
            </w:r>
          </w:p>
        </w:tc>
      </w:tr>
    </w:tbl>
    <w:p w:rsidR="00004C25" w:rsidRDefault="00004C25" w:rsidP="00004C25">
      <w:pPr>
        <w:pStyle w:val="Caption"/>
        <w:jc w:val="center"/>
      </w:pPr>
    </w:p>
    <w:p w:rsidR="00004C25" w:rsidRPr="00780588" w:rsidRDefault="00004C25" w:rsidP="00004C25">
      <w:pPr>
        <w:pStyle w:val="Caption"/>
        <w:jc w:val="center"/>
        <w:rPr>
          <w:rFonts w:ascii="Times New Roman" w:hAnsi="Times New Roman" w:cs="Times New Roman"/>
          <w:b w:val="0"/>
          <w:color w:val="auto"/>
          <w:sz w:val="40"/>
          <w:szCs w:val="24"/>
        </w:rPr>
      </w:pPr>
      <w:bookmarkStart w:id="6" w:name="_Toc425393222"/>
      <w:r w:rsidRPr="00780588">
        <w:rPr>
          <w:rFonts w:ascii="Times New Roman" w:hAnsi="Times New Roman" w:cs="Times New Roman"/>
          <w:b w:val="0"/>
          <w:color w:val="auto"/>
          <w:sz w:val="24"/>
        </w:rPr>
        <w:t xml:space="preserve">Table </w:t>
      </w:r>
      <w:r>
        <w:rPr>
          <w:rFonts w:ascii="Times New Roman" w:hAnsi="Times New Roman" w:cs="Times New Roman"/>
          <w:b w:val="0"/>
          <w:color w:val="auto"/>
          <w:sz w:val="24"/>
        </w:rPr>
        <w:t>3</w:t>
      </w:r>
      <w:r w:rsidRPr="00780588">
        <w:rPr>
          <w:rFonts w:ascii="Times New Roman" w:hAnsi="Times New Roman" w:cs="Times New Roman"/>
          <w:b w:val="0"/>
          <w:color w:val="auto"/>
          <w:sz w:val="24"/>
        </w:rPr>
        <w:t xml:space="preserve"> Cross-case analysis – Supply network configuration</w:t>
      </w:r>
      <w:bookmarkEnd w:id="6"/>
    </w:p>
    <w:p w:rsidR="00004C25" w:rsidRDefault="00004C25" w:rsidP="00004C25">
      <w:pPr>
        <w:spacing w:before="100" w:beforeAutospacing="1" w:after="100" w:afterAutospacing="1" w:line="240" w:lineRule="auto"/>
        <w:jc w:val="center"/>
        <w:rPr>
          <w:rFonts w:ascii="Times New Roman" w:hAnsi="Times New Roman" w:cs="Times New Roman"/>
          <w:sz w:val="20"/>
          <w:szCs w:val="24"/>
        </w:rPr>
      </w:pPr>
    </w:p>
    <w:tbl>
      <w:tblPr>
        <w:tblStyle w:val="TableGrid"/>
        <w:tblW w:w="0" w:type="auto"/>
        <w:tblLook w:val="04A0" w:firstRow="1" w:lastRow="0" w:firstColumn="1" w:lastColumn="0" w:noHBand="0" w:noVBand="1"/>
      </w:tblPr>
      <w:tblGrid>
        <w:gridCol w:w="1458"/>
        <w:gridCol w:w="2064"/>
        <w:gridCol w:w="2796"/>
        <w:gridCol w:w="1620"/>
        <w:gridCol w:w="1304"/>
      </w:tblGrid>
      <w:tr w:rsidR="00004C25" w:rsidTr="00AC6824">
        <w:tc>
          <w:tcPr>
            <w:tcW w:w="1458" w:type="dxa"/>
            <w:shd w:val="clear" w:color="auto" w:fill="000000" w:themeFill="text1"/>
          </w:tcPr>
          <w:p w:rsidR="00004C25" w:rsidRPr="000A71ED" w:rsidRDefault="00004C25" w:rsidP="00AC6824">
            <w:pPr>
              <w:spacing w:before="100" w:beforeAutospacing="1" w:after="100" w:afterAutospacing="1"/>
              <w:jc w:val="center"/>
              <w:rPr>
                <w:rFonts w:ascii="Times New Roman" w:hAnsi="Times New Roman" w:cs="Times New Roman"/>
                <w:b/>
                <w:color w:val="FFFFFF" w:themeColor="background1"/>
                <w:sz w:val="20"/>
              </w:rPr>
            </w:pPr>
            <w:r w:rsidRPr="000A71ED">
              <w:rPr>
                <w:rFonts w:ascii="Times New Roman" w:hAnsi="Times New Roman" w:cs="Times New Roman"/>
                <w:b/>
                <w:color w:val="FFFFFF" w:themeColor="background1"/>
                <w:sz w:val="20"/>
              </w:rPr>
              <w:t>Process Flow</w:t>
            </w:r>
          </w:p>
        </w:tc>
        <w:tc>
          <w:tcPr>
            <w:tcW w:w="2064" w:type="dxa"/>
            <w:shd w:val="clear" w:color="auto" w:fill="000000" w:themeFill="text1"/>
          </w:tcPr>
          <w:p w:rsidR="00004C25" w:rsidRPr="000A71ED" w:rsidRDefault="00004C25" w:rsidP="00AC6824">
            <w:pPr>
              <w:spacing w:before="100" w:beforeAutospacing="1" w:after="100" w:afterAutospacing="1"/>
              <w:jc w:val="center"/>
              <w:rPr>
                <w:rFonts w:ascii="Times New Roman" w:hAnsi="Times New Roman" w:cs="Times New Roman"/>
                <w:b/>
                <w:color w:val="FFFFFF" w:themeColor="background1"/>
                <w:sz w:val="20"/>
              </w:rPr>
            </w:pPr>
            <w:r w:rsidRPr="000A71ED">
              <w:rPr>
                <w:rFonts w:ascii="Times New Roman" w:hAnsi="Times New Roman" w:cs="Times New Roman"/>
                <w:b/>
                <w:color w:val="FFFFFF" w:themeColor="background1"/>
                <w:sz w:val="20"/>
              </w:rPr>
              <w:t>Metric</w:t>
            </w:r>
          </w:p>
        </w:tc>
        <w:tc>
          <w:tcPr>
            <w:tcW w:w="2796" w:type="dxa"/>
            <w:shd w:val="clear" w:color="auto" w:fill="000000" w:themeFill="text1"/>
          </w:tcPr>
          <w:p w:rsidR="00004C25" w:rsidRPr="000A71ED" w:rsidRDefault="00004C25" w:rsidP="00AC6824">
            <w:pPr>
              <w:spacing w:before="100" w:beforeAutospacing="1" w:after="100" w:afterAutospacing="1"/>
              <w:jc w:val="center"/>
              <w:rPr>
                <w:rFonts w:ascii="Times New Roman" w:hAnsi="Times New Roman" w:cs="Times New Roman"/>
                <w:b/>
                <w:color w:val="FFFFFF" w:themeColor="background1"/>
                <w:sz w:val="20"/>
              </w:rPr>
            </w:pPr>
            <w:r w:rsidRPr="000A71ED">
              <w:rPr>
                <w:rFonts w:ascii="Times New Roman" w:hAnsi="Times New Roman" w:cs="Times New Roman"/>
                <w:b/>
                <w:color w:val="FFFFFF" w:themeColor="background1"/>
                <w:sz w:val="20"/>
              </w:rPr>
              <w:t>Metric Usage Benefits</w:t>
            </w:r>
          </w:p>
        </w:tc>
        <w:tc>
          <w:tcPr>
            <w:tcW w:w="1620" w:type="dxa"/>
            <w:shd w:val="clear" w:color="auto" w:fill="000000" w:themeFill="text1"/>
          </w:tcPr>
          <w:p w:rsidR="00004C25" w:rsidRPr="000A71ED" w:rsidRDefault="00004C25" w:rsidP="00AC6824">
            <w:pPr>
              <w:spacing w:before="100" w:beforeAutospacing="1" w:after="100" w:afterAutospacing="1"/>
              <w:jc w:val="center"/>
              <w:rPr>
                <w:rFonts w:ascii="Times New Roman" w:hAnsi="Times New Roman" w:cs="Times New Roman"/>
                <w:b/>
                <w:color w:val="FFFFFF" w:themeColor="background1"/>
                <w:sz w:val="20"/>
              </w:rPr>
            </w:pPr>
            <w:r w:rsidRPr="000A71ED">
              <w:rPr>
                <w:rFonts w:ascii="Times New Roman" w:hAnsi="Times New Roman" w:cs="Times New Roman"/>
                <w:b/>
                <w:color w:val="FFFFFF" w:themeColor="background1"/>
                <w:sz w:val="20"/>
              </w:rPr>
              <w:t>Data Elements</w:t>
            </w:r>
          </w:p>
        </w:tc>
        <w:tc>
          <w:tcPr>
            <w:tcW w:w="1304" w:type="dxa"/>
            <w:shd w:val="clear" w:color="auto" w:fill="000000" w:themeFill="text1"/>
          </w:tcPr>
          <w:p w:rsidR="00004C25" w:rsidRPr="000A71ED" w:rsidRDefault="00004C25" w:rsidP="00AC6824">
            <w:pPr>
              <w:spacing w:before="100" w:beforeAutospacing="1" w:after="100" w:afterAutospacing="1"/>
              <w:jc w:val="center"/>
              <w:rPr>
                <w:rFonts w:ascii="Times New Roman" w:hAnsi="Times New Roman" w:cs="Times New Roman"/>
                <w:b/>
                <w:color w:val="FFFFFF" w:themeColor="background1"/>
                <w:sz w:val="20"/>
              </w:rPr>
            </w:pPr>
            <w:r w:rsidRPr="000A71ED">
              <w:rPr>
                <w:rFonts w:ascii="Times New Roman" w:hAnsi="Times New Roman" w:cs="Times New Roman"/>
                <w:b/>
                <w:color w:val="FFFFFF" w:themeColor="background1"/>
                <w:sz w:val="20"/>
              </w:rPr>
              <w:t>Data Sources</w:t>
            </w:r>
          </w:p>
        </w:tc>
      </w:tr>
      <w:tr w:rsidR="00004C25" w:rsidTr="00AC6824">
        <w:tc>
          <w:tcPr>
            <w:tcW w:w="1458" w:type="dxa"/>
          </w:tcPr>
          <w:p w:rsidR="00004C25" w:rsidRPr="000A71ED" w:rsidRDefault="00004C25" w:rsidP="00AC6824">
            <w:pPr>
              <w:spacing w:before="100" w:beforeAutospacing="1" w:after="100" w:afterAutospacing="1"/>
              <w:rPr>
                <w:rFonts w:ascii="Times New Roman" w:hAnsi="Times New Roman" w:cs="Times New Roman"/>
                <w:sz w:val="20"/>
              </w:rPr>
            </w:pPr>
            <w:r w:rsidRPr="000A71ED">
              <w:rPr>
                <w:rFonts w:ascii="Times New Roman" w:hAnsi="Times New Roman" w:cs="Times New Roman"/>
                <w:sz w:val="20"/>
              </w:rPr>
              <w:t xml:space="preserve">Vineyard – </w:t>
            </w:r>
            <w:r w:rsidRPr="000A71ED">
              <w:rPr>
                <w:rFonts w:ascii="Times New Roman" w:hAnsi="Times New Roman" w:cs="Times New Roman"/>
                <w:sz w:val="20"/>
              </w:rPr>
              <w:br/>
              <w:t>Water Use</w:t>
            </w:r>
          </w:p>
        </w:tc>
        <w:tc>
          <w:tcPr>
            <w:tcW w:w="2064" w:type="dxa"/>
          </w:tcPr>
          <w:p w:rsidR="00004C25" w:rsidRPr="000A71ED" w:rsidRDefault="00004C25" w:rsidP="00AC6824">
            <w:pPr>
              <w:spacing w:before="100" w:beforeAutospacing="1" w:after="100" w:afterAutospacing="1"/>
              <w:jc w:val="center"/>
              <w:rPr>
                <w:rFonts w:ascii="Times New Roman" w:hAnsi="Times New Roman" w:cs="Times New Roman"/>
                <w:sz w:val="20"/>
              </w:rPr>
            </w:pPr>
            <w:r w:rsidRPr="000A71ED">
              <w:rPr>
                <w:rFonts w:ascii="Times New Roman" w:hAnsi="Times New Roman" w:cs="Times New Roman"/>
                <w:sz w:val="20"/>
              </w:rPr>
              <w:t xml:space="preserve">Water Use Efficiency </w:t>
            </w:r>
          </w:p>
          <w:p w:rsidR="00004C25" w:rsidRPr="00CD1F55" w:rsidRDefault="00004C25" w:rsidP="00AC6824">
            <w:pPr>
              <w:spacing w:before="100" w:beforeAutospacing="1" w:after="100" w:afterAutospacing="1"/>
              <w:jc w:val="center"/>
              <w:rPr>
                <w:rFonts w:ascii="Times New Roman" w:hAnsi="Times New Roman" w:cs="Times New Roman"/>
                <w:sz w:val="16"/>
              </w:rPr>
            </w:pPr>
            <w:r w:rsidRPr="00CD1F55">
              <w:rPr>
                <w:rFonts w:ascii="Times New Roman" w:hAnsi="Times New Roman" w:cs="Times New Roman"/>
                <w:sz w:val="16"/>
              </w:rPr>
              <w:t xml:space="preserve">= </w:t>
            </w:r>
            <w:r w:rsidRPr="00CD1F55">
              <w:rPr>
                <w:rFonts w:ascii="Times New Roman" w:hAnsi="Times New Roman" w:cs="Times New Roman"/>
                <w:sz w:val="16"/>
                <w:u w:val="single"/>
              </w:rPr>
              <w:t>Acre-inches Applied</w:t>
            </w:r>
            <w:r w:rsidRPr="00CD1F55">
              <w:rPr>
                <w:rFonts w:ascii="Times New Roman" w:hAnsi="Times New Roman" w:cs="Times New Roman"/>
                <w:sz w:val="16"/>
              </w:rPr>
              <w:br/>
              <w:t>Acre</w:t>
            </w:r>
          </w:p>
          <w:p w:rsidR="00004C25" w:rsidRPr="000A71ED" w:rsidRDefault="00004C25" w:rsidP="00AC6824">
            <w:pPr>
              <w:spacing w:before="100" w:beforeAutospacing="1" w:after="100" w:afterAutospacing="1"/>
              <w:jc w:val="center"/>
              <w:rPr>
                <w:rFonts w:ascii="Times New Roman" w:hAnsi="Times New Roman" w:cs="Times New Roman"/>
                <w:sz w:val="20"/>
              </w:rPr>
            </w:pPr>
            <w:r w:rsidRPr="00CD1F55">
              <w:rPr>
                <w:rFonts w:ascii="Times New Roman" w:hAnsi="Times New Roman" w:cs="Times New Roman"/>
                <w:sz w:val="16"/>
              </w:rPr>
              <w:t xml:space="preserve">= </w:t>
            </w:r>
            <w:r w:rsidRPr="00CD1F55">
              <w:rPr>
                <w:rFonts w:ascii="Times New Roman" w:hAnsi="Times New Roman" w:cs="Times New Roman"/>
                <w:sz w:val="16"/>
                <w:u w:val="single"/>
              </w:rPr>
              <w:t>Acre-inches Applied</w:t>
            </w:r>
            <w:r w:rsidRPr="00CD1F55">
              <w:rPr>
                <w:rFonts w:ascii="Times New Roman" w:hAnsi="Times New Roman" w:cs="Times New Roman"/>
                <w:sz w:val="16"/>
              </w:rPr>
              <w:br/>
              <w:t>Ton of Grapes</w:t>
            </w:r>
          </w:p>
        </w:tc>
        <w:tc>
          <w:tcPr>
            <w:tcW w:w="2796" w:type="dxa"/>
          </w:tcPr>
          <w:tbl>
            <w:tblPr>
              <w:tblW w:w="0" w:type="auto"/>
              <w:tblBorders>
                <w:top w:val="nil"/>
                <w:left w:val="nil"/>
                <w:bottom w:val="nil"/>
                <w:right w:val="nil"/>
              </w:tblBorders>
              <w:tblLook w:val="0000" w:firstRow="0" w:lastRow="0" w:firstColumn="0" w:lastColumn="0" w:noHBand="0" w:noVBand="0"/>
            </w:tblPr>
            <w:tblGrid>
              <w:gridCol w:w="2580"/>
            </w:tblGrid>
            <w:tr w:rsidR="00004C25" w:rsidRPr="000A71ED" w:rsidTr="00AC6824">
              <w:trPr>
                <w:trHeight w:val="1346"/>
              </w:trPr>
              <w:tc>
                <w:tcPr>
                  <w:tcW w:w="0" w:type="auto"/>
                </w:tcPr>
                <w:p w:rsidR="00004C25" w:rsidRPr="000A71ED" w:rsidRDefault="00004C25" w:rsidP="00AC6824">
                  <w:pPr>
                    <w:autoSpaceDE w:val="0"/>
                    <w:autoSpaceDN w:val="0"/>
                    <w:adjustRightInd w:val="0"/>
                    <w:spacing w:after="0" w:line="240" w:lineRule="auto"/>
                    <w:rPr>
                      <w:rFonts w:ascii="Times New Roman" w:hAnsi="Times New Roman" w:cs="Times New Roman"/>
                      <w:color w:val="000000"/>
                      <w:sz w:val="20"/>
                    </w:rPr>
                  </w:pPr>
                  <w:r w:rsidRPr="000A71ED">
                    <w:rPr>
                      <w:rFonts w:ascii="Times New Roman" w:hAnsi="Times New Roman" w:cs="Times New Roman"/>
                      <w:color w:val="000000"/>
                      <w:sz w:val="20"/>
                    </w:rPr>
                    <w:t xml:space="preserve">Environmental and societal benefits: reducing water use can reduce GHG emissions and enhance water availability for multiple uses. Economic benefits: reducing water use can save money and potentially reduce future regulatory compliance costs. </w:t>
                  </w:r>
                </w:p>
              </w:tc>
            </w:tr>
          </w:tbl>
          <w:p w:rsidR="00004C25" w:rsidRPr="000A71ED" w:rsidRDefault="00004C25" w:rsidP="00AC6824">
            <w:pPr>
              <w:spacing w:before="100" w:beforeAutospacing="1" w:after="100" w:afterAutospacing="1"/>
              <w:jc w:val="center"/>
              <w:rPr>
                <w:rFonts w:ascii="Times New Roman" w:hAnsi="Times New Roman" w:cs="Times New Roman"/>
                <w:sz w:val="20"/>
              </w:rPr>
            </w:pPr>
          </w:p>
        </w:tc>
        <w:tc>
          <w:tcPr>
            <w:tcW w:w="1620" w:type="dxa"/>
          </w:tcPr>
          <w:p w:rsidR="00004C25" w:rsidRPr="000A71ED" w:rsidRDefault="00004C25" w:rsidP="00AC6824">
            <w:pPr>
              <w:pStyle w:val="Default"/>
              <w:numPr>
                <w:ilvl w:val="0"/>
                <w:numId w:val="35"/>
              </w:numPr>
              <w:rPr>
                <w:rFonts w:ascii="Times New Roman" w:hAnsi="Times New Roman" w:cs="Times New Roman"/>
                <w:sz w:val="20"/>
                <w:szCs w:val="22"/>
              </w:rPr>
            </w:pPr>
            <w:r w:rsidRPr="000A71ED">
              <w:rPr>
                <w:rFonts w:ascii="Times New Roman" w:hAnsi="Times New Roman" w:cs="Times New Roman"/>
                <w:sz w:val="20"/>
                <w:szCs w:val="22"/>
              </w:rPr>
              <w:t xml:space="preserve">Applied water (including for frost protection) </w:t>
            </w:r>
          </w:p>
          <w:p w:rsidR="00004C25" w:rsidRPr="000A71ED" w:rsidRDefault="00004C25" w:rsidP="00AC6824">
            <w:pPr>
              <w:pStyle w:val="Default"/>
              <w:numPr>
                <w:ilvl w:val="0"/>
                <w:numId w:val="35"/>
              </w:numPr>
              <w:rPr>
                <w:rFonts w:ascii="Times New Roman" w:hAnsi="Times New Roman" w:cs="Times New Roman"/>
                <w:sz w:val="20"/>
                <w:szCs w:val="22"/>
              </w:rPr>
            </w:pPr>
            <w:r w:rsidRPr="000A71ED">
              <w:rPr>
                <w:rFonts w:ascii="Times New Roman" w:hAnsi="Times New Roman" w:cs="Times New Roman"/>
                <w:sz w:val="20"/>
                <w:szCs w:val="22"/>
              </w:rPr>
              <w:t xml:space="preserve">Acreage </w:t>
            </w:r>
          </w:p>
          <w:p w:rsidR="00004C25" w:rsidRPr="000A71ED" w:rsidRDefault="00004C25" w:rsidP="00AC6824">
            <w:pPr>
              <w:pStyle w:val="Default"/>
              <w:numPr>
                <w:ilvl w:val="0"/>
                <w:numId w:val="35"/>
              </w:numPr>
              <w:rPr>
                <w:rFonts w:ascii="Times New Roman" w:hAnsi="Times New Roman" w:cs="Times New Roman"/>
                <w:sz w:val="20"/>
                <w:szCs w:val="22"/>
              </w:rPr>
            </w:pPr>
            <w:r w:rsidRPr="000A71ED">
              <w:rPr>
                <w:rFonts w:ascii="Times New Roman" w:hAnsi="Times New Roman" w:cs="Times New Roman"/>
                <w:sz w:val="20"/>
                <w:szCs w:val="22"/>
              </w:rPr>
              <w:t xml:space="preserve">Yield (total tons) </w:t>
            </w:r>
          </w:p>
          <w:p w:rsidR="00004C25" w:rsidRPr="000A71ED" w:rsidRDefault="00004C25" w:rsidP="00AC6824">
            <w:pPr>
              <w:spacing w:before="100" w:beforeAutospacing="1" w:after="100" w:afterAutospacing="1"/>
              <w:jc w:val="center"/>
              <w:rPr>
                <w:rFonts w:ascii="Times New Roman" w:hAnsi="Times New Roman" w:cs="Times New Roman"/>
                <w:sz w:val="20"/>
              </w:rPr>
            </w:pPr>
          </w:p>
        </w:tc>
        <w:tc>
          <w:tcPr>
            <w:tcW w:w="1304" w:type="dxa"/>
          </w:tcPr>
          <w:p w:rsidR="00004C25" w:rsidRPr="000A71ED" w:rsidRDefault="00004C25" w:rsidP="00AC6824">
            <w:pPr>
              <w:spacing w:before="100" w:beforeAutospacing="1" w:after="100" w:afterAutospacing="1"/>
              <w:rPr>
                <w:rFonts w:ascii="Times New Roman" w:hAnsi="Times New Roman" w:cs="Times New Roman"/>
                <w:sz w:val="20"/>
              </w:rPr>
            </w:pPr>
            <w:r w:rsidRPr="000A71ED">
              <w:rPr>
                <w:rFonts w:ascii="Times New Roman" w:hAnsi="Times New Roman" w:cs="Times New Roman"/>
                <w:sz w:val="20"/>
              </w:rPr>
              <w:t>Utility records; Flow meter readings</w:t>
            </w:r>
          </w:p>
        </w:tc>
      </w:tr>
      <w:tr w:rsidR="00004C25" w:rsidTr="00AC6824">
        <w:tc>
          <w:tcPr>
            <w:tcW w:w="1458" w:type="dxa"/>
          </w:tcPr>
          <w:p w:rsidR="00004C25" w:rsidRPr="000A71ED" w:rsidRDefault="00004C25" w:rsidP="00AC6824">
            <w:pPr>
              <w:spacing w:before="100" w:beforeAutospacing="1" w:after="100" w:afterAutospacing="1"/>
              <w:rPr>
                <w:rFonts w:ascii="Times New Roman" w:hAnsi="Times New Roman" w:cs="Times New Roman"/>
                <w:sz w:val="20"/>
              </w:rPr>
            </w:pPr>
            <w:r w:rsidRPr="000A71ED">
              <w:rPr>
                <w:rFonts w:ascii="Times New Roman" w:hAnsi="Times New Roman" w:cs="Times New Roman"/>
                <w:sz w:val="20"/>
              </w:rPr>
              <w:t xml:space="preserve">Winery – </w:t>
            </w:r>
            <w:r w:rsidRPr="000A71ED">
              <w:rPr>
                <w:rFonts w:ascii="Times New Roman" w:hAnsi="Times New Roman" w:cs="Times New Roman"/>
                <w:sz w:val="20"/>
              </w:rPr>
              <w:br/>
              <w:t>Water Use</w:t>
            </w:r>
          </w:p>
        </w:tc>
        <w:tc>
          <w:tcPr>
            <w:tcW w:w="2064" w:type="dxa"/>
          </w:tcPr>
          <w:p w:rsidR="00004C25" w:rsidRPr="000A71ED" w:rsidRDefault="00004C25" w:rsidP="00AC6824">
            <w:pPr>
              <w:spacing w:before="100" w:beforeAutospacing="1" w:after="100" w:afterAutospacing="1"/>
              <w:jc w:val="center"/>
              <w:rPr>
                <w:rFonts w:ascii="Times New Roman" w:hAnsi="Times New Roman" w:cs="Times New Roman"/>
                <w:sz w:val="20"/>
              </w:rPr>
            </w:pPr>
            <w:r w:rsidRPr="000A71ED">
              <w:rPr>
                <w:rFonts w:ascii="Times New Roman" w:hAnsi="Times New Roman" w:cs="Times New Roman"/>
                <w:sz w:val="20"/>
              </w:rPr>
              <w:t>Water Use Efficiency</w:t>
            </w:r>
          </w:p>
          <w:p w:rsidR="00004C25" w:rsidRPr="00CD1F55" w:rsidRDefault="00004C25" w:rsidP="00AC6824">
            <w:pPr>
              <w:spacing w:before="100" w:beforeAutospacing="1" w:after="100" w:afterAutospacing="1"/>
              <w:jc w:val="center"/>
              <w:rPr>
                <w:rFonts w:ascii="Times New Roman" w:hAnsi="Times New Roman" w:cs="Times New Roman"/>
                <w:sz w:val="16"/>
              </w:rPr>
            </w:pPr>
            <w:r w:rsidRPr="00CD1F55">
              <w:rPr>
                <w:rFonts w:ascii="Times New Roman" w:hAnsi="Times New Roman" w:cs="Times New Roman"/>
                <w:sz w:val="16"/>
              </w:rPr>
              <w:t xml:space="preserve">= </w:t>
            </w:r>
            <w:r w:rsidRPr="00CD1F55">
              <w:rPr>
                <w:rFonts w:ascii="Times New Roman" w:hAnsi="Times New Roman" w:cs="Times New Roman"/>
                <w:sz w:val="16"/>
                <w:u w:val="single"/>
              </w:rPr>
              <w:t>Gallons Used</w:t>
            </w:r>
            <w:r w:rsidRPr="00CD1F55">
              <w:rPr>
                <w:rFonts w:ascii="Times New Roman" w:hAnsi="Times New Roman" w:cs="Times New Roman"/>
                <w:sz w:val="16"/>
              </w:rPr>
              <w:br/>
              <w:t>Gallon of Wine</w:t>
            </w:r>
          </w:p>
          <w:p w:rsidR="00004C25" w:rsidRPr="00CD1F55" w:rsidRDefault="00004C25" w:rsidP="00AC6824">
            <w:pPr>
              <w:spacing w:before="100" w:beforeAutospacing="1" w:after="100" w:afterAutospacing="1"/>
              <w:jc w:val="center"/>
              <w:rPr>
                <w:rFonts w:ascii="Times New Roman" w:hAnsi="Times New Roman" w:cs="Times New Roman"/>
                <w:sz w:val="16"/>
              </w:rPr>
            </w:pPr>
            <w:r w:rsidRPr="00CD1F55">
              <w:rPr>
                <w:rFonts w:ascii="Times New Roman" w:hAnsi="Times New Roman" w:cs="Times New Roman"/>
                <w:sz w:val="16"/>
              </w:rPr>
              <w:t xml:space="preserve">= </w:t>
            </w:r>
            <w:r w:rsidRPr="00CD1F55">
              <w:rPr>
                <w:rFonts w:ascii="Times New Roman" w:hAnsi="Times New Roman" w:cs="Times New Roman"/>
                <w:sz w:val="16"/>
                <w:u w:val="single"/>
              </w:rPr>
              <w:t>Gallons Used</w:t>
            </w:r>
            <w:r w:rsidRPr="00CD1F55">
              <w:rPr>
                <w:rFonts w:ascii="Times New Roman" w:hAnsi="Times New Roman" w:cs="Times New Roman"/>
                <w:sz w:val="16"/>
              </w:rPr>
              <w:br/>
              <w:t>Case of Wine</w:t>
            </w:r>
          </w:p>
          <w:p w:rsidR="00004C25" w:rsidRPr="000A71ED" w:rsidRDefault="00004C25" w:rsidP="00AC6824">
            <w:pPr>
              <w:spacing w:before="100" w:beforeAutospacing="1" w:after="100" w:afterAutospacing="1"/>
              <w:rPr>
                <w:rFonts w:ascii="Times New Roman" w:hAnsi="Times New Roman" w:cs="Times New Roman"/>
                <w:sz w:val="20"/>
              </w:rPr>
            </w:pPr>
          </w:p>
        </w:tc>
        <w:tc>
          <w:tcPr>
            <w:tcW w:w="2796" w:type="dxa"/>
          </w:tcPr>
          <w:p w:rsidR="00004C25" w:rsidRPr="000A71ED" w:rsidRDefault="00004C25" w:rsidP="00AC6824">
            <w:pPr>
              <w:autoSpaceDE w:val="0"/>
              <w:autoSpaceDN w:val="0"/>
              <w:adjustRightInd w:val="0"/>
              <w:rPr>
                <w:rFonts w:ascii="Times New Roman" w:hAnsi="Times New Roman" w:cs="Times New Roman"/>
                <w:color w:val="000000"/>
                <w:sz w:val="20"/>
              </w:rPr>
            </w:pPr>
            <w:r w:rsidRPr="000A71ED">
              <w:rPr>
                <w:rFonts w:ascii="Times New Roman" w:hAnsi="Times New Roman" w:cs="Times New Roman"/>
                <w:color w:val="000000"/>
                <w:sz w:val="20"/>
              </w:rPr>
              <w:t>Environmental and societal benefits: reducing water use can reduce GHG emissions and enhance water availability for multiple uses. Economic benefits: reducing water use can save money and potentially reduce future regulatory compliance costs.</w:t>
            </w:r>
          </w:p>
        </w:tc>
        <w:tc>
          <w:tcPr>
            <w:tcW w:w="1620" w:type="dxa"/>
          </w:tcPr>
          <w:p w:rsidR="00004C25" w:rsidRPr="000A71ED" w:rsidRDefault="00004C25" w:rsidP="00AC6824">
            <w:pPr>
              <w:pStyle w:val="Default"/>
              <w:numPr>
                <w:ilvl w:val="0"/>
                <w:numId w:val="35"/>
              </w:numPr>
              <w:rPr>
                <w:rFonts w:ascii="Times New Roman" w:hAnsi="Times New Roman" w:cs="Times New Roman"/>
                <w:sz w:val="20"/>
                <w:szCs w:val="22"/>
              </w:rPr>
            </w:pPr>
            <w:r w:rsidRPr="000A71ED">
              <w:rPr>
                <w:rFonts w:ascii="Times New Roman" w:hAnsi="Times New Roman" w:cs="Times New Roman"/>
                <w:sz w:val="20"/>
                <w:szCs w:val="22"/>
              </w:rPr>
              <w:t>Water usage</w:t>
            </w:r>
          </w:p>
          <w:p w:rsidR="00004C25" w:rsidRPr="000A71ED" w:rsidRDefault="00004C25" w:rsidP="00AC6824">
            <w:pPr>
              <w:pStyle w:val="Default"/>
              <w:numPr>
                <w:ilvl w:val="0"/>
                <w:numId w:val="35"/>
              </w:numPr>
              <w:rPr>
                <w:rFonts w:ascii="Times New Roman" w:hAnsi="Times New Roman" w:cs="Times New Roman"/>
                <w:sz w:val="20"/>
                <w:szCs w:val="22"/>
              </w:rPr>
            </w:pPr>
            <w:r w:rsidRPr="000A71ED">
              <w:rPr>
                <w:rFonts w:ascii="Times New Roman" w:hAnsi="Times New Roman" w:cs="Times New Roman"/>
                <w:sz w:val="20"/>
                <w:szCs w:val="22"/>
              </w:rPr>
              <w:t>Gallons and cases produced</w:t>
            </w:r>
          </w:p>
        </w:tc>
        <w:tc>
          <w:tcPr>
            <w:tcW w:w="1304" w:type="dxa"/>
          </w:tcPr>
          <w:p w:rsidR="00004C25" w:rsidRPr="000A71ED" w:rsidRDefault="00004C25" w:rsidP="00AC6824">
            <w:pPr>
              <w:spacing w:before="100" w:beforeAutospacing="1" w:after="100" w:afterAutospacing="1"/>
              <w:rPr>
                <w:rFonts w:ascii="Times New Roman" w:hAnsi="Times New Roman" w:cs="Times New Roman"/>
                <w:sz w:val="20"/>
              </w:rPr>
            </w:pPr>
            <w:r w:rsidRPr="000A71ED">
              <w:rPr>
                <w:rFonts w:ascii="Times New Roman" w:hAnsi="Times New Roman" w:cs="Times New Roman"/>
                <w:sz w:val="20"/>
              </w:rPr>
              <w:t>Utility records; Flow meter readings</w:t>
            </w:r>
          </w:p>
        </w:tc>
      </w:tr>
    </w:tbl>
    <w:p w:rsidR="00004C25" w:rsidRDefault="00004C25" w:rsidP="00004C25">
      <w:pPr>
        <w:pStyle w:val="Caption"/>
      </w:pPr>
    </w:p>
    <w:p w:rsidR="00004C25" w:rsidRPr="00780588" w:rsidRDefault="00004C25" w:rsidP="00004C25">
      <w:pPr>
        <w:pStyle w:val="Caption"/>
        <w:jc w:val="center"/>
        <w:rPr>
          <w:rFonts w:ascii="Times New Roman" w:hAnsi="Times New Roman" w:cs="Times New Roman"/>
          <w:b w:val="0"/>
          <w:color w:val="auto"/>
          <w:sz w:val="36"/>
        </w:rPr>
      </w:pPr>
      <w:bookmarkStart w:id="7" w:name="_Toc425393223"/>
      <w:r w:rsidRPr="00780588">
        <w:rPr>
          <w:rFonts w:ascii="Times New Roman" w:hAnsi="Times New Roman" w:cs="Times New Roman"/>
          <w:b w:val="0"/>
          <w:color w:val="auto"/>
          <w:sz w:val="24"/>
        </w:rPr>
        <w:t xml:space="preserve">Table </w:t>
      </w:r>
      <w:r w:rsidR="000130C3">
        <w:rPr>
          <w:rFonts w:ascii="Times New Roman" w:hAnsi="Times New Roman" w:cs="Times New Roman"/>
          <w:b w:val="0"/>
          <w:color w:val="auto"/>
          <w:sz w:val="24"/>
        </w:rPr>
        <w:t>4</w:t>
      </w:r>
      <w:r w:rsidRPr="00780588">
        <w:rPr>
          <w:rFonts w:ascii="Times New Roman" w:hAnsi="Times New Roman" w:cs="Times New Roman"/>
          <w:b w:val="0"/>
          <w:color w:val="auto"/>
          <w:sz w:val="24"/>
        </w:rPr>
        <w:t xml:space="preserve"> Vineyard and Winery Water Use Efficiency Metrics</w:t>
      </w:r>
      <w:bookmarkEnd w:id="7"/>
    </w:p>
    <w:p w:rsidR="00004C25" w:rsidRPr="002037F7" w:rsidRDefault="00004C25" w:rsidP="00004C25">
      <w:pPr>
        <w:spacing w:line="240" w:lineRule="auto"/>
      </w:pPr>
    </w:p>
    <w:tbl>
      <w:tblPr>
        <w:tblStyle w:val="TableGrid"/>
        <w:tblW w:w="0" w:type="auto"/>
        <w:tblLook w:val="04A0" w:firstRow="1" w:lastRow="0" w:firstColumn="1" w:lastColumn="0" w:noHBand="0" w:noVBand="1"/>
      </w:tblPr>
      <w:tblGrid>
        <w:gridCol w:w="1877"/>
        <w:gridCol w:w="1916"/>
        <w:gridCol w:w="1793"/>
        <w:gridCol w:w="1916"/>
        <w:gridCol w:w="1740"/>
      </w:tblGrid>
      <w:tr w:rsidR="00004C25" w:rsidRPr="00EB206A" w:rsidTr="00AC6824">
        <w:tc>
          <w:tcPr>
            <w:tcW w:w="1877" w:type="dxa"/>
          </w:tcPr>
          <w:p w:rsidR="00004C25" w:rsidRPr="00EB206A" w:rsidRDefault="00004C25" w:rsidP="00AC6824">
            <w:pPr>
              <w:spacing w:before="100" w:beforeAutospacing="1" w:after="100" w:afterAutospacing="1"/>
              <w:jc w:val="center"/>
              <w:rPr>
                <w:rFonts w:ascii="Times New Roman" w:hAnsi="Times New Roman" w:cs="Times New Roman"/>
                <w:sz w:val="20"/>
              </w:rPr>
            </w:pPr>
          </w:p>
        </w:tc>
        <w:tc>
          <w:tcPr>
            <w:tcW w:w="1916" w:type="dxa"/>
            <w:shd w:val="clear" w:color="auto" w:fill="000000" w:themeFill="text1"/>
          </w:tcPr>
          <w:p w:rsidR="00004C25" w:rsidRPr="00EB206A" w:rsidRDefault="00004C25" w:rsidP="00AC6824">
            <w:pPr>
              <w:spacing w:before="100" w:beforeAutospacing="1" w:after="100" w:afterAutospacing="1"/>
              <w:jc w:val="center"/>
              <w:rPr>
                <w:rFonts w:ascii="Times New Roman" w:hAnsi="Times New Roman" w:cs="Times New Roman"/>
                <w:b/>
                <w:color w:val="FFFFFF" w:themeColor="background1"/>
                <w:sz w:val="20"/>
              </w:rPr>
            </w:pPr>
            <w:r>
              <w:rPr>
                <w:rFonts w:ascii="Times New Roman" w:hAnsi="Times New Roman" w:cs="Times New Roman"/>
                <w:b/>
                <w:color w:val="FFFFFF" w:themeColor="background1"/>
                <w:sz w:val="20"/>
              </w:rPr>
              <w:t>Company A</w:t>
            </w:r>
          </w:p>
        </w:tc>
        <w:tc>
          <w:tcPr>
            <w:tcW w:w="1793" w:type="dxa"/>
            <w:shd w:val="clear" w:color="auto" w:fill="000000" w:themeFill="text1"/>
          </w:tcPr>
          <w:p w:rsidR="00004C25" w:rsidRPr="00EB206A" w:rsidRDefault="00004C25" w:rsidP="00AC6824">
            <w:pPr>
              <w:spacing w:before="100" w:beforeAutospacing="1" w:after="100" w:afterAutospacing="1"/>
              <w:jc w:val="center"/>
              <w:rPr>
                <w:rFonts w:ascii="Times New Roman" w:hAnsi="Times New Roman" w:cs="Times New Roman"/>
                <w:b/>
                <w:color w:val="FFFFFF" w:themeColor="background1"/>
                <w:sz w:val="20"/>
              </w:rPr>
            </w:pPr>
            <w:r>
              <w:rPr>
                <w:rFonts w:ascii="Times New Roman" w:hAnsi="Times New Roman" w:cs="Times New Roman"/>
                <w:b/>
                <w:color w:val="FFFFFF" w:themeColor="background1"/>
                <w:sz w:val="20"/>
              </w:rPr>
              <w:t>Company B</w:t>
            </w:r>
          </w:p>
        </w:tc>
        <w:tc>
          <w:tcPr>
            <w:tcW w:w="1916" w:type="dxa"/>
            <w:shd w:val="clear" w:color="auto" w:fill="000000" w:themeFill="text1"/>
          </w:tcPr>
          <w:p w:rsidR="00004C25" w:rsidRPr="00EB206A" w:rsidRDefault="00004C25" w:rsidP="00AC6824">
            <w:pPr>
              <w:spacing w:before="100" w:beforeAutospacing="1" w:after="100" w:afterAutospacing="1"/>
              <w:jc w:val="center"/>
              <w:rPr>
                <w:rFonts w:ascii="Times New Roman" w:hAnsi="Times New Roman" w:cs="Times New Roman"/>
                <w:b/>
                <w:color w:val="FFFFFF" w:themeColor="background1"/>
                <w:sz w:val="20"/>
              </w:rPr>
            </w:pPr>
            <w:r>
              <w:rPr>
                <w:rFonts w:ascii="Times New Roman" w:hAnsi="Times New Roman" w:cs="Times New Roman"/>
                <w:b/>
                <w:color w:val="FFFFFF" w:themeColor="background1"/>
                <w:sz w:val="20"/>
              </w:rPr>
              <w:t>Company C</w:t>
            </w:r>
          </w:p>
        </w:tc>
        <w:tc>
          <w:tcPr>
            <w:tcW w:w="1740" w:type="dxa"/>
            <w:shd w:val="clear" w:color="auto" w:fill="000000" w:themeFill="text1"/>
          </w:tcPr>
          <w:p w:rsidR="00004C25" w:rsidRPr="00EB206A" w:rsidRDefault="00004C25" w:rsidP="00AC6824">
            <w:pPr>
              <w:spacing w:before="100" w:beforeAutospacing="1" w:after="100" w:afterAutospacing="1"/>
              <w:jc w:val="center"/>
              <w:rPr>
                <w:rFonts w:ascii="Times New Roman" w:hAnsi="Times New Roman" w:cs="Times New Roman"/>
                <w:b/>
                <w:color w:val="FFFFFF" w:themeColor="background1"/>
                <w:sz w:val="20"/>
              </w:rPr>
            </w:pPr>
            <w:r>
              <w:rPr>
                <w:rFonts w:ascii="Times New Roman" w:hAnsi="Times New Roman" w:cs="Times New Roman"/>
                <w:b/>
                <w:color w:val="FFFFFF" w:themeColor="background1"/>
                <w:sz w:val="20"/>
              </w:rPr>
              <w:t>Company D</w:t>
            </w:r>
          </w:p>
        </w:tc>
      </w:tr>
      <w:tr w:rsidR="00004C25" w:rsidRPr="00EB206A" w:rsidTr="00AC6824">
        <w:trPr>
          <w:trHeight w:val="20"/>
        </w:trPr>
        <w:tc>
          <w:tcPr>
            <w:tcW w:w="1877" w:type="dxa"/>
          </w:tcPr>
          <w:p w:rsidR="00004C25" w:rsidRPr="00EB206A" w:rsidRDefault="00004C25" w:rsidP="00AC6824">
            <w:pPr>
              <w:spacing w:before="100" w:beforeAutospacing="1" w:after="100" w:afterAutospacing="1"/>
              <w:rPr>
                <w:rFonts w:ascii="Times New Roman" w:hAnsi="Times New Roman" w:cs="Times New Roman"/>
                <w:sz w:val="20"/>
              </w:rPr>
            </w:pPr>
            <w:r>
              <w:rPr>
                <w:rFonts w:ascii="Times New Roman" w:hAnsi="Times New Roman" w:cs="Times New Roman"/>
                <w:sz w:val="20"/>
              </w:rPr>
              <w:t>Vineyard</w:t>
            </w:r>
            <w:r w:rsidRPr="00EB206A">
              <w:rPr>
                <w:rFonts w:ascii="Times New Roman" w:hAnsi="Times New Roman" w:cs="Times New Roman"/>
                <w:sz w:val="20"/>
              </w:rPr>
              <w:t xml:space="preserve"> Efficiency</w:t>
            </w:r>
          </w:p>
        </w:tc>
        <w:tc>
          <w:tcPr>
            <w:tcW w:w="1916" w:type="dxa"/>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2.5</w:t>
            </w:r>
          </w:p>
        </w:tc>
        <w:tc>
          <w:tcPr>
            <w:tcW w:w="1793" w:type="dxa"/>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N/A</w:t>
            </w:r>
          </w:p>
        </w:tc>
        <w:tc>
          <w:tcPr>
            <w:tcW w:w="1916" w:type="dxa"/>
            <w:vMerge w:val="restart"/>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3.0  - 3.5*</w:t>
            </w:r>
          </w:p>
        </w:tc>
        <w:tc>
          <w:tcPr>
            <w:tcW w:w="1740" w:type="dxa"/>
            <w:vMerge w:val="restart"/>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2.1</w:t>
            </w:r>
          </w:p>
        </w:tc>
      </w:tr>
      <w:tr w:rsidR="00004C25" w:rsidRPr="00EB206A" w:rsidTr="00AC6824">
        <w:trPr>
          <w:trHeight w:val="20"/>
        </w:trPr>
        <w:tc>
          <w:tcPr>
            <w:tcW w:w="1877" w:type="dxa"/>
          </w:tcPr>
          <w:p w:rsidR="00004C25" w:rsidRPr="00EB206A" w:rsidRDefault="00004C25" w:rsidP="00AC6824">
            <w:pPr>
              <w:spacing w:before="100" w:beforeAutospacing="1" w:after="100" w:afterAutospacing="1"/>
              <w:rPr>
                <w:rFonts w:ascii="Times New Roman" w:hAnsi="Times New Roman" w:cs="Times New Roman"/>
                <w:sz w:val="20"/>
              </w:rPr>
            </w:pPr>
            <w:r w:rsidRPr="00EB206A">
              <w:rPr>
                <w:rFonts w:ascii="Times New Roman" w:hAnsi="Times New Roman" w:cs="Times New Roman"/>
                <w:sz w:val="20"/>
              </w:rPr>
              <w:t xml:space="preserve">Winery Efficiency </w:t>
            </w:r>
          </w:p>
        </w:tc>
        <w:tc>
          <w:tcPr>
            <w:tcW w:w="1916" w:type="dxa"/>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N/A</w:t>
            </w:r>
          </w:p>
        </w:tc>
        <w:tc>
          <w:tcPr>
            <w:tcW w:w="1793" w:type="dxa"/>
            <w:vAlign w:val="center"/>
          </w:tcPr>
          <w:p w:rsidR="00004C25" w:rsidRPr="00EB206A" w:rsidRDefault="00004C25" w:rsidP="00AC6824">
            <w:pPr>
              <w:spacing w:before="100" w:beforeAutospacing="1" w:after="100" w:afterAutospacing="1"/>
              <w:jc w:val="center"/>
              <w:rPr>
                <w:rFonts w:ascii="Times New Roman" w:hAnsi="Times New Roman" w:cs="Times New Roman"/>
                <w:sz w:val="20"/>
              </w:rPr>
            </w:pPr>
            <w:r>
              <w:rPr>
                <w:rFonts w:ascii="Times New Roman" w:hAnsi="Times New Roman" w:cs="Times New Roman"/>
                <w:sz w:val="20"/>
              </w:rPr>
              <w:t>Unknown</w:t>
            </w:r>
          </w:p>
        </w:tc>
        <w:tc>
          <w:tcPr>
            <w:tcW w:w="1916" w:type="dxa"/>
            <w:vMerge/>
          </w:tcPr>
          <w:p w:rsidR="00004C25" w:rsidRPr="00EB206A" w:rsidRDefault="00004C25" w:rsidP="00AC6824">
            <w:pPr>
              <w:spacing w:before="100" w:beforeAutospacing="1" w:after="100" w:afterAutospacing="1"/>
              <w:jc w:val="center"/>
              <w:rPr>
                <w:rFonts w:ascii="Times New Roman" w:hAnsi="Times New Roman" w:cs="Times New Roman"/>
                <w:sz w:val="20"/>
              </w:rPr>
            </w:pPr>
          </w:p>
        </w:tc>
        <w:tc>
          <w:tcPr>
            <w:tcW w:w="1740" w:type="dxa"/>
            <w:vMerge/>
          </w:tcPr>
          <w:p w:rsidR="00004C25" w:rsidRPr="00EB206A" w:rsidRDefault="00004C25" w:rsidP="00AC6824">
            <w:pPr>
              <w:spacing w:before="100" w:beforeAutospacing="1" w:after="100" w:afterAutospacing="1"/>
              <w:jc w:val="center"/>
              <w:rPr>
                <w:rFonts w:ascii="Times New Roman" w:hAnsi="Times New Roman" w:cs="Times New Roman"/>
                <w:sz w:val="20"/>
              </w:rPr>
            </w:pPr>
          </w:p>
        </w:tc>
      </w:tr>
    </w:tbl>
    <w:p w:rsidR="00004C25" w:rsidRDefault="00004C25" w:rsidP="00004C25">
      <w:pPr>
        <w:spacing w:line="240" w:lineRule="auto"/>
      </w:pPr>
      <w:r>
        <w:t xml:space="preserve">*calculation based on only estate grown grapes. </w:t>
      </w:r>
    </w:p>
    <w:p w:rsidR="00004C25" w:rsidRPr="00780588" w:rsidRDefault="00004C25" w:rsidP="00004C25">
      <w:pPr>
        <w:pStyle w:val="Caption"/>
        <w:jc w:val="center"/>
        <w:rPr>
          <w:rFonts w:ascii="Times New Roman" w:hAnsi="Times New Roman" w:cs="Times New Roman"/>
          <w:b w:val="0"/>
          <w:color w:val="auto"/>
          <w:sz w:val="36"/>
        </w:rPr>
      </w:pPr>
      <w:bookmarkStart w:id="8" w:name="_Toc425393224"/>
      <w:r w:rsidRPr="00780588">
        <w:rPr>
          <w:rFonts w:ascii="Times New Roman" w:hAnsi="Times New Roman" w:cs="Times New Roman"/>
          <w:b w:val="0"/>
          <w:color w:val="auto"/>
          <w:sz w:val="24"/>
        </w:rPr>
        <w:t xml:space="preserve">Table </w:t>
      </w:r>
      <w:r>
        <w:rPr>
          <w:rFonts w:ascii="Times New Roman" w:hAnsi="Times New Roman" w:cs="Times New Roman"/>
          <w:b w:val="0"/>
          <w:color w:val="auto"/>
          <w:sz w:val="24"/>
        </w:rPr>
        <w:t>5</w:t>
      </w:r>
      <w:r w:rsidRPr="00780588">
        <w:rPr>
          <w:rFonts w:ascii="Times New Roman" w:hAnsi="Times New Roman" w:cs="Times New Roman"/>
          <w:b w:val="0"/>
          <w:color w:val="auto"/>
          <w:sz w:val="24"/>
        </w:rPr>
        <w:t xml:space="preserve"> Vineyard and Winery Water Use Efficiency Metrics – Case Study Organizations</w:t>
      </w:r>
      <w:bookmarkEnd w:id="8"/>
    </w:p>
    <w:p w:rsidR="00004C25" w:rsidRDefault="00004C25" w:rsidP="00004C25">
      <w:pPr>
        <w:pStyle w:val="Heading1"/>
        <w:numPr>
          <w:ilvl w:val="0"/>
          <w:numId w:val="0"/>
        </w:numPr>
        <w:rPr>
          <w:sz w:val="24"/>
          <w:szCs w:val="24"/>
        </w:rPr>
      </w:pPr>
      <w:bookmarkStart w:id="9" w:name="_Toc425392400"/>
    </w:p>
    <w:p w:rsidR="00004C25" w:rsidRPr="00E24852" w:rsidRDefault="00004C25" w:rsidP="00004C25">
      <w:pPr>
        <w:pStyle w:val="Heading1"/>
        <w:numPr>
          <w:ilvl w:val="0"/>
          <w:numId w:val="0"/>
        </w:numPr>
        <w:rPr>
          <w:sz w:val="24"/>
          <w:szCs w:val="24"/>
        </w:rPr>
      </w:pPr>
      <w:r w:rsidRPr="00E24852">
        <w:rPr>
          <w:sz w:val="24"/>
          <w:szCs w:val="24"/>
        </w:rPr>
        <w:lastRenderedPageBreak/>
        <w:t>Discussion</w:t>
      </w:r>
      <w:bookmarkEnd w:id="9"/>
      <w:r>
        <w:rPr>
          <w:sz w:val="24"/>
          <w:szCs w:val="24"/>
        </w:rPr>
        <w:t xml:space="preserve"> </w:t>
      </w:r>
    </w:p>
    <w:p w:rsidR="00004C25" w:rsidRDefault="00004C25" w:rsidP="00004C25">
      <w:pPr>
        <w:pStyle w:val="Heading2"/>
        <w:rPr>
          <w:sz w:val="24"/>
          <w:szCs w:val="24"/>
        </w:rPr>
      </w:pPr>
      <w:r>
        <w:rPr>
          <w:sz w:val="24"/>
          <w:szCs w:val="24"/>
        </w:rPr>
        <w:t>Supply Chain Mapping of the Californian Wine Industry</w:t>
      </w:r>
    </w:p>
    <w:p w:rsidR="00004C25" w:rsidRDefault="00004C25" w:rsidP="00004C25">
      <w:pPr>
        <w:pStyle w:val="Heading2"/>
        <w:rPr>
          <w:b w:val="0"/>
          <w:sz w:val="24"/>
          <w:szCs w:val="24"/>
        </w:rPr>
      </w:pPr>
    </w:p>
    <w:p w:rsidR="00004C25" w:rsidRDefault="00004C25" w:rsidP="00004C25">
      <w:pPr>
        <w:pStyle w:val="Heading2"/>
        <w:rPr>
          <w:b w:val="0"/>
          <w:sz w:val="24"/>
          <w:szCs w:val="24"/>
        </w:rPr>
      </w:pPr>
      <w:r w:rsidRPr="00CD4DAC">
        <w:rPr>
          <w:b w:val="0"/>
          <w:sz w:val="24"/>
          <w:szCs w:val="24"/>
        </w:rPr>
        <w:t>The Californian wine industry su</w:t>
      </w:r>
      <w:r w:rsidR="000130C3">
        <w:rPr>
          <w:b w:val="0"/>
          <w:sz w:val="24"/>
          <w:szCs w:val="24"/>
        </w:rPr>
        <w:t>pply network structure (tables 2-3</w:t>
      </w:r>
      <w:r w:rsidRPr="00CD4DAC">
        <w:rPr>
          <w:b w:val="0"/>
          <w:sz w:val="24"/>
          <w:szCs w:val="24"/>
        </w:rPr>
        <w:t xml:space="preserve">) highlights that significant operational diversity exists in terms of vertical, horizontal and spatial complexity.     </w:t>
      </w:r>
      <w:r>
        <w:rPr>
          <w:b w:val="0"/>
          <w:sz w:val="24"/>
          <w:szCs w:val="24"/>
        </w:rPr>
        <w:t xml:space="preserve">In 2014, global </w:t>
      </w:r>
      <w:r w:rsidRPr="00CD4DAC">
        <w:rPr>
          <w:b w:val="0"/>
          <w:sz w:val="24"/>
          <w:szCs w:val="24"/>
        </w:rPr>
        <w:t>California</w:t>
      </w:r>
      <w:r>
        <w:rPr>
          <w:b w:val="0"/>
          <w:sz w:val="24"/>
          <w:szCs w:val="24"/>
        </w:rPr>
        <w:t>n</w:t>
      </w:r>
      <w:r w:rsidRPr="00CD4DAC">
        <w:rPr>
          <w:b w:val="0"/>
          <w:sz w:val="24"/>
          <w:szCs w:val="24"/>
        </w:rPr>
        <w:t xml:space="preserve"> wine shipments </w:t>
      </w:r>
      <w:r>
        <w:rPr>
          <w:b w:val="0"/>
          <w:sz w:val="24"/>
          <w:szCs w:val="24"/>
        </w:rPr>
        <w:t>were 269</w:t>
      </w:r>
      <w:r w:rsidRPr="00CD4DAC">
        <w:rPr>
          <w:b w:val="0"/>
          <w:sz w:val="24"/>
          <w:szCs w:val="24"/>
        </w:rPr>
        <w:t xml:space="preserve"> million cases, with an estimated retail value of </w:t>
      </w:r>
      <w:r>
        <w:rPr>
          <w:b w:val="0"/>
          <w:sz w:val="24"/>
          <w:szCs w:val="24"/>
        </w:rPr>
        <w:t xml:space="preserve">over </w:t>
      </w:r>
      <w:r w:rsidRPr="00CD4DAC">
        <w:rPr>
          <w:b w:val="0"/>
          <w:sz w:val="24"/>
          <w:szCs w:val="24"/>
        </w:rPr>
        <w:t>$24.6 billion</w:t>
      </w:r>
      <w:r>
        <w:rPr>
          <w:b w:val="0"/>
          <w:sz w:val="24"/>
          <w:szCs w:val="24"/>
        </w:rPr>
        <w:t xml:space="preserve"> </w:t>
      </w:r>
      <w:r w:rsidRPr="00CD4DAC">
        <w:rPr>
          <w:b w:val="0"/>
          <w:sz w:val="24"/>
          <w:szCs w:val="24"/>
        </w:rPr>
        <w:t>(Wine Institute, 2014).</w:t>
      </w:r>
      <w:r>
        <w:rPr>
          <w:b w:val="0"/>
          <w:sz w:val="24"/>
          <w:szCs w:val="24"/>
        </w:rPr>
        <w:t xml:space="preserve"> F</w:t>
      </w:r>
      <w:r w:rsidRPr="004429F9">
        <w:rPr>
          <w:b w:val="0"/>
          <w:sz w:val="24"/>
          <w:szCs w:val="24"/>
        </w:rPr>
        <w:t>rom the perspective of network structure and specifically vertical complexity, the supply chain can be viewed as two processes, 1) the cultivation of grapes for wine (</w:t>
      </w:r>
      <w:r w:rsidRPr="004429F9">
        <w:rPr>
          <w:b w:val="0"/>
          <w:i/>
          <w:sz w:val="24"/>
          <w:szCs w:val="24"/>
        </w:rPr>
        <w:t>viniculture</w:t>
      </w:r>
      <w:r w:rsidRPr="004429F9">
        <w:rPr>
          <w:b w:val="0"/>
          <w:sz w:val="24"/>
          <w:szCs w:val="24"/>
        </w:rPr>
        <w:t>) and 2) the wine making process (</w:t>
      </w:r>
      <w:r w:rsidRPr="004429F9">
        <w:rPr>
          <w:b w:val="0"/>
          <w:i/>
          <w:sz w:val="24"/>
          <w:szCs w:val="24"/>
        </w:rPr>
        <w:t>oenology</w:t>
      </w:r>
      <w:r w:rsidRPr="004429F9">
        <w:rPr>
          <w:b w:val="0"/>
          <w:sz w:val="24"/>
          <w:szCs w:val="24"/>
        </w:rPr>
        <w:t>).</w:t>
      </w:r>
      <w:r w:rsidR="000130C3">
        <w:rPr>
          <w:b w:val="0"/>
          <w:sz w:val="24"/>
          <w:szCs w:val="24"/>
        </w:rPr>
        <w:t xml:space="preserve"> Figure-1.</w:t>
      </w:r>
    </w:p>
    <w:p w:rsidR="00004C25" w:rsidRDefault="00004C25" w:rsidP="00004C25">
      <w:pPr>
        <w:pStyle w:val="Heading2"/>
        <w:rPr>
          <w:b w:val="0"/>
          <w:sz w:val="24"/>
          <w:szCs w:val="24"/>
        </w:rPr>
      </w:pPr>
      <w:r>
        <w:rPr>
          <w:noProof/>
        </w:rPr>
        <w:drawing>
          <wp:inline distT="0" distB="0" distL="0" distR="0" wp14:anchorId="2523BE78" wp14:editId="674ED0B7">
            <wp:extent cx="5731510" cy="2880451"/>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731510" cy="2880451"/>
                    </a:xfrm>
                    <a:prstGeom prst="rect">
                      <a:avLst/>
                    </a:prstGeom>
                  </pic:spPr>
                </pic:pic>
              </a:graphicData>
            </a:graphic>
          </wp:inline>
        </w:drawing>
      </w:r>
    </w:p>
    <w:p w:rsidR="00004C25" w:rsidRDefault="000130C3" w:rsidP="00004C25">
      <w:pPr>
        <w:pStyle w:val="Heading2"/>
        <w:jc w:val="center"/>
        <w:rPr>
          <w:b w:val="0"/>
          <w:sz w:val="24"/>
          <w:szCs w:val="24"/>
        </w:rPr>
      </w:pPr>
      <w:r>
        <w:rPr>
          <w:b w:val="0"/>
          <w:sz w:val="24"/>
          <w:szCs w:val="24"/>
        </w:rPr>
        <w:t>Figure 1</w:t>
      </w:r>
      <w:r w:rsidR="00004C25" w:rsidRPr="005F299F">
        <w:rPr>
          <w:b w:val="0"/>
          <w:sz w:val="24"/>
          <w:szCs w:val="24"/>
        </w:rPr>
        <w:t>: The California Wine Industry Supply Chain Map</w:t>
      </w:r>
    </w:p>
    <w:p w:rsidR="00004C25" w:rsidRDefault="00004C25" w:rsidP="00004C25">
      <w:pPr>
        <w:pStyle w:val="Heading2"/>
        <w:rPr>
          <w:b w:val="0"/>
          <w:sz w:val="24"/>
          <w:szCs w:val="24"/>
        </w:rPr>
      </w:pPr>
      <w:r w:rsidRPr="005F299F">
        <w:rPr>
          <w:b w:val="0"/>
          <w:sz w:val="24"/>
          <w:szCs w:val="24"/>
        </w:rPr>
        <w:br/>
        <w:t xml:space="preserve">From the perspective of spatial complexity, the research findings suggests that the Californian wine supply chain is global in scope, as evidenced by the sourcing of oak barrels from France and cork from Portugal to international wholesale, retail and consumer markets.  Furthermore, in the drought stricken US State of California the notion of “shared water risk” or “basin risk” was observed.  </w:t>
      </w:r>
    </w:p>
    <w:p w:rsidR="00004C25" w:rsidRDefault="00004C25" w:rsidP="00004C25">
      <w:pPr>
        <w:pStyle w:val="Heading2"/>
        <w:rPr>
          <w:b w:val="0"/>
          <w:sz w:val="24"/>
          <w:szCs w:val="24"/>
        </w:rPr>
      </w:pPr>
    </w:p>
    <w:p w:rsidR="00004C25" w:rsidRPr="005F299F" w:rsidRDefault="00004C25" w:rsidP="00004C25">
      <w:pPr>
        <w:pStyle w:val="Heading2"/>
        <w:rPr>
          <w:b w:val="0"/>
          <w:sz w:val="24"/>
          <w:szCs w:val="24"/>
        </w:rPr>
      </w:pPr>
      <w:r w:rsidRPr="005F299F">
        <w:rPr>
          <w:b w:val="0"/>
          <w:sz w:val="24"/>
          <w:szCs w:val="24"/>
        </w:rPr>
        <w:t xml:space="preserve">The implication of this observation to the relationship between </w:t>
      </w:r>
      <w:r w:rsidR="00045C23">
        <w:rPr>
          <w:b w:val="0"/>
          <w:sz w:val="24"/>
          <w:szCs w:val="24"/>
        </w:rPr>
        <w:t>natural capitals</w:t>
      </w:r>
      <w:r w:rsidRPr="005F299F">
        <w:rPr>
          <w:b w:val="0"/>
          <w:sz w:val="24"/>
          <w:szCs w:val="24"/>
        </w:rPr>
        <w:t xml:space="preserve"> and supply chain design is that additional non-traditional supply chain partners such as water districts, other business and residents emerge as stakeholders.</w:t>
      </w:r>
    </w:p>
    <w:p w:rsidR="00004C25" w:rsidRPr="006B1585" w:rsidRDefault="00004C25" w:rsidP="00004C25">
      <w:pPr>
        <w:pStyle w:val="Heading2"/>
        <w:rPr>
          <w:b w:val="0"/>
          <w:sz w:val="24"/>
          <w:szCs w:val="24"/>
        </w:rPr>
      </w:pPr>
    </w:p>
    <w:p w:rsidR="00004C25" w:rsidRPr="00AB7DC2" w:rsidRDefault="00004C25" w:rsidP="00004C25">
      <w:pPr>
        <w:pStyle w:val="Heading2"/>
        <w:rPr>
          <w:sz w:val="24"/>
          <w:szCs w:val="24"/>
        </w:rPr>
      </w:pPr>
      <w:r w:rsidRPr="00AB7DC2">
        <w:rPr>
          <w:sz w:val="24"/>
          <w:szCs w:val="24"/>
        </w:rPr>
        <w:t xml:space="preserve">Supply Chain </w:t>
      </w:r>
      <w:r w:rsidR="00045C23">
        <w:rPr>
          <w:sz w:val="24"/>
          <w:szCs w:val="24"/>
        </w:rPr>
        <w:t>Natural Capitals</w:t>
      </w:r>
      <w:r w:rsidRPr="00AB7DC2">
        <w:rPr>
          <w:sz w:val="24"/>
          <w:szCs w:val="24"/>
        </w:rPr>
        <w:t xml:space="preserve"> </w:t>
      </w:r>
      <w:r>
        <w:rPr>
          <w:sz w:val="24"/>
          <w:szCs w:val="24"/>
        </w:rPr>
        <w:t>(Water) U</w:t>
      </w:r>
      <w:r w:rsidRPr="00AB7DC2">
        <w:rPr>
          <w:sz w:val="24"/>
          <w:szCs w:val="24"/>
        </w:rPr>
        <w:t>sage</w:t>
      </w:r>
      <w:r>
        <w:rPr>
          <w:sz w:val="24"/>
          <w:szCs w:val="24"/>
        </w:rPr>
        <w:t xml:space="preserve"> w</w:t>
      </w:r>
      <w:r w:rsidRPr="00AB7DC2">
        <w:rPr>
          <w:sz w:val="24"/>
          <w:szCs w:val="24"/>
        </w:rPr>
        <w:t>ithin the Californian Wine Industry</w:t>
      </w:r>
    </w:p>
    <w:p w:rsidR="00004C25" w:rsidRPr="00077713" w:rsidRDefault="00004C25" w:rsidP="00004C25">
      <w:pPr>
        <w:pStyle w:val="Heading2"/>
        <w:rPr>
          <w:b w:val="0"/>
          <w:sz w:val="24"/>
          <w:szCs w:val="24"/>
        </w:rPr>
      </w:pPr>
      <w:r w:rsidRPr="005F299F">
        <w:rPr>
          <w:sz w:val="24"/>
          <w:szCs w:val="24"/>
        </w:rPr>
        <w:t xml:space="preserve"> </w:t>
      </w:r>
      <w:r w:rsidRPr="005F299F">
        <w:rPr>
          <w:sz w:val="24"/>
          <w:szCs w:val="24"/>
        </w:rPr>
        <w:br/>
      </w:r>
      <w:r w:rsidRPr="005F299F">
        <w:rPr>
          <w:b w:val="0"/>
          <w:sz w:val="24"/>
          <w:szCs w:val="24"/>
        </w:rPr>
        <w:t>A key relationship observed relating to water usage is that the demand for water varies seasonally.  “50-60% of a facilities annual water use occurs during the 60-90 day harvest pe</w:t>
      </w:r>
      <w:r>
        <w:rPr>
          <w:b w:val="0"/>
          <w:sz w:val="24"/>
          <w:szCs w:val="24"/>
        </w:rPr>
        <w:t xml:space="preserve">riod”, (Company D).  </w:t>
      </w:r>
      <w:r w:rsidRPr="00077713">
        <w:rPr>
          <w:b w:val="0"/>
          <w:sz w:val="24"/>
          <w:szCs w:val="24"/>
        </w:rPr>
        <w:t>It was also observed that the spike in water use during the harvest season was attributable to the facts that: 1) wineries are at their peak operation, generally working twenty-four hours per day / seven-days per week, 2) The operations performed during this period include cleaning and sanitation which is extremely water intense, and 3) These activities coincide with the generally hotter and warmer California weather and the resulting need keep the grapes cool to arrest fermentation.</w:t>
      </w:r>
      <w:r w:rsidRPr="00077713">
        <w:rPr>
          <w:sz w:val="24"/>
          <w:szCs w:val="24"/>
        </w:rPr>
        <w:t xml:space="preserve">  </w:t>
      </w:r>
    </w:p>
    <w:p w:rsidR="00004C25" w:rsidRDefault="00004C25" w:rsidP="00004C25">
      <w:pPr>
        <w:spacing w:before="100" w:beforeAutospacing="1" w:after="100" w:afterAutospacing="1" w:line="240" w:lineRule="auto"/>
        <w:rPr>
          <w:rFonts w:ascii="Times New Roman" w:hAnsi="Times New Roman" w:cs="Times New Roman"/>
          <w:sz w:val="24"/>
          <w:szCs w:val="24"/>
        </w:rPr>
      </w:pPr>
      <w:r w:rsidRPr="00340F48">
        <w:rPr>
          <w:rFonts w:ascii="Times New Roman" w:hAnsi="Times New Roman" w:cs="Times New Roman"/>
          <w:sz w:val="24"/>
          <w:szCs w:val="24"/>
        </w:rPr>
        <w:lastRenderedPageBreak/>
        <w:t>Water is used extensively for sanitation</w:t>
      </w:r>
      <w:r>
        <w:rPr>
          <w:rFonts w:ascii="Times New Roman" w:hAnsi="Times New Roman" w:cs="Times New Roman"/>
          <w:sz w:val="24"/>
          <w:szCs w:val="24"/>
        </w:rPr>
        <w:t>,</w:t>
      </w:r>
      <w:r w:rsidRPr="00340F48">
        <w:rPr>
          <w:rFonts w:ascii="Times New Roman" w:hAnsi="Times New Roman" w:cs="Times New Roman"/>
          <w:sz w:val="24"/>
          <w:szCs w:val="24"/>
        </w:rPr>
        <w:t xml:space="preserve"> and </w:t>
      </w:r>
      <w:r>
        <w:rPr>
          <w:rFonts w:ascii="Times New Roman" w:hAnsi="Times New Roman" w:cs="Times New Roman"/>
          <w:sz w:val="24"/>
          <w:szCs w:val="24"/>
        </w:rPr>
        <w:t>cleaning</w:t>
      </w:r>
      <w:r w:rsidRPr="00340F48">
        <w:rPr>
          <w:rFonts w:ascii="Times New Roman" w:hAnsi="Times New Roman" w:cs="Times New Roman"/>
          <w:sz w:val="24"/>
          <w:szCs w:val="24"/>
        </w:rPr>
        <w:t>, cooling and for moving grapes through the production process.</w:t>
      </w:r>
      <w:r>
        <w:rPr>
          <w:rFonts w:ascii="Times New Roman" w:hAnsi="Times New Roman" w:cs="Times New Roman"/>
          <w:sz w:val="24"/>
          <w:szCs w:val="24"/>
        </w:rPr>
        <w:t xml:space="preserve">  The product characteristics are</w:t>
      </w:r>
      <w:r w:rsidRPr="00340F48">
        <w:rPr>
          <w:rFonts w:ascii="Times New Roman" w:hAnsi="Times New Roman" w:cs="Times New Roman"/>
          <w:sz w:val="24"/>
          <w:szCs w:val="24"/>
        </w:rPr>
        <w:t xml:space="preserve"> an expression of the number and type of grape varietals grown and produced, for instance</w:t>
      </w:r>
      <w:r>
        <w:rPr>
          <w:rFonts w:ascii="Times New Roman" w:hAnsi="Times New Roman" w:cs="Times New Roman"/>
          <w:sz w:val="24"/>
          <w:szCs w:val="24"/>
        </w:rPr>
        <w:t>,</w:t>
      </w:r>
      <w:r w:rsidRPr="00340F48">
        <w:rPr>
          <w:rFonts w:ascii="Times New Roman" w:hAnsi="Times New Roman" w:cs="Times New Roman"/>
          <w:sz w:val="24"/>
          <w:szCs w:val="24"/>
        </w:rPr>
        <w:t xml:space="preserve"> </w:t>
      </w:r>
      <w:r>
        <w:rPr>
          <w:rFonts w:ascii="Times New Roman" w:hAnsi="Times New Roman" w:cs="Times New Roman"/>
          <w:sz w:val="24"/>
          <w:szCs w:val="24"/>
        </w:rPr>
        <w:t>Company C</w:t>
      </w:r>
      <w:r w:rsidRPr="00340F48">
        <w:rPr>
          <w:rFonts w:ascii="Times New Roman" w:hAnsi="Times New Roman" w:cs="Times New Roman"/>
          <w:sz w:val="24"/>
          <w:szCs w:val="24"/>
        </w:rPr>
        <w:t xml:space="preserve"> grow thirty grape varietals from which they produce twenty types of wine.  Based on the case study findings, a relationship exists between the type of grape varietal and the associated water usage</w:t>
      </w:r>
      <w:r>
        <w:rPr>
          <w:rFonts w:ascii="Times New Roman" w:hAnsi="Times New Roman" w:cs="Times New Roman"/>
          <w:sz w:val="24"/>
          <w:szCs w:val="24"/>
        </w:rPr>
        <w:t xml:space="preserve">. </w:t>
      </w:r>
      <w:r w:rsidRPr="00340F48">
        <w:rPr>
          <w:rFonts w:ascii="Times New Roman" w:hAnsi="Times New Roman" w:cs="Times New Roman"/>
          <w:sz w:val="24"/>
          <w:szCs w:val="24"/>
        </w:rPr>
        <w:t>There is also a significant indirect costs associated with waste water discharge; these costs are incurred in large part due to requirements relating to waste water pre-treatment, permitting licenses and associated effort to monitor and report metrics relating to w</w:t>
      </w:r>
      <w:r>
        <w:rPr>
          <w:rFonts w:ascii="Times New Roman" w:hAnsi="Times New Roman" w:cs="Times New Roman"/>
          <w:sz w:val="24"/>
          <w:szCs w:val="24"/>
        </w:rPr>
        <w:t xml:space="preserve">ater discharge (Company D).   </w:t>
      </w:r>
      <w:r w:rsidR="000130C3">
        <w:rPr>
          <w:rFonts w:ascii="Times New Roman" w:hAnsi="Times New Roman" w:cs="Times New Roman"/>
          <w:sz w:val="24"/>
          <w:szCs w:val="24"/>
        </w:rPr>
        <w:t>Figure 2</w:t>
      </w:r>
      <w:r w:rsidRPr="002124E3">
        <w:rPr>
          <w:rFonts w:ascii="Times New Roman" w:hAnsi="Times New Roman" w:cs="Times New Roman"/>
          <w:sz w:val="24"/>
          <w:szCs w:val="24"/>
        </w:rPr>
        <w:t xml:space="preserve"> highlights the </w:t>
      </w:r>
      <w:r w:rsidR="00045C23">
        <w:rPr>
          <w:rFonts w:ascii="Times New Roman" w:hAnsi="Times New Roman" w:cs="Times New Roman"/>
          <w:sz w:val="24"/>
          <w:szCs w:val="24"/>
        </w:rPr>
        <w:t>natural capitals</w:t>
      </w:r>
      <w:r>
        <w:rPr>
          <w:rFonts w:ascii="Times New Roman" w:hAnsi="Times New Roman" w:cs="Times New Roman"/>
          <w:sz w:val="24"/>
          <w:szCs w:val="24"/>
        </w:rPr>
        <w:t xml:space="preserve"> (Water) u</w:t>
      </w:r>
      <w:r w:rsidRPr="005F299F">
        <w:rPr>
          <w:rFonts w:ascii="Times New Roman" w:hAnsi="Times New Roman" w:cs="Times New Roman"/>
          <w:sz w:val="24"/>
          <w:szCs w:val="24"/>
        </w:rPr>
        <w:t xml:space="preserve">sage </w:t>
      </w:r>
      <w:r>
        <w:rPr>
          <w:rFonts w:ascii="Times New Roman" w:hAnsi="Times New Roman" w:cs="Times New Roman"/>
          <w:sz w:val="24"/>
          <w:szCs w:val="24"/>
        </w:rPr>
        <w:t>observed at the case study companies</w:t>
      </w:r>
      <w:r w:rsidRPr="002124E3">
        <w:rPr>
          <w:rFonts w:ascii="Times New Roman" w:hAnsi="Times New Roman" w:cs="Times New Roman"/>
          <w:sz w:val="24"/>
          <w:szCs w:val="24"/>
        </w:rPr>
        <w:t xml:space="preserve">.  </w:t>
      </w:r>
      <w:r>
        <w:rPr>
          <w:noProof/>
          <w:lang w:eastAsia="en-GB"/>
        </w:rPr>
        <w:drawing>
          <wp:inline distT="0" distB="0" distL="0" distR="0" wp14:anchorId="55A9F57D" wp14:editId="743BA3A9">
            <wp:extent cx="5731510" cy="3793451"/>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31510" cy="3793451"/>
                    </a:xfrm>
                    <a:prstGeom prst="rect">
                      <a:avLst/>
                    </a:prstGeom>
                  </pic:spPr>
                </pic:pic>
              </a:graphicData>
            </a:graphic>
          </wp:inline>
        </w:drawing>
      </w:r>
    </w:p>
    <w:p w:rsidR="00004C25" w:rsidRPr="00077713" w:rsidRDefault="000130C3" w:rsidP="00004C25">
      <w:pPr>
        <w:jc w:val="center"/>
        <w:rPr>
          <w:rFonts w:ascii="Times New Roman" w:hAnsi="Times New Roman" w:cs="Times New Roman"/>
          <w:sz w:val="24"/>
        </w:rPr>
      </w:pPr>
      <w:r>
        <w:rPr>
          <w:rFonts w:ascii="Times New Roman" w:hAnsi="Times New Roman" w:cs="Times New Roman"/>
          <w:sz w:val="24"/>
        </w:rPr>
        <w:t>Figure 2</w:t>
      </w:r>
      <w:r w:rsidR="00004C25" w:rsidRPr="00077713">
        <w:rPr>
          <w:rFonts w:ascii="Times New Roman" w:hAnsi="Times New Roman" w:cs="Times New Roman"/>
          <w:sz w:val="24"/>
        </w:rPr>
        <w:t xml:space="preserve">: Supply Chain </w:t>
      </w:r>
      <w:r w:rsidR="00045C23">
        <w:rPr>
          <w:rFonts w:ascii="Times New Roman" w:hAnsi="Times New Roman" w:cs="Times New Roman"/>
          <w:sz w:val="24"/>
        </w:rPr>
        <w:t>Natural Capitals</w:t>
      </w:r>
      <w:r w:rsidR="00004C25" w:rsidRPr="00077713">
        <w:rPr>
          <w:rFonts w:ascii="Times New Roman" w:hAnsi="Times New Roman" w:cs="Times New Roman"/>
          <w:sz w:val="24"/>
        </w:rPr>
        <w:t xml:space="preserve"> (Water) Usage Map</w:t>
      </w:r>
    </w:p>
    <w:p w:rsidR="00004C25" w:rsidRDefault="00004C25" w:rsidP="00004C25">
      <w:pPr>
        <w:spacing w:line="240" w:lineRule="auto"/>
        <w:rPr>
          <w:rFonts w:ascii="Times New Roman" w:hAnsi="Times New Roman" w:cs="Times New Roman"/>
          <w:b/>
          <w:sz w:val="24"/>
          <w:szCs w:val="24"/>
        </w:rPr>
      </w:pPr>
      <w:r w:rsidRPr="00587EA5">
        <w:rPr>
          <w:rFonts w:ascii="Times New Roman" w:hAnsi="Times New Roman" w:cs="Times New Roman"/>
          <w:b/>
          <w:sz w:val="24"/>
          <w:szCs w:val="24"/>
        </w:rPr>
        <w:t>Supply Chain Risks</w:t>
      </w:r>
      <w:r>
        <w:rPr>
          <w:rFonts w:ascii="Times New Roman" w:hAnsi="Times New Roman" w:cs="Times New Roman"/>
          <w:b/>
          <w:sz w:val="24"/>
          <w:szCs w:val="24"/>
        </w:rPr>
        <w:t xml:space="preserve"> Imposed by </w:t>
      </w:r>
      <w:r w:rsidR="00045C23">
        <w:rPr>
          <w:rFonts w:ascii="Times New Roman" w:hAnsi="Times New Roman" w:cs="Times New Roman"/>
          <w:b/>
          <w:sz w:val="24"/>
          <w:szCs w:val="24"/>
        </w:rPr>
        <w:t>Natural Capitals</w:t>
      </w:r>
      <w:r>
        <w:rPr>
          <w:rFonts w:ascii="Times New Roman" w:hAnsi="Times New Roman" w:cs="Times New Roman"/>
          <w:b/>
          <w:sz w:val="24"/>
          <w:szCs w:val="24"/>
        </w:rPr>
        <w:t xml:space="preserve"> Utilization</w:t>
      </w:r>
      <w:r w:rsidRPr="00587EA5">
        <w:rPr>
          <w:rFonts w:ascii="Times New Roman" w:hAnsi="Times New Roman" w:cs="Times New Roman"/>
          <w:b/>
          <w:sz w:val="24"/>
          <w:szCs w:val="24"/>
        </w:rPr>
        <w:t xml:space="preserve"> within the Californian Wine Industry</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The research has identified particular supply chain risks and vulnerabilities imposed by water stress.  An applied configuration approach to supply chain risk management has proved effective in highlighting vulnerabilities and mitigations.  Four supply chain risks imposed by water stress have been observed, these are: 1) water scarcity and resulting impact on landscape irrigation, grape quality and yield, 2) water quality and resulting impact on cleaning and sanitation, 3) water quantity and resulting impact on cooling and wine production and 4) water discharge and resulting impact on pre-treatment costs and soil quality.</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Three of the four case study companies mitigate water scarcity risk by process flow adjustments enabled by new technology. </w:t>
      </w:r>
      <w:r w:rsidRPr="009F60ED">
        <w:rPr>
          <w:rFonts w:ascii="Times New Roman" w:hAnsi="Times New Roman" w:cs="Times New Roman"/>
          <w:sz w:val="24"/>
          <w:szCs w:val="24"/>
        </w:rPr>
        <w:t>“For example, at a basic level some wineries use flood irrigation, others use drip irrigation, some deploy high-tech sensors and weather stations while other do not.  There is a lot of technological va</w:t>
      </w:r>
      <w:r>
        <w:rPr>
          <w:rFonts w:ascii="Times New Roman" w:hAnsi="Times New Roman" w:cs="Times New Roman"/>
          <w:sz w:val="24"/>
          <w:szCs w:val="24"/>
        </w:rPr>
        <w:t xml:space="preserve">riability across the processes” </w:t>
      </w:r>
      <w:r>
        <w:rPr>
          <w:rFonts w:ascii="Times New Roman" w:hAnsi="Times New Roman" w:cs="Times New Roman"/>
          <w:sz w:val="24"/>
          <w:szCs w:val="24"/>
        </w:rPr>
        <w:lastRenderedPageBreak/>
        <w:t xml:space="preserve">(Company A).  </w:t>
      </w:r>
      <w:r w:rsidRPr="002124E3">
        <w:rPr>
          <w:rFonts w:ascii="Times New Roman" w:hAnsi="Times New Roman" w:cs="Times New Roman"/>
          <w:sz w:val="24"/>
          <w:szCs w:val="24"/>
        </w:rPr>
        <w:t xml:space="preserve">According to data collected by the Wine Institute, an association of Californian wineries and affiliated businesses; 85% of their grower membership is now using drip irrigation (Wine Institute, 2015).  </w:t>
      </w:r>
      <w:r>
        <w:rPr>
          <w:rFonts w:ascii="Times New Roman" w:hAnsi="Times New Roman" w:cs="Times New Roman"/>
          <w:sz w:val="24"/>
          <w:szCs w:val="24"/>
        </w:rPr>
        <w:t>The adoption of water metering technology and product characteristic choices such as white vs. red wine production has been observed as favourably influencing water quantity.  Another observation</w:t>
      </w:r>
      <w:r w:rsidRPr="002124E3">
        <w:rPr>
          <w:rFonts w:ascii="Times New Roman" w:hAnsi="Times New Roman" w:cs="Times New Roman"/>
          <w:sz w:val="24"/>
          <w:szCs w:val="24"/>
        </w:rPr>
        <w:t xml:space="preserve"> </w:t>
      </w:r>
      <w:r>
        <w:rPr>
          <w:rFonts w:ascii="Times New Roman" w:hAnsi="Times New Roman" w:cs="Times New Roman"/>
          <w:sz w:val="24"/>
          <w:szCs w:val="24"/>
        </w:rPr>
        <w:t xml:space="preserve">of alternative process flows </w:t>
      </w:r>
      <w:r w:rsidRPr="002124E3">
        <w:rPr>
          <w:rFonts w:ascii="Times New Roman" w:hAnsi="Times New Roman" w:cs="Times New Roman"/>
          <w:sz w:val="24"/>
          <w:szCs w:val="24"/>
        </w:rPr>
        <w:t>is a movement away from water for frost protection towards wind technology (</w:t>
      </w:r>
      <w:r>
        <w:rPr>
          <w:rFonts w:ascii="Times New Roman" w:hAnsi="Times New Roman" w:cs="Times New Roman"/>
          <w:sz w:val="24"/>
          <w:szCs w:val="24"/>
        </w:rPr>
        <w:t>Company D).  At Company C adjustments to value and network structure was observed as evidenced by their movement into dry farming.</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From the perspective of product structure, Company C</w:t>
      </w:r>
      <w:r w:rsidRPr="00296067">
        <w:rPr>
          <w:rFonts w:ascii="Times New Roman" w:hAnsi="Times New Roman" w:cs="Times New Roman"/>
          <w:sz w:val="24"/>
          <w:szCs w:val="24"/>
        </w:rPr>
        <w:t xml:space="preserve"> grow</w:t>
      </w:r>
      <w:r>
        <w:rPr>
          <w:rFonts w:ascii="Times New Roman" w:hAnsi="Times New Roman" w:cs="Times New Roman"/>
          <w:sz w:val="24"/>
          <w:szCs w:val="24"/>
        </w:rPr>
        <w:t>s</w:t>
      </w:r>
      <w:r w:rsidRPr="00296067">
        <w:rPr>
          <w:rFonts w:ascii="Times New Roman" w:hAnsi="Times New Roman" w:cs="Times New Roman"/>
          <w:sz w:val="24"/>
          <w:szCs w:val="24"/>
        </w:rPr>
        <w:t xml:space="preserve"> thirty grape varietals from which they</w:t>
      </w:r>
      <w:r>
        <w:rPr>
          <w:rFonts w:ascii="Times New Roman" w:hAnsi="Times New Roman" w:cs="Times New Roman"/>
          <w:sz w:val="24"/>
          <w:szCs w:val="24"/>
        </w:rPr>
        <w:t xml:space="preserve"> produce twenty types of wine.  A relationship was observed</w:t>
      </w:r>
      <w:r w:rsidRPr="00296067">
        <w:rPr>
          <w:rFonts w:ascii="Times New Roman" w:hAnsi="Times New Roman" w:cs="Times New Roman"/>
          <w:sz w:val="24"/>
          <w:szCs w:val="24"/>
        </w:rPr>
        <w:t xml:space="preserve"> between the type of grape varieta</w:t>
      </w:r>
      <w:r>
        <w:rPr>
          <w:rFonts w:ascii="Times New Roman" w:hAnsi="Times New Roman" w:cs="Times New Roman"/>
          <w:sz w:val="24"/>
          <w:szCs w:val="24"/>
        </w:rPr>
        <w:t>l, and the resulting water quality and quantity risk.  F</w:t>
      </w:r>
      <w:r w:rsidRPr="00296067">
        <w:rPr>
          <w:rFonts w:ascii="Times New Roman" w:hAnsi="Times New Roman" w:cs="Times New Roman"/>
          <w:sz w:val="24"/>
          <w:szCs w:val="24"/>
        </w:rPr>
        <w:t>or instance, grapes used in the production of white wines such as chardonnay, pinot grigio, riesling and gewürztraminer</w:t>
      </w:r>
      <w:r>
        <w:rPr>
          <w:rFonts w:ascii="Times New Roman" w:hAnsi="Times New Roman" w:cs="Times New Roman"/>
          <w:sz w:val="24"/>
          <w:szCs w:val="24"/>
        </w:rPr>
        <w:t xml:space="preserve"> </w:t>
      </w:r>
      <w:r w:rsidRPr="00296067">
        <w:rPr>
          <w:rFonts w:ascii="Times New Roman" w:hAnsi="Times New Roman" w:cs="Times New Roman"/>
          <w:sz w:val="24"/>
          <w:szCs w:val="24"/>
        </w:rPr>
        <w:t>utilize water significantly for the purposes o</w:t>
      </w:r>
      <w:r>
        <w:rPr>
          <w:rFonts w:ascii="Times New Roman" w:hAnsi="Times New Roman" w:cs="Times New Roman"/>
          <w:sz w:val="24"/>
          <w:szCs w:val="24"/>
        </w:rPr>
        <w:t xml:space="preserve">f tank cooling.  </w:t>
      </w:r>
      <w:r w:rsidRPr="00296067">
        <w:rPr>
          <w:rFonts w:ascii="Times New Roman" w:hAnsi="Times New Roman" w:cs="Times New Roman"/>
          <w:sz w:val="24"/>
          <w:szCs w:val="24"/>
        </w:rPr>
        <w:t xml:space="preserve">Grapes used in the production of red wines, such as cabernet sauvignon, merlot, tempranillo and barbera, varietals of which </w:t>
      </w:r>
      <w:r>
        <w:rPr>
          <w:rFonts w:ascii="Times New Roman" w:hAnsi="Times New Roman" w:cs="Times New Roman"/>
          <w:sz w:val="24"/>
          <w:szCs w:val="24"/>
        </w:rPr>
        <w:t>Company B</w:t>
      </w:r>
      <w:r w:rsidRPr="00296067">
        <w:rPr>
          <w:rFonts w:ascii="Times New Roman" w:hAnsi="Times New Roman" w:cs="Times New Roman"/>
          <w:sz w:val="24"/>
          <w:szCs w:val="24"/>
        </w:rPr>
        <w:t xml:space="preserve"> and </w:t>
      </w:r>
      <w:r>
        <w:rPr>
          <w:rFonts w:ascii="Times New Roman" w:hAnsi="Times New Roman" w:cs="Times New Roman"/>
          <w:sz w:val="24"/>
          <w:szCs w:val="24"/>
        </w:rPr>
        <w:t>Company C</w:t>
      </w:r>
      <w:r w:rsidRPr="00296067">
        <w:rPr>
          <w:rFonts w:ascii="Times New Roman" w:hAnsi="Times New Roman" w:cs="Times New Roman"/>
          <w:sz w:val="24"/>
          <w:szCs w:val="24"/>
        </w:rPr>
        <w:t xml:space="preserve"> feature, while do not have the same cooling demands, do utilize water significantly more when it comes to cleaning an</w:t>
      </w:r>
      <w:r>
        <w:rPr>
          <w:rFonts w:ascii="Times New Roman" w:hAnsi="Times New Roman" w:cs="Times New Roman"/>
          <w:sz w:val="24"/>
          <w:szCs w:val="24"/>
        </w:rPr>
        <w:t>d sanitation.</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In conclusion, it has been observed that the case study companies have all used elements of network structure (Company C), alternative process flows (Company A, B, C and D), adjusted value structure (Company C) and product redesign (Company C) to mitigate</w:t>
      </w:r>
      <w:r w:rsidR="00045C23">
        <w:rPr>
          <w:rFonts w:ascii="Times New Roman" w:hAnsi="Times New Roman" w:cs="Times New Roman"/>
          <w:sz w:val="24"/>
          <w:szCs w:val="24"/>
        </w:rPr>
        <w:t xml:space="preserve"> natural capitals </w:t>
      </w:r>
      <w:r>
        <w:rPr>
          <w:rFonts w:ascii="Times New Roman" w:hAnsi="Times New Roman" w:cs="Times New Roman"/>
          <w:sz w:val="24"/>
          <w:szCs w:val="24"/>
        </w:rPr>
        <w:t xml:space="preserve">risk across the core industrial supply chain.  </w:t>
      </w:r>
    </w:p>
    <w:p w:rsidR="00004C25" w:rsidRPr="003602DF" w:rsidRDefault="00004C25" w:rsidP="00004C25">
      <w:pPr>
        <w:spacing w:line="240" w:lineRule="auto"/>
        <w:rPr>
          <w:rFonts w:ascii="Times New Roman" w:hAnsi="Times New Roman" w:cs="Times New Roman"/>
          <w:b/>
          <w:sz w:val="24"/>
          <w:szCs w:val="24"/>
        </w:rPr>
      </w:pPr>
      <w:r w:rsidRPr="00587EA5">
        <w:rPr>
          <w:rFonts w:ascii="Times New Roman" w:hAnsi="Times New Roman" w:cs="Times New Roman"/>
          <w:b/>
          <w:sz w:val="24"/>
          <w:szCs w:val="24"/>
        </w:rPr>
        <w:t>Californian Wine Industry</w:t>
      </w:r>
      <w:r>
        <w:rPr>
          <w:rFonts w:ascii="Times New Roman" w:hAnsi="Times New Roman" w:cs="Times New Roman"/>
          <w:b/>
          <w:sz w:val="24"/>
          <w:szCs w:val="24"/>
        </w:rPr>
        <w:t xml:space="preserve"> Supply Chain Response</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A key observation that emerges is the influence of non-traditional supply chain partners in mitigating the “basin risk”.  This perhaps leads us to consider that the scope of supply chain collaboration needs to be broader than the traditional product – supplier relationship.  An argument can be presented that supply chain configuration should be extended to examine other industrial partners that operate within a shared water basin or stress zone, such as other businesses, regulatory agencies and community residents.  </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This perhaps leads us to the following theoretical contribution, that when </w:t>
      </w:r>
      <w:r w:rsidR="00045C23">
        <w:rPr>
          <w:rFonts w:ascii="Times New Roman" w:hAnsi="Times New Roman" w:cs="Times New Roman"/>
          <w:sz w:val="24"/>
          <w:szCs w:val="24"/>
        </w:rPr>
        <w:t>natural capitals</w:t>
      </w:r>
      <w:r>
        <w:rPr>
          <w:rFonts w:ascii="Times New Roman" w:hAnsi="Times New Roman" w:cs="Times New Roman"/>
          <w:sz w:val="24"/>
          <w:szCs w:val="24"/>
        </w:rPr>
        <w:t xml:space="preserve"> are a factor in supply chain performance, supply chain design needs to incorporate collaboration across an extended network of stakeholders.  The following four step framework has been adapted to identify, evaluate and mitigate </w:t>
      </w:r>
      <w:r w:rsidR="00045C23">
        <w:rPr>
          <w:rFonts w:ascii="Times New Roman" w:hAnsi="Times New Roman" w:cs="Times New Roman"/>
          <w:sz w:val="24"/>
          <w:szCs w:val="24"/>
        </w:rPr>
        <w:t>natural capitals (water)</w:t>
      </w:r>
      <w:r>
        <w:rPr>
          <w:rFonts w:ascii="Times New Roman" w:hAnsi="Times New Roman" w:cs="Times New Roman"/>
          <w:sz w:val="24"/>
          <w:szCs w:val="24"/>
        </w:rPr>
        <w:t xml:space="preserve"> stress with supply chain design is suggested. 1) Map the supply chain from the perspective of network, process, value structure and product characteristics, and to include extended supply chain partners beyond the traditional product – supplier relationship, 2) Define the characteristics of the </w:t>
      </w:r>
      <w:r w:rsidR="00045C23">
        <w:rPr>
          <w:rFonts w:ascii="Times New Roman" w:hAnsi="Times New Roman" w:cs="Times New Roman"/>
          <w:sz w:val="24"/>
          <w:szCs w:val="24"/>
        </w:rPr>
        <w:t>natural capitals (water)</w:t>
      </w:r>
      <w:r>
        <w:rPr>
          <w:rFonts w:ascii="Times New Roman" w:hAnsi="Times New Roman" w:cs="Times New Roman"/>
          <w:sz w:val="24"/>
          <w:szCs w:val="24"/>
        </w:rPr>
        <w:t xml:space="preserve"> resource stress, 3) Identify </w:t>
      </w:r>
      <w:r w:rsidR="00045C23">
        <w:rPr>
          <w:rFonts w:ascii="Times New Roman" w:hAnsi="Times New Roman" w:cs="Times New Roman"/>
          <w:sz w:val="24"/>
          <w:szCs w:val="24"/>
        </w:rPr>
        <w:t>natural capitals (water)</w:t>
      </w:r>
      <w:r>
        <w:rPr>
          <w:rFonts w:ascii="Times New Roman" w:hAnsi="Times New Roman" w:cs="Times New Roman"/>
          <w:sz w:val="24"/>
          <w:szCs w:val="24"/>
        </w:rPr>
        <w:t xml:space="preserve"> risks and vulnerabilities, with consideration towards the extended supply chain partners, and 4) Define mitigations that include non-traditional supply chain partner collaboration.</w:t>
      </w:r>
    </w:p>
    <w:p w:rsidR="00004C25" w:rsidRDefault="00004C25" w:rsidP="00004C25">
      <w:pPr>
        <w:spacing w:line="240" w:lineRule="auto"/>
        <w:rPr>
          <w:rFonts w:ascii="Times New Roman" w:hAnsi="Times New Roman" w:cs="Times New Roman"/>
          <w:sz w:val="24"/>
          <w:szCs w:val="24"/>
        </w:rPr>
      </w:pPr>
    </w:p>
    <w:p w:rsidR="00004C25" w:rsidRDefault="00004C25" w:rsidP="00004C25">
      <w:pPr>
        <w:spacing w:line="240" w:lineRule="auto"/>
        <w:rPr>
          <w:rFonts w:ascii="Times New Roman" w:hAnsi="Times New Roman" w:cs="Times New Roman"/>
          <w:sz w:val="24"/>
          <w:szCs w:val="24"/>
        </w:rPr>
      </w:pPr>
    </w:p>
    <w:p w:rsidR="00004C25" w:rsidRDefault="00004C25" w:rsidP="00004C25">
      <w:pPr>
        <w:spacing w:line="240" w:lineRule="auto"/>
        <w:rPr>
          <w:rFonts w:ascii="Times New Roman" w:hAnsi="Times New Roman" w:cs="Times New Roman"/>
          <w:sz w:val="24"/>
          <w:szCs w:val="24"/>
        </w:rPr>
      </w:pPr>
    </w:p>
    <w:p w:rsidR="00004C25" w:rsidRDefault="00004C25" w:rsidP="00004C25">
      <w:pPr>
        <w:spacing w:line="240" w:lineRule="auto"/>
        <w:rPr>
          <w:rFonts w:ascii="Times New Roman" w:hAnsi="Times New Roman" w:cs="Times New Roman"/>
          <w:sz w:val="24"/>
          <w:szCs w:val="24"/>
        </w:rPr>
      </w:pPr>
    </w:p>
    <w:p w:rsidR="00004C25" w:rsidRDefault="00004C25" w:rsidP="00004C25">
      <w:pPr>
        <w:spacing w:line="240" w:lineRule="auto"/>
        <w:rPr>
          <w:rFonts w:ascii="Times New Roman" w:hAnsi="Times New Roman" w:cs="Times New Roman"/>
          <w:b/>
          <w:sz w:val="24"/>
          <w:szCs w:val="24"/>
        </w:rPr>
      </w:pPr>
    </w:p>
    <w:p w:rsidR="00004C25" w:rsidRPr="00A3454F" w:rsidRDefault="00004C25" w:rsidP="00004C25">
      <w:pPr>
        <w:spacing w:line="240" w:lineRule="auto"/>
        <w:rPr>
          <w:rFonts w:ascii="Times New Roman" w:hAnsi="Times New Roman" w:cs="Times New Roman"/>
          <w:b/>
          <w:sz w:val="24"/>
          <w:szCs w:val="24"/>
        </w:rPr>
      </w:pPr>
      <w:r w:rsidRPr="00A3454F">
        <w:rPr>
          <w:rFonts w:ascii="Times New Roman" w:hAnsi="Times New Roman" w:cs="Times New Roman"/>
          <w:b/>
          <w:sz w:val="24"/>
          <w:szCs w:val="24"/>
        </w:rPr>
        <w:lastRenderedPageBreak/>
        <w:t>Conclusion</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This research focused on the relationship between </w:t>
      </w:r>
      <w:r w:rsidR="00045C23">
        <w:rPr>
          <w:rFonts w:ascii="Times New Roman" w:hAnsi="Times New Roman" w:cs="Times New Roman"/>
          <w:sz w:val="24"/>
          <w:szCs w:val="24"/>
        </w:rPr>
        <w:t>natural capitals</w:t>
      </w:r>
      <w:r>
        <w:rPr>
          <w:rFonts w:ascii="Times New Roman" w:hAnsi="Times New Roman" w:cs="Times New Roman"/>
          <w:sz w:val="24"/>
          <w:szCs w:val="24"/>
        </w:rPr>
        <w:t xml:space="preserve"> and supply chain design by posing the research question: </w:t>
      </w:r>
      <w:r>
        <w:rPr>
          <w:rFonts w:ascii="Times New Roman" w:hAnsi="Times New Roman" w:cs="Times New Roman"/>
          <w:i/>
          <w:sz w:val="24"/>
          <w:szCs w:val="24"/>
        </w:rPr>
        <w:t xml:space="preserve">How can water stress risk be identified and mitigated within the </w:t>
      </w:r>
      <w:r w:rsidRPr="00E02604">
        <w:rPr>
          <w:rFonts w:ascii="Times New Roman" w:hAnsi="Times New Roman" w:cs="Times New Roman"/>
          <w:i/>
          <w:color w:val="000000"/>
          <w:sz w:val="24"/>
          <w:szCs w:val="24"/>
        </w:rPr>
        <w:t>supply chain?</w:t>
      </w:r>
      <w:r>
        <w:rPr>
          <w:rFonts w:ascii="Times New Roman" w:hAnsi="Times New Roman" w:cs="Times New Roman"/>
          <w:i/>
          <w:color w:val="000000"/>
          <w:sz w:val="24"/>
          <w:szCs w:val="24"/>
        </w:rPr>
        <w:t xml:space="preserve"> </w:t>
      </w:r>
      <w:r>
        <w:rPr>
          <w:rFonts w:ascii="Times New Roman" w:hAnsi="Times New Roman" w:cs="Times New Roman"/>
          <w:sz w:val="24"/>
          <w:szCs w:val="24"/>
        </w:rPr>
        <w:t xml:space="preserve">The case study findings suggest supply chain water stress risk can be identified and mitigated by extending supply chain collaboration beyond the traditional product-supplier relationship to include a broadened set of stakeholders which share </w:t>
      </w:r>
      <w:r w:rsidR="005E66B4">
        <w:rPr>
          <w:rFonts w:ascii="Times New Roman" w:hAnsi="Times New Roman" w:cs="Times New Roman"/>
          <w:sz w:val="24"/>
          <w:szCs w:val="24"/>
        </w:rPr>
        <w:t>“</w:t>
      </w:r>
      <w:r>
        <w:rPr>
          <w:rFonts w:ascii="Times New Roman" w:hAnsi="Times New Roman" w:cs="Times New Roman"/>
          <w:sz w:val="24"/>
          <w:szCs w:val="24"/>
        </w:rPr>
        <w:t>basin risk</w:t>
      </w:r>
      <w:r w:rsidR="005E66B4">
        <w:rPr>
          <w:rFonts w:ascii="Times New Roman" w:hAnsi="Times New Roman" w:cs="Times New Roman"/>
          <w:sz w:val="24"/>
          <w:szCs w:val="24"/>
        </w:rPr>
        <w:t>”</w:t>
      </w:r>
      <w:r>
        <w:rPr>
          <w:rFonts w:ascii="Times New Roman" w:hAnsi="Times New Roman" w:cs="Times New Roman"/>
          <w:sz w:val="24"/>
          <w:szCs w:val="24"/>
        </w:rPr>
        <w:t xml:space="preserve">.  The key findings of this research include: </w:t>
      </w:r>
    </w:p>
    <w:p w:rsidR="004B01AF"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1) An observation that supply chain network, process, value and product configuration variations exist, and that the extent of </w:t>
      </w:r>
      <w:r w:rsidR="00045C23">
        <w:rPr>
          <w:rFonts w:ascii="Times New Roman" w:hAnsi="Times New Roman" w:cs="Times New Roman"/>
          <w:sz w:val="24"/>
          <w:szCs w:val="24"/>
        </w:rPr>
        <w:t>natural capitals (water)</w:t>
      </w:r>
      <w:r>
        <w:rPr>
          <w:rFonts w:ascii="Times New Roman" w:hAnsi="Times New Roman" w:cs="Times New Roman"/>
          <w:sz w:val="24"/>
          <w:szCs w:val="24"/>
        </w:rPr>
        <w:t xml:space="preserve"> risk is influenced by supply chain design choices in process flow, value structure and product characteristics.</w:t>
      </w:r>
      <w:r w:rsidR="004B01AF">
        <w:rPr>
          <w:rFonts w:ascii="Times New Roman" w:hAnsi="Times New Roman" w:cs="Times New Roman"/>
          <w:sz w:val="24"/>
          <w:szCs w:val="24"/>
        </w:rPr>
        <w:t xml:space="preserve"> </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2) Supply chain collaboration is one of the tools that can applied to manage </w:t>
      </w:r>
      <w:r w:rsidR="00045C23">
        <w:rPr>
          <w:rFonts w:ascii="Times New Roman" w:hAnsi="Times New Roman" w:cs="Times New Roman"/>
          <w:sz w:val="24"/>
          <w:szCs w:val="24"/>
        </w:rPr>
        <w:t>natural capitals supply chain risk</w:t>
      </w:r>
      <w:r>
        <w:rPr>
          <w:rFonts w:ascii="Times New Roman" w:hAnsi="Times New Roman" w:cs="Times New Roman"/>
          <w:sz w:val="24"/>
          <w:szCs w:val="24"/>
        </w:rPr>
        <w:t xml:space="preserve">, however the definition of supply chain collaboration needs to be extended to include a broadened set of stakeholders which share </w:t>
      </w:r>
      <w:r w:rsidR="00045C23">
        <w:rPr>
          <w:rFonts w:ascii="Times New Roman" w:hAnsi="Times New Roman" w:cs="Times New Roman"/>
          <w:sz w:val="24"/>
          <w:szCs w:val="24"/>
        </w:rPr>
        <w:t>“</w:t>
      </w:r>
      <w:r>
        <w:rPr>
          <w:rFonts w:ascii="Times New Roman" w:hAnsi="Times New Roman" w:cs="Times New Roman"/>
          <w:sz w:val="24"/>
          <w:szCs w:val="24"/>
        </w:rPr>
        <w:t>basin risk</w:t>
      </w:r>
      <w:r w:rsidR="00045C23">
        <w:rPr>
          <w:rFonts w:ascii="Times New Roman" w:hAnsi="Times New Roman" w:cs="Times New Roman"/>
          <w:sz w:val="24"/>
          <w:szCs w:val="24"/>
        </w:rPr>
        <w:t>”</w:t>
      </w:r>
      <w:r>
        <w:rPr>
          <w:rFonts w:ascii="Times New Roman" w:hAnsi="Times New Roman" w:cs="Times New Roman"/>
          <w:sz w:val="24"/>
          <w:szCs w:val="24"/>
        </w:rPr>
        <w:t xml:space="preserve"> such as businesses, regulatory agencies and community residents.  </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3) A prototype framework for identifying, evaluating and managing </w:t>
      </w:r>
      <w:r w:rsidR="00045C23">
        <w:rPr>
          <w:rFonts w:ascii="Times New Roman" w:hAnsi="Times New Roman" w:cs="Times New Roman"/>
          <w:sz w:val="24"/>
          <w:szCs w:val="24"/>
        </w:rPr>
        <w:t>natural capitals (water) risk within a supply chain.</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4) A theoretical contribution that suggests whenever </w:t>
      </w:r>
      <w:r w:rsidR="00045C23">
        <w:rPr>
          <w:rFonts w:ascii="Times New Roman" w:hAnsi="Times New Roman" w:cs="Times New Roman"/>
          <w:sz w:val="24"/>
          <w:szCs w:val="24"/>
        </w:rPr>
        <w:t>natural capitals</w:t>
      </w:r>
      <w:r>
        <w:rPr>
          <w:rFonts w:ascii="Times New Roman" w:hAnsi="Times New Roman" w:cs="Times New Roman"/>
          <w:sz w:val="24"/>
          <w:szCs w:val="24"/>
        </w:rPr>
        <w:t xml:space="preserve"> are a factor in supply chain performance, supply chain design needs to incorporate collaboration across an extended network of stakeholders</w:t>
      </w:r>
      <w:r w:rsidR="004B01AF">
        <w:rPr>
          <w:rFonts w:ascii="Times New Roman" w:hAnsi="Times New Roman" w:cs="Times New Roman"/>
          <w:sz w:val="24"/>
          <w:szCs w:val="24"/>
        </w:rPr>
        <w:t>.</w:t>
      </w:r>
    </w:p>
    <w:p w:rsidR="00004C25" w:rsidRDefault="00004C25" w:rsidP="00004C25">
      <w:pPr>
        <w:spacing w:line="240" w:lineRule="auto"/>
        <w:rPr>
          <w:rFonts w:ascii="Times New Roman" w:hAnsi="Times New Roman" w:cs="Times New Roman"/>
          <w:sz w:val="24"/>
          <w:szCs w:val="24"/>
        </w:rPr>
      </w:pPr>
      <w:r>
        <w:rPr>
          <w:rFonts w:ascii="Times New Roman" w:hAnsi="Times New Roman" w:cs="Times New Roman"/>
          <w:sz w:val="24"/>
          <w:szCs w:val="24"/>
        </w:rPr>
        <w:t xml:space="preserve">Further research is required to explore </w:t>
      </w:r>
      <w:r w:rsidR="00045C23">
        <w:rPr>
          <w:rFonts w:ascii="Times New Roman" w:hAnsi="Times New Roman" w:cs="Times New Roman"/>
          <w:sz w:val="24"/>
          <w:szCs w:val="24"/>
        </w:rPr>
        <w:t>additional</w:t>
      </w:r>
      <w:r>
        <w:rPr>
          <w:rFonts w:ascii="Times New Roman" w:hAnsi="Times New Roman" w:cs="Times New Roman"/>
          <w:sz w:val="24"/>
          <w:szCs w:val="24"/>
        </w:rPr>
        <w:t xml:space="preserve"> </w:t>
      </w:r>
      <w:r w:rsidR="00045C23">
        <w:rPr>
          <w:rFonts w:ascii="Times New Roman" w:hAnsi="Times New Roman" w:cs="Times New Roman"/>
          <w:sz w:val="24"/>
          <w:szCs w:val="24"/>
        </w:rPr>
        <w:t>natural capitals risks</w:t>
      </w:r>
      <w:r>
        <w:rPr>
          <w:rFonts w:ascii="Times New Roman" w:hAnsi="Times New Roman" w:cs="Times New Roman"/>
          <w:sz w:val="24"/>
          <w:szCs w:val="24"/>
        </w:rPr>
        <w:t xml:space="preserve"> beyond water stress and across more case study companies.  Sector-level differences also need to be further explored to further develop our understanding natural capital and supply chain theory.</w:t>
      </w:r>
    </w:p>
    <w:p w:rsidR="00B20507" w:rsidRDefault="00B20507" w:rsidP="00004C25">
      <w:pPr>
        <w:pStyle w:val="Heading1"/>
        <w:numPr>
          <w:ilvl w:val="0"/>
          <w:numId w:val="0"/>
        </w:numPr>
        <w:rPr>
          <w:sz w:val="24"/>
        </w:rPr>
      </w:pPr>
      <w:bookmarkStart w:id="10" w:name="_Toc425392410"/>
      <w:r>
        <w:rPr>
          <w:sz w:val="24"/>
        </w:rPr>
        <w:t>About the authors</w:t>
      </w:r>
    </w:p>
    <w:p w:rsidR="00B20507" w:rsidRDefault="00B20507" w:rsidP="00B20507">
      <w:pPr>
        <w:pStyle w:val="Heading1"/>
        <w:numPr>
          <w:ilvl w:val="0"/>
          <w:numId w:val="0"/>
        </w:numPr>
        <w:rPr>
          <w:b w:val="0"/>
          <w:sz w:val="24"/>
        </w:rPr>
      </w:pPr>
      <w:r>
        <w:rPr>
          <w:b w:val="0"/>
          <w:sz w:val="24"/>
        </w:rPr>
        <w:t xml:space="preserve">Mr. </w:t>
      </w:r>
      <w:r w:rsidRPr="00B20507">
        <w:rPr>
          <w:b w:val="0"/>
          <w:sz w:val="24"/>
        </w:rPr>
        <w:t xml:space="preserve">Pavan Manocha is a researcher and </w:t>
      </w:r>
      <w:r w:rsidR="005D2016">
        <w:rPr>
          <w:b w:val="0"/>
          <w:sz w:val="24"/>
        </w:rPr>
        <w:t>industry</w:t>
      </w:r>
      <w:r w:rsidRPr="00B20507">
        <w:rPr>
          <w:b w:val="0"/>
          <w:sz w:val="24"/>
        </w:rPr>
        <w:t xml:space="preserve"> consultant.  He practices at the intersection of information technology, supply chain management and sustainable development, primarily within the energy and process manufacturing industries.  Clients served include, Bp plc, Chevron Corporation, Coca-Cola Company, General Tyre &amp; Rubber, Inc., Lubrizol Corporation, Terra Industries, Inc., Owens Corning, Inc. and Sou</w:t>
      </w:r>
      <w:r>
        <w:rPr>
          <w:b w:val="0"/>
          <w:sz w:val="24"/>
        </w:rPr>
        <w:t xml:space="preserve">th Dakota Wheat Growers, Inc.  </w:t>
      </w:r>
      <w:r w:rsidRPr="00B20507">
        <w:rPr>
          <w:b w:val="0"/>
          <w:sz w:val="24"/>
        </w:rPr>
        <w:t xml:space="preserve">Mr. Manocha holds a B.Sc. (Hons) in Applied Computer Systems, a M.B.A. in International Business, and is a Masters candidate in Sustainability Leadership from the Institute for Sustainability Leadership, </w:t>
      </w:r>
      <w:r>
        <w:rPr>
          <w:b w:val="0"/>
          <w:sz w:val="24"/>
        </w:rPr>
        <w:t xml:space="preserve">Department of Engineering, </w:t>
      </w:r>
      <w:r w:rsidRPr="00B20507">
        <w:rPr>
          <w:b w:val="0"/>
          <w:sz w:val="24"/>
        </w:rPr>
        <w:t>University of Cambridge,</w:t>
      </w:r>
      <w:r>
        <w:rPr>
          <w:b w:val="0"/>
          <w:sz w:val="24"/>
        </w:rPr>
        <w:t xml:space="preserve"> Cambridge,</w:t>
      </w:r>
      <w:r w:rsidRPr="00B20507">
        <w:rPr>
          <w:b w:val="0"/>
          <w:sz w:val="24"/>
        </w:rPr>
        <w:t xml:space="preserve"> UK.</w:t>
      </w:r>
      <w:r w:rsidR="005D2016">
        <w:rPr>
          <w:b w:val="0"/>
          <w:sz w:val="24"/>
        </w:rPr>
        <w:t xml:space="preserve"> Email: </w:t>
      </w:r>
      <w:hyperlink r:id="rId11" w:history="1">
        <w:r w:rsidR="005D2016" w:rsidRPr="00373DCF">
          <w:rPr>
            <w:rStyle w:val="Hyperlink"/>
            <w:b w:val="0"/>
            <w:sz w:val="24"/>
          </w:rPr>
          <w:t>pm532@cam.ac.uk</w:t>
        </w:r>
      </w:hyperlink>
      <w:r w:rsidR="005D2016">
        <w:rPr>
          <w:b w:val="0"/>
          <w:sz w:val="24"/>
        </w:rPr>
        <w:t xml:space="preserve"> </w:t>
      </w:r>
    </w:p>
    <w:p w:rsidR="00B20507" w:rsidRDefault="00B20507" w:rsidP="00B20507">
      <w:pPr>
        <w:pStyle w:val="Heading1"/>
        <w:numPr>
          <w:ilvl w:val="0"/>
          <w:numId w:val="0"/>
        </w:numPr>
        <w:rPr>
          <w:b w:val="0"/>
          <w:sz w:val="24"/>
        </w:rPr>
      </w:pPr>
      <w:r>
        <w:rPr>
          <w:b w:val="0"/>
          <w:sz w:val="24"/>
        </w:rPr>
        <w:t>Dr Mukesh Kumar is a research associate in risk and resilience of global supply chains at the Centre for International Manufacturing, Institute for Manufacturing, Department of Engineering, Univers</w:t>
      </w:r>
      <w:r w:rsidR="005D2016">
        <w:rPr>
          <w:b w:val="0"/>
          <w:sz w:val="24"/>
        </w:rPr>
        <w:t xml:space="preserve">ity of Cambridge, Cambridge, UK. Email: </w:t>
      </w:r>
      <w:hyperlink r:id="rId12" w:history="1">
        <w:r w:rsidR="005D2016" w:rsidRPr="00373DCF">
          <w:rPr>
            <w:rStyle w:val="Hyperlink"/>
            <w:b w:val="0"/>
            <w:sz w:val="24"/>
          </w:rPr>
          <w:t>mk501@cam.ac.uk</w:t>
        </w:r>
      </w:hyperlink>
      <w:r w:rsidR="005D2016">
        <w:rPr>
          <w:b w:val="0"/>
          <w:sz w:val="24"/>
        </w:rPr>
        <w:t xml:space="preserve"> </w:t>
      </w:r>
    </w:p>
    <w:p w:rsidR="00B20507" w:rsidRPr="00B20507" w:rsidRDefault="00B20507" w:rsidP="00B20507">
      <w:pPr>
        <w:pStyle w:val="Heading1"/>
        <w:numPr>
          <w:ilvl w:val="0"/>
          <w:numId w:val="0"/>
        </w:numPr>
        <w:rPr>
          <w:b w:val="0"/>
          <w:sz w:val="24"/>
        </w:rPr>
      </w:pPr>
      <w:r>
        <w:rPr>
          <w:b w:val="0"/>
          <w:sz w:val="24"/>
        </w:rPr>
        <w:t>Dr. Jagjit Singh Srai is the head of the Centre for International Manufacturing, Institute for Manufacturing, Department of Engineering, University of Cambridge, Cambridge, UK.</w:t>
      </w:r>
      <w:r w:rsidR="005D2016">
        <w:rPr>
          <w:b w:val="0"/>
          <w:sz w:val="24"/>
        </w:rPr>
        <w:t xml:space="preserve"> Email: </w:t>
      </w:r>
      <w:hyperlink r:id="rId13" w:history="1">
        <w:r w:rsidR="005D2016" w:rsidRPr="00373DCF">
          <w:rPr>
            <w:rStyle w:val="Hyperlink"/>
            <w:b w:val="0"/>
            <w:sz w:val="24"/>
          </w:rPr>
          <w:t>jss46@cam.ac.uk</w:t>
        </w:r>
      </w:hyperlink>
      <w:r w:rsidR="005D2016">
        <w:rPr>
          <w:b w:val="0"/>
          <w:sz w:val="24"/>
        </w:rPr>
        <w:t xml:space="preserve"> </w:t>
      </w:r>
    </w:p>
    <w:p w:rsidR="004B01AF" w:rsidRDefault="004B01AF" w:rsidP="00004C25">
      <w:pPr>
        <w:pStyle w:val="Heading1"/>
        <w:numPr>
          <w:ilvl w:val="0"/>
          <w:numId w:val="0"/>
        </w:numPr>
        <w:rPr>
          <w:sz w:val="24"/>
        </w:rPr>
      </w:pPr>
    </w:p>
    <w:p w:rsidR="004B01AF" w:rsidRDefault="004B01AF" w:rsidP="00004C25">
      <w:pPr>
        <w:pStyle w:val="Heading1"/>
        <w:numPr>
          <w:ilvl w:val="0"/>
          <w:numId w:val="0"/>
        </w:numPr>
        <w:rPr>
          <w:sz w:val="24"/>
        </w:rPr>
      </w:pPr>
    </w:p>
    <w:p w:rsidR="00004C25" w:rsidRPr="00763B01" w:rsidRDefault="00004C25" w:rsidP="00004C25">
      <w:pPr>
        <w:pStyle w:val="Heading1"/>
        <w:numPr>
          <w:ilvl w:val="0"/>
          <w:numId w:val="0"/>
        </w:numPr>
        <w:rPr>
          <w:sz w:val="24"/>
        </w:rPr>
      </w:pPr>
      <w:r w:rsidRPr="00763B01">
        <w:rPr>
          <w:sz w:val="24"/>
        </w:rPr>
        <w:lastRenderedPageBreak/>
        <w:t>References</w:t>
      </w:r>
      <w:bookmarkEnd w:id="10"/>
    </w:p>
    <w:p w:rsidR="005D5985" w:rsidRPr="004B01AF" w:rsidRDefault="000130C3" w:rsidP="004B01AF">
      <w:pPr>
        <w:shd w:val="clear" w:color="auto" w:fill="FFFFFF"/>
        <w:spacing w:before="100" w:beforeAutospacing="1" w:line="240" w:lineRule="auto"/>
        <w:rPr>
          <w:rFonts w:ascii="Times New Roman" w:eastAsia="Times New Roman" w:hAnsi="Times New Roman" w:cs="Times New Roman"/>
          <w:sz w:val="24"/>
          <w:szCs w:val="24"/>
          <w:lang w:eastAsia="en-GB"/>
        </w:rPr>
      </w:pPr>
      <w:r w:rsidRPr="00B17EC1">
        <w:rPr>
          <w:rFonts w:ascii="Times New Roman" w:hAnsi="Times New Roman" w:cs="Times New Roman"/>
          <w:b/>
          <w:sz w:val="24"/>
          <w:szCs w:val="24"/>
        </w:rPr>
        <w:t>Barton, B; Morgan-Knott, S: (2010</w:t>
      </w:r>
      <w:r w:rsidRPr="00B17EC1">
        <w:rPr>
          <w:rFonts w:ascii="Times New Roman" w:hAnsi="Times New Roman" w:cs="Times New Roman"/>
          <w:sz w:val="24"/>
          <w:szCs w:val="24"/>
        </w:rPr>
        <w:t xml:space="preserve">), MURKY WATERS? Corporate Reporting on Water Risk and Governance, An International Journal of Policy and Administration, p.98. </w:t>
      </w:r>
      <w:r w:rsidRPr="00B17EC1">
        <w:rPr>
          <w:rFonts w:ascii="Times New Roman" w:hAnsi="Times New Roman" w:cs="Times New Roman"/>
          <w:sz w:val="24"/>
          <w:szCs w:val="24"/>
        </w:rPr>
        <w:br/>
      </w:r>
      <w:r w:rsidRPr="00B17EC1">
        <w:rPr>
          <w:rFonts w:ascii="Times New Roman" w:eastAsia="Times New Roman" w:hAnsi="Times New Roman" w:cs="Times New Roman"/>
          <w:b/>
          <w:sz w:val="24"/>
          <w:szCs w:val="24"/>
          <w:lang w:eastAsia="en-GB"/>
        </w:rPr>
        <w:t>Chandra, C; Grabis, J: (2007)</w:t>
      </w:r>
      <w:r w:rsidRPr="00B17EC1">
        <w:rPr>
          <w:rFonts w:ascii="Times New Roman" w:eastAsia="Times New Roman" w:hAnsi="Times New Roman" w:cs="Times New Roman"/>
          <w:sz w:val="24"/>
          <w:szCs w:val="24"/>
          <w:lang w:eastAsia="en-GB"/>
        </w:rPr>
        <w:t xml:space="preserve">, </w:t>
      </w:r>
      <w:r w:rsidRPr="00B17EC1">
        <w:rPr>
          <w:rFonts w:ascii="Times New Roman" w:eastAsia="Times New Roman" w:hAnsi="Times New Roman" w:cs="Times New Roman"/>
          <w:i/>
          <w:iCs/>
          <w:sz w:val="24"/>
          <w:szCs w:val="24"/>
          <w:lang w:eastAsia="en-GB"/>
        </w:rPr>
        <w:t>Supply chain configuration: concepts, solutions, and applications</w:t>
      </w:r>
      <w:r w:rsidRPr="00B17EC1">
        <w:rPr>
          <w:rFonts w:ascii="Times New Roman" w:eastAsia="Times New Roman" w:hAnsi="Times New Roman" w:cs="Times New Roman"/>
          <w:sz w:val="24"/>
          <w:szCs w:val="24"/>
          <w:lang w:eastAsia="en-GB"/>
        </w:rPr>
        <w:t>, Springer Science &amp; Business Media.</w:t>
      </w:r>
      <w:r w:rsidRPr="00B17EC1">
        <w:rPr>
          <w:rFonts w:ascii="Times New Roman" w:hAnsi="Times New Roman" w:cs="Times New Roman"/>
          <w:b/>
          <w:sz w:val="24"/>
          <w:szCs w:val="24"/>
        </w:rPr>
        <w:br/>
        <w:t>IPCC: 2014</w:t>
      </w:r>
      <w:r w:rsidRPr="00B17EC1">
        <w:rPr>
          <w:rFonts w:ascii="Times New Roman" w:hAnsi="Times New Roman" w:cs="Times New Roman"/>
          <w:sz w:val="24"/>
          <w:szCs w:val="24"/>
        </w:rPr>
        <w:t>,</w:t>
      </w:r>
      <w:r w:rsidRPr="00B17EC1">
        <w:rPr>
          <w:rFonts w:ascii="Times New Roman" w:hAnsi="Times New Roman" w:cs="Times New Roman"/>
          <w:b/>
          <w:sz w:val="24"/>
          <w:szCs w:val="24"/>
        </w:rPr>
        <w:t xml:space="preserve"> </w:t>
      </w:r>
      <w:r w:rsidRPr="00B17EC1">
        <w:rPr>
          <w:rFonts w:ascii="Times New Roman" w:hAnsi="Times New Roman" w:cs="Times New Roman"/>
          <w:i/>
          <w:iCs/>
          <w:sz w:val="24"/>
          <w:szCs w:val="24"/>
        </w:rPr>
        <w:t>Climate Change 2014: Impacts, Adaptation and Vulnerability - Contributions of the Working Group II to the Fifth Assessment Report</w:t>
      </w:r>
      <w:r w:rsidRPr="00B17EC1">
        <w:rPr>
          <w:rFonts w:ascii="Times New Roman" w:hAnsi="Times New Roman" w:cs="Times New Roman"/>
          <w:sz w:val="24"/>
          <w:szCs w:val="24"/>
        </w:rPr>
        <w:t>, pp.1–32.</w:t>
      </w:r>
      <w:r w:rsidRPr="00B17EC1">
        <w:rPr>
          <w:rFonts w:ascii="Times New Roman" w:hAnsi="Times New Roman" w:cs="Times New Roman"/>
          <w:b/>
          <w:sz w:val="24"/>
          <w:szCs w:val="24"/>
        </w:rPr>
        <w:br/>
        <w:t>Kumar, M; Srai, J.S: (2014)</w:t>
      </w:r>
      <w:r w:rsidRPr="00B17EC1">
        <w:rPr>
          <w:rFonts w:ascii="Times New Roman" w:hAnsi="Times New Roman" w:cs="Times New Roman"/>
          <w:sz w:val="24"/>
          <w:szCs w:val="24"/>
        </w:rPr>
        <w:t xml:space="preserve">, </w:t>
      </w:r>
      <w:r w:rsidRPr="00B17EC1">
        <w:rPr>
          <w:rFonts w:ascii="Times New Roman" w:hAnsi="Times New Roman" w:cs="Times New Roman"/>
          <w:i/>
          <w:sz w:val="24"/>
          <w:szCs w:val="24"/>
        </w:rPr>
        <w:t>Risk and resilience</w:t>
      </w:r>
      <w:r w:rsidRPr="00B17EC1">
        <w:rPr>
          <w:rFonts w:ascii="Times New Roman" w:hAnsi="Times New Roman" w:cs="Times New Roman"/>
          <w:sz w:val="24"/>
          <w:szCs w:val="24"/>
        </w:rPr>
        <w:t xml:space="preserve">. In J. S. Srai &amp; P. Christodoulou (Eds.), </w:t>
      </w:r>
      <w:r w:rsidRPr="00B17EC1">
        <w:rPr>
          <w:rFonts w:ascii="Times New Roman" w:hAnsi="Times New Roman" w:cs="Times New Roman"/>
          <w:i/>
          <w:iCs/>
          <w:sz w:val="24"/>
          <w:szCs w:val="24"/>
        </w:rPr>
        <w:t>Capturing value from global networks: Strategic approaches to configuring international production, supply and service operations</w:t>
      </w:r>
      <w:r w:rsidRPr="00B17EC1">
        <w:rPr>
          <w:rFonts w:ascii="Times New Roman" w:hAnsi="Times New Roman" w:cs="Times New Roman"/>
          <w:sz w:val="24"/>
          <w:szCs w:val="24"/>
        </w:rPr>
        <w:t> (pp. 54-56). Cambridge: IfM.</w:t>
      </w:r>
      <w:r w:rsidRPr="00B17EC1">
        <w:rPr>
          <w:rFonts w:ascii="Times New Roman" w:hAnsi="Times New Roman" w:cs="Times New Roman"/>
          <w:b/>
          <w:sz w:val="24"/>
          <w:szCs w:val="24"/>
        </w:rPr>
        <w:br/>
      </w:r>
      <w:r w:rsidRPr="00B17EC1">
        <w:rPr>
          <w:rFonts w:ascii="Times New Roman" w:hAnsi="Times New Roman" w:cs="Times New Roman"/>
          <w:b/>
          <w:sz w:val="24"/>
          <w:szCs w:val="24"/>
          <w:lang w:val="en-US"/>
        </w:rPr>
        <w:t>Kumar, M; Srai, J.S: (2015)</w:t>
      </w:r>
      <w:r w:rsidRPr="00B17EC1">
        <w:rPr>
          <w:rFonts w:ascii="Times New Roman" w:hAnsi="Times New Roman" w:cs="Times New Roman"/>
          <w:sz w:val="24"/>
          <w:szCs w:val="24"/>
          <w:lang w:val="en-US"/>
        </w:rPr>
        <w:t>, Risk and resilience of supply chains: Paper under review</w:t>
      </w:r>
      <w:r w:rsidRPr="00B17EC1">
        <w:rPr>
          <w:rFonts w:ascii="Times New Roman" w:hAnsi="Times New Roman" w:cs="Times New Roman"/>
          <w:b/>
          <w:sz w:val="24"/>
          <w:szCs w:val="24"/>
        </w:rPr>
        <w:br/>
        <w:t>Morrison, J. I; Gleick, P.H: (2004)</w:t>
      </w:r>
      <w:r w:rsidRPr="00B17EC1">
        <w:rPr>
          <w:rFonts w:ascii="Times New Roman" w:hAnsi="Times New Roman" w:cs="Times New Roman"/>
          <w:sz w:val="24"/>
          <w:szCs w:val="24"/>
        </w:rPr>
        <w:t>,</w:t>
      </w:r>
      <w:r w:rsidRPr="00B17EC1">
        <w:rPr>
          <w:rFonts w:ascii="Times New Roman" w:hAnsi="Times New Roman" w:cs="Times New Roman"/>
          <w:b/>
          <w:sz w:val="24"/>
          <w:szCs w:val="24"/>
        </w:rPr>
        <w:t xml:space="preserve"> </w:t>
      </w:r>
      <w:r w:rsidRPr="00B17EC1">
        <w:rPr>
          <w:rFonts w:ascii="Times New Roman" w:hAnsi="Times New Roman" w:cs="Times New Roman"/>
          <w:i/>
          <w:sz w:val="24"/>
          <w:szCs w:val="24"/>
        </w:rPr>
        <w:t>Freshwater resources: managing the risks facing the private sector</w:t>
      </w:r>
      <w:r w:rsidRPr="00B17EC1">
        <w:rPr>
          <w:rFonts w:ascii="Times New Roman" w:hAnsi="Times New Roman" w:cs="Times New Roman"/>
          <w:sz w:val="24"/>
          <w:szCs w:val="24"/>
        </w:rPr>
        <w:t>, Pacific Institute for Studies in Development, Environment, and Security.</w:t>
      </w:r>
      <w:r w:rsidRPr="00B17EC1">
        <w:rPr>
          <w:rFonts w:ascii="Times New Roman" w:hAnsi="Times New Roman" w:cs="Times New Roman"/>
          <w:b/>
          <w:sz w:val="24"/>
          <w:szCs w:val="24"/>
        </w:rPr>
        <w:br/>
      </w:r>
      <w:r w:rsidRPr="00B17EC1">
        <w:rPr>
          <w:rFonts w:ascii="Times New Roman" w:eastAsia="Times New Roman" w:hAnsi="Times New Roman" w:cs="Times New Roman"/>
          <w:b/>
          <w:sz w:val="24"/>
          <w:szCs w:val="24"/>
          <w:lang w:eastAsia="en-GB"/>
        </w:rPr>
        <w:t>Porritt, J: (2007)</w:t>
      </w:r>
      <w:r w:rsidRPr="00B17EC1">
        <w:rPr>
          <w:rFonts w:ascii="Times New Roman" w:eastAsia="Times New Roman" w:hAnsi="Times New Roman" w:cs="Times New Roman"/>
          <w:sz w:val="24"/>
          <w:szCs w:val="24"/>
          <w:lang w:eastAsia="en-GB"/>
        </w:rPr>
        <w:t xml:space="preserve">, </w:t>
      </w:r>
      <w:r w:rsidRPr="00B17EC1">
        <w:rPr>
          <w:rFonts w:ascii="Times New Roman" w:eastAsia="Times New Roman" w:hAnsi="Times New Roman" w:cs="Times New Roman"/>
          <w:i/>
          <w:iCs/>
          <w:sz w:val="24"/>
          <w:szCs w:val="24"/>
          <w:lang w:eastAsia="en-GB"/>
        </w:rPr>
        <w:t>Capitalism as if the World Matters</w:t>
      </w:r>
      <w:r w:rsidRPr="00B17EC1">
        <w:rPr>
          <w:rFonts w:ascii="Times New Roman" w:eastAsia="Times New Roman" w:hAnsi="Times New Roman" w:cs="Times New Roman"/>
          <w:sz w:val="24"/>
          <w:szCs w:val="24"/>
          <w:lang w:eastAsia="en-GB"/>
        </w:rPr>
        <w:t>, Earthscan.</w:t>
      </w:r>
      <w:r w:rsidRPr="00B17EC1">
        <w:rPr>
          <w:rFonts w:ascii="Times New Roman" w:hAnsi="Times New Roman" w:cs="Times New Roman"/>
          <w:b/>
          <w:sz w:val="24"/>
          <w:szCs w:val="24"/>
        </w:rPr>
        <w:br/>
      </w:r>
      <w:r w:rsidRPr="00B17EC1">
        <w:rPr>
          <w:rFonts w:ascii="Times New Roman" w:hAnsi="Times New Roman" w:cs="Times New Roman"/>
          <w:b/>
          <w:sz w:val="24"/>
        </w:rPr>
        <w:t>Postel, S.L: (2000)</w:t>
      </w:r>
      <w:r w:rsidRPr="00B17EC1">
        <w:rPr>
          <w:rFonts w:ascii="Times New Roman" w:hAnsi="Times New Roman" w:cs="Times New Roman"/>
          <w:sz w:val="24"/>
        </w:rPr>
        <w:t xml:space="preserve">, </w:t>
      </w:r>
      <w:r w:rsidRPr="00B17EC1">
        <w:rPr>
          <w:rFonts w:ascii="Times New Roman" w:hAnsi="Times New Roman" w:cs="Times New Roman"/>
          <w:i/>
          <w:sz w:val="24"/>
        </w:rPr>
        <w:t>Entering an Era of Water Scarcity: The Challenges Ahead</w:t>
      </w:r>
      <w:r w:rsidRPr="00B17EC1">
        <w:rPr>
          <w:rFonts w:ascii="Times New Roman" w:hAnsi="Times New Roman" w:cs="Times New Roman"/>
          <w:sz w:val="24"/>
        </w:rPr>
        <w:t>, Ecological Applications 10:941–948</w:t>
      </w:r>
      <w:r w:rsidRPr="00B17EC1">
        <w:rPr>
          <w:rFonts w:ascii="Times New Roman" w:hAnsi="Times New Roman" w:cs="Times New Roman"/>
          <w:b/>
          <w:sz w:val="24"/>
          <w:szCs w:val="24"/>
        </w:rPr>
        <w:br/>
        <w:t>Sarni, W: (2011)</w:t>
      </w:r>
      <w:r w:rsidRPr="00B17EC1">
        <w:rPr>
          <w:rFonts w:ascii="Times New Roman" w:hAnsi="Times New Roman" w:cs="Times New Roman"/>
          <w:sz w:val="24"/>
          <w:szCs w:val="24"/>
        </w:rPr>
        <w:t xml:space="preserve">, </w:t>
      </w:r>
      <w:r w:rsidRPr="00B17EC1">
        <w:rPr>
          <w:rFonts w:ascii="Times New Roman" w:hAnsi="Times New Roman" w:cs="Times New Roman"/>
          <w:i/>
          <w:sz w:val="24"/>
          <w:szCs w:val="24"/>
        </w:rPr>
        <w:t>Corporate Water Strategies</w:t>
      </w:r>
      <w:r w:rsidRPr="00B17EC1">
        <w:rPr>
          <w:rFonts w:ascii="Times New Roman" w:hAnsi="Times New Roman" w:cs="Times New Roman"/>
          <w:sz w:val="24"/>
          <w:szCs w:val="24"/>
        </w:rPr>
        <w:t>, Earthscan.</w:t>
      </w:r>
      <w:r w:rsidRPr="00B17EC1">
        <w:rPr>
          <w:rFonts w:ascii="Times New Roman" w:hAnsi="Times New Roman" w:cs="Times New Roman"/>
          <w:b/>
          <w:sz w:val="24"/>
          <w:szCs w:val="24"/>
        </w:rPr>
        <w:br/>
      </w:r>
      <w:r w:rsidRPr="00B17EC1">
        <w:rPr>
          <w:rFonts w:ascii="Times New Roman" w:hAnsi="Times New Roman" w:cs="Times New Roman"/>
          <w:b/>
          <w:sz w:val="24"/>
        </w:rPr>
        <w:t>Srai, J.S; Gregory, M: (2008)</w:t>
      </w:r>
      <w:r w:rsidRPr="00B17EC1">
        <w:rPr>
          <w:rFonts w:ascii="Times New Roman" w:hAnsi="Times New Roman" w:cs="Times New Roman"/>
          <w:sz w:val="24"/>
        </w:rPr>
        <w:t xml:space="preserve">, </w:t>
      </w:r>
      <w:r w:rsidRPr="00B17EC1">
        <w:rPr>
          <w:rFonts w:ascii="Times New Roman" w:hAnsi="Times New Roman" w:cs="Times New Roman"/>
          <w:i/>
          <w:sz w:val="24"/>
        </w:rPr>
        <w:t>A Supply Network Configuration Perspective on International Supply Chain Development</w:t>
      </w:r>
      <w:r w:rsidRPr="00B17EC1">
        <w:rPr>
          <w:rFonts w:ascii="Times New Roman" w:hAnsi="Times New Roman" w:cs="Times New Roman"/>
          <w:sz w:val="24"/>
        </w:rPr>
        <w:t>, International Journal of Operations &amp; Production Management, Vol. 28. No. 5, pp 386-411.</w:t>
      </w:r>
      <w:r w:rsidRPr="00B17EC1">
        <w:rPr>
          <w:rFonts w:ascii="Times New Roman" w:hAnsi="Times New Roman" w:cs="Times New Roman"/>
          <w:b/>
          <w:sz w:val="24"/>
          <w:szCs w:val="24"/>
        </w:rPr>
        <w:br/>
      </w:r>
      <w:r w:rsidRPr="00B17EC1">
        <w:rPr>
          <w:rFonts w:ascii="Times New Roman" w:eastAsia="Times New Roman" w:hAnsi="Times New Roman" w:cs="Times New Roman"/>
          <w:b/>
          <w:sz w:val="24"/>
          <w:szCs w:val="24"/>
          <w:lang w:eastAsia="en-GB"/>
        </w:rPr>
        <w:t xml:space="preserve">Wine Institute: (2015), </w:t>
      </w:r>
      <w:hyperlink r:id="rId14" w:history="1">
        <w:r w:rsidRPr="00B17EC1">
          <w:rPr>
            <w:rStyle w:val="Hyperlink"/>
            <w:rFonts w:ascii="Times New Roman" w:eastAsia="Times New Roman" w:hAnsi="Times New Roman" w:cs="Times New Roman"/>
            <w:sz w:val="24"/>
            <w:szCs w:val="24"/>
            <w:lang w:eastAsia="en-GB"/>
          </w:rPr>
          <w:t>http://www.wineinstitute.org/files/AVF-Guide.pdf</w:t>
        </w:r>
      </w:hyperlink>
      <w:r w:rsidRPr="00B17EC1">
        <w:rPr>
          <w:rFonts w:ascii="Times New Roman" w:eastAsia="Times New Roman" w:hAnsi="Times New Roman" w:cs="Times New Roman"/>
          <w:sz w:val="24"/>
          <w:szCs w:val="24"/>
          <w:lang w:eastAsia="en-GB"/>
        </w:rPr>
        <w:t xml:space="preserve">  last accessed 1-July, 2015.</w:t>
      </w:r>
      <w:r w:rsidRPr="00B17EC1">
        <w:rPr>
          <w:rFonts w:ascii="Times New Roman" w:hAnsi="Times New Roman" w:cs="Times New Roman"/>
          <w:b/>
          <w:sz w:val="24"/>
          <w:szCs w:val="24"/>
        </w:rPr>
        <w:br/>
      </w:r>
      <w:r w:rsidRPr="00B17EC1">
        <w:rPr>
          <w:rFonts w:ascii="Times New Roman" w:eastAsia="Times New Roman" w:hAnsi="Times New Roman" w:cs="Times New Roman"/>
          <w:b/>
          <w:sz w:val="24"/>
          <w:szCs w:val="24"/>
          <w:lang w:eastAsia="en-GB"/>
        </w:rPr>
        <w:t>Yin, R.K: (2003),</w:t>
      </w:r>
      <w:r w:rsidRPr="00B17EC1">
        <w:rPr>
          <w:rFonts w:ascii="Times New Roman" w:eastAsia="Times New Roman" w:hAnsi="Times New Roman" w:cs="Times New Roman"/>
          <w:sz w:val="24"/>
          <w:szCs w:val="24"/>
          <w:lang w:eastAsia="en-GB"/>
        </w:rPr>
        <w:t xml:space="preserve"> Case study research: Design and methods, Sage Publications, Inc, 5, 11.</w:t>
      </w:r>
    </w:p>
    <w:sectPr w:rsidR="005D5985" w:rsidRPr="004B01AF" w:rsidSect="005D3B83">
      <w:footerReference w:type="default" r:id="rId15"/>
      <w:pgSz w:w="11906" w:h="16838" w:code="9"/>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5382" w:rsidRDefault="00AB5382" w:rsidP="00694468">
      <w:pPr>
        <w:spacing w:after="0" w:line="240" w:lineRule="auto"/>
      </w:pPr>
      <w:r>
        <w:separator/>
      </w:r>
    </w:p>
  </w:endnote>
  <w:endnote w:type="continuationSeparator" w:id="0">
    <w:p w:rsidR="00AB5382" w:rsidRDefault="00AB5382" w:rsidP="006944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563116"/>
      <w:docPartObj>
        <w:docPartGallery w:val="Page Numbers (Bottom of Page)"/>
        <w:docPartUnique/>
      </w:docPartObj>
    </w:sdtPr>
    <w:sdtEndPr>
      <w:rPr>
        <w:noProof/>
      </w:rPr>
    </w:sdtEndPr>
    <w:sdtContent>
      <w:p w:rsidR="002E0FF7" w:rsidRDefault="002E0FF7">
        <w:pPr>
          <w:pStyle w:val="Footer"/>
          <w:jc w:val="right"/>
        </w:pPr>
        <w:r>
          <w:fldChar w:fldCharType="begin"/>
        </w:r>
        <w:r>
          <w:instrText xml:space="preserve"> PAGE  \* Arabic  \* MERGEFORMAT </w:instrText>
        </w:r>
        <w:r>
          <w:fldChar w:fldCharType="separate"/>
        </w:r>
        <w:r w:rsidR="0003006B">
          <w:rPr>
            <w:noProof/>
          </w:rPr>
          <w:t>12</w:t>
        </w:r>
        <w:r>
          <w:fldChar w:fldCharType="end"/>
        </w:r>
      </w:p>
    </w:sdtContent>
  </w:sdt>
  <w:p w:rsidR="002E0FF7" w:rsidRDefault="002E0FF7" w:rsidP="005D3B83">
    <w:pPr>
      <w:pStyle w:val="Footer"/>
      <w:ind w:left="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5382" w:rsidRDefault="00AB5382" w:rsidP="00694468">
      <w:pPr>
        <w:spacing w:after="0" w:line="240" w:lineRule="auto"/>
      </w:pPr>
      <w:r>
        <w:separator/>
      </w:r>
    </w:p>
  </w:footnote>
  <w:footnote w:type="continuationSeparator" w:id="0">
    <w:p w:rsidR="00AB5382" w:rsidRDefault="00AB5382" w:rsidP="006944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97087"/>
    <w:multiLevelType w:val="hybridMultilevel"/>
    <w:tmpl w:val="99B891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6577A3F"/>
    <w:multiLevelType w:val="hybridMultilevel"/>
    <w:tmpl w:val="DD5E1FE4"/>
    <w:lvl w:ilvl="0" w:tplc="5234FF04">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B0F67B6"/>
    <w:multiLevelType w:val="hybridMultilevel"/>
    <w:tmpl w:val="153AC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440A1E"/>
    <w:multiLevelType w:val="hybridMultilevel"/>
    <w:tmpl w:val="D460E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F68306E"/>
    <w:multiLevelType w:val="hybridMultilevel"/>
    <w:tmpl w:val="768653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01E01EA"/>
    <w:multiLevelType w:val="hybridMultilevel"/>
    <w:tmpl w:val="5830A6E6"/>
    <w:lvl w:ilvl="0" w:tplc="F3688FB6">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3460A2A"/>
    <w:multiLevelType w:val="hybridMultilevel"/>
    <w:tmpl w:val="3672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5273CAC"/>
    <w:multiLevelType w:val="hybridMultilevel"/>
    <w:tmpl w:val="7090E782"/>
    <w:lvl w:ilvl="0" w:tplc="0A64F722">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9952996"/>
    <w:multiLevelType w:val="hybridMultilevel"/>
    <w:tmpl w:val="4DC4C682"/>
    <w:lvl w:ilvl="0" w:tplc="88A840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A0B4691"/>
    <w:multiLevelType w:val="hybridMultilevel"/>
    <w:tmpl w:val="BE845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F2C151E"/>
    <w:multiLevelType w:val="hybridMultilevel"/>
    <w:tmpl w:val="A1E681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37B6103"/>
    <w:multiLevelType w:val="hybridMultilevel"/>
    <w:tmpl w:val="F612B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4B60EE6"/>
    <w:multiLevelType w:val="hybridMultilevel"/>
    <w:tmpl w:val="7CB4A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4C55B34"/>
    <w:multiLevelType w:val="hybridMultilevel"/>
    <w:tmpl w:val="F6829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58E764A"/>
    <w:multiLevelType w:val="hybridMultilevel"/>
    <w:tmpl w:val="0876D440"/>
    <w:lvl w:ilvl="0" w:tplc="3224EC20">
      <w:start w:val="960"/>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28F62C06"/>
    <w:multiLevelType w:val="hybridMultilevel"/>
    <w:tmpl w:val="250E02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2D6B1541"/>
    <w:multiLevelType w:val="hybridMultilevel"/>
    <w:tmpl w:val="1D64CA24"/>
    <w:lvl w:ilvl="0" w:tplc="F3688FB6">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DF70A46"/>
    <w:multiLevelType w:val="hybridMultilevel"/>
    <w:tmpl w:val="B23AF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E9B3F9A"/>
    <w:multiLevelType w:val="hybridMultilevel"/>
    <w:tmpl w:val="72FA8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2EE8427F"/>
    <w:multiLevelType w:val="hybridMultilevel"/>
    <w:tmpl w:val="686450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318043E0"/>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1">
    <w:nsid w:val="3BB13602"/>
    <w:multiLevelType w:val="hybridMultilevel"/>
    <w:tmpl w:val="0E38CD56"/>
    <w:lvl w:ilvl="0" w:tplc="CFF8F052">
      <w:start w:val="960"/>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3C537816"/>
    <w:multiLevelType w:val="hybridMultilevel"/>
    <w:tmpl w:val="FF4A50A6"/>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3DC91056"/>
    <w:multiLevelType w:val="hybridMultilevel"/>
    <w:tmpl w:val="CF709276"/>
    <w:lvl w:ilvl="0" w:tplc="5ABC4080">
      <w:numFmt w:val="bullet"/>
      <w:lvlText w:val="•"/>
      <w:lvlJc w:val="left"/>
      <w:pPr>
        <w:ind w:left="1296" w:hanging="360"/>
      </w:pPr>
      <w:rPr>
        <w:rFonts w:ascii="Calibri" w:eastAsiaTheme="minorHAnsi" w:hAnsi="Calibri" w:cstheme="minorBidi"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24">
    <w:nsid w:val="46324038"/>
    <w:multiLevelType w:val="hybridMultilevel"/>
    <w:tmpl w:val="E264C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78F740F"/>
    <w:multiLevelType w:val="hybridMultilevel"/>
    <w:tmpl w:val="70E2E7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49DA6DEA"/>
    <w:multiLevelType w:val="hybridMultilevel"/>
    <w:tmpl w:val="9FEA58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4AF432CA"/>
    <w:multiLevelType w:val="hybridMultilevel"/>
    <w:tmpl w:val="78642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BA653ED"/>
    <w:multiLevelType w:val="hybridMultilevel"/>
    <w:tmpl w:val="EA94CF76"/>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7B74301"/>
    <w:multiLevelType w:val="hybridMultilevel"/>
    <w:tmpl w:val="968C187C"/>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649E5C6A"/>
    <w:multiLevelType w:val="hybridMultilevel"/>
    <w:tmpl w:val="0BC6F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64A6709A"/>
    <w:multiLevelType w:val="hybridMultilevel"/>
    <w:tmpl w:val="21D07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654D121F"/>
    <w:multiLevelType w:val="hybridMultilevel"/>
    <w:tmpl w:val="DB3400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68247C93"/>
    <w:multiLevelType w:val="hybridMultilevel"/>
    <w:tmpl w:val="B70CE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8A43C23"/>
    <w:multiLevelType w:val="hybridMultilevel"/>
    <w:tmpl w:val="0C3236CE"/>
    <w:lvl w:ilvl="0" w:tplc="555E6696">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A9F2C2F"/>
    <w:multiLevelType w:val="hybridMultilevel"/>
    <w:tmpl w:val="88DA7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DF64958"/>
    <w:multiLevelType w:val="hybridMultilevel"/>
    <w:tmpl w:val="DA58DF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6EE22DA3"/>
    <w:multiLevelType w:val="hybridMultilevel"/>
    <w:tmpl w:val="116E0A94"/>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736828AA"/>
    <w:multiLevelType w:val="hybridMultilevel"/>
    <w:tmpl w:val="5AEED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47C13BE"/>
    <w:multiLevelType w:val="hybridMultilevel"/>
    <w:tmpl w:val="C3AE642E"/>
    <w:lvl w:ilvl="0" w:tplc="F3688FB6">
      <w:numFmt w:val="bullet"/>
      <w:lvlText w:val="•"/>
      <w:lvlJc w:val="left"/>
      <w:pPr>
        <w:ind w:left="360" w:hanging="360"/>
      </w:pPr>
      <w:rPr>
        <w:rFonts w:ascii="Times New Roman" w:eastAsiaTheme="minorHAnsi"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74DD19CF"/>
    <w:multiLevelType w:val="hybridMultilevel"/>
    <w:tmpl w:val="BF32825C"/>
    <w:lvl w:ilvl="0" w:tplc="5ABC408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FC15340"/>
    <w:multiLevelType w:val="hybridMultilevel"/>
    <w:tmpl w:val="462A49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5"/>
  </w:num>
  <w:num w:numId="2">
    <w:abstractNumId w:val="7"/>
  </w:num>
  <w:num w:numId="3">
    <w:abstractNumId w:val="37"/>
  </w:num>
  <w:num w:numId="4">
    <w:abstractNumId w:val="40"/>
  </w:num>
  <w:num w:numId="5">
    <w:abstractNumId w:val="23"/>
  </w:num>
  <w:num w:numId="6">
    <w:abstractNumId w:val="39"/>
  </w:num>
  <w:num w:numId="7">
    <w:abstractNumId w:val="16"/>
  </w:num>
  <w:num w:numId="8">
    <w:abstractNumId w:val="5"/>
  </w:num>
  <w:num w:numId="9">
    <w:abstractNumId w:val="32"/>
  </w:num>
  <w:num w:numId="10">
    <w:abstractNumId w:val="1"/>
  </w:num>
  <w:num w:numId="11">
    <w:abstractNumId w:val="28"/>
  </w:num>
  <w:num w:numId="12">
    <w:abstractNumId w:val="24"/>
  </w:num>
  <w:num w:numId="13">
    <w:abstractNumId w:val="30"/>
  </w:num>
  <w:num w:numId="14">
    <w:abstractNumId w:val="21"/>
  </w:num>
  <w:num w:numId="15">
    <w:abstractNumId w:val="14"/>
  </w:num>
  <w:num w:numId="16">
    <w:abstractNumId w:val="19"/>
  </w:num>
  <w:num w:numId="17">
    <w:abstractNumId w:val="3"/>
  </w:num>
  <w:num w:numId="18">
    <w:abstractNumId w:val="33"/>
  </w:num>
  <w:num w:numId="19">
    <w:abstractNumId w:val="26"/>
  </w:num>
  <w:num w:numId="20">
    <w:abstractNumId w:val="36"/>
  </w:num>
  <w:num w:numId="21">
    <w:abstractNumId w:val="25"/>
  </w:num>
  <w:num w:numId="22">
    <w:abstractNumId w:val="41"/>
  </w:num>
  <w:num w:numId="23">
    <w:abstractNumId w:val="18"/>
  </w:num>
  <w:num w:numId="24">
    <w:abstractNumId w:val="10"/>
  </w:num>
  <w:num w:numId="25">
    <w:abstractNumId w:val="4"/>
  </w:num>
  <w:num w:numId="26">
    <w:abstractNumId w:val="12"/>
  </w:num>
  <w:num w:numId="27">
    <w:abstractNumId w:val="13"/>
  </w:num>
  <w:num w:numId="28">
    <w:abstractNumId w:val="35"/>
  </w:num>
  <w:num w:numId="29">
    <w:abstractNumId w:val="9"/>
  </w:num>
  <w:num w:numId="30">
    <w:abstractNumId w:val="20"/>
  </w:num>
  <w:num w:numId="31">
    <w:abstractNumId w:val="29"/>
  </w:num>
  <w:num w:numId="32">
    <w:abstractNumId w:val="22"/>
  </w:num>
  <w:num w:numId="33">
    <w:abstractNumId w:val="2"/>
  </w:num>
  <w:num w:numId="34">
    <w:abstractNumId w:val="34"/>
  </w:num>
  <w:num w:numId="35">
    <w:abstractNumId w:val="0"/>
  </w:num>
  <w:num w:numId="36">
    <w:abstractNumId w:val="11"/>
  </w:num>
  <w:num w:numId="37">
    <w:abstractNumId w:val="17"/>
  </w:num>
  <w:num w:numId="38">
    <w:abstractNumId w:val="31"/>
  </w:num>
  <w:num w:numId="39">
    <w:abstractNumId w:val="38"/>
  </w:num>
  <w:num w:numId="40">
    <w:abstractNumId w:val="6"/>
  </w:num>
  <w:num w:numId="41">
    <w:abstractNumId w:val="8"/>
  </w:num>
  <w:num w:numId="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85A"/>
    <w:rsid w:val="000003A0"/>
    <w:rsid w:val="00004C25"/>
    <w:rsid w:val="000106AF"/>
    <w:rsid w:val="000130C3"/>
    <w:rsid w:val="000132D3"/>
    <w:rsid w:val="000144FB"/>
    <w:rsid w:val="00015385"/>
    <w:rsid w:val="00015C16"/>
    <w:rsid w:val="00016DC2"/>
    <w:rsid w:val="0002000D"/>
    <w:rsid w:val="00020E05"/>
    <w:rsid w:val="00021227"/>
    <w:rsid w:val="00022A34"/>
    <w:rsid w:val="00023F34"/>
    <w:rsid w:val="000272A3"/>
    <w:rsid w:val="0003006B"/>
    <w:rsid w:val="00033B6E"/>
    <w:rsid w:val="00035051"/>
    <w:rsid w:val="000368B3"/>
    <w:rsid w:val="00036BCA"/>
    <w:rsid w:val="00042AD9"/>
    <w:rsid w:val="00045759"/>
    <w:rsid w:val="00045C23"/>
    <w:rsid w:val="0005048E"/>
    <w:rsid w:val="00061FB9"/>
    <w:rsid w:val="000633C8"/>
    <w:rsid w:val="00063A68"/>
    <w:rsid w:val="00070667"/>
    <w:rsid w:val="000716EF"/>
    <w:rsid w:val="00076AC0"/>
    <w:rsid w:val="00081572"/>
    <w:rsid w:val="000840E8"/>
    <w:rsid w:val="00087834"/>
    <w:rsid w:val="00091793"/>
    <w:rsid w:val="00091FF2"/>
    <w:rsid w:val="00094E56"/>
    <w:rsid w:val="00094F7C"/>
    <w:rsid w:val="000A18B6"/>
    <w:rsid w:val="000A18C8"/>
    <w:rsid w:val="000A1FBE"/>
    <w:rsid w:val="000A32A2"/>
    <w:rsid w:val="000A7C0B"/>
    <w:rsid w:val="000B23F5"/>
    <w:rsid w:val="000B7EB8"/>
    <w:rsid w:val="000C0DBC"/>
    <w:rsid w:val="000C19C5"/>
    <w:rsid w:val="000C2C44"/>
    <w:rsid w:val="000C7816"/>
    <w:rsid w:val="000D12DE"/>
    <w:rsid w:val="000D133E"/>
    <w:rsid w:val="000D337B"/>
    <w:rsid w:val="000D5032"/>
    <w:rsid w:val="000E0383"/>
    <w:rsid w:val="000E0902"/>
    <w:rsid w:val="000E5ADC"/>
    <w:rsid w:val="000E7175"/>
    <w:rsid w:val="000F62F2"/>
    <w:rsid w:val="00107019"/>
    <w:rsid w:val="00114014"/>
    <w:rsid w:val="00116A3F"/>
    <w:rsid w:val="00117808"/>
    <w:rsid w:val="001241A5"/>
    <w:rsid w:val="001242FA"/>
    <w:rsid w:val="00125D7B"/>
    <w:rsid w:val="0012602C"/>
    <w:rsid w:val="00127220"/>
    <w:rsid w:val="001335DA"/>
    <w:rsid w:val="00133D6E"/>
    <w:rsid w:val="00135A20"/>
    <w:rsid w:val="00137BD2"/>
    <w:rsid w:val="0014049E"/>
    <w:rsid w:val="00142445"/>
    <w:rsid w:val="00143EE1"/>
    <w:rsid w:val="00144846"/>
    <w:rsid w:val="00147058"/>
    <w:rsid w:val="00152007"/>
    <w:rsid w:val="001574C1"/>
    <w:rsid w:val="00173298"/>
    <w:rsid w:val="001741E5"/>
    <w:rsid w:val="001748CB"/>
    <w:rsid w:val="00187471"/>
    <w:rsid w:val="00194A1E"/>
    <w:rsid w:val="0019562E"/>
    <w:rsid w:val="0019584B"/>
    <w:rsid w:val="00195EAC"/>
    <w:rsid w:val="001B1462"/>
    <w:rsid w:val="001B24FB"/>
    <w:rsid w:val="001B74D0"/>
    <w:rsid w:val="001C4AAB"/>
    <w:rsid w:val="001C4DE7"/>
    <w:rsid w:val="001C6A49"/>
    <w:rsid w:val="001D0721"/>
    <w:rsid w:val="001D1AA9"/>
    <w:rsid w:val="001D216A"/>
    <w:rsid w:val="001D3B75"/>
    <w:rsid w:val="001D57D8"/>
    <w:rsid w:val="001D7340"/>
    <w:rsid w:val="001D7669"/>
    <w:rsid w:val="001E53F5"/>
    <w:rsid w:val="001F494C"/>
    <w:rsid w:val="001F5A6F"/>
    <w:rsid w:val="001F6B3A"/>
    <w:rsid w:val="001F77DD"/>
    <w:rsid w:val="001F7F24"/>
    <w:rsid w:val="00200281"/>
    <w:rsid w:val="002018B3"/>
    <w:rsid w:val="0020311B"/>
    <w:rsid w:val="00203618"/>
    <w:rsid w:val="002037F7"/>
    <w:rsid w:val="002070D0"/>
    <w:rsid w:val="00207E44"/>
    <w:rsid w:val="002114B3"/>
    <w:rsid w:val="002124E3"/>
    <w:rsid w:val="00212702"/>
    <w:rsid w:val="00213931"/>
    <w:rsid w:val="002144FE"/>
    <w:rsid w:val="00214D15"/>
    <w:rsid w:val="00214F8B"/>
    <w:rsid w:val="00216C72"/>
    <w:rsid w:val="00220838"/>
    <w:rsid w:val="00220B27"/>
    <w:rsid w:val="00222BDC"/>
    <w:rsid w:val="002245A9"/>
    <w:rsid w:val="0022488D"/>
    <w:rsid w:val="002253EC"/>
    <w:rsid w:val="002256EF"/>
    <w:rsid w:val="00233398"/>
    <w:rsid w:val="0023455D"/>
    <w:rsid w:val="0023679F"/>
    <w:rsid w:val="00237B3C"/>
    <w:rsid w:val="00240368"/>
    <w:rsid w:val="00240B30"/>
    <w:rsid w:val="00241305"/>
    <w:rsid w:val="00241DA0"/>
    <w:rsid w:val="00242407"/>
    <w:rsid w:val="0024253C"/>
    <w:rsid w:val="00242744"/>
    <w:rsid w:val="002452A2"/>
    <w:rsid w:val="002460E1"/>
    <w:rsid w:val="00247F7F"/>
    <w:rsid w:val="00250776"/>
    <w:rsid w:val="00254664"/>
    <w:rsid w:val="00257376"/>
    <w:rsid w:val="002610D6"/>
    <w:rsid w:val="00263502"/>
    <w:rsid w:val="002635B3"/>
    <w:rsid w:val="00264151"/>
    <w:rsid w:val="0026474E"/>
    <w:rsid w:val="00265486"/>
    <w:rsid w:val="002654CF"/>
    <w:rsid w:val="00265771"/>
    <w:rsid w:val="002675B3"/>
    <w:rsid w:val="002677D5"/>
    <w:rsid w:val="00267F1B"/>
    <w:rsid w:val="002704DA"/>
    <w:rsid w:val="00272993"/>
    <w:rsid w:val="00272A3D"/>
    <w:rsid w:val="00276255"/>
    <w:rsid w:val="00280884"/>
    <w:rsid w:val="00280B1D"/>
    <w:rsid w:val="00281757"/>
    <w:rsid w:val="00284BA0"/>
    <w:rsid w:val="00285E50"/>
    <w:rsid w:val="002922B4"/>
    <w:rsid w:val="00293F28"/>
    <w:rsid w:val="002B3275"/>
    <w:rsid w:val="002C0713"/>
    <w:rsid w:val="002C11B4"/>
    <w:rsid w:val="002C51F1"/>
    <w:rsid w:val="002C6CCE"/>
    <w:rsid w:val="002D163A"/>
    <w:rsid w:val="002D4256"/>
    <w:rsid w:val="002D66D3"/>
    <w:rsid w:val="002E0500"/>
    <w:rsid w:val="002E0E97"/>
    <w:rsid w:val="002E0FF7"/>
    <w:rsid w:val="002E1AAE"/>
    <w:rsid w:val="002E1B46"/>
    <w:rsid w:val="002E3C06"/>
    <w:rsid w:val="002E7CA8"/>
    <w:rsid w:val="002F03B3"/>
    <w:rsid w:val="002F112C"/>
    <w:rsid w:val="002F2C7E"/>
    <w:rsid w:val="002F3E96"/>
    <w:rsid w:val="002F6C98"/>
    <w:rsid w:val="00300E1B"/>
    <w:rsid w:val="00302406"/>
    <w:rsid w:val="0030668C"/>
    <w:rsid w:val="00307753"/>
    <w:rsid w:val="003104B0"/>
    <w:rsid w:val="0031395C"/>
    <w:rsid w:val="003158F7"/>
    <w:rsid w:val="00320CFF"/>
    <w:rsid w:val="003259D8"/>
    <w:rsid w:val="00333B82"/>
    <w:rsid w:val="003341B8"/>
    <w:rsid w:val="00340F48"/>
    <w:rsid w:val="003426F0"/>
    <w:rsid w:val="003466AD"/>
    <w:rsid w:val="003500E0"/>
    <w:rsid w:val="003515AE"/>
    <w:rsid w:val="00351CF5"/>
    <w:rsid w:val="00352DAE"/>
    <w:rsid w:val="00354851"/>
    <w:rsid w:val="00361265"/>
    <w:rsid w:val="003639ED"/>
    <w:rsid w:val="00365D1E"/>
    <w:rsid w:val="00367AC0"/>
    <w:rsid w:val="00371AE9"/>
    <w:rsid w:val="003736D4"/>
    <w:rsid w:val="00373741"/>
    <w:rsid w:val="00374EFF"/>
    <w:rsid w:val="00377AA9"/>
    <w:rsid w:val="0038025D"/>
    <w:rsid w:val="0038033F"/>
    <w:rsid w:val="00380D07"/>
    <w:rsid w:val="003842CA"/>
    <w:rsid w:val="003867FC"/>
    <w:rsid w:val="003879AA"/>
    <w:rsid w:val="00395DE8"/>
    <w:rsid w:val="003976A2"/>
    <w:rsid w:val="003A1489"/>
    <w:rsid w:val="003A1925"/>
    <w:rsid w:val="003C60D7"/>
    <w:rsid w:val="003C6A0C"/>
    <w:rsid w:val="003D2B8D"/>
    <w:rsid w:val="003D4A68"/>
    <w:rsid w:val="003D57E0"/>
    <w:rsid w:val="003D620F"/>
    <w:rsid w:val="003E03D6"/>
    <w:rsid w:val="003E2BBA"/>
    <w:rsid w:val="003E73D0"/>
    <w:rsid w:val="003E7DBD"/>
    <w:rsid w:val="003F042A"/>
    <w:rsid w:val="003F63F9"/>
    <w:rsid w:val="00407025"/>
    <w:rsid w:val="004107E2"/>
    <w:rsid w:val="00411302"/>
    <w:rsid w:val="00413DB5"/>
    <w:rsid w:val="00430A06"/>
    <w:rsid w:val="004310A9"/>
    <w:rsid w:val="00435366"/>
    <w:rsid w:val="00435AB9"/>
    <w:rsid w:val="0043671F"/>
    <w:rsid w:val="00437C05"/>
    <w:rsid w:val="00443901"/>
    <w:rsid w:val="004515AE"/>
    <w:rsid w:val="004521A4"/>
    <w:rsid w:val="0046165C"/>
    <w:rsid w:val="00466515"/>
    <w:rsid w:val="00466CEE"/>
    <w:rsid w:val="00467F1A"/>
    <w:rsid w:val="00471931"/>
    <w:rsid w:val="004824A7"/>
    <w:rsid w:val="004848AA"/>
    <w:rsid w:val="00487E48"/>
    <w:rsid w:val="00494DB2"/>
    <w:rsid w:val="004A0715"/>
    <w:rsid w:val="004A3153"/>
    <w:rsid w:val="004A5C04"/>
    <w:rsid w:val="004A792C"/>
    <w:rsid w:val="004B01AF"/>
    <w:rsid w:val="004B7A47"/>
    <w:rsid w:val="004C123F"/>
    <w:rsid w:val="004C37E0"/>
    <w:rsid w:val="004C51A8"/>
    <w:rsid w:val="004C55D0"/>
    <w:rsid w:val="004C69D7"/>
    <w:rsid w:val="004C7394"/>
    <w:rsid w:val="004C74AA"/>
    <w:rsid w:val="004D1B4F"/>
    <w:rsid w:val="004D2801"/>
    <w:rsid w:val="004D447D"/>
    <w:rsid w:val="004E0D04"/>
    <w:rsid w:val="004E262E"/>
    <w:rsid w:val="004E2A93"/>
    <w:rsid w:val="004E3521"/>
    <w:rsid w:val="004E638E"/>
    <w:rsid w:val="004E702E"/>
    <w:rsid w:val="004F3E8A"/>
    <w:rsid w:val="004F61DA"/>
    <w:rsid w:val="00500194"/>
    <w:rsid w:val="00505191"/>
    <w:rsid w:val="00510CD7"/>
    <w:rsid w:val="0051193F"/>
    <w:rsid w:val="0051394F"/>
    <w:rsid w:val="005146DE"/>
    <w:rsid w:val="005149AE"/>
    <w:rsid w:val="00516DFC"/>
    <w:rsid w:val="0052003C"/>
    <w:rsid w:val="00521462"/>
    <w:rsid w:val="00523D1B"/>
    <w:rsid w:val="005255D4"/>
    <w:rsid w:val="00530F87"/>
    <w:rsid w:val="005322A9"/>
    <w:rsid w:val="00536D65"/>
    <w:rsid w:val="00536ED6"/>
    <w:rsid w:val="00542F03"/>
    <w:rsid w:val="00543D07"/>
    <w:rsid w:val="005445D5"/>
    <w:rsid w:val="0054612D"/>
    <w:rsid w:val="00547033"/>
    <w:rsid w:val="00550293"/>
    <w:rsid w:val="005541F1"/>
    <w:rsid w:val="0056316C"/>
    <w:rsid w:val="005631AC"/>
    <w:rsid w:val="005651EA"/>
    <w:rsid w:val="005653D6"/>
    <w:rsid w:val="00571746"/>
    <w:rsid w:val="00573027"/>
    <w:rsid w:val="0057495B"/>
    <w:rsid w:val="005817BD"/>
    <w:rsid w:val="00581FAD"/>
    <w:rsid w:val="00583CE4"/>
    <w:rsid w:val="00584757"/>
    <w:rsid w:val="005903C0"/>
    <w:rsid w:val="00593379"/>
    <w:rsid w:val="005937C2"/>
    <w:rsid w:val="00595BF6"/>
    <w:rsid w:val="0059653F"/>
    <w:rsid w:val="005A1B4E"/>
    <w:rsid w:val="005A551D"/>
    <w:rsid w:val="005A609C"/>
    <w:rsid w:val="005A6276"/>
    <w:rsid w:val="005A7C9E"/>
    <w:rsid w:val="005B26C0"/>
    <w:rsid w:val="005B2C36"/>
    <w:rsid w:val="005B68B7"/>
    <w:rsid w:val="005B6AA6"/>
    <w:rsid w:val="005B71AE"/>
    <w:rsid w:val="005C1B08"/>
    <w:rsid w:val="005C27FC"/>
    <w:rsid w:val="005C3C93"/>
    <w:rsid w:val="005C6CFE"/>
    <w:rsid w:val="005D2016"/>
    <w:rsid w:val="005D2559"/>
    <w:rsid w:val="005D3B83"/>
    <w:rsid w:val="005D5985"/>
    <w:rsid w:val="005D6E9F"/>
    <w:rsid w:val="005E29E0"/>
    <w:rsid w:val="005E2A5E"/>
    <w:rsid w:val="005E66B4"/>
    <w:rsid w:val="005E7C2D"/>
    <w:rsid w:val="005F6951"/>
    <w:rsid w:val="005F6CED"/>
    <w:rsid w:val="00602341"/>
    <w:rsid w:val="00602FB6"/>
    <w:rsid w:val="00604B1E"/>
    <w:rsid w:val="00605CF9"/>
    <w:rsid w:val="0060631D"/>
    <w:rsid w:val="00607594"/>
    <w:rsid w:val="006108BD"/>
    <w:rsid w:val="00614865"/>
    <w:rsid w:val="00615367"/>
    <w:rsid w:val="0061647B"/>
    <w:rsid w:val="0062690F"/>
    <w:rsid w:val="00626CC4"/>
    <w:rsid w:val="0062742E"/>
    <w:rsid w:val="00627F65"/>
    <w:rsid w:val="006341B9"/>
    <w:rsid w:val="0064173D"/>
    <w:rsid w:val="00643425"/>
    <w:rsid w:val="00643C1F"/>
    <w:rsid w:val="00644706"/>
    <w:rsid w:val="00645A0C"/>
    <w:rsid w:val="00646508"/>
    <w:rsid w:val="00647806"/>
    <w:rsid w:val="006504EF"/>
    <w:rsid w:val="0065296E"/>
    <w:rsid w:val="00653639"/>
    <w:rsid w:val="00656AA9"/>
    <w:rsid w:val="00664B64"/>
    <w:rsid w:val="00667806"/>
    <w:rsid w:val="00673833"/>
    <w:rsid w:val="00674374"/>
    <w:rsid w:val="006744E8"/>
    <w:rsid w:val="0067500E"/>
    <w:rsid w:val="006757AD"/>
    <w:rsid w:val="006828A1"/>
    <w:rsid w:val="00685403"/>
    <w:rsid w:val="00686488"/>
    <w:rsid w:val="006926D4"/>
    <w:rsid w:val="006934C6"/>
    <w:rsid w:val="00694468"/>
    <w:rsid w:val="00694BFA"/>
    <w:rsid w:val="006A2216"/>
    <w:rsid w:val="006A3C38"/>
    <w:rsid w:val="006A43EA"/>
    <w:rsid w:val="006A71AB"/>
    <w:rsid w:val="006A7B78"/>
    <w:rsid w:val="006B10AD"/>
    <w:rsid w:val="006B2C25"/>
    <w:rsid w:val="006B71DE"/>
    <w:rsid w:val="006C3345"/>
    <w:rsid w:val="006C619F"/>
    <w:rsid w:val="006C6BB0"/>
    <w:rsid w:val="006C7D62"/>
    <w:rsid w:val="006C7FE3"/>
    <w:rsid w:val="006D0760"/>
    <w:rsid w:val="006D2A4C"/>
    <w:rsid w:val="006D3D2A"/>
    <w:rsid w:val="006D458C"/>
    <w:rsid w:val="006D67F9"/>
    <w:rsid w:val="006E1072"/>
    <w:rsid w:val="006E1134"/>
    <w:rsid w:val="006E1CF0"/>
    <w:rsid w:val="006E3D4B"/>
    <w:rsid w:val="006E5FF9"/>
    <w:rsid w:val="006E7975"/>
    <w:rsid w:val="006F1BC0"/>
    <w:rsid w:val="006F2672"/>
    <w:rsid w:val="006F4760"/>
    <w:rsid w:val="006F4E5C"/>
    <w:rsid w:val="00700E04"/>
    <w:rsid w:val="00702A26"/>
    <w:rsid w:val="00703912"/>
    <w:rsid w:val="00704505"/>
    <w:rsid w:val="00704A0E"/>
    <w:rsid w:val="007053A9"/>
    <w:rsid w:val="00710B1A"/>
    <w:rsid w:val="00710CB5"/>
    <w:rsid w:val="007128E8"/>
    <w:rsid w:val="00712D84"/>
    <w:rsid w:val="0071507D"/>
    <w:rsid w:val="007226DD"/>
    <w:rsid w:val="00722E4F"/>
    <w:rsid w:val="00722FA3"/>
    <w:rsid w:val="007243BB"/>
    <w:rsid w:val="00726E74"/>
    <w:rsid w:val="00731677"/>
    <w:rsid w:val="00733A4F"/>
    <w:rsid w:val="00735219"/>
    <w:rsid w:val="00735BFE"/>
    <w:rsid w:val="00742376"/>
    <w:rsid w:val="00744AE3"/>
    <w:rsid w:val="00752690"/>
    <w:rsid w:val="00754CED"/>
    <w:rsid w:val="007564B3"/>
    <w:rsid w:val="00761307"/>
    <w:rsid w:val="00763B01"/>
    <w:rsid w:val="00766DF2"/>
    <w:rsid w:val="00767DF2"/>
    <w:rsid w:val="00770069"/>
    <w:rsid w:val="0077148C"/>
    <w:rsid w:val="007730E2"/>
    <w:rsid w:val="007732CD"/>
    <w:rsid w:val="00774585"/>
    <w:rsid w:val="00775C7B"/>
    <w:rsid w:val="00776F43"/>
    <w:rsid w:val="00780588"/>
    <w:rsid w:val="0078302B"/>
    <w:rsid w:val="00783713"/>
    <w:rsid w:val="00784558"/>
    <w:rsid w:val="00785831"/>
    <w:rsid w:val="00787979"/>
    <w:rsid w:val="00787A23"/>
    <w:rsid w:val="007903F0"/>
    <w:rsid w:val="0079044B"/>
    <w:rsid w:val="007904DB"/>
    <w:rsid w:val="00795389"/>
    <w:rsid w:val="0079615A"/>
    <w:rsid w:val="007A14B6"/>
    <w:rsid w:val="007A1ED9"/>
    <w:rsid w:val="007B2C17"/>
    <w:rsid w:val="007B324D"/>
    <w:rsid w:val="007B7958"/>
    <w:rsid w:val="007C568B"/>
    <w:rsid w:val="007D16E1"/>
    <w:rsid w:val="007D2A0F"/>
    <w:rsid w:val="007D5030"/>
    <w:rsid w:val="007E30F5"/>
    <w:rsid w:val="007E6726"/>
    <w:rsid w:val="007F1368"/>
    <w:rsid w:val="007F2835"/>
    <w:rsid w:val="007F2896"/>
    <w:rsid w:val="007F450F"/>
    <w:rsid w:val="007F4BF6"/>
    <w:rsid w:val="00802879"/>
    <w:rsid w:val="00802F2D"/>
    <w:rsid w:val="00803FE7"/>
    <w:rsid w:val="00810871"/>
    <w:rsid w:val="008129B4"/>
    <w:rsid w:val="008143F0"/>
    <w:rsid w:val="00815099"/>
    <w:rsid w:val="008170C8"/>
    <w:rsid w:val="00820FCB"/>
    <w:rsid w:val="00823972"/>
    <w:rsid w:val="00825385"/>
    <w:rsid w:val="00826324"/>
    <w:rsid w:val="00832F86"/>
    <w:rsid w:val="00837793"/>
    <w:rsid w:val="00837D1F"/>
    <w:rsid w:val="008441F8"/>
    <w:rsid w:val="008442E2"/>
    <w:rsid w:val="00850791"/>
    <w:rsid w:val="00851538"/>
    <w:rsid w:val="00853CC7"/>
    <w:rsid w:val="008568FC"/>
    <w:rsid w:val="00860784"/>
    <w:rsid w:val="00862E8E"/>
    <w:rsid w:val="008647F3"/>
    <w:rsid w:val="00866F2E"/>
    <w:rsid w:val="00870518"/>
    <w:rsid w:val="00870D91"/>
    <w:rsid w:val="008716CC"/>
    <w:rsid w:val="00872159"/>
    <w:rsid w:val="008741E4"/>
    <w:rsid w:val="00875ACE"/>
    <w:rsid w:val="008769C0"/>
    <w:rsid w:val="00880131"/>
    <w:rsid w:val="008852E6"/>
    <w:rsid w:val="00885463"/>
    <w:rsid w:val="00887000"/>
    <w:rsid w:val="008960BC"/>
    <w:rsid w:val="008961B3"/>
    <w:rsid w:val="00897429"/>
    <w:rsid w:val="008A1B87"/>
    <w:rsid w:val="008A1F9B"/>
    <w:rsid w:val="008A2AF8"/>
    <w:rsid w:val="008A30F3"/>
    <w:rsid w:val="008A5B07"/>
    <w:rsid w:val="008B122B"/>
    <w:rsid w:val="008B1765"/>
    <w:rsid w:val="008B1968"/>
    <w:rsid w:val="008B6634"/>
    <w:rsid w:val="008B73CE"/>
    <w:rsid w:val="008B758C"/>
    <w:rsid w:val="008C0A59"/>
    <w:rsid w:val="008C16A7"/>
    <w:rsid w:val="008C1C6D"/>
    <w:rsid w:val="008C2982"/>
    <w:rsid w:val="008C65C5"/>
    <w:rsid w:val="008D202D"/>
    <w:rsid w:val="008D39A4"/>
    <w:rsid w:val="008E179D"/>
    <w:rsid w:val="008E58F5"/>
    <w:rsid w:val="008E63BF"/>
    <w:rsid w:val="008E7053"/>
    <w:rsid w:val="008F063C"/>
    <w:rsid w:val="008F2320"/>
    <w:rsid w:val="008F3B3C"/>
    <w:rsid w:val="008F510E"/>
    <w:rsid w:val="00903A6A"/>
    <w:rsid w:val="00903AE7"/>
    <w:rsid w:val="009045DF"/>
    <w:rsid w:val="00904D00"/>
    <w:rsid w:val="00906315"/>
    <w:rsid w:val="00907C60"/>
    <w:rsid w:val="00912342"/>
    <w:rsid w:val="00913DE9"/>
    <w:rsid w:val="00915B25"/>
    <w:rsid w:val="00920272"/>
    <w:rsid w:val="00925AFE"/>
    <w:rsid w:val="00926042"/>
    <w:rsid w:val="00930910"/>
    <w:rsid w:val="0093369A"/>
    <w:rsid w:val="0093724B"/>
    <w:rsid w:val="00942DCB"/>
    <w:rsid w:val="00944F0E"/>
    <w:rsid w:val="00952447"/>
    <w:rsid w:val="009548CF"/>
    <w:rsid w:val="00955794"/>
    <w:rsid w:val="00955E2E"/>
    <w:rsid w:val="0095744B"/>
    <w:rsid w:val="0096220B"/>
    <w:rsid w:val="00966836"/>
    <w:rsid w:val="00966971"/>
    <w:rsid w:val="00976172"/>
    <w:rsid w:val="00976A8E"/>
    <w:rsid w:val="00982D72"/>
    <w:rsid w:val="009843E5"/>
    <w:rsid w:val="0098629D"/>
    <w:rsid w:val="00986BA0"/>
    <w:rsid w:val="009A2374"/>
    <w:rsid w:val="009A4161"/>
    <w:rsid w:val="009A4555"/>
    <w:rsid w:val="009A620A"/>
    <w:rsid w:val="009B0982"/>
    <w:rsid w:val="009B3CB4"/>
    <w:rsid w:val="009B44C6"/>
    <w:rsid w:val="009B5B8A"/>
    <w:rsid w:val="009C1719"/>
    <w:rsid w:val="009C1ADC"/>
    <w:rsid w:val="009C1F6E"/>
    <w:rsid w:val="009C6F80"/>
    <w:rsid w:val="009D300B"/>
    <w:rsid w:val="009D389E"/>
    <w:rsid w:val="009D3924"/>
    <w:rsid w:val="009D7439"/>
    <w:rsid w:val="009E42F0"/>
    <w:rsid w:val="009E4551"/>
    <w:rsid w:val="009E62A2"/>
    <w:rsid w:val="009F2FA1"/>
    <w:rsid w:val="009F3A9D"/>
    <w:rsid w:val="00A009B5"/>
    <w:rsid w:val="00A00AA3"/>
    <w:rsid w:val="00A00C69"/>
    <w:rsid w:val="00A00EE9"/>
    <w:rsid w:val="00A047C8"/>
    <w:rsid w:val="00A11987"/>
    <w:rsid w:val="00A11C56"/>
    <w:rsid w:val="00A12B3A"/>
    <w:rsid w:val="00A133A6"/>
    <w:rsid w:val="00A14544"/>
    <w:rsid w:val="00A15771"/>
    <w:rsid w:val="00A22A31"/>
    <w:rsid w:val="00A23918"/>
    <w:rsid w:val="00A270CC"/>
    <w:rsid w:val="00A30253"/>
    <w:rsid w:val="00A3081E"/>
    <w:rsid w:val="00A351AA"/>
    <w:rsid w:val="00A364E4"/>
    <w:rsid w:val="00A435E8"/>
    <w:rsid w:val="00A51122"/>
    <w:rsid w:val="00A526FB"/>
    <w:rsid w:val="00A55915"/>
    <w:rsid w:val="00A56484"/>
    <w:rsid w:val="00A568C6"/>
    <w:rsid w:val="00A70F7F"/>
    <w:rsid w:val="00A7541A"/>
    <w:rsid w:val="00A75E9A"/>
    <w:rsid w:val="00A84818"/>
    <w:rsid w:val="00A84E44"/>
    <w:rsid w:val="00A8595E"/>
    <w:rsid w:val="00A867D6"/>
    <w:rsid w:val="00A87D4E"/>
    <w:rsid w:val="00A90570"/>
    <w:rsid w:val="00A905C0"/>
    <w:rsid w:val="00A91187"/>
    <w:rsid w:val="00A9165E"/>
    <w:rsid w:val="00A94244"/>
    <w:rsid w:val="00A94950"/>
    <w:rsid w:val="00A96872"/>
    <w:rsid w:val="00A9753D"/>
    <w:rsid w:val="00AA1D1F"/>
    <w:rsid w:val="00AA4D7F"/>
    <w:rsid w:val="00AA54BC"/>
    <w:rsid w:val="00AA68D4"/>
    <w:rsid w:val="00AA70D6"/>
    <w:rsid w:val="00AB0382"/>
    <w:rsid w:val="00AB5382"/>
    <w:rsid w:val="00AB5783"/>
    <w:rsid w:val="00AB7B29"/>
    <w:rsid w:val="00AC10A5"/>
    <w:rsid w:val="00AC411D"/>
    <w:rsid w:val="00AC4834"/>
    <w:rsid w:val="00AC5936"/>
    <w:rsid w:val="00AC6824"/>
    <w:rsid w:val="00AC72DE"/>
    <w:rsid w:val="00AD6180"/>
    <w:rsid w:val="00AD75B9"/>
    <w:rsid w:val="00AD7E5F"/>
    <w:rsid w:val="00AE0214"/>
    <w:rsid w:val="00AE1098"/>
    <w:rsid w:val="00AE359D"/>
    <w:rsid w:val="00AE49C6"/>
    <w:rsid w:val="00AE73FD"/>
    <w:rsid w:val="00AF1146"/>
    <w:rsid w:val="00AF3D19"/>
    <w:rsid w:val="00AF7E40"/>
    <w:rsid w:val="00B028CE"/>
    <w:rsid w:val="00B02E30"/>
    <w:rsid w:val="00B039D6"/>
    <w:rsid w:val="00B056FF"/>
    <w:rsid w:val="00B07857"/>
    <w:rsid w:val="00B11160"/>
    <w:rsid w:val="00B11318"/>
    <w:rsid w:val="00B12CBD"/>
    <w:rsid w:val="00B16CFB"/>
    <w:rsid w:val="00B17E91"/>
    <w:rsid w:val="00B20507"/>
    <w:rsid w:val="00B215C0"/>
    <w:rsid w:val="00B24F87"/>
    <w:rsid w:val="00B265D0"/>
    <w:rsid w:val="00B30A25"/>
    <w:rsid w:val="00B336D1"/>
    <w:rsid w:val="00B33A2E"/>
    <w:rsid w:val="00B3546B"/>
    <w:rsid w:val="00B37A16"/>
    <w:rsid w:val="00B41245"/>
    <w:rsid w:val="00B4248D"/>
    <w:rsid w:val="00B4399C"/>
    <w:rsid w:val="00B454C1"/>
    <w:rsid w:val="00B4780B"/>
    <w:rsid w:val="00B52B10"/>
    <w:rsid w:val="00B554D4"/>
    <w:rsid w:val="00B63D8F"/>
    <w:rsid w:val="00B6434B"/>
    <w:rsid w:val="00B64FBD"/>
    <w:rsid w:val="00B65646"/>
    <w:rsid w:val="00B66B5A"/>
    <w:rsid w:val="00B67A6B"/>
    <w:rsid w:val="00B7288E"/>
    <w:rsid w:val="00B73CCF"/>
    <w:rsid w:val="00B7798D"/>
    <w:rsid w:val="00B80DE7"/>
    <w:rsid w:val="00B8350C"/>
    <w:rsid w:val="00B96280"/>
    <w:rsid w:val="00BA1B75"/>
    <w:rsid w:val="00BA2A58"/>
    <w:rsid w:val="00BA4AFE"/>
    <w:rsid w:val="00BB01B2"/>
    <w:rsid w:val="00BB02B6"/>
    <w:rsid w:val="00BB31CD"/>
    <w:rsid w:val="00BB336C"/>
    <w:rsid w:val="00BB6C2D"/>
    <w:rsid w:val="00BB7E60"/>
    <w:rsid w:val="00BC1B8B"/>
    <w:rsid w:val="00BC1FC7"/>
    <w:rsid w:val="00BC42F4"/>
    <w:rsid w:val="00BD2213"/>
    <w:rsid w:val="00BD4199"/>
    <w:rsid w:val="00BD5372"/>
    <w:rsid w:val="00BD55C8"/>
    <w:rsid w:val="00BE07EB"/>
    <w:rsid w:val="00BE0A79"/>
    <w:rsid w:val="00BF111D"/>
    <w:rsid w:val="00BF1EF1"/>
    <w:rsid w:val="00BF42CC"/>
    <w:rsid w:val="00BF66CF"/>
    <w:rsid w:val="00BF7E10"/>
    <w:rsid w:val="00C06465"/>
    <w:rsid w:val="00C06BBA"/>
    <w:rsid w:val="00C07F41"/>
    <w:rsid w:val="00C106D7"/>
    <w:rsid w:val="00C13D22"/>
    <w:rsid w:val="00C16221"/>
    <w:rsid w:val="00C221EB"/>
    <w:rsid w:val="00C26E05"/>
    <w:rsid w:val="00C30EFA"/>
    <w:rsid w:val="00C33381"/>
    <w:rsid w:val="00C3504C"/>
    <w:rsid w:val="00C3641C"/>
    <w:rsid w:val="00C4026B"/>
    <w:rsid w:val="00C46049"/>
    <w:rsid w:val="00C4610D"/>
    <w:rsid w:val="00C47088"/>
    <w:rsid w:val="00C54534"/>
    <w:rsid w:val="00C54FEE"/>
    <w:rsid w:val="00C55A75"/>
    <w:rsid w:val="00C57CD6"/>
    <w:rsid w:val="00C61CEC"/>
    <w:rsid w:val="00C649EE"/>
    <w:rsid w:val="00C67E33"/>
    <w:rsid w:val="00C83642"/>
    <w:rsid w:val="00C83C35"/>
    <w:rsid w:val="00C96A9A"/>
    <w:rsid w:val="00C9759E"/>
    <w:rsid w:val="00CA014C"/>
    <w:rsid w:val="00CA0B58"/>
    <w:rsid w:val="00CA49D1"/>
    <w:rsid w:val="00CB03C1"/>
    <w:rsid w:val="00CB073C"/>
    <w:rsid w:val="00CB79C3"/>
    <w:rsid w:val="00CC0980"/>
    <w:rsid w:val="00CC0E71"/>
    <w:rsid w:val="00CC47B2"/>
    <w:rsid w:val="00CC7439"/>
    <w:rsid w:val="00CD1F55"/>
    <w:rsid w:val="00CE335B"/>
    <w:rsid w:val="00CE61F7"/>
    <w:rsid w:val="00CF03A0"/>
    <w:rsid w:val="00CF03C1"/>
    <w:rsid w:val="00CF2A97"/>
    <w:rsid w:val="00CF6305"/>
    <w:rsid w:val="00CF751C"/>
    <w:rsid w:val="00D03523"/>
    <w:rsid w:val="00D123C1"/>
    <w:rsid w:val="00D1371E"/>
    <w:rsid w:val="00D1386F"/>
    <w:rsid w:val="00D2333E"/>
    <w:rsid w:val="00D23F3C"/>
    <w:rsid w:val="00D253C4"/>
    <w:rsid w:val="00D25DD2"/>
    <w:rsid w:val="00D30B0D"/>
    <w:rsid w:val="00D33C03"/>
    <w:rsid w:val="00D36691"/>
    <w:rsid w:val="00D36FDD"/>
    <w:rsid w:val="00D37F84"/>
    <w:rsid w:val="00D40B62"/>
    <w:rsid w:val="00D425A8"/>
    <w:rsid w:val="00D5564A"/>
    <w:rsid w:val="00D55DA4"/>
    <w:rsid w:val="00D56749"/>
    <w:rsid w:val="00D60CD3"/>
    <w:rsid w:val="00D60F4E"/>
    <w:rsid w:val="00D61153"/>
    <w:rsid w:val="00D64898"/>
    <w:rsid w:val="00D65CDB"/>
    <w:rsid w:val="00D6639A"/>
    <w:rsid w:val="00D70371"/>
    <w:rsid w:val="00D73348"/>
    <w:rsid w:val="00D80AE5"/>
    <w:rsid w:val="00D84468"/>
    <w:rsid w:val="00D86F28"/>
    <w:rsid w:val="00D93ABA"/>
    <w:rsid w:val="00DA08BB"/>
    <w:rsid w:val="00DA1143"/>
    <w:rsid w:val="00DA19E5"/>
    <w:rsid w:val="00DA24F2"/>
    <w:rsid w:val="00DA4585"/>
    <w:rsid w:val="00DA6888"/>
    <w:rsid w:val="00DA7347"/>
    <w:rsid w:val="00DA79BE"/>
    <w:rsid w:val="00DB06AF"/>
    <w:rsid w:val="00DB26BC"/>
    <w:rsid w:val="00DB2E29"/>
    <w:rsid w:val="00DB3D01"/>
    <w:rsid w:val="00DB3D76"/>
    <w:rsid w:val="00DB5076"/>
    <w:rsid w:val="00DB7FE7"/>
    <w:rsid w:val="00DC00A4"/>
    <w:rsid w:val="00DC0457"/>
    <w:rsid w:val="00DC3908"/>
    <w:rsid w:val="00DD1A6E"/>
    <w:rsid w:val="00DD3B87"/>
    <w:rsid w:val="00DD4AAB"/>
    <w:rsid w:val="00DE31B1"/>
    <w:rsid w:val="00DE6285"/>
    <w:rsid w:val="00DF07DE"/>
    <w:rsid w:val="00DF23EF"/>
    <w:rsid w:val="00E02604"/>
    <w:rsid w:val="00E04377"/>
    <w:rsid w:val="00E046FD"/>
    <w:rsid w:val="00E10845"/>
    <w:rsid w:val="00E140D0"/>
    <w:rsid w:val="00E145D0"/>
    <w:rsid w:val="00E16AA4"/>
    <w:rsid w:val="00E21AF8"/>
    <w:rsid w:val="00E24852"/>
    <w:rsid w:val="00E249BC"/>
    <w:rsid w:val="00E253B9"/>
    <w:rsid w:val="00E30C2F"/>
    <w:rsid w:val="00E33226"/>
    <w:rsid w:val="00E33560"/>
    <w:rsid w:val="00E34513"/>
    <w:rsid w:val="00E407DB"/>
    <w:rsid w:val="00E44E5B"/>
    <w:rsid w:val="00E46EC1"/>
    <w:rsid w:val="00E47523"/>
    <w:rsid w:val="00E50BE1"/>
    <w:rsid w:val="00E50FBF"/>
    <w:rsid w:val="00E51285"/>
    <w:rsid w:val="00E5476F"/>
    <w:rsid w:val="00E56ECA"/>
    <w:rsid w:val="00E67B8E"/>
    <w:rsid w:val="00E777A3"/>
    <w:rsid w:val="00E81586"/>
    <w:rsid w:val="00E84715"/>
    <w:rsid w:val="00E858F6"/>
    <w:rsid w:val="00E8672B"/>
    <w:rsid w:val="00E91C59"/>
    <w:rsid w:val="00E941C2"/>
    <w:rsid w:val="00E95093"/>
    <w:rsid w:val="00E95841"/>
    <w:rsid w:val="00E9622A"/>
    <w:rsid w:val="00E96B52"/>
    <w:rsid w:val="00EA131A"/>
    <w:rsid w:val="00EA44A9"/>
    <w:rsid w:val="00EA671C"/>
    <w:rsid w:val="00EA6724"/>
    <w:rsid w:val="00EB12F7"/>
    <w:rsid w:val="00EB371B"/>
    <w:rsid w:val="00EB6A9D"/>
    <w:rsid w:val="00EC0674"/>
    <w:rsid w:val="00EC0BD6"/>
    <w:rsid w:val="00EC1B93"/>
    <w:rsid w:val="00EC4410"/>
    <w:rsid w:val="00EC4556"/>
    <w:rsid w:val="00EC5A04"/>
    <w:rsid w:val="00EC6239"/>
    <w:rsid w:val="00ED205A"/>
    <w:rsid w:val="00ED214A"/>
    <w:rsid w:val="00ED4E4D"/>
    <w:rsid w:val="00ED7272"/>
    <w:rsid w:val="00ED7D04"/>
    <w:rsid w:val="00EE01B0"/>
    <w:rsid w:val="00EE0DB7"/>
    <w:rsid w:val="00EE213C"/>
    <w:rsid w:val="00EE275F"/>
    <w:rsid w:val="00EE2FDA"/>
    <w:rsid w:val="00EE3238"/>
    <w:rsid w:val="00EE5348"/>
    <w:rsid w:val="00EF00F3"/>
    <w:rsid w:val="00EF1547"/>
    <w:rsid w:val="00EF2725"/>
    <w:rsid w:val="00EF31FF"/>
    <w:rsid w:val="00EF4BA1"/>
    <w:rsid w:val="00EF5C7A"/>
    <w:rsid w:val="00F00888"/>
    <w:rsid w:val="00F0699E"/>
    <w:rsid w:val="00F07A3B"/>
    <w:rsid w:val="00F11759"/>
    <w:rsid w:val="00F200B2"/>
    <w:rsid w:val="00F24CBE"/>
    <w:rsid w:val="00F27D33"/>
    <w:rsid w:val="00F322CF"/>
    <w:rsid w:val="00F345AC"/>
    <w:rsid w:val="00F35191"/>
    <w:rsid w:val="00F365F0"/>
    <w:rsid w:val="00F36E67"/>
    <w:rsid w:val="00F36F3D"/>
    <w:rsid w:val="00F37628"/>
    <w:rsid w:val="00F4156A"/>
    <w:rsid w:val="00F45E7D"/>
    <w:rsid w:val="00F465FF"/>
    <w:rsid w:val="00F50830"/>
    <w:rsid w:val="00F5262D"/>
    <w:rsid w:val="00F60CDD"/>
    <w:rsid w:val="00F63624"/>
    <w:rsid w:val="00F64A67"/>
    <w:rsid w:val="00F64D1C"/>
    <w:rsid w:val="00F652EF"/>
    <w:rsid w:val="00F6615D"/>
    <w:rsid w:val="00F710FE"/>
    <w:rsid w:val="00F7164A"/>
    <w:rsid w:val="00F7179A"/>
    <w:rsid w:val="00F745C4"/>
    <w:rsid w:val="00F77F48"/>
    <w:rsid w:val="00F84063"/>
    <w:rsid w:val="00F93519"/>
    <w:rsid w:val="00F95714"/>
    <w:rsid w:val="00FB3C6D"/>
    <w:rsid w:val="00FB44C0"/>
    <w:rsid w:val="00FB594F"/>
    <w:rsid w:val="00FD0A10"/>
    <w:rsid w:val="00FD26D0"/>
    <w:rsid w:val="00FD40A4"/>
    <w:rsid w:val="00FD4137"/>
    <w:rsid w:val="00FD785A"/>
    <w:rsid w:val="00FE0267"/>
    <w:rsid w:val="00FE2B89"/>
    <w:rsid w:val="00FE478F"/>
    <w:rsid w:val="00FE5A1D"/>
    <w:rsid w:val="00FF1257"/>
    <w:rsid w:val="00FF2E95"/>
    <w:rsid w:val="00FF44DA"/>
    <w:rsid w:val="00FF5743"/>
    <w:rsid w:val="00FF6C1E"/>
    <w:rsid w:val="00FF6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979"/>
  </w:style>
  <w:style w:type="paragraph" w:styleId="Heading1">
    <w:name w:val="heading 1"/>
    <w:basedOn w:val="Normal"/>
    <w:link w:val="Heading1Char"/>
    <w:uiPriority w:val="9"/>
    <w:qFormat/>
    <w:rsid w:val="00F4156A"/>
    <w:pPr>
      <w:numPr>
        <w:numId w:val="30"/>
      </w:num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F4156A"/>
    <w:pPr>
      <w:numPr>
        <w:ilvl w:val="1"/>
        <w:numId w:val="30"/>
      </w:num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766DF2"/>
    <w:pPr>
      <w:keepNext/>
      <w:keepLines/>
      <w:numPr>
        <w:ilvl w:val="2"/>
        <w:numId w:val="30"/>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13931"/>
    <w:pPr>
      <w:keepNext/>
      <w:keepLines/>
      <w:numPr>
        <w:ilvl w:val="3"/>
        <w:numId w:val="30"/>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13931"/>
    <w:pPr>
      <w:keepNext/>
      <w:keepLines/>
      <w:numPr>
        <w:ilvl w:val="4"/>
        <w:numId w:val="30"/>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13931"/>
    <w:pPr>
      <w:keepNext/>
      <w:keepLines/>
      <w:numPr>
        <w:ilvl w:val="5"/>
        <w:numId w:val="30"/>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13931"/>
    <w:pPr>
      <w:keepNext/>
      <w:keepLines/>
      <w:numPr>
        <w:ilvl w:val="6"/>
        <w:numId w:val="3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13931"/>
    <w:pPr>
      <w:keepNext/>
      <w:keepLines/>
      <w:numPr>
        <w:ilvl w:val="7"/>
        <w:numId w:val="30"/>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13931"/>
    <w:pPr>
      <w:keepNext/>
      <w:keepLines/>
      <w:numPr>
        <w:ilvl w:val="8"/>
        <w:numId w:val="3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6B3A"/>
    <w:pPr>
      <w:ind w:left="720"/>
      <w:contextualSpacing/>
    </w:pPr>
  </w:style>
  <w:style w:type="table" w:styleId="TableGrid">
    <w:name w:val="Table Grid"/>
    <w:basedOn w:val="TableNormal"/>
    <w:uiPriority w:val="59"/>
    <w:rsid w:val="00F66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C1C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C6D"/>
    <w:rPr>
      <w:rFonts w:ascii="Tahoma" w:hAnsi="Tahoma" w:cs="Tahoma"/>
      <w:sz w:val="16"/>
      <w:szCs w:val="16"/>
    </w:rPr>
  </w:style>
  <w:style w:type="character" w:customStyle="1" w:styleId="Heading1Char">
    <w:name w:val="Heading 1 Char"/>
    <w:basedOn w:val="DefaultParagraphFont"/>
    <w:link w:val="Heading1"/>
    <w:uiPriority w:val="9"/>
    <w:rsid w:val="00F4156A"/>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F4156A"/>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F415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944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4468"/>
  </w:style>
  <w:style w:type="paragraph" w:styleId="Footer">
    <w:name w:val="footer"/>
    <w:basedOn w:val="Normal"/>
    <w:link w:val="FooterChar"/>
    <w:uiPriority w:val="99"/>
    <w:unhideWhenUsed/>
    <w:rsid w:val="006944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4468"/>
  </w:style>
  <w:style w:type="character" w:styleId="Hyperlink">
    <w:name w:val="Hyperlink"/>
    <w:basedOn w:val="DefaultParagraphFont"/>
    <w:uiPriority w:val="99"/>
    <w:unhideWhenUsed/>
    <w:rsid w:val="00694468"/>
    <w:rPr>
      <w:color w:val="0000FF" w:themeColor="hyperlink"/>
      <w:u w:val="single"/>
    </w:rPr>
  </w:style>
  <w:style w:type="character" w:styleId="Strong">
    <w:name w:val="Strong"/>
    <w:basedOn w:val="DefaultParagraphFont"/>
    <w:uiPriority w:val="22"/>
    <w:qFormat/>
    <w:rsid w:val="008B6634"/>
    <w:rPr>
      <w:b/>
      <w:bCs/>
    </w:rPr>
  </w:style>
  <w:style w:type="paragraph" w:styleId="TOCHeading">
    <w:name w:val="TOC Heading"/>
    <w:basedOn w:val="Heading1"/>
    <w:next w:val="Normal"/>
    <w:uiPriority w:val="39"/>
    <w:unhideWhenUsed/>
    <w:qFormat/>
    <w:rsid w:val="007D5030"/>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qFormat/>
    <w:rsid w:val="005A6276"/>
    <w:pPr>
      <w:tabs>
        <w:tab w:val="right" w:leader="dot" w:pos="9016"/>
      </w:tabs>
      <w:spacing w:after="100"/>
    </w:pPr>
    <w:rPr>
      <w:rFonts w:ascii="Times New Roman" w:hAnsi="Times New Roman" w:cs="Times New Roman"/>
      <w:b/>
      <w:noProof/>
      <w:sz w:val="24"/>
    </w:rPr>
  </w:style>
  <w:style w:type="paragraph" w:styleId="TOC2">
    <w:name w:val="toc 2"/>
    <w:basedOn w:val="Normal"/>
    <w:next w:val="Normal"/>
    <w:autoRedefine/>
    <w:uiPriority w:val="39"/>
    <w:unhideWhenUsed/>
    <w:qFormat/>
    <w:rsid w:val="007D5030"/>
    <w:pPr>
      <w:spacing w:after="100"/>
      <w:ind w:left="220"/>
    </w:pPr>
  </w:style>
  <w:style w:type="character" w:customStyle="1" w:styleId="Heading3Char">
    <w:name w:val="Heading 3 Char"/>
    <w:basedOn w:val="DefaultParagraphFont"/>
    <w:link w:val="Heading3"/>
    <w:uiPriority w:val="9"/>
    <w:rsid w:val="00766DF2"/>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qFormat/>
    <w:rsid w:val="005F6CED"/>
    <w:pPr>
      <w:spacing w:after="100"/>
      <w:ind w:left="440"/>
    </w:pPr>
  </w:style>
  <w:style w:type="paragraph" w:styleId="Subtitle">
    <w:name w:val="Subtitle"/>
    <w:basedOn w:val="Normal"/>
    <w:next w:val="Normal"/>
    <w:link w:val="SubtitleChar"/>
    <w:uiPriority w:val="11"/>
    <w:qFormat/>
    <w:rsid w:val="005322A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322A9"/>
    <w:rPr>
      <w:rFonts w:asciiTheme="majorHAnsi" w:eastAsiaTheme="majorEastAsia" w:hAnsiTheme="majorHAnsi" w:cstheme="majorBidi"/>
      <w:i/>
      <w:iCs/>
      <w:color w:val="4F81BD" w:themeColor="accent1"/>
      <w:spacing w:val="15"/>
      <w:sz w:val="24"/>
      <w:szCs w:val="24"/>
    </w:rPr>
  </w:style>
  <w:style w:type="paragraph" w:styleId="Caption">
    <w:name w:val="caption"/>
    <w:basedOn w:val="Normal"/>
    <w:next w:val="Normal"/>
    <w:uiPriority w:val="35"/>
    <w:unhideWhenUsed/>
    <w:qFormat/>
    <w:rsid w:val="005322A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322A9"/>
    <w:pPr>
      <w:spacing w:after="0"/>
    </w:pPr>
  </w:style>
  <w:style w:type="paragraph" w:styleId="TOAHeading">
    <w:name w:val="toa heading"/>
    <w:basedOn w:val="Normal"/>
    <w:next w:val="Normal"/>
    <w:uiPriority w:val="99"/>
    <w:unhideWhenUsed/>
    <w:rsid w:val="005322A9"/>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unhideWhenUsed/>
    <w:rsid w:val="005322A9"/>
    <w:pPr>
      <w:spacing w:after="0"/>
      <w:ind w:left="220" w:hanging="220"/>
    </w:pPr>
  </w:style>
  <w:style w:type="character" w:customStyle="1" w:styleId="bigger1">
    <w:name w:val="bigger1"/>
    <w:basedOn w:val="DefaultParagraphFont"/>
    <w:rsid w:val="00AC72DE"/>
    <w:rPr>
      <w:sz w:val="26"/>
      <w:szCs w:val="26"/>
    </w:rPr>
  </w:style>
  <w:style w:type="paragraph" w:styleId="TOC4">
    <w:name w:val="toc 4"/>
    <w:basedOn w:val="Normal"/>
    <w:next w:val="Normal"/>
    <w:autoRedefine/>
    <w:uiPriority w:val="39"/>
    <w:unhideWhenUsed/>
    <w:rsid w:val="00583CE4"/>
    <w:pPr>
      <w:spacing w:after="100"/>
      <w:ind w:left="660"/>
    </w:pPr>
    <w:rPr>
      <w:rFonts w:eastAsiaTheme="minorEastAsia"/>
      <w:lang w:eastAsia="en-GB"/>
    </w:rPr>
  </w:style>
  <w:style w:type="paragraph" w:styleId="TOC5">
    <w:name w:val="toc 5"/>
    <w:basedOn w:val="Normal"/>
    <w:next w:val="Normal"/>
    <w:autoRedefine/>
    <w:uiPriority w:val="39"/>
    <w:unhideWhenUsed/>
    <w:rsid w:val="00583CE4"/>
    <w:pPr>
      <w:spacing w:after="100"/>
      <w:ind w:left="880"/>
    </w:pPr>
    <w:rPr>
      <w:rFonts w:eastAsiaTheme="minorEastAsia"/>
      <w:lang w:eastAsia="en-GB"/>
    </w:rPr>
  </w:style>
  <w:style w:type="paragraph" w:styleId="TOC6">
    <w:name w:val="toc 6"/>
    <w:basedOn w:val="Normal"/>
    <w:next w:val="Normal"/>
    <w:autoRedefine/>
    <w:uiPriority w:val="39"/>
    <w:unhideWhenUsed/>
    <w:rsid w:val="00583CE4"/>
    <w:pPr>
      <w:spacing w:after="100"/>
      <w:ind w:left="1100"/>
    </w:pPr>
    <w:rPr>
      <w:rFonts w:eastAsiaTheme="minorEastAsia"/>
      <w:lang w:eastAsia="en-GB"/>
    </w:rPr>
  </w:style>
  <w:style w:type="paragraph" w:styleId="TOC7">
    <w:name w:val="toc 7"/>
    <w:basedOn w:val="Normal"/>
    <w:next w:val="Normal"/>
    <w:autoRedefine/>
    <w:uiPriority w:val="39"/>
    <w:unhideWhenUsed/>
    <w:rsid w:val="00583CE4"/>
    <w:pPr>
      <w:spacing w:after="100"/>
      <w:ind w:left="1320"/>
    </w:pPr>
    <w:rPr>
      <w:rFonts w:eastAsiaTheme="minorEastAsia"/>
      <w:lang w:eastAsia="en-GB"/>
    </w:rPr>
  </w:style>
  <w:style w:type="paragraph" w:styleId="TOC8">
    <w:name w:val="toc 8"/>
    <w:basedOn w:val="Normal"/>
    <w:next w:val="Normal"/>
    <w:autoRedefine/>
    <w:uiPriority w:val="39"/>
    <w:unhideWhenUsed/>
    <w:rsid w:val="00583CE4"/>
    <w:pPr>
      <w:spacing w:after="100"/>
      <w:ind w:left="1540"/>
    </w:pPr>
    <w:rPr>
      <w:rFonts w:eastAsiaTheme="minorEastAsia"/>
      <w:lang w:eastAsia="en-GB"/>
    </w:rPr>
  </w:style>
  <w:style w:type="paragraph" w:styleId="TOC9">
    <w:name w:val="toc 9"/>
    <w:basedOn w:val="Normal"/>
    <w:next w:val="Normal"/>
    <w:autoRedefine/>
    <w:uiPriority w:val="39"/>
    <w:unhideWhenUsed/>
    <w:rsid w:val="00583CE4"/>
    <w:pPr>
      <w:spacing w:after="100"/>
      <w:ind w:left="1760"/>
    </w:pPr>
    <w:rPr>
      <w:rFonts w:eastAsiaTheme="minorEastAsia"/>
      <w:lang w:eastAsia="en-GB"/>
    </w:rPr>
  </w:style>
  <w:style w:type="character" w:customStyle="1" w:styleId="Heading4Char">
    <w:name w:val="Heading 4 Char"/>
    <w:basedOn w:val="DefaultParagraphFont"/>
    <w:link w:val="Heading4"/>
    <w:uiPriority w:val="9"/>
    <w:semiHidden/>
    <w:rsid w:val="0021393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13931"/>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13931"/>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1393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1393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13931"/>
    <w:rPr>
      <w:rFonts w:asciiTheme="majorHAnsi" w:eastAsiaTheme="majorEastAsia" w:hAnsiTheme="majorHAnsi" w:cstheme="majorBidi"/>
      <w:i/>
      <w:iCs/>
      <w:color w:val="404040" w:themeColor="text1" w:themeTint="BF"/>
      <w:sz w:val="20"/>
      <w:szCs w:val="20"/>
    </w:rPr>
  </w:style>
  <w:style w:type="paragraph" w:customStyle="1" w:styleId="Default">
    <w:name w:val="Default"/>
    <w:rsid w:val="009F3A9D"/>
    <w:pPr>
      <w:autoSpaceDE w:val="0"/>
      <w:autoSpaceDN w:val="0"/>
      <w:adjustRightInd w:val="0"/>
      <w:spacing w:after="0" w:line="240" w:lineRule="auto"/>
    </w:pPr>
    <w:rPr>
      <w:rFonts w:ascii="Symbol" w:hAnsi="Symbol" w:cs="Symbol"/>
      <w:color w:val="000000"/>
      <w:sz w:val="24"/>
      <w:szCs w:val="24"/>
    </w:rPr>
  </w:style>
  <w:style w:type="character" w:styleId="HTMLCite">
    <w:name w:val="HTML Cite"/>
    <w:basedOn w:val="DefaultParagraphFont"/>
    <w:uiPriority w:val="99"/>
    <w:semiHidden/>
    <w:unhideWhenUsed/>
    <w:rsid w:val="00E34513"/>
    <w:rPr>
      <w:i/>
      <w:iCs/>
    </w:rPr>
  </w:style>
  <w:style w:type="character" w:styleId="Emphasis">
    <w:name w:val="Emphasis"/>
    <w:basedOn w:val="DefaultParagraphFont"/>
    <w:uiPriority w:val="20"/>
    <w:qFormat/>
    <w:rsid w:val="00E3451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979"/>
  </w:style>
  <w:style w:type="paragraph" w:styleId="Heading1">
    <w:name w:val="heading 1"/>
    <w:basedOn w:val="Normal"/>
    <w:link w:val="Heading1Char"/>
    <w:uiPriority w:val="9"/>
    <w:qFormat/>
    <w:rsid w:val="00F4156A"/>
    <w:pPr>
      <w:numPr>
        <w:numId w:val="30"/>
      </w:num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F4156A"/>
    <w:pPr>
      <w:numPr>
        <w:ilvl w:val="1"/>
        <w:numId w:val="30"/>
      </w:num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766DF2"/>
    <w:pPr>
      <w:keepNext/>
      <w:keepLines/>
      <w:numPr>
        <w:ilvl w:val="2"/>
        <w:numId w:val="30"/>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13931"/>
    <w:pPr>
      <w:keepNext/>
      <w:keepLines/>
      <w:numPr>
        <w:ilvl w:val="3"/>
        <w:numId w:val="30"/>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13931"/>
    <w:pPr>
      <w:keepNext/>
      <w:keepLines/>
      <w:numPr>
        <w:ilvl w:val="4"/>
        <w:numId w:val="30"/>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13931"/>
    <w:pPr>
      <w:keepNext/>
      <w:keepLines/>
      <w:numPr>
        <w:ilvl w:val="5"/>
        <w:numId w:val="30"/>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13931"/>
    <w:pPr>
      <w:keepNext/>
      <w:keepLines/>
      <w:numPr>
        <w:ilvl w:val="6"/>
        <w:numId w:val="3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13931"/>
    <w:pPr>
      <w:keepNext/>
      <w:keepLines/>
      <w:numPr>
        <w:ilvl w:val="7"/>
        <w:numId w:val="30"/>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13931"/>
    <w:pPr>
      <w:keepNext/>
      <w:keepLines/>
      <w:numPr>
        <w:ilvl w:val="8"/>
        <w:numId w:val="3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6B3A"/>
    <w:pPr>
      <w:ind w:left="720"/>
      <w:contextualSpacing/>
    </w:pPr>
  </w:style>
  <w:style w:type="table" w:styleId="TableGrid">
    <w:name w:val="Table Grid"/>
    <w:basedOn w:val="TableNormal"/>
    <w:uiPriority w:val="59"/>
    <w:rsid w:val="00F66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C1C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C6D"/>
    <w:rPr>
      <w:rFonts w:ascii="Tahoma" w:hAnsi="Tahoma" w:cs="Tahoma"/>
      <w:sz w:val="16"/>
      <w:szCs w:val="16"/>
    </w:rPr>
  </w:style>
  <w:style w:type="character" w:customStyle="1" w:styleId="Heading1Char">
    <w:name w:val="Heading 1 Char"/>
    <w:basedOn w:val="DefaultParagraphFont"/>
    <w:link w:val="Heading1"/>
    <w:uiPriority w:val="9"/>
    <w:rsid w:val="00F4156A"/>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F4156A"/>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F415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944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4468"/>
  </w:style>
  <w:style w:type="paragraph" w:styleId="Footer">
    <w:name w:val="footer"/>
    <w:basedOn w:val="Normal"/>
    <w:link w:val="FooterChar"/>
    <w:uiPriority w:val="99"/>
    <w:unhideWhenUsed/>
    <w:rsid w:val="006944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4468"/>
  </w:style>
  <w:style w:type="character" w:styleId="Hyperlink">
    <w:name w:val="Hyperlink"/>
    <w:basedOn w:val="DefaultParagraphFont"/>
    <w:uiPriority w:val="99"/>
    <w:unhideWhenUsed/>
    <w:rsid w:val="00694468"/>
    <w:rPr>
      <w:color w:val="0000FF" w:themeColor="hyperlink"/>
      <w:u w:val="single"/>
    </w:rPr>
  </w:style>
  <w:style w:type="character" w:styleId="Strong">
    <w:name w:val="Strong"/>
    <w:basedOn w:val="DefaultParagraphFont"/>
    <w:uiPriority w:val="22"/>
    <w:qFormat/>
    <w:rsid w:val="008B6634"/>
    <w:rPr>
      <w:b/>
      <w:bCs/>
    </w:rPr>
  </w:style>
  <w:style w:type="paragraph" w:styleId="TOCHeading">
    <w:name w:val="TOC Heading"/>
    <w:basedOn w:val="Heading1"/>
    <w:next w:val="Normal"/>
    <w:uiPriority w:val="39"/>
    <w:unhideWhenUsed/>
    <w:qFormat/>
    <w:rsid w:val="007D5030"/>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qFormat/>
    <w:rsid w:val="005A6276"/>
    <w:pPr>
      <w:tabs>
        <w:tab w:val="right" w:leader="dot" w:pos="9016"/>
      </w:tabs>
      <w:spacing w:after="100"/>
    </w:pPr>
    <w:rPr>
      <w:rFonts w:ascii="Times New Roman" w:hAnsi="Times New Roman" w:cs="Times New Roman"/>
      <w:b/>
      <w:noProof/>
      <w:sz w:val="24"/>
    </w:rPr>
  </w:style>
  <w:style w:type="paragraph" w:styleId="TOC2">
    <w:name w:val="toc 2"/>
    <w:basedOn w:val="Normal"/>
    <w:next w:val="Normal"/>
    <w:autoRedefine/>
    <w:uiPriority w:val="39"/>
    <w:unhideWhenUsed/>
    <w:qFormat/>
    <w:rsid w:val="007D5030"/>
    <w:pPr>
      <w:spacing w:after="100"/>
      <w:ind w:left="220"/>
    </w:pPr>
  </w:style>
  <w:style w:type="character" w:customStyle="1" w:styleId="Heading3Char">
    <w:name w:val="Heading 3 Char"/>
    <w:basedOn w:val="DefaultParagraphFont"/>
    <w:link w:val="Heading3"/>
    <w:uiPriority w:val="9"/>
    <w:rsid w:val="00766DF2"/>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qFormat/>
    <w:rsid w:val="005F6CED"/>
    <w:pPr>
      <w:spacing w:after="100"/>
      <w:ind w:left="440"/>
    </w:pPr>
  </w:style>
  <w:style w:type="paragraph" w:styleId="Subtitle">
    <w:name w:val="Subtitle"/>
    <w:basedOn w:val="Normal"/>
    <w:next w:val="Normal"/>
    <w:link w:val="SubtitleChar"/>
    <w:uiPriority w:val="11"/>
    <w:qFormat/>
    <w:rsid w:val="005322A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322A9"/>
    <w:rPr>
      <w:rFonts w:asciiTheme="majorHAnsi" w:eastAsiaTheme="majorEastAsia" w:hAnsiTheme="majorHAnsi" w:cstheme="majorBidi"/>
      <w:i/>
      <w:iCs/>
      <w:color w:val="4F81BD" w:themeColor="accent1"/>
      <w:spacing w:val="15"/>
      <w:sz w:val="24"/>
      <w:szCs w:val="24"/>
    </w:rPr>
  </w:style>
  <w:style w:type="paragraph" w:styleId="Caption">
    <w:name w:val="caption"/>
    <w:basedOn w:val="Normal"/>
    <w:next w:val="Normal"/>
    <w:uiPriority w:val="35"/>
    <w:unhideWhenUsed/>
    <w:qFormat/>
    <w:rsid w:val="005322A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322A9"/>
    <w:pPr>
      <w:spacing w:after="0"/>
    </w:pPr>
  </w:style>
  <w:style w:type="paragraph" w:styleId="TOAHeading">
    <w:name w:val="toa heading"/>
    <w:basedOn w:val="Normal"/>
    <w:next w:val="Normal"/>
    <w:uiPriority w:val="99"/>
    <w:unhideWhenUsed/>
    <w:rsid w:val="005322A9"/>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unhideWhenUsed/>
    <w:rsid w:val="005322A9"/>
    <w:pPr>
      <w:spacing w:after="0"/>
      <w:ind w:left="220" w:hanging="220"/>
    </w:pPr>
  </w:style>
  <w:style w:type="character" w:customStyle="1" w:styleId="bigger1">
    <w:name w:val="bigger1"/>
    <w:basedOn w:val="DefaultParagraphFont"/>
    <w:rsid w:val="00AC72DE"/>
    <w:rPr>
      <w:sz w:val="26"/>
      <w:szCs w:val="26"/>
    </w:rPr>
  </w:style>
  <w:style w:type="paragraph" w:styleId="TOC4">
    <w:name w:val="toc 4"/>
    <w:basedOn w:val="Normal"/>
    <w:next w:val="Normal"/>
    <w:autoRedefine/>
    <w:uiPriority w:val="39"/>
    <w:unhideWhenUsed/>
    <w:rsid w:val="00583CE4"/>
    <w:pPr>
      <w:spacing w:after="100"/>
      <w:ind w:left="660"/>
    </w:pPr>
    <w:rPr>
      <w:rFonts w:eastAsiaTheme="minorEastAsia"/>
      <w:lang w:eastAsia="en-GB"/>
    </w:rPr>
  </w:style>
  <w:style w:type="paragraph" w:styleId="TOC5">
    <w:name w:val="toc 5"/>
    <w:basedOn w:val="Normal"/>
    <w:next w:val="Normal"/>
    <w:autoRedefine/>
    <w:uiPriority w:val="39"/>
    <w:unhideWhenUsed/>
    <w:rsid w:val="00583CE4"/>
    <w:pPr>
      <w:spacing w:after="100"/>
      <w:ind w:left="880"/>
    </w:pPr>
    <w:rPr>
      <w:rFonts w:eastAsiaTheme="minorEastAsia"/>
      <w:lang w:eastAsia="en-GB"/>
    </w:rPr>
  </w:style>
  <w:style w:type="paragraph" w:styleId="TOC6">
    <w:name w:val="toc 6"/>
    <w:basedOn w:val="Normal"/>
    <w:next w:val="Normal"/>
    <w:autoRedefine/>
    <w:uiPriority w:val="39"/>
    <w:unhideWhenUsed/>
    <w:rsid w:val="00583CE4"/>
    <w:pPr>
      <w:spacing w:after="100"/>
      <w:ind w:left="1100"/>
    </w:pPr>
    <w:rPr>
      <w:rFonts w:eastAsiaTheme="minorEastAsia"/>
      <w:lang w:eastAsia="en-GB"/>
    </w:rPr>
  </w:style>
  <w:style w:type="paragraph" w:styleId="TOC7">
    <w:name w:val="toc 7"/>
    <w:basedOn w:val="Normal"/>
    <w:next w:val="Normal"/>
    <w:autoRedefine/>
    <w:uiPriority w:val="39"/>
    <w:unhideWhenUsed/>
    <w:rsid w:val="00583CE4"/>
    <w:pPr>
      <w:spacing w:after="100"/>
      <w:ind w:left="1320"/>
    </w:pPr>
    <w:rPr>
      <w:rFonts w:eastAsiaTheme="minorEastAsia"/>
      <w:lang w:eastAsia="en-GB"/>
    </w:rPr>
  </w:style>
  <w:style w:type="paragraph" w:styleId="TOC8">
    <w:name w:val="toc 8"/>
    <w:basedOn w:val="Normal"/>
    <w:next w:val="Normal"/>
    <w:autoRedefine/>
    <w:uiPriority w:val="39"/>
    <w:unhideWhenUsed/>
    <w:rsid w:val="00583CE4"/>
    <w:pPr>
      <w:spacing w:after="100"/>
      <w:ind w:left="1540"/>
    </w:pPr>
    <w:rPr>
      <w:rFonts w:eastAsiaTheme="minorEastAsia"/>
      <w:lang w:eastAsia="en-GB"/>
    </w:rPr>
  </w:style>
  <w:style w:type="paragraph" w:styleId="TOC9">
    <w:name w:val="toc 9"/>
    <w:basedOn w:val="Normal"/>
    <w:next w:val="Normal"/>
    <w:autoRedefine/>
    <w:uiPriority w:val="39"/>
    <w:unhideWhenUsed/>
    <w:rsid w:val="00583CE4"/>
    <w:pPr>
      <w:spacing w:after="100"/>
      <w:ind w:left="1760"/>
    </w:pPr>
    <w:rPr>
      <w:rFonts w:eastAsiaTheme="minorEastAsia"/>
      <w:lang w:eastAsia="en-GB"/>
    </w:rPr>
  </w:style>
  <w:style w:type="character" w:customStyle="1" w:styleId="Heading4Char">
    <w:name w:val="Heading 4 Char"/>
    <w:basedOn w:val="DefaultParagraphFont"/>
    <w:link w:val="Heading4"/>
    <w:uiPriority w:val="9"/>
    <w:semiHidden/>
    <w:rsid w:val="0021393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13931"/>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13931"/>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1393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1393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13931"/>
    <w:rPr>
      <w:rFonts w:asciiTheme="majorHAnsi" w:eastAsiaTheme="majorEastAsia" w:hAnsiTheme="majorHAnsi" w:cstheme="majorBidi"/>
      <w:i/>
      <w:iCs/>
      <w:color w:val="404040" w:themeColor="text1" w:themeTint="BF"/>
      <w:sz w:val="20"/>
      <w:szCs w:val="20"/>
    </w:rPr>
  </w:style>
  <w:style w:type="paragraph" w:customStyle="1" w:styleId="Default">
    <w:name w:val="Default"/>
    <w:rsid w:val="009F3A9D"/>
    <w:pPr>
      <w:autoSpaceDE w:val="0"/>
      <w:autoSpaceDN w:val="0"/>
      <w:adjustRightInd w:val="0"/>
      <w:spacing w:after="0" w:line="240" w:lineRule="auto"/>
    </w:pPr>
    <w:rPr>
      <w:rFonts w:ascii="Symbol" w:hAnsi="Symbol" w:cs="Symbol"/>
      <w:color w:val="000000"/>
      <w:sz w:val="24"/>
      <w:szCs w:val="24"/>
    </w:rPr>
  </w:style>
  <w:style w:type="character" w:styleId="HTMLCite">
    <w:name w:val="HTML Cite"/>
    <w:basedOn w:val="DefaultParagraphFont"/>
    <w:uiPriority w:val="99"/>
    <w:semiHidden/>
    <w:unhideWhenUsed/>
    <w:rsid w:val="00E34513"/>
    <w:rPr>
      <w:i/>
      <w:iCs/>
    </w:rPr>
  </w:style>
  <w:style w:type="character" w:styleId="Emphasis">
    <w:name w:val="Emphasis"/>
    <w:basedOn w:val="DefaultParagraphFont"/>
    <w:uiPriority w:val="20"/>
    <w:qFormat/>
    <w:rsid w:val="00E3451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571270">
      <w:bodyDiv w:val="1"/>
      <w:marLeft w:val="0"/>
      <w:marRight w:val="0"/>
      <w:marTop w:val="0"/>
      <w:marBottom w:val="0"/>
      <w:divBdr>
        <w:top w:val="none" w:sz="0" w:space="0" w:color="auto"/>
        <w:left w:val="none" w:sz="0" w:space="0" w:color="auto"/>
        <w:bottom w:val="none" w:sz="0" w:space="0" w:color="auto"/>
        <w:right w:val="none" w:sz="0" w:space="0" w:color="auto"/>
      </w:divBdr>
      <w:divsChild>
        <w:div w:id="908727538">
          <w:marLeft w:val="0"/>
          <w:marRight w:val="0"/>
          <w:marTop w:val="0"/>
          <w:marBottom w:val="0"/>
          <w:divBdr>
            <w:top w:val="none" w:sz="0" w:space="0" w:color="auto"/>
            <w:left w:val="none" w:sz="0" w:space="0" w:color="auto"/>
            <w:bottom w:val="none" w:sz="0" w:space="0" w:color="auto"/>
            <w:right w:val="none" w:sz="0" w:space="0" w:color="auto"/>
          </w:divBdr>
          <w:divsChild>
            <w:div w:id="2095472691">
              <w:marLeft w:val="0"/>
              <w:marRight w:val="0"/>
              <w:marTop w:val="0"/>
              <w:marBottom w:val="0"/>
              <w:divBdr>
                <w:top w:val="none" w:sz="0" w:space="0" w:color="auto"/>
                <w:left w:val="none" w:sz="0" w:space="0" w:color="auto"/>
                <w:bottom w:val="none" w:sz="0" w:space="0" w:color="auto"/>
                <w:right w:val="none" w:sz="0" w:space="0" w:color="auto"/>
              </w:divBdr>
              <w:divsChild>
                <w:div w:id="86005396">
                  <w:marLeft w:val="0"/>
                  <w:marRight w:val="0"/>
                  <w:marTop w:val="0"/>
                  <w:marBottom w:val="0"/>
                  <w:divBdr>
                    <w:top w:val="none" w:sz="0" w:space="0" w:color="auto"/>
                    <w:left w:val="none" w:sz="0" w:space="0" w:color="auto"/>
                    <w:bottom w:val="none" w:sz="0" w:space="0" w:color="auto"/>
                    <w:right w:val="none" w:sz="0" w:space="0" w:color="auto"/>
                  </w:divBdr>
                  <w:divsChild>
                    <w:div w:id="914438001">
                      <w:marLeft w:val="0"/>
                      <w:marRight w:val="0"/>
                      <w:marTop w:val="0"/>
                      <w:marBottom w:val="0"/>
                      <w:divBdr>
                        <w:top w:val="none" w:sz="0" w:space="0" w:color="auto"/>
                        <w:left w:val="none" w:sz="0" w:space="0" w:color="auto"/>
                        <w:bottom w:val="none" w:sz="0" w:space="0" w:color="auto"/>
                        <w:right w:val="none" w:sz="0" w:space="0" w:color="auto"/>
                      </w:divBdr>
                      <w:divsChild>
                        <w:div w:id="698507959">
                          <w:marLeft w:val="120"/>
                          <w:marRight w:val="120"/>
                          <w:marTop w:val="120"/>
                          <w:marBottom w:val="120"/>
                          <w:divBdr>
                            <w:top w:val="none" w:sz="0" w:space="0" w:color="auto"/>
                            <w:left w:val="none" w:sz="0" w:space="0" w:color="auto"/>
                            <w:bottom w:val="none" w:sz="0" w:space="0" w:color="auto"/>
                            <w:right w:val="none" w:sz="0" w:space="0" w:color="auto"/>
                          </w:divBdr>
                          <w:divsChild>
                            <w:div w:id="1423183327">
                              <w:marLeft w:val="0"/>
                              <w:marRight w:val="0"/>
                              <w:marTop w:val="0"/>
                              <w:marBottom w:val="0"/>
                              <w:divBdr>
                                <w:top w:val="single" w:sz="6" w:space="8" w:color="CCCCCC"/>
                                <w:left w:val="none" w:sz="0" w:space="0" w:color="auto"/>
                                <w:bottom w:val="none" w:sz="0" w:space="0" w:color="auto"/>
                                <w:right w:val="none" w:sz="0" w:space="0" w:color="auto"/>
                              </w:divBdr>
                            </w:div>
                          </w:divsChild>
                        </w:div>
                      </w:divsChild>
                    </w:div>
                  </w:divsChild>
                </w:div>
              </w:divsChild>
            </w:div>
          </w:divsChild>
        </w:div>
      </w:divsChild>
    </w:div>
    <w:div w:id="215967665">
      <w:bodyDiv w:val="1"/>
      <w:marLeft w:val="0"/>
      <w:marRight w:val="0"/>
      <w:marTop w:val="0"/>
      <w:marBottom w:val="0"/>
      <w:divBdr>
        <w:top w:val="none" w:sz="0" w:space="0" w:color="auto"/>
        <w:left w:val="none" w:sz="0" w:space="0" w:color="auto"/>
        <w:bottom w:val="none" w:sz="0" w:space="0" w:color="auto"/>
        <w:right w:val="none" w:sz="0" w:space="0" w:color="auto"/>
      </w:divBdr>
      <w:divsChild>
        <w:div w:id="1868253927">
          <w:marLeft w:val="0"/>
          <w:marRight w:val="0"/>
          <w:marTop w:val="0"/>
          <w:marBottom w:val="0"/>
          <w:divBdr>
            <w:top w:val="none" w:sz="0" w:space="0" w:color="auto"/>
            <w:left w:val="none" w:sz="0" w:space="0" w:color="auto"/>
            <w:bottom w:val="none" w:sz="0" w:space="0" w:color="auto"/>
            <w:right w:val="none" w:sz="0" w:space="0" w:color="auto"/>
          </w:divBdr>
          <w:divsChild>
            <w:div w:id="692801147">
              <w:marLeft w:val="0"/>
              <w:marRight w:val="0"/>
              <w:marTop w:val="0"/>
              <w:marBottom w:val="0"/>
              <w:divBdr>
                <w:top w:val="none" w:sz="0" w:space="0" w:color="auto"/>
                <w:left w:val="none" w:sz="0" w:space="0" w:color="auto"/>
                <w:bottom w:val="none" w:sz="0" w:space="0" w:color="auto"/>
                <w:right w:val="none" w:sz="0" w:space="0" w:color="auto"/>
              </w:divBdr>
              <w:divsChild>
                <w:div w:id="900679259">
                  <w:marLeft w:val="0"/>
                  <w:marRight w:val="0"/>
                  <w:marTop w:val="0"/>
                  <w:marBottom w:val="0"/>
                  <w:divBdr>
                    <w:top w:val="none" w:sz="0" w:space="0" w:color="auto"/>
                    <w:left w:val="none" w:sz="0" w:space="0" w:color="auto"/>
                    <w:bottom w:val="none" w:sz="0" w:space="0" w:color="auto"/>
                    <w:right w:val="none" w:sz="0" w:space="0" w:color="auto"/>
                  </w:divBdr>
                  <w:divsChild>
                    <w:div w:id="888372291">
                      <w:marLeft w:val="0"/>
                      <w:marRight w:val="0"/>
                      <w:marTop w:val="0"/>
                      <w:marBottom w:val="0"/>
                      <w:divBdr>
                        <w:top w:val="none" w:sz="0" w:space="0" w:color="auto"/>
                        <w:left w:val="none" w:sz="0" w:space="0" w:color="auto"/>
                        <w:bottom w:val="none" w:sz="0" w:space="0" w:color="auto"/>
                        <w:right w:val="none" w:sz="0" w:space="0" w:color="auto"/>
                      </w:divBdr>
                      <w:divsChild>
                        <w:div w:id="1303196947">
                          <w:marLeft w:val="0"/>
                          <w:marRight w:val="0"/>
                          <w:marTop w:val="0"/>
                          <w:marBottom w:val="0"/>
                          <w:divBdr>
                            <w:top w:val="none" w:sz="0" w:space="0" w:color="auto"/>
                            <w:left w:val="none" w:sz="0" w:space="0" w:color="auto"/>
                            <w:bottom w:val="none" w:sz="0" w:space="0" w:color="auto"/>
                            <w:right w:val="none" w:sz="0" w:space="0" w:color="auto"/>
                          </w:divBdr>
                          <w:divsChild>
                            <w:div w:id="805008944">
                              <w:marLeft w:val="0"/>
                              <w:marRight w:val="0"/>
                              <w:marTop w:val="0"/>
                              <w:marBottom w:val="0"/>
                              <w:divBdr>
                                <w:top w:val="none" w:sz="0" w:space="0" w:color="auto"/>
                                <w:left w:val="none" w:sz="0" w:space="0" w:color="auto"/>
                                <w:bottom w:val="none" w:sz="0" w:space="0" w:color="auto"/>
                                <w:right w:val="none" w:sz="0" w:space="0" w:color="auto"/>
                              </w:divBdr>
                              <w:divsChild>
                                <w:div w:id="254679430">
                                  <w:marLeft w:val="0"/>
                                  <w:marRight w:val="0"/>
                                  <w:marTop w:val="0"/>
                                  <w:marBottom w:val="0"/>
                                  <w:divBdr>
                                    <w:top w:val="none" w:sz="0" w:space="0" w:color="auto"/>
                                    <w:left w:val="none" w:sz="0" w:space="0" w:color="auto"/>
                                    <w:bottom w:val="none" w:sz="0" w:space="0" w:color="auto"/>
                                    <w:right w:val="none" w:sz="0" w:space="0" w:color="auto"/>
                                  </w:divBdr>
                                  <w:divsChild>
                                    <w:div w:id="1879781482">
                                      <w:marLeft w:val="0"/>
                                      <w:marRight w:val="0"/>
                                      <w:marTop w:val="0"/>
                                      <w:marBottom w:val="0"/>
                                      <w:divBdr>
                                        <w:top w:val="none" w:sz="0" w:space="0" w:color="auto"/>
                                        <w:left w:val="none" w:sz="0" w:space="0" w:color="auto"/>
                                        <w:bottom w:val="none" w:sz="0" w:space="0" w:color="auto"/>
                                        <w:right w:val="none" w:sz="0" w:space="0" w:color="auto"/>
                                      </w:divBdr>
                                      <w:divsChild>
                                        <w:div w:id="1795247386">
                                          <w:marLeft w:val="0"/>
                                          <w:marRight w:val="0"/>
                                          <w:marTop w:val="0"/>
                                          <w:marBottom w:val="0"/>
                                          <w:divBdr>
                                            <w:top w:val="none" w:sz="0" w:space="0" w:color="auto"/>
                                            <w:left w:val="none" w:sz="0" w:space="0" w:color="auto"/>
                                            <w:bottom w:val="none" w:sz="0" w:space="0" w:color="auto"/>
                                            <w:right w:val="none" w:sz="0" w:space="0" w:color="auto"/>
                                          </w:divBdr>
                                        </w:div>
                                      </w:divsChild>
                                    </w:div>
                                    <w:div w:id="194780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2368505">
      <w:bodyDiv w:val="1"/>
      <w:marLeft w:val="0"/>
      <w:marRight w:val="0"/>
      <w:marTop w:val="0"/>
      <w:marBottom w:val="0"/>
      <w:divBdr>
        <w:top w:val="none" w:sz="0" w:space="0" w:color="auto"/>
        <w:left w:val="none" w:sz="0" w:space="0" w:color="auto"/>
        <w:bottom w:val="none" w:sz="0" w:space="0" w:color="auto"/>
        <w:right w:val="none" w:sz="0" w:space="0" w:color="auto"/>
      </w:divBdr>
    </w:div>
    <w:div w:id="329405323">
      <w:bodyDiv w:val="1"/>
      <w:marLeft w:val="0"/>
      <w:marRight w:val="0"/>
      <w:marTop w:val="0"/>
      <w:marBottom w:val="0"/>
      <w:divBdr>
        <w:top w:val="none" w:sz="0" w:space="0" w:color="auto"/>
        <w:left w:val="none" w:sz="0" w:space="0" w:color="auto"/>
        <w:bottom w:val="none" w:sz="0" w:space="0" w:color="auto"/>
        <w:right w:val="none" w:sz="0" w:space="0" w:color="auto"/>
      </w:divBdr>
      <w:divsChild>
        <w:div w:id="666597321">
          <w:marLeft w:val="0"/>
          <w:marRight w:val="0"/>
          <w:marTop w:val="240"/>
          <w:marBottom w:val="0"/>
          <w:divBdr>
            <w:top w:val="none" w:sz="0" w:space="0" w:color="auto"/>
            <w:left w:val="none" w:sz="0" w:space="0" w:color="auto"/>
            <w:bottom w:val="none" w:sz="0" w:space="0" w:color="auto"/>
            <w:right w:val="none" w:sz="0" w:space="0" w:color="auto"/>
          </w:divBdr>
          <w:divsChild>
            <w:div w:id="320693399">
              <w:marLeft w:val="0"/>
              <w:marRight w:val="0"/>
              <w:marTop w:val="0"/>
              <w:marBottom w:val="0"/>
              <w:divBdr>
                <w:top w:val="none" w:sz="0" w:space="0" w:color="auto"/>
                <w:left w:val="none" w:sz="0" w:space="0" w:color="auto"/>
                <w:bottom w:val="none" w:sz="0" w:space="0" w:color="auto"/>
                <w:right w:val="none" w:sz="0" w:space="0" w:color="auto"/>
              </w:divBdr>
              <w:divsChild>
                <w:div w:id="1087965575">
                  <w:marLeft w:val="0"/>
                  <w:marRight w:val="0"/>
                  <w:marTop w:val="0"/>
                  <w:marBottom w:val="0"/>
                  <w:divBdr>
                    <w:top w:val="none" w:sz="0" w:space="0" w:color="auto"/>
                    <w:left w:val="none" w:sz="0" w:space="0" w:color="auto"/>
                    <w:bottom w:val="none" w:sz="0" w:space="0" w:color="auto"/>
                    <w:right w:val="none" w:sz="0" w:space="0" w:color="auto"/>
                  </w:divBdr>
                  <w:divsChild>
                    <w:div w:id="2146389923">
                      <w:marLeft w:val="0"/>
                      <w:marRight w:val="0"/>
                      <w:marTop w:val="0"/>
                      <w:marBottom w:val="0"/>
                      <w:divBdr>
                        <w:top w:val="none" w:sz="0" w:space="0" w:color="auto"/>
                        <w:left w:val="none" w:sz="0" w:space="0" w:color="auto"/>
                        <w:bottom w:val="none" w:sz="0" w:space="0" w:color="auto"/>
                        <w:right w:val="none" w:sz="0" w:space="0" w:color="auto"/>
                      </w:divBdr>
                      <w:divsChild>
                        <w:div w:id="1268656708">
                          <w:marLeft w:val="0"/>
                          <w:marRight w:val="0"/>
                          <w:marTop w:val="0"/>
                          <w:marBottom w:val="0"/>
                          <w:divBdr>
                            <w:top w:val="single" w:sz="12" w:space="0" w:color="004A80"/>
                            <w:left w:val="single" w:sz="12" w:space="0" w:color="004A80"/>
                            <w:bottom w:val="single" w:sz="12" w:space="0" w:color="004A80"/>
                            <w:right w:val="single" w:sz="12" w:space="0" w:color="004A80"/>
                          </w:divBdr>
                          <w:divsChild>
                            <w:div w:id="1484008223">
                              <w:marLeft w:val="0"/>
                              <w:marRight w:val="0"/>
                              <w:marTop w:val="0"/>
                              <w:marBottom w:val="0"/>
                              <w:divBdr>
                                <w:top w:val="none" w:sz="0" w:space="0" w:color="auto"/>
                                <w:left w:val="none" w:sz="0" w:space="0" w:color="auto"/>
                                <w:bottom w:val="none" w:sz="0" w:space="0" w:color="auto"/>
                                <w:right w:val="none" w:sz="0" w:space="0" w:color="auto"/>
                              </w:divBdr>
                              <w:divsChild>
                                <w:div w:id="421099904">
                                  <w:marLeft w:val="0"/>
                                  <w:marRight w:val="0"/>
                                  <w:marTop w:val="0"/>
                                  <w:marBottom w:val="0"/>
                                  <w:divBdr>
                                    <w:top w:val="none" w:sz="0" w:space="0" w:color="auto"/>
                                    <w:left w:val="none" w:sz="0" w:space="0" w:color="auto"/>
                                    <w:bottom w:val="none" w:sz="0" w:space="0" w:color="auto"/>
                                    <w:right w:val="none" w:sz="0" w:space="0" w:color="auto"/>
                                  </w:divBdr>
                                  <w:divsChild>
                                    <w:div w:id="401637035">
                                      <w:marLeft w:val="0"/>
                                      <w:marRight w:val="0"/>
                                      <w:marTop w:val="0"/>
                                      <w:marBottom w:val="0"/>
                                      <w:divBdr>
                                        <w:top w:val="none" w:sz="0" w:space="0" w:color="auto"/>
                                        <w:left w:val="none" w:sz="0" w:space="0" w:color="auto"/>
                                        <w:bottom w:val="none" w:sz="0" w:space="0" w:color="auto"/>
                                        <w:right w:val="none" w:sz="0" w:space="0" w:color="auto"/>
                                      </w:divBdr>
                                      <w:divsChild>
                                        <w:div w:id="1297418151">
                                          <w:marLeft w:val="0"/>
                                          <w:marRight w:val="0"/>
                                          <w:marTop w:val="480"/>
                                          <w:marBottom w:val="0"/>
                                          <w:divBdr>
                                            <w:top w:val="single" w:sz="6" w:space="8" w:color="004A80"/>
                                            <w:left w:val="single" w:sz="6" w:space="8" w:color="004A80"/>
                                            <w:bottom w:val="single" w:sz="6" w:space="8" w:color="004A80"/>
                                            <w:right w:val="single" w:sz="6" w:space="8" w:color="004A80"/>
                                          </w:divBdr>
                                          <w:divsChild>
                                            <w:div w:id="1196892755">
                                              <w:marLeft w:val="0"/>
                                              <w:marRight w:val="0"/>
                                              <w:marTop w:val="0"/>
                                              <w:marBottom w:val="0"/>
                                              <w:divBdr>
                                                <w:top w:val="none" w:sz="0" w:space="0" w:color="auto"/>
                                                <w:left w:val="none" w:sz="0" w:space="0" w:color="auto"/>
                                                <w:bottom w:val="none" w:sz="0" w:space="0" w:color="auto"/>
                                                <w:right w:val="none" w:sz="0" w:space="0" w:color="auto"/>
                                              </w:divBdr>
                                              <w:divsChild>
                                                <w:div w:id="202801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11533148">
      <w:bodyDiv w:val="1"/>
      <w:marLeft w:val="0"/>
      <w:marRight w:val="0"/>
      <w:marTop w:val="0"/>
      <w:marBottom w:val="0"/>
      <w:divBdr>
        <w:top w:val="none" w:sz="0" w:space="0" w:color="auto"/>
        <w:left w:val="none" w:sz="0" w:space="0" w:color="auto"/>
        <w:bottom w:val="none" w:sz="0" w:space="0" w:color="auto"/>
        <w:right w:val="none" w:sz="0" w:space="0" w:color="auto"/>
      </w:divBdr>
      <w:divsChild>
        <w:div w:id="475612366">
          <w:marLeft w:val="0"/>
          <w:marRight w:val="0"/>
          <w:marTop w:val="0"/>
          <w:marBottom w:val="0"/>
          <w:divBdr>
            <w:top w:val="none" w:sz="0" w:space="0" w:color="auto"/>
            <w:left w:val="none" w:sz="0" w:space="0" w:color="auto"/>
            <w:bottom w:val="none" w:sz="0" w:space="0" w:color="auto"/>
            <w:right w:val="none" w:sz="0" w:space="0" w:color="auto"/>
          </w:divBdr>
          <w:divsChild>
            <w:div w:id="1936788708">
              <w:marLeft w:val="0"/>
              <w:marRight w:val="0"/>
              <w:marTop w:val="0"/>
              <w:marBottom w:val="0"/>
              <w:divBdr>
                <w:top w:val="none" w:sz="0" w:space="0" w:color="auto"/>
                <w:left w:val="none" w:sz="0" w:space="0" w:color="auto"/>
                <w:bottom w:val="none" w:sz="0" w:space="0" w:color="auto"/>
                <w:right w:val="none" w:sz="0" w:space="0" w:color="auto"/>
              </w:divBdr>
              <w:divsChild>
                <w:div w:id="782648601">
                  <w:marLeft w:val="0"/>
                  <w:marRight w:val="0"/>
                  <w:marTop w:val="0"/>
                  <w:marBottom w:val="0"/>
                  <w:divBdr>
                    <w:top w:val="none" w:sz="0" w:space="0" w:color="auto"/>
                    <w:left w:val="none" w:sz="0" w:space="0" w:color="auto"/>
                    <w:bottom w:val="none" w:sz="0" w:space="0" w:color="auto"/>
                    <w:right w:val="none" w:sz="0" w:space="0" w:color="auto"/>
                  </w:divBdr>
                  <w:divsChild>
                    <w:div w:id="64627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558261">
      <w:bodyDiv w:val="1"/>
      <w:marLeft w:val="0"/>
      <w:marRight w:val="0"/>
      <w:marTop w:val="0"/>
      <w:marBottom w:val="0"/>
      <w:divBdr>
        <w:top w:val="none" w:sz="0" w:space="0" w:color="auto"/>
        <w:left w:val="none" w:sz="0" w:space="0" w:color="auto"/>
        <w:bottom w:val="none" w:sz="0" w:space="0" w:color="auto"/>
        <w:right w:val="none" w:sz="0" w:space="0" w:color="auto"/>
      </w:divBdr>
    </w:div>
    <w:div w:id="724064956">
      <w:bodyDiv w:val="1"/>
      <w:marLeft w:val="0"/>
      <w:marRight w:val="0"/>
      <w:marTop w:val="0"/>
      <w:marBottom w:val="0"/>
      <w:divBdr>
        <w:top w:val="none" w:sz="0" w:space="0" w:color="auto"/>
        <w:left w:val="none" w:sz="0" w:space="0" w:color="auto"/>
        <w:bottom w:val="none" w:sz="0" w:space="0" w:color="auto"/>
        <w:right w:val="none" w:sz="0" w:space="0" w:color="auto"/>
      </w:divBdr>
      <w:divsChild>
        <w:div w:id="495195359">
          <w:marLeft w:val="0"/>
          <w:marRight w:val="0"/>
          <w:marTop w:val="0"/>
          <w:marBottom w:val="0"/>
          <w:divBdr>
            <w:top w:val="none" w:sz="0" w:space="0" w:color="auto"/>
            <w:left w:val="none" w:sz="0" w:space="0" w:color="auto"/>
            <w:bottom w:val="none" w:sz="0" w:space="0" w:color="auto"/>
            <w:right w:val="none" w:sz="0" w:space="0" w:color="auto"/>
          </w:divBdr>
          <w:divsChild>
            <w:div w:id="1392576119">
              <w:marLeft w:val="0"/>
              <w:marRight w:val="0"/>
              <w:marTop w:val="0"/>
              <w:marBottom w:val="0"/>
              <w:divBdr>
                <w:top w:val="none" w:sz="0" w:space="0" w:color="auto"/>
                <w:left w:val="none" w:sz="0" w:space="0" w:color="auto"/>
                <w:bottom w:val="none" w:sz="0" w:space="0" w:color="auto"/>
                <w:right w:val="none" w:sz="0" w:space="0" w:color="auto"/>
              </w:divBdr>
              <w:divsChild>
                <w:div w:id="1670909098">
                  <w:marLeft w:val="0"/>
                  <w:marRight w:val="0"/>
                  <w:marTop w:val="0"/>
                  <w:marBottom w:val="0"/>
                  <w:divBdr>
                    <w:top w:val="none" w:sz="0" w:space="0" w:color="auto"/>
                    <w:left w:val="none" w:sz="0" w:space="0" w:color="auto"/>
                    <w:bottom w:val="none" w:sz="0" w:space="0" w:color="auto"/>
                    <w:right w:val="none" w:sz="0" w:space="0" w:color="auto"/>
                  </w:divBdr>
                  <w:divsChild>
                    <w:div w:id="817721177">
                      <w:marLeft w:val="0"/>
                      <w:marRight w:val="0"/>
                      <w:marTop w:val="0"/>
                      <w:marBottom w:val="0"/>
                      <w:divBdr>
                        <w:top w:val="none" w:sz="0" w:space="0" w:color="auto"/>
                        <w:left w:val="none" w:sz="0" w:space="0" w:color="auto"/>
                        <w:bottom w:val="none" w:sz="0" w:space="0" w:color="auto"/>
                        <w:right w:val="none" w:sz="0" w:space="0" w:color="auto"/>
                      </w:divBdr>
                      <w:divsChild>
                        <w:div w:id="679628026">
                          <w:marLeft w:val="0"/>
                          <w:marRight w:val="0"/>
                          <w:marTop w:val="0"/>
                          <w:marBottom w:val="0"/>
                          <w:divBdr>
                            <w:top w:val="none" w:sz="0" w:space="0" w:color="auto"/>
                            <w:left w:val="none" w:sz="0" w:space="0" w:color="auto"/>
                            <w:bottom w:val="none" w:sz="0" w:space="0" w:color="auto"/>
                            <w:right w:val="none" w:sz="0" w:space="0" w:color="auto"/>
                          </w:divBdr>
                          <w:divsChild>
                            <w:div w:id="14563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0081890">
      <w:bodyDiv w:val="1"/>
      <w:marLeft w:val="0"/>
      <w:marRight w:val="0"/>
      <w:marTop w:val="0"/>
      <w:marBottom w:val="0"/>
      <w:divBdr>
        <w:top w:val="none" w:sz="0" w:space="0" w:color="auto"/>
        <w:left w:val="none" w:sz="0" w:space="0" w:color="auto"/>
        <w:bottom w:val="none" w:sz="0" w:space="0" w:color="auto"/>
        <w:right w:val="none" w:sz="0" w:space="0" w:color="auto"/>
      </w:divBdr>
      <w:divsChild>
        <w:div w:id="291448152">
          <w:marLeft w:val="0"/>
          <w:marRight w:val="0"/>
          <w:marTop w:val="0"/>
          <w:marBottom w:val="0"/>
          <w:divBdr>
            <w:top w:val="none" w:sz="0" w:space="0" w:color="auto"/>
            <w:left w:val="none" w:sz="0" w:space="0" w:color="auto"/>
            <w:bottom w:val="none" w:sz="0" w:space="0" w:color="auto"/>
            <w:right w:val="none" w:sz="0" w:space="0" w:color="auto"/>
          </w:divBdr>
          <w:divsChild>
            <w:div w:id="1662809243">
              <w:marLeft w:val="0"/>
              <w:marRight w:val="0"/>
              <w:marTop w:val="0"/>
              <w:marBottom w:val="0"/>
              <w:divBdr>
                <w:top w:val="none" w:sz="0" w:space="0" w:color="auto"/>
                <w:left w:val="none" w:sz="0" w:space="0" w:color="auto"/>
                <w:bottom w:val="none" w:sz="0" w:space="0" w:color="auto"/>
                <w:right w:val="none" w:sz="0" w:space="0" w:color="auto"/>
              </w:divBdr>
              <w:divsChild>
                <w:div w:id="568005696">
                  <w:marLeft w:val="-113"/>
                  <w:marRight w:val="-113"/>
                  <w:marTop w:val="0"/>
                  <w:marBottom w:val="0"/>
                  <w:divBdr>
                    <w:top w:val="none" w:sz="0" w:space="0" w:color="auto"/>
                    <w:left w:val="none" w:sz="0" w:space="0" w:color="auto"/>
                    <w:bottom w:val="none" w:sz="0" w:space="0" w:color="auto"/>
                    <w:right w:val="none" w:sz="0" w:space="0" w:color="auto"/>
                  </w:divBdr>
                  <w:divsChild>
                    <w:div w:id="1269579371">
                      <w:marLeft w:val="0"/>
                      <w:marRight w:val="0"/>
                      <w:marTop w:val="0"/>
                      <w:marBottom w:val="0"/>
                      <w:divBdr>
                        <w:top w:val="none" w:sz="0" w:space="0" w:color="auto"/>
                        <w:left w:val="none" w:sz="0" w:space="0" w:color="auto"/>
                        <w:bottom w:val="none" w:sz="0" w:space="0" w:color="auto"/>
                        <w:right w:val="none" w:sz="0" w:space="0" w:color="auto"/>
                      </w:divBdr>
                      <w:divsChild>
                        <w:div w:id="1210217348">
                          <w:marLeft w:val="-113"/>
                          <w:marRight w:val="-113"/>
                          <w:marTop w:val="0"/>
                          <w:marBottom w:val="0"/>
                          <w:divBdr>
                            <w:top w:val="none" w:sz="0" w:space="0" w:color="auto"/>
                            <w:left w:val="none" w:sz="0" w:space="0" w:color="auto"/>
                            <w:bottom w:val="none" w:sz="0" w:space="0" w:color="auto"/>
                            <w:right w:val="none" w:sz="0" w:space="0" w:color="auto"/>
                          </w:divBdr>
                          <w:divsChild>
                            <w:div w:id="1646423723">
                              <w:marLeft w:val="0"/>
                              <w:marRight w:val="0"/>
                              <w:marTop w:val="0"/>
                              <w:marBottom w:val="0"/>
                              <w:divBdr>
                                <w:top w:val="none" w:sz="0" w:space="0" w:color="auto"/>
                                <w:left w:val="none" w:sz="0" w:space="0" w:color="auto"/>
                                <w:bottom w:val="none" w:sz="0" w:space="0" w:color="auto"/>
                                <w:right w:val="none" w:sz="0" w:space="0" w:color="auto"/>
                              </w:divBdr>
                              <w:divsChild>
                                <w:div w:id="82470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9431001">
      <w:bodyDiv w:val="1"/>
      <w:marLeft w:val="0"/>
      <w:marRight w:val="0"/>
      <w:marTop w:val="0"/>
      <w:marBottom w:val="0"/>
      <w:divBdr>
        <w:top w:val="none" w:sz="0" w:space="0" w:color="auto"/>
        <w:left w:val="none" w:sz="0" w:space="0" w:color="auto"/>
        <w:bottom w:val="none" w:sz="0" w:space="0" w:color="auto"/>
        <w:right w:val="none" w:sz="0" w:space="0" w:color="auto"/>
      </w:divBdr>
      <w:divsChild>
        <w:div w:id="361130506">
          <w:marLeft w:val="0"/>
          <w:marRight w:val="0"/>
          <w:marTop w:val="0"/>
          <w:marBottom w:val="0"/>
          <w:divBdr>
            <w:top w:val="none" w:sz="0" w:space="0" w:color="auto"/>
            <w:left w:val="none" w:sz="0" w:space="0" w:color="auto"/>
            <w:bottom w:val="none" w:sz="0" w:space="0" w:color="auto"/>
            <w:right w:val="none" w:sz="0" w:space="0" w:color="auto"/>
          </w:divBdr>
          <w:divsChild>
            <w:div w:id="870537633">
              <w:marLeft w:val="0"/>
              <w:marRight w:val="0"/>
              <w:marTop w:val="0"/>
              <w:marBottom w:val="0"/>
              <w:divBdr>
                <w:top w:val="none" w:sz="0" w:space="0" w:color="auto"/>
                <w:left w:val="none" w:sz="0" w:space="0" w:color="auto"/>
                <w:bottom w:val="none" w:sz="0" w:space="0" w:color="auto"/>
                <w:right w:val="none" w:sz="0" w:space="0" w:color="auto"/>
              </w:divBdr>
              <w:divsChild>
                <w:div w:id="923730095">
                  <w:marLeft w:val="195"/>
                  <w:marRight w:val="195"/>
                  <w:marTop w:val="0"/>
                  <w:marBottom w:val="0"/>
                  <w:divBdr>
                    <w:top w:val="none" w:sz="0" w:space="0" w:color="auto"/>
                    <w:left w:val="none" w:sz="0" w:space="0" w:color="auto"/>
                    <w:bottom w:val="none" w:sz="0" w:space="0" w:color="auto"/>
                    <w:right w:val="none" w:sz="0" w:space="0" w:color="auto"/>
                  </w:divBdr>
                  <w:divsChild>
                    <w:div w:id="1288659930">
                      <w:marLeft w:val="0"/>
                      <w:marRight w:val="0"/>
                      <w:marTop w:val="0"/>
                      <w:marBottom w:val="0"/>
                      <w:divBdr>
                        <w:top w:val="none" w:sz="0" w:space="0" w:color="auto"/>
                        <w:left w:val="none" w:sz="0" w:space="0" w:color="auto"/>
                        <w:bottom w:val="none" w:sz="0" w:space="0" w:color="auto"/>
                        <w:right w:val="none" w:sz="0" w:space="0" w:color="auto"/>
                      </w:divBdr>
                      <w:divsChild>
                        <w:div w:id="1120224960">
                          <w:marLeft w:val="195"/>
                          <w:marRight w:val="19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7825244">
      <w:bodyDiv w:val="1"/>
      <w:marLeft w:val="0"/>
      <w:marRight w:val="0"/>
      <w:marTop w:val="0"/>
      <w:marBottom w:val="0"/>
      <w:divBdr>
        <w:top w:val="none" w:sz="0" w:space="0" w:color="auto"/>
        <w:left w:val="none" w:sz="0" w:space="0" w:color="auto"/>
        <w:bottom w:val="none" w:sz="0" w:space="0" w:color="auto"/>
        <w:right w:val="none" w:sz="0" w:space="0" w:color="auto"/>
      </w:divBdr>
      <w:divsChild>
        <w:div w:id="521209914">
          <w:marLeft w:val="0"/>
          <w:marRight w:val="0"/>
          <w:marTop w:val="0"/>
          <w:marBottom w:val="0"/>
          <w:divBdr>
            <w:top w:val="none" w:sz="0" w:space="0" w:color="auto"/>
            <w:left w:val="none" w:sz="0" w:space="0" w:color="auto"/>
            <w:bottom w:val="none" w:sz="0" w:space="0" w:color="auto"/>
            <w:right w:val="none" w:sz="0" w:space="0" w:color="auto"/>
          </w:divBdr>
          <w:divsChild>
            <w:div w:id="545459178">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 w:id="927887418">
      <w:bodyDiv w:val="1"/>
      <w:marLeft w:val="0"/>
      <w:marRight w:val="0"/>
      <w:marTop w:val="0"/>
      <w:marBottom w:val="0"/>
      <w:divBdr>
        <w:top w:val="none" w:sz="0" w:space="0" w:color="auto"/>
        <w:left w:val="none" w:sz="0" w:space="0" w:color="auto"/>
        <w:bottom w:val="none" w:sz="0" w:space="0" w:color="auto"/>
        <w:right w:val="none" w:sz="0" w:space="0" w:color="auto"/>
      </w:divBdr>
      <w:divsChild>
        <w:div w:id="1438912695">
          <w:marLeft w:val="0"/>
          <w:marRight w:val="0"/>
          <w:marTop w:val="0"/>
          <w:marBottom w:val="0"/>
          <w:divBdr>
            <w:top w:val="none" w:sz="0" w:space="0" w:color="auto"/>
            <w:left w:val="none" w:sz="0" w:space="0" w:color="auto"/>
            <w:bottom w:val="none" w:sz="0" w:space="0" w:color="auto"/>
            <w:right w:val="none" w:sz="0" w:space="0" w:color="auto"/>
          </w:divBdr>
          <w:divsChild>
            <w:div w:id="894972460">
              <w:marLeft w:val="0"/>
              <w:marRight w:val="0"/>
              <w:marTop w:val="0"/>
              <w:marBottom w:val="0"/>
              <w:divBdr>
                <w:top w:val="none" w:sz="0" w:space="0" w:color="auto"/>
                <w:left w:val="none" w:sz="0" w:space="0" w:color="auto"/>
                <w:bottom w:val="none" w:sz="0" w:space="0" w:color="auto"/>
                <w:right w:val="none" w:sz="0" w:space="0" w:color="auto"/>
              </w:divBdr>
              <w:divsChild>
                <w:div w:id="759832229">
                  <w:marLeft w:val="0"/>
                  <w:marRight w:val="0"/>
                  <w:marTop w:val="0"/>
                  <w:marBottom w:val="0"/>
                  <w:divBdr>
                    <w:top w:val="none" w:sz="0" w:space="0" w:color="auto"/>
                    <w:left w:val="none" w:sz="0" w:space="0" w:color="auto"/>
                    <w:bottom w:val="none" w:sz="0" w:space="0" w:color="auto"/>
                    <w:right w:val="none" w:sz="0" w:space="0" w:color="auto"/>
                  </w:divBdr>
                  <w:divsChild>
                    <w:div w:id="1232733856">
                      <w:marLeft w:val="0"/>
                      <w:marRight w:val="0"/>
                      <w:marTop w:val="0"/>
                      <w:marBottom w:val="0"/>
                      <w:divBdr>
                        <w:top w:val="none" w:sz="0" w:space="0" w:color="auto"/>
                        <w:left w:val="none" w:sz="0" w:space="0" w:color="auto"/>
                        <w:bottom w:val="none" w:sz="0" w:space="0" w:color="auto"/>
                        <w:right w:val="none" w:sz="0" w:space="0" w:color="auto"/>
                      </w:divBdr>
                      <w:divsChild>
                        <w:div w:id="1812361503">
                          <w:marLeft w:val="0"/>
                          <w:marRight w:val="0"/>
                          <w:marTop w:val="0"/>
                          <w:marBottom w:val="0"/>
                          <w:divBdr>
                            <w:top w:val="none" w:sz="0" w:space="0" w:color="auto"/>
                            <w:left w:val="none" w:sz="0" w:space="0" w:color="auto"/>
                            <w:bottom w:val="none" w:sz="0" w:space="0" w:color="auto"/>
                            <w:right w:val="none" w:sz="0" w:space="0" w:color="auto"/>
                          </w:divBdr>
                          <w:divsChild>
                            <w:div w:id="1898592473">
                              <w:marLeft w:val="0"/>
                              <w:marRight w:val="0"/>
                              <w:marTop w:val="0"/>
                              <w:marBottom w:val="0"/>
                              <w:divBdr>
                                <w:top w:val="none" w:sz="0" w:space="0" w:color="auto"/>
                                <w:left w:val="none" w:sz="0" w:space="0" w:color="auto"/>
                                <w:bottom w:val="none" w:sz="0" w:space="0" w:color="auto"/>
                                <w:right w:val="none" w:sz="0" w:space="0" w:color="auto"/>
                              </w:divBdr>
                              <w:divsChild>
                                <w:div w:id="756635176">
                                  <w:marLeft w:val="0"/>
                                  <w:marRight w:val="0"/>
                                  <w:marTop w:val="0"/>
                                  <w:marBottom w:val="0"/>
                                  <w:divBdr>
                                    <w:top w:val="none" w:sz="0" w:space="0" w:color="auto"/>
                                    <w:left w:val="none" w:sz="0" w:space="0" w:color="auto"/>
                                    <w:bottom w:val="none" w:sz="0" w:space="0" w:color="auto"/>
                                    <w:right w:val="none" w:sz="0" w:space="0" w:color="auto"/>
                                  </w:divBdr>
                                  <w:divsChild>
                                    <w:div w:id="184648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410151">
      <w:bodyDiv w:val="1"/>
      <w:marLeft w:val="0"/>
      <w:marRight w:val="0"/>
      <w:marTop w:val="0"/>
      <w:marBottom w:val="0"/>
      <w:divBdr>
        <w:top w:val="none" w:sz="0" w:space="0" w:color="auto"/>
        <w:left w:val="none" w:sz="0" w:space="0" w:color="auto"/>
        <w:bottom w:val="none" w:sz="0" w:space="0" w:color="auto"/>
        <w:right w:val="none" w:sz="0" w:space="0" w:color="auto"/>
      </w:divBdr>
      <w:divsChild>
        <w:div w:id="369914110">
          <w:marLeft w:val="0"/>
          <w:marRight w:val="0"/>
          <w:marTop w:val="0"/>
          <w:marBottom w:val="0"/>
          <w:divBdr>
            <w:top w:val="none" w:sz="0" w:space="0" w:color="auto"/>
            <w:left w:val="none" w:sz="0" w:space="0" w:color="auto"/>
            <w:bottom w:val="none" w:sz="0" w:space="0" w:color="auto"/>
            <w:right w:val="none" w:sz="0" w:space="0" w:color="auto"/>
          </w:divBdr>
          <w:divsChild>
            <w:div w:id="1010110422">
              <w:marLeft w:val="0"/>
              <w:marRight w:val="0"/>
              <w:marTop w:val="0"/>
              <w:marBottom w:val="0"/>
              <w:divBdr>
                <w:top w:val="none" w:sz="0" w:space="0" w:color="auto"/>
                <w:left w:val="none" w:sz="0" w:space="0" w:color="auto"/>
                <w:bottom w:val="none" w:sz="0" w:space="0" w:color="auto"/>
                <w:right w:val="none" w:sz="0" w:space="0" w:color="auto"/>
              </w:divBdr>
              <w:divsChild>
                <w:div w:id="159395087">
                  <w:marLeft w:val="0"/>
                  <w:marRight w:val="0"/>
                  <w:marTop w:val="0"/>
                  <w:marBottom w:val="0"/>
                  <w:divBdr>
                    <w:top w:val="none" w:sz="0" w:space="0" w:color="auto"/>
                    <w:left w:val="none" w:sz="0" w:space="0" w:color="auto"/>
                    <w:bottom w:val="none" w:sz="0" w:space="0" w:color="auto"/>
                    <w:right w:val="none" w:sz="0" w:space="0" w:color="auto"/>
                  </w:divBdr>
                  <w:divsChild>
                    <w:div w:id="745230912">
                      <w:marLeft w:val="0"/>
                      <w:marRight w:val="0"/>
                      <w:marTop w:val="0"/>
                      <w:marBottom w:val="0"/>
                      <w:divBdr>
                        <w:top w:val="none" w:sz="0" w:space="0" w:color="auto"/>
                        <w:left w:val="none" w:sz="0" w:space="0" w:color="auto"/>
                        <w:bottom w:val="none" w:sz="0" w:space="0" w:color="auto"/>
                        <w:right w:val="none" w:sz="0" w:space="0" w:color="auto"/>
                      </w:divBdr>
                      <w:divsChild>
                        <w:div w:id="60063193">
                          <w:marLeft w:val="0"/>
                          <w:marRight w:val="0"/>
                          <w:marTop w:val="0"/>
                          <w:marBottom w:val="0"/>
                          <w:divBdr>
                            <w:top w:val="none" w:sz="0" w:space="0" w:color="auto"/>
                            <w:left w:val="none" w:sz="0" w:space="0" w:color="auto"/>
                            <w:bottom w:val="none" w:sz="0" w:space="0" w:color="auto"/>
                            <w:right w:val="none" w:sz="0" w:space="0" w:color="auto"/>
                          </w:divBdr>
                          <w:divsChild>
                            <w:div w:id="1663042884">
                              <w:marLeft w:val="-225"/>
                              <w:marRight w:val="-225"/>
                              <w:marTop w:val="300"/>
                              <w:marBottom w:val="0"/>
                              <w:divBdr>
                                <w:top w:val="none" w:sz="0" w:space="0" w:color="auto"/>
                                <w:left w:val="none" w:sz="0" w:space="0" w:color="auto"/>
                                <w:bottom w:val="none" w:sz="0" w:space="0" w:color="auto"/>
                                <w:right w:val="none" w:sz="0" w:space="0" w:color="auto"/>
                              </w:divBdr>
                              <w:divsChild>
                                <w:div w:id="1601723377">
                                  <w:marLeft w:val="0"/>
                                  <w:marRight w:val="0"/>
                                  <w:marTop w:val="0"/>
                                  <w:marBottom w:val="0"/>
                                  <w:divBdr>
                                    <w:top w:val="none" w:sz="0" w:space="0" w:color="auto"/>
                                    <w:left w:val="none" w:sz="0" w:space="0" w:color="auto"/>
                                    <w:bottom w:val="none" w:sz="0" w:space="0" w:color="auto"/>
                                    <w:right w:val="none" w:sz="0" w:space="0" w:color="auto"/>
                                  </w:divBdr>
                                  <w:divsChild>
                                    <w:div w:id="1436973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9495885">
      <w:bodyDiv w:val="1"/>
      <w:marLeft w:val="0"/>
      <w:marRight w:val="0"/>
      <w:marTop w:val="0"/>
      <w:marBottom w:val="0"/>
      <w:divBdr>
        <w:top w:val="none" w:sz="0" w:space="0" w:color="auto"/>
        <w:left w:val="none" w:sz="0" w:space="0" w:color="auto"/>
        <w:bottom w:val="none" w:sz="0" w:space="0" w:color="auto"/>
        <w:right w:val="none" w:sz="0" w:space="0" w:color="auto"/>
      </w:divBdr>
    </w:div>
    <w:div w:id="1809086655">
      <w:bodyDiv w:val="1"/>
      <w:marLeft w:val="0"/>
      <w:marRight w:val="0"/>
      <w:marTop w:val="0"/>
      <w:marBottom w:val="0"/>
      <w:divBdr>
        <w:top w:val="none" w:sz="0" w:space="0" w:color="auto"/>
        <w:left w:val="none" w:sz="0" w:space="0" w:color="auto"/>
        <w:bottom w:val="none" w:sz="0" w:space="0" w:color="auto"/>
        <w:right w:val="none" w:sz="0" w:space="0" w:color="auto"/>
      </w:divBdr>
      <w:divsChild>
        <w:div w:id="1617709531">
          <w:marLeft w:val="0"/>
          <w:marRight w:val="0"/>
          <w:marTop w:val="0"/>
          <w:marBottom w:val="0"/>
          <w:divBdr>
            <w:top w:val="none" w:sz="0" w:space="0" w:color="auto"/>
            <w:left w:val="none" w:sz="0" w:space="0" w:color="auto"/>
            <w:bottom w:val="none" w:sz="0" w:space="0" w:color="auto"/>
            <w:right w:val="none" w:sz="0" w:space="0" w:color="auto"/>
          </w:divBdr>
          <w:divsChild>
            <w:div w:id="1640960477">
              <w:marLeft w:val="0"/>
              <w:marRight w:val="0"/>
              <w:marTop w:val="0"/>
              <w:marBottom w:val="0"/>
              <w:divBdr>
                <w:top w:val="none" w:sz="0" w:space="0" w:color="auto"/>
                <w:left w:val="none" w:sz="0" w:space="0" w:color="auto"/>
                <w:bottom w:val="none" w:sz="0" w:space="0" w:color="auto"/>
                <w:right w:val="none" w:sz="0" w:space="0" w:color="auto"/>
              </w:divBdr>
              <w:divsChild>
                <w:div w:id="1948124349">
                  <w:marLeft w:val="0"/>
                  <w:marRight w:val="0"/>
                  <w:marTop w:val="100"/>
                  <w:marBottom w:val="100"/>
                  <w:divBdr>
                    <w:top w:val="none" w:sz="0" w:space="0" w:color="auto"/>
                    <w:left w:val="none" w:sz="0" w:space="0" w:color="auto"/>
                    <w:bottom w:val="none" w:sz="0" w:space="0" w:color="auto"/>
                    <w:right w:val="none" w:sz="0" w:space="0" w:color="auto"/>
                  </w:divBdr>
                  <w:divsChild>
                    <w:div w:id="1154025295">
                      <w:marLeft w:val="0"/>
                      <w:marRight w:val="0"/>
                      <w:marTop w:val="0"/>
                      <w:marBottom w:val="0"/>
                      <w:divBdr>
                        <w:top w:val="none" w:sz="0" w:space="0" w:color="auto"/>
                        <w:left w:val="none" w:sz="0" w:space="0" w:color="auto"/>
                        <w:bottom w:val="none" w:sz="0" w:space="0" w:color="auto"/>
                        <w:right w:val="none" w:sz="0" w:space="0" w:color="auto"/>
                      </w:divBdr>
                      <w:divsChild>
                        <w:div w:id="1751808427">
                          <w:marLeft w:val="0"/>
                          <w:marRight w:val="0"/>
                          <w:marTop w:val="0"/>
                          <w:marBottom w:val="0"/>
                          <w:divBdr>
                            <w:top w:val="none" w:sz="0" w:space="0" w:color="auto"/>
                            <w:left w:val="none" w:sz="0" w:space="0" w:color="auto"/>
                            <w:bottom w:val="none" w:sz="0" w:space="0" w:color="auto"/>
                            <w:right w:val="none" w:sz="0" w:space="0" w:color="auto"/>
                          </w:divBdr>
                          <w:divsChild>
                            <w:div w:id="652834894">
                              <w:marLeft w:val="0"/>
                              <w:marRight w:val="0"/>
                              <w:marTop w:val="0"/>
                              <w:marBottom w:val="0"/>
                              <w:divBdr>
                                <w:top w:val="none" w:sz="0" w:space="0" w:color="auto"/>
                                <w:left w:val="none" w:sz="0" w:space="0" w:color="auto"/>
                                <w:bottom w:val="none" w:sz="0" w:space="0" w:color="auto"/>
                                <w:right w:val="none" w:sz="0" w:space="0" w:color="auto"/>
                              </w:divBdr>
                              <w:divsChild>
                                <w:div w:id="1419016031">
                                  <w:marLeft w:val="0"/>
                                  <w:marRight w:val="0"/>
                                  <w:marTop w:val="0"/>
                                  <w:marBottom w:val="0"/>
                                  <w:divBdr>
                                    <w:top w:val="none" w:sz="0" w:space="0" w:color="auto"/>
                                    <w:left w:val="none" w:sz="0" w:space="0" w:color="auto"/>
                                    <w:bottom w:val="none" w:sz="0" w:space="0" w:color="auto"/>
                                    <w:right w:val="none" w:sz="0" w:space="0" w:color="auto"/>
                                  </w:divBdr>
                                  <w:divsChild>
                                    <w:div w:id="1549996249">
                                      <w:marLeft w:val="0"/>
                                      <w:marRight w:val="0"/>
                                      <w:marTop w:val="0"/>
                                      <w:marBottom w:val="0"/>
                                      <w:divBdr>
                                        <w:top w:val="none" w:sz="0" w:space="0" w:color="auto"/>
                                        <w:left w:val="none" w:sz="0" w:space="0" w:color="auto"/>
                                        <w:bottom w:val="none" w:sz="0" w:space="0" w:color="auto"/>
                                        <w:right w:val="none" w:sz="0" w:space="0" w:color="auto"/>
                                      </w:divBdr>
                                      <w:divsChild>
                                        <w:div w:id="986543918">
                                          <w:marLeft w:val="0"/>
                                          <w:marRight w:val="0"/>
                                          <w:marTop w:val="0"/>
                                          <w:marBottom w:val="0"/>
                                          <w:divBdr>
                                            <w:top w:val="none" w:sz="0" w:space="0" w:color="auto"/>
                                            <w:left w:val="none" w:sz="0" w:space="0" w:color="auto"/>
                                            <w:bottom w:val="none" w:sz="0" w:space="0" w:color="auto"/>
                                            <w:right w:val="none" w:sz="0" w:space="0" w:color="auto"/>
                                          </w:divBdr>
                                          <w:divsChild>
                                            <w:div w:id="551503428">
                                              <w:marLeft w:val="0"/>
                                              <w:marRight w:val="0"/>
                                              <w:marTop w:val="0"/>
                                              <w:marBottom w:val="0"/>
                                              <w:divBdr>
                                                <w:top w:val="none" w:sz="0" w:space="0" w:color="auto"/>
                                                <w:left w:val="none" w:sz="0" w:space="0" w:color="auto"/>
                                                <w:bottom w:val="none" w:sz="0" w:space="0" w:color="auto"/>
                                                <w:right w:val="none" w:sz="0" w:space="0" w:color="auto"/>
                                              </w:divBdr>
                                              <w:divsChild>
                                                <w:div w:id="1817801193">
                                                  <w:marLeft w:val="0"/>
                                                  <w:marRight w:val="300"/>
                                                  <w:marTop w:val="0"/>
                                                  <w:marBottom w:val="0"/>
                                                  <w:divBdr>
                                                    <w:top w:val="none" w:sz="0" w:space="0" w:color="auto"/>
                                                    <w:left w:val="none" w:sz="0" w:space="0" w:color="auto"/>
                                                    <w:bottom w:val="none" w:sz="0" w:space="0" w:color="auto"/>
                                                    <w:right w:val="none" w:sz="0" w:space="0" w:color="auto"/>
                                                  </w:divBdr>
                                                  <w:divsChild>
                                                    <w:div w:id="2050520942">
                                                      <w:marLeft w:val="0"/>
                                                      <w:marRight w:val="0"/>
                                                      <w:marTop w:val="0"/>
                                                      <w:marBottom w:val="0"/>
                                                      <w:divBdr>
                                                        <w:top w:val="none" w:sz="0" w:space="0" w:color="auto"/>
                                                        <w:left w:val="none" w:sz="0" w:space="0" w:color="auto"/>
                                                        <w:bottom w:val="none" w:sz="0" w:space="0" w:color="auto"/>
                                                        <w:right w:val="none" w:sz="0" w:space="0" w:color="auto"/>
                                                      </w:divBdr>
                                                      <w:divsChild>
                                                        <w:div w:id="2079131612">
                                                          <w:marLeft w:val="0"/>
                                                          <w:marRight w:val="0"/>
                                                          <w:marTop w:val="0"/>
                                                          <w:marBottom w:val="300"/>
                                                          <w:divBdr>
                                                            <w:top w:val="single" w:sz="6" w:space="0" w:color="CCCCCC"/>
                                                            <w:left w:val="none" w:sz="0" w:space="0" w:color="auto"/>
                                                            <w:bottom w:val="none" w:sz="0" w:space="0" w:color="auto"/>
                                                            <w:right w:val="none" w:sz="0" w:space="0" w:color="auto"/>
                                                          </w:divBdr>
                                                          <w:divsChild>
                                                            <w:div w:id="1808937604">
                                                              <w:marLeft w:val="0"/>
                                                              <w:marRight w:val="0"/>
                                                              <w:marTop w:val="0"/>
                                                              <w:marBottom w:val="0"/>
                                                              <w:divBdr>
                                                                <w:top w:val="none" w:sz="0" w:space="0" w:color="auto"/>
                                                                <w:left w:val="none" w:sz="0" w:space="0" w:color="auto"/>
                                                                <w:bottom w:val="none" w:sz="0" w:space="0" w:color="auto"/>
                                                                <w:right w:val="none" w:sz="0" w:space="0" w:color="auto"/>
                                                              </w:divBdr>
                                                              <w:divsChild>
                                                                <w:div w:id="841168979">
                                                                  <w:marLeft w:val="0"/>
                                                                  <w:marRight w:val="0"/>
                                                                  <w:marTop w:val="0"/>
                                                                  <w:marBottom w:val="0"/>
                                                                  <w:divBdr>
                                                                    <w:top w:val="none" w:sz="0" w:space="0" w:color="auto"/>
                                                                    <w:left w:val="none" w:sz="0" w:space="0" w:color="auto"/>
                                                                    <w:bottom w:val="none" w:sz="0" w:space="0" w:color="auto"/>
                                                                    <w:right w:val="none" w:sz="0" w:space="0" w:color="auto"/>
                                                                  </w:divBdr>
                                                                  <w:divsChild>
                                                                    <w:div w:id="1567228592">
                                                                      <w:marLeft w:val="0"/>
                                                                      <w:marRight w:val="0"/>
                                                                      <w:marTop w:val="0"/>
                                                                      <w:marBottom w:val="0"/>
                                                                      <w:divBdr>
                                                                        <w:top w:val="none" w:sz="0" w:space="0" w:color="auto"/>
                                                                        <w:left w:val="none" w:sz="0" w:space="0" w:color="auto"/>
                                                                        <w:bottom w:val="none" w:sz="0" w:space="0" w:color="auto"/>
                                                                        <w:right w:val="none" w:sz="0" w:space="0" w:color="auto"/>
                                                                      </w:divBdr>
                                                                      <w:divsChild>
                                                                        <w:div w:id="1035470801">
                                                                          <w:marLeft w:val="0"/>
                                                                          <w:marRight w:val="0"/>
                                                                          <w:marTop w:val="0"/>
                                                                          <w:marBottom w:val="0"/>
                                                                          <w:divBdr>
                                                                            <w:top w:val="none" w:sz="0" w:space="0" w:color="auto"/>
                                                                            <w:left w:val="none" w:sz="0" w:space="0" w:color="auto"/>
                                                                            <w:bottom w:val="none" w:sz="0" w:space="0" w:color="auto"/>
                                                                            <w:right w:val="none" w:sz="0" w:space="0" w:color="auto"/>
                                                                          </w:divBdr>
                                                                          <w:divsChild>
                                                                            <w:div w:id="775566398">
                                                                              <w:marLeft w:val="0"/>
                                                                              <w:marRight w:val="0"/>
                                                                              <w:marTop w:val="0"/>
                                                                              <w:marBottom w:val="0"/>
                                                                              <w:divBdr>
                                                                                <w:top w:val="none" w:sz="0" w:space="0" w:color="auto"/>
                                                                                <w:left w:val="none" w:sz="0" w:space="0" w:color="auto"/>
                                                                                <w:bottom w:val="none" w:sz="0" w:space="0" w:color="auto"/>
                                                                                <w:right w:val="none" w:sz="0" w:space="0" w:color="auto"/>
                                                                              </w:divBdr>
                                                                              <w:divsChild>
                                                                                <w:div w:id="1424952996">
                                                                                  <w:marLeft w:val="0"/>
                                                                                  <w:marRight w:val="0"/>
                                                                                  <w:marTop w:val="0"/>
                                                                                  <w:marBottom w:val="0"/>
                                                                                  <w:divBdr>
                                                                                    <w:top w:val="none" w:sz="0" w:space="0" w:color="auto"/>
                                                                                    <w:left w:val="none" w:sz="0" w:space="0" w:color="auto"/>
                                                                                    <w:bottom w:val="none" w:sz="0" w:space="0" w:color="auto"/>
                                                                                    <w:right w:val="none" w:sz="0" w:space="0" w:color="auto"/>
                                                                                  </w:divBdr>
                                                                                  <w:divsChild>
                                                                                    <w:div w:id="195579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1834828">
      <w:bodyDiv w:val="1"/>
      <w:marLeft w:val="0"/>
      <w:marRight w:val="0"/>
      <w:marTop w:val="0"/>
      <w:marBottom w:val="0"/>
      <w:divBdr>
        <w:top w:val="none" w:sz="0" w:space="0" w:color="auto"/>
        <w:left w:val="none" w:sz="0" w:space="0" w:color="auto"/>
        <w:bottom w:val="none" w:sz="0" w:space="0" w:color="auto"/>
        <w:right w:val="none" w:sz="0" w:space="0" w:color="auto"/>
      </w:divBdr>
      <w:divsChild>
        <w:div w:id="32967934">
          <w:marLeft w:val="0"/>
          <w:marRight w:val="0"/>
          <w:marTop w:val="0"/>
          <w:marBottom w:val="0"/>
          <w:divBdr>
            <w:top w:val="none" w:sz="0" w:space="0" w:color="auto"/>
            <w:left w:val="none" w:sz="0" w:space="0" w:color="auto"/>
            <w:bottom w:val="none" w:sz="0" w:space="0" w:color="auto"/>
            <w:right w:val="none" w:sz="0" w:space="0" w:color="auto"/>
          </w:divBdr>
          <w:divsChild>
            <w:div w:id="292954608">
              <w:marLeft w:val="0"/>
              <w:marRight w:val="0"/>
              <w:marTop w:val="0"/>
              <w:marBottom w:val="0"/>
              <w:divBdr>
                <w:top w:val="none" w:sz="0" w:space="0" w:color="auto"/>
                <w:left w:val="none" w:sz="0" w:space="0" w:color="auto"/>
                <w:bottom w:val="none" w:sz="0" w:space="0" w:color="auto"/>
                <w:right w:val="none" w:sz="0" w:space="0" w:color="auto"/>
              </w:divBdr>
              <w:divsChild>
                <w:div w:id="55517840">
                  <w:marLeft w:val="-113"/>
                  <w:marRight w:val="-113"/>
                  <w:marTop w:val="0"/>
                  <w:marBottom w:val="0"/>
                  <w:divBdr>
                    <w:top w:val="none" w:sz="0" w:space="0" w:color="auto"/>
                    <w:left w:val="none" w:sz="0" w:space="0" w:color="auto"/>
                    <w:bottom w:val="none" w:sz="0" w:space="0" w:color="auto"/>
                    <w:right w:val="none" w:sz="0" w:space="0" w:color="auto"/>
                  </w:divBdr>
                  <w:divsChild>
                    <w:div w:id="1592275791">
                      <w:marLeft w:val="0"/>
                      <w:marRight w:val="0"/>
                      <w:marTop w:val="0"/>
                      <w:marBottom w:val="0"/>
                      <w:divBdr>
                        <w:top w:val="none" w:sz="0" w:space="0" w:color="auto"/>
                        <w:left w:val="none" w:sz="0" w:space="0" w:color="auto"/>
                        <w:bottom w:val="none" w:sz="0" w:space="0" w:color="auto"/>
                        <w:right w:val="none" w:sz="0" w:space="0" w:color="auto"/>
                      </w:divBdr>
                      <w:divsChild>
                        <w:div w:id="1512529882">
                          <w:marLeft w:val="-113"/>
                          <w:marRight w:val="-113"/>
                          <w:marTop w:val="0"/>
                          <w:marBottom w:val="0"/>
                          <w:divBdr>
                            <w:top w:val="none" w:sz="0" w:space="0" w:color="auto"/>
                            <w:left w:val="none" w:sz="0" w:space="0" w:color="auto"/>
                            <w:bottom w:val="none" w:sz="0" w:space="0" w:color="auto"/>
                            <w:right w:val="none" w:sz="0" w:space="0" w:color="auto"/>
                          </w:divBdr>
                          <w:divsChild>
                            <w:div w:id="991522486">
                              <w:marLeft w:val="0"/>
                              <w:marRight w:val="0"/>
                              <w:marTop w:val="0"/>
                              <w:marBottom w:val="0"/>
                              <w:divBdr>
                                <w:top w:val="none" w:sz="0" w:space="0" w:color="auto"/>
                                <w:left w:val="none" w:sz="0" w:space="0" w:color="auto"/>
                                <w:bottom w:val="none" w:sz="0" w:space="0" w:color="auto"/>
                                <w:right w:val="none" w:sz="0" w:space="0" w:color="auto"/>
                              </w:divBdr>
                              <w:divsChild>
                                <w:div w:id="159089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5178864">
      <w:bodyDiv w:val="1"/>
      <w:marLeft w:val="0"/>
      <w:marRight w:val="0"/>
      <w:marTop w:val="0"/>
      <w:marBottom w:val="0"/>
      <w:divBdr>
        <w:top w:val="none" w:sz="0" w:space="0" w:color="auto"/>
        <w:left w:val="none" w:sz="0" w:space="0" w:color="auto"/>
        <w:bottom w:val="none" w:sz="0" w:space="0" w:color="auto"/>
        <w:right w:val="none" w:sz="0" w:space="0" w:color="auto"/>
      </w:divBdr>
      <w:divsChild>
        <w:div w:id="1086616417">
          <w:marLeft w:val="0"/>
          <w:marRight w:val="0"/>
          <w:marTop w:val="0"/>
          <w:marBottom w:val="0"/>
          <w:divBdr>
            <w:top w:val="none" w:sz="0" w:space="0" w:color="auto"/>
            <w:left w:val="none" w:sz="0" w:space="0" w:color="auto"/>
            <w:bottom w:val="none" w:sz="0" w:space="0" w:color="auto"/>
            <w:right w:val="none" w:sz="0" w:space="0" w:color="auto"/>
          </w:divBdr>
          <w:divsChild>
            <w:div w:id="697898434">
              <w:marLeft w:val="0"/>
              <w:marRight w:val="0"/>
              <w:marTop w:val="0"/>
              <w:marBottom w:val="0"/>
              <w:divBdr>
                <w:top w:val="none" w:sz="0" w:space="0" w:color="auto"/>
                <w:left w:val="none" w:sz="0" w:space="0" w:color="auto"/>
                <w:bottom w:val="none" w:sz="0" w:space="0" w:color="auto"/>
                <w:right w:val="none" w:sz="0" w:space="0" w:color="auto"/>
              </w:divBdr>
              <w:divsChild>
                <w:div w:id="1918173222">
                  <w:marLeft w:val="0"/>
                  <w:marRight w:val="0"/>
                  <w:marTop w:val="0"/>
                  <w:marBottom w:val="0"/>
                  <w:divBdr>
                    <w:top w:val="none" w:sz="0" w:space="0" w:color="auto"/>
                    <w:left w:val="none" w:sz="0" w:space="0" w:color="auto"/>
                    <w:bottom w:val="none" w:sz="0" w:space="0" w:color="auto"/>
                    <w:right w:val="none" w:sz="0" w:space="0" w:color="auto"/>
                  </w:divBdr>
                  <w:divsChild>
                    <w:div w:id="1340499558">
                      <w:marLeft w:val="0"/>
                      <w:marRight w:val="0"/>
                      <w:marTop w:val="0"/>
                      <w:marBottom w:val="0"/>
                      <w:divBdr>
                        <w:top w:val="none" w:sz="0" w:space="0" w:color="auto"/>
                        <w:left w:val="none" w:sz="0" w:space="0" w:color="auto"/>
                        <w:bottom w:val="none" w:sz="0" w:space="0" w:color="auto"/>
                        <w:right w:val="none" w:sz="0" w:space="0" w:color="auto"/>
                      </w:divBdr>
                      <w:divsChild>
                        <w:div w:id="1515613747">
                          <w:marLeft w:val="0"/>
                          <w:marRight w:val="0"/>
                          <w:marTop w:val="0"/>
                          <w:marBottom w:val="0"/>
                          <w:divBdr>
                            <w:top w:val="none" w:sz="0" w:space="0" w:color="auto"/>
                            <w:left w:val="none" w:sz="0" w:space="0" w:color="auto"/>
                            <w:bottom w:val="none" w:sz="0" w:space="0" w:color="auto"/>
                            <w:right w:val="none" w:sz="0" w:space="0" w:color="auto"/>
                          </w:divBdr>
                          <w:divsChild>
                            <w:div w:id="636229319">
                              <w:marLeft w:val="0"/>
                              <w:marRight w:val="-14940"/>
                              <w:marTop w:val="0"/>
                              <w:marBottom w:val="0"/>
                              <w:divBdr>
                                <w:top w:val="none" w:sz="0" w:space="0" w:color="auto"/>
                                <w:left w:val="none" w:sz="0" w:space="0" w:color="auto"/>
                                <w:bottom w:val="none" w:sz="0" w:space="0" w:color="auto"/>
                                <w:right w:val="none" w:sz="0" w:space="0" w:color="auto"/>
                              </w:divBdr>
                              <w:divsChild>
                                <w:div w:id="798887267">
                                  <w:marLeft w:val="0"/>
                                  <w:marRight w:val="-14940"/>
                                  <w:marTop w:val="0"/>
                                  <w:marBottom w:val="0"/>
                                  <w:divBdr>
                                    <w:top w:val="none" w:sz="0" w:space="0" w:color="auto"/>
                                    <w:left w:val="none" w:sz="0" w:space="0" w:color="auto"/>
                                    <w:bottom w:val="none" w:sz="0" w:space="0" w:color="auto"/>
                                    <w:right w:val="none" w:sz="0" w:space="0" w:color="auto"/>
                                  </w:divBdr>
                                  <w:divsChild>
                                    <w:div w:id="2020765221">
                                      <w:marLeft w:val="0"/>
                                      <w:marRight w:val="0"/>
                                      <w:marTop w:val="0"/>
                                      <w:marBottom w:val="0"/>
                                      <w:divBdr>
                                        <w:top w:val="none" w:sz="0" w:space="0" w:color="auto"/>
                                        <w:left w:val="none" w:sz="0" w:space="0" w:color="auto"/>
                                        <w:bottom w:val="none" w:sz="0" w:space="0" w:color="auto"/>
                                        <w:right w:val="none" w:sz="0" w:space="0" w:color="auto"/>
                                      </w:divBdr>
                                      <w:divsChild>
                                        <w:div w:id="1098211795">
                                          <w:marLeft w:val="0"/>
                                          <w:marRight w:val="0"/>
                                          <w:marTop w:val="0"/>
                                          <w:marBottom w:val="0"/>
                                          <w:divBdr>
                                            <w:top w:val="none" w:sz="0" w:space="0" w:color="auto"/>
                                            <w:left w:val="none" w:sz="0" w:space="0" w:color="auto"/>
                                            <w:bottom w:val="none" w:sz="0" w:space="0" w:color="auto"/>
                                            <w:right w:val="none" w:sz="0" w:space="0" w:color="auto"/>
                                          </w:divBdr>
                                          <w:divsChild>
                                            <w:div w:id="1026827955">
                                              <w:marLeft w:val="0"/>
                                              <w:marRight w:val="0"/>
                                              <w:marTop w:val="0"/>
                                              <w:marBottom w:val="0"/>
                                              <w:divBdr>
                                                <w:top w:val="none" w:sz="0" w:space="0" w:color="auto"/>
                                                <w:left w:val="none" w:sz="0" w:space="0" w:color="auto"/>
                                                <w:bottom w:val="none" w:sz="0" w:space="0" w:color="auto"/>
                                                <w:right w:val="none" w:sz="0" w:space="0" w:color="auto"/>
                                              </w:divBdr>
                                              <w:divsChild>
                                                <w:div w:id="976834050">
                                                  <w:marLeft w:val="0"/>
                                                  <w:marRight w:val="0"/>
                                                  <w:marTop w:val="0"/>
                                                  <w:marBottom w:val="0"/>
                                                  <w:divBdr>
                                                    <w:top w:val="none" w:sz="0" w:space="0" w:color="auto"/>
                                                    <w:left w:val="none" w:sz="0" w:space="0" w:color="auto"/>
                                                    <w:bottom w:val="none" w:sz="0" w:space="0" w:color="auto"/>
                                                    <w:right w:val="none" w:sz="0" w:space="0" w:color="auto"/>
                                                  </w:divBdr>
                                                  <w:divsChild>
                                                    <w:div w:id="149318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jss46@cam.ac.u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k501@cam.ac.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m532@cam.ac.u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wineinstitute.org/files/AVF-Guid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04AF41-A4CF-4B1F-8AC9-091016FCB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4214</Words>
  <Characters>24025</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Chevron</Company>
  <LinksUpToDate>false</LinksUpToDate>
  <CharactersWithSpaces>28183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 Manocha</dc:creator>
  <cp:lastModifiedBy>Pav Manocha</cp:lastModifiedBy>
  <cp:revision>2</cp:revision>
  <dcterms:created xsi:type="dcterms:W3CDTF">2016-10-04T09:23:00Z</dcterms:created>
  <dcterms:modified xsi:type="dcterms:W3CDTF">2016-10-04T09:23:00Z</dcterms:modified>
</cp:coreProperties>
</file>